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3AA6" w14:textId="300DE4BE" w:rsidR="00AB51CE" w:rsidRPr="007E2556" w:rsidRDefault="00704F71" w:rsidP="009075F2">
      <w:pPr>
        <w:spacing w:before="3" w:line="255" w:lineRule="exact"/>
        <w:jc w:val="center"/>
        <w:textAlignment w:val="baseline"/>
        <w:rPr>
          <w:rFonts w:eastAsia="Trebuchet MS"/>
          <w:b/>
          <w:color w:val="000000"/>
          <w:spacing w:val="-1"/>
          <w:sz w:val="28"/>
          <w:szCs w:val="28"/>
        </w:rPr>
      </w:pPr>
      <w:r>
        <w:rPr>
          <w:rFonts w:eastAsia="Trebuchet MS"/>
          <w:b/>
          <w:color w:val="000000"/>
          <w:spacing w:val="-1"/>
          <w:sz w:val="28"/>
          <w:szCs w:val="28"/>
        </w:rPr>
        <w:t>Encompass</w:t>
      </w:r>
      <w:r w:rsidR="00AB51CE" w:rsidRPr="007E2556">
        <w:rPr>
          <w:rFonts w:eastAsia="Trebuchet MS"/>
          <w:b/>
          <w:color w:val="000000"/>
          <w:spacing w:val="-1"/>
          <w:sz w:val="28"/>
          <w:szCs w:val="28"/>
        </w:rPr>
        <w:t xml:space="preserve"> Health</w:t>
      </w:r>
      <w:r w:rsidR="00126F3B">
        <w:rPr>
          <w:rFonts w:eastAsia="Trebuchet MS"/>
          <w:b/>
          <w:color w:val="000000"/>
          <w:spacing w:val="-1"/>
          <w:sz w:val="28"/>
          <w:szCs w:val="28"/>
        </w:rPr>
        <w:t xml:space="preserve"> </w:t>
      </w:r>
      <w:r w:rsidR="00C90CA0">
        <w:rPr>
          <w:rFonts w:eastAsia="Trebuchet MS"/>
          <w:b/>
          <w:color w:val="000000"/>
          <w:spacing w:val="-1"/>
          <w:sz w:val="28"/>
          <w:szCs w:val="28"/>
        </w:rPr>
        <w:t>Corporation</w:t>
      </w:r>
    </w:p>
    <w:p w14:paraId="046E73F2" w14:textId="77777777" w:rsidR="00AB51CE" w:rsidRDefault="00AB51CE" w:rsidP="009075F2">
      <w:pPr>
        <w:spacing w:before="3" w:line="255" w:lineRule="exact"/>
        <w:jc w:val="center"/>
        <w:textAlignment w:val="baseline"/>
        <w:rPr>
          <w:rFonts w:eastAsia="Trebuchet MS"/>
          <w:b/>
          <w:color w:val="000000"/>
          <w:spacing w:val="-1"/>
          <w:sz w:val="24"/>
          <w:szCs w:val="24"/>
        </w:rPr>
      </w:pPr>
    </w:p>
    <w:p w14:paraId="286B5AA8" w14:textId="6634B333" w:rsidR="0010079F" w:rsidRDefault="00003594" w:rsidP="009075F2">
      <w:pPr>
        <w:spacing w:before="3" w:line="255" w:lineRule="exact"/>
        <w:jc w:val="center"/>
        <w:textAlignment w:val="baseline"/>
        <w:rPr>
          <w:rFonts w:eastAsia="Trebuchet MS"/>
          <w:b/>
          <w:color w:val="000000"/>
          <w:spacing w:val="-1"/>
          <w:sz w:val="24"/>
          <w:szCs w:val="24"/>
        </w:rPr>
      </w:pPr>
      <w:r w:rsidRPr="008A69C8">
        <w:rPr>
          <w:rFonts w:eastAsia="Trebuchet MS"/>
          <w:b/>
          <w:color w:val="000000"/>
          <w:spacing w:val="-1"/>
          <w:sz w:val="24"/>
          <w:szCs w:val="24"/>
        </w:rPr>
        <w:t xml:space="preserve">Analysis of the Reasonableness of </w:t>
      </w:r>
      <w:r w:rsidRPr="008A69C8">
        <w:rPr>
          <w:rFonts w:eastAsia="Trebuchet MS"/>
          <w:b/>
          <w:color w:val="000000"/>
          <w:spacing w:val="-1"/>
          <w:sz w:val="24"/>
          <w:szCs w:val="24"/>
        </w:rPr>
        <w:br/>
        <w:t xml:space="preserve">Assumptions Used For and </w:t>
      </w:r>
      <w:r w:rsidRPr="008A69C8">
        <w:rPr>
          <w:rFonts w:eastAsia="Trebuchet MS"/>
          <w:b/>
          <w:color w:val="000000"/>
          <w:spacing w:val="-1"/>
          <w:sz w:val="24"/>
          <w:szCs w:val="24"/>
        </w:rPr>
        <w:br/>
        <w:t xml:space="preserve">Feasibility of Projected Financials of </w:t>
      </w:r>
      <w:r w:rsidRPr="008A69C8">
        <w:rPr>
          <w:rFonts w:eastAsia="Trebuchet MS"/>
          <w:b/>
          <w:color w:val="000000"/>
          <w:spacing w:val="-1"/>
          <w:sz w:val="24"/>
          <w:szCs w:val="24"/>
        </w:rPr>
        <w:br/>
      </w:r>
      <w:r w:rsidR="00704F71">
        <w:rPr>
          <w:rFonts w:eastAsia="Trebuchet MS"/>
          <w:b/>
          <w:color w:val="000000"/>
          <w:spacing w:val="-1"/>
          <w:sz w:val="24"/>
          <w:szCs w:val="24"/>
        </w:rPr>
        <w:t>Encompass</w:t>
      </w:r>
      <w:r w:rsidR="00EB5649">
        <w:rPr>
          <w:rFonts w:eastAsia="Trebuchet MS"/>
          <w:b/>
          <w:color w:val="000000"/>
          <w:spacing w:val="-1"/>
          <w:sz w:val="24"/>
          <w:szCs w:val="24"/>
        </w:rPr>
        <w:t xml:space="preserve"> Health </w:t>
      </w:r>
      <w:r w:rsidR="00C90CA0">
        <w:rPr>
          <w:rFonts w:eastAsia="Trebuchet MS"/>
          <w:b/>
          <w:color w:val="000000"/>
          <w:spacing w:val="-1"/>
          <w:sz w:val="24"/>
          <w:szCs w:val="24"/>
        </w:rPr>
        <w:t>Rehabilitation Hospital of Western Massachusetts, LLC</w:t>
      </w:r>
    </w:p>
    <w:p w14:paraId="5FB19759" w14:textId="2095A86E" w:rsidR="00557E9F" w:rsidRPr="009075F2" w:rsidRDefault="00003594" w:rsidP="009075F2">
      <w:pPr>
        <w:spacing w:before="3" w:line="255" w:lineRule="exact"/>
        <w:jc w:val="center"/>
        <w:textAlignment w:val="baseline"/>
        <w:rPr>
          <w:rFonts w:eastAsia="Trebuchet MS"/>
          <w:b/>
          <w:color w:val="000000"/>
          <w:spacing w:val="-1"/>
          <w:sz w:val="24"/>
          <w:szCs w:val="24"/>
        </w:rPr>
        <w:sectPr w:rsidR="00557E9F" w:rsidRPr="009075F2" w:rsidSect="007E2556">
          <w:footerReference w:type="default" r:id="rId8"/>
          <w:pgSz w:w="12240" w:h="15840"/>
          <w:pgMar w:top="4478" w:right="3510" w:bottom="7200" w:left="3974" w:header="720" w:footer="720" w:gutter="0"/>
          <w:cols w:space="720"/>
        </w:sectPr>
      </w:pPr>
      <w:r w:rsidRPr="000557B5">
        <w:rPr>
          <w:rFonts w:eastAsia="Trebuchet MS"/>
          <w:b/>
          <w:color w:val="000000"/>
          <w:spacing w:val="-1"/>
          <w:sz w:val="24"/>
          <w:szCs w:val="24"/>
        </w:rPr>
        <w:t xml:space="preserve">For the Years Ending </w:t>
      </w:r>
      <w:r w:rsidR="007D1DAF">
        <w:rPr>
          <w:rFonts w:eastAsia="Trebuchet MS"/>
          <w:b/>
          <w:color w:val="000000"/>
          <w:spacing w:val="-1"/>
          <w:sz w:val="24"/>
          <w:szCs w:val="24"/>
        </w:rPr>
        <w:t>December 31</w:t>
      </w:r>
      <w:r w:rsidRPr="000557B5">
        <w:rPr>
          <w:rFonts w:eastAsia="Trebuchet MS"/>
          <w:b/>
          <w:color w:val="000000"/>
          <w:spacing w:val="-1"/>
          <w:sz w:val="24"/>
          <w:szCs w:val="24"/>
        </w:rPr>
        <w:t>, 20</w:t>
      </w:r>
      <w:r w:rsidR="00F307D6">
        <w:rPr>
          <w:rFonts w:eastAsia="Trebuchet MS"/>
          <w:b/>
          <w:color w:val="000000"/>
          <w:spacing w:val="-1"/>
          <w:sz w:val="24"/>
          <w:szCs w:val="24"/>
        </w:rPr>
        <w:t>2</w:t>
      </w:r>
      <w:r w:rsidR="007D1DAF">
        <w:rPr>
          <w:rFonts w:eastAsia="Trebuchet MS"/>
          <w:b/>
          <w:color w:val="000000"/>
          <w:spacing w:val="-1"/>
          <w:sz w:val="24"/>
          <w:szCs w:val="24"/>
        </w:rPr>
        <w:t>5</w:t>
      </w:r>
      <w:r w:rsidRPr="000557B5">
        <w:rPr>
          <w:rFonts w:eastAsia="Trebuchet MS"/>
          <w:b/>
          <w:color w:val="000000"/>
          <w:spacing w:val="-1"/>
          <w:sz w:val="24"/>
          <w:szCs w:val="24"/>
        </w:rPr>
        <w:br/>
        <w:t xml:space="preserve">Through </w:t>
      </w:r>
      <w:r w:rsidR="007D1DAF">
        <w:rPr>
          <w:rFonts w:eastAsia="Trebuchet MS"/>
          <w:b/>
          <w:color w:val="000000"/>
          <w:spacing w:val="-1"/>
          <w:sz w:val="24"/>
          <w:szCs w:val="24"/>
        </w:rPr>
        <w:t>December 31</w:t>
      </w:r>
      <w:r w:rsidRPr="000557B5">
        <w:rPr>
          <w:rFonts w:eastAsia="Trebuchet MS"/>
          <w:b/>
          <w:color w:val="000000"/>
          <w:spacing w:val="-1"/>
          <w:sz w:val="24"/>
          <w:szCs w:val="24"/>
        </w:rPr>
        <w:t>, 202</w:t>
      </w:r>
      <w:r w:rsidR="007D1DAF">
        <w:rPr>
          <w:rFonts w:eastAsia="Trebuchet MS"/>
          <w:b/>
          <w:color w:val="000000"/>
          <w:spacing w:val="-1"/>
          <w:sz w:val="24"/>
          <w:szCs w:val="24"/>
        </w:rPr>
        <w:t>9</w:t>
      </w:r>
    </w:p>
    <w:p w14:paraId="3B08107E" w14:textId="77777777" w:rsidR="00557E9F" w:rsidRPr="001F1A6D" w:rsidRDefault="00003594">
      <w:pPr>
        <w:spacing w:before="18" w:line="252" w:lineRule="exact"/>
        <w:jc w:val="center"/>
        <w:textAlignment w:val="baseline"/>
        <w:rPr>
          <w:rFonts w:eastAsia="Trebuchet MS"/>
          <w:b/>
          <w:color w:val="000000"/>
          <w:spacing w:val="-2"/>
        </w:rPr>
      </w:pPr>
      <w:r w:rsidRPr="001F1A6D">
        <w:rPr>
          <w:rFonts w:eastAsia="Trebuchet MS"/>
          <w:b/>
          <w:color w:val="000000"/>
          <w:spacing w:val="-2"/>
        </w:rPr>
        <w:lastRenderedPageBreak/>
        <w:t>TABLE OF CONTENTS</w:t>
      </w:r>
    </w:p>
    <w:p w14:paraId="3F6D7F79" w14:textId="77777777" w:rsidR="00557E9F" w:rsidRPr="001F1A6D" w:rsidRDefault="00003594">
      <w:pPr>
        <w:spacing w:before="770" w:line="256" w:lineRule="exact"/>
        <w:jc w:val="right"/>
        <w:textAlignment w:val="baseline"/>
        <w:rPr>
          <w:rFonts w:eastAsia="Trebuchet MS"/>
          <w:color w:val="000000"/>
          <w:spacing w:val="-4"/>
        </w:rPr>
      </w:pPr>
      <w:r w:rsidRPr="001F1A6D">
        <w:rPr>
          <w:rFonts w:eastAsia="Trebuchet MS"/>
          <w:color w:val="000000"/>
          <w:spacing w:val="-4"/>
        </w:rPr>
        <w:t>Page</w:t>
      </w:r>
    </w:p>
    <w:p w14:paraId="66C02CA8" w14:textId="77777777" w:rsidR="00557E9F" w:rsidRPr="001F1A6D" w:rsidRDefault="002141FE" w:rsidP="002141FE">
      <w:pPr>
        <w:numPr>
          <w:ilvl w:val="0"/>
          <w:numId w:val="1"/>
        </w:numPr>
        <w:tabs>
          <w:tab w:val="left" w:leader="dot" w:pos="8928"/>
          <w:tab w:val="right" w:pos="9360"/>
        </w:tabs>
        <w:spacing w:before="479" w:line="256" w:lineRule="exact"/>
        <w:ind w:left="0"/>
        <w:textAlignment w:val="baseline"/>
        <w:rPr>
          <w:rFonts w:eastAsia="Trebuchet MS"/>
          <w:color w:val="000000"/>
          <w:spacing w:val="-1"/>
        </w:rPr>
      </w:pPr>
      <w:r>
        <w:rPr>
          <w:rFonts w:eastAsia="Trebuchet MS"/>
          <w:color w:val="000000"/>
          <w:spacing w:val="-1"/>
        </w:rPr>
        <w:t>EXECUTIVE SUMMARY</w:t>
      </w:r>
      <w:r>
        <w:rPr>
          <w:rFonts w:eastAsia="Trebuchet MS"/>
          <w:color w:val="000000"/>
          <w:spacing w:val="-1"/>
        </w:rPr>
        <w:tab/>
        <w:t xml:space="preserve"> </w:t>
      </w:r>
      <w:r>
        <w:rPr>
          <w:rFonts w:eastAsia="Trebuchet MS"/>
          <w:color w:val="000000"/>
          <w:spacing w:val="-1"/>
        </w:rPr>
        <w:tab/>
      </w:r>
      <w:r w:rsidR="00003594" w:rsidRPr="001F1A6D">
        <w:rPr>
          <w:rFonts w:eastAsia="Trebuchet MS"/>
          <w:color w:val="000000"/>
          <w:spacing w:val="-1"/>
        </w:rPr>
        <w:t>1</w:t>
      </w:r>
    </w:p>
    <w:p w14:paraId="757E11DA" w14:textId="77777777"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RELEVANT BACKGROUND INFORMATION</w:t>
      </w:r>
      <w:r w:rsidRPr="001F1A6D">
        <w:rPr>
          <w:rFonts w:eastAsia="Trebuchet MS"/>
          <w:color w:val="000000"/>
          <w:spacing w:val="2"/>
        </w:rPr>
        <w:tab/>
      </w:r>
      <w:r w:rsidR="002141FE">
        <w:rPr>
          <w:rFonts w:eastAsia="Trebuchet MS"/>
          <w:color w:val="000000"/>
          <w:spacing w:val="2"/>
        </w:rPr>
        <w:tab/>
      </w:r>
      <w:r w:rsidRPr="001F1A6D">
        <w:rPr>
          <w:rFonts w:eastAsia="Trebuchet MS"/>
          <w:color w:val="000000"/>
          <w:spacing w:val="2"/>
        </w:rPr>
        <w:t>2</w:t>
      </w:r>
    </w:p>
    <w:p w14:paraId="007FDCD3" w14:textId="77777777" w:rsidR="00557E9F" w:rsidRPr="001F1A6D" w:rsidRDefault="00003594" w:rsidP="002141FE">
      <w:pPr>
        <w:numPr>
          <w:ilvl w:val="0"/>
          <w:numId w:val="1"/>
        </w:numPr>
        <w:tabs>
          <w:tab w:val="left" w:leader="dot" w:pos="8928"/>
          <w:tab w:val="right" w:pos="9360"/>
        </w:tabs>
        <w:spacing w:before="483" w:line="256" w:lineRule="exact"/>
        <w:ind w:left="0"/>
        <w:textAlignment w:val="baseline"/>
        <w:rPr>
          <w:rFonts w:eastAsia="Trebuchet MS"/>
          <w:color w:val="000000"/>
          <w:spacing w:val="4"/>
        </w:rPr>
      </w:pPr>
      <w:r w:rsidRPr="001F1A6D">
        <w:rPr>
          <w:rFonts w:eastAsia="Trebuchet MS"/>
          <w:color w:val="000000"/>
          <w:spacing w:val="4"/>
        </w:rPr>
        <w:t>SCOPE OF REPORT</w:t>
      </w:r>
      <w:r w:rsidRPr="001F1A6D">
        <w:rPr>
          <w:rFonts w:eastAsia="Trebuchet MS"/>
          <w:color w:val="000000"/>
          <w:spacing w:val="4"/>
        </w:rPr>
        <w:tab/>
      </w:r>
      <w:r w:rsidR="002141FE">
        <w:rPr>
          <w:rFonts w:eastAsia="Trebuchet MS"/>
          <w:color w:val="000000"/>
          <w:spacing w:val="4"/>
        </w:rPr>
        <w:tab/>
      </w:r>
      <w:r w:rsidRPr="001F1A6D">
        <w:rPr>
          <w:rFonts w:eastAsia="Trebuchet MS"/>
          <w:color w:val="000000"/>
          <w:spacing w:val="4"/>
        </w:rPr>
        <w:t>2</w:t>
      </w:r>
    </w:p>
    <w:p w14:paraId="44472B3F" w14:textId="7C2930DC" w:rsidR="00557E9F" w:rsidRPr="001F1A6D" w:rsidRDefault="00003594" w:rsidP="002141FE">
      <w:pPr>
        <w:numPr>
          <w:ilvl w:val="0"/>
          <w:numId w:val="1"/>
        </w:numPr>
        <w:tabs>
          <w:tab w:val="left" w:leader="dot" w:pos="8928"/>
          <w:tab w:val="right" w:pos="9360"/>
        </w:tabs>
        <w:spacing w:before="479" w:line="256" w:lineRule="exact"/>
        <w:ind w:left="0"/>
        <w:textAlignment w:val="baseline"/>
        <w:rPr>
          <w:rFonts w:eastAsia="Trebuchet MS"/>
          <w:color w:val="000000"/>
        </w:rPr>
      </w:pPr>
      <w:r w:rsidRPr="001F1A6D">
        <w:rPr>
          <w:rFonts w:eastAsia="Trebuchet MS"/>
          <w:color w:val="000000"/>
        </w:rPr>
        <w:t>PRIMARY S</w:t>
      </w:r>
      <w:r w:rsidR="00A422BE">
        <w:rPr>
          <w:rFonts w:eastAsia="Trebuchet MS"/>
          <w:color w:val="000000"/>
        </w:rPr>
        <w:t>OUR</w:t>
      </w:r>
      <w:r w:rsidR="001F1A6D">
        <w:rPr>
          <w:rFonts w:eastAsia="Trebuchet MS"/>
          <w:color w:val="000000"/>
        </w:rPr>
        <w:t xml:space="preserve">CES OF INFORMATION UTILIZED </w:t>
      </w:r>
      <w:r w:rsidR="001F1A6D">
        <w:rPr>
          <w:rFonts w:eastAsia="Trebuchet MS"/>
          <w:color w:val="000000"/>
        </w:rPr>
        <w:tab/>
      </w:r>
      <w:r w:rsidR="002141FE">
        <w:rPr>
          <w:rFonts w:eastAsia="Trebuchet MS"/>
          <w:color w:val="000000"/>
        </w:rPr>
        <w:tab/>
      </w:r>
      <w:r w:rsidR="004E2EAC">
        <w:rPr>
          <w:rFonts w:eastAsia="Trebuchet MS"/>
          <w:color w:val="000000"/>
        </w:rPr>
        <w:t>3</w:t>
      </w:r>
    </w:p>
    <w:p w14:paraId="7952EA40" w14:textId="041051B8"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REVIEW OF THE PROJECTIONS</w:t>
      </w:r>
      <w:r w:rsidRPr="001F1A6D">
        <w:rPr>
          <w:rFonts w:eastAsia="Trebuchet MS"/>
          <w:color w:val="000000"/>
          <w:spacing w:val="2"/>
        </w:rPr>
        <w:tab/>
      </w:r>
      <w:r w:rsidR="002141FE">
        <w:rPr>
          <w:rFonts w:eastAsia="Trebuchet MS"/>
          <w:color w:val="000000"/>
          <w:spacing w:val="2"/>
        </w:rPr>
        <w:tab/>
      </w:r>
      <w:r w:rsidR="004E2EAC">
        <w:rPr>
          <w:rFonts w:eastAsia="Trebuchet MS"/>
          <w:color w:val="000000"/>
          <w:spacing w:val="2"/>
        </w:rPr>
        <w:t>4</w:t>
      </w:r>
    </w:p>
    <w:p w14:paraId="7CF180CC" w14:textId="3F66D02F" w:rsidR="00557E9F" w:rsidRPr="001F1A6D" w:rsidRDefault="001F1A6D"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1"/>
        </w:rPr>
      </w:pPr>
      <w:r>
        <w:rPr>
          <w:rFonts w:eastAsia="Trebuchet MS"/>
          <w:color w:val="000000"/>
          <w:spacing w:val="-1"/>
        </w:rPr>
        <w:t>FEASIBILITY</w:t>
      </w:r>
      <w:r>
        <w:rPr>
          <w:rFonts w:eastAsia="Trebuchet MS"/>
          <w:color w:val="000000"/>
          <w:spacing w:val="-1"/>
        </w:rPr>
        <w:tab/>
      </w:r>
      <w:r w:rsidR="002141FE">
        <w:rPr>
          <w:rFonts w:eastAsia="Trebuchet MS"/>
          <w:color w:val="000000"/>
          <w:spacing w:val="-1"/>
        </w:rPr>
        <w:tab/>
      </w:r>
      <w:r w:rsidR="00A4573A">
        <w:rPr>
          <w:rFonts w:eastAsia="Trebuchet MS"/>
          <w:color w:val="000000"/>
          <w:spacing w:val="-1"/>
        </w:rPr>
        <w:t>7</w:t>
      </w:r>
    </w:p>
    <w:p w14:paraId="57E71382" w14:textId="77777777" w:rsidR="00557E9F" w:rsidRDefault="00557E9F">
      <w:pPr>
        <w:sectPr w:rsidR="00557E9F">
          <w:headerReference w:type="even" r:id="rId9"/>
          <w:headerReference w:type="default" r:id="rId10"/>
          <w:footerReference w:type="default" r:id="rId11"/>
          <w:headerReference w:type="first" r:id="rId12"/>
          <w:pgSz w:w="12240" w:h="15840"/>
          <w:pgMar w:top="1920" w:right="1427" w:bottom="7804" w:left="1433" w:header="720" w:footer="720" w:gutter="0"/>
          <w:cols w:space="720"/>
        </w:sectPr>
      </w:pPr>
    </w:p>
    <w:p w14:paraId="56E456BD" w14:textId="304E8C3F" w:rsidR="00557E9F" w:rsidRPr="001F1A6D" w:rsidRDefault="000E29AF" w:rsidP="005E2301">
      <w:pPr>
        <w:textAlignment w:val="baseline"/>
        <w:rPr>
          <w:rFonts w:eastAsia="Trebuchet MS"/>
          <w:color w:val="000000"/>
        </w:rPr>
      </w:pPr>
      <w:r w:rsidRPr="004302AD">
        <w:rPr>
          <w:rFonts w:eastAsia="Trebuchet MS"/>
          <w:color w:val="000000"/>
        </w:rPr>
        <w:lastRenderedPageBreak/>
        <w:t>May 2</w:t>
      </w:r>
      <w:r w:rsidR="001517E2" w:rsidRPr="004302AD">
        <w:rPr>
          <w:rFonts w:eastAsia="Trebuchet MS"/>
          <w:color w:val="000000"/>
        </w:rPr>
        <w:t>5</w:t>
      </w:r>
      <w:r w:rsidRPr="004302AD">
        <w:rPr>
          <w:rFonts w:eastAsia="Trebuchet MS"/>
          <w:color w:val="000000"/>
        </w:rPr>
        <w:t>, 2023</w:t>
      </w:r>
    </w:p>
    <w:p w14:paraId="41329027" w14:textId="77777777" w:rsidR="00794058" w:rsidRDefault="00794058" w:rsidP="001F1A6D">
      <w:pPr>
        <w:ind w:right="6048"/>
        <w:textAlignment w:val="baseline"/>
        <w:rPr>
          <w:rFonts w:eastAsia="Trebuchet MS"/>
          <w:color w:val="000000"/>
        </w:rPr>
      </w:pPr>
    </w:p>
    <w:p w14:paraId="06734B9C" w14:textId="4989B20B" w:rsidR="000339A6" w:rsidRDefault="000339A6" w:rsidP="00BB2F09">
      <w:pPr>
        <w:ind w:right="4860"/>
        <w:textAlignment w:val="baseline"/>
        <w:rPr>
          <w:rFonts w:eastAsia="Trebuchet MS"/>
          <w:bCs/>
          <w:color w:val="000000"/>
        </w:rPr>
      </w:pPr>
      <w:r>
        <w:rPr>
          <w:rFonts w:eastAsia="Trebuchet MS"/>
          <w:bCs/>
          <w:color w:val="000000"/>
        </w:rPr>
        <w:t xml:space="preserve">Mr. </w:t>
      </w:r>
      <w:r w:rsidR="00B003B2">
        <w:rPr>
          <w:rFonts w:eastAsia="Trebuchet MS"/>
          <w:bCs/>
          <w:color w:val="000000"/>
        </w:rPr>
        <w:t>Carey B. McRae</w:t>
      </w:r>
    </w:p>
    <w:p w14:paraId="1827633D" w14:textId="1D14D6F5" w:rsidR="00E373D0" w:rsidRDefault="00B003B2" w:rsidP="00B003B2">
      <w:pPr>
        <w:ind w:right="5040"/>
        <w:textAlignment w:val="baseline"/>
        <w:rPr>
          <w:rFonts w:eastAsia="Trebuchet MS"/>
          <w:bCs/>
          <w:color w:val="000000"/>
        </w:rPr>
      </w:pPr>
      <w:r>
        <w:rPr>
          <w:rFonts w:eastAsia="Trebuchet MS"/>
          <w:bCs/>
          <w:color w:val="000000"/>
        </w:rPr>
        <w:t>Associate General Counsel, State Regulatory &amp; Compliance</w:t>
      </w:r>
    </w:p>
    <w:p w14:paraId="75DDDF96" w14:textId="24B4C5F2" w:rsidR="00BB2F09" w:rsidRDefault="00704F71" w:rsidP="001F1A6D">
      <w:pPr>
        <w:ind w:right="6048"/>
        <w:textAlignment w:val="baseline"/>
        <w:rPr>
          <w:rFonts w:eastAsia="Trebuchet MS"/>
          <w:color w:val="000000"/>
        </w:rPr>
      </w:pPr>
      <w:r>
        <w:rPr>
          <w:rFonts w:eastAsia="Trebuchet MS"/>
          <w:bCs/>
          <w:color w:val="000000"/>
        </w:rPr>
        <w:t>Encompass</w:t>
      </w:r>
      <w:r w:rsidR="00BB2F09">
        <w:rPr>
          <w:rFonts w:eastAsia="Trebuchet MS"/>
          <w:bCs/>
          <w:color w:val="000000"/>
        </w:rPr>
        <w:t xml:space="preserve"> Health </w:t>
      </w:r>
      <w:r w:rsidR="00931C4F">
        <w:rPr>
          <w:rFonts w:eastAsia="Trebuchet MS"/>
          <w:bCs/>
          <w:color w:val="000000"/>
        </w:rPr>
        <w:t>Corporation</w:t>
      </w:r>
    </w:p>
    <w:p w14:paraId="39B2E01C" w14:textId="1DE779AA" w:rsidR="00F27CC6" w:rsidRDefault="00931C4F" w:rsidP="001F1A6D">
      <w:pPr>
        <w:ind w:right="6048"/>
        <w:textAlignment w:val="baseline"/>
        <w:rPr>
          <w:rFonts w:eastAsia="Trebuchet MS"/>
          <w:color w:val="000000"/>
        </w:rPr>
      </w:pPr>
      <w:r>
        <w:rPr>
          <w:rFonts w:eastAsia="Trebuchet MS"/>
          <w:color w:val="000000"/>
        </w:rPr>
        <w:t>9001 Liberty Parkway</w:t>
      </w:r>
    </w:p>
    <w:p w14:paraId="3BB2381E" w14:textId="3E676F85" w:rsidR="00557E9F" w:rsidRDefault="00931C4F" w:rsidP="001F1A6D">
      <w:pPr>
        <w:ind w:right="6048"/>
        <w:textAlignment w:val="baseline"/>
        <w:rPr>
          <w:rFonts w:eastAsia="Trebuchet MS"/>
          <w:color w:val="000000"/>
        </w:rPr>
      </w:pPr>
      <w:r>
        <w:rPr>
          <w:rFonts w:eastAsia="Trebuchet MS"/>
          <w:color w:val="000000"/>
        </w:rPr>
        <w:t>Birmingham</w:t>
      </w:r>
      <w:r w:rsidR="00003594" w:rsidRPr="001F1A6D">
        <w:rPr>
          <w:rFonts w:eastAsia="Trebuchet MS"/>
          <w:color w:val="000000"/>
        </w:rPr>
        <w:t xml:space="preserve">, </w:t>
      </w:r>
      <w:r>
        <w:rPr>
          <w:rFonts w:eastAsia="Trebuchet MS"/>
          <w:color w:val="000000"/>
        </w:rPr>
        <w:t>AL</w:t>
      </w:r>
      <w:r w:rsidR="00003594" w:rsidRPr="001F1A6D">
        <w:rPr>
          <w:rFonts w:eastAsia="Trebuchet MS"/>
          <w:color w:val="000000"/>
        </w:rPr>
        <w:t xml:space="preserve"> </w:t>
      </w:r>
      <w:r>
        <w:rPr>
          <w:rFonts w:eastAsia="Trebuchet MS"/>
          <w:color w:val="000000"/>
        </w:rPr>
        <w:t>35242</w:t>
      </w:r>
    </w:p>
    <w:p w14:paraId="3F1FAEF1" w14:textId="77777777" w:rsidR="001F1A6D" w:rsidRPr="001F1A6D" w:rsidRDefault="001F1A6D" w:rsidP="001F1A6D">
      <w:pPr>
        <w:ind w:right="6048"/>
        <w:textAlignment w:val="baseline"/>
        <w:rPr>
          <w:rFonts w:eastAsia="Trebuchet MS"/>
          <w:color w:val="000000"/>
        </w:rPr>
      </w:pPr>
    </w:p>
    <w:p w14:paraId="3D871770" w14:textId="77777777" w:rsidR="00557E9F" w:rsidRPr="001F1A6D" w:rsidRDefault="00003594" w:rsidP="0098664F">
      <w:pPr>
        <w:tabs>
          <w:tab w:val="left" w:pos="720"/>
        </w:tabs>
        <w:textAlignment w:val="baseline"/>
        <w:rPr>
          <w:rFonts w:eastAsia="Trebuchet MS"/>
          <w:b/>
          <w:color w:val="000000"/>
          <w:spacing w:val="-1"/>
        </w:rPr>
      </w:pPr>
      <w:r w:rsidRPr="001F1A6D">
        <w:rPr>
          <w:rFonts w:eastAsia="Trebuchet MS"/>
          <w:b/>
          <w:color w:val="000000"/>
          <w:spacing w:val="-1"/>
        </w:rPr>
        <w:t>RE:</w:t>
      </w:r>
      <w:r w:rsidRPr="001F1A6D">
        <w:rPr>
          <w:rFonts w:eastAsia="Trebuchet MS"/>
          <w:b/>
          <w:color w:val="000000"/>
          <w:spacing w:val="-1"/>
        </w:rPr>
        <w:tab/>
        <w:t>Analysis of the Reasonableness of Assumptions and Projections Used to Support the</w:t>
      </w:r>
    </w:p>
    <w:p w14:paraId="029AECE6" w14:textId="65F3BDB1" w:rsidR="00557E9F" w:rsidRPr="000557B5" w:rsidRDefault="00003594" w:rsidP="0098664F">
      <w:pPr>
        <w:spacing w:before="4" w:line="254" w:lineRule="exact"/>
        <w:ind w:left="720"/>
        <w:textAlignment w:val="baseline"/>
        <w:rPr>
          <w:rFonts w:eastAsia="Trebuchet MS"/>
          <w:b/>
          <w:color w:val="000000"/>
        </w:rPr>
      </w:pPr>
      <w:r w:rsidRPr="001F1A6D">
        <w:rPr>
          <w:rFonts w:eastAsia="Trebuchet MS"/>
          <w:b/>
          <w:color w:val="000000"/>
        </w:rPr>
        <w:t xml:space="preserve">Financial Feasibility and Sustainability </w:t>
      </w:r>
      <w:r w:rsidRPr="000557B5">
        <w:rPr>
          <w:rFonts w:eastAsia="Trebuchet MS"/>
          <w:b/>
          <w:color w:val="000000"/>
        </w:rPr>
        <w:t xml:space="preserve">of the Proposed </w:t>
      </w:r>
      <w:r w:rsidR="00F26196">
        <w:rPr>
          <w:rFonts w:eastAsia="Trebuchet MS"/>
          <w:b/>
          <w:color w:val="000000"/>
        </w:rPr>
        <w:t>Addition</w:t>
      </w:r>
      <w:r w:rsidR="00A346FC">
        <w:rPr>
          <w:rFonts w:eastAsia="Trebuchet MS"/>
          <w:b/>
          <w:color w:val="000000"/>
        </w:rPr>
        <w:t xml:space="preserve"> of </w:t>
      </w:r>
      <w:r w:rsidR="00F26196">
        <w:rPr>
          <w:rFonts w:eastAsia="Trebuchet MS"/>
          <w:b/>
          <w:color w:val="000000"/>
        </w:rPr>
        <w:t>Seventeen</w:t>
      </w:r>
      <w:r w:rsidR="00A346FC">
        <w:rPr>
          <w:rFonts w:eastAsia="Trebuchet MS"/>
          <w:b/>
          <w:color w:val="000000"/>
        </w:rPr>
        <w:t xml:space="preserve"> </w:t>
      </w:r>
      <w:r w:rsidR="005E5F36">
        <w:rPr>
          <w:rFonts w:eastAsia="Trebuchet MS"/>
          <w:b/>
          <w:color w:val="000000"/>
        </w:rPr>
        <w:t>(</w:t>
      </w:r>
      <w:r w:rsidR="00F26196">
        <w:rPr>
          <w:rFonts w:eastAsia="Trebuchet MS"/>
          <w:b/>
          <w:color w:val="000000"/>
        </w:rPr>
        <w:t>17</w:t>
      </w:r>
      <w:r w:rsidR="005E5F36">
        <w:rPr>
          <w:rFonts w:eastAsia="Trebuchet MS"/>
          <w:b/>
          <w:color w:val="000000"/>
        </w:rPr>
        <w:t xml:space="preserve">) </w:t>
      </w:r>
      <w:r w:rsidR="009D3564">
        <w:rPr>
          <w:rFonts w:eastAsia="Trebuchet MS"/>
          <w:b/>
          <w:color w:val="000000"/>
        </w:rPr>
        <w:t>Bed</w:t>
      </w:r>
      <w:r w:rsidR="00A346FC">
        <w:rPr>
          <w:rFonts w:eastAsia="Trebuchet MS"/>
          <w:b/>
          <w:color w:val="000000"/>
        </w:rPr>
        <w:t>s</w:t>
      </w:r>
      <w:r w:rsidR="009D3564">
        <w:rPr>
          <w:rFonts w:eastAsia="Trebuchet MS"/>
          <w:b/>
          <w:color w:val="000000"/>
        </w:rPr>
        <w:t xml:space="preserve"> </w:t>
      </w:r>
      <w:r w:rsidR="00F26196">
        <w:rPr>
          <w:rFonts w:eastAsia="Trebuchet MS"/>
          <w:b/>
          <w:color w:val="000000"/>
        </w:rPr>
        <w:t>to</w:t>
      </w:r>
      <w:r w:rsidR="009D3564">
        <w:rPr>
          <w:rFonts w:eastAsia="Trebuchet MS"/>
          <w:b/>
          <w:color w:val="000000"/>
        </w:rPr>
        <w:t xml:space="preserve"> </w:t>
      </w:r>
      <w:r w:rsidR="00704F71">
        <w:rPr>
          <w:rFonts w:eastAsia="Trebuchet MS"/>
          <w:b/>
          <w:color w:val="000000"/>
        </w:rPr>
        <w:t>Encompass</w:t>
      </w:r>
      <w:r w:rsidR="009D3564">
        <w:rPr>
          <w:rFonts w:eastAsia="Trebuchet MS"/>
          <w:b/>
          <w:color w:val="000000"/>
        </w:rPr>
        <w:t xml:space="preserve"> Health Rehabilitation Hospital of </w:t>
      </w:r>
      <w:r w:rsidR="00190BB7">
        <w:rPr>
          <w:rFonts w:eastAsia="Trebuchet MS"/>
          <w:b/>
          <w:color w:val="000000"/>
        </w:rPr>
        <w:t>Western Massachusetts</w:t>
      </w:r>
      <w:r w:rsidR="009D3564">
        <w:rPr>
          <w:rFonts w:eastAsia="Trebuchet MS"/>
          <w:b/>
          <w:color w:val="000000"/>
        </w:rPr>
        <w:t>,</w:t>
      </w:r>
      <w:r w:rsidR="00190BB7">
        <w:rPr>
          <w:rFonts w:eastAsia="Trebuchet MS"/>
          <w:b/>
          <w:color w:val="000000"/>
        </w:rPr>
        <w:t xml:space="preserve"> LLC in Ludlow,</w:t>
      </w:r>
      <w:r w:rsidR="009D3564">
        <w:rPr>
          <w:rFonts w:eastAsia="Trebuchet MS"/>
          <w:b/>
          <w:color w:val="000000"/>
        </w:rPr>
        <w:t xml:space="preserve"> MA</w:t>
      </w:r>
      <w:r w:rsidR="00190BB7">
        <w:rPr>
          <w:rFonts w:eastAsia="Trebuchet MS"/>
          <w:b/>
          <w:color w:val="000000"/>
        </w:rPr>
        <w:t>.</w:t>
      </w:r>
    </w:p>
    <w:p w14:paraId="0C7ED26E" w14:textId="77777777" w:rsidR="001F1A6D" w:rsidRPr="000557B5" w:rsidRDefault="001F1A6D">
      <w:pPr>
        <w:spacing w:before="4" w:line="254" w:lineRule="exact"/>
        <w:ind w:left="720"/>
        <w:jc w:val="both"/>
        <w:textAlignment w:val="baseline"/>
        <w:rPr>
          <w:rFonts w:eastAsia="Trebuchet MS"/>
          <w:b/>
          <w:color w:val="000000"/>
        </w:rPr>
      </w:pPr>
    </w:p>
    <w:p w14:paraId="785B7324" w14:textId="23D0F7DA" w:rsidR="00557E9F" w:rsidRPr="000557B5" w:rsidRDefault="00003594" w:rsidP="00480E87">
      <w:pPr>
        <w:textAlignment w:val="baseline"/>
        <w:rPr>
          <w:rFonts w:eastAsia="Trebuchet MS"/>
          <w:color w:val="000000"/>
          <w:spacing w:val="-1"/>
        </w:rPr>
      </w:pPr>
      <w:r w:rsidRPr="000557B5">
        <w:rPr>
          <w:rFonts w:eastAsia="Trebuchet MS"/>
          <w:color w:val="000000"/>
          <w:spacing w:val="-1"/>
        </w:rPr>
        <w:t>Dear</w:t>
      </w:r>
      <w:r w:rsidR="000339A6">
        <w:rPr>
          <w:rFonts w:eastAsia="Trebuchet MS"/>
          <w:color w:val="000000"/>
          <w:spacing w:val="-1"/>
        </w:rPr>
        <w:t xml:space="preserve"> Mr. </w:t>
      </w:r>
      <w:r w:rsidR="00C270F5">
        <w:rPr>
          <w:rFonts w:eastAsia="Trebuchet MS"/>
          <w:color w:val="000000"/>
          <w:spacing w:val="-1"/>
        </w:rPr>
        <w:t>McRae</w:t>
      </w:r>
      <w:r w:rsidRPr="000557B5">
        <w:rPr>
          <w:rFonts w:eastAsia="Trebuchet MS"/>
          <w:color w:val="000000"/>
          <w:spacing w:val="-1"/>
        </w:rPr>
        <w:t>:</w:t>
      </w:r>
    </w:p>
    <w:p w14:paraId="675D3137" w14:textId="77777777" w:rsidR="001F1A6D" w:rsidRPr="000557B5" w:rsidRDefault="001F1A6D" w:rsidP="00480E87">
      <w:pPr>
        <w:textAlignment w:val="baseline"/>
        <w:rPr>
          <w:rFonts w:eastAsia="Trebuchet MS"/>
          <w:color w:val="000000"/>
          <w:spacing w:val="-1"/>
        </w:rPr>
      </w:pPr>
    </w:p>
    <w:p w14:paraId="7D35F35A" w14:textId="2C0B2290" w:rsidR="00557E9F" w:rsidRDefault="00F85C2C" w:rsidP="00480E87">
      <w:pPr>
        <w:textAlignment w:val="baseline"/>
        <w:rPr>
          <w:rFonts w:eastAsia="Trebuchet MS"/>
          <w:color w:val="000000"/>
        </w:rPr>
      </w:pPr>
      <w:r w:rsidRPr="000557B5">
        <w:rPr>
          <w:rFonts w:eastAsia="Trebuchet MS"/>
          <w:color w:val="000000"/>
        </w:rPr>
        <w:t>I</w:t>
      </w:r>
      <w:r w:rsidR="00003594" w:rsidRPr="000557B5">
        <w:rPr>
          <w:rFonts w:eastAsia="Trebuchet MS"/>
          <w:color w:val="000000"/>
        </w:rPr>
        <w:t xml:space="preserve"> have performed an analysis of the financial projections prepared by </w:t>
      </w:r>
      <w:r w:rsidR="00704F71">
        <w:rPr>
          <w:rFonts w:eastAsia="Trebuchet MS"/>
          <w:color w:val="000000"/>
        </w:rPr>
        <w:t>Encompass</w:t>
      </w:r>
      <w:r w:rsidR="007D1DAF">
        <w:rPr>
          <w:rFonts w:eastAsia="Trebuchet MS"/>
          <w:color w:val="000000"/>
        </w:rPr>
        <w:t xml:space="preserve"> Health</w:t>
      </w:r>
      <w:r w:rsidR="00BD47BE">
        <w:rPr>
          <w:rFonts w:eastAsia="Trebuchet MS"/>
          <w:color w:val="000000"/>
        </w:rPr>
        <w:t xml:space="preserve"> </w:t>
      </w:r>
      <w:r w:rsidR="00C270F5">
        <w:rPr>
          <w:rFonts w:eastAsia="Trebuchet MS"/>
          <w:color w:val="000000"/>
        </w:rPr>
        <w:t xml:space="preserve">Corporation </w:t>
      </w:r>
      <w:r w:rsidR="00BD47BE">
        <w:rPr>
          <w:rFonts w:eastAsia="Trebuchet MS"/>
          <w:color w:val="000000"/>
        </w:rPr>
        <w:t>(“</w:t>
      </w:r>
      <w:r w:rsidR="00704F71">
        <w:rPr>
          <w:rFonts w:eastAsia="Trebuchet MS"/>
          <w:color w:val="000000"/>
        </w:rPr>
        <w:t>Encompass</w:t>
      </w:r>
      <w:r w:rsidR="00BD47BE">
        <w:rPr>
          <w:rFonts w:eastAsia="Trebuchet MS"/>
          <w:color w:val="000000"/>
        </w:rPr>
        <w:t>”</w:t>
      </w:r>
      <w:r w:rsidR="00C270F5">
        <w:rPr>
          <w:rFonts w:eastAsia="Trebuchet MS"/>
          <w:color w:val="000000"/>
        </w:rPr>
        <w:t>)</w:t>
      </w:r>
      <w:r w:rsidR="007D1DAF">
        <w:rPr>
          <w:rFonts w:eastAsia="Trebuchet MS"/>
          <w:color w:val="000000"/>
        </w:rPr>
        <w:t xml:space="preserve"> </w:t>
      </w:r>
      <w:r w:rsidR="00003594" w:rsidRPr="000557B5">
        <w:rPr>
          <w:rFonts w:eastAsia="Trebuchet MS"/>
          <w:color w:val="000000"/>
        </w:rPr>
        <w:t>detailing the projected</w:t>
      </w:r>
      <w:r w:rsidR="000909DA">
        <w:rPr>
          <w:rFonts w:eastAsia="Trebuchet MS"/>
          <w:color w:val="000000"/>
        </w:rPr>
        <w:t xml:space="preserve"> </w:t>
      </w:r>
      <w:r w:rsidR="00441820">
        <w:rPr>
          <w:rFonts w:eastAsia="Trebuchet MS"/>
          <w:color w:val="000000"/>
        </w:rPr>
        <w:t>operations related to the 17-</w:t>
      </w:r>
      <w:r w:rsidR="00C270F5">
        <w:rPr>
          <w:rFonts w:eastAsia="Trebuchet MS"/>
          <w:color w:val="000000"/>
        </w:rPr>
        <w:t xml:space="preserve">bed </w:t>
      </w:r>
      <w:r w:rsidR="00190BB7">
        <w:rPr>
          <w:rFonts w:eastAsia="Trebuchet MS"/>
          <w:color w:val="000000"/>
        </w:rPr>
        <w:t>addition</w:t>
      </w:r>
      <w:r w:rsidR="000339A6">
        <w:rPr>
          <w:rFonts w:eastAsia="Trebuchet MS"/>
          <w:color w:val="000000"/>
        </w:rPr>
        <w:t xml:space="preserve"> </w:t>
      </w:r>
      <w:r w:rsidR="00A74F85">
        <w:rPr>
          <w:rFonts w:eastAsia="Trebuchet MS"/>
          <w:color w:val="000000"/>
        </w:rPr>
        <w:t>project</w:t>
      </w:r>
      <w:r w:rsidR="00441820">
        <w:rPr>
          <w:rFonts w:eastAsia="Trebuchet MS"/>
          <w:color w:val="000000"/>
        </w:rPr>
        <w:t xml:space="preserve"> at Encompass Health Rehabilitation Hospital of Western Massachusetts, LLC in Ludlow, Massachusetts (“Encompass Western Mass” or the “Hospital”)</w:t>
      </w:r>
      <w:r w:rsidR="00147A95">
        <w:rPr>
          <w:rFonts w:eastAsia="Trebuchet MS"/>
          <w:color w:val="000000"/>
        </w:rPr>
        <w:t>.</w:t>
      </w:r>
      <w:r w:rsidR="001C5398">
        <w:rPr>
          <w:rFonts w:eastAsia="Trebuchet MS"/>
          <w:color w:val="000000"/>
        </w:rPr>
        <w:t xml:space="preserve"> </w:t>
      </w:r>
      <w:r w:rsidR="00003594" w:rsidRPr="000557B5">
        <w:rPr>
          <w:rFonts w:eastAsia="Trebuchet MS"/>
          <w:color w:val="000000"/>
        </w:rPr>
        <w:t xml:space="preserve">This report details </w:t>
      </w:r>
      <w:r w:rsidRPr="000557B5">
        <w:rPr>
          <w:rFonts w:eastAsia="Trebuchet MS"/>
          <w:color w:val="000000"/>
        </w:rPr>
        <w:t>my</w:t>
      </w:r>
      <w:r w:rsidR="00003594" w:rsidRPr="000557B5">
        <w:rPr>
          <w:rFonts w:eastAsia="Trebuchet MS"/>
          <w:color w:val="000000"/>
        </w:rPr>
        <w:t xml:space="preserve"> analysis and findings with regards to the reasonableness of assumptions used in the preparation and feasibility of</w:t>
      </w:r>
      <w:r w:rsidR="00FB1F7E" w:rsidRPr="000557B5">
        <w:rPr>
          <w:rFonts w:eastAsia="Trebuchet MS"/>
          <w:color w:val="000000"/>
        </w:rPr>
        <w:t xml:space="preserve"> </w:t>
      </w:r>
      <w:r w:rsidR="00003594" w:rsidRPr="000557B5">
        <w:rPr>
          <w:rFonts w:eastAsia="Trebuchet MS"/>
          <w:color w:val="000000"/>
        </w:rPr>
        <w:t xml:space="preserve">the projected financial information of </w:t>
      </w:r>
      <w:r w:rsidR="00704F71">
        <w:rPr>
          <w:rFonts w:eastAsia="Trebuchet MS"/>
          <w:color w:val="000000"/>
        </w:rPr>
        <w:t>Encompass</w:t>
      </w:r>
      <w:r w:rsidR="006567B8">
        <w:rPr>
          <w:rFonts w:eastAsia="Trebuchet MS"/>
          <w:color w:val="000000"/>
        </w:rPr>
        <w:t xml:space="preserve"> </w:t>
      </w:r>
      <w:r w:rsidR="00441820">
        <w:rPr>
          <w:rFonts w:eastAsia="Trebuchet MS"/>
          <w:color w:val="000000"/>
        </w:rPr>
        <w:t>Western Mass</w:t>
      </w:r>
      <w:r w:rsidR="0003524D">
        <w:rPr>
          <w:rFonts w:eastAsia="Trebuchet MS"/>
          <w:color w:val="000000"/>
        </w:rPr>
        <w:t>,</w:t>
      </w:r>
      <w:r w:rsidR="006567B8">
        <w:rPr>
          <w:rFonts w:eastAsia="Trebuchet MS"/>
          <w:color w:val="000000"/>
        </w:rPr>
        <w:t xml:space="preserve"> </w:t>
      </w:r>
      <w:r w:rsidR="00003594" w:rsidRPr="000557B5">
        <w:rPr>
          <w:rFonts w:eastAsia="Trebuchet MS"/>
          <w:color w:val="000000"/>
        </w:rPr>
        <w:t xml:space="preserve">as prepared by the management of </w:t>
      </w:r>
      <w:r w:rsidR="00704F71">
        <w:rPr>
          <w:rFonts w:eastAsia="Trebuchet MS"/>
          <w:color w:val="000000"/>
        </w:rPr>
        <w:t>Encompass</w:t>
      </w:r>
      <w:r w:rsidR="006567B8">
        <w:rPr>
          <w:rFonts w:eastAsia="Trebuchet MS"/>
          <w:color w:val="000000"/>
        </w:rPr>
        <w:t xml:space="preserve"> </w:t>
      </w:r>
      <w:r w:rsidR="00003594" w:rsidRPr="000557B5">
        <w:rPr>
          <w:rFonts w:eastAsia="Trebuchet MS"/>
          <w:color w:val="000000"/>
        </w:rPr>
        <w:t xml:space="preserve">(“Management”). This report is to be </w:t>
      </w:r>
      <w:r w:rsidR="00071DF5">
        <w:rPr>
          <w:rFonts w:eastAsia="Trebuchet MS"/>
          <w:color w:val="000000"/>
        </w:rPr>
        <w:t>us</w:t>
      </w:r>
      <w:r w:rsidR="00003594" w:rsidRPr="000557B5">
        <w:rPr>
          <w:rFonts w:eastAsia="Trebuchet MS"/>
          <w:color w:val="000000"/>
        </w:rPr>
        <w:t xml:space="preserve">ed by </w:t>
      </w:r>
      <w:r w:rsidR="00704F71">
        <w:rPr>
          <w:rFonts w:eastAsia="Trebuchet MS"/>
          <w:color w:val="000000"/>
        </w:rPr>
        <w:t>Encompass</w:t>
      </w:r>
      <w:r w:rsidR="001C5398">
        <w:rPr>
          <w:rFonts w:eastAsia="Trebuchet MS"/>
          <w:color w:val="000000"/>
        </w:rPr>
        <w:t xml:space="preserve"> </w:t>
      </w:r>
      <w:r w:rsidR="00003594" w:rsidRPr="000557B5">
        <w:rPr>
          <w:rFonts w:eastAsia="Trebuchet MS"/>
          <w:color w:val="000000"/>
        </w:rPr>
        <w:t>i</w:t>
      </w:r>
      <w:r w:rsidR="00F61C01" w:rsidRPr="000557B5">
        <w:rPr>
          <w:rFonts w:eastAsia="Trebuchet MS"/>
          <w:color w:val="000000"/>
        </w:rPr>
        <w:t>n its Determination of Need (“Do</w:t>
      </w:r>
      <w:r w:rsidR="00003594" w:rsidRPr="000557B5">
        <w:rPr>
          <w:rFonts w:eastAsia="Trebuchet MS"/>
          <w:color w:val="000000"/>
        </w:rPr>
        <w:t>N”)</w:t>
      </w:r>
      <w:r w:rsidR="00003594" w:rsidRPr="001F1A6D">
        <w:rPr>
          <w:rFonts w:eastAsia="Trebuchet MS"/>
          <w:color w:val="000000"/>
        </w:rPr>
        <w:t xml:space="preserve"> Application – Factor 4(a) and should not be distributed or relied upon for any other purpose.</w:t>
      </w:r>
    </w:p>
    <w:p w14:paraId="19C5C4E0" w14:textId="77777777" w:rsidR="001F1A6D" w:rsidRPr="001F1A6D" w:rsidRDefault="001F1A6D" w:rsidP="001F1A6D">
      <w:pPr>
        <w:jc w:val="both"/>
        <w:textAlignment w:val="baseline"/>
        <w:rPr>
          <w:rFonts w:eastAsia="Trebuchet MS"/>
          <w:color w:val="000000"/>
        </w:rPr>
      </w:pPr>
    </w:p>
    <w:p w14:paraId="531E7E8B" w14:textId="1FE0B9D3" w:rsidR="00557E9F" w:rsidRPr="00A9626F" w:rsidRDefault="00003594"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t>EXECUTIVE SUMMARY</w:t>
      </w:r>
    </w:p>
    <w:p w14:paraId="53E98B0A" w14:textId="77777777" w:rsidR="00480E87" w:rsidRPr="001F1A6D" w:rsidRDefault="00480E87" w:rsidP="00480E87">
      <w:pPr>
        <w:pStyle w:val="ListParagraph"/>
        <w:tabs>
          <w:tab w:val="left" w:pos="720"/>
        </w:tabs>
        <w:ind w:left="810"/>
        <w:jc w:val="both"/>
        <w:textAlignment w:val="baseline"/>
        <w:rPr>
          <w:rFonts w:eastAsia="Trebuchet MS"/>
          <w:b/>
          <w:color w:val="000000"/>
          <w:u w:val="single"/>
        </w:rPr>
      </w:pPr>
    </w:p>
    <w:p w14:paraId="4187D1BB" w14:textId="1D70FDA2" w:rsidR="00557E9F" w:rsidRPr="001F3A78" w:rsidRDefault="00003594" w:rsidP="00480E87">
      <w:pPr>
        <w:textAlignment w:val="baseline"/>
        <w:rPr>
          <w:rFonts w:eastAsia="Trebuchet MS"/>
          <w:color w:val="000000"/>
        </w:rPr>
      </w:pPr>
      <w:r w:rsidRPr="001F1A6D">
        <w:rPr>
          <w:rFonts w:eastAsia="Trebuchet MS"/>
          <w:color w:val="000000"/>
          <w:spacing w:val="-2"/>
        </w:rPr>
        <w:t xml:space="preserve">The scope of </w:t>
      </w:r>
      <w:r w:rsidR="00F85C2C">
        <w:rPr>
          <w:rFonts w:eastAsia="Trebuchet MS"/>
          <w:color w:val="000000"/>
          <w:spacing w:val="-2"/>
        </w:rPr>
        <w:t>my</w:t>
      </w:r>
      <w:r w:rsidRPr="001F1A6D">
        <w:rPr>
          <w:rFonts w:eastAsia="Trebuchet MS"/>
          <w:color w:val="000000"/>
          <w:spacing w:val="-2"/>
        </w:rPr>
        <w:t xml:space="preserve"> analysis was limited to the five</w:t>
      </w:r>
      <w:r w:rsidR="0027729E">
        <w:rPr>
          <w:rFonts w:eastAsia="Trebuchet MS"/>
          <w:color w:val="000000"/>
          <w:spacing w:val="-2"/>
        </w:rPr>
        <w:t>-</w:t>
      </w:r>
      <w:r w:rsidRPr="001F1A6D">
        <w:rPr>
          <w:rFonts w:eastAsia="Trebuchet MS"/>
          <w:color w:val="000000"/>
          <w:spacing w:val="-2"/>
        </w:rPr>
        <w:t xml:space="preserve">year financial projections (the “Projections”) prepared by </w:t>
      </w:r>
      <w:r w:rsidR="00704F71">
        <w:rPr>
          <w:rFonts w:eastAsia="Trebuchet MS"/>
          <w:color w:val="000000"/>
          <w:spacing w:val="-2"/>
        </w:rPr>
        <w:t>Encompass</w:t>
      </w:r>
      <w:r w:rsidR="00071DF5">
        <w:rPr>
          <w:rFonts w:eastAsia="Trebuchet MS"/>
          <w:color w:val="000000"/>
          <w:spacing w:val="-2"/>
        </w:rPr>
        <w:t xml:space="preserve"> </w:t>
      </w:r>
      <w:r w:rsidR="00441820">
        <w:rPr>
          <w:rFonts w:eastAsia="Trebuchet MS"/>
          <w:color w:val="000000"/>
          <w:spacing w:val="-2"/>
        </w:rPr>
        <w:t xml:space="preserve">for the operations </w:t>
      </w:r>
      <w:r w:rsidR="00A4573A">
        <w:rPr>
          <w:rFonts w:eastAsia="Trebuchet MS"/>
          <w:color w:val="000000"/>
          <w:spacing w:val="-2"/>
        </w:rPr>
        <w:t xml:space="preserve">of </w:t>
      </w:r>
      <w:r w:rsidR="00441820">
        <w:rPr>
          <w:rFonts w:eastAsia="Trebuchet MS"/>
          <w:color w:val="000000"/>
          <w:spacing w:val="-2"/>
        </w:rPr>
        <w:t xml:space="preserve">Encompass Western Mass </w:t>
      </w:r>
      <w:r w:rsidRPr="001F1A6D">
        <w:rPr>
          <w:rFonts w:eastAsia="Trebuchet MS"/>
          <w:color w:val="000000"/>
          <w:spacing w:val="-2"/>
        </w:rPr>
        <w:t xml:space="preserve">as </w:t>
      </w:r>
      <w:r w:rsidR="00FB1F7E">
        <w:rPr>
          <w:rFonts w:eastAsia="Trebuchet MS"/>
          <w:color w:val="000000"/>
          <w:spacing w:val="-2"/>
        </w:rPr>
        <w:t>we</w:t>
      </w:r>
      <w:r w:rsidRPr="001F1A6D">
        <w:rPr>
          <w:rFonts w:eastAsia="Trebuchet MS"/>
          <w:color w:val="000000"/>
          <w:spacing w:val="-2"/>
        </w:rPr>
        <w:t xml:space="preserve">ll as </w:t>
      </w:r>
      <w:r w:rsidRPr="0003524D">
        <w:rPr>
          <w:rFonts w:eastAsia="Trebuchet MS"/>
          <w:color w:val="000000"/>
          <w:spacing w:val="-2"/>
        </w:rPr>
        <w:t>the actual operating results for</w:t>
      </w:r>
      <w:r w:rsidR="00001C1B">
        <w:rPr>
          <w:rFonts w:eastAsia="Trebuchet MS"/>
          <w:color w:val="000000"/>
          <w:spacing w:val="-2"/>
        </w:rPr>
        <w:t xml:space="preserve"> Encompass and</w:t>
      </w:r>
      <w:r w:rsidRPr="0003524D">
        <w:rPr>
          <w:rFonts w:eastAsia="Trebuchet MS"/>
          <w:color w:val="000000"/>
          <w:spacing w:val="-2"/>
        </w:rPr>
        <w:t xml:space="preserve"> </w:t>
      </w:r>
      <w:r w:rsidR="00704F71" w:rsidRPr="0003524D">
        <w:rPr>
          <w:rFonts w:eastAsia="Trebuchet MS"/>
          <w:color w:val="000000"/>
          <w:spacing w:val="-2"/>
        </w:rPr>
        <w:t>Encompass</w:t>
      </w:r>
      <w:r w:rsidR="0003524D" w:rsidRPr="0003524D">
        <w:rPr>
          <w:rFonts w:eastAsia="Trebuchet MS"/>
          <w:color w:val="000000"/>
          <w:spacing w:val="-2"/>
        </w:rPr>
        <w:t xml:space="preserve"> </w:t>
      </w:r>
      <w:r w:rsidR="00441820">
        <w:rPr>
          <w:rFonts w:eastAsia="Trebuchet MS"/>
          <w:color w:val="000000"/>
          <w:spacing w:val="-2"/>
        </w:rPr>
        <w:t xml:space="preserve">Western Mass </w:t>
      </w:r>
      <w:r w:rsidRPr="0003524D">
        <w:rPr>
          <w:rFonts w:eastAsia="Trebuchet MS"/>
          <w:color w:val="000000"/>
          <w:spacing w:val="-2"/>
        </w:rPr>
        <w:t>for the fiscal year</w:t>
      </w:r>
      <w:r w:rsidR="006F17DD" w:rsidRPr="0003524D">
        <w:rPr>
          <w:rFonts w:eastAsia="Trebuchet MS"/>
          <w:color w:val="000000"/>
          <w:spacing w:val="-2"/>
        </w:rPr>
        <w:t>s</w:t>
      </w:r>
      <w:r w:rsidRPr="0003524D">
        <w:rPr>
          <w:rFonts w:eastAsia="Trebuchet MS"/>
          <w:color w:val="000000"/>
          <w:spacing w:val="-2"/>
        </w:rPr>
        <w:t xml:space="preserve"> ended</w:t>
      </w:r>
      <w:r w:rsidR="006650D1" w:rsidRPr="0003524D">
        <w:rPr>
          <w:rFonts w:eastAsia="Trebuchet MS"/>
          <w:color w:val="000000"/>
          <w:spacing w:val="-2"/>
        </w:rPr>
        <w:t xml:space="preserve"> </w:t>
      </w:r>
      <w:r w:rsidR="00441820">
        <w:rPr>
          <w:rFonts w:eastAsia="Trebuchet MS"/>
          <w:color w:val="000000"/>
          <w:spacing w:val="-2"/>
        </w:rPr>
        <w:t xml:space="preserve">December 31, </w:t>
      </w:r>
      <w:r w:rsidRPr="0003524D">
        <w:rPr>
          <w:rFonts w:eastAsia="Trebuchet MS"/>
          <w:color w:val="000000"/>
          <w:spacing w:val="-2"/>
        </w:rPr>
        <w:t>20</w:t>
      </w:r>
      <w:r w:rsidR="00E95C5B" w:rsidRPr="0003524D">
        <w:rPr>
          <w:rFonts w:eastAsia="Trebuchet MS"/>
          <w:color w:val="000000"/>
          <w:spacing w:val="-2"/>
        </w:rPr>
        <w:t>2</w:t>
      </w:r>
      <w:r w:rsidR="00B71FAF" w:rsidRPr="0003524D">
        <w:rPr>
          <w:rFonts w:eastAsia="Trebuchet MS"/>
          <w:color w:val="000000"/>
          <w:spacing w:val="-2"/>
        </w:rPr>
        <w:t>1</w:t>
      </w:r>
      <w:r w:rsidRPr="0003524D">
        <w:rPr>
          <w:rFonts w:eastAsia="Trebuchet MS"/>
          <w:color w:val="000000"/>
          <w:spacing w:val="-2"/>
        </w:rPr>
        <w:t xml:space="preserve"> and 20</w:t>
      </w:r>
      <w:r w:rsidR="008B02D8" w:rsidRPr="0003524D">
        <w:rPr>
          <w:rFonts w:eastAsia="Trebuchet MS"/>
          <w:color w:val="000000"/>
          <w:spacing w:val="-2"/>
        </w:rPr>
        <w:t>2</w:t>
      </w:r>
      <w:r w:rsidR="00B71FAF" w:rsidRPr="0003524D">
        <w:rPr>
          <w:rFonts w:eastAsia="Trebuchet MS"/>
          <w:color w:val="000000"/>
          <w:spacing w:val="-2"/>
        </w:rPr>
        <w:t>2</w:t>
      </w:r>
      <w:r w:rsidRPr="0003524D">
        <w:rPr>
          <w:rFonts w:eastAsia="Trebuchet MS"/>
          <w:color w:val="000000"/>
          <w:spacing w:val="-2"/>
        </w:rPr>
        <w:t>, and the supporting documentation in order to render an opinion as to the reasonableness of</w:t>
      </w:r>
      <w:r w:rsidRPr="001F1A6D">
        <w:rPr>
          <w:rFonts w:eastAsia="Trebuchet MS"/>
          <w:color w:val="000000"/>
          <w:spacing w:val="-2"/>
        </w:rPr>
        <w:t xml:space="preserve"> assumptions used in</w:t>
      </w:r>
      <w:r w:rsidR="00480E87">
        <w:rPr>
          <w:rFonts w:eastAsia="Trebuchet MS"/>
          <w:color w:val="000000"/>
          <w:spacing w:val="-2"/>
        </w:rPr>
        <w:t xml:space="preserve"> </w:t>
      </w:r>
      <w:r w:rsidRPr="001F1A6D">
        <w:rPr>
          <w:rFonts w:eastAsia="Trebuchet MS"/>
          <w:color w:val="000000"/>
        </w:rPr>
        <w:t xml:space="preserve">the preparation and feasibility of the Projections with regards to the impact of </w:t>
      </w:r>
      <w:r w:rsidR="000909DA">
        <w:rPr>
          <w:rFonts w:eastAsia="Trebuchet MS"/>
          <w:color w:val="000000"/>
        </w:rPr>
        <w:t xml:space="preserve">the </w:t>
      </w:r>
      <w:r w:rsidR="00441820">
        <w:rPr>
          <w:rFonts w:eastAsia="Trebuchet MS"/>
          <w:color w:val="000000"/>
        </w:rPr>
        <w:t>17-</w:t>
      </w:r>
      <w:r w:rsidR="00704F71">
        <w:rPr>
          <w:rFonts w:eastAsia="Trebuchet MS"/>
          <w:color w:val="000000"/>
        </w:rPr>
        <w:t xml:space="preserve">bed </w:t>
      </w:r>
      <w:r w:rsidR="00190BB7">
        <w:rPr>
          <w:rFonts w:eastAsia="Trebuchet MS"/>
          <w:color w:val="000000"/>
        </w:rPr>
        <w:t>addition</w:t>
      </w:r>
      <w:r w:rsidR="00704F71">
        <w:rPr>
          <w:rFonts w:eastAsia="Trebuchet MS"/>
          <w:color w:val="000000"/>
        </w:rPr>
        <w:t xml:space="preserve"> </w:t>
      </w:r>
      <w:r w:rsidR="00A74F85">
        <w:rPr>
          <w:rFonts w:eastAsia="Trebuchet MS"/>
          <w:color w:val="000000"/>
        </w:rPr>
        <w:t xml:space="preserve">project </w:t>
      </w:r>
      <w:r w:rsidR="001C5398">
        <w:rPr>
          <w:rFonts w:eastAsia="Trebuchet MS"/>
          <w:color w:val="000000"/>
        </w:rPr>
        <w:t xml:space="preserve">at </w:t>
      </w:r>
      <w:r w:rsidR="00704F71">
        <w:rPr>
          <w:rFonts w:eastAsia="Trebuchet MS"/>
          <w:color w:val="000000"/>
        </w:rPr>
        <w:t>Encompass</w:t>
      </w:r>
      <w:r w:rsidR="00794058">
        <w:rPr>
          <w:rFonts w:eastAsia="Trebuchet MS"/>
          <w:color w:val="000000"/>
        </w:rPr>
        <w:t xml:space="preserve"> </w:t>
      </w:r>
      <w:r w:rsidR="00704F71">
        <w:rPr>
          <w:rFonts w:eastAsia="Trebuchet MS"/>
          <w:color w:val="000000"/>
        </w:rPr>
        <w:t>Health Rehabi</w:t>
      </w:r>
      <w:r w:rsidR="00794058">
        <w:rPr>
          <w:rFonts w:eastAsia="Trebuchet MS"/>
          <w:color w:val="000000"/>
        </w:rPr>
        <w:t>litation Hospital</w:t>
      </w:r>
      <w:r w:rsidR="005E5F36">
        <w:rPr>
          <w:rFonts w:eastAsia="Trebuchet MS"/>
          <w:color w:val="000000"/>
        </w:rPr>
        <w:t xml:space="preserve"> of </w:t>
      </w:r>
      <w:r w:rsidR="00190BB7">
        <w:rPr>
          <w:rFonts w:eastAsia="Trebuchet MS"/>
          <w:color w:val="000000"/>
        </w:rPr>
        <w:t>Western Massachusetts</w:t>
      </w:r>
      <w:r w:rsidR="005E5F36">
        <w:rPr>
          <w:rFonts w:eastAsia="Trebuchet MS"/>
          <w:color w:val="000000"/>
        </w:rPr>
        <w:t>, LLC</w:t>
      </w:r>
      <w:r w:rsidR="00441820">
        <w:rPr>
          <w:rFonts w:eastAsia="Trebuchet MS"/>
          <w:color w:val="000000"/>
        </w:rPr>
        <w:t xml:space="preserve"> in Ludlow, Massachusetts</w:t>
      </w:r>
      <w:r w:rsidR="009636CF">
        <w:rPr>
          <w:rFonts w:eastAsia="Trebuchet MS"/>
          <w:color w:val="000000"/>
        </w:rPr>
        <w:t>.</w:t>
      </w:r>
    </w:p>
    <w:p w14:paraId="1285B745" w14:textId="77777777" w:rsidR="00480E87" w:rsidRPr="001F3A78" w:rsidRDefault="00480E87" w:rsidP="00480E87">
      <w:pPr>
        <w:textAlignment w:val="baseline"/>
        <w:rPr>
          <w:rFonts w:eastAsia="Trebuchet MS"/>
          <w:color w:val="000000"/>
        </w:rPr>
      </w:pPr>
    </w:p>
    <w:p w14:paraId="17690147" w14:textId="35349BF8" w:rsidR="00A9626F" w:rsidRDefault="00174FC4" w:rsidP="000F1978">
      <w:pPr>
        <w:textAlignment w:val="baseline"/>
        <w:rPr>
          <w:rFonts w:eastAsia="Trebuchet MS"/>
          <w:color w:val="000000"/>
        </w:rPr>
      </w:pPr>
      <w:r>
        <w:rPr>
          <w:rFonts w:eastAsia="Trebuchet MS"/>
          <w:color w:val="000000"/>
        </w:rPr>
        <w:t xml:space="preserve">Within the projected financial information, the Projections exhibit a net pre-tax profit margin ranging from </w:t>
      </w:r>
      <w:r w:rsidR="00337F24" w:rsidRPr="00337F24">
        <w:rPr>
          <w:rFonts w:eastAsia="Trebuchet MS"/>
          <w:color w:val="000000"/>
        </w:rPr>
        <w:t>23.7</w:t>
      </w:r>
      <w:r w:rsidRPr="00337F24">
        <w:rPr>
          <w:rFonts w:eastAsia="Trebuchet MS"/>
          <w:color w:val="000000"/>
        </w:rPr>
        <w:t>% t</w:t>
      </w:r>
      <w:r w:rsidR="00DF6C9D" w:rsidRPr="00337F24">
        <w:rPr>
          <w:rFonts w:eastAsia="Trebuchet MS"/>
          <w:color w:val="000000"/>
        </w:rPr>
        <w:t xml:space="preserve">o </w:t>
      </w:r>
      <w:r w:rsidR="00337F24" w:rsidRPr="00337F24">
        <w:rPr>
          <w:rFonts w:eastAsia="Trebuchet MS"/>
          <w:color w:val="000000"/>
        </w:rPr>
        <w:t>20.2</w:t>
      </w:r>
      <w:r w:rsidRPr="00337F24">
        <w:rPr>
          <w:rFonts w:eastAsia="Trebuchet MS"/>
          <w:color w:val="000000"/>
        </w:rPr>
        <w:t xml:space="preserve">% for years </w:t>
      </w:r>
      <w:r w:rsidR="00BD47BE" w:rsidRPr="00337F24">
        <w:rPr>
          <w:rFonts w:eastAsia="Trebuchet MS"/>
          <w:color w:val="000000"/>
        </w:rPr>
        <w:t xml:space="preserve">ending </w:t>
      </w:r>
      <w:r w:rsidR="000E29AF">
        <w:rPr>
          <w:rFonts w:eastAsia="Trebuchet MS"/>
          <w:color w:val="000000"/>
        </w:rPr>
        <w:t xml:space="preserve">December 31, </w:t>
      </w:r>
      <w:r w:rsidR="00BD47BE" w:rsidRPr="00337F24">
        <w:rPr>
          <w:rFonts w:eastAsia="Trebuchet MS"/>
          <w:color w:val="000000"/>
        </w:rPr>
        <w:t xml:space="preserve">2025 </w:t>
      </w:r>
      <w:r w:rsidRPr="00337F24">
        <w:rPr>
          <w:rFonts w:eastAsia="Trebuchet MS"/>
          <w:color w:val="000000"/>
        </w:rPr>
        <w:t xml:space="preserve">through </w:t>
      </w:r>
      <w:r w:rsidR="00BD47BE" w:rsidRPr="00337F24">
        <w:rPr>
          <w:rFonts w:eastAsia="Trebuchet MS"/>
          <w:color w:val="000000"/>
        </w:rPr>
        <w:t>2029</w:t>
      </w:r>
      <w:r>
        <w:rPr>
          <w:rFonts w:eastAsia="Trebuchet MS"/>
          <w:color w:val="000000"/>
        </w:rPr>
        <w:t xml:space="preserve">. </w:t>
      </w:r>
      <w:r w:rsidR="000E29AF">
        <w:rPr>
          <w:rFonts w:eastAsia="Trebuchet MS"/>
          <w:color w:val="000000"/>
        </w:rPr>
        <w:t xml:space="preserve">The impact of the proposed capital project at Encompass Western Mass in Ludlow, MA, which is the subject of this DoN application, represents a relatively insignificant component of the actual operating revenues (approximately 1%) and actual financial position </w:t>
      </w:r>
      <w:r w:rsidR="000E29AF" w:rsidRPr="00021738">
        <w:rPr>
          <w:rFonts w:eastAsia="Trebuchet MS"/>
          <w:color w:val="000000"/>
        </w:rPr>
        <w:t xml:space="preserve">(approximately </w:t>
      </w:r>
      <w:r w:rsidR="00021738" w:rsidRPr="00021738">
        <w:rPr>
          <w:rFonts w:eastAsia="Trebuchet MS"/>
          <w:color w:val="000000"/>
        </w:rPr>
        <w:t>0.</w:t>
      </w:r>
      <w:r w:rsidR="00A4573A">
        <w:rPr>
          <w:rFonts w:eastAsia="Trebuchet MS"/>
          <w:color w:val="000000"/>
        </w:rPr>
        <w:t>4</w:t>
      </w:r>
      <w:r w:rsidR="000E29AF" w:rsidRPr="00021738">
        <w:rPr>
          <w:rFonts w:eastAsia="Trebuchet MS"/>
          <w:color w:val="000000"/>
        </w:rPr>
        <w:t>%)</w:t>
      </w:r>
      <w:r w:rsidR="000E29AF">
        <w:rPr>
          <w:rFonts w:eastAsia="Trebuchet MS"/>
          <w:color w:val="000000"/>
        </w:rPr>
        <w:t xml:space="preserve"> of Encompass Health Corporation as of and for the year ended December 31, 2022.</w:t>
      </w:r>
      <w:r w:rsidR="009413EB">
        <w:rPr>
          <w:rFonts w:eastAsia="Trebuchet MS"/>
          <w:color w:val="000000"/>
        </w:rPr>
        <w:t xml:space="preserve"> </w:t>
      </w:r>
      <w:r w:rsidR="0003524D">
        <w:rPr>
          <w:rFonts w:eastAsia="Trebuchet MS"/>
          <w:color w:val="000000"/>
        </w:rPr>
        <w:t xml:space="preserve"> </w:t>
      </w:r>
      <w:r>
        <w:rPr>
          <w:rFonts w:eastAsia="Trebuchet MS"/>
          <w:color w:val="000000"/>
        </w:rPr>
        <w:t xml:space="preserve">Based on my review of the relevant documents and analysis of the projected financial statements, I determined the continued operating surplus </w:t>
      </w:r>
      <w:r w:rsidR="00A4573A">
        <w:rPr>
          <w:rFonts w:eastAsia="Trebuchet MS"/>
          <w:color w:val="000000"/>
        </w:rPr>
        <w:t xml:space="preserve">is a </w:t>
      </w:r>
      <w:r>
        <w:rPr>
          <w:rFonts w:eastAsia="Trebuchet MS"/>
          <w:color w:val="000000"/>
        </w:rPr>
        <w:t xml:space="preserve">reasonable </w:t>
      </w:r>
      <w:r w:rsidR="00DE0AB8">
        <w:rPr>
          <w:rFonts w:eastAsia="Trebuchet MS"/>
          <w:color w:val="000000"/>
        </w:rPr>
        <w:t xml:space="preserve">expectation and based </w:t>
      </w:r>
      <w:r w:rsidR="00A9626F">
        <w:rPr>
          <w:rFonts w:eastAsia="Trebuchet MS"/>
          <w:color w:val="000000"/>
        </w:rPr>
        <w:br w:type="page"/>
      </w:r>
    </w:p>
    <w:p w14:paraId="3E5056FB" w14:textId="77777777" w:rsidR="002141FE" w:rsidRPr="000F1978" w:rsidRDefault="002141FE" w:rsidP="000F1978">
      <w:pPr>
        <w:textAlignment w:val="baseline"/>
        <w:rPr>
          <w:rFonts w:eastAsia="Trebuchet MS"/>
          <w:color w:val="000000"/>
        </w:rPr>
        <w:sectPr w:rsidR="002141FE" w:rsidRPr="000F1978" w:rsidSect="00BB2F09">
          <w:headerReference w:type="even" r:id="rId13"/>
          <w:headerReference w:type="default" r:id="rId14"/>
          <w:footerReference w:type="default" r:id="rId15"/>
          <w:headerReference w:type="first" r:id="rId16"/>
          <w:pgSz w:w="12240" w:h="15840"/>
          <w:pgMar w:top="3312" w:right="1440" w:bottom="1872" w:left="1440" w:header="720" w:footer="720" w:gutter="0"/>
          <w:cols w:space="720"/>
        </w:sectPr>
      </w:pPr>
    </w:p>
    <w:p w14:paraId="4D48353E" w14:textId="4E72E859" w:rsidR="0050244E" w:rsidRDefault="0050244E" w:rsidP="0050244E">
      <w:pPr>
        <w:textAlignment w:val="baseline"/>
        <w:rPr>
          <w:rFonts w:eastAsia="Trebuchet MS"/>
          <w:b/>
          <w:color w:val="000000"/>
          <w:u w:val="single"/>
        </w:rPr>
      </w:pPr>
      <w:r>
        <w:rPr>
          <w:rFonts w:eastAsia="Trebuchet MS"/>
          <w:color w:val="000000"/>
        </w:rPr>
        <w:lastRenderedPageBreak/>
        <w:t xml:space="preserve">on feasible financial assumptions. </w:t>
      </w:r>
      <w:r w:rsidR="00A4573A">
        <w:rPr>
          <w:rFonts w:eastAsia="Trebuchet MS"/>
          <w:color w:val="000000"/>
        </w:rPr>
        <w:t xml:space="preserve">Accordingly, </w:t>
      </w:r>
      <w:r>
        <w:rPr>
          <w:rFonts w:eastAsia="Trebuchet MS"/>
          <w:color w:val="000000"/>
        </w:rPr>
        <w:t>I</w:t>
      </w:r>
      <w:r w:rsidRPr="001F1A6D">
        <w:rPr>
          <w:rFonts w:eastAsia="Trebuchet MS"/>
          <w:color w:val="000000"/>
        </w:rPr>
        <w:t xml:space="preserve"> determined that the Projections </w:t>
      </w:r>
      <w:r>
        <w:rPr>
          <w:rFonts w:eastAsia="Trebuchet MS"/>
          <w:color w:val="000000"/>
        </w:rPr>
        <w:t>a</w:t>
      </w:r>
      <w:r w:rsidRPr="001F1A6D">
        <w:rPr>
          <w:rFonts w:eastAsia="Trebuchet MS"/>
          <w:color w:val="000000"/>
        </w:rPr>
        <w:t xml:space="preserve">re </w:t>
      </w:r>
      <w:r>
        <w:rPr>
          <w:rFonts w:eastAsia="Trebuchet MS"/>
          <w:color w:val="000000"/>
        </w:rPr>
        <w:t xml:space="preserve">reasonable and feasible, and </w:t>
      </w:r>
      <w:r w:rsidRPr="001F1A6D">
        <w:rPr>
          <w:rFonts w:eastAsia="Trebuchet MS"/>
          <w:color w:val="000000"/>
        </w:rPr>
        <w:t xml:space="preserve">not likely to </w:t>
      </w:r>
      <w:r>
        <w:rPr>
          <w:rFonts w:eastAsia="Trebuchet MS"/>
          <w:color w:val="000000"/>
        </w:rPr>
        <w:t>have a negative impact of the Applicant’s (Encompass) patient panel or result in a liquidation of Encompass’ assets. A detailed explanation of the basis for my determination of reasonableness and feasibility is contained within this report</w:t>
      </w:r>
      <w:r w:rsidRPr="001F1A6D">
        <w:rPr>
          <w:rFonts w:eastAsia="Trebuchet MS"/>
          <w:color w:val="000000"/>
        </w:rPr>
        <w:t>.</w:t>
      </w:r>
    </w:p>
    <w:p w14:paraId="42257FE8" w14:textId="77777777" w:rsidR="0050244E" w:rsidRDefault="0050244E" w:rsidP="0050244E">
      <w:pPr>
        <w:pStyle w:val="ListParagraph"/>
        <w:tabs>
          <w:tab w:val="left" w:pos="720"/>
        </w:tabs>
        <w:textAlignment w:val="baseline"/>
        <w:rPr>
          <w:rFonts w:eastAsia="Trebuchet MS"/>
          <w:b/>
          <w:color w:val="000000"/>
          <w:u w:val="single"/>
        </w:rPr>
      </w:pPr>
    </w:p>
    <w:p w14:paraId="3262B372" w14:textId="05748D22" w:rsidR="00557E9F" w:rsidRPr="00A9626F" w:rsidRDefault="00003594"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t xml:space="preserve">RELEVANT BACKGROUND INFORMATION </w:t>
      </w:r>
    </w:p>
    <w:p w14:paraId="42804BC7" w14:textId="3D06C747" w:rsidR="00A522D0" w:rsidRDefault="00A522D0" w:rsidP="00A522D0">
      <w:pPr>
        <w:tabs>
          <w:tab w:val="left" w:pos="720"/>
        </w:tabs>
        <w:textAlignment w:val="baseline"/>
        <w:rPr>
          <w:rFonts w:eastAsia="Trebuchet MS"/>
          <w:b/>
          <w:color w:val="000000"/>
          <w:u w:val="single"/>
        </w:rPr>
      </w:pPr>
    </w:p>
    <w:p w14:paraId="4817C6FC" w14:textId="098DB24C" w:rsidR="00C238DA" w:rsidRPr="00C238DA" w:rsidRDefault="000E29AF" w:rsidP="00A522D0">
      <w:pPr>
        <w:tabs>
          <w:tab w:val="left" w:pos="720"/>
        </w:tabs>
        <w:textAlignment w:val="baseline"/>
        <w:rPr>
          <w:rFonts w:eastAsia="Trebuchet MS"/>
          <w:bCs/>
          <w:color w:val="000000"/>
        </w:rPr>
      </w:pPr>
      <w:r>
        <w:rPr>
          <w:rFonts w:eastAsia="Trebuchet MS"/>
          <w:bCs/>
          <w:color w:val="000000"/>
        </w:rPr>
        <w:t xml:space="preserve">Encompass Health Corporation is a national provider of inpatient rehabilitation services with 157 inpatient rehabilitation hospitals in 37 states and Puerto Rico. </w:t>
      </w:r>
      <w:r w:rsidR="00704F71">
        <w:rPr>
          <w:rFonts w:eastAsia="Trebuchet MS"/>
          <w:bCs/>
          <w:color w:val="000000"/>
        </w:rPr>
        <w:t>Encompass</w:t>
      </w:r>
      <w:r w:rsidR="00C238DA">
        <w:rPr>
          <w:rFonts w:eastAsia="Trebuchet MS"/>
          <w:bCs/>
          <w:color w:val="000000"/>
        </w:rPr>
        <w:t xml:space="preserve"> </w:t>
      </w:r>
      <w:r w:rsidR="00044F27">
        <w:rPr>
          <w:rFonts w:eastAsia="Trebuchet MS"/>
          <w:bCs/>
          <w:color w:val="000000"/>
        </w:rPr>
        <w:t xml:space="preserve">Health </w:t>
      </w:r>
      <w:r w:rsidR="00C238DA">
        <w:rPr>
          <w:rFonts w:eastAsia="Trebuchet MS"/>
          <w:bCs/>
          <w:color w:val="000000"/>
        </w:rPr>
        <w:t xml:space="preserve">Rehabilitation Hospital </w:t>
      </w:r>
      <w:r w:rsidR="00A346FC">
        <w:rPr>
          <w:rFonts w:eastAsia="Trebuchet MS"/>
          <w:bCs/>
          <w:color w:val="000000"/>
        </w:rPr>
        <w:t xml:space="preserve">of </w:t>
      </w:r>
      <w:r w:rsidR="00190BB7">
        <w:rPr>
          <w:rFonts w:eastAsia="Trebuchet MS"/>
          <w:bCs/>
          <w:color w:val="000000"/>
        </w:rPr>
        <w:t>Western Massachusetts</w:t>
      </w:r>
      <w:r w:rsidR="005E5F36">
        <w:rPr>
          <w:rFonts w:eastAsia="Trebuchet MS"/>
          <w:bCs/>
          <w:color w:val="000000"/>
        </w:rPr>
        <w:t>, LLC</w:t>
      </w:r>
      <w:r w:rsidR="00A346FC">
        <w:rPr>
          <w:rFonts w:eastAsia="Trebuchet MS"/>
          <w:bCs/>
          <w:color w:val="000000"/>
        </w:rPr>
        <w:t xml:space="preserve"> </w:t>
      </w:r>
      <w:r w:rsidR="00C238DA">
        <w:rPr>
          <w:rFonts w:eastAsia="Trebuchet MS"/>
          <w:bCs/>
          <w:color w:val="000000"/>
        </w:rPr>
        <w:t xml:space="preserve">is a </w:t>
      </w:r>
      <w:r w:rsidR="00190BB7">
        <w:rPr>
          <w:rFonts w:eastAsia="Trebuchet MS"/>
          <w:bCs/>
          <w:color w:val="000000"/>
        </w:rPr>
        <w:t>53</w:t>
      </w:r>
      <w:r w:rsidR="00A74F85" w:rsidRPr="000F1978">
        <w:rPr>
          <w:rFonts w:eastAsia="Trebuchet MS"/>
          <w:bCs/>
          <w:color w:val="000000"/>
        </w:rPr>
        <w:t>-bed</w:t>
      </w:r>
      <w:r w:rsidR="00C238DA">
        <w:rPr>
          <w:rFonts w:eastAsia="Trebuchet MS"/>
          <w:bCs/>
          <w:color w:val="000000"/>
        </w:rPr>
        <w:t xml:space="preserve"> rehabilitation hospital located in </w:t>
      </w:r>
      <w:r w:rsidR="00190BB7">
        <w:rPr>
          <w:rFonts w:eastAsia="Trebuchet MS"/>
          <w:bCs/>
          <w:color w:val="000000"/>
        </w:rPr>
        <w:t>Ludlow</w:t>
      </w:r>
      <w:r w:rsidR="00C238DA">
        <w:rPr>
          <w:rFonts w:eastAsia="Trebuchet MS"/>
          <w:bCs/>
          <w:color w:val="000000"/>
        </w:rPr>
        <w:t>, Massachusetts</w:t>
      </w:r>
      <w:r w:rsidR="00190BB7">
        <w:rPr>
          <w:rFonts w:eastAsia="Trebuchet MS"/>
          <w:bCs/>
          <w:color w:val="000000"/>
        </w:rPr>
        <w:t>.</w:t>
      </w:r>
      <w:r w:rsidR="00C238DA">
        <w:rPr>
          <w:rFonts w:eastAsia="Trebuchet MS"/>
          <w:bCs/>
          <w:color w:val="000000"/>
        </w:rPr>
        <w:t xml:space="preserve"> </w:t>
      </w:r>
      <w:r w:rsidR="00A346FC" w:rsidRPr="000F1978">
        <w:rPr>
          <w:rFonts w:eastAsia="Trebuchet MS"/>
          <w:bCs/>
          <w:color w:val="000000"/>
        </w:rPr>
        <w:t xml:space="preserve">The </w:t>
      </w:r>
      <w:r>
        <w:rPr>
          <w:rFonts w:eastAsia="Trebuchet MS"/>
          <w:bCs/>
          <w:color w:val="000000"/>
        </w:rPr>
        <w:t>H</w:t>
      </w:r>
      <w:r w:rsidR="00A346FC" w:rsidRPr="000F1978">
        <w:rPr>
          <w:rFonts w:eastAsia="Trebuchet MS"/>
          <w:bCs/>
          <w:color w:val="000000"/>
        </w:rPr>
        <w:t>ospital</w:t>
      </w:r>
      <w:r w:rsidR="00C238DA" w:rsidRPr="000F1978">
        <w:rPr>
          <w:rFonts w:eastAsia="Trebuchet MS"/>
          <w:bCs/>
          <w:color w:val="000000"/>
        </w:rPr>
        <w:t xml:space="preserve"> is a wholly owned subsidiary of </w:t>
      </w:r>
      <w:r w:rsidR="00704F71" w:rsidRPr="000F1978">
        <w:rPr>
          <w:rFonts w:eastAsia="Trebuchet MS"/>
          <w:bCs/>
          <w:color w:val="000000"/>
        </w:rPr>
        <w:t>Encompass</w:t>
      </w:r>
      <w:r w:rsidR="00C238DA" w:rsidRPr="000F1978">
        <w:rPr>
          <w:rFonts w:eastAsia="Trebuchet MS"/>
          <w:bCs/>
          <w:color w:val="000000"/>
        </w:rPr>
        <w:t xml:space="preserve"> Health Corporation</w:t>
      </w:r>
      <w:r w:rsidR="000C579E">
        <w:rPr>
          <w:rFonts w:eastAsia="Trebuchet MS"/>
          <w:bCs/>
          <w:color w:val="000000"/>
        </w:rPr>
        <w:t>.</w:t>
      </w:r>
      <w:r w:rsidR="005E5F36">
        <w:rPr>
          <w:rFonts w:eastAsia="Trebuchet MS"/>
          <w:bCs/>
          <w:color w:val="000000"/>
        </w:rPr>
        <w:t xml:space="preserve"> The resulting </w:t>
      </w:r>
      <w:r w:rsidR="00190BB7">
        <w:rPr>
          <w:rFonts w:eastAsia="Trebuchet MS"/>
          <w:bCs/>
          <w:color w:val="000000"/>
        </w:rPr>
        <w:t>17</w:t>
      </w:r>
      <w:r w:rsidR="005E5F36">
        <w:rPr>
          <w:rFonts w:eastAsia="Trebuchet MS"/>
          <w:bCs/>
          <w:color w:val="000000"/>
        </w:rPr>
        <w:t xml:space="preserve">-bed </w:t>
      </w:r>
      <w:r w:rsidR="00190BB7">
        <w:rPr>
          <w:rFonts w:eastAsia="Trebuchet MS"/>
          <w:bCs/>
          <w:color w:val="000000"/>
        </w:rPr>
        <w:t>addition</w:t>
      </w:r>
      <w:r w:rsidR="005E5F36">
        <w:rPr>
          <w:rFonts w:eastAsia="Trebuchet MS"/>
          <w:bCs/>
          <w:color w:val="000000"/>
        </w:rPr>
        <w:t xml:space="preserve"> </w:t>
      </w:r>
      <w:r w:rsidR="00190BB7">
        <w:rPr>
          <w:rFonts w:eastAsia="Trebuchet MS"/>
          <w:bCs/>
          <w:color w:val="000000"/>
        </w:rPr>
        <w:t xml:space="preserve">will result in </w:t>
      </w:r>
      <w:r w:rsidR="001D0FDA">
        <w:rPr>
          <w:rFonts w:eastAsia="Trebuchet MS"/>
          <w:bCs/>
          <w:color w:val="000000"/>
        </w:rPr>
        <w:t>70 total beds at the Ludlow, MA location.</w:t>
      </w:r>
      <w:r w:rsidR="005E5F36">
        <w:rPr>
          <w:rFonts w:eastAsia="Trebuchet MS"/>
          <w:bCs/>
          <w:color w:val="000000"/>
        </w:rPr>
        <w:t xml:space="preserve"> </w:t>
      </w:r>
    </w:p>
    <w:p w14:paraId="60719479" w14:textId="77777777" w:rsidR="00C238DA" w:rsidRDefault="00C238DA" w:rsidP="00A522D0">
      <w:pPr>
        <w:tabs>
          <w:tab w:val="left" w:pos="720"/>
        </w:tabs>
        <w:textAlignment w:val="baseline"/>
        <w:rPr>
          <w:rFonts w:eastAsia="Trebuchet MS"/>
          <w:b/>
          <w:color w:val="000000"/>
          <w:u w:val="single"/>
        </w:rPr>
      </w:pPr>
    </w:p>
    <w:p w14:paraId="2FD00492" w14:textId="1D67F51D" w:rsidR="00A522D0" w:rsidRPr="00A522D0" w:rsidRDefault="00A522D0" w:rsidP="00A522D0">
      <w:pPr>
        <w:tabs>
          <w:tab w:val="left" w:pos="720"/>
        </w:tabs>
        <w:textAlignment w:val="baseline"/>
        <w:rPr>
          <w:rFonts w:eastAsia="Trebuchet MS"/>
          <w:bCs/>
          <w:color w:val="000000"/>
        </w:rPr>
      </w:pPr>
      <w:r>
        <w:rPr>
          <w:rFonts w:eastAsia="Trebuchet MS"/>
          <w:bCs/>
          <w:color w:val="000000"/>
        </w:rPr>
        <w:t>Please refer to the DoN application for a further description of the proposed project and the rationale for the expenditures.</w:t>
      </w:r>
    </w:p>
    <w:p w14:paraId="0F8AEE2A" w14:textId="77777777" w:rsidR="00480E87" w:rsidRPr="00480E87" w:rsidRDefault="00480E87" w:rsidP="00480E87">
      <w:pPr>
        <w:pStyle w:val="ListParagraph"/>
        <w:tabs>
          <w:tab w:val="left" w:pos="720"/>
        </w:tabs>
        <w:ind w:left="1080"/>
        <w:textAlignment w:val="baseline"/>
        <w:rPr>
          <w:rFonts w:eastAsia="Trebuchet MS"/>
          <w:b/>
          <w:color w:val="000000"/>
          <w:u w:val="single"/>
        </w:rPr>
      </w:pPr>
    </w:p>
    <w:p w14:paraId="53A7FCF8" w14:textId="34DE1EE8" w:rsidR="00557E9F" w:rsidRPr="00A9626F" w:rsidRDefault="00003594"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t>SCOPE OF REPORT</w:t>
      </w:r>
    </w:p>
    <w:p w14:paraId="6EA0A4E9" w14:textId="77777777" w:rsidR="00480E87" w:rsidRPr="00480E87" w:rsidRDefault="00480E87" w:rsidP="00480E87">
      <w:pPr>
        <w:pStyle w:val="ListParagraph"/>
        <w:tabs>
          <w:tab w:val="left" w:pos="720"/>
        </w:tabs>
        <w:ind w:left="1080"/>
        <w:textAlignment w:val="baseline"/>
        <w:rPr>
          <w:rFonts w:eastAsia="Trebuchet MS"/>
          <w:b/>
          <w:color w:val="000000"/>
        </w:rPr>
      </w:pPr>
    </w:p>
    <w:p w14:paraId="23E37149" w14:textId="03080CDF" w:rsidR="00557E9F" w:rsidRDefault="00003594" w:rsidP="00480E87">
      <w:pPr>
        <w:textAlignment w:val="baseline"/>
        <w:rPr>
          <w:rFonts w:eastAsia="Trebuchet MS"/>
          <w:color w:val="000000"/>
        </w:rPr>
      </w:pPr>
      <w:r w:rsidRPr="001F1A6D">
        <w:rPr>
          <w:rFonts w:eastAsia="Trebuchet MS"/>
          <w:color w:val="000000"/>
          <w:spacing w:val="-2"/>
        </w:rPr>
        <w:t xml:space="preserve">The scope of this report is limited to an analysis of the </w:t>
      </w:r>
      <w:r w:rsidR="00006D9E">
        <w:rPr>
          <w:rFonts w:eastAsia="Trebuchet MS"/>
          <w:color w:val="000000"/>
          <w:spacing w:val="-2"/>
        </w:rPr>
        <w:t>P</w:t>
      </w:r>
      <w:r w:rsidRPr="001F1A6D">
        <w:rPr>
          <w:rFonts w:eastAsia="Trebuchet MS"/>
          <w:color w:val="000000"/>
          <w:spacing w:val="-2"/>
        </w:rPr>
        <w:t>rojections</w:t>
      </w:r>
      <w:r w:rsidR="00A1288C">
        <w:rPr>
          <w:rFonts w:eastAsia="Trebuchet MS"/>
          <w:color w:val="000000"/>
          <w:spacing w:val="-2"/>
        </w:rPr>
        <w:t xml:space="preserve">, prior year financials </w:t>
      </w:r>
      <w:r w:rsidRPr="001F1A6D">
        <w:rPr>
          <w:rFonts w:eastAsia="Trebuchet MS"/>
          <w:color w:val="000000"/>
          <w:spacing w:val="-2"/>
        </w:rPr>
        <w:t xml:space="preserve">and the supporting documentation in order to render an opinion as to the reasonableness of assumptions used in the preparation and feasibility of the Projections with regards to the impact of </w:t>
      </w:r>
      <w:r w:rsidR="000909DA">
        <w:rPr>
          <w:rFonts w:eastAsia="Trebuchet MS"/>
          <w:color w:val="000000"/>
        </w:rPr>
        <w:t>the</w:t>
      </w:r>
      <w:r w:rsidR="00F85C2C">
        <w:rPr>
          <w:rFonts w:eastAsia="Trebuchet MS"/>
          <w:color w:val="000000"/>
        </w:rPr>
        <w:t xml:space="preserve"> </w:t>
      </w:r>
      <w:r w:rsidR="00BE27ED">
        <w:rPr>
          <w:rFonts w:eastAsia="Trebuchet MS"/>
          <w:color w:val="000000"/>
        </w:rPr>
        <w:t xml:space="preserve">capital </w:t>
      </w:r>
      <w:r w:rsidR="00A346FC">
        <w:rPr>
          <w:rFonts w:eastAsia="Trebuchet MS"/>
          <w:color w:val="000000"/>
        </w:rPr>
        <w:t>project</w:t>
      </w:r>
      <w:r w:rsidR="00F85C2C">
        <w:rPr>
          <w:rFonts w:eastAsia="Trebuchet MS"/>
          <w:color w:val="000000"/>
        </w:rPr>
        <w:t xml:space="preserve"> </w:t>
      </w:r>
      <w:r w:rsidR="00021738">
        <w:rPr>
          <w:rFonts w:eastAsia="Trebuchet MS"/>
          <w:color w:val="000000"/>
        </w:rPr>
        <w:t>involving and</w:t>
      </w:r>
      <w:r w:rsidR="00BE27ED">
        <w:rPr>
          <w:rFonts w:eastAsia="Trebuchet MS"/>
          <w:color w:val="000000"/>
        </w:rPr>
        <w:t xml:space="preserve"> ancillary to </w:t>
      </w:r>
      <w:r w:rsidR="00704F71">
        <w:rPr>
          <w:rFonts w:eastAsia="Trebuchet MS"/>
          <w:color w:val="000000"/>
        </w:rPr>
        <w:t>Encompass</w:t>
      </w:r>
      <w:r w:rsidR="00794058">
        <w:rPr>
          <w:rFonts w:eastAsia="Trebuchet MS"/>
          <w:color w:val="000000"/>
        </w:rPr>
        <w:t xml:space="preserve"> </w:t>
      </w:r>
      <w:r w:rsidR="001D0FDA">
        <w:rPr>
          <w:rFonts w:eastAsia="Trebuchet MS"/>
          <w:color w:val="000000"/>
        </w:rPr>
        <w:t>Western Mass</w:t>
      </w:r>
      <w:r w:rsidR="00BD2B92">
        <w:rPr>
          <w:rFonts w:eastAsia="Trebuchet MS"/>
          <w:color w:val="000000"/>
          <w:spacing w:val="-2"/>
        </w:rPr>
        <w:t>.</w:t>
      </w:r>
      <w:r w:rsidRPr="001F3A78">
        <w:rPr>
          <w:rFonts w:eastAsia="Trebuchet MS"/>
          <w:color w:val="000000"/>
          <w:spacing w:val="-2"/>
        </w:rPr>
        <w:t xml:space="preserve"> </w:t>
      </w:r>
      <w:r w:rsidR="00F85C2C" w:rsidRPr="001F3A78">
        <w:rPr>
          <w:rFonts w:eastAsia="Trebuchet MS"/>
          <w:color w:val="000000"/>
          <w:spacing w:val="-2"/>
        </w:rPr>
        <w:t>My</w:t>
      </w:r>
      <w:r w:rsidRPr="001F3A78">
        <w:rPr>
          <w:rFonts w:eastAsia="Trebuchet MS"/>
          <w:color w:val="000000"/>
          <w:spacing w:val="-2"/>
        </w:rPr>
        <w:t xml:space="preserve"> analysis of the Projections and conclusions contained within this report are based upon </w:t>
      </w:r>
      <w:r w:rsidR="00F85C2C" w:rsidRPr="001F3A78">
        <w:rPr>
          <w:rFonts w:eastAsia="Trebuchet MS"/>
          <w:color w:val="000000"/>
          <w:spacing w:val="-2"/>
        </w:rPr>
        <w:t>my</w:t>
      </w:r>
      <w:r w:rsidRPr="001F3A78">
        <w:rPr>
          <w:rFonts w:eastAsia="Trebuchet MS"/>
          <w:color w:val="000000"/>
          <w:spacing w:val="-2"/>
        </w:rPr>
        <w:t xml:space="preserve"> detailed review</w:t>
      </w:r>
      <w:r w:rsidRPr="001F1A6D">
        <w:rPr>
          <w:rFonts w:eastAsia="Trebuchet MS"/>
          <w:color w:val="000000"/>
          <w:spacing w:val="-2"/>
        </w:rPr>
        <w:t xml:space="preserve"> of all relevant information (see Section IV which references the s</w:t>
      </w:r>
      <w:r w:rsidR="00F85C2C">
        <w:rPr>
          <w:rFonts w:eastAsia="Trebuchet MS"/>
          <w:color w:val="000000"/>
          <w:spacing w:val="-2"/>
        </w:rPr>
        <w:t>ourc</w:t>
      </w:r>
      <w:r w:rsidRPr="001F1A6D">
        <w:rPr>
          <w:rFonts w:eastAsia="Trebuchet MS"/>
          <w:color w:val="000000"/>
          <w:spacing w:val="-2"/>
        </w:rPr>
        <w:t xml:space="preserve">es of information). </w:t>
      </w:r>
      <w:r w:rsidR="00F85C2C">
        <w:rPr>
          <w:rFonts w:eastAsia="Trebuchet MS"/>
          <w:color w:val="000000"/>
          <w:spacing w:val="-2"/>
        </w:rPr>
        <w:t>I</w:t>
      </w:r>
      <w:r w:rsidRPr="001F1A6D">
        <w:rPr>
          <w:rFonts w:eastAsia="Trebuchet MS"/>
          <w:color w:val="000000"/>
          <w:spacing w:val="-2"/>
        </w:rPr>
        <w:t xml:space="preserve"> have gained an understanding of </w:t>
      </w:r>
      <w:r w:rsidR="00704F71">
        <w:rPr>
          <w:rFonts w:eastAsia="Trebuchet MS"/>
          <w:color w:val="000000"/>
          <w:spacing w:val="-2"/>
        </w:rPr>
        <w:t>Encompass</w:t>
      </w:r>
      <w:r w:rsidR="00794058">
        <w:rPr>
          <w:rFonts w:eastAsia="Trebuchet MS"/>
          <w:color w:val="000000"/>
          <w:spacing w:val="-2"/>
        </w:rPr>
        <w:t xml:space="preserve"> </w:t>
      </w:r>
      <w:r w:rsidR="00044F27">
        <w:rPr>
          <w:rFonts w:eastAsia="Trebuchet MS"/>
          <w:color w:val="000000"/>
          <w:spacing w:val="-2"/>
        </w:rPr>
        <w:t xml:space="preserve">Health </w:t>
      </w:r>
      <w:r w:rsidR="00BE27ED">
        <w:rPr>
          <w:rFonts w:eastAsia="Trebuchet MS"/>
          <w:color w:val="000000"/>
          <w:spacing w:val="-2"/>
        </w:rPr>
        <w:t xml:space="preserve">and Encompass </w:t>
      </w:r>
      <w:r w:rsidR="001D0FDA">
        <w:rPr>
          <w:rFonts w:eastAsia="Trebuchet MS"/>
          <w:color w:val="000000"/>
          <w:spacing w:val="-2"/>
        </w:rPr>
        <w:t>Western Mass</w:t>
      </w:r>
      <w:r w:rsidR="00BE27ED">
        <w:rPr>
          <w:rFonts w:eastAsia="Trebuchet MS"/>
          <w:color w:val="000000"/>
          <w:spacing w:val="-2"/>
        </w:rPr>
        <w:t xml:space="preserve"> </w:t>
      </w:r>
      <w:r w:rsidR="00535362">
        <w:rPr>
          <w:rFonts w:eastAsia="Trebuchet MS"/>
          <w:color w:val="000000"/>
          <w:spacing w:val="-2"/>
        </w:rPr>
        <w:t>t</w:t>
      </w:r>
      <w:r w:rsidRPr="001F1A6D">
        <w:rPr>
          <w:rFonts w:eastAsia="Trebuchet MS"/>
          <w:color w:val="000000"/>
          <w:spacing w:val="-2"/>
        </w:rPr>
        <w:t xml:space="preserve">hrough </w:t>
      </w:r>
      <w:r w:rsidR="00F85C2C">
        <w:rPr>
          <w:rFonts w:eastAsia="Trebuchet MS"/>
          <w:color w:val="000000"/>
          <w:spacing w:val="-2"/>
        </w:rPr>
        <w:t>my</w:t>
      </w:r>
      <w:r w:rsidRPr="001F1A6D">
        <w:rPr>
          <w:rFonts w:eastAsia="Trebuchet MS"/>
          <w:color w:val="000000"/>
          <w:spacing w:val="-2"/>
        </w:rPr>
        <w:t xml:space="preserve"> review of the information</w:t>
      </w:r>
      <w:r w:rsidR="00480E87">
        <w:rPr>
          <w:rFonts w:eastAsia="Trebuchet MS"/>
          <w:color w:val="000000"/>
          <w:spacing w:val="-2"/>
        </w:rPr>
        <w:t xml:space="preserve"> </w:t>
      </w:r>
      <w:r w:rsidRPr="001F1A6D">
        <w:rPr>
          <w:rFonts w:eastAsia="Trebuchet MS"/>
          <w:color w:val="000000"/>
        </w:rPr>
        <w:t xml:space="preserve">provided as </w:t>
      </w:r>
      <w:r w:rsidR="00F85C2C">
        <w:rPr>
          <w:rFonts w:eastAsia="Trebuchet MS"/>
          <w:color w:val="000000"/>
        </w:rPr>
        <w:t>we</w:t>
      </w:r>
      <w:r w:rsidRPr="001F1A6D">
        <w:rPr>
          <w:rFonts w:eastAsia="Trebuchet MS"/>
          <w:color w:val="000000"/>
        </w:rPr>
        <w:t xml:space="preserve">ll as a review of </w:t>
      </w:r>
      <w:r w:rsidR="00E87400">
        <w:rPr>
          <w:rFonts w:eastAsia="Trebuchet MS"/>
          <w:color w:val="000000"/>
        </w:rPr>
        <w:t xml:space="preserve">the </w:t>
      </w:r>
      <w:r w:rsidR="00B74CA4">
        <w:rPr>
          <w:rFonts w:eastAsia="Trebuchet MS"/>
          <w:color w:val="000000"/>
        </w:rPr>
        <w:t>Encompass</w:t>
      </w:r>
      <w:r w:rsidR="005051D7">
        <w:rPr>
          <w:rFonts w:eastAsia="Trebuchet MS"/>
          <w:color w:val="000000"/>
        </w:rPr>
        <w:t xml:space="preserve"> </w:t>
      </w:r>
      <w:r w:rsidR="00F85C2C">
        <w:rPr>
          <w:rFonts w:eastAsia="Trebuchet MS"/>
          <w:color w:val="000000"/>
        </w:rPr>
        <w:t>web</w:t>
      </w:r>
      <w:r w:rsidR="00F61C01">
        <w:rPr>
          <w:rFonts w:eastAsia="Trebuchet MS"/>
          <w:color w:val="000000"/>
        </w:rPr>
        <w:t>site, annual reports, and the Do</w:t>
      </w:r>
      <w:r w:rsidRPr="001F1A6D">
        <w:rPr>
          <w:rFonts w:eastAsia="Trebuchet MS"/>
          <w:color w:val="000000"/>
        </w:rPr>
        <w:t>N application.</w:t>
      </w:r>
    </w:p>
    <w:p w14:paraId="677DD40F" w14:textId="77777777" w:rsidR="00480E87" w:rsidRPr="001F1A6D" w:rsidRDefault="00480E87" w:rsidP="00480E87">
      <w:pPr>
        <w:textAlignment w:val="baseline"/>
        <w:rPr>
          <w:rFonts w:eastAsia="Trebuchet MS"/>
          <w:color w:val="000000"/>
        </w:rPr>
      </w:pPr>
    </w:p>
    <w:p w14:paraId="613D3BC8" w14:textId="5728532B" w:rsidR="00557E9F" w:rsidRDefault="00003594" w:rsidP="00480E87">
      <w:pPr>
        <w:textAlignment w:val="baseline"/>
        <w:rPr>
          <w:rFonts w:eastAsia="Trebuchet MS"/>
          <w:color w:val="000000"/>
          <w:vertAlign w:val="superscript"/>
        </w:rPr>
      </w:pPr>
      <w:r w:rsidRPr="001F1A6D">
        <w:rPr>
          <w:rFonts w:eastAsia="Trebuchet MS"/>
          <w:color w:val="000000"/>
        </w:rPr>
        <w:t xml:space="preserve">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proposed project without negative impacts or consequences to </w:t>
      </w:r>
      <w:r w:rsidR="00704F71">
        <w:rPr>
          <w:rFonts w:eastAsia="Trebuchet MS"/>
          <w:color w:val="000000"/>
        </w:rPr>
        <w:t>Encompass</w:t>
      </w:r>
      <w:r w:rsidR="00BE27ED">
        <w:rPr>
          <w:rFonts w:eastAsia="Trebuchet MS"/>
          <w:color w:val="000000"/>
        </w:rPr>
        <w:t>’</w:t>
      </w:r>
      <w:r w:rsidR="00285882">
        <w:rPr>
          <w:rFonts w:eastAsia="Trebuchet MS"/>
          <w:color w:val="000000"/>
        </w:rPr>
        <w:t xml:space="preserve"> </w:t>
      </w:r>
      <w:r w:rsidR="00435455">
        <w:rPr>
          <w:rFonts w:eastAsia="Trebuchet MS"/>
          <w:color w:val="000000"/>
        </w:rPr>
        <w:t>existing patient panel” (per Determination of Need, Factor 4(a)).</w:t>
      </w:r>
    </w:p>
    <w:p w14:paraId="052B5CEC" w14:textId="77777777" w:rsidR="00480E87" w:rsidRDefault="00480E87" w:rsidP="00480E87">
      <w:pPr>
        <w:textAlignment w:val="baseline"/>
        <w:rPr>
          <w:rFonts w:eastAsia="Trebuchet MS"/>
          <w:color w:val="000000"/>
        </w:rPr>
      </w:pPr>
    </w:p>
    <w:p w14:paraId="572C8F8A" w14:textId="597E24AB" w:rsidR="009174B0" w:rsidRDefault="00003594" w:rsidP="00480E87">
      <w:pPr>
        <w:textAlignment w:val="baseline"/>
        <w:rPr>
          <w:rFonts w:eastAsia="Trebuchet MS"/>
          <w:color w:val="000000"/>
        </w:rPr>
      </w:pPr>
      <w:r w:rsidRPr="001F1A6D">
        <w:rPr>
          <w:rFonts w:eastAsia="Trebuchet MS"/>
          <w:color w:val="000000"/>
        </w:rPr>
        <w:t xml:space="preserve">This report is based upon historical and prospective financial information provided to </w:t>
      </w:r>
      <w:r w:rsidR="00F85C2C">
        <w:rPr>
          <w:rFonts w:eastAsia="Trebuchet MS"/>
          <w:color w:val="000000"/>
        </w:rPr>
        <w:t xml:space="preserve">me </w:t>
      </w:r>
      <w:r w:rsidRPr="001F1A6D">
        <w:rPr>
          <w:rFonts w:eastAsia="Trebuchet MS"/>
          <w:color w:val="000000"/>
        </w:rPr>
        <w:t xml:space="preserve">by Management. </w:t>
      </w:r>
      <w:bookmarkStart w:id="1" w:name="_Hlk96689156"/>
      <w:bookmarkStart w:id="2" w:name="_Hlk135760918"/>
      <w:r w:rsidR="000339A6">
        <w:rPr>
          <w:rFonts w:eastAsia="Trebuchet MS"/>
          <w:color w:val="000000"/>
        </w:rPr>
        <w:t>I have not audited or performed any other form of attestation services on the projected financial information</w:t>
      </w:r>
      <w:bookmarkEnd w:id="1"/>
      <w:r w:rsidR="000339A6">
        <w:rPr>
          <w:rFonts w:eastAsia="Trebuchet MS"/>
          <w:color w:val="000000"/>
        </w:rPr>
        <w:t xml:space="preserve">. </w:t>
      </w:r>
      <w:bookmarkEnd w:id="2"/>
      <w:r w:rsidRPr="001F1A6D">
        <w:rPr>
          <w:rFonts w:eastAsia="Trebuchet MS"/>
          <w:color w:val="000000"/>
        </w:rPr>
        <w:t xml:space="preserve">If </w:t>
      </w:r>
      <w:r w:rsidR="00F85C2C">
        <w:rPr>
          <w:rFonts w:eastAsia="Trebuchet MS"/>
          <w:color w:val="000000"/>
        </w:rPr>
        <w:t>I</w:t>
      </w:r>
      <w:r w:rsidRPr="001F1A6D">
        <w:rPr>
          <w:rFonts w:eastAsia="Trebuchet MS"/>
          <w:color w:val="000000"/>
        </w:rPr>
        <w:t xml:space="preserve"> had audited the underlying data, matters may have come to </w:t>
      </w:r>
      <w:r w:rsidR="00F85C2C">
        <w:rPr>
          <w:rFonts w:eastAsia="Trebuchet MS"/>
          <w:color w:val="000000"/>
        </w:rPr>
        <w:t xml:space="preserve">my </w:t>
      </w:r>
      <w:r w:rsidRPr="001F1A6D">
        <w:rPr>
          <w:rFonts w:eastAsia="Trebuchet MS"/>
          <w:color w:val="000000"/>
        </w:rPr>
        <w:t xml:space="preserve">attention that would have resulted in </w:t>
      </w:r>
      <w:r w:rsidR="00F85C2C">
        <w:rPr>
          <w:rFonts w:eastAsia="Trebuchet MS"/>
          <w:color w:val="000000"/>
        </w:rPr>
        <w:t xml:space="preserve">my </w:t>
      </w:r>
      <w:r w:rsidRPr="001F1A6D">
        <w:rPr>
          <w:rFonts w:eastAsia="Trebuchet MS"/>
          <w:color w:val="000000"/>
        </w:rPr>
        <w:t xml:space="preserve">using amounts that differ from those provided. Accordingly, </w:t>
      </w:r>
      <w:r w:rsidR="00F85C2C">
        <w:rPr>
          <w:rFonts w:eastAsia="Trebuchet MS"/>
          <w:color w:val="000000"/>
        </w:rPr>
        <w:t xml:space="preserve">I </w:t>
      </w:r>
      <w:r w:rsidRPr="001F1A6D">
        <w:rPr>
          <w:rFonts w:eastAsia="Trebuchet MS"/>
          <w:color w:val="000000"/>
        </w:rPr>
        <w:t xml:space="preserve">do not express an opinion or any other assurances on the underlying data </w:t>
      </w:r>
      <w:r w:rsidR="00A4573A">
        <w:rPr>
          <w:rFonts w:eastAsia="Trebuchet MS"/>
          <w:color w:val="000000"/>
        </w:rPr>
        <w:t xml:space="preserve">or projections </w:t>
      </w:r>
      <w:r w:rsidRPr="001F1A6D">
        <w:rPr>
          <w:rFonts w:eastAsia="Trebuchet MS"/>
          <w:color w:val="000000"/>
        </w:rPr>
        <w:t xml:space="preserve">presented or relied upon in this report. </w:t>
      </w:r>
      <w:r w:rsidR="00F85C2C">
        <w:rPr>
          <w:rFonts w:eastAsia="Trebuchet MS"/>
          <w:color w:val="000000"/>
        </w:rPr>
        <w:t xml:space="preserve">I </w:t>
      </w:r>
      <w:r w:rsidRPr="001F1A6D">
        <w:rPr>
          <w:rFonts w:eastAsia="Trebuchet MS"/>
          <w:color w:val="000000"/>
        </w:rPr>
        <w:t xml:space="preserve">do not provide assurance on the achievability of the results forecasted by </w:t>
      </w:r>
      <w:r w:rsidR="00704F71">
        <w:rPr>
          <w:rFonts w:eastAsia="Trebuchet MS"/>
          <w:color w:val="000000"/>
        </w:rPr>
        <w:t>E</w:t>
      </w:r>
      <w:r w:rsidR="00B74CA4">
        <w:rPr>
          <w:rFonts w:eastAsia="Trebuchet MS"/>
          <w:color w:val="000000"/>
        </w:rPr>
        <w:t>ncompass</w:t>
      </w:r>
      <w:r w:rsidRPr="001F1A6D">
        <w:rPr>
          <w:rFonts w:eastAsia="Trebuchet MS"/>
          <w:color w:val="000000"/>
        </w:rPr>
        <w:t xml:space="preserve"> because events and circumstances frequently do not occur as expected, and the achievement of the forecasted results </w:t>
      </w:r>
      <w:r w:rsidR="00A4573A">
        <w:rPr>
          <w:rFonts w:eastAsia="Trebuchet MS"/>
          <w:color w:val="000000"/>
        </w:rPr>
        <w:t xml:space="preserve">is </w:t>
      </w:r>
      <w:r w:rsidRPr="001F1A6D">
        <w:rPr>
          <w:rFonts w:eastAsia="Trebuchet MS"/>
          <w:color w:val="000000"/>
        </w:rPr>
        <w:t xml:space="preserve">dependent on the actions, plans, and assumptions of </w:t>
      </w:r>
      <w:r w:rsidR="00A4573A">
        <w:rPr>
          <w:rFonts w:eastAsia="Trebuchet MS"/>
          <w:color w:val="000000"/>
        </w:rPr>
        <w:t>M</w:t>
      </w:r>
      <w:r w:rsidRPr="001F1A6D">
        <w:rPr>
          <w:rFonts w:eastAsia="Trebuchet MS"/>
          <w:color w:val="000000"/>
        </w:rPr>
        <w:t xml:space="preserve">anagement. </w:t>
      </w:r>
      <w:r w:rsidR="00F85C2C">
        <w:rPr>
          <w:rFonts w:eastAsia="Trebuchet MS"/>
          <w:color w:val="000000"/>
        </w:rPr>
        <w:t xml:space="preserve">I </w:t>
      </w:r>
      <w:r w:rsidRPr="001F1A6D">
        <w:rPr>
          <w:rFonts w:eastAsia="Trebuchet MS"/>
          <w:color w:val="000000"/>
        </w:rPr>
        <w:t xml:space="preserve">reserve the right to update </w:t>
      </w:r>
      <w:r w:rsidR="00F85C2C">
        <w:rPr>
          <w:rFonts w:eastAsia="Trebuchet MS"/>
          <w:color w:val="000000"/>
        </w:rPr>
        <w:t xml:space="preserve">my </w:t>
      </w:r>
      <w:r w:rsidRPr="001F1A6D">
        <w:rPr>
          <w:rFonts w:eastAsia="Trebuchet MS"/>
          <w:color w:val="000000"/>
        </w:rPr>
        <w:t xml:space="preserve">analysis in the event that </w:t>
      </w:r>
      <w:r w:rsidR="00F85C2C">
        <w:rPr>
          <w:rFonts w:eastAsia="Trebuchet MS"/>
          <w:color w:val="000000"/>
        </w:rPr>
        <w:t xml:space="preserve">I am </w:t>
      </w:r>
      <w:r w:rsidRPr="001F1A6D">
        <w:rPr>
          <w:rFonts w:eastAsia="Trebuchet MS"/>
          <w:color w:val="000000"/>
        </w:rPr>
        <w:t>provided with additional information.</w:t>
      </w:r>
    </w:p>
    <w:p w14:paraId="1ACDA383" w14:textId="5E06A2D8" w:rsidR="00E36060" w:rsidRDefault="00E36060" w:rsidP="00480E87">
      <w:pPr>
        <w:textAlignment w:val="baseline"/>
        <w:rPr>
          <w:rFonts w:eastAsia="Trebuchet MS"/>
          <w:color w:val="000000"/>
        </w:rPr>
      </w:pPr>
    </w:p>
    <w:p w14:paraId="0428F7EA" w14:textId="5EEA1C34" w:rsidR="00E36060" w:rsidRDefault="0070779D" w:rsidP="001D0FDA">
      <w:pPr>
        <w:pStyle w:val="BodyText"/>
        <w:spacing w:after="240"/>
        <w:rPr>
          <w:rFonts w:ascii="Times New Roman" w:hAnsi="Times New Roman" w:cs="Times New Roman"/>
        </w:rPr>
      </w:pPr>
      <w:r>
        <w:rPr>
          <w:rFonts w:ascii="Times New Roman" w:hAnsi="Times New Roman" w:cs="Times New Roman"/>
        </w:rPr>
        <w:t xml:space="preserve">Encompass </w:t>
      </w:r>
      <w:r w:rsidR="00E36060">
        <w:rPr>
          <w:rFonts w:ascii="Times New Roman" w:hAnsi="Times New Roman" w:cs="Times New Roman"/>
        </w:rPr>
        <w:t xml:space="preserve">Health Corporation capital stock is traded on the New York Stock Exchange under the stock symbol </w:t>
      </w:r>
      <w:r w:rsidR="0026398D">
        <w:rPr>
          <w:rFonts w:ascii="Times New Roman" w:hAnsi="Times New Roman" w:cs="Times New Roman"/>
        </w:rPr>
        <w:t>E</w:t>
      </w:r>
      <w:r w:rsidR="00E36060">
        <w:rPr>
          <w:rFonts w:ascii="Times New Roman" w:hAnsi="Times New Roman" w:cs="Times New Roman"/>
        </w:rPr>
        <w:t xml:space="preserve">HC. As a company whose stock is publicly traded, </w:t>
      </w:r>
      <w:r w:rsidR="0026398D">
        <w:rPr>
          <w:rFonts w:ascii="Times New Roman" w:hAnsi="Times New Roman" w:cs="Times New Roman"/>
        </w:rPr>
        <w:t>Encompass</w:t>
      </w:r>
      <w:r w:rsidR="00E36060">
        <w:rPr>
          <w:rFonts w:ascii="Times New Roman" w:hAnsi="Times New Roman" w:cs="Times New Roman"/>
        </w:rPr>
        <w:t xml:space="preserve"> is restricted by securities laws from providing forward-looking guidance or projections. Providing projections for use in this DoN application would constitute material nonpublic information under the Securities Act of 1933 and the </w:t>
      </w:r>
      <w:r w:rsidR="00E36060">
        <w:rPr>
          <w:rFonts w:ascii="Times New Roman" w:hAnsi="Times New Roman" w:cs="Times New Roman"/>
        </w:rPr>
        <w:lastRenderedPageBreak/>
        <w:t xml:space="preserve">Securities Exchange Act of 1934. If </w:t>
      </w:r>
      <w:r w:rsidR="0026398D">
        <w:rPr>
          <w:rFonts w:ascii="Times New Roman" w:hAnsi="Times New Roman" w:cs="Times New Roman"/>
        </w:rPr>
        <w:t>Encompass</w:t>
      </w:r>
      <w:r w:rsidR="00E36060">
        <w:rPr>
          <w:rFonts w:ascii="Times New Roman" w:hAnsi="Times New Roman" w:cs="Times New Roman"/>
        </w:rPr>
        <w:t xml:space="preserve"> does provide forward-looking guidance or projections, the security laws, specifically Regulation FD (“fair disclosure”) would require the company to provide the projected information to all investors simultaneously by means of a public SEC filing. Therefore, financial</w:t>
      </w:r>
      <w:r w:rsidR="00E36060" w:rsidRPr="00E36060">
        <w:t xml:space="preserve"> </w:t>
      </w:r>
      <w:r w:rsidR="00E36060">
        <w:rPr>
          <w:rFonts w:ascii="Times New Roman" w:hAnsi="Times New Roman" w:cs="Times New Roman"/>
        </w:rPr>
        <w:t xml:space="preserve">projections for </w:t>
      </w:r>
      <w:r w:rsidR="0026398D">
        <w:rPr>
          <w:rFonts w:ascii="Times New Roman" w:hAnsi="Times New Roman" w:cs="Times New Roman"/>
        </w:rPr>
        <w:t>Encompass</w:t>
      </w:r>
      <w:r w:rsidR="00E36060">
        <w:rPr>
          <w:rFonts w:ascii="Times New Roman" w:hAnsi="Times New Roman" w:cs="Times New Roman"/>
        </w:rPr>
        <w:t xml:space="preserve"> as a whole were not provided to us and are not included as part of our analysis in this Factor 4 report.</w:t>
      </w:r>
    </w:p>
    <w:p w14:paraId="3FA21288" w14:textId="60110976" w:rsidR="00E36060" w:rsidRDefault="00E36060" w:rsidP="00BE27ED">
      <w:pPr>
        <w:pStyle w:val="BodyText"/>
        <w:rPr>
          <w:color w:val="000000"/>
        </w:rPr>
      </w:pPr>
      <w:r>
        <w:rPr>
          <w:rFonts w:ascii="Times New Roman" w:hAnsi="Times New Roman" w:cs="Times New Roman"/>
        </w:rPr>
        <w:t xml:space="preserve">Since we do not have projected financials for </w:t>
      </w:r>
      <w:r w:rsidR="0026398D">
        <w:rPr>
          <w:rFonts w:ascii="Times New Roman" w:hAnsi="Times New Roman" w:cs="Times New Roman"/>
        </w:rPr>
        <w:t>Encompass</w:t>
      </w:r>
      <w:r>
        <w:rPr>
          <w:rFonts w:ascii="Times New Roman" w:hAnsi="Times New Roman" w:cs="Times New Roman"/>
        </w:rPr>
        <w:t xml:space="preserve">, we have analyzed the historical financials of </w:t>
      </w:r>
      <w:r w:rsidR="0026398D">
        <w:rPr>
          <w:rFonts w:ascii="Times New Roman" w:hAnsi="Times New Roman" w:cs="Times New Roman"/>
        </w:rPr>
        <w:t>Encompass</w:t>
      </w:r>
      <w:r>
        <w:rPr>
          <w:rFonts w:ascii="Times New Roman" w:hAnsi="Times New Roman" w:cs="Times New Roman"/>
        </w:rPr>
        <w:t xml:space="preserve"> and the projections</w:t>
      </w:r>
      <w:r w:rsidR="00BE27ED">
        <w:rPr>
          <w:rFonts w:ascii="Times New Roman" w:hAnsi="Times New Roman" w:cs="Times New Roman"/>
        </w:rPr>
        <w:t xml:space="preserve">, including the </w:t>
      </w:r>
      <w:r w:rsidR="001D0FDA">
        <w:rPr>
          <w:rFonts w:ascii="Times New Roman" w:hAnsi="Times New Roman" w:cs="Times New Roman"/>
        </w:rPr>
        <w:t>17</w:t>
      </w:r>
      <w:r w:rsidR="0026398D">
        <w:rPr>
          <w:rFonts w:ascii="Times New Roman" w:hAnsi="Times New Roman" w:cs="Times New Roman"/>
        </w:rPr>
        <w:t xml:space="preserve">-bed </w:t>
      </w:r>
      <w:r w:rsidR="001D0FDA">
        <w:rPr>
          <w:rFonts w:ascii="Times New Roman" w:hAnsi="Times New Roman" w:cs="Times New Roman"/>
        </w:rPr>
        <w:t>addition</w:t>
      </w:r>
      <w:r w:rsidR="00BE27ED">
        <w:rPr>
          <w:rFonts w:ascii="Times New Roman" w:hAnsi="Times New Roman" w:cs="Times New Roman"/>
        </w:rPr>
        <w:t xml:space="preserve">, for </w:t>
      </w:r>
      <w:r w:rsidR="0026398D">
        <w:rPr>
          <w:rFonts w:ascii="Times New Roman" w:hAnsi="Times New Roman" w:cs="Times New Roman"/>
        </w:rPr>
        <w:t xml:space="preserve">Encompass </w:t>
      </w:r>
      <w:r w:rsidR="001D0FDA">
        <w:rPr>
          <w:rFonts w:ascii="Times New Roman" w:hAnsi="Times New Roman" w:cs="Times New Roman"/>
        </w:rPr>
        <w:t>Western Mass</w:t>
      </w:r>
      <w:r>
        <w:rPr>
          <w:rFonts w:ascii="Times New Roman" w:hAnsi="Times New Roman" w:cs="Times New Roman"/>
        </w:rPr>
        <w:t>. We have drawn conclusions concerning the potential impact of the</w:t>
      </w:r>
      <w:r w:rsidRPr="00491311">
        <w:rPr>
          <w:rFonts w:ascii="Times New Roman" w:hAnsi="Times New Roman" w:cs="Times New Roman"/>
        </w:rPr>
        <w:t xml:space="preserve"> </w:t>
      </w:r>
      <w:r w:rsidR="001D0FDA">
        <w:rPr>
          <w:rFonts w:ascii="Times New Roman" w:hAnsi="Times New Roman" w:cs="Times New Roman"/>
        </w:rPr>
        <w:t>17</w:t>
      </w:r>
      <w:r w:rsidR="0026398D">
        <w:rPr>
          <w:rFonts w:ascii="Times New Roman" w:hAnsi="Times New Roman" w:cs="Times New Roman"/>
        </w:rPr>
        <w:t xml:space="preserve">-bed </w:t>
      </w:r>
      <w:r w:rsidR="001D0FDA">
        <w:rPr>
          <w:rFonts w:ascii="Times New Roman" w:hAnsi="Times New Roman" w:cs="Times New Roman"/>
        </w:rPr>
        <w:t>addition</w:t>
      </w:r>
      <w:r w:rsidR="00BE27ED">
        <w:rPr>
          <w:rFonts w:ascii="Times New Roman" w:hAnsi="Times New Roman" w:cs="Times New Roman"/>
        </w:rPr>
        <w:t xml:space="preserve"> project</w:t>
      </w:r>
      <w:r w:rsidR="0026398D">
        <w:rPr>
          <w:rFonts w:ascii="Times New Roman" w:hAnsi="Times New Roman" w:cs="Times New Roman"/>
        </w:rPr>
        <w:t xml:space="preserve"> </w:t>
      </w:r>
      <w:r>
        <w:rPr>
          <w:rFonts w:ascii="Times New Roman" w:hAnsi="Times New Roman" w:cs="Times New Roman"/>
        </w:rPr>
        <w:t xml:space="preserve">on </w:t>
      </w:r>
      <w:r w:rsidR="0026398D">
        <w:rPr>
          <w:rFonts w:ascii="Times New Roman" w:hAnsi="Times New Roman" w:cs="Times New Roman"/>
        </w:rPr>
        <w:t>Encompass</w:t>
      </w:r>
      <w:r>
        <w:rPr>
          <w:rFonts w:ascii="Times New Roman" w:hAnsi="Times New Roman" w:cs="Times New Roman"/>
        </w:rPr>
        <w:t xml:space="preserve"> as a whole assuming that </w:t>
      </w:r>
      <w:r w:rsidR="0026398D">
        <w:rPr>
          <w:rFonts w:ascii="Times New Roman" w:hAnsi="Times New Roman" w:cs="Times New Roman"/>
        </w:rPr>
        <w:t>Encompass</w:t>
      </w:r>
      <w:r>
        <w:rPr>
          <w:rFonts w:ascii="Times New Roman" w:hAnsi="Times New Roman" w:cs="Times New Roman"/>
        </w:rPr>
        <w:t xml:space="preserve"> continues to operate as it has for the past 2 years for which we have received financial statements.</w:t>
      </w:r>
    </w:p>
    <w:p w14:paraId="55922092" w14:textId="77777777" w:rsidR="00480E87" w:rsidRDefault="00480E87" w:rsidP="00480E87">
      <w:pPr>
        <w:textAlignment w:val="baseline"/>
        <w:rPr>
          <w:rFonts w:eastAsia="Trebuchet MS"/>
          <w:color w:val="000000"/>
        </w:rPr>
      </w:pPr>
    </w:p>
    <w:p w14:paraId="61F8655E" w14:textId="61251843" w:rsidR="00557E9F" w:rsidRPr="00A9626F" w:rsidRDefault="00C43695"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t xml:space="preserve">PRIMARY </w:t>
      </w:r>
      <w:r w:rsidR="00003594" w:rsidRPr="00A9626F">
        <w:rPr>
          <w:rFonts w:ascii="Times New Roman" w:eastAsia="Trebuchet MS" w:hAnsi="Times New Roman" w:cs="Times New Roman"/>
          <w:b/>
          <w:bCs/>
          <w:color w:val="auto"/>
          <w:sz w:val="22"/>
          <w:szCs w:val="22"/>
          <w:u w:val="single"/>
        </w:rPr>
        <w:t>S</w:t>
      </w:r>
      <w:r w:rsidR="00F85C2C" w:rsidRPr="00A9626F">
        <w:rPr>
          <w:rFonts w:ascii="Times New Roman" w:eastAsia="Trebuchet MS" w:hAnsi="Times New Roman" w:cs="Times New Roman"/>
          <w:b/>
          <w:bCs/>
          <w:color w:val="auto"/>
          <w:sz w:val="22"/>
          <w:szCs w:val="22"/>
          <w:u w:val="single"/>
        </w:rPr>
        <w:t>OURC</w:t>
      </w:r>
      <w:r w:rsidR="00003594" w:rsidRPr="00A9626F">
        <w:rPr>
          <w:rFonts w:ascii="Times New Roman" w:eastAsia="Trebuchet MS" w:hAnsi="Times New Roman" w:cs="Times New Roman"/>
          <w:b/>
          <w:bCs/>
          <w:color w:val="auto"/>
          <w:sz w:val="22"/>
          <w:szCs w:val="22"/>
          <w:u w:val="single"/>
        </w:rPr>
        <w:t xml:space="preserve">ES OF INFORMATION UTILIZED </w:t>
      </w:r>
    </w:p>
    <w:p w14:paraId="1155A94F" w14:textId="77777777" w:rsidR="00480E87" w:rsidRPr="00480E87" w:rsidRDefault="00480E87" w:rsidP="00480E87">
      <w:pPr>
        <w:pStyle w:val="ListParagraph"/>
        <w:ind w:left="1080"/>
        <w:textAlignment w:val="baseline"/>
        <w:rPr>
          <w:rFonts w:eastAsia="Trebuchet MS"/>
          <w:b/>
          <w:color w:val="000000"/>
        </w:rPr>
      </w:pPr>
    </w:p>
    <w:p w14:paraId="44C4B527" w14:textId="6D447AF4" w:rsidR="001642AB" w:rsidRDefault="00003594" w:rsidP="001642AB">
      <w:pPr>
        <w:spacing w:after="240"/>
        <w:textAlignment w:val="baseline"/>
        <w:rPr>
          <w:rFonts w:eastAsia="Trebuchet MS"/>
          <w:color w:val="000000"/>
        </w:rPr>
      </w:pPr>
      <w:r w:rsidRPr="007328AC">
        <w:rPr>
          <w:rFonts w:eastAsia="Trebuchet MS"/>
          <w:color w:val="000000"/>
        </w:rPr>
        <w:t xml:space="preserve">In formulating </w:t>
      </w:r>
      <w:r w:rsidR="00F85C2C" w:rsidRPr="007328AC">
        <w:rPr>
          <w:rFonts w:eastAsia="Trebuchet MS"/>
          <w:color w:val="000000"/>
        </w:rPr>
        <w:t>my</w:t>
      </w:r>
      <w:r w:rsidRPr="007328AC">
        <w:rPr>
          <w:rFonts w:eastAsia="Trebuchet MS"/>
          <w:color w:val="000000"/>
        </w:rPr>
        <w:t xml:space="preserve"> conclusions contained in this report, </w:t>
      </w:r>
      <w:r w:rsidR="00F85C2C" w:rsidRPr="007328AC">
        <w:rPr>
          <w:rFonts w:eastAsia="Trebuchet MS"/>
          <w:color w:val="000000"/>
        </w:rPr>
        <w:t>I</w:t>
      </w:r>
      <w:r w:rsidRPr="007328AC">
        <w:rPr>
          <w:rFonts w:eastAsia="Trebuchet MS"/>
          <w:color w:val="000000"/>
        </w:rPr>
        <w:t xml:space="preserve"> revie</w:t>
      </w:r>
      <w:r w:rsidR="00F85C2C" w:rsidRPr="007328AC">
        <w:rPr>
          <w:rFonts w:eastAsia="Trebuchet MS"/>
          <w:color w:val="000000"/>
        </w:rPr>
        <w:t>we</w:t>
      </w:r>
      <w:r w:rsidRPr="007328AC">
        <w:rPr>
          <w:rFonts w:eastAsia="Trebuchet MS"/>
          <w:color w:val="000000"/>
        </w:rPr>
        <w:t xml:space="preserve">d documents produced by Management. The documents and information upon which </w:t>
      </w:r>
      <w:r w:rsidR="00F85C2C" w:rsidRPr="007328AC">
        <w:rPr>
          <w:rFonts w:eastAsia="Trebuchet MS"/>
          <w:color w:val="000000"/>
        </w:rPr>
        <w:t>I</w:t>
      </w:r>
      <w:r w:rsidRPr="007328AC">
        <w:rPr>
          <w:rFonts w:eastAsia="Trebuchet MS"/>
          <w:color w:val="000000"/>
        </w:rPr>
        <w:t xml:space="preserve"> relied are identified below or are otherwise referenced in this report:</w:t>
      </w:r>
    </w:p>
    <w:p w14:paraId="26E3D87D" w14:textId="107D2DF0" w:rsidR="0010079F" w:rsidRDefault="00003594" w:rsidP="0010079F">
      <w:pPr>
        <w:pStyle w:val="ListParagraph"/>
        <w:numPr>
          <w:ilvl w:val="0"/>
          <w:numId w:val="2"/>
        </w:numPr>
        <w:spacing w:after="240"/>
        <w:ind w:left="720" w:hanging="360"/>
        <w:textAlignment w:val="baseline"/>
        <w:rPr>
          <w:rFonts w:eastAsia="Trebuchet MS"/>
          <w:color w:val="000000"/>
        </w:rPr>
      </w:pPr>
      <w:r w:rsidRPr="007759C2">
        <w:rPr>
          <w:rFonts w:eastAsia="Trebuchet MS"/>
          <w:color w:val="000000"/>
        </w:rPr>
        <w:t xml:space="preserve">Five-Year </w:t>
      </w:r>
      <w:r w:rsidR="001642AB" w:rsidRPr="007759C2">
        <w:rPr>
          <w:rFonts w:eastAsia="Trebuchet MS"/>
          <w:color w:val="000000"/>
        </w:rPr>
        <w:t>Financial Forecast (</w:t>
      </w:r>
      <w:r w:rsidR="00F02CB9" w:rsidRPr="007759C2">
        <w:rPr>
          <w:rFonts w:eastAsia="Trebuchet MS"/>
          <w:color w:val="000000"/>
        </w:rPr>
        <w:t>Projections)</w:t>
      </w:r>
      <w:r w:rsidR="007C54C8" w:rsidRPr="007759C2">
        <w:rPr>
          <w:rFonts w:eastAsia="Trebuchet MS"/>
          <w:color w:val="000000"/>
        </w:rPr>
        <w:t>, including related assumptions</w:t>
      </w:r>
      <w:r w:rsidR="00F02CB9" w:rsidRPr="007759C2">
        <w:rPr>
          <w:rFonts w:eastAsia="Trebuchet MS"/>
          <w:color w:val="000000"/>
        </w:rPr>
        <w:t xml:space="preserve"> </w:t>
      </w:r>
      <w:r w:rsidR="001642AB" w:rsidRPr="007759C2">
        <w:rPr>
          <w:rFonts w:eastAsia="Trebuchet MS"/>
          <w:color w:val="000000"/>
        </w:rPr>
        <w:t xml:space="preserve">for </w:t>
      </w:r>
      <w:r w:rsidR="00704F71">
        <w:rPr>
          <w:rFonts w:eastAsia="Trebuchet MS"/>
          <w:color w:val="000000"/>
        </w:rPr>
        <w:t>Encompass</w:t>
      </w:r>
      <w:r w:rsidR="00794058">
        <w:rPr>
          <w:rFonts w:eastAsia="Trebuchet MS"/>
          <w:color w:val="000000"/>
        </w:rPr>
        <w:t xml:space="preserve"> </w:t>
      </w:r>
      <w:r w:rsidR="00B74CA4">
        <w:rPr>
          <w:rFonts w:eastAsia="Trebuchet MS"/>
          <w:color w:val="000000"/>
        </w:rPr>
        <w:t xml:space="preserve">Health </w:t>
      </w:r>
      <w:r w:rsidR="0082648B">
        <w:rPr>
          <w:rFonts w:eastAsia="Trebuchet MS"/>
          <w:color w:val="000000"/>
        </w:rPr>
        <w:t xml:space="preserve">Rehabilitation Hospital of </w:t>
      </w:r>
      <w:r w:rsidR="001D0FDA">
        <w:rPr>
          <w:rFonts w:eastAsia="Trebuchet MS"/>
          <w:color w:val="000000"/>
        </w:rPr>
        <w:t>Western Massachusetts</w:t>
      </w:r>
      <w:r w:rsidR="0082648B">
        <w:rPr>
          <w:rFonts w:eastAsia="Trebuchet MS"/>
          <w:color w:val="000000"/>
        </w:rPr>
        <w:t>, LLC</w:t>
      </w:r>
      <w:r w:rsidR="001642AB" w:rsidRPr="007759C2">
        <w:rPr>
          <w:rFonts w:eastAsia="Trebuchet MS"/>
          <w:color w:val="000000"/>
        </w:rPr>
        <w:t xml:space="preserve"> </w:t>
      </w:r>
      <w:r w:rsidR="00C43695" w:rsidRPr="007759C2">
        <w:rPr>
          <w:rFonts w:eastAsia="Trebuchet MS"/>
          <w:color w:val="000000"/>
        </w:rPr>
        <w:t>for the years ending 20</w:t>
      </w:r>
      <w:r w:rsidR="002E05DC" w:rsidRPr="007759C2">
        <w:rPr>
          <w:rFonts w:eastAsia="Trebuchet MS"/>
          <w:color w:val="000000"/>
        </w:rPr>
        <w:t>2</w:t>
      </w:r>
      <w:r w:rsidR="0010079F">
        <w:rPr>
          <w:rFonts w:eastAsia="Trebuchet MS"/>
          <w:color w:val="000000"/>
        </w:rPr>
        <w:t>5</w:t>
      </w:r>
      <w:r w:rsidR="00C43695" w:rsidRPr="007759C2">
        <w:rPr>
          <w:rFonts w:eastAsia="Trebuchet MS"/>
          <w:color w:val="000000"/>
        </w:rPr>
        <w:t xml:space="preserve"> through 202</w:t>
      </w:r>
      <w:r w:rsidR="00285882">
        <w:rPr>
          <w:rFonts w:eastAsia="Trebuchet MS"/>
          <w:color w:val="000000"/>
        </w:rPr>
        <w:t>9</w:t>
      </w:r>
      <w:r w:rsidR="00C43695" w:rsidRPr="007759C2">
        <w:rPr>
          <w:rFonts w:eastAsia="Trebuchet MS"/>
          <w:color w:val="000000"/>
        </w:rPr>
        <w:t xml:space="preserve">, </w:t>
      </w:r>
      <w:r w:rsidR="0010079F">
        <w:rPr>
          <w:rFonts w:eastAsia="Trebuchet MS"/>
          <w:color w:val="000000"/>
        </w:rPr>
        <w:t xml:space="preserve">initially </w:t>
      </w:r>
      <w:r w:rsidRPr="007759C2">
        <w:rPr>
          <w:rFonts w:eastAsia="Trebuchet MS"/>
          <w:color w:val="000000"/>
        </w:rPr>
        <w:t>provided</w:t>
      </w:r>
      <w:r w:rsidR="007A1986">
        <w:rPr>
          <w:rFonts w:eastAsia="Trebuchet MS"/>
          <w:color w:val="000000"/>
        </w:rPr>
        <w:t xml:space="preserve"> </w:t>
      </w:r>
      <w:r w:rsidR="0082648B">
        <w:rPr>
          <w:rFonts w:eastAsia="Trebuchet MS"/>
          <w:color w:val="000000"/>
        </w:rPr>
        <w:t>Ma</w:t>
      </w:r>
      <w:r w:rsidR="001D0FDA">
        <w:rPr>
          <w:rFonts w:eastAsia="Trebuchet MS"/>
          <w:color w:val="000000"/>
        </w:rPr>
        <w:t>y</w:t>
      </w:r>
      <w:r w:rsidR="0010079F">
        <w:rPr>
          <w:rFonts w:eastAsia="Trebuchet MS"/>
          <w:color w:val="000000"/>
        </w:rPr>
        <w:t xml:space="preserve"> </w:t>
      </w:r>
      <w:r w:rsidR="001D0FDA">
        <w:rPr>
          <w:rFonts w:eastAsia="Trebuchet MS"/>
          <w:color w:val="000000"/>
        </w:rPr>
        <w:t>8</w:t>
      </w:r>
      <w:r w:rsidR="0010079F">
        <w:rPr>
          <w:rFonts w:eastAsia="Trebuchet MS"/>
          <w:color w:val="000000"/>
        </w:rPr>
        <w:t>, 202</w:t>
      </w:r>
      <w:r w:rsidR="0082648B">
        <w:rPr>
          <w:rFonts w:eastAsia="Trebuchet MS"/>
          <w:color w:val="000000"/>
        </w:rPr>
        <w:t>3</w:t>
      </w:r>
      <w:r w:rsidR="00AA618D">
        <w:rPr>
          <w:rFonts w:eastAsia="Trebuchet MS"/>
          <w:color w:val="000000"/>
        </w:rPr>
        <w:t xml:space="preserve"> and updated May 18, 2023</w:t>
      </w:r>
      <w:r w:rsidR="00DE0AB8">
        <w:rPr>
          <w:rFonts w:eastAsia="Trebuchet MS"/>
          <w:color w:val="000000"/>
        </w:rPr>
        <w:t>;</w:t>
      </w:r>
    </w:p>
    <w:p w14:paraId="195081E6" w14:textId="77777777" w:rsidR="00B74CA4" w:rsidRDefault="00B74CA4" w:rsidP="00B74CA4">
      <w:pPr>
        <w:pStyle w:val="ListParagraph"/>
        <w:spacing w:after="240"/>
        <w:textAlignment w:val="baseline"/>
        <w:rPr>
          <w:rFonts w:eastAsia="Trebuchet MS"/>
          <w:color w:val="000000"/>
        </w:rPr>
      </w:pPr>
    </w:p>
    <w:p w14:paraId="5178EB96" w14:textId="7C013575" w:rsidR="007328AC" w:rsidRPr="0010079F" w:rsidRDefault="0010079F" w:rsidP="0010079F">
      <w:pPr>
        <w:pStyle w:val="ListParagraph"/>
        <w:numPr>
          <w:ilvl w:val="0"/>
          <w:numId w:val="2"/>
        </w:numPr>
        <w:spacing w:after="240"/>
        <w:ind w:left="720" w:hanging="360"/>
        <w:textAlignment w:val="baseline"/>
        <w:rPr>
          <w:rFonts w:eastAsia="Trebuchet MS"/>
          <w:color w:val="000000"/>
        </w:rPr>
      </w:pPr>
      <w:r w:rsidRPr="0010079F">
        <w:rPr>
          <w:rFonts w:eastAsia="Trebuchet MS"/>
          <w:color w:val="000000"/>
        </w:rPr>
        <w:t>Balance sheet, income statement and statement of cash flow analysis</w:t>
      </w:r>
      <w:r w:rsidR="00A4573A">
        <w:rPr>
          <w:rFonts w:eastAsia="Trebuchet MS"/>
          <w:color w:val="000000"/>
        </w:rPr>
        <w:t xml:space="preserve"> for Encompass Western Mass</w:t>
      </w:r>
      <w:r w:rsidRPr="0010079F">
        <w:rPr>
          <w:rFonts w:eastAsia="Trebuchet MS"/>
          <w:color w:val="000000"/>
        </w:rPr>
        <w:t>, including detailed assumptions for historical years 20</w:t>
      </w:r>
      <w:r w:rsidR="0082648B">
        <w:rPr>
          <w:rFonts w:eastAsia="Trebuchet MS"/>
          <w:color w:val="000000"/>
        </w:rPr>
        <w:t>2</w:t>
      </w:r>
      <w:r w:rsidR="00943DE1">
        <w:rPr>
          <w:rFonts w:eastAsia="Trebuchet MS"/>
          <w:color w:val="000000"/>
        </w:rPr>
        <w:t>1</w:t>
      </w:r>
      <w:r w:rsidRPr="0010079F">
        <w:rPr>
          <w:rFonts w:eastAsia="Trebuchet MS"/>
          <w:color w:val="000000"/>
        </w:rPr>
        <w:t xml:space="preserve"> </w:t>
      </w:r>
      <w:r w:rsidR="00943DE1">
        <w:rPr>
          <w:rFonts w:eastAsia="Trebuchet MS"/>
          <w:color w:val="000000"/>
        </w:rPr>
        <w:t>and</w:t>
      </w:r>
      <w:r w:rsidRPr="0010079F">
        <w:rPr>
          <w:rFonts w:eastAsia="Trebuchet MS"/>
          <w:color w:val="000000"/>
        </w:rPr>
        <w:t xml:space="preserve"> 202</w:t>
      </w:r>
      <w:r w:rsidR="0082648B">
        <w:rPr>
          <w:rFonts w:eastAsia="Trebuchet MS"/>
          <w:color w:val="000000"/>
        </w:rPr>
        <w:t>2</w:t>
      </w:r>
      <w:r w:rsidRPr="0010079F">
        <w:rPr>
          <w:rFonts w:eastAsia="Trebuchet MS"/>
          <w:color w:val="000000"/>
        </w:rPr>
        <w:t xml:space="preserve"> and p</w:t>
      </w:r>
      <w:r w:rsidR="00704AC6" w:rsidRPr="0010079F">
        <w:rPr>
          <w:rFonts w:eastAsia="Trebuchet MS"/>
          <w:color w:val="000000"/>
        </w:rPr>
        <w:t xml:space="preserve">rojected </w:t>
      </w:r>
      <w:r w:rsidRPr="0010079F">
        <w:rPr>
          <w:rFonts w:eastAsia="Trebuchet MS"/>
          <w:color w:val="000000"/>
        </w:rPr>
        <w:t>for the years 202</w:t>
      </w:r>
      <w:r w:rsidR="0082648B">
        <w:rPr>
          <w:rFonts w:eastAsia="Trebuchet MS"/>
          <w:color w:val="000000"/>
        </w:rPr>
        <w:t>3</w:t>
      </w:r>
      <w:r w:rsidRPr="0010079F">
        <w:rPr>
          <w:rFonts w:eastAsia="Trebuchet MS"/>
          <w:color w:val="000000"/>
        </w:rPr>
        <w:t xml:space="preserve"> through 2029</w:t>
      </w:r>
      <w:r w:rsidR="00911774" w:rsidRPr="0010079F">
        <w:rPr>
          <w:rFonts w:eastAsia="Trebuchet MS"/>
          <w:color w:val="000000"/>
        </w:rPr>
        <w:t xml:space="preserve">, </w:t>
      </w:r>
      <w:r w:rsidRPr="0010079F">
        <w:rPr>
          <w:rFonts w:eastAsia="Trebuchet MS"/>
          <w:color w:val="000000"/>
        </w:rPr>
        <w:t xml:space="preserve">initially </w:t>
      </w:r>
      <w:r w:rsidR="00704AC6" w:rsidRPr="0010079F">
        <w:rPr>
          <w:rFonts w:eastAsia="Trebuchet MS"/>
          <w:color w:val="000000"/>
        </w:rPr>
        <w:t xml:space="preserve">provided </w:t>
      </w:r>
      <w:r w:rsidR="0082648B">
        <w:rPr>
          <w:rFonts w:eastAsia="Trebuchet MS"/>
          <w:color w:val="000000"/>
        </w:rPr>
        <w:t>Ma</w:t>
      </w:r>
      <w:r w:rsidR="00943DE1">
        <w:rPr>
          <w:rFonts w:eastAsia="Trebuchet MS"/>
          <w:color w:val="000000"/>
        </w:rPr>
        <w:t>y</w:t>
      </w:r>
      <w:r w:rsidRPr="0010079F">
        <w:rPr>
          <w:rFonts w:eastAsia="Trebuchet MS"/>
          <w:color w:val="000000"/>
        </w:rPr>
        <w:t xml:space="preserve"> </w:t>
      </w:r>
      <w:r w:rsidR="00943DE1">
        <w:rPr>
          <w:rFonts w:eastAsia="Trebuchet MS"/>
          <w:color w:val="000000"/>
        </w:rPr>
        <w:t>8</w:t>
      </w:r>
      <w:r w:rsidRPr="0010079F">
        <w:rPr>
          <w:rFonts w:eastAsia="Trebuchet MS"/>
          <w:color w:val="000000"/>
        </w:rPr>
        <w:t>, 202</w:t>
      </w:r>
      <w:r w:rsidR="0082648B">
        <w:rPr>
          <w:rFonts w:eastAsia="Trebuchet MS"/>
          <w:color w:val="000000"/>
        </w:rPr>
        <w:t>3</w:t>
      </w:r>
      <w:r w:rsidR="00AA618D">
        <w:rPr>
          <w:rFonts w:eastAsia="Trebuchet MS"/>
          <w:color w:val="000000"/>
        </w:rPr>
        <w:t xml:space="preserve"> and updated May 18, 2023</w:t>
      </w:r>
      <w:r w:rsidR="00DE0AB8">
        <w:rPr>
          <w:rFonts w:eastAsia="Trebuchet MS"/>
          <w:color w:val="000000"/>
        </w:rPr>
        <w:t>;</w:t>
      </w:r>
    </w:p>
    <w:p w14:paraId="4B5D3A4A" w14:textId="401F34CA" w:rsidR="00114B71" w:rsidRDefault="00E73AE7" w:rsidP="00397D38">
      <w:pPr>
        <w:numPr>
          <w:ilvl w:val="0"/>
          <w:numId w:val="2"/>
        </w:numPr>
        <w:spacing w:after="240"/>
        <w:ind w:left="720" w:hanging="360"/>
        <w:textAlignment w:val="baseline"/>
        <w:rPr>
          <w:rFonts w:eastAsia="Trebuchet MS"/>
          <w:color w:val="000000"/>
        </w:rPr>
      </w:pPr>
      <w:r>
        <w:rPr>
          <w:rFonts w:eastAsia="Trebuchet MS"/>
          <w:color w:val="000000"/>
        </w:rPr>
        <w:t>Schedule of Estimated Total C</w:t>
      </w:r>
      <w:r w:rsidR="00114B71">
        <w:rPr>
          <w:rFonts w:eastAsia="Trebuchet MS"/>
          <w:color w:val="000000"/>
        </w:rPr>
        <w:t>apital Expenditure</w:t>
      </w:r>
      <w:r>
        <w:rPr>
          <w:rFonts w:eastAsia="Trebuchet MS"/>
          <w:color w:val="000000"/>
        </w:rPr>
        <w:t xml:space="preserve"> </w:t>
      </w:r>
      <w:r w:rsidR="0082648B">
        <w:rPr>
          <w:rFonts w:eastAsia="Trebuchet MS"/>
          <w:color w:val="000000"/>
        </w:rPr>
        <w:t xml:space="preserve">initially </w:t>
      </w:r>
      <w:r w:rsidR="00114B71" w:rsidRPr="006A7E88">
        <w:rPr>
          <w:rFonts w:eastAsia="Trebuchet MS"/>
          <w:color w:val="000000"/>
        </w:rPr>
        <w:t xml:space="preserve">provided </w:t>
      </w:r>
      <w:r w:rsidR="0082648B">
        <w:rPr>
          <w:rFonts w:eastAsia="Trebuchet MS"/>
          <w:color w:val="000000"/>
        </w:rPr>
        <w:t>Ma</w:t>
      </w:r>
      <w:r w:rsidR="00943DE1">
        <w:rPr>
          <w:rFonts w:eastAsia="Trebuchet MS"/>
          <w:color w:val="000000"/>
        </w:rPr>
        <w:t>y</w:t>
      </w:r>
      <w:r w:rsidR="006C4F5F">
        <w:rPr>
          <w:rFonts w:eastAsia="Trebuchet MS"/>
          <w:color w:val="000000"/>
        </w:rPr>
        <w:t xml:space="preserve"> </w:t>
      </w:r>
      <w:r w:rsidR="00943DE1">
        <w:rPr>
          <w:rFonts w:eastAsia="Trebuchet MS"/>
          <w:color w:val="000000"/>
        </w:rPr>
        <w:t>8</w:t>
      </w:r>
      <w:r w:rsidR="00114B71" w:rsidRPr="006A7E88">
        <w:rPr>
          <w:rFonts w:eastAsia="Trebuchet MS"/>
          <w:color w:val="000000"/>
        </w:rPr>
        <w:t>, 202</w:t>
      </w:r>
      <w:r w:rsidR="0082648B">
        <w:rPr>
          <w:rFonts w:eastAsia="Trebuchet MS"/>
          <w:color w:val="000000"/>
        </w:rPr>
        <w:t>3</w:t>
      </w:r>
      <w:r w:rsidR="00397D38" w:rsidRPr="006A7E88">
        <w:rPr>
          <w:rFonts w:eastAsia="Trebuchet MS"/>
          <w:color w:val="000000"/>
        </w:rPr>
        <w:t>;</w:t>
      </w:r>
    </w:p>
    <w:p w14:paraId="591DF72C" w14:textId="556CBF84" w:rsidR="008838A0" w:rsidRPr="006A7E88" w:rsidRDefault="008838A0" w:rsidP="00397D38">
      <w:pPr>
        <w:numPr>
          <w:ilvl w:val="0"/>
          <w:numId w:val="2"/>
        </w:numPr>
        <w:spacing w:after="240"/>
        <w:ind w:left="720" w:hanging="360"/>
        <w:textAlignment w:val="baseline"/>
        <w:rPr>
          <w:rFonts w:eastAsia="Trebuchet MS"/>
          <w:color w:val="000000"/>
        </w:rPr>
      </w:pPr>
      <w:r>
        <w:rPr>
          <w:rFonts w:eastAsia="Trebuchet MS"/>
          <w:color w:val="000000"/>
        </w:rPr>
        <w:t>Massachusetts Department of Public Health Determination of Need Application Form for the Encompass Western Mass project, provided May 19, 2023</w:t>
      </w:r>
      <w:r w:rsidR="00DE0AB8">
        <w:rPr>
          <w:rFonts w:eastAsia="Trebuchet MS"/>
          <w:color w:val="000000"/>
        </w:rPr>
        <w:t>;</w:t>
      </w:r>
    </w:p>
    <w:p w14:paraId="5928CDD7" w14:textId="59A65F11" w:rsidR="00557E9F" w:rsidRPr="007328AC" w:rsidRDefault="00003594" w:rsidP="00397D38">
      <w:pPr>
        <w:numPr>
          <w:ilvl w:val="0"/>
          <w:numId w:val="2"/>
        </w:numPr>
        <w:spacing w:after="240"/>
        <w:ind w:left="720" w:hanging="360"/>
        <w:textAlignment w:val="baseline"/>
        <w:rPr>
          <w:rFonts w:eastAsia="Trebuchet MS"/>
          <w:color w:val="000000"/>
        </w:rPr>
      </w:pPr>
      <w:r w:rsidRPr="00C238DA">
        <w:rPr>
          <w:rFonts w:eastAsia="Trebuchet MS"/>
          <w:color w:val="000000"/>
        </w:rPr>
        <w:t>Audited Financial Statements of</w:t>
      </w:r>
      <w:r w:rsidRPr="007328AC">
        <w:rPr>
          <w:rFonts w:eastAsia="Trebuchet MS"/>
          <w:color w:val="000000"/>
        </w:rPr>
        <w:t xml:space="preserve"> </w:t>
      </w:r>
      <w:r w:rsidR="00704F71">
        <w:rPr>
          <w:rFonts w:eastAsia="Trebuchet MS"/>
          <w:color w:val="000000"/>
        </w:rPr>
        <w:t>Encompass</w:t>
      </w:r>
      <w:r w:rsidR="00794058">
        <w:rPr>
          <w:rFonts w:eastAsia="Trebuchet MS"/>
          <w:color w:val="000000"/>
        </w:rPr>
        <w:t xml:space="preserve"> </w:t>
      </w:r>
      <w:r w:rsidR="008D3F76">
        <w:rPr>
          <w:rFonts w:eastAsia="Trebuchet MS"/>
          <w:color w:val="000000"/>
        </w:rPr>
        <w:t>Health Corporation</w:t>
      </w:r>
      <w:r w:rsidRPr="007328AC">
        <w:rPr>
          <w:rFonts w:eastAsia="Trebuchet MS"/>
          <w:color w:val="000000"/>
        </w:rPr>
        <w:t xml:space="preserve"> </w:t>
      </w:r>
      <w:r w:rsidR="001C5398">
        <w:rPr>
          <w:rFonts w:eastAsia="Trebuchet MS"/>
          <w:color w:val="000000"/>
        </w:rPr>
        <w:t>a</w:t>
      </w:r>
      <w:r w:rsidR="00732599" w:rsidRPr="007328AC">
        <w:rPr>
          <w:rFonts w:eastAsia="Trebuchet MS"/>
          <w:color w:val="000000"/>
        </w:rPr>
        <w:t xml:space="preserve">s of and </w:t>
      </w:r>
      <w:r w:rsidRPr="007328AC">
        <w:rPr>
          <w:rFonts w:eastAsia="Trebuchet MS"/>
          <w:color w:val="000000"/>
        </w:rPr>
        <w:t xml:space="preserve">for the year ended </w:t>
      </w:r>
      <w:r w:rsidR="0010079F">
        <w:rPr>
          <w:rFonts w:eastAsia="Trebuchet MS"/>
          <w:color w:val="000000"/>
        </w:rPr>
        <w:t xml:space="preserve">December 31, </w:t>
      </w:r>
      <w:r w:rsidRPr="007328AC">
        <w:rPr>
          <w:rFonts w:eastAsia="Trebuchet MS"/>
          <w:color w:val="000000"/>
        </w:rPr>
        <w:t>20</w:t>
      </w:r>
      <w:r w:rsidR="00DE4E39">
        <w:rPr>
          <w:rFonts w:eastAsia="Trebuchet MS"/>
          <w:color w:val="000000"/>
        </w:rPr>
        <w:t>2</w:t>
      </w:r>
      <w:r w:rsidR="0082648B">
        <w:rPr>
          <w:rFonts w:eastAsia="Trebuchet MS"/>
          <w:color w:val="000000"/>
        </w:rPr>
        <w:t>2</w:t>
      </w:r>
      <w:r w:rsidR="00776608">
        <w:rPr>
          <w:rFonts w:eastAsia="Trebuchet MS"/>
          <w:color w:val="000000"/>
        </w:rPr>
        <w:t xml:space="preserve"> </w:t>
      </w:r>
      <w:r w:rsidR="00933533">
        <w:rPr>
          <w:rFonts w:eastAsia="Trebuchet MS"/>
          <w:color w:val="000000"/>
        </w:rPr>
        <w:t xml:space="preserve">and as of and </w:t>
      </w:r>
      <w:r w:rsidR="00933533" w:rsidRPr="00084202">
        <w:rPr>
          <w:rFonts w:eastAsia="Trebuchet MS"/>
          <w:color w:val="000000"/>
        </w:rPr>
        <w:t xml:space="preserve">for the year ended </w:t>
      </w:r>
      <w:r w:rsidR="0010079F">
        <w:rPr>
          <w:rFonts w:eastAsia="Trebuchet MS"/>
          <w:color w:val="000000"/>
        </w:rPr>
        <w:t>December 31</w:t>
      </w:r>
      <w:r w:rsidR="00933533" w:rsidRPr="00084202">
        <w:rPr>
          <w:rFonts w:eastAsia="Trebuchet MS"/>
          <w:color w:val="000000"/>
        </w:rPr>
        <w:t>, 20</w:t>
      </w:r>
      <w:r w:rsidR="0082648B">
        <w:rPr>
          <w:rFonts w:eastAsia="Trebuchet MS"/>
          <w:color w:val="000000"/>
        </w:rPr>
        <w:t>21</w:t>
      </w:r>
      <w:r w:rsidR="00933533" w:rsidRPr="006A7E88">
        <w:rPr>
          <w:rFonts w:eastAsia="Trebuchet MS"/>
          <w:color w:val="000000"/>
        </w:rPr>
        <w:t xml:space="preserve">, provided </w:t>
      </w:r>
      <w:r w:rsidR="0082648B">
        <w:rPr>
          <w:rFonts w:eastAsia="Trebuchet MS"/>
          <w:color w:val="000000"/>
        </w:rPr>
        <w:t>March</w:t>
      </w:r>
      <w:r w:rsidR="00776608">
        <w:rPr>
          <w:rFonts w:eastAsia="Trebuchet MS"/>
          <w:color w:val="000000"/>
        </w:rPr>
        <w:t xml:space="preserve"> </w:t>
      </w:r>
      <w:r w:rsidR="0082648B">
        <w:rPr>
          <w:rFonts w:eastAsia="Trebuchet MS"/>
          <w:color w:val="000000"/>
        </w:rPr>
        <w:t>8</w:t>
      </w:r>
      <w:r w:rsidR="005341F8">
        <w:rPr>
          <w:rFonts w:eastAsia="Trebuchet MS"/>
          <w:color w:val="000000"/>
        </w:rPr>
        <w:t xml:space="preserve">, </w:t>
      </w:r>
      <w:r w:rsidR="00933533" w:rsidRPr="006A7E88">
        <w:rPr>
          <w:rFonts w:eastAsia="Trebuchet MS"/>
          <w:color w:val="000000"/>
        </w:rPr>
        <w:t>202</w:t>
      </w:r>
      <w:r w:rsidR="0082648B">
        <w:rPr>
          <w:rFonts w:eastAsia="Trebuchet MS"/>
          <w:color w:val="000000"/>
        </w:rPr>
        <w:t>3</w:t>
      </w:r>
      <w:r w:rsidRPr="007328AC">
        <w:rPr>
          <w:rFonts w:eastAsia="Trebuchet MS"/>
          <w:color w:val="000000"/>
        </w:rPr>
        <w:t>;</w:t>
      </w:r>
    </w:p>
    <w:p w14:paraId="0D6DA22D" w14:textId="47FC0817" w:rsidR="00557E9F" w:rsidRDefault="00704F71" w:rsidP="00397D38">
      <w:pPr>
        <w:numPr>
          <w:ilvl w:val="0"/>
          <w:numId w:val="2"/>
        </w:numPr>
        <w:spacing w:after="240"/>
        <w:ind w:left="720" w:hanging="360"/>
        <w:textAlignment w:val="baseline"/>
        <w:rPr>
          <w:rFonts w:eastAsia="Trebuchet MS"/>
          <w:color w:val="000000"/>
        </w:rPr>
      </w:pPr>
      <w:r>
        <w:rPr>
          <w:rFonts w:eastAsia="Trebuchet MS"/>
          <w:color w:val="000000"/>
        </w:rPr>
        <w:t>Encompass</w:t>
      </w:r>
      <w:r w:rsidR="005341F8">
        <w:rPr>
          <w:rFonts w:eastAsia="Trebuchet MS"/>
          <w:color w:val="000000"/>
        </w:rPr>
        <w:t xml:space="preserve"> </w:t>
      </w:r>
      <w:r w:rsidR="00044F27">
        <w:rPr>
          <w:rFonts w:eastAsia="Trebuchet MS"/>
          <w:color w:val="000000"/>
        </w:rPr>
        <w:t xml:space="preserve">Health </w:t>
      </w:r>
      <w:r w:rsidR="005341F8">
        <w:rPr>
          <w:rFonts w:eastAsia="Trebuchet MS"/>
          <w:color w:val="000000"/>
        </w:rPr>
        <w:t xml:space="preserve">Rehabilitation Hospital </w:t>
      </w:r>
      <w:r w:rsidR="008D3F76">
        <w:rPr>
          <w:rFonts w:eastAsia="Trebuchet MS"/>
          <w:color w:val="000000"/>
        </w:rPr>
        <w:t xml:space="preserve">of </w:t>
      </w:r>
      <w:r w:rsidR="00943DE1">
        <w:rPr>
          <w:rFonts w:eastAsia="Trebuchet MS"/>
          <w:color w:val="000000"/>
        </w:rPr>
        <w:t>Western Massachusetts, LLC</w:t>
      </w:r>
      <w:r w:rsidR="008D3F76">
        <w:rPr>
          <w:rFonts w:eastAsia="Trebuchet MS"/>
          <w:color w:val="000000"/>
        </w:rPr>
        <w:t xml:space="preserve"> </w:t>
      </w:r>
      <w:r w:rsidR="00732599" w:rsidRPr="00320804">
        <w:rPr>
          <w:rFonts w:eastAsia="Trebuchet MS"/>
          <w:color w:val="000000"/>
        </w:rPr>
        <w:t>we</w:t>
      </w:r>
      <w:r w:rsidR="00003594" w:rsidRPr="00320804">
        <w:rPr>
          <w:rFonts w:eastAsia="Trebuchet MS"/>
          <w:color w:val="000000"/>
        </w:rPr>
        <w:t>bsite</w:t>
      </w:r>
      <w:r w:rsidR="00003594" w:rsidRPr="001F1A6D">
        <w:rPr>
          <w:rFonts w:eastAsia="Trebuchet MS"/>
          <w:color w:val="000000"/>
        </w:rPr>
        <w:t xml:space="preserve"> – </w:t>
      </w:r>
      <w:hyperlink r:id="rId17" w:history="1">
        <w:r w:rsidR="00943DE1" w:rsidRPr="00A35052">
          <w:rPr>
            <w:rStyle w:val="Hyperlink"/>
          </w:rPr>
          <w:t>https://www.encompasshealth.com/westernmassrehab</w:t>
        </w:r>
      </w:hyperlink>
      <w:r w:rsidR="00003594" w:rsidRPr="001F1A6D">
        <w:rPr>
          <w:rFonts w:eastAsia="Trebuchet MS"/>
          <w:color w:val="000000"/>
        </w:rPr>
        <w:t>;</w:t>
      </w:r>
    </w:p>
    <w:p w14:paraId="74FC837C" w14:textId="2ACF2BBB" w:rsidR="005341F8" w:rsidRPr="001F1A6D" w:rsidRDefault="00704F71" w:rsidP="00397D38">
      <w:pPr>
        <w:numPr>
          <w:ilvl w:val="0"/>
          <w:numId w:val="2"/>
        </w:numPr>
        <w:spacing w:after="240"/>
        <w:ind w:left="720" w:hanging="360"/>
        <w:textAlignment w:val="baseline"/>
        <w:rPr>
          <w:rFonts w:eastAsia="Trebuchet MS"/>
          <w:color w:val="000000"/>
        </w:rPr>
      </w:pPr>
      <w:r>
        <w:rPr>
          <w:rFonts w:eastAsia="Trebuchet MS"/>
          <w:color w:val="000000"/>
        </w:rPr>
        <w:t>Encompass</w:t>
      </w:r>
      <w:r w:rsidR="005341F8">
        <w:rPr>
          <w:rFonts w:eastAsia="Trebuchet MS"/>
          <w:color w:val="000000"/>
        </w:rPr>
        <w:t xml:space="preserve"> Health Corporation website </w:t>
      </w:r>
      <w:r w:rsidR="005341F8" w:rsidRPr="001F1A6D">
        <w:rPr>
          <w:rFonts w:eastAsia="Trebuchet MS"/>
          <w:color w:val="000000"/>
        </w:rPr>
        <w:t xml:space="preserve">– </w:t>
      </w:r>
      <w:hyperlink r:id="rId18" w:history="1">
        <w:r w:rsidR="008D3F76" w:rsidRPr="000C783B">
          <w:rPr>
            <w:rStyle w:val="Hyperlink"/>
          </w:rPr>
          <w:t>https://www.encompasshealth.com</w:t>
        </w:r>
      </w:hyperlink>
      <w:r w:rsidR="005341F8" w:rsidRPr="007D1D6B">
        <w:rPr>
          <w:color w:val="000000" w:themeColor="text1"/>
        </w:rPr>
        <w:t>;</w:t>
      </w:r>
    </w:p>
    <w:p w14:paraId="41F34F7F" w14:textId="54DE57E1" w:rsidR="00557E9F" w:rsidRPr="001F1A6D" w:rsidRDefault="00003594" w:rsidP="00397D38">
      <w:pPr>
        <w:numPr>
          <w:ilvl w:val="0"/>
          <w:numId w:val="2"/>
        </w:numPr>
        <w:spacing w:after="240"/>
        <w:ind w:left="720" w:hanging="360"/>
        <w:textAlignment w:val="baseline"/>
        <w:rPr>
          <w:rFonts w:eastAsia="Trebuchet MS"/>
          <w:color w:val="000000"/>
        </w:rPr>
      </w:pPr>
      <w:r w:rsidRPr="001F1A6D">
        <w:rPr>
          <w:rFonts w:eastAsia="Trebuchet MS"/>
          <w:color w:val="000000"/>
        </w:rPr>
        <w:t xml:space="preserve">Various news publications and other public information about the </w:t>
      </w:r>
      <w:r w:rsidR="002B7A70">
        <w:rPr>
          <w:rFonts w:eastAsia="Trebuchet MS"/>
          <w:color w:val="000000"/>
        </w:rPr>
        <w:t>hospital</w:t>
      </w:r>
      <w:r w:rsidRPr="001F1A6D">
        <w:rPr>
          <w:rFonts w:eastAsia="Trebuchet MS"/>
          <w:color w:val="000000"/>
        </w:rPr>
        <w:t>;</w:t>
      </w:r>
    </w:p>
    <w:p w14:paraId="2E3D88FD" w14:textId="0672DC73" w:rsidR="00557E9F" w:rsidRPr="00C469F9" w:rsidRDefault="00003594" w:rsidP="00397D38">
      <w:pPr>
        <w:numPr>
          <w:ilvl w:val="0"/>
          <w:numId w:val="2"/>
        </w:numPr>
        <w:spacing w:after="240"/>
        <w:ind w:left="720" w:hanging="360"/>
        <w:textAlignment w:val="baseline"/>
        <w:rPr>
          <w:rFonts w:eastAsia="Trebuchet MS"/>
          <w:color w:val="000000"/>
        </w:rPr>
      </w:pPr>
      <w:r w:rsidRPr="00C469F9">
        <w:rPr>
          <w:rFonts w:eastAsia="Trebuchet MS"/>
          <w:color w:val="000000"/>
        </w:rPr>
        <w:t xml:space="preserve">Determination of Need Application Instructions dated </w:t>
      </w:r>
      <w:r w:rsidRPr="00933533">
        <w:rPr>
          <w:rFonts w:eastAsia="Trebuchet MS"/>
          <w:color w:val="000000"/>
        </w:rPr>
        <w:t>March 201</w:t>
      </w:r>
      <w:r w:rsidR="00955064" w:rsidRPr="00933533">
        <w:rPr>
          <w:rFonts w:eastAsia="Trebuchet MS"/>
          <w:color w:val="000000"/>
        </w:rPr>
        <w:t>7</w:t>
      </w:r>
      <w:r w:rsidRPr="00933533">
        <w:rPr>
          <w:rFonts w:eastAsia="Trebuchet MS"/>
          <w:color w:val="000000"/>
        </w:rPr>
        <w:t>;</w:t>
      </w:r>
      <w:r w:rsidRPr="00C469F9">
        <w:rPr>
          <w:rFonts w:eastAsia="Trebuchet MS"/>
          <w:color w:val="000000"/>
        </w:rPr>
        <w:t xml:space="preserve"> and</w:t>
      </w:r>
    </w:p>
    <w:p w14:paraId="57DABBC9" w14:textId="5D862260" w:rsidR="00021738" w:rsidRPr="008838A0" w:rsidRDefault="00003594" w:rsidP="004348BB">
      <w:pPr>
        <w:numPr>
          <w:ilvl w:val="0"/>
          <w:numId w:val="2"/>
        </w:numPr>
        <w:spacing w:after="240"/>
        <w:ind w:left="720" w:hanging="360"/>
        <w:textAlignment w:val="baseline"/>
        <w:rPr>
          <w:rFonts w:eastAsia="Trebuchet MS"/>
          <w:color w:val="000000"/>
        </w:rPr>
      </w:pPr>
      <w:r w:rsidRPr="008838A0">
        <w:rPr>
          <w:rFonts w:eastAsia="Trebuchet MS"/>
          <w:color w:val="000000"/>
        </w:rPr>
        <w:t xml:space="preserve">Determination of Need </w:t>
      </w:r>
      <w:r w:rsidR="00021738" w:rsidRPr="008838A0">
        <w:rPr>
          <w:rFonts w:eastAsia="Trebuchet MS"/>
          <w:color w:val="000000"/>
        </w:rPr>
        <w:t>Narrative</w:t>
      </w:r>
      <w:r w:rsidRPr="008838A0">
        <w:rPr>
          <w:rFonts w:eastAsia="Trebuchet MS"/>
          <w:color w:val="000000"/>
        </w:rPr>
        <w:t>, provided</w:t>
      </w:r>
      <w:r w:rsidR="00EA4A3D" w:rsidRPr="008838A0">
        <w:rPr>
          <w:rFonts w:eastAsia="Trebuchet MS"/>
          <w:color w:val="000000"/>
        </w:rPr>
        <w:t xml:space="preserve"> </w:t>
      </w:r>
      <w:r w:rsidR="00AA618D" w:rsidRPr="008838A0">
        <w:rPr>
          <w:rFonts w:eastAsia="Trebuchet MS"/>
          <w:color w:val="000000"/>
        </w:rPr>
        <w:t>May 1</w:t>
      </w:r>
      <w:r w:rsidR="00021738" w:rsidRPr="008838A0">
        <w:rPr>
          <w:rFonts w:eastAsia="Trebuchet MS"/>
          <w:color w:val="000000"/>
        </w:rPr>
        <w:t>9</w:t>
      </w:r>
      <w:r w:rsidR="00EA4A3D" w:rsidRPr="008838A0">
        <w:rPr>
          <w:rFonts w:eastAsia="Trebuchet MS"/>
          <w:color w:val="000000"/>
        </w:rPr>
        <w:t>, 202</w:t>
      </w:r>
      <w:r w:rsidR="00AA618D" w:rsidRPr="008838A0">
        <w:rPr>
          <w:rFonts w:eastAsia="Trebuchet MS"/>
          <w:color w:val="000000"/>
        </w:rPr>
        <w:t>3</w:t>
      </w:r>
      <w:r w:rsidRPr="008838A0">
        <w:rPr>
          <w:rFonts w:eastAsia="Trebuchet MS"/>
          <w:color w:val="000000"/>
        </w:rPr>
        <w:t>.</w:t>
      </w:r>
    </w:p>
    <w:p w14:paraId="37AEE8A8" w14:textId="5BE2A86E" w:rsidR="00021738" w:rsidRDefault="00021738" w:rsidP="00F61C01">
      <w:pPr>
        <w:tabs>
          <w:tab w:val="decimal" w:pos="450"/>
          <w:tab w:val="decimal" w:pos="1080"/>
        </w:tabs>
        <w:ind w:left="1080"/>
        <w:textAlignment w:val="baseline"/>
        <w:rPr>
          <w:rFonts w:eastAsia="Trebuchet MS"/>
          <w:color w:val="000000"/>
        </w:rPr>
      </w:pPr>
      <w:r>
        <w:rPr>
          <w:rFonts w:eastAsia="Trebuchet MS"/>
          <w:color w:val="000000"/>
        </w:rPr>
        <w:br w:type="page"/>
      </w:r>
    </w:p>
    <w:p w14:paraId="4C20540A" w14:textId="0CE03677" w:rsidR="00557E9F" w:rsidRPr="00A9626F" w:rsidRDefault="00003594"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lastRenderedPageBreak/>
        <w:t xml:space="preserve">REVIEW OF THE PROJECTIONS </w:t>
      </w:r>
    </w:p>
    <w:p w14:paraId="0F44E9C3" w14:textId="77777777" w:rsidR="00480E87" w:rsidRPr="00480E87" w:rsidRDefault="00480E87" w:rsidP="00480E87">
      <w:pPr>
        <w:pStyle w:val="ListParagraph"/>
        <w:tabs>
          <w:tab w:val="left" w:pos="720"/>
        </w:tabs>
        <w:ind w:left="1080"/>
        <w:textAlignment w:val="baseline"/>
        <w:rPr>
          <w:rFonts w:eastAsia="Trebuchet MS"/>
          <w:b/>
          <w:color w:val="000000"/>
        </w:rPr>
      </w:pPr>
    </w:p>
    <w:p w14:paraId="432A7838" w14:textId="13A3790B" w:rsidR="00A07048" w:rsidRDefault="00003594" w:rsidP="003B0E78">
      <w:pPr>
        <w:spacing w:after="240"/>
        <w:textAlignment w:val="baseline"/>
        <w:rPr>
          <w:rFonts w:eastAsia="Trebuchet MS"/>
          <w:color w:val="000000"/>
        </w:rPr>
      </w:pPr>
      <w:r w:rsidRPr="001F1A6D">
        <w:rPr>
          <w:rFonts w:eastAsia="Trebuchet MS"/>
          <w:color w:val="000000"/>
        </w:rPr>
        <w:t xml:space="preserve">This section of </w:t>
      </w:r>
      <w:r w:rsidR="00F85C2C">
        <w:rPr>
          <w:rFonts w:eastAsia="Trebuchet MS"/>
          <w:color w:val="000000"/>
        </w:rPr>
        <w:t>my</w:t>
      </w:r>
      <w:r w:rsidRPr="001F1A6D">
        <w:rPr>
          <w:rFonts w:eastAsia="Trebuchet MS"/>
          <w:color w:val="000000"/>
        </w:rPr>
        <w:t xml:space="preserve"> report summarizes </w:t>
      </w:r>
      <w:r w:rsidR="00F85C2C">
        <w:rPr>
          <w:rFonts w:eastAsia="Trebuchet MS"/>
          <w:color w:val="000000"/>
        </w:rPr>
        <w:t>my</w:t>
      </w:r>
      <w:r w:rsidRPr="001F1A6D">
        <w:rPr>
          <w:rFonts w:eastAsia="Trebuchet MS"/>
          <w:color w:val="000000"/>
        </w:rPr>
        <w:t xml:space="preserve"> review of the reasonableness of the assumptions used and feasibility of the Projections.</w:t>
      </w:r>
      <w:r w:rsidR="0010079F">
        <w:rPr>
          <w:rFonts w:eastAsia="Trebuchet MS"/>
          <w:color w:val="000000"/>
        </w:rPr>
        <w:t xml:space="preserve"> </w:t>
      </w:r>
      <w:r w:rsidRPr="001F1A6D">
        <w:rPr>
          <w:rFonts w:eastAsia="Trebuchet MS"/>
          <w:color w:val="000000"/>
        </w:rPr>
        <w:t>The following table</w:t>
      </w:r>
      <w:r w:rsidR="001A0E7A">
        <w:rPr>
          <w:rFonts w:eastAsia="Trebuchet MS"/>
          <w:color w:val="000000"/>
        </w:rPr>
        <w:t>s</w:t>
      </w:r>
      <w:r w:rsidRPr="001F1A6D">
        <w:rPr>
          <w:rFonts w:eastAsia="Trebuchet MS"/>
          <w:color w:val="000000"/>
        </w:rPr>
        <w:t xml:space="preserve"> present</w:t>
      </w:r>
      <w:r w:rsidR="001A0E7A">
        <w:rPr>
          <w:rFonts w:eastAsia="Trebuchet MS"/>
          <w:color w:val="000000"/>
        </w:rPr>
        <w:t xml:space="preserve"> </w:t>
      </w:r>
      <w:r w:rsidRPr="001F1A6D">
        <w:rPr>
          <w:rFonts w:eastAsia="Trebuchet MS"/>
          <w:color w:val="000000"/>
        </w:rPr>
        <w:t xml:space="preserve">the Key Metrics, as defined below, of </w:t>
      </w:r>
      <w:r w:rsidR="00704F71">
        <w:rPr>
          <w:rFonts w:eastAsia="Trebuchet MS"/>
          <w:color w:val="000000"/>
        </w:rPr>
        <w:t>Encompass</w:t>
      </w:r>
      <w:r w:rsidRPr="001F1A6D">
        <w:rPr>
          <w:rFonts w:eastAsia="Trebuchet MS"/>
          <w:color w:val="000000"/>
        </w:rPr>
        <w:t xml:space="preserve"> </w:t>
      </w:r>
      <w:r w:rsidR="001A0E7A">
        <w:rPr>
          <w:rFonts w:eastAsia="Trebuchet MS"/>
          <w:color w:val="000000"/>
        </w:rPr>
        <w:t xml:space="preserve">Health Corporation which includes historical results for the years ended December 31, 2021 and 2022. The second table is for Encompass Western Mass </w:t>
      </w:r>
      <w:r w:rsidRPr="001F1A6D">
        <w:rPr>
          <w:rFonts w:eastAsia="Trebuchet MS"/>
          <w:color w:val="000000"/>
        </w:rPr>
        <w:t xml:space="preserve">which compares the results of the Projections for the years </w:t>
      </w:r>
      <w:r w:rsidRPr="001F3A78">
        <w:rPr>
          <w:rFonts w:eastAsia="Trebuchet MS"/>
          <w:color w:val="000000"/>
        </w:rPr>
        <w:t>ending 20</w:t>
      </w:r>
      <w:r w:rsidR="002E05DC">
        <w:rPr>
          <w:rFonts w:eastAsia="Trebuchet MS"/>
          <w:color w:val="000000"/>
        </w:rPr>
        <w:t>2</w:t>
      </w:r>
      <w:r w:rsidR="00776608">
        <w:rPr>
          <w:rFonts w:eastAsia="Trebuchet MS"/>
          <w:color w:val="000000"/>
        </w:rPr>
        <w:t>5</w:t>
      </w:r>
      <w:r w:rsidRPr="001F3A78">
        <w:rPr>
          <w:rFonts w:eastAsia="Trebuchet MS"/>
          <w:color w:val="000000"/>
        </w:rPr>
        <w:t xml:space="preserve"> through 202</w:t>
      </w:r>
      <w:r w:rsidR="00776608">
        <w:rPr>
          <w:rFonts w:eastAsia="Trebuchet MS"/>
          <w:color w:val="000000"/>
        </w:rPr>
        <w:t>9</w:t>
      </w:r>
      <w:r w:rsidRPr="001F3A78">
        <w:rPr>
          <w:rFonts w:eastAsia="Trebuchet MS"/>
          <w:color w:val="000000"/>
        </w:rPr>
        <w:t xml:space="preserve"> to </w:t>
      </w:r>
      <w:r w:rsidR="00704F71">
        <w:rPr>
          <w:rFonts w:eastAsia="Trebuchet MS"/>
          <w:color w:val="000000"/>
        </w:rPr>
        <w:t>Encompass</w:t>
      </w:r>
      <w:r w:rsidR="0082648B">
        <w:rPr>
          <w:rFonts w:eastAsia="Trebuchet MS"/>
          <w:color w:val="000000"/>
        </w:rPr>
        <w:t xml:space="preserve"> </w:t>
      </w:r>
      <w:r w:rsidR="00A4573A">
        <w:rPr>
          <w:rFonts w:eastAsia="Trebuchet MS"/>
          <w:color w:val="000000"/>
        </w:rPr>
        <w:t>Western Mass’</w:t>
      </w:r>
      <w:r w:rsidRPr="001F3A78">
        <w:rPr>
          <w:rFonts w:eastAsia="Trebuchet MS"/>
          <w:color w:val="000000"/>
        </w:rPr>
        <w:t xml:space="preserve"> historical results for the year</w:t>
      </w:r>
      <w:r w:rsidR="0010079F">
        <w:rPr>
          <w:rFonts w:eastAsia="Trebuchet MS"/>
          <w:color w:val="000000"/>
        </w:rPr>
        <w:t>s</w:t>
      </w:r>
      <w:r w:rsidRPr="001F3A78">
        <w:rPr>
          <w:rFonts w:eastAsia="Trebuchet MS"/>
          <w:color w:val="000000"/>
        </w:rPr>
        <w:t xml:space="preserve"> ended 20</w:t>
      </w:r>
      <w:r w:rsidR="00DE4E39">
        <w:rPr>
          <w:rFonts w:eastAsia="Trebuchet MS"/>
          <w:color w:val="000000"/>
        </w:rPr>
        <w:t>2</w:t>
      </w:r>
      <w:r w:rsidR="0082648B">
        <w:rPr>
          <w:rFonts w:eastAsia="Trebuchet MS"/>
          <w:color w:val="000000"/>
        </w:rPr>
        <w:t>1</w:t>
      </w:r>
      <w:r w:rsidR="0010079F">
        <w:rPr>
          <w:rFonts w:eastAsia="Trebuchet MS"/>
          <w:color w:val="000000"/>
        </w:rPr>
        <w:t xml:space="preserve"> and 202</w:t>
      </w:r>
      <w:r w:rsidR="0082648B">
        <w:rPr>
          <w:rFonts w:eastAsia="Trebuchet MS"/>
          <w:color w:val="000000"/>
        </w:rPr>
        <w:t>2</w:t>
      </w:r>
      <w:r w:rsidRPr="001F3A78">
        <w:rPr>
          <w:rFonts w:eastAsia="Trebuchet MS"/>
          <w:color w:val="000000"/>
        </w:rPr>
        <w:t>.</w:t>
      </w:r>
    </w:p>
    <w:p w14:paraId="1DDC4ED0" w14:textId="5C1C027A" w:rsidR="006C1F03" w:rsidRPr="006C1F03" w:rsidRDefault="006C1F03" w:rsidP="006C1F03">
      <w:pPr>
        <w:tabs>
          <w:tab w:val="left" w:pos="180"/>
          <w:tab w:val="left" w:pos="3510"/>
        </w:tabs>
        <w:textAlignment w:val="baseline"/>
        <w:rPr>
          <w:rFonts w:eastAsia="Trebuchet MS"/>
          <w:b/>
          <w:bCs/>
          <w:color w:val="000000"/>
        </w:rPr>
      </w:pPr>
      <w:r>
        <w:rPr>
          <w:rFonts w:eastAsia="Trebuchet MS"/>
          <w:b/>
          <w:bCs/>
          <w:color w:val="000000"/>
        </w:rPr>
        <w:tab/>
        <w:t>Encompass Health</w:t>
      </w:r>
      <w:r>
        <w:rPr>
          <w:rFonts w:eastAsia="Trebuchet MS"/>
          <w:b/>
          <w:bCs/>
          <w:color w:val="000000"/>
        </w:rPr>
        <w:tab/>
        <w:t>As Reported</w:t>
      </w:r>
    </w:p>
    <w:tbl>
      <w:tblPr>
        <w:tblStyle w:val="TableGrid"/>
        <w:tblW w:w="0" w:type="auto"/>
        <w:tblLayout w:type="fixed"/>
        <w:tblLook w:val="0020" w:firstRow="1" w:lastRow="0" w:firstColumn="0" w:lastColumn="0" w:noHBand="0" w:noVBand="0"/>
      </w:tblPr>
      <w:tblGrid>
        <w:gridCol w:w="2875"/>
        <w:gridCol w:w="1260"/>
        <w:gridCol w:w="1170"/>
      </w:tblGrid>
      <w:tr w:rsidR="00E93F5C" w14:paraId="22C838DF" w14:textId="77777777" w:rsidTr="009D4F9B">
        <w:trPr>
          <w:cantSplit/>
          <w:trHeight w:val="192"/>
          <w:tblHeader/>
        </w:trPr>
        <w:tc>
          <w:tcPr>
            <w:tcW w:w="2875" w:type="dxa"/>
          </w:tcPr>
          <w:p w14:paraId="3D3AE4D5" w14:textId="77777777" w:rsidR="00E93F5C" w:rsidRDefault="00E93F5C">
            <w:pPr>
              <w:autoSpaceDE w:val="0"/>
              <w:autoSpaceDN w:val="0"/>
              <w:adjustRightInd w:val="0"/>
              <w:rPr>
                <w:color w:val="000000"/>
              </w:rPr>
            </w:pPr>
            <w:r>
              <w:rPr>
                <w:color w:val="000000"/>
              </w:rPr>
              <w:t>($ in millions)</w:t>
            </w:r>
          </w:p>
        </w:tc>
        <w:tc>
          <w:tcPr>
            <w:tcW w:w="1260" w:type="dxa"/>
          </w:tcPr>
          <w:p w14:paraId="17698C2F" w14:textId="77777777" w:rsidR="00E93F5C" w:rsidRDefault="00E93F5C">
            <w:pPr>
              <w:autoSpaceDE w:val="0"/>
              <w:autoSpaceDN w:val="0"/>
              <w:adjustRightInd w:val="0"/>
              <w:jc w:val="center"/>
              <w:rPr>
                <w:b/>
                <w:bCs/>
                <w:color w:val="000000"/>
              </w:rPr>
            </w:pPr>
            <w:r>
              <w:rPr>
                <w:b/>
                <w:bCs/>
                <w:color w:val="000000"/>
              </w:rPr>
              <w:t>2021</w:t>
            </w:r>
          </w:p>
        </w:tc>
        <w:tc>
          <w:tcPr>
            <w:tcW w:w="1170" w:type="dxa"/>
          </w:tcPr>
          <w:p w14:paraId="4733A185" w14:textId="77777777" w:rsidR="00E93F5C" w:rsidRDefault="00E93F5C">
            <w:pPr>
              <w:autoSpaceDE w:val="0"/>
              <w:autoSpaceDN w:val="0"/>
              <w:adjustRightInd w:val="0"/>
              <w:jc w:val="center"/>
              <w:rPr>
                <w:b/>
                <w:bCs/>
                <w:color w:val="000000"/>
              </w:rPr>
            </w:pPr>
            <w:r>
              <w:rPr>
                <w:b/>
                <w:bCs/>
                <w:color w:val="000000"/>
              </w:rPr>
              <w:t>2022</w:t>
            </w:r>
          </w:p>
        </w:tc>
      </w:tr>
      <w:tr w:rsidR="00E93F5C" w14:paraId="53A0C3B5" w14:textId="77777777" w:rsidTr="009D4F9B">
        <w:trPr>
          <w:cantSplit/>
          <w:trHeight w:val="192"/>
        </w:trPr>
        <w:tc>
          <w:tcPr>
            <w:tcW w:w="2875" w:type="dxa"/>
          </w:tcPr>
          <w:p w14:paraId="763A7669" w14:textId="77777777" w:rsidR="00E93F5C" w:rsidRDefault="00E93F5C">
            <w:pPr>
              <w:autoSpaceDE w:val="0"/>
              <w:autoSpaceDN w:val="0"/>
              <w:adjustRightInd w:val="0"/>
              <w:rPr>
                <w:color w:val="000000"/>
              </w:rPr>
            </w:pPr>
            <w:r>
              <w:rPr>
                <w:color w:val="000000"/>
              </w:rPr>
              <w:t>EBITDA ($)</w:t>
            </w:r>
          </w:p>
        </w:tc>
        <w:tc>
          <w:tcPr>
            <w:tcW w:w="1260" w:type="dxa"/>
          </w:tcPr>
          <w:p w14:paraId="3BDD8B36" w14:textId="77777777" w:rsidR="00E93F5C" w:rsidRDefault="00E93F5C">
            <w:pPr>
              <w:autoSpaceDE w:val="0"/>
              <w:autoSpaceDN w:val="0"/>
              <w:adjustRightInd w:val="0"/>
              <w:jc w:val="right"/>
              <w:rPr>
                <w:color w:val="000000"/>
              </w:rPr>
            </w:pPr>
            <w:r>
              <w:rPr>
                <w:color w:val="000000"/>
              </w:rPr>
              <w:t>1,003</w:t>
            </w:r>
          </w:p>
        </w:tc>
        <w:tc>
          <w:tcPr>
            <w:tcW w:w="1170" w:type="dxa"/>
          </w:tcPr>
          <w:p w14:paraId="3D327434" w14:textId="77777777" w:rsidR="00E93F5C" w:rsidRDefault="00E93F5C">
            <w:pPr>
              <w:autoSpaceDE w:val="0"/>
              <w:autoSpaceDN w:val="0"/>
              <w:adjustRightInd w:val="0"/>
              <w:jc w:val="right"/>
              <w:rPr>
                <w:color w:val="000000"/>
              </w:rPr>
            </w:pPr>
            <w:r>
              <w:rPr>
                <w:color w:val="000000"/>
              </w:rPr>
              <w:t>885</w:t>
            </w:r>
          </w:p>
        </w:tc>
      </w:tr>
      <w:tr w:rsidR="00E93F5C" w14:paraId="58230EA4" w14:textId="77777777" w:rsidTr="009D4F9B">
        <w:trPr>
          <w:cantSplit/>
          <w:trHeight w:val="192"/>
        </w:trPr>
        <w:tc>
          <w:tcPr>
            <w:tcW w:w="2875" w:type="dxa"/>
          </w:tcPr>
          <w:p w14:paraId="5980E845" w14:textId="77777777" w:rsidR="00E93F5C" w:rsidRDefault="00E93F5C">
            <w:pPr>
              <w:autoSpaceDE w:val="0"/>
              <w:autoSpaceDN w:val="0"/>
              <w:adjustRightInd w:val="0"/>
              <w:rPr>
                <w:color w:val="000000"/>
              </w:rPr>
            </w:pPr>
            <w:r>
              <w:rPr>
                <w:color w:val="000000"/>
              </w:rPr>
              <w:t>EBITDA Margin ( %)</w:t>
            </w:r>
          </w:p>
        </w:tc>
        <w:tc>
          <w:tcPr>
            <w:tcW w:w="1260" w:type="dxa"/>
          </w:tcPr>
          <w:p w14:paraId="415B8006" w14:textId="77777777" w:rsidR="00E93F5C" w:rsidRDefault="00E93F5C">
            <w:pPr>
              <w:autoSpaceDE w:val="0"/>
              <w:autoSpaceDN w:val="0"/>
              <w:adjustRightInd w:val="0"/>
              <w:jc w:val="right"/>
              <w:rPr>
                <w:color w:val="000000"/>
              </w:rPr>
            </w:pPr>
            <w:r>
              <w:rPr>
                <w:color w:val="000000"/>
              </w:rPr>
              <w:t>25.0%</w:t>
            </w:r>
          </w:p>
        </w:tc>
        <w:tc>
          <w:tcPr>
            <w:tcW w:w="1170" w:type="dxa"/>
          </w:tcPr>
          <w:p w14:paraId="6E4B41AA" w14:textId="77777777" w:rsidR="00E93F5C" w:rsidRDefault="00E93F5C">
            <w:pPr>
              <w:autoSpaceDE w:val="0"/>
              <w:autoSpaceDN w:val="0"/>
              <w:adjustRightInd w:val="0"/>
              <w:jc w:val="right"/>
              <w:rPr>
                <w:color w:val="000000"/>
              </w:rPr>
            </w:pPr>
            <w:r>
              <w:rPr>
                <w:color w:val="000000"/>
              </w:rPr>
              <w:t>20.4%</w:t>
            </w:r>
          </w:p>
        </w:tc>
      </w:tr>
      <w:tr w:rsidR="00E93F5C" w14:paraId="3D39A593" w14:textId="77777777" w:rsidTr="009D4F9B">
        <w:trPr>
          <w:cantSplit/>
          <w:trHeight w:val="192"/>
        </w:trPr>
        <w:tc>
          <w:tcPr>
            <w:tcW w:w="2875" w:type="dxa"/>
          </w:tcPr>
          <w:p w14:paraId="53F59B65" w14:textId="77777777" w:rsidR="00E93F5C" w:rsidRDefault="00E93F5C">
            <w:pPr>
              <w:autoSpaceDE w:val="0"/>
              <w:autoSpaceDN w:val="0"/>
              <w:adjustRightInd w:val="0"/>
              <w:rPr>
                <w:color w:val="000000"/>
              </w:rPr>
            </w:pPr>
            <w:r>
              <w:rPr>
                <w:color w:val="000000"/>
              </w:rPr>
              <w:t>Operating Margin (%)</w:t>
            </w:r>
          </w:p>
        </w:tc>
        <w:tc>
          <w:tcPr>
            <w:tcW w:w="1260" w:type="dxa"/>
          </w:tcPr>
          <w:p w14:paraId="10574829" w14:textId="77777777" w:rsidR="00E93F5C" w:rsidRDefault="00E93F5C">
            <w:pPr>
              <w:autoSpaceDE w:val="0"/>
              <w:autoSpaceDN w:val="0"/>
              <w:adjustRightInd w:val="0"/>
              <w:jc w:val="right"/>
              <w:rPr>
                <w:color w:val="000000"/>
              </w:rPr>
            </w:pPr>
            <w:r>
              <w:rPr>
                <w:color w:val="000000"/>
              </w:rPr>
              <w:t>12.6%</w:t>
            </w:r>
          </w:p>
        </w:tc>
        <w:tc>
          <w:tcPr>
            <w:tcW w:w="1170" w:type="dxa"/>
          </w:tcPr>
          <w:p w14:paraId="7F7817E5" w14:textId="77777777" w:rsidR="00E93F5C" w:rsidRDefault="00E93F5C">
            <w:pPr>
              <w:autoSpaceDE w:val="0"/>
              <w:autoSpaceDN w:val="0"/>
              <w:adjustRightInd w:val="0"/>
              <w:jc w:val="right"/>
              <w:rPr>
                <w:color w:val="000000"/>
              </w:rPr>
            </w:pPr>
            <w:r>
              <w:rPr>
                <w:color w:val="000000"/>
              </w:rPr>
              <w:t>10.4%</w:t>
            </w:r>
          </w:p>
        </w:tc>
      </w:tr>
      <w:tr w:rsidR="00E93F5C" w14:paraId="2CBA2194" w14:textId="77777777" w:rsidTr="009D4F9B">
        <w:trPr>
          <w:cantSplit/>
          <w:trHeight w:val="192"/>
        </w:trPr>
        <w:tc>
          <w:tcPr>
            <w:tcW w:w="2875" w:type="dxa"/>
          </w:tcPr>
          <w:p w14:paraId="6791DC21" w14:textId="77777777" w:rsidR="00E93F5C" w:rsidRDefault="00E93F5C">
            <w:pPr>
              <w:autoSpaceDE w:val="0"/>
              <w:autoSpaceDN w:val="0"/>
              <w:adjustRightInd w:val="0"/>
              <w:rPr>
                <w:color w:val="000000"/>
              </w:rPr>
            </w:pPr>
            <w:r>
              <w:rPr>
                <w:color w:val="000000"/>
              </w:rPr>
              <w:t>Total Margin (%)</w:t>
            </w:r>
          </w:p>
        </w:tc>
        <w:tc>
          <w:tcPr>
            <w:tcW w:w="1260" w:type="dxa"/>
          </w:tcPr>
          <w:p w14:paraId="61B6D51F" w14:textId="77777777" w:rsidR="00E93F5C" w:rsidRDefault="00E93F5C">
            <w:pPr>
              <w:autoSpaceDE w:val="0"/>
              <w:autoSpaceDN w:val="0"/>
              <w:adjustRightInd w:val="0"/>
              <w:jc w:val="right"/>
              <w:rPr>
                <w:color w:val="000000"/>
              </w:rPr>
            </w:pPr>
            <w:r>
              <w:rPr>
                <w:color w:val="000000"/>
              </w:rPr>
              <w:t>12.9%</w:t>
            </w:r>
          </w:p>
        </w:tc>
        <w:tc>
          <w:tcPr>
            <w:tcW w:w="1170" w:type="dxa"/>
          </w:tcPr>
          <w:p w14:paraId="3E1AFF1F" w14:textId="77777777" w:rsidR="00E93F5C" w:rsidRDefault="00E93F5C">
            <w:pPr>
              <w:autoSpaceDE w:val="0"/>
              <w:autoSpaceDN w:val="0"/>
              <w:adjustRightInd w:val="0"/>
              <w:jc w:val="right"/>
              <w:rPr>
                <w:color w:val="000000"/>
              </w:rPr>
            </w:pPr>
            <w:r>
              <w:rPr>
                <w:color w:val="000000"/>
              </w:rPr>
              <w:t>8.4%</w:t>
            </w:r>
          </w:p>
        </w:tc>
      </w:tr>
      <w:tr w:rsidR="00E93F5C" w14:paraId="19E27816" w14:textId="77777777" w:rsidTr="009D4F9B">
        <w:trPr>
          <w:cantSplit/>
          <w:trHeight w:val="192"/>
        </w:trPr>
        <w:tc>
          <w:tcPr>
            <w:tcW w:w="2875" w:type="dxa"/>
          </w:tcPr>
          <w:p w14:paraId="7BA6F205" w14:textId="77777777" w:rsidR="00E93F5C" w:rsidRDefault="00E93F5C">
            <w:pPr>
              <w:autoSpaceDE w:val="0"/>
              <w:autoSpaceDN w:val="0"/>
              <w:adjustRightInd w:val="0"/>
              <w:rPr>
                <w:color w:val="000000"/>
              </w:rPr>
            </w:pPr>
            <w:r>
              <w:rPr>
                <w:color w:val="000000"/>
              </w:rPr>
              <w:t>Current Ratio</w:t>
            </w:r>
          </w:p>
        </w:tc>
        <w:tc>
          <w:tcPr>
            <w:tcW w:w="1260" w:type="dxa"/>
          </w:tcPr>
          <w:p w14:paraId="4E9FA00D" w14:textId="5682D1D5" w:rsidR="00E93F5C" w:rsidRDefault="00E93F5C">
            <w:pPr>
              <w:autoSpaceDE w:val="0"/>
              <w:autoSpaceDN w:val="0"/>
              <w:adjustRightInd w:val="0"/>
              <w:jc w:val="right"/>
              <w:rPr>
                <w:color w:val="000000"/>
              </w:rPr>
            </w:pPr>
            <w:r>
              <w:rPr>
                <w:color w:val="000000"/>
              </w:rPr>
              <w:t xml:space="preserve">             1.2 </w:t>
            </w:r>
          </w:p>
        </w:tc>
        <w:tc>
          <w:tcPr>
            <w:tcW w:w="1170" w:type="dxa"/>
          </w:tcPr>
          <w:p w14:paraId="5CCC04D6" w14:textId="1B2DD1C0" w:rsidR="00E93F5C" w:rsidRDefault="00E93F5C">
            <w:pPr>
              <w:autoSpaceDE w:val="0"/>
              <w:autoSpaceDN w:val="0"/>
              <w:adjustRightInd w:val="0"/>
              <w:jc w:val="right"/>
              <w:rPr>
                <w:color w:val="000000"/>
              </w:rPr>
            </w:pPr>
            <w:r>
              <w:rPr>
                <w:color w:val="000000"/>
              </w:rPr>
              <w:t xml:space="preserve">            1.2 </w:t>
            </w:r>
          </w:p>
        </w:tc>
      </w:tr>
      <w:tr w:rsidR="00E93F5C" w14:paraId="032C6402" w14:textId="77777777" w:rsidTr="009D4F9B">
        <w:trPr>
          <w:cantSplit/>
          <w:trHeight w:val="192"/>
        </w:trPr>
        <w:tc>
          <w:tcPr>
            <w:tcW w:w="2875" w:type="dxa"/>
          </w:tcPr>
          <w:p w14:paraId="20259E83" w14:textId="77777777" w:rsidR="00E93F5C" w:rsidRDefault="00E93F5C">
            <w:pPr>
              <w:autoSpaceDE w:val="0"/>
              <w:autoSpaceDN w:val="0"/>
              <w:adjustRightInd w:val="0"/>
              <w:rPr>
                <w:color w:val="000000"/>
              </w:rPr>
            </w:pPr>
            <w:r>
              <w:rPr>
                <w:color w:val="000000"/>
              </w:rPr>
              <w:t>Cash Days on Hand</w:t>
            </w:r>
          </w:p>
        </w:tc>
        <w:tc>
          <w:tcPr>
            <w:tcW w:w="1260" w:type="dxa"/>
          </w:tcPr>
          <w:p w14:paraId="5E3EDC1C" w14:textId="3B512602" w:rsidR="00E93F5C" w:rsidRDefault="00E93F5C">
            <w:pPr>
              <w:autoSpaceDE w:val="0"/>
              <w:autoSpaceDN w:val="0"/>
              <w:adjustRightInd w:val="0"/>
              <w:jc w:val="right"/>
              <w:rPr>
                <w:color w:val="000000"/>
              </w:rPr>
            </w:pPr>
            <w:r>
              <w:rPr>
                <w:color w:val="000000"/>
              </w:rPr>
              <w:t xml:space="preserve">           13.0 </w:t>
            </w:r>
          </w:p>
        </w:tc>
        <w:tc>
          <w:tcPr>
            <w:tcW w:w="1170" w:type="dxa"/>
          </w:tcPr>
          <w:p w14:paraId="2C8EF3D1" w14:textId="3442EDAD" w:rsidR="00E93F5C" w:rsidRDefault="00E93F5C">
            <w:pPr>
              <w:autoSpaceDE w:val="0"/>
              <w:autoSpaceDN w:val="0"/>
              <w:adjustRightInd w:val="0"/>
              <w:jc w:val="right"/>
              <w:rPr>
                <w:color w:val="000000"/>
              </w:rPr>
            </w:pPr>
            <w:r>
              <w:rPr>
                <w:color w:val="000000"/>
              </w:rPr>
              <w:t xml:space="preserve">            5.6 </w:t>
            </w:r>
          </w:p>
        </w:tc>
      </w:tr>
      <w:tr w:rsidR="00E93F5C" w14:paraId="1DF79952" w14:textId="77777777" w:rsidTr="009D4F9B">
        <w:trPr>
          <w:cantSplit/>
          <w:trHeight w:val="192"/>
        </w:trPr>
        <w:tc>
          <w:tcPr>
            <w:tcW w:w="2875" w:type="dxa"/>
          </w:tcPr>
          <w:p w14:paraId="5905545A" w14:textId="77777777" w:rsidR="00E93F5C" w:rsidRDefault="00E93F5C">
            <w:pPr>
              <w:autoSpaceDE w:val="0"/>
              <w:autoSpaceDN w:val="0"/>
              <w:adjustRightInd w:val="0"/>
              <w:rPr>
                <w:color w:val="000000"/>
              </w:rPr>
            </w:pPr>
            <w:r>
              <w:rPr>
                <w:color w:val="000000"/>
              </w:rPr>
              <w:t>Cash ($)</w:t>
            </w:r>
          </w:p>
        </w:tc>
        <w:tc>
          <w:tcPr>
            <w:tcW w:w="1260" w:type="dxa"/>
          </w:tcPr>
          <w:p w14:paraId="3C81E04F" w14:textId="77777777" w:rsidR="00E93F5C" w:rsidRDefault="00E93F5C">
            <w:pPr>
              <w:autoSpaceDE w:val="0"/>
              <w:autoSpaceDN w:val="0"/>
              <w:adjustRightInd w:val="0"/>
              <w:jc w:val="right"/>
              <w:rPr>
                <w:color w:val="000000"/>
              </w:rPr>
            </w:pPr>
            <w:r>
              <w:rPr>
                <w:color w:val="000000"/>
              </w:rPr>
              <w:t>112</w:t>
            </w:r>
          </w:p>
        </w:tc>
        <w:tc>
          <w:tcPr>
            <w:tcW w:w="1170" w:type="dxa"/>
          </w:tcPr>
          <w:p w14:paraId="5D86F87C" w14:textId="77777777" w:rsidR="00E93F5C" w:rsidRDefault="00E93F5C">
            <w:pPr>
              <w:autoSpaceDE w:val="0"/>
              <w:autoSpaceDN w:val="0"/>
              <w:adjustRightInd w:val="0"/>
              <w:jc w:val="right"/>
              <w:rPr>
                <w:color w:val="000000"/>
              </w:rPr>
            </w:pPr>
            <w:r>
              <w:rPr>
                <w:color w:val="000000"/>
              </w:rPr>
              <w:t>53</w:t>
            </w:r>
          </w:p>
        </w:tc>
      </w:tr>
      <w:tr w:rsidR="00E93F5C" w14:paraId="231DB7CC" w14:textId="77777777" w:rsidTr="009D4F9B">
        <w:trPr>
          <w:cantSplit/>
          <w:trHeight w:val="192"/>
        </w:trPr>
        <w:tc>
          <w:tcPr>
            <w:tcW w:w="2875" w:type="dxa"/>
          </w:tcPr>
          <w:p w14:paraId="3EC1A453" w14:textId="77777777" w:rsidR="00E93F5C" w:rsidRDefault="00E93F5C">
            <w:pPr>
              <w:autoSpaceDE w:val="0"/>
              <w:autoSpaceDN w:val="0"/>
              <w:adjustRightInd w:val="0"/>
              <w:rPr>
                <w:color w:val="000000"/>
              </w:rPr>
            </w:pPr>
            <w:r>
              <w:rPr>
                <w:color w:val="000000"/>
              </w:rPr>
              <w:t>Days in Accounts Receivable</w:t>
            </w:r>
          </w:p>
        </w:tc>
        <w:tc>
          <w:tcPr>
            <w:tcW w:w="1260" w:type="dxa"/>
          </w:tcPr>
          <w:p w14:paraId="25C9CD36" w14:textId="4C985C1B" w:rsidR="00E93F5C" w:rsidRDefault="00E93F5C">
            <w:pPr>
              <w:autoSpaceDE w:val="0"/>
              <w:autoSpaceDN w:val="0"/>
              <w:adjustRightInd w:val="0"/>
              <w:jc w:val="right"/>
              <w:rPr>
                <w:color w:val="000000"/>
              </w:rPr>
            </w:pPr>
            <w:r>
              <w:rPr>
                <w:color w:val="000000"/>
              </w:rPr>
              <w:t xml:space="preserve">           46.9 </w:t>
            </w:r>
          </w:p>
        </w:tc>
        <w:tc>
          <w:tcPr>
            <w:tcW w:w="1170" w:type="dxa"/>
          </w:tcPr>
          <w:p w14:paraId="49D247EA" w14:textId="24F080B5" w:rsidR="00E93F5C" w:rsidRDefault="00E93F5C">
            <w:pPr>
              <w:autoSpaceDE w:val="0"/>
              <w:autoSpaceDN w:val="0"/>
              <w:adjustRightInd w:val="0"/>
              <w:jc w:val="right"/>
              <w:rPr>
                <w:color w:val="000000"/>
              </w:rPr>
            </w:pPr>
            <w:r>
              <w:rPr>
                <w:color w:val="000000"/>
              </w:rPr>
              <w:t xml:space="preserve">          45.1 </w:t>
            </w:r>
          </w:p>
        </w:tc>
      </w:tr>
      <w:tr w:rsidR="00E93F5C" w14:paraId="6BB5F399" w14:textId="77777777" w:rsidTr="009D4F9B">
        <w:trPr>
          <w:cantSplit/>
          <w:trHeight w:val="192"/>
        </w:trPr>
        <w:tc>
          <w:tcPr>
            <w:tcW w:w="2875" w:type="dxa"/>
          </w:tcPr>
          <w:p w14:paraId="4620D424" w14:textId="77777777" w:rsidR="00E93F5C" w:rsidRDefault="00E93F5C">
            <w:pPr>
              <w:autoSpaceDE w:val="0"/>
              <w:autoSpaceDN w:val="0"/>
              <w:adjustRightInd w:val="0"/>
              <w:rPr>
                <w:color w:val="000000"/>
              </w:rPr>
            </w:pPr>
            <w:r>
              <w:rPr>
                <w:color w:val="000000"/>
              </w:rPr>
              <w:t>Total Assets ($)</w:t>
            </w:r>
          </w:p>
        </w:tc>
        <w:tc>
          <w:tcPr>
            <w:tcW w:w="1260" w:type="dxa"/>
          </w:tcPr>
          <w:p w14:paraId="74774A68" w14:textId="77777777" w:rsidR="00E93F5C" w:rsidRDefault="00E93F5C">
            <w:pPr>
              <w:autoSpaceDE w:val="0"/>
              <w:autoSpaceDN w:val="0"/>
              <w:adjustRightInd w:val="0"/>
              <w:jc w:val="right"/>
              <w:rPr>
                <w:color w:val="000000"/>
              </w:rPr>
            </w:pPr>
            <w:r>
              <w:rPr>
                <w:color w:val="000000"/>
              </w:rPr>
              <w:t>6,865</w:t>
            </w:r>
          </w:p>
        </w:tc>
        <w:tc>
          <w:tcPr>
            <w:tcW w:w="1170" w:type="dxa"/>
          </w:tcPr>
          <w:p w14:paraId="1F6E761D" w14:textId="77777777" w:rsidR="00E93F5C" w:rsidRDefault="00E93F5C">
            <w:pPr>
              <w:autoSpaceDE w:val="0"/>
              <w:autoSpaceDN w:val="0"/>
              <w:adjustRightInd w:val="0"/>
              <w:jc w:val="right"/>
              <w:rPr>
                <w:color w:val="000000"/>
              </w:rPr>
            </w:pPr>
            <w:r>
              <w:rPr>
                <w:color w:val="000000"/>
              </w:rPr>
              <w:t>5,637</w:t>
            </w:r>
          </w:p>
        </w:tc>
      </w:tr>
      <w:tr w:rsidR="00E93F5C" w14:paraId="77D8134E" w14:textId="77777777" w:rsidTr="009D4F9B">
        <w:trPr>
          <w:cantSplit/>
          <w:trHeight w:val="192"/>
        </w:trPr>
        <w:tc>
          <w:tcPr>
            <w:tcW w:w="2875" w:type="dxa"/>
          </w:tcPr>
          <w:p w14:paraId="3E4F3635" w14:textId="77777777" w:rsidR="00E93F5C" w:rsidRDefault="00E93F5C">
            <w:pPr>
              <w:autoSpaceDE w:val="0"/>
              <w:autoSpaceDN w:val="0"/>
              <w:adjustRightInd w:val="0"/>
              <w:rPr>
                <w:color w:val="000000"/>
              </w:rPr>
            </w:pPr>
            <w:r>
              <w:rPr>
                <w:color w:val="000000"/>
              </w:rPr>
              <w:t>Total Equity ($)</w:t>
            </w:r>
          </w:p>
        </w:tc>
        <w:tc>
          <w:tcPr>
            <w:tcW w:w="1260" w:type="dxa"/>
          </w:tcPr>
          <w:p w14:paraId="7FDF7261" w14:textId="77777777" w:rsidR="00E93F5C" w:rsidRDefault="00E93F5C">
            <w:pPr>
              <w:autoSpaceDE w:val="0"/>
              <w:autoSpaceDN w:val="0"/>
              <w:adjustRightInd w:val="0"/>
              <w:jc w:val="right"/>
              <w:rPr>
                <w:color w:val="000000"/>
              </w:rPr>
            </w:pPr>
            <w:r>
              <w:rPr>
                <w:color w:val="000000"/>
              </w:rPr>
              <w:t>2,357</w:t>
            </w:r>
          </w:p>
        </w:tc>
        <w:tc>
          <w:tcPr>
            <w:tcW w:w="1170" w:type="dxa"/>
          </w:tcPr>
          <w:p w14:paraId="3A33FF5B" w14:textId="77777777" w:rsidR="00E93F5C" w:rsidRDefault="00E93F5C">
            <w:pPr>
              <w:autoSpaceDE w:val="0"/>
              <w:autoSpaceDN w:val="0"/>
              <w:adjustRightInd w:val="0"/>
              <w:jc w:val="right"/>
              <w:rPr>
                <w:color w:val="000000"/>
              </w:rPr>
            </w:pPr>
            <w:r>
              <w:rPr>
                <w:color w:val="000000"/>
              </w:rPr>
              <w:t>1,826</w:t>
            </w:r>
          </w:p>
        </w:tc>
      </w:tr>
    </w:tbl>
    <w:p w14:paraId="5677EB47" w14:textId="6800A65E" w:rsidR="001A0E7A" w:rsidRDefault="001A0E7A" w:rsidP="003B0E78">
      <w:pPr>
        <w:spacing w:after="240"/>
        <w:textAlignment w:val="baseline"/>
        <w:rPr>
          <w:rFonts w:eastAsia="Trebuchet MS"/>
          <w:color w:val="000000"/>
        </w:rPr>
      </w:pPr>
    </w:p>
    <w:p w14:paraId="12787BF9" w14:textId="6A969364" w:rsidR="006C1F03" w:rsidRPr="006C1F03" w:rsidRDefault="006C1F03" w:rsidP="006C1F03">
      <w:pPr>
        <w:tabs>
          <w:tab w:val="left" w:pos="90"/>
          <w:tab w:val="left" w:pos="3330"/>
          <w:tab w:val="left" w:pos="5490"/>
        </w:tabs>
        <w:textAlignment w:val="baseline"/>
        <w:rPr>
          <w:rFonts w:eastAsia="Trebuchet MS"/>
          <w:b/>
          <w:bCs/>
          <w:color w:val="000000"/>
        </w:rPr>
      </w:pPr>
      <w:r>
        <w:rPr>
          <w:rFonts w:eastAsia="Trebuchet MS"/>
          <w:b/>
          <w:bCs/>
          <w:color w:val="000000"/>
        </w:rPr>
        <w:tab/>
        <w:t>Encompass Western Mass</w:t>
      </w:r>
      <w:r>
        <w:rPr>
          <w:rFonts w:eastAsia="Trebuchet MS"/>
          <w:b/>
          <w:bCs/>
          <w:color w:val="000000"/>
        </w:rPr>
        <w:tab/>
        <w:t xml:space="preserve">As Reported   </w:t>
      </w:r>
      <w:r>
        <w:rPr>
          <w:rFonts w:eastAsia="Trebuchet MS"/>
          <w:b/>
          <w:bCs/>
          <w:color w:val="000000"/>
        </w:rPr>
        <w:tab/>
        <w:t>Key Metrics for Projected Periods</w:t>
      </w:r>
    </w:p>
    <w:tbl>
      <w:tblPr>
        <w:tblStyle w:val="TableGrid"/>
        <w:tblW w:w="0" w:type="auto"/>
        <w:tblLayout w:type="fixed"/>
        <w:tblLook w:val="0020" w:firstRow="1" w:lastRow="0" w:firstColumn="0" w:lastColumn="0" w:noHBand="0" w:noVBand="0"/>
      </w:tblPr>
      <w:tblGrid>
        <w:gridCol w:w="2875"/>
        <w:gridCol w:w="1080"/>
        <w:gridCol w:w="990"/>
        <w:gridCol w:w="874"/>
        <w:gridCol w:w="873"/>
        <w:gridCol w:w="874"/>
        <w:gridCol w:w="874"/>
        <w:gridCol w:w="873"/>
      </w:tblGrid>
      <w:tr w:rsidR="00CF79BC" w14:paraId="2F89D952" w14:textId="77777777" w:rsidTr="009D4F9B">
        <w:trPr>
          <w:cantSplit/>
          <w:trHeight w:val="192"/>
          <w:tblHeader/>
        </w:trPr>
        <w:tc>
          <w:tcPr>
            <w:tcW w:w="2875" w:type="dxa"/>
          </w:tcPr>
          <w:p w14:paraId="1710FBE2" w14:textId="77777777" w:rsidR="00CF79BC" w:rsidRDefault="00CF79BC">
            <w:pPr>
              <w:autoSpaceDE w:val="0"/>
              <w:autoSpaceDN w:val="0"/>
              <w:adjustRightInd w:val="0"/>
              <w:rPr>
                <w:color w:val="000000"/>
              </w:rPr>
            </w:pPr>
            <w:r>
              <w:rPr>
                <w:color w:val="000000"/>
              </w:rPr>
              <w:t>($ in thousands)</w:t>
            </w:r>
          </w:p>
        </w:tc>
        <w:tc>
          <w:tcPr>
            <w:tcW w:w="1080" w:type="dxa"/>
          </w:tcPr>
          <w:p w14:paraId="019BD5B6" w14:textId="77777777" w:rsidR="00CF79BC" w:rsidRDefault="00CF79BC">
            <w:pPr>
              <w:autoSpaceDE w:val="0"/>
              <w:autoSpaceDN w:val="0"/>
              <w:adjustRightInd w:val="0"/>
              <w:jc w:val="center"/>
              <w:rPr>
                <w:b/>
                <w:bCs/>
                <w:color w:val="000000"/>
              </w:rPr>
            </w:pPr>
            <w:r>
              <w:rPr>
                <w:b/>
                <w:bCs/>
                <w:color w:val="000000"/>
              </w:rPr>
              <w:t>2021</w:t>
            </w:r>
          </w:p>
        </w:tc>
        <w:tc>
          <w:tcPr>
            <w:tcW w:w="990" w:type="dxa"/>
          </w:tcPr>
          <w:p w14:paraId="52625AF7" w14:textId="77777777" w:rsidR="00CF79BC" w:rsidRDefault="00CF79BC">
            <w:pPr>
              <w:autoSpaceDE w:val="0"/>
              <w:autoSpaceDN w:val="0"/>
              <w:adjustRightInd w:val="0"/>
              <w:jc w:val="center"/>
              <w:rPr>
                <w:b/>
                <w:bCs/>
                <w:color w:val="000000"/>
              </w:rPr>
            </w:pPr>
            <w:r>
              <w:rPr>
                <w:b/>
                <w:bCs/>
                <w:color w:val="000000"/>
              </w:rPr>
              <w:t>2022</w:t>
            </w:r>
          </w:p>
        </w:tc>
        <w:tc>
          <w:tcPr>
            <w:tcW w:w="874" w:type="dxa"/>
          </w:tcPr>
          <w:p w14:paraId="2248AA3F" w14:textId="77777777" w:rsidR="00CF79BC" w:rsidRDefault="00CF79BC">
            <w:pPr>
              <w:autoSpaceDE w:val="0"/>
              <w:autoSpaceDN w:val="0"/>
              <w:adjustRightInd w:val="0"/>
              <w:jc w:val="center"/>
              <w:rPr>
                <w:b/>
                <w:bCs/>
                <w:color w:val="000000"/>
              </w:rPr>
            </w:pPr>
            <w:r>
              <w:rPr>
                <w:b/>
                <w:bCs/>
                <w:color w:val="000000"/>
              </w:rPr>
              <w:t>2025</w:t>
            </w:r>
          </w:p>
        </w:tc>
        <w:tc>
          <w:tcPr>
            <w:tcW w:w="873" w:type="dxa"/>
          </w:tcPr>
          <w:p w14:paraId="58B80322" w14:textId="77777777" w:rsidR="00CF79BC" w:rsidRDefault="00CF79BC">
            <w:pPr>
              <w:autoSpaceDE w:val="0"/>
              <w:autoSpaceDN w:val="0"/>
              <w:adjustRightInd w:val="0"/>
              <w:jc w:val="center"/>
              <w:rPr>
                <w:b/>
                <w:bCs/>
                <w:color w:val="000000"/>
              </w:rPr>
            </w:pPr>
            <w:r>
              <w:rPr>
                <w:b/>
                <w:bCs/>
                <w:color w:val="000000"/>
              </w:rPr>
              <w:t>2026</w:t>
            </w:r>
          </w:p>
        </w:tc>
        <w:tc>
          <w:tcPr>
            <w:tcW w:w="874" w:type="dxa"/>
          </w:tcPr>
          <w:p w14:paraId="265D1DCC" w14:textId="77777777" w:rsidR="00CF79BC" w:rsidRDefault="00CF79BC">
            <w:pPr>
              <w:autoSpaceDE w:val="0"/>
              <w:autoSpaceDN w:val="0"/>
              <w:adjustRightInd w:val="0"/>
              <w:jc w:val="center"/>
              <w:rPr>
                <w:b/>
                <w:bCs/>
                <w:color w:val="000000"/>
              </w:rPr>
            </w:pPr>
            <w:r>
              <w:rPr>
                <w:b/>
                <w:bCs/>
                <w:color w:val="000000"/>
              </w:rPr>
              <w:t>2027</w:t>
            </w:r>
          </w:p>
        </w:tc>
        <w:tc>
          <w:tcPr>
            <w:tcW w:w="874" w:type="dxa"/>
          </w:tcPr>
          <w:p w14:paraId="5D4CEAE8" w14:textId="77777777" w:rsidR="00CF79BC" w:rsidRDefault="00CF79BC">
            <w:pPr>
              <w:autoSpaceDE w:val="0"/>
              <w:autoSpaceDN w:val="0"/>
              <w:adjustRightInd w:val="0"/>
              <w:jc w:val="center"/>
              <w:rPr>
                <w:b/>
                <w:bCs/>
                <w:color w:val="000000"/>
              </w:rPr>
            </w:pPr>
            <w:r>
              <w:rPr>
                <w:b/>
                <w:bCs/>
                <w:color w:val="000000"/>
              </w:rPr>
              <w:t>2028</w:t>
            </w:r>
          </w:p>
        </w:tc>
        <w:tc>
          <w:tcPr>
            <w:tcW w:w="873" w:type="dxa"/>
          </w:tcPr>
          <w:p w14:paraId="6ADCB147" w14:textId="77777777" w:rsidR="00CF79BC" w:rsidRDefault="00CF79BC">
            <w:pPr>
              <w:autoSpaceDE w:val="0"/>
              <w:autoSpaceDN w:val="0"/>
              <w:adjustRightInd w:val="0"/>
              <w:jc w:val="center"/>
              <w:rPr>
                <w:b/>
                <w:bCs/>
                <w:color w:val="000000"/>
              </w:rPr>
            </w:pPr>
            <w:r>
              <w:rPr>
                <w:b/>
                <w:bCs/>
                <w:color w:val="000000"/>
              </w:rPr>
              <w:t>2029</w:t>
            </w:r>
          </w:p>
        </w:tc>
      </w:tr>
      <w:tr w:rsidR="00CF79BC" w14:paraId="01D1E8C3" w14:textId="77777777" w:rsidTr="009D4F9B">
        <w:trPr>
          <w:cantSplit/>
          <w:trHeight w:val="192"/>
        </w:trPr>
        <w:tc>
          <w:tcPr>
            <w:tcW w:w="2875" w:type="dxa"/>
          </w:tcPr>
          <w:p w14:paraId="5662E140" w14:textId="77777777" w:rsidR="00CF79BC" w:rsidRDefault="00CF79BC">
            <w:pPr>
              <w:autoSpaceDE w:val="0"/>
              <w:autoSpaceDN w:val="0"/>
              <w:adjustRightInd w:val="0"/>
              <w:rPr>
                <w:color w:val="000000"/>
              </w:rPr>
            </w:pPr>
            <w:r>
              <w:rPr>
                <w:color w:val="000000"/>
              </w:rPr>
              <w:t>EBITDA ($)</w:t>
            </w:r>
          </w:p>
        </w:tc>
        <w:tc>
          <w:tcPr>
            <w:tcW w:w="1080" w:type="dxa"/>
          </w:tcPr>
          <w:p w14:paraId="2A683283" w14:textId="77777777" w:rsidR="00CF79BC" w:rsidRDefault="00CF79BC">
            <w:pPr>
              <w:autoSpaceDE w:val="0"/>
              <w:autoSpaceDN w:val="0"/>
              <w:adjustRightInd w:val="0"/>
              <w:jc w:val="right"/>
              <w:rPr>
                <w:color w:val="000000"/>
              </w:rPr>
            </w:pPr>
            <w:r>
              <w:rPr>
                <w:color w:val="000000"/>
              </w:rPr>
              <w:t>10,162</w:t>
            </w:r>
          </w:p>
        </w:tc>
        <w:tc>
          <w:tcPr>
            <w:tcW w:w="990" w:type="dxa"/>
          </w:tcPr>
          <w:p w14:paraId="7A669265" w14:textId="77777777" w:rsidR="00CF79BC" w:rsidRDefault="00CF79BC">
            <w:pPr>
              <w:autoSpaceDE w:val="0"/>
              <w:autoSpaceDN w:val="0"/>
              <w:adjustRightInd w:val="0"/>
              <w:jc w:val="right"/>
              <w:rPr>
                <w:color w:val="000000"/>
              </w:rPr>
            </w:pPr>
            <w:r>
              <w:rPr>
                <w:color w:val="000000"/>
              </w:rPr>
              <w:t>8,761</w:t>
            </w:r>
          </w:p>
        </w:tc>
        <w:tc>
          <w:tcPr>
            <w:tcW w:w="874" w:type="dxa"/>
          </w:tcPr>
          <w:p w14:paraId="4C0B1F7B" w14:textId="77777777" w:rsidR="00CF79BC" w:rsidRDefault="00CF79BC">
            <w:pPr>
              <w:autoSpaceDE w:val="0"/>
              <w:autoSpaceDN w:val="0"/>
              <w:adjustRightInd w:val="0"/>
              <w:jc w:val="right"/>
              <w:rPr>
                <w:color w:val="000000"/>
              </w:rPr>
            </w:pPr>
            <w:r>
              <w:rPr>
                <w:color w:val="000000"/>
              </w:rPr>
              <w:t>9,400</w:t>
            </w:r>
          </w:p>
        </w:tc>
        <w:tc>
          <w:tcPr>
            <w:tcW w:w="873" w:type="dxa"/>
          </w:tcPr>
          <w:p w14:paraId="61C39603" w14:textId="77777777" w:rsidR="00CF79BC" w:rsidRDefault="00CF79BC">
            <w:pPr>
              <w:autoSpaceDE w:val="0"/>
              <w:autoSpaceDN w:val="0"/>
              <w:adjustRightInd w:val="0"/>
              <w:jc w:val="right"/>
              <w:rPr>
                <w:color w:val="000000"/>
              </w:rPr>
            </w:pPr>
            <w:r>
              <w:rPr>
                <w:color w:val="000000"/>
              </w:rPr>
              <w:t>9,371</w:t>
            </w:r>
          </w:p>
        </w:tc>
        <w:tc>
          <w:tcPr>
            <w:tcW w:w="874" w:type="dxa"/>
          </w:tcPr>
          <w:p w14:paraId="275ED33F" w14:textId="77777777" w:rsidR="00CF79BC" w:rsidRDefault="00CF79BC">
            <w:pPr>
              <w:autoSpaceDE w:val="0"/>
              <w:autoSpaceDN w:val="0"/>
              <w:adjustRightInd w:val="0"/>
              <w:jc w:val="right"/>
              <w:rPr>
                <w:color w:val="000000"/>
              </w:rPr>
            </w:pPr>
            <w:r>
              <w:rPr>
                <w:color w:val="000000"/>
              </w:rPr>
              <w:t>9,316</w:t>
            </w:r>
          </w:p>
        </w:tc>
        <w:tc>
          <w:tcPr>
            <w:tcW w:w="874" w:type="dxa"/>
          </w:tcPr>
          <w:p w14:paraId="7BDAEFC6" w14:textId="77777777" w:rsidR="00CF79BC" w:rsidRDefault="00CF79BC">
            <w:pPr>
              <w:autoSpaceDE w:val="0"/>
              <w:autoSpaceDN w:val="0"/>
              <w:adjustRightInd w:val="0"/>
              <w:jc w:val="right"/>
              <w:rPr>
                <w:color w:val="000000"/>
              </w:rPr>
            </w:pPr>
            <w:r>
              <w:rPr>
                <w:color w:val="000000"/>
              </w:rPr>
              <w:t>9,301</w:t>
            </w:r>
          </w:p>
        </w:tc>
        <w:tc>
          <w:tcPr>
            <w:tcW w:w="873" w:type="dxa"/>
          </w:tcPr>
          <w:p w14:paraId="192D819B" w14:textId="77777777" w:rsidR="00CF79BC" w:rsidRDefault="00CF79BC">
            <w:pPr>
              <w:autoSpaceDE w:val="0"/>
              <w:autoSpaceDN w:val="0"/>
              <w:adjustRightInd w:val="0"/>
              <w:jc w:val="right"/>
              <w:rPr>
                <w:color w:val="000000"/>
              </w:rPr>
            </w:pPr>
            <w:r>
              <w:rPr>
                <w:color w:val="000000"/>
              </w:rPr>
              <w:t>8,947</w:t>
            </w:r>
          </w:p>
        </w:tc>
      </w:tr>
      <w:tr w:rsidR="00CF79BC" w14:paraId="62389D6B" w14:textId="77777777" w:rsidTr="009D4F9B">
        <w:trPr>
          <w:cantSplit/>
          <w:trHeight w:val="192"/>
        </w:trPr>
        <w:tc>
          <w:tcPr>
            <w:tcW w:w="2875" w:type="dxa"/>
          </w:tcPr>
          <w:p w14:paraId="6CDB1EF5" w14:textId="77777777" w:rsidR="00CF79BC" w:rsidRDefault="00CF79BC">
            <w:pPr>
              <w:autoSpaceDE w:val="0"/>
              <w:autoSpaceDN w:val="0"/>
              <w:adjustRightInd w:val="0"/>
              <w:rPr>
                <w:color w:val="000000"/>
              </w:rPr>
            </w:pPr>
            <w:r>
              <w:rPr>
                <w:color w:val="000000"/>
              </w:rPr>
              <w:t>EBITDA Margin ( %)</w:t>
            </w:r>
          </w:p>
        </w:tc>
        <w:tc>
          <w:tcPr>
            <w:tcW w:w="1080" w:type="dxa"/>
          </w:tcPr>
          <w:p w14:paraId="2D3F9DF6" w14:textId="77777777" w:rsidR="00CF79BC" w:rsidRDefault="00CF79BC">
            <w:pPr>
              <w:autoSpaceDE w:val="0"/>
              <w:autoSpaceDN w:val="0"/>
              <w:adjustRightInd w:val="0"/>
              <w:jc w:val="right"/>
              <w:rPr>
                <w:color w:val="000000"/>
              </w:rPr>
            </w:pPr>
            <w:r>
              <w:rPr>
                <w:color w:val="000000"/>
              </w:rPr>
              <w:t>31.8%</w:t>
            </w:r>
          </w:p>
        </w:tc>
        <w:tc>
          <w:tcPr>
            <w:tcW w:w="990" w:type="dxa"/>
          </w:tcPr>
          <w:p w14:paraId="7C9BA1A2" w14:textId="77777777" w:rsidR="00CF79BC" w:rsidRDefault="00CF79BC">
            <w:pPr>
              <w:autoSpaceDE w:val="0"/>
              <w:autoSpaceDN w:val="0"/>
              <w:adjustRightInd w:val="0"/>
              <w:jc w:val="right"/>
              <w:rPr>
                <w:color w:val="000000"/>
              </w:rPr>
            </w:pPr>
            <w:r>
              <w:rPr>
                <w:color w:val="000000"/>
              </w:rPr>
              <w:t>27.7%</w:t>
            </w:r>
          </w:p>
        </w:tc>
        <w:tc>
          <w:tcPr>
            <w:tcW w:w="874" w:type="dxa"/>
          </w:tcPr>
          <w:p w14:paraId="7994B7B0" w14:textId="77777777" w:rsidR="00CF79BC" w:rsidRDefault="00CF79BC">
            <w:pPr>
              <w:autoSpaceDE w:val="0"/>
              <w:autoSpaceDN w:val="0"/>
              <w:adjustRightInd w:val="0"/>
              <w:jc w:val="right"/>
              <w:rPr>
                <w:color w:val="000000"/>
              </w:rPr>
            </w:pPr>
            <w:r>
              <w:rPr>
                <w:color w:val="000000"/>
              </w:rPr>
              <w:t>26.2%</w:t>
            </w:r>
          </w:p>
        </w:tc>
        <w:tc>
          <w:tcPr>
            <w:tcW w:w="873" w:type="dxa"/>
          </w:tcPr>
          <w:p w14:paraId="5957D43F" w14:textId="77777777" w:rsidR="00CF79BC" w:rsidRDefault="00CF79BC">
            <w:pPr>
              <w:autoSpaceDE w:val="0"/>
              <w:autoSpaceDN w:val="0"/>
              <w:adjustRightInd w:val="0"/>
              <w:jc w:val="right"/>
              <w:rPr>
                <w:color w:val="000000"/>
              </w:rPr>
            </w:pPr>
            <w:r>
              <w:rPr>
                <w:color w:val="000000"/>
              </w:rPr>
              <w:t>25.4%</w:t>
            </w:r>
          </w:p>
        </w:tc>
        <w:tc>
          <w:tcPr>
            <w:tcW w:w="874" w:type="dxa"/>
          </w:tcPr>
          <w:p w14:paraId="197651BA" w14:textId="77777777" w:rsidR="00CF79BC" w:rsidRDefault="00CF79BC">
            <w:pPr>
              <w:autoSpaceDE w:val="0"/>
              <w:autoSpaceDN w:val="0"/>
              <w:adjustRightInd w:val="0"/>
              <w:jc w:val="right"/>
              <w:rPr>
                <w:color w:val="000000"/>
              </w:rPr>
            </w:pPr>
            <w:r>
              <w:rPr>
                <w:color w:val="000000"/>
              </w:rPr>
              <w:t>24.5%</w:t>
            </w:r>
          </w:p>
        </w:tc>
        <w:tc>
          <w:tcPr>
            <w:tcW w:w="874" w:type="dxa"/>
          </w:tcPr>
          <w:p w14:paraId="6B2A0211" w14:textId="77777777" w:rsidR="00CF79BC" w:rsidRDefault="00CF79BC">
            <w:pPr>
              <w:autoSpaceDE w:val="0"/>
              <w:autoSpaceDN w:val="0"/>
              <w:adjustRightInd w:val="0"/>
              <w:jc w:val="right"/>
              <w:rPr>
                <w:color w:val="000000"/>
              </w:rPr>
            </w:pPr>
            <w:r>
              <w:rPr>
                <w:color w:val="000000"/>
              </w:rPr>
              <w:t>23.8%</w:t>
            </w:r>
          </w:p>
        </w:tc>
        <w:tc>
          <w:tcPr>
            <w:tcW w:w="873" w:type="dxa"/>
          </w:tcPr>
          <w:p w14:paraId="459E3A8A" w14:textId="77777777" w:rsidR="00CF79BC" w:rsidRDefault="00CF79BC">
            <w:pPr>
              <w:autoSpaceDE w:val="0"/>
              <w:autoSpaceDN w:val="0"/>
              <w:adjustRightInd w:val="0"/>
              <w:jc w:val="right"/>
              <w:rPr>
                <w:color w:val="000000"/>
              </w:rPr>
            </w:pPr>
            <w:r>
              <w:rPr>
                <w:color w:val="000000"/>
              </w:rPr>
              <w:t>22.7%</w:t>
            </w:r>
          </w:p>
        </w:tc>
      </w:tr>
      <w:tr w:rsidR="00CF79BC" w14:paraId="3A1F1921" w14:textId="77777777" w:rsidTr="009D4F9B">
        <w:trPr>
          <w:cantSplit/>
          <w:trHeight w:val="192"/>
        </w:trPr>
        <w:tc>
          <w:tcPr>
            <w:tcW w:w="2875" w:type="dxa"/>
          </w:tcPr>
          <w:p w14:paraId="30FBF12E" w14:textId="77777777" w:rsidR="00CF79BC" w:rsidRDefault="00CF79BC">
            <w:pPr>
              <w:autoSpaceDE w:val="0"/>
              <w:autoSpaceDN w:val="0"/>
              <w:adjustRightInd w:val="0"/>
              <w:rPr>
                <w:color w:val="000000"/>
              </w:rPr>
            </w:pPr>
            <w:r>
              <w:rPr>
                <w:color w:val="000000"/>
              </w:rPr>
              <w:t>Operating Margin (%)</w:t>
            </w:r>
          </w:p>
        </w:tc>
        <w:tc>
          <w:tcPr>
            <w:tcW w:w="1080" w:type="dxa"/>
          </w:tcPr>
          <w:p w14:paraId="4C604D59" w14:textId="77777777" w:rsidR="00CF79BC" w:rsidRDefault="00CF79BC">
            <w:pPr>
              <w:autoSpaceDE w:val="0"/>
              <w:autoSpaceDN w:val="0"/>
              <w:adjustRightInd w:val="0"/>
              <w:jc w:val="right"/>
              <w:rPr>
                <w:color w:val="000000"/>
              </w:rPr>
            </w:pPr>
            <w:r>
              <w:rPr>
                <w:color w:val="000000"/>
              </w:rPr>
              <w:t>30.7%</w:t>
            </w:r>
          </w:p>
        </w:tc>
        <w:tc>
          <w:tcPr>
            <w:tcW w:w="990" w:type="dxa"/>
          </w:tcPr>
          <w:p w14:paraId="25842ECB" w14:textId="77777777" w:rsidR="00CF79BC" w:rsidRDefault="00CF79BC">
            <w:pPr>
              <w:autoSpaceDE w:val="0"/>
              <w:autoSpaceDN w:val="0"/>
              <w:adjustRightInd w:val="0"/>
              <w:jc w:val="right"/>
              <w:rPr>
                <w:color w:val="000000"/>
              </w:rPr>
            </w:pPr>
            <w:r>
              <w:rPr>
                <w:color w:val="000000"/>
              </w:rPr>
              <w:t>26.6%</w:t>
            </w:r>
          </w:p>
        </w:tc>
        <w:tc>
          <w:tcPr>
            <w:tcW w:w="874" w:type="dxa"/>
          </w:tcPr>
          <w:p w14:paraId="5B03E4F5" w14:textId="77777777" w:rsidR="00CF79BC" w:rsidRDefault="00CF79BC">
            <w:pPr>
              <w:autoSpaceDE w:val="0"/>
              <w:autoSpaceDN w:val="0"/>
              <w:adjustRightInd w:val="0"/>
              <w:jc w:val="right"/>
              <w:rPr>
                <w:color w:val="000000"/>
              </w:rPr>
            </w:pPr>
            <w:r>
              <w:rPr>
                <w:color w:val="000000"/>
              </w:rPr>
              <w:t>23.7%</w:t>
            </w:r>
          </w:p>
        </w:tc>
        <w:tc>
          <w:tcPr>
            <w:tcW w:w="873" w:type="dxa"/>
          </w:tcPr>
          <w:p w14:paraId="3F736239" w14:textId="77777777" w:rsidR="00CF79BC" w:rsidRDefault="00CF79BC">
            <w:pPr>
              <w:autoSpaceDE w:val="0"/>
              <w:autoSpaceDN w:val="0"/>
              <w:adjustRightInd w:val="0"/>
              <w:jc w:val="right"/>
              <w:rPr>
                <w:color w:val="000000"/>
              </w:rPr>
            </w:pPr>
            <w:r>
              <w:rPr>
                <w:color w:val="000000"/>
              </w:rPr>
              <w:t>22.9%</w:t>
            </w:r>
          </w:p>
        </w:tc>
        <w:tc>
          <w:tcPr>
            <w:tcW w:w="874" w:type="dxa"/>
          </w:tcPr>
          <w:p w14:paraId="488BE8AB" w14:textId="77777777" w:rsidR="00CF79BC" w:rsidRDefault="00CF79BC">
            <w:pPr>
              <w:autoSpaceDE w:val="0"/>
              <w:autoSpaceDN w:val="0"/>
              <w:adjustRightInd w:val="0"/>
              <w:jc w:val="right"/>
              <w:rPr>
                <w:color w:val="000000"/>
              </w:rPr>
            </w:pPr>
            <w:r>
              <w:rPr>
                <w:color w:val="000000"/>
              </w:rPr>
              <w:t>22.1%</w:t>
            </w:r>
          </w:p>
        </w:tc>
        <w:tc>
          <w:tcPr>
            <w:tcW w:w="874" w:type="dxa"/>
          </w:tcPr>
          <w:p w14:paraId="3A69B84C" w14:textId="77777777" w:rsidR="00CF79BC" w:rsidRDefault="00CF79BC">
            <w:pPr>
              <w:autoSpaceDE w:val="0"/>
              <w:autoSpaceDN w:val="0"/>
              <w:adjustRightInd w:val="0"/>
              <w:jc w:val="right"/>
              <w:rPr>
                <w:color w:val="000000"/>
              </w:rPr>
            </w:pPr>
            <w:r>
              <w:rPr>
                <w:color w:val="000000"/>
              </w:rPr>
              <w:t>21.4%</w:t>
            </w:r>
          </w:p>
        </w:tc>
        <w:tc>
          <w:tcPr>
            <w:tcW w:w="873" w:type="dxa"/>
          </w:tcPr>
          <w:p w14:paraId="04CFFCBA" w14:textId="77777777" w:rsidR="00CF79BC" w:rsidRDefault="00CF79BC">
            <w:pPr>
              <w:autoSpaceDE w:val="0"/>
              <w:autoSpaceDN w:val="0"/>
              <w:adjustRightInd w:val="0"/>
              <w:jc w:val="right"/>
              <w:rPr>
                <w:color w:val="000000"/>
              </w:rPr>
            </w:pPr>
            <w:r>
              <w:rPr>
                <w:color w:val="000000"/>
              </w:rPr>
              <w:t>20.2%</w:t>
            </w:r>
          </w:p>
        </w:tc>
      </w:tr>
      <w:tr w:rsidR="00CF79BC" w14:paraId="436F83FB" w14:textId="77777777" w:rsidTr="009D4F9B">
        <w:trPr>
          <w:cantSplit/>
          <w:trHeight w:val="192"/>
        </w:trPr>
        <w:tc>
          <w:tcPr>
            <w:tcW w:w="2875" w:type="dxa"/>
          </w:tcPr>
          <w:p w14:paraId="5613CB3F" w14:textId="77777777" w:rsidR="00CF79BC" w:rsidRDefault="00CF79BC">
            <w:pPr>
              <w:autoSpaceDE w:val="0"/>
              <w:autoSpaceDN w:val="0"/>
              <w:adjustRightInd w:val="0"/>
              <w:rPr>
                <w:color w:val="000000"/>
              </w:rPr>
            </w:pPr>
            <w:r>
              <w:rPr>
                <w:color w:val="000000"/>
              </w:rPr>
              <w:t>Total Margin (%)</w:t>
            </w:r>
          </w:p>
        </w:tc>
        <w:tc>
          <w:tcPr>
            <w:tcW w:w="1080" w:type="dxa"/>
          </w:tcPr>
          <w:p w14:paraId="50691BEF" w14:textId="77777777" w:rsidR="00CF79BC" w:rsidRDefault="00CF79BC">
            <w:pPr>
              <w:autoSpaceDE w:val="0"/>
              <w:autoSpaceDN w:val="0"/>
              <w:adjustRightInd w:val="0"/>
              <w:jc w:val="right"/>
              <w:rPr>
                <w:color w:val="000000"/>
              </w:rPr>
            </w:pPr>
            <w:r>
              <w:rPr>
                <w:color w:val="000000"/>
              </w:rPr>
              <w:t>23.0%</w:t>
            </w:r>
          </w:p>
        </w:tc>
        <w:tc>
          <w:tcPr>
            <w:tcW w:w="990" w:type="dxa"/>
          </w:tcPr>
          <w:p w14:paraId="6B6176D0" w14:textId="77777777" w:rsidR="00CF79BC" w:rsidRDefault="00CF79BC">
            <w:pPr>
              <w:autoSpaceDE w:val="0"/>
              <w:autoSpaceDN w:val="0"/>
              <w:adjustRightInd w:val="0"/>
              <w:jc w:val="right"/>
              <w:rPr>
                <w:color w:val="000000"/>
              </w:rPr>
            </w:pPr>
            <w:r>
              <w:rPr>
                <w:color w:val="000000"/>
              </w:rPr>
              <w:t>19.9%</w:t>
            </w:r>
          </w:p>
        </w:tc>
        <w:tc>
          <w:tcPr>
            <w:tcW w:w="874" w:type="dxa"/>
          </w:tcPr>
          <w:p w14:paraId="15180559" w14:textId="77777777" w:rsidR="00CF79BC" w:rsidRDefault="00CF79BC">
            <w:pPr>
              <w:autoSpaceDE w:val="0"/>
              <w:autoSpaceDN w:val="0"/>
              <w:adjustRightInd w:val="0"/>
              <w:jc w:val="right"/>
              <w:rPr>
                <w:color w:val="000000"/>
              </w:rPr>
            </w:pPr>
            <w:r>
              <w:rPr>
                <w:color w:val="000000"/>
              </w:rPr>
              <w:t>17.8%</w:t>
            </w:r>
          </w:p>
        </w:tc>
        <w:tc>
          <w:tcPr>
            <w:tcW w:w="873" w:type="dxa"/>
          </w:tcPr>
          <w:p w14:paraId="5591DD81" w14:textId="77777777" w:rsidR="00CF79BC" w:rsidRDefault="00CF79BC">
            <w:pPr>
              <w:autoSpaceDE w:val="0"/>
              <w:autoSpaceDN w:val="0"/>
              <w:adjustRightInd w:val="0"/>
              <w:jc w:val="right"/>
              <w:rPr>
                <w:color w:val="000000"/>
              </w:rPr>
            </w:pPr>
            <w:r>
              <w:rPr>
                <w:color w:val="000000"/>
              </w:rPr>
              <w:t>17.2%</w:t>
            </w:r>
          </w:p>
        </w:tc>
        <w:tc>
          <w:tcPr>
            <w:tcW w:w="874" w:type="dxa"/>
          </w:tcPr>
          <w:p w14:paraId="57EB8437" w14:textId="77777777" w:rsidR="00CF79BC" w:rsidRDefault="00CF79BC">
            <w:pPr>
              <w:autoSpaceDE w:val="0"/>
              <w:autoSpaceDN w:val="0"/>
              <w:adjustRightInd w:val="0"/>
              <w:jc w:val="right"/>
              <w:rPr>
                <w:color w:val="000000"/>
              </w:rPr>
            </w:pPr>
            <w:r>
              <w:rPr>
                <w:color w:val="000000"/>
              </w:rPr>
              <w:t>16.6%</w:t>
            </w:r>
          </w:p>
        </w:tc>
        <w:tc>
          <w:tcPr>
            <w:tcW w:w="874" w:type="dxa"/>
          </w:tcPr>
          <w:p w14:paraId="013C1078" w14:textId="77777777" w:rsidR="00CF79BC" w:rsidRDefault="00CF79BC">
            <w:pPr>
              <w:autoSpaceDE w:val="0"/>
              <w:autoSpaceDN w:val="0"/>
              <w:adjustRightInd w:val="0"/>
              <w:jc w:val="right"/>
              <w:rPr>
                <w:color w:val="000000"/>
              </w:rPr>
            </w:pPr>
            <w:r>
              <w:rPr>
                <w:color w:val="000000"/>
              </w:rPr>
              <w:t>16.1%</w:t>
            </w:r>
          </w:p>
        </w:tc>
        <w:tc>
          <w:tcPr>
            <w:tcW w:w="873" w:type="dxa"/>
          </w:tcPr>
          <w:p w14:paraId="785080F1" w14:textId="77777777" w:rsidR="00CF79BC" w:rsidRDefault="00CF79BC">
            <w:pPr>
              <w:autoSpaceDE w:val="0"/>
              <w:autoSpaceDN w:val="0"/>
              <w:adjustRightInd w:val="0"/>
              <w:jc w:val="right"/>
              <w:rPr>
                <w:color w:val="000000"/>
              </w:rPr>
            </w:pPr>
            <w:r>
              <w:rPr>
                <w:color w:val="000000"/>
              </w:rPr>
              <w:t>15.2%</w:t>
            </w:r>
          </w:p>
        </w:tc>
      </w:tr>
      <w:tr w:rsidR="00CF79BC" w14:paraId="4B9E95F1" w14:textId="77777777" w:rsidTr="009D4F9B">
        <w:trPr>
          <w:cantSplit/>
          <w:trHeight w:val="192"/>
        </w:trPr>
        <w:tc>
          <w:tcPr>
            <w:tcW w:w="2875" w:type="dxa"/>
          </w:tcPr>
          <w:p w14:paraId="2826FEE4" w14:textId="77777777" w:rsidR="00CF79BC" w:rsidRDefault="00CF79BC">
            <w:pPr>
              <w:autoSpaceDE w:val="0"/>
              <w:autoSpaceDN w:val="0"/>
              <w:adjustRightInd w:val="0"/>
              <w:rPr>
                <w:color w:val="000000"/>
              </w:rPr>
            </w:pPr>
            <w:r>
              <w:rPr>
                <w:color w:val="000000"/>
              </w:rPr>
              <w:t>Current Ratio</w:t>
            </w:r>
          </w:p>
        </w:tc>
        <w:tc>
          <w:tcPr>
            <w:tcW w:w="1080" w:type="dxa"/>
          </w:tcPr>
          <w:p w14:paraId="7B0D27F9" w14:textId="3EAE971D" w:rsidR="00CF79BC" w:rsidRDefault="00CF79BC">
            <w:pPr>
              <w:autoSpaceDE w:val="0"/>
              <w:autoSpaceDN w:val="0"/>
              <w:adjustRightInd w:val="0"/>
              <w:jc w:val="right"/>
              <w:rPr>
                <w:color w:val="000000"/>
              </w:rPr>
            </w:pPr>
            <w:r>
              <w:rPr>
                <w:color w:val="000000"/>
              </w:rPr>
              <w:t xml:space="preserve">          3.5 </w:t>
            </w:r>
          </w:p>
        </w:tc>
        <w:tc>
          <w:tcPr>
            <w:tcW w:w="990" w:type="dxa"/>
          </w:tcPr>
          <w:p w14:paraId="42C36FAC" w14:textId="0C693F2E" w:rsidR="00CF79BC" w:rsidRDefault="00CF79BC">
            <w:pPr>
              <w:autoSpaceDE w:val="0"/>
              <w:autoSpaceDN w:val="0"/>
              <w:adjustRightInd w:val="0"/>
              <w:jc w:val="right"/>
              <w:rPr>
                <w:color w:val="000000"/>
              </w:rPr>
            </w:pPr>
            <w:r>
              <w:rPr>
                <w:color w:val="000000"/>
              </w:rPr>
              <w:t xml:space="preserve">         2.9 </w:t>
            </w:r>
          </w:p>
        </w:tc>
        <w:tc>
          <w:tcPr>
            <w:tcW w:w="874" w:type="dxa"/>
          </w:tcPr>
          <w:p w14:paraId="5E9FE8D5" w14:textId="2692A027" w:rsidR="00CF79BC" w:rsidRDefault="00CF79BC">
            <w:pPr>
              <w:autoSpaceDE w:val="0"/>
              <w:autoSpaceDN w:val="0"/>
              <w:adjustRightInd w:val="0"/>
              <w:jc w:val="right"/>
              <w:rPr>
                <w:color w:val="000000"/>
              </w:rPr>
            </w:pPr>
            <w:r>
              <w:rPr>
                <w:color w:val="000000"/>
              </w:rPr>
              <w:t xml:space="preserve">      3.6 </w:t>
            </w:r>
          </w:p>
        </w:tc>
        <w:tc>
          <w:tcPr>
            <w:tcW w:w="873" w:type="dxa"/>
          </w:tcPr>
          <w:p w14:paraId="37B41AEE" w14:textId="09703ADF" w:rsidR="00CF79BC" w:rsidRDefault="00CF79BC">
            <w:pPr>
              <w:autoSpaceDE w:val="0"/>
              <w:autoSpaceDN w:val="0"/>
              <w:adjustRightInd w:val="0"/>
              <w:jc w:val="right"/>
              <w:rPr>
                <w:color w:val="000000"/>
              </w:rPr>
            </w:pPr>
            <w:r>
              <w:rPr>
                <w:color w:val="000000"/>
              </w:rPr>
              <w:t xml:space="preserve">      3.7 </w:t>
            </w:r>
          </w:p>
        </w:tc>
        <w:tc>
          <w:tcPr>
            <w:tcW w:w="874" w:type="dxa"/>
          </w:tcPr>
          <w:p w14:paraId="1379F75A" w14:textId="4C5193ED" w:rsidR="00CF79BC" w:rsidRDefault="00CF79BC">
            <w:pPr>
              <w:autoSpaceDE w:val="0"/>
              <w:autoSpaceDN w:val="0"/>
              <w:adjustRightInd w:val="0"/>
              <w:jc w:val="right"/>
              <w:rPr>
                <w:color w:val="000000"/>
              </w:rPr>
            </w:pPr>
            <w:r>
              <w:rPr>
                <w:color w:val="000000"/>
              </w:rPr>
              <w:t xml:space="preserve">      3.7 </w:t>
            </w:r>
          </w:p>
        </w:tc>
        <w:tc>
          <w:tcPr>
            <w:tcW w:w="874" w:type="dxa"/>
          </w:tcPr>
          <w:p w14:paraId="4912F7D5" w14:textId="12937DB9" w:rsidR="00CF79BC" w:rsidRDefault="00CF79BC">
            <w:pPr>
              <w:autoSpaceDE w:val="0"/>
              <w:autoSpaceDN w:val="0"/>
              <w:adjustRightInd w:val="0"/>
              <w:jc w:val="right"/>
              <w:rPr>
                <w:color w:val="000000"/>
              </w:rPr>
            </w:pPr>
            <w:r>
              <w:rPr>
                <w:color w:val="000000"/>
              </w:rPr>
              <w:t xml:space="preserve">      3.7 </w:t>
            </w:r>
          </w:p>
        </w:tc>
        <w:tc>
          <w:tcPr>
            <w:tcW w:w="873" w:type="dxa"/>
          </w:tcPr>
          <w:p w14:paraId="77BA92CC" w14:textId="2B024937" w:rsidR="00CF79BC" w:rsidRDefault="00CF79BC">
            <w:pPr>
              <w:autoSpaceDE w:val="0"/>
              <w:autoSpaceDN w:val="0"/>
              <w:adjustRightInd w:val="0"/>
              <w:jc w:val="right"/>
              <w:rPr>
                <w:color w:val="000000"/>
              </w:rPr>
            </w:pPr>
            <w:r>
              <w:rPr>
                <w:color w:val="000000"/>
              </w:rPr>
              <w:t xml:space="preserve">      3.7 </w:t>
            </w:r>
          </w:p>
        </w:tc>
      </w:tr>
      <w:tr w:rsidR="00CF79BC" w14:paraId="301BE2B6" w14:textId="77777777" w:rsidTr="009D4F9B">
        <w:trPr>
          <w:cantSplit/>
          <w:trHeight w:val="192"/>
        </w:trPr>
        <w:tc>
          <w:tcPr>
            <w:tcW w:w="2875" w:type="dxa"/>
          </w:tcPr>
          <w:p w14:paraId="1DEB25E1" w14:textId="77777777" w:rsidR="00CF79BC" w:rsidRDefault="00CF79BC">
            <w:pPr>
              <w:autoSpaceDE w:val="0"/>
              <w:autoSpaceDN w:val="0"/>
              <w:adjustRightInd w:val="0"/>
              <w:rPr>
                <w:color w:val="000000"/>
              </w:rPr>
            </w:pPr>
            <w:r>
              <w:rPr>
                <w:color w:val="000000"/>
              </w:rPr>
              <w:t>Cash Days on Hand</w:t>
            </w:r>
          </w:p>
        </w:tc>
        <w:tc>
          <w:tcPr>
            <w:tcW w:w="1080" w:type="dxa"/>
          </w:tcPr>
          <w:p w14:paraId="6118EEB8" w14:textId="662A3959" w:rsidR="00CF79BC" w:rsidRDefault="00CF79BC">
            <w:pPr>
              <w:autoSpaceDE w:val="0"/>
              <w:autoSpaceDN w:val="0"/>
              <w:adjustRightInd w:val="0"/>
              <w:jc w:val="right"/>
              <w:rPr>
                <w:color w:val="000000"/>
              </w:rPr>
            </w:pPr>
            <w:r>
              <w:rPr>
                <w:color w:val="000000"/>
              </w:rPr>
              <w:t xml:space="preserve">      113.5 </w:t>
            </w:r>
          </w:p>
        </w:tc>
        <w:tc>
          <w:tcPr>
            <w:tcW w:w="990" w:type="dxa"/>
          </w:tcPr>
          <w:p w14:paraId="148AFBB6" w14:textId="66513972" w:rsidR="00CF79BC" w:rsidRDefault="00CF79BC">
            <w:pPr>
              <w:autoSpaceDE w:val="0"/>
              <w:autoSpaceDN w:val="0"/>
              <w:adjustRightInd w:val="0"/>
              <w:jc w:val="right"/>
              <w:rPr>
                <w:color w:val="000000"/>
              </w:rPr>
            </w:pPr>
            <w:r>
              <w:rPr>
                <w:color w:val="000000"/>
              </w:rPr>
              <w:t xml:space="preserve">       94.5 </w:t>
            </w:r>
          </w:p>
        </w:tc>
        <w:tc>
          <w:tcPr>
            <w:tcW w:w="874" w:type="dxa"/>
          </w:tcPr>
          <w:p w14:paraId="32E73A0D" w14:textId="2BE33C15" w:rsidR="00CF79BC" w:rsidRDefault="00CF79BC">
            <w:pPr>
              <w:autoSpaceDE w:val="0"/>
              <w:autoSpaceDN w:val="0"/>
              <w:adjustRightInd w:val="0"/>
              <w:jc w:val="right"/>
              <w:rPr>
                <w:color w:val="000000"/>
              </w:rPr>
            </w:pPr>
            <w:r>
              <w:rPr>
                <w:color w:val="000000"/>
              </w:rPr>
              <w:t xml:space="preserve">  120.0 </w:t>
            </w:r>
          </w:p>
        </w:tc>
        <w:tc>
          <w:tcPr>
            <w:tcW w:w="873" w:type="dxa"/>
          </w:tcPr>
          <w:p w14:paraId="6BAAE2C1" w14:textId="7B5FC3D1" w:rsidR="00CF79BC" w:rsidRDefault="00CF79BC">
            <w:pPr>
              <w:autoSpaceDE w:val="0"/>
              <w:autoSpaceDN w:val="0"/>
              <w:adjustRightInd w:val="0"/>
              <w:jc w:val="right"/>
              <w:rPr>
                <w:color w:val="000000"/>
              </w:rPr>
            </w:pPr>
            <w:r>
              <w:rPr>
                <w:color w:val="000000"/>
              </w:rPr>
              <w:t xml:space="preserve">  120.0 </w:t>
            </w:r>
          </w:p>
        </w:tc>
        <w:tc>
          <w:tcPr>
            <w:tcW w:w="874" w:type="dxa"/>
          </w:tcPr>
          <w:p w14:paraId="15CA04BF" w14:textId="22EAD23A" w:rsidR="00CF79BC" w:rsidRDefault="00CF79BC">
            <w:pPr>
              <w:autoSpaceDE w:val="0"/>
              <w:autoSpaceDN w:val="0"/>
              <w:adjustRightInd w:val="0"/>
              <w:jc w:val="right"/>
              <w:rPr>
                <w:color w:val="000000"/>
              </w:rPr>
            </w:pPr>
            <w:r>
              <w:rPr>
                <w:color w:val="000000"/>
              </w:rPr>
              <w:t xml:space="preserve">  120.0 </w:t>
            </w:r>
          </w:p>
        </w:tc>
        <w:tc>
          <w:tcPr>
            <w:tcW w:w="874" w:type="dxa"/>
          </w:tcPr>
          <w:p w14:paraId="0224C5F8" w14:textId="0DDEDEEF" w:rsidR="00CF79BC" w:rsidRDefault="00CF79BC">
            <w:pPr>
              <w:autoSpaceDE w:val="0"/>
              <w:autoSpaceDN w:val="0"/>
              <w:adjustRightInd w:val="0"/>
              <w:jc w:val="right"/>
              <w:rPr>
                <w:color w:val="000000"/>
              </w:rPr>
            </w:pPr>
            <w:r>
              <w:rPr>
                <w:color w:val="000000"/>
              </w:rPr>
              <w:t xml:space="preserve">  120.0 </w:t>
            </w:r>
          </w:p>
        </w:tc>
        <w:tc>
          <w:tcPr>
            <w:tcW w:w="873" w:type="dxa"/>
          </w:tcPr>
          <w:p w14:paraId="57CB5F82" w14:textId="2A2D6DF2" w:rsidR="00CF79BC" w:rsidRDefault="00CF79BC">
            <w:pPr>
              <w:autoSpaceDE w:val="0"/>
              <w:autoSpaceDN w:val="0"/>
              <w:adjustRightInd w:val="0"/>
              <w:jc w:val="right"/>
              <w:rPr>
                <w:color w:val="000000"/>
              </w:rPr>
            </w:pPr>
            <w:r>
              <w:rPr>
                <w:color w:val="000000"/>
              </w:rPr>
              <w:t xml:space="preserve">  120.0 </w:t>
            </w:r>
          </w:p>
        </w:tc>
      </w:tr>
      <w:tr w:rsidR="00CF79BC" w14:paraId="6DCEEC6A" w14:textId="77777777" w:rsidTr="009D4F9B">
        <w:trPr>
          <w:cantSplit/>
          <w:trHeight w:val="192"/>
        </w:trPr>
        <w:tc>
          <w:tcPr>
            <w:tcW w:w="2875" w:type="dxa"/>
          </w:tcPr>
          <w:p w14:paraId="38D51A7D" w14:textId="77777777" w:rsidR="00CF79BC" w:rsidRDefault="00CF79BC">
            <w:pPr>
              <w:autoSpaceDE w:val="0"/>
              <w:autoSpaceDN w:val="0"/>
              <w:adjustRightInd w:val="0"/>
              <w:rPr>
                <w:color w:val="000000"/>
              </w:rPr>
            </w:pPr>
            <w:r>
              <w:rPr>
                <w:color w:val="000000"/>
              </w:rPr>
              <w:t>Cash ($)</w:t>
            </w:r>
          </w:p>
        </w:tc>
        <w:tc>
          <w:tcPr>
            <w:tcW w:w="1080" w:type="dxa"/>
          </w:tcPr>
          <w:p w14:paraId="6265F3FE" w14:textId="77777777" w:rsidR="00CF79BC" w:rsidRDefault="00CF79BC">
            <w:pPr>
              <w:autoSpaceDE w:val="0"/>
              <w:autoSpaceDN w:val="0"/>
              <w:adjustRightInd w:val="0"/>
              <w:jc w:val="right"/>
              <w:rPr>
                <w:color w:val="000000"/>
              </w:rPr>
            </w:pPr>
            <w:r>
              <w:rPr>
                <w:color w:val="000000"/>
              </w:rPr>
              <w:t>6,793</w:t>
            </w:r>
          </w:p>
        </w:tc>
        <w:tc>
          <w:tcPr>
            <w:tcW w:w="990" w:type="dxa"/>
          </w:tcPr>
          <w:p w14:paraId="7C4E3528" w14:textId="77777777" w:rsidR="00CF79BC" w:rsidRDefault="00CF79BC">
            <w:pPr>
              <w:autoSpaceDE w:val="0"/>
              <w:autoSpaceDN w:val="0"/>
              <w:adjustRightInd w:val="0"/>
              <w:jc w:val="right"/>
              <w:rPr>
                <w:color w:val="000000"/>
              </w:rPr>
            </w:pPr>
            <w:r>
              <w:rPr>
                <w:color w:val="000000"/>
              </w:rPr>
              <w:t>5,925</w:t>
            </w:r>
          </w:p>
        </w:tc>
        <w:tc>
          <w:tcPr>
            <w:tcW w:w="874" w:type="dxa"/>
          </w:tcPr>
          <w:p w14:paraId="5F5A3039" w14:textId="77777777" w:rsidR="00CF79BC" w:rsidRDefault="00CF79BC">
            <w:pPr>
              <w:autoSpaceDE w:val="0"/>
              <w:autoSpaceDN w:val="0"/>
              <w:adjustRightInd w:val="0"/>
              <w:jc w:val="right"/>
              <w:rPr>
                <w:color w:val="000000"/>
              </w:rPr>
            </w:pPr>
            <w:r>
              <w:rPr>
                <w:color w:val="000000"/>
              </w:rPr>
              <w:t>8,724</w:t>
            </w:r>
          </w:p>
        </w:tc>
        <w:tc>
          <w:tcPr>
            <w:tcW w:w="873" w:type="dxa"/>
          </w:tcPr>
          <w:p w14:paraId="21F8DBBE" w14:textId="77777777" w:rsidR="00CF79BC" w:rsidRDefault="00CF79BC">
            <w:pPr>
              <w:autoSpaceDE w:val="0"/>
              <w:autoSpaceDN w:val="0"/>
              <w:adjustRightInd w:val="0"/>
              <w:jc w:val="right"/>
              <w:rPr>
                <w:color w:val="000000"/>
              </w:rPr>
            </w:pPr>
            <w:r>
              <w:rPr>
                <w:color w:val="000000"/>
              </w:rPr>
              <w:t>9,069</w:t>
            </w:r>
          </w:p>
        </w:tc>
        <w:tc>
          <w:tcPr>
            <w:tcW w:w="874" w:type="dxa"/>
          </w:tcPr>
          <w:p w14:paraId="6312C41D" w14:textId="77777777" w:rsidR="00CF79BC" w:rsidRDefault="00CF79BC">
            <w:pPr>
              <w:autoSpaceDE w:val="0"/>
              <w:autoSpaceDN w:val="0"/>
              <w:adjustRightInd w:val="0"/>
              <w:jc w:val="right"/>
              <w:rPr>
                <w:color w:val="000000"/>
              </w:rPr>
            </w:pPr>
            <w:r>
              <w:rPr>
                <w:color w:val="000000"/>
              </w:rPr>
              <w:t>9,419</w:t>
            </w:r>
          </w:p>
        </w:tc>
        <w:tc>
          <w:tcPr>
            <w:tcW w:w="874" w:type="dxa"/>
          </w:tcPr>
          <w:p w14:paraId="61FA804C" w14:textId="77777777" w:rsidR="00CF79BC" w:rsidRDefault="00CF79BC">
            <w:pPr>
              <w:autoSpaceDE w:val="0"/>
              <w:autoSpaceDN w:val="0"/>
              <w:adjustRightInd w:val="0"/>
              <w:jc w:val="right"/>
              <w:rPr>
                <w:color w:val="000000"/>
              </w:rPr>
            </w:pPr>
            <w:r>
              <w:rPr>
                <w:color w:val="000000"/>
              </w:rPr>
              <w:t>9,743</w:t>
            </w:r>
          </w:p>
        </w:tc>
        <w:tc>
          <w:tcPr>
            <w:tcW w:w="873" w:type="dxa"/>
          </w:tcPr>
          <w:p w14:paraId="6218D5CC" w14:textId="77777777" w:rsidR="00CF79BC" w:rsidRDefault="00CF79BC">
            <w:pPr>
              <w:autoSpaceDE w:val="0"/>
              <w:autoSpaceDN w:val="0"/>
              <w:adjustRightInd w:val="0"/>
              <w:jc w:val="right"/>
              <w:rPr>
                <w:color w:val="000000"/>
              </w:rPr>
            </w:pPr>
            <w:r>
              <w:rPr>
                <w:color w:val="000000"/>
              </w:rPr>
              <w:t>10,012</w:t>
            </w:r>
          </w:p>
        </w:tc>
      </w:tr>
      <w:tr w:rsidR="00CF79BC" w14:paraId="203480D9" w14:textId="77777777" w:rsidTr="009D4F9B">
        <w:trPr>
          <w:cantSplit/>
          <w:trHeight w:val="192"/>
        </w:trPr>
        <w:tc>
          <w:tcPr>
            <w:tcW w:w="2875" w:type="dxa"/>
          </w:tcPr>
          <w:p w14:paraId="3650A1A2" w14:textId="5A56F09F" w:rsidR="00CF79BC" w:rsidRDefault="00CF79BC">
            <w:pPr>
              <w:autoSpaceDE w:val="0"/>
              <w:autoSpaceDN w:val="0"/>
              <w:adjustRightInd w:val="0"/>
              <w:rPr>
                <w:color w:val="000000"/>
              </w:rPr>
            </w:pPr>
            <w:r>
              <w:rPr>
                <w:color w:val="000000"/>
              </w:rPr>
              <w:t>Days in Account</w:t>
            </w:r>
            <w:r w:rsidR="004B6477">
              <w:rPr>
                <w:color w:val="000000"/>
              </w:rPr>
              <w:t xml:space="preserve"> </w:t>
            </w:r>
            <w:r>
              <w:rPr>
                <w:color w:val="000000"/>
              </w:rPr>
              <w:t>Receivable</w:t>
            </w:r>
          </w:p>
        </w:tc>
        <w:tc>
          <w:tcPr>
            <w:tcW w:w="1080" w:type="dxa"/>
          </w:tcPr>
          <w:p w14:paraId="4E5598E5" w14:textId="5E93A515" w:rsidR="00CF79BC" w:rsidRDefault="00CF79BC">
            <w:pPr>
              <w:autoSpaceDE w:val="0"/>
              <w:autoSpaceDN w:val="0"/>
              <w:adjustRightInd w:val="0"/>
              <w:jc w:val="right"/>
              <w:rPr>
                <w:color w:val="000000"/>
              </w:rPr>
            </w:pPr>
            <w:r>
              <w:rPr>
                <w:color w:val="000000"/>
              </w:rPr>
              <w:t xml:space="preserve">        43.7 </w:t>
            </w:r>
          </w:p>
        </w:tc>
        <w:tc>
          <w:tcPr>
            <w:tcW w:w="990" w:type="dxa"/>
          </w:tcPr>
          <w:p w14:paraId="44D76940" w14:textId="54E384F8" w:rsidR="00CF79BC" w:rsidRDefault="00CF79BC">
            <w:pPr>
              <w:autoSpaceDE w:val="0"/>
              <w:autoSpaceDN w:val="0"/>
              <w:adjustRightInd w:val="0"/>
              <w:jc w:val="right"/>
              <w:rPr>
                <w:color w:val="000000"/>
              </w:rPr>
            </w:pPr>
            <w:r>
              <w:rPr>
                <w:color w:val="000000"/>
              </w:rPr>
              <w:t xml:space="preserve">       46.4 </w:t>
            </w:r>
          </w:p>
        </w:tc>
        <w:tc>
          <w:tcPr>
            <w:tcW w:w="874" w:type="dxa"/>
          </w:tcPr>
          <w:p w14:paraId="16ED90D9" w14:textId="4ED3E47F" w:rsidR="00CF79BC" w:rsidRDefault="00CF79BC">
            <w:pPr>
              <w:autoSpaceDE w:val="0"/>
              <w:autoSpaceDN w:val="0"/>
              <w:adjustRightInd w:val="0"/>
              <w:jc w:val="right"/>
              <w:rPr>
                <w:color w:val="000000"/>
              </w:rPr>
            </w:pPr>
            <w:r>
              <w:rPr>
                <w:color w:val="000000"/>
              </w:rPr>
              <w:t xml:space="preserve">    53.0 </w:t>
            </w:r>
          </w:p>
        </w:tc>
        <w:tc>
          <w:tcPr>
            <w:tcW w:w="873" w:type="dxa"/>
          </w:tcPr>
          <w:p w14:paraId="32DA8B15" w14:textId="7170B5B4" w:rsidR="00CF79BC" w:rsidRDefault="00CF79BC">
            <w:pPr>
              <w:autoSpaceDE w:val="0"/>
              <w:autoSpaceDN w:val="0"/>
              <w:adjustRightInd w:val="0"/>
              <w:jc w:val="right"/>
              <w:rPr>
                <w:color w:val="000000"/>
              </w:rPr>
            </w:pPr>
            <w:r>
              <w:rPr>
                <w:color w:val="000000"/>
              </w:rPr>
              <w:t xml:space="preserve">    53.0 </w:t>
            </w:r>
          </w:p>
        </w:tc>
        <w:tc>
          <w:tcPr>
            <w:tcW w:w="874" w:type="dxa"/>
          </w:tcPr>
          <w:p w14:paraId="05166B97" w14:textId="2FBD0B60" w:rsidR="00CF79BC" w:rsidRDefault="00CF79BC">
            <w:pPr>
              <w:autoSpaceDE w:val="0"/>
              <w:autoSpaceDN w:val="0"/>
              <w:adjustRightInd w:val="0"/>
              <w:jc w:val="right"/>
              <w:rPr>
                <w:color w:val="000000"/>
              </w:rPr>
            </w:pPr>
            <w:r>
              <w:rPr>
                <w:color w:val="000000"/>
              </w:rPr>
              <w:t xml:space="preserve">    53.0 </w:t>
            </w:r>
          </w:p>
        </w:tc>
        <w:tc>
          <w:tcPr>
            <w:tcW w:w="874" w:type="dxa"/>
          </w:tcPr>
          <w:p w14:paraId="482A33DB" w14:textId="29B5FAD9" w:rsidR="00CF79BC" w:rsidRDefault="00CF79BC">
            <w:pPr>
              <w:autoSpaceDE w:val="0"/>
              <w:autoSpaceDN w:val="0"/>
              <w:adjustRightInd w:val="0"/>
              <w:jc w:val="right"/>
              <w:rPr>
                <w:color w:val="000000"/>
              </w:rPr>
            </w:pPr>
            <w:r>
              <w:rPr>
                <w:color w:val="000000"/>
              </w:rPr>
              <w:t xml:space="preserve">    53.0 </w:t>
            </w:r>
          </w:p>
        </w:tc>
        <w:tc>
          <w:tcPr>
            <w:tcW w:w="873" w:type="dxa"/>
          </w:tcPr>
          <w:p w14:paraId="161434A6" w14:textId="068F5991" w:rsidR="00CF79BC" w:rsidRDefault="00CF79BC">
            <w:pPr>
              <w:autoSpaceDE w:val="0"/>
              <w:autoSpaceDN w:val="0"/>
              <w:adjustRightInd w:val="0"/>
              <w:jc w:val="right"/>
              <w:rPr>
                <w:color w:val="000000"/>
              </w:rPr>
            </w:pPr>
            <w:r>
              <w:rPr>
                <w:color w:val="000000"/>
              </w:rPr>
              <w:t xml:space="preserve">    53.0 </w:t>
            </w:r>
          </w:p>
        </w:tc>
      </w:tr>
      <w:tr w:rsidR="00CF79BC" w14:paraId="055736DC" w14:textId="77777777" w:rsidTr="009D4F9B">
        <w:trPr>
          <w:cantSplit/>
          <w:trHeight w:val="192"/>
        </w:trPr>
        <w:tc>
          <w:tcPr>
            <w:tcW w:w="2875" w:type="dxa"/>
          </w:tcPr>
          <w:p w14:paraId="193FD5AF" w14:textId="77777777" w:rsidR="00CF79BC" w:rsidRDefault="00CF79BC">
            <w:pPr>
              <w:autoSpaceDE w:val="0"/>
              <w:autoSpaceDN w:val="0"/>
              <w:adjustRightInd w:val="0"/>
              <w:rPr>
                <w:color w:val="000000"/>
              </w:rPr>
            </w:pPr>
            <w:r>
              <w:rPr>
                <w:color w:val="000000"/>
              </w:rPr>
              <w:t>Total Assets ($)</w:t>
            </w:r>
          </w:p>
        </w:tc>
        <w:tc>
          <w:tcPr>
            <w:tcW w:w="1080" w:type="dxa"/>
          </w:tcPr>
          <w:p w14:paraId="40F54DAD" w14:textId="77777777" w:rsidR="00CF79BC" w:rsidRDefault="00CF79BC">
            <w:pPr>
              <w:autoSpaceDE w:val="0"/>
              <w:autoSpaceDN w:val="0"/>
              <w:adjustRightInd w:val="0"/>
              <w:jc w:val="right"/>
              <w:rPr>
                <w:color w:val="000000"/>
              </w:rPr>
            </w:pPr>
            <w:r>
              <w:rPr>
                <w:color w:val="000000"/>
              </w:rPr>
              <w:t>22,176</w:t>
            </w:r>
          </w:p>
        </w:tc>
        <w:tc>
          <w:tcPr>
            <w:tcW w:w="990" w:type="dxa"/>
          </w:tcPr>
          <w:p w14:paraId="1DB1BB0B" w14:textId="77777777" w:rsidR="00CF79BC" w:rsidRDefault="00CF79BC">
            <w:pPr>
              <w:autoSpaceDE w:val="0"/>
              <w:autoSpaceDN w:val="0"/>
              <w:adjustRightInd w:val="0"/>
              <w:jc w:val="right"/>
              <w:rPr>
                <w:color w:val="000000"/>
              </w:rPr>
            </w:pPr>
            <w:r>
              <w:rPr>
                <w:color w:val="000000"/>
              </w:rPr>
              <w:t>20,333</w:t>
            </w:r>
          </w:p>
        </w:tc>
        <w:tc>
          <w:tcPr>
            <w:tcW w:w="874" w:type="dxa"/>
          </w:tcPr>
          <w:p w14:paraId="46615CA1" w14:textId="77777777" w:rsidR="00CF79BC" w:rsidRDefault="00CF79BC">
            <w:pPr>
              <w:autoSpaceDE w:val="0"/>
              <w:autoSpaceDN w:val="0"/>
              <w:adjustRightInd w:val="0"/>
              <w:jc w:val="right"/>
              <w:rPr>
                <w:color w:val="000000"/>
              </w:rPr>
            </w:pPr>
            <w:r>
              <w:rPr>
                <w:color w:val="000000"/>
              </w:rPr>
              <w:t>36,983</w:t>
            </w:r>
          </w:p>
        </w:tc>
        <w:tc>
          <w:tcPr>
            <w:tcW w:w="873" w:type="dxa"/>
          </w:tcPr>
          <w:p w14:paraId="202B58D8" w14:textId="77777777" w:rsidR="00CF79BC" w:rsidRDefault="00CF79BC">
            <w:pPr>
              <w:autoSpaceDE w:val="0"/>
              <w:autoSpaceDN w:val="0"/>
              <w:adjustRightInd w:val="0"/>
              <w:jc w:val="right"/>
              <w:rPr>
                <w:color w:val="000000"/>
              </w:rPr>
            </w:pPr>
            <w:r>
              <w:rPr>
                <w:color w:val="000000"/>
              </w:rPr>
              <w:t>34,260</w:t>
            </w:r>
          </w:p>
        </w:tc>
        <w:tc>
          <w:tcPr>
            <w:tcW w:w="874" w:type="dxa"/>
          </w:tcPr>
          <w:p w14:paraId="39FC0D78" w14:textId="77777777" w:rsidR="00CF79BC" w:rsidRDefault="00CF79BC">
            <w:pPr>
              <w:autoSpaceDE w:val="0"/>
              <w:autoSpaceDN w:val="0"/>
              <w:adjustRightInd w:val="0"/>
              <w:jc w:val="right"/>
              <w:rPr>
                <w:color w:val="000000"/>
              </w:rPr>
            </w:pPr>
            <w:r>
              <w:rPr>
                <w:color w:val="000000"/>
              </w:rPr>
              <w:t>31,466</w:t>
            </w:r>
          </w:p>
        </w:tc>
        <w:tc>
          <w:tcPr>
            <w:tcW w:w="874" w:type="dxa"/>
          </w:tcPr>
          <w:p w14:paraId="159D7483" w14:textId="77777777" w:rsidR="00CF79BC" w:rsidRDefault="00CF79BC">
            <w:pPr>
              <w:autoSpaceDE w:val="0"/>
              <w:autoSpaceDN w:val="0"/>
              <w:adjustRightInd w:val="0"/>
              <w:jc w:val="right"/>
              <w:rPr>
                <w:color w:val="000000"/>
              </w:rPr>
            </w:pPr>
            <w:r>
              <w:rPr>
                <w:color w:val="000000"/>
              </w:rPr>
              <w:t>28,559</w:t>
            </w:r>
          </w:p>
        </w:tc>
        <w:tc>
          <w:tcPr>
            <w:tcW w:w="873" w:type="dxa"/>
          </w:tcPr>
          <w:p w14:paraId="548B76BE" w14:textId="77777777" w:rsidR="00CF79BC" w:rsidRDefault="00CF79BC">
            <w:pPr>
              <w:autoSpaceDE w:val="0"/>
              <w:autoSpaceDN w:val="0"/>
              <w:adjustRightInd w:val="0"/>
              <w:jc w:val="right"/>
              <w:rPr>
                <w:color w:val="000000"/>
              </w:rPr>
            </w:pPr>
            <w:r>
              <w:rPr>
                <w:color w:val="000000"/>
              </w:rPr>
              <w:t>25,455</w:t>
            </w:r>
          </w:p>
        </w:tc>
      </w:tr>
      <w:tr w:rsidR="00CF79BC" w14:paraId="32B81A46" w14:textId="77777777" w:rsidTr="009D4F9B">
        <w:trPr>
          <w:cantSplit/>
          <w:trHeight w:val="192"/>
        </w:trPr>
        <w:tc>
          <w:tcPr>
            <w:tcW w:w="2875" w:type="dxa"/>
          </w:tcPr>
          <w:p w14:paraId="7DE0559C" w14:textId="77777777" w:rsidR="00CF79BC" w:rsidRDefault="00CF79BC">
            <w:pPr>
              <w:autoSpaceDE w:val="0"/>
              <w:autoSpaceDN w:val="0"/>
              <w:adjustRightInd w:val="0"/>
              <w:rPr>
                <w:color w:val="000000"/>
              </w:rPr>
            </w:pPr>
            <w:r>
              <w:rPr>
                <w:color w:val="000000"/>
              </w:rPr>
              <w:t>Total Equity ($)</w:t>
            </w:r>
          </w:p>
        </w:tc>
        <w:tc>
          <w:tcPr>
            <w:tcW w:w="1080" w:type="dxa"/>
          </w:tcPr>
          <w:p w14:paraId="22412AA6" w14:textId="77777777" w:rsidR="00CF79BC" w:rsidRDefault="00CF79BC">
            <w:pPr>
              <w:autoSpaceDE w:val="0"/>
              <w:autoSpaceDN w:val="0"/>
              <w:adjustRightInd w:val="0"/>
              <w:jc w:val="right"/>
              <w:rPr>
                <w:color w:val="000000"/>
              </w:rPr>
            </w:pPr>
            <w:r>
              <w:rPr>
                <w:color w:val="000000"/>
              </w:rPr>
              <w:t>12,596</w:t>
            </w:r>
          </w:p>
        </w:tc>
        <w:tc>
          <w:tcPr>
            <w:tcW w:w="990" w:type="dxa"/>
          </w:tcPr>
          <w:p w14:paraId="390DE837" w14:textId="77777777" w:rsidR="00CF79BC" w:rsidRDefault="00CF79BC">
            <w:pPr>
              <w:autoSpaceDE w:val="0"/>
              <w:autoSpaceDN w:val="0"/>
              <w:adjustRightInd w:val="0"/>
              <w:jc w:val="right"/>
              <w:rPr>
                <w:color w:val="000000"/>
              </w:rPr>
            </w:pPr>
            <w:r>
              <w:rPr>
                <w:color w:val="000000"/>
              </w:rPr>
              <w:t>12,363</w:t>
            </w:r>
          </w:p>
        </w:tc>
        <w:tc>
          <w:tcPr>
            <w:tcW w:w="874" w:type="dxa"/>
          </w:tcPr>
          <w:p w14:paraId="65924B83" w14:textId="77777777" w:rsidR="00CF79BC" w:rsidRDefault="00CF79BC">
            <w:pPr>
              <w:autoSpaceDE w:val="0"/>
              <w:autoSpaceDN w:val="0"/>
              <w:adjustRightInd w:val="0"/>
              <w:jc w:val="right"/>
              <w:rPr>
                <w:color w:val="000000"/>
              </w:rPr>
            </w:pPr>
            <w:r>
              <w:rPr>
                <w:color w:val="000000"/>
              </w:rPr>
              <w:t>20,268</w:t>
            </w:r>
          </w:p>
        </w:tc>
        <w:tc>
          <w:tcPr>
            <w:tcW w:w="873" w:type="dxa"/>
          </w:tcPr>
          <w:p w14:paraId="3867D002" w14:textId="77777777" w:rsidR="00CF79BC" w:rsidRDefault="00CF79BC">
            <w:pPr>
              <w:autoSpaceDE w:val="0"/>
              <w:autoSpaceDN w:val="0"/>
              <w:adjustRightInd w:val="0"/>
              <w:jc w:val="right"/>
              <w:rPr>
                <w:color w:val="000000"/>
              </w:rPr>
            </w:pPr>
            <w:r>
              <w:rPr>
                <w:color w:val="000000"/>
              </w:rPr>
              <w:t>19,961</w:t>
            </w:r>
          </w:p>
        </w:tc>
        <w:tc>
          <w:tcPr>
            <w:tcW w:w="874" w:type="dxa"/>
          </w:tcPr>
          <w:p w14:paraId="01A3BA64" w14:textId="77777777" w:rsidR="00CF79BC" w:rsidRDefault="00CF79BC">
            <w:pPr>
              <w:autoSpaceDE w:val="0"/>
              <w:autoSpaceDN w:val="0"/>
              <w:adjustRightInd w:val="0"/>
              <w:jc w:val="right"/>
              <w:rPr>
                <w:color w:val="000000"/>
              </w:rPr>
            </w:pPr>
            <w:r>
              <w:rPr>
                <w:color w:val="000000"/>
              </w:rPr>
              <w:t>19,632</w:t>
            </w:r>
          </w:p>
        </w:tc>
        <w:tc>
          <w:tcPr>
            <w:tcW w:w="874" w:type="dxa"/>
          </w:tcPr>
          <w:p w14:paraId="013243C2" w14:textId="77777777" w:rsidR="00CF79BC" w:rsidRDefault="00CF79BC">
            <w:pPr>
              <w:autoSpaceDE w:val="0"/>
              <w:autoSpaceDN w:val="0"/>
              <w:adjustRightInd w:val="0"/>
              <w:jc w:val="right"/>
              <w:rPr>
                <w:color w:val="000000"/>
              </w:rPr>
            </w:pPr>
            <w:r>
              <w:rPr>
                <w:color w:val="000000"/>
              </w:rPr>
              <w:t>19,242</w:t>
            </w:r>
          </w:p>
        </w:tc>
        <w:tc>
          <w:tcPr>
            <w:tcW w:w="873" w:type="dxa"/>
          </w:tcPr>
          <w:p w14:paraId="005E0A27" w14:textId="77777777" w:rsidR="00CF79BC" w:rsidRDefault="00CF79BC">
            <w:pPr>
              <w:autoSpaceDE w:val="0"/>
              <w:autoSpaceDN w:val="0"/>
              <w:adjustRightInd w:val="0"/>
              <w:jc w:val="right"/>
              <w:rPr>
                <w:color w:val="000000"/>
              </w:rPr>
            </w:pPr>
            <w:r>
              <w:rPr>
                <w:color w:val="000000"/>
              </w:rPr>
              <w:t>18,718</w:t>
            </w:r>
          </w:p>
        </w:tc>
      </w:tr>
    </w:tbl>
    <w:p w14:paraId="224E3A0F" w14:textId="3E1351A4" w:rsidR="001A0E7A" w:rsidRDefault="003B0E78" w:rsidP="00CF79BC">
      <w:pPr>
        <w:spacing w:before="240" w:after="240"/>
        <w:textAlignment w:val="baseline"/>
        <w:rPr>
          <w:rFonts w:eastAsia="Trebuchet MS"/>
          <w:color w:val="000000"/>
        </w:rPr>
      </w:pPr>
      <w:r w:rsidRPr="001F1A6D">
        <w:rPr>
          <w:rFonts w:eastAsia="Trebuchet MS"/>
          <w:color w:val="000000"/>
          <w:spacing w:val="-2"/>
        </w:rPr>
        <w:t>The Key Metrics fall into three primary categories: profitability, liquidity, and solvency. Profitabil</w:t>
      </w:r>
      <w:r>
        <w:rPr>
          <w:rFonts w:eastAsia="Trebuchet MS"/>
          <w:color w:val="000000"/>
          <w:spacing w:val="-2"/>
        </w:rPr>
        <w:t>ity metrics, such as EBI</w:t>
      </w:r>
      <w:r w:rsidR="00776608">
        <w:rPr>
          <w:rFonts w:eastAsia="Trebuchet MS"/>
          <w:color w:val="000000"/>
          <w:spacing w:val="-2"/>
        </w:rPr>
        <w:t>T</w:t>
      </w:r>
      <w:r>
        <w:rPr>
          <w:rFonts w:eastAsia="Trebuchet MS"/>
          <w:color w:val="000000"/>
          <w:spacing w:val="-2"/>
        </w:rPr>
        <w:t>DA, EBI</w:t>
      </w:r>
      <w:r w:rsidR="00776608">
        <w:rPr>
          <w:rFonts w:eastAsia="Trebuchet MS"/>
          <w:color w:val="000000"/>
          <w:spacing w:val="-2"/>
        </w:rPr>
        <w:t>T</w:t>
      </w:r>
      <w:r w:rsidRPr="001F1A6D">
        <w:rPr>
          <w:rFonts w:eastAsia="Trebuchet MS"/>
          <w:color w:val="000000"/>
          <w:spacing w:val="-2"/>
        </w:rPr>
        <w:t>DA Margin, Operating Margin</w:t>
      </w:r>
      <w:r w:rsidR="00776608">
        <w:rPr>
          <w:rFonts w:eastAsia="Trebuchet MS"/>
          <w:color w:val="000000"/>
          <w:spacing w:val="-2"/>
        </w:rPr>
        <w:t xml:space="preserve"> and</w:t>
      </w:r>
      <w:r w:rsidRPr="001F1A6D">
        <w:rPr>
          <w:rFonts w:eastAsia="Trebuchet MS"/>
          <w:color w:val="000000"/>
          <w:spacing w:val="-2"/>
        </w:rPr>
        <w:t xml:space="preserve"> Total Margin are used to assist in the evaluation of management performance in how efficiently res</w:t>
      </w:r>
      <w:r>
        <w:rPr>
          <w:rFonts w:eastAsia="Trebuchet MS"/>
          <w:color w:val="000000"/>
          <w:spacing w:val="-2"/>
        </w:rPr>
        <w:t>ourc</w:t>
      </w:r>
      <w:r w:rsidRPr="001F1A6D">
        <w:rPr>
          <w:rFonts w:eastAsia="Trebuchet MS"/>
          <w:color w:val="000000"/>
          <w:spacing w:val="-2"/>
        </w:rPr>
        <w:t xml:space="preserve">es are utilized. Liquidity metrics, such as </w:t>
      </w:r>
      <w:r w:rsidR="005D6413">
        <w:rPr>
          <w:rFonts w:eastAsia="Trebuchet MS"/>
          <w:color w:val="000000"/>
          <w:spacing w:val="-2"/>
        </w:rPr>
        <w:t xml:space="preserve">Current Ratio, </w:t>
      </w:r>
      <w:r w:rsidR="00465E61">
        <w:rPr>
          <w:rFonts w:eastAsia="Trebuchet MS"/>
          <w:color w:val="000000"/>
          <w:spacing w:val="-2"/>
        </w:rPr>
        <w:t xml:space="preserve">Cash </w:t>
      </w:r>
      <w:r w:rsidR="0010079F">
        <w:rPr>
          <w:rFonts w:eastAsia="Trebuchet MS"/>
          <w:color w:val="000000"/>
          <w:spacing w:val="-2"/>
        </w:rPr>
        <w:t xml:space="preserve">Days </w:t>
      </w:r>
      <w:r w:rsidR="00465E61">
        <w:rPr>
          <w:rFonts w:eastAsia="Trebuchet MS"/>
          <w:color w:val="000000"/>
          <w:spacing w:val="-2"/>
        </w:rPr>
        <w:t>on Hand</w:t>
      </w:r>
      <w:r w:rsidR="005D6413">
        <w:rPr>
          <w:rFonts w:eastAsia="Trebuchet MS"/>
          <w:color w:val="000000"/>
          <w:spacing w:val="-2"/>
        </w:rPr>
        <w:t xml:space="preserve"> </w:t>
      </w:r>
      <w:r w:rsidR="00465E61">
        <w:rPr>
          <w:rFonts w:eastAsia="Trebuchet MS"/>
          <w:color w:val="000000"/>
          <w:spacing w:val="-2"/>
        </w:rPr>
        <w:t>and Days in A</w:t>
      </w:r>
      <w:r w:rsidR="0010079F">
        <w:rPr>
          <w:rFonts w:eastAsia="Trebuchet MS"/>
          <w:color w:val="000000"/>
          <w:spacing w:val="-2"/>
        </w:rPr>
        <w:t xml:space="preserve">ccounts </w:t>
      </w:r>
      <w:r w:rsidR="00465E61">
        <w:rPr>
          <w:rFonts w:eastAsia="Trebuchet MS"/>
          <w:color w:val="000000"/>
          <w:spacing w:val="-2"/>
        </w:rPr>
        <w:t>R</w:t>
      </w:r>
      <w:r w:rsidR="0010079F">
        <w:rPr>
          <w:rFonts w:eastAsia="Trebuchet MS"/>
          <w:color w:val="000000"/>
          <w:spacing w:val="-2"/>
        </w:rPr>
        <w:t xml:space="preserve">eceivable </w:t>
      </w:r>
      <w:r w:rsidRPr="001F1A6D">
        <w:rPr>
          <w:rFonts w:eastAsia="Trebuchet MS"/>
          <w:color w:val="000000"/>
          <w:spacing w:val="-2"/>
        </w:rPr>
        <w:t xml:space="preserve">measure the quality and adequacy of assets to meet current obligations as they come due. Solvency metrics, </w:t>
      </w:r>
      <w:r w:rsidRPr="001E1980">
        <w:rPr>
          <w:rFonts w:eastAsia="Trebuchet MS"/>
          <w:color w:val="000000"/>
          <w:spacing w:val="-2"/>
        </w:rPr>
        <w:t xml:space="preserve">such as Total Assets and Total </w:t>
      </w:r>
      <w:r w:rsidR="00465E61">
        <w:rPr>
          <w:rFonts w:eastAsia="Trebuchet MS"/>
          <w:color w:val="000000"/>
          <w:spacing w:val="-2"/>
        </w:rPr>
        <w:t>Equity</w:t>
      </w:r>
      <w:r w:rsidRPr="001E1980">
        <w:rPr>
          <w:rFonts w:eastAsia="Trebuchet MS"/>
          <w:color w:val="000000"/>
          <w:spacing w:val="-2"/>
        </w:rPr>
        <w:t xml:space="preserve"> measure the company’s ability to service debt obligations. Additionally, certain metrics </w:t>
      </w:r>
      <w:r w:rsidRPr="001E1980">
        <w:rPr>
          <w:rFonts w:eastAsia="Trebuchet MS"/>
          <w:color w:val="000000"/>
        </w:rPr>
        <w:t>can be applicable in multiple categories.</w:t>
      </w:r>
    </w:p>
    <w:p w14:paraId="322C1F90" w14:textId="77777777" w:rsidR="0091717D" w:rsidRDefault="0091717D">
      <w:pPr>
        <w:rPr>
          <w:rFonts w:eastAsia="Trebuchet MS"/>
          <w:color w:val="000000"/>
        </w:rPr>
      </w:pPr>
      <w:r>
        <w:rPr>
          <w:rFonts w:eastAsia="Trebuchet MS"/>
          <w:color w:val="000000"/>
        </w:rPr>
        <w:br w:type="page"/>
      </w:r>
    </w:p>
    <w:p w14:paraId="72A71264" w14:textId="265551B4" w:rsidR="00A07048" w:rsidRDefault="00003594" w:rsidP="000339A6">
      <w:pPr>
        <w:spacing w:after="240"/>
        <w:textAlignment w:val="baseline"/>
        <w:rPr>
          <w:rFonts w:eastAsia="Trebuchet MS"/>
          <w:color w:val="000000"/>
        </w:rPr>
      </w:pPr>
      <w:r w:rsidRPr="001F1A6D">
        <w:rPr>
          <w:rFonts w:eastAsia="Trebuchet MS"/>
          <w:color w:val="000000"/>
        </w:rPr>
        <w:lastRenderedPageBreak/>
        <w:t xml:space="preserve">The </w:t>
      </w:r>
      <w:r w:rsidR="001B171C">
        <w:rPr>
          <w:rFonts w:eastAsia="Trebuchet MS"/>
          <w:color w:val="000000"/>
        </w:rPr>
        <w:t xml:space="preserve">following </w:t>
      </w:r>
      <w:r w:rsidRPr="001F1A6D">
        <w:rPr>
          <w:rFonts w:eastAsia="Trebuchet MS"/>
          <w:color w:val="000000"/>
        </w:rPr>
        <w:t xml:space="preserve">table </w:t>
      </w:r>
      <w:r w:rsidR="00A07048">
        <w:rPr>
          <w:rFonts w:eastAsia="Trebuchet MS"/>
          <w:color w:val="000000"/>
        </w:rPr>
        <w:t>s</w:t>
      </w:r>
      <w:r w:rsidRPr="001F1A6D">
        <w:rPr>
          <w:rFonts w:eastAsia="Trebuchet MS"/>
          <w:color w:val="000000"/>
        </w:rPr>
        <w:t xml:space="preserve">hows how each of the Key Metrics </w:t>
      </w:r>
      <w:r w:rsidR="00A6169E">
        <w:rPr>
          <w:rFonts w:eastAsia="Trebuchet MS"/>
          <w:color w:val="000000"/>
        </w:rPr>
        <w:t>is</w:t>
      </w:r>
      <w:r w:rsidRPr="001F1A6D">
        <w:rPr>
          <w:rFonts w:eastAsia="Trebuchet MS"/>
          <w:color w:val="000000"/>
        </w:rPr>
        <w:t xml:space="preserve"> calculated.</w:t>
      </w:r>
    </w:p>
    <w:tbl>
      <w:tblPr>
        <w:tblStyle w:val="TableGrid"/>
        <w:tblW w:w="9390" w:type="dxa"/>
        <w:tblLayout w:type="fixed"/>
        <w:tblLook w:val="0020" w:firstRow="1" w:lastRow="0" w:firstColumn="0" w:lastColumn="0" w:noHBand="0" w:noVBand="0"/>
      </w:tblPr>
      <w:tblGrid>
        <w:gridCol w:w="3240"/>
        <w:gridCol w:w="6150"/>
      </w:tblGrid>
      <w:tr w:rsidR="00CF79BC" w14:paraId="0367B895" w14:textId="77777777" w:rsidTr="009D4F9B">
        <w:trPr>
          <w:cantSplit/>
          <w:trHeight w:val="290"/>
          <w:tblHeader/>
        </w:trPr>
        <w:tc>
          <w:tcPr>
            <w:tcW w:w="3240" w:type="dxa"/>
          </w:tcPr>
          <w:p w14:paraId="50DA31E1" w14:textId="77777777" w:rsidR="00CF79BC" w:rsidRDefault="00CF79BC">
            <w:pPr>
              <w:autoSpaceDE w:val="0"/>
              <w:autoSpaceDN w:val="0"/>
              <w:adjustRightInd w:val="0"/>
              <w:jc w:val="center"/>
              <w:rPr>
                <w:color w:val="000000"/>
              </w:rPr>
            </w:pPr>
            <w:r>
              <w:rPr>
                <w:color w:val="000000"/>
              </w:rPr>
              <w:t>Key Metric</w:t>
            </w:r>
          </w:p>
        </w:tc>
        <w:tc>
          <w:tcPr>
            <w:tcW w:w="6150" w:type="dxa"/>
          </w:tcPr>
          <w:p w14:paraId="5DB8537D" w14:textId="77777777" w:rsidR="00CF79BC" w:rsidRDefault="00CF79BC">
            <w:pPr>
              <w:autoSpaceDE w:val="0"/>
              <w:autoSpaceDN w:val="0"/>
              <w:adjustRightInd w:val="0"/>
              <w:jc w:val="center"/>
              <w:rPr>
                <w:color w:val="000000"/>
              </w:rPr>
            </w:pPr>
            <w:r>
              <w:rPr>
                <w:color w:val="000000"/>
              </w:rPr>
              <w:t>Definition</w:t>
            </w:r>
          </w:p>
        </w:tc>
      </w:tr>
      <w:tr w:rsidR="00CF79BC" w14:paraId="796A8EE9" w14:textId="77777777" w:rsidTr="009D4F9B">
        <w:trPr>
          <w:cantSplit/>
          <w:trHeight w:val="871"/>
        </w:trPr>
        <w:tc>
          <w:tcPr>
            <w:tcW w:w="3240" w:type="dxa"/>
            <w:vAlign w:val="center"/>
          </w:tcPr>
          <w:p w14:paraId="3D20DB42" w14:textId="77777777" w:rsidR="00CF79BC" w:rsidRDefault="00CF79BC" w:rsidP="00CF79BC">
            <w:pPr>
              <w:autoSpaceDE w:val="0"/>
              <w:autoSpaceDN w:val="0"/>
              <w:adjustRightInd w:val="0"/>
              <w:rPr>
                <w:color w:val="000000"/>
              </w:rPr>
            </w:pPr>
            <w:r>
              <w:rPr>
                <w:color w:val="000000"/>
              </w:rPr>
              <w:t>EBITDA ($)</w:t>
            </w:r>
          </w:p>
        </w:tc>
        <w:tc>
          <w:tcPr>
            <w:tcW w:w="6150" w:type="dxa"/>
          </w:tcPr>
          <w:p w14:paraId="3088567C" w14:textId="77777777" w:rsidR="00CF79BC" w:rsidRDefault="00CF79BC">
            <w:pPr>
              <w:autoSpaceDE w:val="0"/>
              <w:autoSpaceDN w:val="0"/>
              <w:adjustRightInd w:val="0"/>
              <w:rPr>
                <w:color w:val="000000"/>
              </w:rPr>
            </w:pPr>
            <w:r>
              <w:rPr>
                <w:color w:val="000000"/>
              </w:rPr>
              <w:t>(Earnings before interest, taxes, depreciation and amortization expenses) - Operating income (loss) + interest expense + depreciation expense + amortization expense</w:t>
            </w:r>
          </w:p>
        </w:tc>
      </w:tr>
      <w:tr w:rsidR="00CF79BC" w14:paraId="083562AC" w14:textId="77777777" w:rsidTr="009D4F9B">
        <w:trPr>
          <w:cantSplit/>
          <w:trHeight w:val="581"/>
        </w:trPr>
        <w:tc>
          <w:tcPr>
            <w:tcW w:w="3240" w:type="dxa"/>
            <w:vAlign w:val="center"/>
          </w:tcPr>
          <w:p w14:paraId="07F985DF" w14:textId="77777777" w:rsidR="00CF79BC" w:rsidRDefault="00CF79BC">
            <w:pPr>
              <w:autoSpaceDE w:val="0"/>
              <w:autoSpaceDN w:val="0"/>
              <w:adjustRightInd w:val="0"/>
              <w:rPr>
                <w:color w:val="000000"/>
              </w:rPr>
            </w:pPr>
            <w:r>
              <w:rPr>
                <w:color w:val="000000"/>
              </w:rPr>
              <w:t>EBITDA Margin (%)</w:t>
            </w:r>
          </w:p>
        </w:tc>
        <w:tc>
          <w:tcPr>
            <w:tcW w:w="6150" w:type="dxa"/>
          </w:tcPr>
          <w:p w14:paraId="0A916DFE" w14:textId="77777777" w:rsidR="00CF79BC" w:rsidRDefault="00CF79BC">
            <w:pPr>
              <w:autoSpaceDE w:val="0"/>
              <w:autoSpaceDN w:val="0"/>
              <w:adjustRightInd w:val="0"/>
              <w:rPr>
                <w:color w:val="000000"/>
              </w:rPr>
            </w:pPr>
            <w:r>
              <w:rPr>
                <w:color w:val="000000"/>
              </w:rPr>
              <w:t>EBITDA expressed as a % of total operating revenues.  EBITDA / net operating revenues</w:t>
            </w:r>
          </w:p>
        </w:tc>
      </w:tr>
      <w:tr w:rsidR="00CF79BC" w14:paraId="267ACB5F" w14:textId="77777777" w:rsidTr="009D4F9B">
        <w:trPr>
          <w:cantSplit/>
          <w:trHeight w:val="290"/>
        </w:trPr>
        <w:tc>
          <w:tcPr>
            <w:tcW w:w="3240" w:type="dxa"/>
          </w:tcPr>
          <w:p w14:paraId="03171936" w14:textId="77777777" w:rsidR="00CF79BC" w:rsidRDefault="00CF79BC">
            <w:pPr>
              <w:autoSpaceDE w:val="0"/>
              <w:autoSpaceDN w:val="0"/>
              <w:adjustRightInd w:val="0"/>
              <w:rPr>
                <w:color w:val="000000"/>
              </w:rPr>
            </w:pPr>
            <w:r>
              <w:rPr>
                <w:color w:val="000000"/>
              </w:rPr>
              <w:t>Operating Margin (%)</w:t>
            </w:r>
          </w:p>
        </w:tc>
        <w:tc>
          <w:tcPr>
            <w:tcW w:w="6150" w:type="dxa"/>
          </w:tcPr>
          <w:p w14:paraId="282ECCFD" w14:textId="77777777" w:rsidR="00CF79BC" w:rsidRDefault="00CF79BC">
            <w:pPr>
              <w:autoSpaceDE w:val="0"/>
              <w:autoSpaceDN w:val="0"/>
              <w:adjustRightInd w:val="0"/>
              <w:rPr>
                <w:color w:val="000000"/>
              </w:rPr>
            </w:pPr>
            <w:r>
              <w:rPr>
                <w:color w:val="000000"/>
              </w:rPr>
              <w:t>Income (loss) from operations / net operating revenues</w:t>
            </w:r>
          </w:p>
        </w:tc>
      </w:tr>
      <w:tr w:rsidR="00CF79BC" w14:paraId="3DFD5FA2" w14:textId="77777777" w:rsidTr="009D4F9B">
        <w:trPr>
          <w:cantSplit/>
          <w:trHeight w:val="290"/>
        </w:trPr>
        <w:tc>
          <w:tcPr>
            <w:tcW w:w="3240" w:type="dxa"/>
          </w:tcPr>
          <w:p w14:paraId="4FD8D49A" w14:textId="77777777" w:rsidR="00CF79BC" w:rsidRDefault="00CF79BC">
            <w:pPr>
              <w:autoSpaceDE w:val="0"/>
              <w:autoSpaceDN w:val="0"/>
              <w:adjustRightInd w:val="0"/>
              <w:rPr>
                <w:color w:val="000000"/>
              </w:rPr>
            </w:pPr>
            <w:r>
              <w:rPr>
                <w:color w:val="000000"/>
              </w:rPr>
              <w:t>Total Margin (%)</w:t>
            </w:r>
          </w:p>
        </w:tc>
        <w:tc>
          <w:tcPr>
            <w:tcW w:w="6150" w:type="dxa"/>
          </w:tcPr>
          <w:p w14:paraId="4C60F0A9" w14:textId="07659EF9" w:rsidR="00CF79BC" w:rsidRDefault="00CF79BC">
            <w:pPr>
              <w:autoSpaceDE w:val="0"/>
              <w:autoSpaceDN w:val="0"/>
              <w:adjustRightInd w:val="0"/>
              <w:rPr>
                <w:color w:val="000000"/>
              </w:rPr>
            </w:pPr>
            <w:r>
              <w:rPr>
                <w:color w:val="000000"/>
              </w:rPr>
              <w:t xml:space="preserve">Net </w:t>
            </w:r>
            <w:r w:rsidR="00AE162F">
              <w:rPr>
                <w:color w:val="000000"/>
              </w:rPr>
              <w:t>income /</w:t>
            </w:r>
            <w:r>
              <w:rPr>
                <w:color w:val="000000"/>
              </w:rPr>
              <w:t xml:space="preserve"> net operating revenues</w:t>
            </w:r>
          </w:p>
        </w:tc>
      </w:tr>
      <w:tr w:rsidR="00CF79BC" w14:paraId="0EF4F444" w14:textId="77777777" w:rsidTr="009D4F9B">
        <w:trPr>
          <w:cantSplit/>
          <w:trHeight w:val="290"/>
        </w:trPr>
        <w:tc>
          <w:tcPr>
            <w:tcW w:w="3240" w:type="dxa"/>
          </w:tcPr>
          <w:p w14:paraId="3C4A9455" w14:textId="77777777" w:rsidR="00CF79BC" w:rsidRDefault="00CF79BC">
            <w:pPr>
              <w:autoSpaceDE w:val="0"/>
              <w:autoSpaceDN w:val="0"/>
              <w:adjustRightInd w:val="0"/>
              <w:rPr>
                <w:color w:val="000000"/>
              </w:rPr>
            </w:pPr>
            <w:r>
              <w:rPr>
                <w:color w:val="000000"/>
              </w:rPr>
              <w:t>Current Ratio</w:t>
            </w:r>
          </w:p>
        </w:tc>
        <w:tc>
          <w:tcPr>
            <w:tcW w:w="6150" w:type="dxa"/>
          </w:tcPr>
          <w:p w14:paraId="1429497D" w14:textId="77777777" w:rsidR="00CF79BC" w:rsidRDefault="00CF79BC">
            <w:pPr>
              <w:autoSpaceDE w:val="0"/>
              <w:autoSpaceDN w:val="0"/>
              <w:adjustRightInd w:val="0"/>
              <w:rPr>
                <w:color w:val="000000"/>
              </w:rPr>
            </w:pPr>
            <w:r>
              <w:rPr>
                <w:color w:val="000000"/>
              </w:rPr>
              <w:t>Current assets divided by current liabilities</w:t>
            </w:r>
          </w:p>
        </w:tc>
      </w:tr>
      <w:tr w:rsidR="00CF79BC" w14:paraId="3815E80C" w14:textId="77777777" w:rsidTr="009D4F9B">
        <w:trPr>
          <w:cantSplit/>
          <w:trHeight w:val="581"/>
        </w:trPr>
        <w:tc>
          <w:tcPr>
            <w:tcW w:w="3240" w:type="dxa"/>
            <w:vAlign w:val="center"/>
          </w:tcPr>
          <w:p w14:paraId="664B7C7D" w14:textId="77777777" w:rsidR="00CF79BC" w:rsidRDefault="00CF79BC">
            <w:pPr>
              <w:autoSpaceDE w:val="0"/>
              <w:autoSpaceDN w:val="0"/>
              <w:adjustRightInd w:val="0"/>
              <w:rPr>
                <w:color w:val="000000"/>
              </w:rPr>
            </w:pPr>
            <w:r>
              <w:rPr>
                <w:color w:val="000000"/>
              </w:rPr>
              <w:t>Cash Days on Hand</w:t>
            </w:r>
          </w:p>
        </w:tc>
        <w:tc>
          <w:tcPr>
            <w:tcW w:w="6150" w:type="dxa"/>
          </w:tcPr>
          <w:p w14:paraId="78F3B28E" w14:textId="77777777" w:rsidR="00CF79BC" w:rsidRDefault="00CF79BC">
            <w:pPr>
              <w:autoSpaceDE w:val="0"/>
              <w:autoSpaceDN w:val="0"/>
              <w:adjustRightInd w:val="0"/>
              <w:rPr>
                <w:color w:val="000000"/>
              </w:rPr>
            </w:pPr>
            <w:r>
              <w:rPr>
                <w:color w:val="000000"/>
              </w:rPr>
              <w:t>(Cash and equivalents) / ((Total operating expenses - depreciation &amp; amortization) / YTD days)</w:t>
            </w:r>
          </w:p>
        </w:tc>
      </w:tr>
      <w:tr w:rsidR="00CF79BC" w14:paraId="16847414" w14:textId="77777777" w:rsidTr="009D4F9B">
        <w:trPr>
          <w:cantSplit/>
          <w:trHeight w:val="290"/>
        </w:trPr>
        <w:tc>
          <w:tcPr>
            <w:tcW w:w="3240" w:type="dxa"/>
          </w:tcPr>
          <w:p w14:paraId="3B73F4F1" w14:textId="77777777" w:rsidR="00CF79BC" w:rsidRDefault="00CF79BC">
            <w:pPr>
              <w:autoSpaceDE w:val="0"/>
              <w:autoSpaceDN w:val="0"/>
              <w:adjustRightInd w:val="0"/>
              <w:rPr>
                <w:color w:val="000000"/>
              </w:rPr>
            </w:pPr>
            <w:r>
              <w:rPr>
                <w:color w:val="000000"/>
              </w:rPr>
              <w:t>Cash ($)</w:t>
            </w:r>
          </w:p>
        </w:tc>
        <w:tc>
          <w:tcPr>
            <w:tcW w:w="6150" w:type="dxa"/>
          </w:tcPr>
          <w:p w14:paraId="6A88A08F" w14:textId="77777777" w:rsidR="00CF79BC" w:rsidRDefault="00CF79BC">
            <w:pPr>
              <w:autoSpaceDE w:val="0"/>
              <w:autoSpaceDN w:val="0"/>
              <w:adjustRightInd w:val="0"/>
              <w:rPr>
                <w:color w:val="000000"/>
              </w:rPr>
            </w:pPr>
            <w:r>
              <w:rPr>
                <w:color w:val="000000"/>
              </w:rPr>
              <w:t>Cash and cash equivalents</w:t>
            </w:r>
          </w:p>
        </w:tc>
      </w:tr>
      <w:tr w:rsidR="00CF79BC" w14:paraId="583A73DF" w14:textId="77777777" w:rsidTr="009D4F9B">
        <w:trPr>
          <w:cantSplit/>
          <w:trHeight w:val="290"/>
        </w:trPr>
        <w:tc>
          <w:tcPr>
            <w:tcW w:w="3240" w:type="dxa"/>
            <w:vAlign w:val="center"/>
          </w:tcPr>
          <w:p w14:paraId="7265ECD8" w14:textId="77777777" w:rsidR="00CF79BC" w:rsidRDefault="00CF79BC">
            <w:pPr>
              <w:autoSpaceDE w:val="0"/>
              <w:autoSpaceDN w:val="0"/>
              <w:adjustRightInd w:val="0"/>
              <w:rPr>
                <w:color w:val="000000"/>
              </w:rPr>
            </w:pPr>
            <w:r>
              <w:rPr>
                <w:color w:val="000000"/>
              </w:rPr>
              <w:t>Days in Accounts Receivables</w:t>
            </w:r>
          </w:p>
        </w:tc>
        <w:tc>
          <w:tcPr>
            <w:tcW w:w="6150" w:type="dxa"/>
          </w:tcPr>
          <w:p w14:paraId="4B3C028B" w14:textId="77777777" w:rsidR="00CF79BC" w:rsidRDefault="00CF79BC">
            <w:pPr>
              <w:autoSpaceDE w:val="0"/>
              <w:autoSpaceDN w:val="0"/>
              <w:adjustRightInd w:val="0"/>
              <w:rPr>
                <w:color w:val="000000"/>
              </w:rPr>
            </w:pPr>
            <w:r>
              <w:rPr>
                <w:color w:val="000000"/>
              </w:rPr>
              <w:t>Accounts receivables divided by (net patient service revenue divided by 365 days)</w:t>
            </w:r>
          </w:p>
        </w:tc>
      </w:tr>
      <w:tr w:rsidR="00CF79BC" w14:paraId="339EB482" w14:textId="77777777" w:rsidTr="009D4F9B">
        <w:trPr>
          <w:cantSplit/>
          <w:trHeight w:val="290"/>
        </w:trPr>
        <w:tc>
          <w:tcPr>
            <w:tcW w:w="3240" w:type="dxa"/>
          </w:tcPr>
          <w:p w14:paraId="557C28FF" w14:textId="77777777" w:rsidR="00CF79BC" w:rsidRDefault="00CF79BC">
            <w:pPr>
              <w:autoSpaceDE w:val="0"/>
              <w:autoSpaceDN w:val="0"/>
              <w:adjustRightInd w:val="0"/>
              <w:rPr>
                <w:color w:val="000000"/>
              </w:rPr>
            </w:pPr>
            <w:r>
              <w:rPr>
                <w:color w:val="000000"/>
              </w:rPr>
              <w:t>Total Assets ($)</w:t>
            </w:r>
          </w:p>
        </w:tc>
        <w:tc>
          <w:tcPr>
            <w:tcW w:w="6150" w:type="dxa"/>
          </w:tcPr>
          <w:p w14:paraId="173DA990" w14:textId="77777777" w:rsidR="00CF79BC" w:rsidRDefault="00CF79BC">
            <w:pPr>
              <w:autoSpaceDE w:val="0"/>
              <w:autoSpaceDN w:val="0"/>
              <w:adjustRightInd w:val="0"/>
              <w:rPr>
                <w:color w:val="000000"/>
              </w:rPr>
            </w:pPr>
            <w:r>
              <w:rPr>
                <w:color w:val="000000"/>
              </w:rPr>
              <w:t>Total assets of the company</w:t>
            </w:r>
          </w:p>
        </w:tc>
      </w:tr>
      <w:tr w:rsidR="00CF79BC" w14:paraId="0576B06F" w14:textId="77777777" w:rsidTr="009D4F9B">
        <w:trPr>
          <w:cantSplit/>
          <w:trHeight w:val="290"/>
        </w:trPr>
        <w:tc>
          <w:tcPr>
            <w:tcW w:w="3240" w:type="dxa"/>
          </w:tcPr>
          <w:p w14:paraId="6A7FA5BB" w14:textId="77777777" w:rsidR="00CF79BC" w:rsidRDefault="00CF79BC">
            <w:pPr>
              <w:autoSpaceDE w:val="0"/>
              <w:autoSpaceDN w:val="0"/>
              <w:adjustRightInd w:val="0"/>
              <w:rPr>
                <w:color w:val="000000"/>
              </w:rPr>
            </w:pPr>
            <w:r>
              <w:rPr>
                <w:color w:val="000000"/>
              </w:rPr>
              <w:t>Total Equity ($)</w:t>
            </w:r>
          </w:p>
        </w:tc>
        <w:tc>
          <w:tcPr>
            <w:tcW w:w="6150" w:type="dxa"/>
          </w:tcPr>
          <w:p w14:paraId="3E05F437" w14:textId="77777777" w:rsidR="00CF79BC" w:rsidRDefault="00CF79BC">
            <w:pPr>
              <w:autoSpaceDE w:val="0"/>
              <w:autoSpaceDN w:val="0"/>
              <w:adjustRightInd w:val="0"/>
              <w:rPr>
                <w:color w:val="000000"/>
              </w:rPr>
            </w:pPr>
            <w:r>
              <w:rPr>
                <w:color w:val="000000"/>
              </w:rPr>
              <w:t xml:space="preserve">Total shareholders' equity of the company </w:t>
            </w:r>
          </w:p>
        </w:tc>
      </w:tr>
    </w:tbl>
    <w:p w14:paraId="19D9017A" w14:textId="77777777" w:rsidR="00557E9F" w:rsidRPr="00180A96" w:rsidRDefault="00003594" w:rsidP="0010079F">
      <w:pPr>
        <w:pStyle w:val="ListParagraph"/>
        <w:numPr>
          <w:ilvl w:val="0"/>
          <w:numId w:val="5"/>
        </w:numPr>
        <w:spacing w:before="240" w:after="240"/>
        <w:ind w:left="360"/>
        <w:contextualSpacing w:val="0"/>
        <w:textAlignment w:val="baseline"/>
        <w:rPr>
          <w:rFonts w:eastAsia="Trebuchet MS"/>
          <w:b/>
          <w:color w:val="000000"/>
          <w:spacing w:val="5"/>
        </w:rPr>
      </w:pPr>
      <w:bookmarkStart w:id="3" w:name="_Hlk37932394"/>
      <w:r w:rsidRPr="00180A96">
        <w:rPr>
          <w:rFonts w:eastAsia="Trebuchet MS"/>
          <w:b/>
          <w:color w:val="000000"/>
          <w:spacing w:val="5"/>
        </w:rPr>
        <w:t>Revenues</w:t>
      </w:r>
    </w:p>
    <w:p w14:paraId="2F2991F3" w14:textId="7176D0CE" w:rsidR="008B48F1" w:rsidRDefault="00E53E14" w:rsidP="00B3359F">
      <w:pPr>
        <w:spacing w:after="240"/>
        <w:textAlignment w:val="baseline"/>
        <w:rPr>
          <w:rFonts w:eastAsia="Trebuchet MS"/>
          <w:color w:val="000000"/>
        </w:rPr>
      </w:pPr>
      <w:r>
        <w:rPr>
          <w:rFonts w:eastAsia="Trebuchet MS"/>
          <w:color w:val="000000"/>
        </w:rPr>
        <w:t xml:space="preserve">The only revenue category on which the proposed project would have an impact is </w:t>
      </w:r>
      <w:r w:rsidR="008B48F1">
        <w:rPr>
          <w:rFonts w:eastAsia="Trebuchet MS"/>
          <w:color w:val="000000"/>
        </w:rPr>
        <w:t>N</w:t>
      </w:r>
      <w:r>
        <w:rPr>
          <w:rFonts w:eastAsia="Trebuchet MS"/>
          <w:color w:val="000000"/>
        </w:rPr>
        <w:t xml:space="preserve">et </w:t>
      </w:r>
      <w:r w:rsidR="008B48F1">
        <w:rPr>
          <w:rFonts w:eastAsia="Trebuchet MS"/>
          <w:color w:val="000000"/>
        </w:rPr>
        <w:t>P</w:t>
      </w:r>
      <w:r>
        <w:rPr>
          <w:rFonts w:eastAsia="Trebuchet MS"/>
          <w:color w:val="000000"/>
        </w:rPr>
        <w:t xml:space="preserve">atient </w:t>
      </w:r>
      <w:r w:rsidR="008B48F1">
        <w:rPr>
          <w:rFonts w:eastAsia="Trebuchet MS"/>
          <w:color w:val="000000"/>
        </w:rPr>
        <w:t>S</w:t>
      </w:r>
      <w:r>
        <w:rPr>
          <w:rFonts w:eastAsia="Trebuchet MS"/>
          <w:color w:val="000000"/>
        </w:rPr>
        <w:t xml:space="preserve">ervice </w:t>
      </w:r>
      <w:r w:rsidR="008B48F1">
        <w:rPr>
          <w:rFonts w:eastAsia="Trebuchet MS"/>
          <w:color w:val="000000"/>
        </w:rPr>
        <w:t>R</w:t>
      </w:r>
      <w:r>
        <w:rPr>
          <w:rFonts w:eastAsia="Trebuchet MS"/>
          <w:color w:val="000000"/>
        </w:rPr>
        <w:t>evenue</w:t>
      </w:r>
      <w:r w:rsidR="008B48F1">
        <w:rPr>
          <w:rFonts w:eastAsia="Trebuchet MS"/>
          <w:color w:val="000000"/>
        </w:rPr>
        <w:t xml:space="preserve"> (NPSR)</w:t>
      </w:r>
      <w:r>
        <w:rPr>
          <w:rFonts w:eastAsia="Trebuchet MS"/>
          <w:color w:val="000000"/>
        </w:rPr>
        <w:t xml:space="preserve">. Therefore, </w:t>
      </w:r>
      <w:r w:rsidR="00F85C2C">
        <w:rPr>
          <w:rFonts w:eastAsia="Trebuchet MS"/>
          <w:color w:val="000000"/>
        </w:rPr>
        <w:t>I</w:t>
      </w:r>
      <w:r w:rsidR="00003594" w:rsidRPr="001F1A6D">
        <w:rPr>
          <w:rFonts w:eastAsia="Trebuchet MS"/>
          <w:color w:val="000000"/>
        </w:rPr>
        <w:t xml:space="preserve"> have analyzed </w:t>
      </w:r>
      <w:r w:rsidR="008B48F1">
        <w:rPr>
          <w:rFonts w:eastAsia="Trebuchet MS"/>
          <w:color w:val="000000"/>
        </w:rPr>
        <w:t>N</w:t>
      </w:r>
      <w:r>
        <w:rPr>
          <w:rFonts w:eastAsia="Trebuchet MS"/>
          <w:color w:val="000000"/>
        </w:rPr>
        <w:t xml:space="preserve">et </w:t>
      </w:r>
      <w:r w:rsidR="008B48F1">
        <w:rPr>
          <w:rFonts w:eastAsia="Trebuchet MS"/>
          <w:color w:val="000000"/>
        </w:rPr>
        <w:t>P</w:t>
      </w:r>
      <w:r>
        <w:rPr>
          <w:rFonts w:eastAsia="Trebuchet MS"/>
          <w:color w:val="000000"/>
        </w:rPr>
        <w:t xml:space="preserve">atient </w:t>
      </w:r>
      <w:r w:rsidR="008B48F1">
        <w:rPr>
          <w:rFonts w:eastAsia="Trebuchet MS"/>
          <w:color w:val="000000"/>
        </w:rPr>
        <w:t>S</w:t>
      </w:r>
      <w:r>
        <w:rPr>
          <w:rFonts w:eastAsia="Trebuchet MS"/>
          <w:color w:val="000000"/>
        </w:rPr>
        <w:t xml:space="preserve">ervice </w:t>
      </w:r>
      <w:r w:rsidR="008B48F1">
        <w:rPr>
          <w:rFonts w:eastAsia="Trebuchet MS"/>
          <w:color w:val="000000"/>
        </w:rPr>
        <w:t>R</w:t>
      </w:r>
      <w:r>
        <w:rPr>
          <w:rFonts w:eastAsia="Trebuchet MS"/>
          <w:color w:val="000000"/>
        </w:rPr>
        <w:t xml:space="preserve">evenue </w:t>
      </w:r>
      <w:r w:rsidR="00003594" w:rsidRPr="001F1A6D">
        <w:rPr>
          <w:rFonts w:eastAsia="Trebuchet MS"/>
          <w:color w:val="000000"/>
        </w:rPr>
        <w:t xml:space="preserve">identified by </w:t>
      </w:r>
      <w:r w:rsidR="00704F71">
        <w:rPr>
          <w:rFonts w:eastAsia="Trebuchet MS"/>
          <w:color w:val="000000"/>
        </w:rPr>
        <w:t>Encompass</w:t>
      </w:r>
      <w:r w:rsidR="00794058">
        <w:rPr>
          <w:rFonts w:eastAsia="Trebuchet MS"/>
          <w:color w:val="000000"/>
        </w:rPr>
        <w:t xml:space="preserve"> </w:t>
      </w:r>
      <w:r w:rsidR="00943DE1">
        <w:rPr>
          <w:rFonts w:eastAsia="Trebuchet MS"/>
          <w:color w:val="000000"/>
        </w:rPr>
        <w:t>Western Mass</w:t>
      </w:r>
      <w:r w:rsidR="008838A0">
        <w:rPr>
          <w:rFonts w:eastAsia="Trebuchet MS"/>
          <w:color w:val="000000"/>
        </w:rPr>
        <w:t xml:space="preserve"> </w:t>
      </w:r>
      <w:r w:rsidR="00003594" w:rsidRPr="001F1A6D">
        <w:rPr>
          <w:rFonts w:eastAsia="Trebuchet MS"/>
          <w:color w:val="000000"/>
        </w:rPr>
        <w:t xml:space="preserve">in both their </w:t>
      </w:r>
      <w:r w:rsidR="00003594" w:rsidRPr="001F3A78">
        <w:rPr>
          <w:rFonts w:eastAsia="Trebuchet MS"/>
          <w:color w:val="000000"/>
        </w:rPr>
        <w:t xml:space="preserve">historical and projected financial information. </w:t>
      </w:r>
      <w:r w:rsidR="008B48F1" w:rsidRPr="000974C5">
        <w:rPr>
          <w:rFonts w:eastAsia="Trebuchet MS"/>
          <w:color w:val="000000"/>
        </w:rPr>
        <w:t xml:space="preserve">The proposed project </w:t>
      </w:r>
      <w:r w:rsidR="00C72E80">
        <w:rPr>
          <w:rFonts w:eastAsia="Trebuchet MS"/>
          <w:color w:val="000000"/>
        </w:rPr>
        <w:t>includes</w:t>
      </w:r>
      <w:r w:rsidR="00943DE1">
        <w:rPr>
          <w:rFonts w:eastAsia="Trebuchet MS"/>
          <w:color w:val="000000"/>
        </w:rPr>
        <w:t xml:space="preserve"> the addition</w:t>
      </w:r>
      <w:r w:rsidR="00C72E80">
        <w:rPr>
          <w:rFonts w:eastAsia="Trebuchet MS"/>
          <w:color w:val="000000"/>
        </w:rPr>
        <w:t xml:space="preserve"> of </w:t>
      </w:r>
      <w:r w:rsidR="00943DE1">
        <w:rPr>
          <w:rFonts w:eastAsia="Trebuchet MS"/>
          <w:color w:val="000000"/>
        </w:rPr>
        <w:t>seventeen</w:t>
      </w:r>
      <w:r w:rsidR="00C72E80">
        <w:rPr>
          <w:rFonts w:eastAsia="Trebuchet MS"/>
          <w:color w:val="000000"/>
        </w:rPr>
        <w:t xml:space="preserve"> (</w:t>
      </w:r>
      <w:r w:rsidR="00943DE1">
        <w:rPr>
          <w:rFonts w:eastAsia="Trebuchet MS"/>
          <w:color w:val="000000"/>
        </w:rPr>
        <w:t>17</w:t>
      </w:r>
      <w:r w:rsidR="00C72E80">
        <w:rPr>
          <w:rFonts w:eastAsia="Trebuchet MS"/>
          <w:color w:val="000000"/>
        </w:rPr>
        <w:t xml:space="preserve">) beds </w:t>
      </w:r>
      <w:r w:rsidR="00943DE1">
        <w:rPr>
          <w:rFonts w:eastAsia="Trebuchet MS"/>
          <w:color w:val="000000"/>
        </w:rPr>
        <w:t>to</w:t>
      </w:r>
      <w:r w:rsidR="00C72E80">
        <w:rPr>
          <w:rFonts w:eastAsia="Trebuchet MS"/>
          <w:color w:val="000000"/>
        </w:rPr>
        <w:t xml:space="preserve"> Encompass</w:t>
      </w:r>
      <w:r w:rsidR="005E6256">
        <w:rPr>
          <w:rFonts w:eastAsia="Trebuchet MS"/>
          <w:color w:val="000000"/>
        </w:rPr>
        <w:t xml:space="preserve"> </w:t>
      </w:r>
      <w:r w:rsidR="008838A0">
        <w:rPr>
          <w:rFonts w:eastAsia="Trebuchet MS"/>
          <w:color w:val="000000"/>
        </w:rPr>
        <w:t>Western Mass</w:t>
      </w:r>
      <w:r w:rsidR="00943DE1">
        <w:rPr>
          <w:rFonts w:eastAsia="Trebuchet MS"/>
          <w:color w:val="000000"/>
        </w:rPr>
        <w:t>.</w:t>
      </w:r>
      <w:r w:rsidR="00C72E80">
        <w:rPr>
          <w:rFonts w:eastAsia="Trebuchet MS"/>
          <w:color w:val="000000"/>
        </w:rPr>
        <w:t xml:space="preserve"> </w:t>
      </w:r>
      <w:r w:rsidR="008B48F1" w:rsidRPr="005E6256">
        <w:rPr>
          <w:rFonts w:eastAsia="Trebuchet MS"/>
          <w:color w:val="000000"/>
        </w:rPr>
        <w:t xml:space="preserve">Total licensed beds would </w:t>
      </w:r>
      <w:r w:rsidR="00943DE1">
        <w:rPr>
          <w:rFonts w:eastAsia="Trebuchet MS"/>
          <w:color w:val="000000"/>
        </w:rPr>
        <w:t>increase to seventy (70).</w:t>
      </w:r>
      <w:r w:rsidR="008B48F1" w:rsidRPr="005E6256">
        <w:rPr>
          <w:rFonts w:eastAsia="Trebuchet MS"/>
          <w:color w:val="000000"/>
        </w:rPr>
        <w:t xml:space="preserve"> </w:t>
      </w:r>
      <w:r w:rsidR="008B48F1" w:rsidRPr="008838A0">
        <w:rPr>
          <w:rFonts w:eastAsia="Trebuchet MS"/>
          <w:color w:val="000000"/>
        </w:rPr>
        <w:t xml:space="preserve">The </w:t>
      </w:r>
      <w:r w:rsidR="00941B98" w:rsidRPr="008838A0">
        <w:rPr>
          <w:rFonts w:eastAsia="Trebuchet MS"/>
          <w:color w:val="000000"/>
        </w:rPr>
        <w:t xml:space="preserve">creation of 17 additional </w:t>
      </w:r>
      <w:r w:rsidR="008B48F1" w:rsidRPr="008838A0">
        <w:rPr>
          <w:rFonts w:eastAsia="Trebuchet MS"/>
          <w:color w:val="000000"/>
        </w:rPr>
        <w:t xml:space="preserve">private rooms </w:t>
      </w:r>
      <w:r w:rsidR="00046A95" w:rsidRPr="008838A0">
        <w:rPr>
          <w:rFonts w:eastAsia="Trebuchet MS"/>
          <w:color w:val="000000"/>
        </w:rPr>
        <w:t xml:space="preserve">will </w:t>
      </w:r>
      <w:r w:rsidR="00941B98" w:rsidRPr="008838A0">
        <w:rPr>
          <w:rFonts w:eastAsia="Trebuchet MS"/>
          <w:color w:val="000000"/>
        </w:rPr>
        <w:t xml:space="preserve">provide more accessibility and availability for patients in Western Massachusetts. </w:t>
      </w:r>
      <w:r w:rsidR="004B7CE2">
        <w:rPr>
          <w:rFonts w:eastAsia="Trebuchet MS"/>
          <w:color w:val="000000"/>
        </w:rPr>
        <w:t>In order to determine the reasonableness of the projected NPSR, I reviewed the underlying assumptions upon which management relied.</w:t>
      </w:r>
    </w:p>
    <w:p w14:paraId="3B10489F" w14:textId="201A31E8" w:rsidR="001C2FEA" w:rsidRDefault="004B7CE2" w:rsidP="00B3359F">
      <w:pPr>
        <w:spacing w:after="240"/>
        <w:textAlignment w:val="baseline"/>
        <w:rPr>
          <w:rFonts w:eastAsia="Trebuchet MS"/>
          <w:color w:val="000000"/>
        </w:rPr>
      </w:pPr>
      <w:r>
        <w:rPr>
          <w:rFonts w:eastAsia="Trebuchet MS"/>
          <w:color w:val="000000"/>
        </w:rPr>
        <w:t>I first reviewed the projections to determine the reasonableness of the projected volume.</w:t>
      </w:r>
      <w:r w:rsidR="007D1D6B">
        <w:rPr>
          <w:rFonts w:eastAsia="Trebuchet MS"/>
          <w:color w:val="000000"/>
        </w:rPr>
        <w:t xml:space="preserve"> </w:t>
      </w:r>
      <w:r w:rsidR="000974C5">
        <w:rPr>
          <w:rFonts w:eastAsia="Trebuchet MS"/>
          <w:color w:val="000000"/>
        </w:rPr>
        <w:t>Encompass</w:t>
      </w:r>
      <w:r w:rsidR="005E6256">
        <w:rPr>
          <w:rFonts w:eastAsia="Trebuchet MS"/>
          <w:color w:val="000000"/>
        </w:rPr>
        <w:t xml:space="preserve"> </w:t>
      </w:r>
      <w:r w:rsidR="008838A0">
        <w:rPr>
          <w:rFonts w:eastAsia="Trebuchet MS"/>
          <w:color w:val="000000"/>
        </w:rPr>
        <w:t xml:space="preserve">Western Mass </w:t>
      </w:r>
      <w:r>
        <w:rPr>
          <w:rFonts w:eastAsia="Trebuchet MS"/>
          <w:color w:val="000000"/>
        </w:rPr>
        <w:t xml:space="preserve">provided </w:t>
      </w:r>
      <w:r w:rsidR="004014D7">
        <w:rPr>
          <w:rFonts w:eastAsia="Trebuchet MS"/>
          <w:color w:val="000000"/>
        </w:rPr>
        <w:t xml:space="preserve">historical data of patient days and </w:t>
      </w:r>
      <w:r w:rsidR="00941B98">
        <w:rPr>
          <w:rFonts w:eastAsia="Trebuchet MS"/>
          <w:color w:val="000000"/>
        </w:rPr>
        <w:t>cases.</w:t>
      </w:r>
      <w:r w:rsidR="004014D7">
        <w:rPr>
          <w:rFonts w:eastAsia="Trebuchet MS"/>
          <w:color w:val="000000"/>
        </w:rPr>
        <w:t xml:space="preserve"> </w:t>
      </w:r>
      <w:r w:rsidR="00CA2901">
        <w:rPr>
          <w:rFonts w:eastAsia="Trebuchet MS"/>
          <w:color w:val="000000"/>
        </w:rPr>
        <w:t xml:space="preserve">The ramp up </w:t>
      </w:r>
      <w:r w:rsidR="001C2FEA">
        <w:rPr>
          <w:rFonts w:eastAsia="Trebuchet MS"/>
          <w:color w:val="000000"/>
        </w:rPr>
        <w:t>of patient days</w:t>
      </w:r>
      <w:r w:rsidR="00A26C69">
        <w:rPr>
          <w:rFonts w:eastAsia="Trebuchet MS"/>
          <w:color w:val="000000"/>
        </w:rPr>
        <w:t xml:space="preserve"> </w:t>
      </w:r>
      <w:r w:rsidR="00941B98">
        <w:rPr>
          <w:rFonts w:eastAsia="Trebuchet MS"/>
          <w:color w:val="000000"/>
        </w:rPr>
        <w:t xml:space="preserve">and cases </w:t>
      </w:r>
      <w:r w:rsidR="00CA2901">
        <w:rPr>
          <w:rFonts w:eastAsia="Trebuchet MS"/>
          <w:color w:val="000000"/>
        </w:rPr>
        <w:t xml:space="preserve">was done </w:t>
      </w:r>
      <w:r w:rsidR="00E438D9">
        <w:rPr>
          <w:rFonts w:eastAsia="Trebuchet MS"/>
          <w:color w:val="000000"/>
        </w:rPr>
        <w:t xml:space="preserve">starting with the historical patient </w:t>
      </w:r>
      <w:r w:rsidR="00363463">
        <w:rPr>
          <w:rFonts w:eastAsia="Trebuchet MS"/>
          <w:color w:val="000000"/>
        </w:rPr>
        <w:t>case</w:t>
      </w:r>
      <w:r w:rsidR="00A26C69">
        <w:rPr>
          <w:rFonts w:eastAsia="Trebuchet MS"/>
          <w:color w:val="000000"/>
        </w:rPr>
        <w:t xml:space="preserve"> information</w:t>
      </w:r>
      <w:r w:rsidR="00E438D9">
        <w:rPr>
          <w:rFonts w:eastAsia="Trebuchet MS"/>
          <w:color w:val="000000"/>
        </w:rPr>
        <w:t xml:space="preserve"> and adding a</w:t>
      </w:r>
      <w:r w:rsidR="00363463">
        <w:rPr>
          <w:rFonts w:eastAsia="Trebuchet MS"/>
          <w:color w:val="000000"/>
        </w:rPr>
        <w:t xml:space="preserve"> one</w:t>
      </w:r>
      <w:r w:rsidR="008838A0">
        <w:rPr>
          <w:rFonts w:eastAsia="Trebuchet MS"/>
          <w:color w:val="000000"/>
        </w:rPr>
        <w:t>-</w:t>
      </w:r>
      <w:r w:rsidR="00363463">
        <w:rPr>
          <w:rFonts w:eastAsia="Trebuchet MS"/>
          <w:color w:val="000000"/>
        </w:rPr>
        <w:t xml:space="preserve">time </w:t>
      </w:r>
      <w:r w:rsidR="0010079F">
        <w:rPr>
          <w:rFonts w:eastAsia="Trebuchet MS"/>
          <w:color w:val="000000"/>
        </w:rPr>
        <w:t>increase</w:t>
      </w:r>
      <w:r w:rsidR="00E438D9">
        <w:rPr>
          <w:rFonts w:eastAsia="Trebuchet MS"/>
          <w:color w:val="000000"/>
        </w:rPr>
        <w:t xml:space="preserve"> </w:t>
      </w:r>
      <w:r w:rsidR="00E438D9" w:rsidRPr="00363463">
        <w:rPr>
          <w:rFonts w:eastAsia="Trebuchet MS"/>
          <w:color w:val="000000"/>
        </w:rPr>
        <w:t xml:space="preserve">of </w:t>
      </w:r>
      <w:r w:rsidR="00363463" w:rsidRPr="00363463">
        <w:rPr>
          <w:rFonts w:eastAsia="Trebuchet MS"/>
          <w:color w:val="000000"/>
        </w:rPr>
        <w:t>5.8</w:t>
      </w:r>
      <w:r w:rsidR="00E438D9" w:rsidRPr="00363463">
        <w:rPr>
          <w:rFonts w:eastAsia="Trebuchet MS"/>
          <w:color w:val="000000"/>
        </w:rPr>
        <w:t xml:space="preserve">% </w:t>
      </w:r>
      <w:r w:rsidR="00363463">
        <w:rPr>
          <w:rFonts w:eastAsia="Trebuchet MS"/>
          <w:color w:val="000000"/>
        </w:rPr>
        <w:t>for</w:t>
      </w:r>
      <w:r w:rsidR="00E438D9">
        <w:rPr>
          <w:rFonts w:eastAsia="Trebuchet MS"/>
          <w:color w:val="000000"/>
        </w:rPr>
        <w:t xml:space="preserve"> 202</w:t>
      </w:r>
      <w:r w:rsidR="00941B98">
        <w:rPr>
          <w:rFonts w:eastAsia="Trebuchet MS"/>
          <w:color w:val="000000"/>
        </w:rPr>
        <w:t>5</w:t>
      </w:r>
      <w:r w:rsidR="00363463">
        <w:rPr>
          <w:rFonts w:eastAsia="Trebuchet MS"/>
          <w:color w:val="000000"/>
        </w:rPr>
        <w:t>, the year the 17 additional beds come on line. From 2026</w:t>
      </w:r>
      <w:r w:rsidR="00E438D9">
        <w:rPr>
          <w:rFonts w:eastAsia="Trebuchet MS"/>
          <w:color w:val="000000"/>
        </w:rPr>
        <w:t xml:space="preserve"> to 202</w:t>
      </w:r>
      <w:r w:rsidR="00A26C69">
        <w:rPr>
          <w:rFonts w:eastAsia="Trebuchet MS"/>
          <w:color w:val="000000"/>
        </w:rPr>
        <w:t>9</w:t>
      </w:r>
      <w:r w:rsidR="00363463">
        <w:rPr>
          <w:rFonts w:eastAsia="Trebuchet MS"/>
          <w:color w:val="000000"/>
        </w:rPr>
        <w:t xml:space="preserve">, a general increase of 1.7% </w:t>
      </w:r>
      <w:r w:rsidR="00A4573A">
        <w:rPr>
          <w:rFonts w:eastAsia="Trebuchet MS"/>
          <w:color w:val="000000"/>
        </w:rPr>
        <w:t xml:space="preserve">per year </w:t>
      </w:r>
      <w:r w:rsidR="00363463">
        <w:rPr>
          <w:rFonts w:eastAsia="Trebuchet MS"/>
          <w:color w:val="000000"/>
        </w:rPr>
        <w:t>was added</w:t>
      </w:r>
      <w:r w:rsidR="00A26C69">
        <w:rPr>
          <w:rFonts w:eastAsia="Trebuchet MS"/>
          <w:color w:val="000000"/>
        </w:rPr>
        <w:t>.</w:t>
      </w:r>
      <w:r w:rsidR="00E438D9">
        <w:rPr>
          <w:rFonts w:eastAsia="Trebuchet MS"/>
          <w:color w:val="000000"/>
        </w:rPr>
        <w:t xml:space="preserve"> </w:t>
      </w:r>
      <w:r w:rsidR="007A5BD4">
        <w:rPr>
          <w:rFonts w:eastAsia="Trebuchet MS"/>
          <w:color w:val="000000"/>
        </w:rPr>
        <w:t xml:space="preserve">The average daily census </w:t>
      </w:r>
      <w:r w:rsidR="00A26C69">
        <w:rPr>
          <w:rFonts w:eastAsia="Trebuchet MS"/>
          <w:color w:val="000000"/>
        </w:rPr>
        <w:t>is</w:t>
      </w:r>
      <w:r w:rsidR="000339A6">
        <w:rPr>
          <w:rFonts w:eastAsia="Trebuchet MS"/>
          <w:color w:val="000000"/>
        </w:rPr>
        <w:t xml:space="preserve"> projected to grow </w:t>
      </w:r>
      <w:r w:rsidR="007A5BD4">
        <w:rPr>
          <w:rFonts w:eastAsia="Trebuchet MS"/>
          <w:color w:val="000000"/>
        </w:rPr>
        <w:t xml:space="preserve">from </w:t>
      </w:r>
      <w:r w:rsidR="00363463" w:rsidRPr="00363463">
        <w:rPr>
          <w:rFonts w:eastAsia="Trebuchet MS"/>
          <w:color w:val="000000"/>
        </w:rPr>
        <w:t>54.9</w:t>
      </w:r>
      <w:r w:rsidR="007A5BD4" w:rsidRPr="00363463">
        <w:rPr>
          <w:rFonts w:eastAsia="Trebuchet MS"/>
          <w:color w:val="000000"/>
        </w:rPr>
        <w:t xml:space="preserve"> in </w:t>
      </w:r>
      <w:r w:rsidR="000339A6" w:rsidRPr="00363463">
        <w:rPr>
          <w:rFonts w:eastAsia="Trebuchet MS"/>
          <w:color w:val="000000"/>
        </w:rPr>
        <w:t>20</w:t>
      </w:r>
      <w:r w:rsidR="00A26C69" w:rsidRPr="00363463">
        <w:rPr>
          <w:rFonts w:eastAsia="Trebuchet MS"/>
          <w:color w:val="000000"/>
        </w:rPr>
        <w:t>25</w:t>
      </w:r>
      <w:r w:rsidR="007A5BD4" w:rsidRPr="00363463">
        <w:rPr>
          <w:rFonts w:eastAsia="Trebuchet MS"/>
          <w:color w:val="000000"/>
        </w:rPr>
        <w:t xml:space="preserve"> to </w:t>
      </w:r>
      <w:r w:rsidR="00363463" w:rsidRPr="00363463">
        <w:rPr>
          <w:rFonts w:eastAsia="Trebuchet MS"/>
          <w:color w:val="000000"/>
        </w:rPr>
        <w:t>57.9</w:t>
      </w:r>
      <w:r w:rsidR="007A5BD4" w:rsidRPr="00363463">
        <w:rPr>
          <w:rFonts w:eastAsia="Trebuchet MS"/>
          <w:color w:val="000000"/>
        </w:rPr>
        <w:t xml:space="preserve"> in </w:t>
      </w:r>
      <w:r w:rsidR="000339A6" w:rsidRPr="00363463">
        <w:rPr>
          <w:rFonts w:eastAsia="Trebuchet MS"/>
          <w:color w:val="000000"/>
        </w:rPr>
        <w:t>20</w:t>
      </w:r>
      <w:r w:rsidR="007A5BD4" w:rsidRPr="00363463">
        <w:rPr>
          <w:rFonts w:eastAsia="Trebuchet MS"/>
          <w:color w:val="000000"/>
        </w:rPr>
        <w:t>29</w:t>
      </w:r>
      <w:r w:rsidR="00A26C69" w:rsidRPr="00363463">
        <w:rPr>
          <w:rFonts w:eastAsia="Trebuchet MS"/>
          <w:color w:val="000000"/>
        </w:rPr>
        <w:t>.</w:t>
      </w:r>
      <w:r w:rsidR="007A5BD4">
        <w:rPr>
          <w:rFonts w:eastAsia="Trebuchet MS"/>
          <w:color w:val="000000"/>
        </w:rPr>
        <w:t xml:space="preserve"> </w:t>
      </w:r>
    </w:p>
    <w:p w14:paraId="2F5DA480" w14:textId="7C96BB81" w:rsidR="008B48F1" w:rsidRDefault="001C2FEA" w:rsidP="00B3359F">
      <w:pPr>
        <w:spacing w:after="240"/>
        <w:textAlignment w:val="baseline"/>
        <w:rPr>
          <w:rFonts w:eastAsia="Trebuchet MS"/>
          <w:color w:val="000000"/>
        </w:rPr>
      </w:pPr>
      <w:r>
        <w:rPr>
          <w:rFonts w:eastAsia="Trebuchet MS"/>
          <w:color w:val="000000"/>
        </w:rPr>
        <w:t>Next, I reviewed the projections to determine the reasonableness of the payer mix and reimbursement rate selected for the first five years of operations</w:t>
      </w:r>
      <w:r w:rsidR="008838A0">
        <w:rPr>
          <w:rFonts w:eastAsia="Trebuchet MS"/>
          <w:color w:val="000000"/>
        </w:rPr>
        <w:t xml:space="preserve"> after completion of the project</w:t>
      </w:r>
      <w:r w:rsidR="00917552">
        <w:rPr>
          <w:rFonts w:eastAsia="Trebuchet MS"/>
          <w:color w:val="000000"/>
        </w:rPr>
        <w:t>.</w:t>
      </w:r>
      <w:r w:rsidR="000339A6">
        <w:rPr>
          <w:rFonts w:eastAsia="Trebuchet MS"/>
          <w:color w:val="000000"/>
        </w:rPr>
        <w:t xml:space="preserve"> </w:t>
      </w:r>
      <w:r w:rsidR="002F452E">
        <w:rPr>
          <w:rFonts w:eastAsia="Trebuchet MS"/>
          <w:color w:val="000000"/>
        </w:rPr>
        <w:t>I compared the payor mix in the projection years to the historical data and found that it was similar. The reimbursement rate used in the projection years w</w:t>
      </w:r>
      <w:r w:rsidR="00917552">
        <w:rPr>
          <w:rFonts w:eastAsia="Trebuchet MS"/>
          <w:color w:val="000000"/>
        </w:rPr>
        <w:t>as</w:t>
      </w:r>
      <w:r w:rsidR="000339A6">
        <w:rPr>
          <w:rFonts w:eastAsia="Trebuchet MS"/>
          <w:color w:val="000000"/>
        </w:rPr>
        <w:t xml:space="preserve"> </w:t>
      </w:r>
      <w:r w:rsidR="002F452E">
        <w:rPr>
          <w:rFonts w:eastAsia="Trebuchet MS"/>
          <w:color w:val="000000"/>
        </w:rPr>
        <w:t>based on the historical</w:t>
      </w:r>
      <w:r w:rsidR="00150887">
        <w:rPr>
          <w:rFonts w:eastAsia="Trebuchet MS"/>
          <w:color w:val="000000"/>
        </w:rPr>
        <w:t xml:space="preserve"> data. I compared the NPSR to the </w:t>
      </w:r>
      <w:r w:rsidR="00917552">
        <w:rPr>
          <w:rFonts w:eastAsia="Trebuchet MS"/>
          <w:color w:val="000000"/>
        </w:rPr>
        <w:t xml:space="preserve">historical </w:t>
      </w:r>
      <w:r w:rsidR="00150887">
        <w:rPr>
          <w:rFonts w:eastAsia="Trebuchet MS"/>
          <w:color w:val="000000"/>
        </w:rPr>
        <w:t xml:space="preserve">financial </w:t>
      </w:r>
      <w:r w:rsidR="00917552">
        <w:rPr>
          <w:rFonts w:eastAsia="Trebuchet MS"/>
          <w:color w:val="000000"/>
        </w:rPr>
        <w:t>information</w:t>
      </w:r>
      <w:r w:rsidR="00150887">
        <w:rPr>
          <w:rFonts w:eastAsia="Trebuchet MS"/>
          <w:color w:val="000000"/>
        </w:rPr>
        <w:t xml:space="preserve"> for </w:t>
      </w:r>
      <w:r w:rsidR="000339A6">
        <w:rPr>
          <w:rFonts w:eastAsia="Trebuchet MS"/>
          <w:color w:val="000000"/>
        </w:rPr>
        <w:t>20</w:t>
      </w:r>
      <w:r w:rsidR="00917552">
        <w:rPr>
          <w:rFonts w:eastAsia="Trebuchet MS"/>
          <w:color w:val="000000"/>
        </w:rPr>
        <w:t>21</w:t>
      </w:r>
      <w:r w:rsidR="00150887">
        <w:rPr>
          <w:rFonts w:eastAsia="Trebuchet MS"/>
          <w:color w:val="000000"/>
        </w:rPr>
        <w:t xml:space="preserve"> and </w:t>
      </w:r>
      <w:r w:rsidR="000339A6">
        <w:rPr>
          <w:rFonts w:eastAsia="Trebuchet MS"/>
          <w:color w:val="000000"/>
        </w:rPr>
        <w:t>20</w:t>
      </w:r>
      <w:r w:rsidR="00150887">
        <w:rPr>
          <w:rFonts w:eastAsia="Trebuchet MS"/>
          <w:color w:val="000000"/>
        </w:rPr>
        <w:t>2</w:t>
      </w:r>
      <w:r w:rsidR="00917552">
        <w:rPr>
          <w:rFonts w:eastAsia="Trebuchet MS"/>
          <w:color w:val="000000"/>
        </w:rPr>
        <w:t>2</w:t>
      </w:r>
      <w:r w:rsidR="00150887">
        <w:rPr>
          <w:rFonts w:eastAsia="Trebuchet MS"/>
          <w:color w:val="000000"/>
        </w:rPr>
        <w:t>. The payment rate w</w:t>
      </w:r>
      <w:r w:rsidR="00917552">
        <w:rPr>
          <w:rFonts w:eastAsia="Trebuchet MS"/>
          <w:color w:val="000000"/>
        </w:rPr>
        <w:t>as</w:t>
      </w:r>
      <w:r w:rsidR="00150887">
        <w:rPr>
          <w:rFonts w:eastAsia="Trebuchet MS"/>
          <w:color w:val="000000"/>
        </w:rPr>
        <w:t xml:space="preserve"> then calculated by dividing the NPSR by </w:t>
      </w:r>
      <w:r w:rsidR="008838A0">
        <w:rPr>
          <w:rFonts w:eastAsia="Trebuchet MS"/>
          <w:color w:val="000000"/>
        </w:rPr>
        <w:t xml:space="preserve">the number of </w:t>
      </w:r>
      <w:r w:rsidR="00941B98">
        <w:rPr>
          <w:rFonts w:eastAsia="Trebuchet MS"/>
          <w:color w:val="000000"/>
        </w:rPr>
        <w:t>cases</w:t>
      </w:r>
      <w:r w:rsidR="00150887">
        <w:rPr>
          <w:rFonts w:eastAsia="Trebuchet MS"/>
          <w:color w:val="000000"/>
        </w:rPr>
        <w:t>, to obtain a</w:t>
      </w:r>
      <w:r w:rsidR="00F01BF1">
        <w:rPr>
          <w:rFonts w:eastAsia="Trebuchet MS"/>
          <w:color w:val="000000"/>
        </w:rPr>
        <w:t>n average</w:t>
      </w:r>
      <w:r w:rsidR="00150887">
        <w:rPr>
          <w:rFonts w:eastAsia="Trebuchet MS"/>
          <w:color w:val="000000"/>
        </w:rPr>
        <w:t xml:space="preserve"> payment rate per </w:t>
      </w:r>
      <w:r w:rsidR="00941B98">
        <w:rPr>
          <w:rFonts w:eastAsia="Trebuchet MS"/>
          <w:color w:val="000000"/>
        </w:rPr>
        <w:t>case</w:t>
      </w:r>
      <w:r w:rsidR="00150887">
        <w:rPr>
          <w:rFonts w:eastAsia="Trebuchet MS"/>
          <w:color w:val="000000"/>
        </w:rPr>
        <w:t>.</w:t>
      </w:r>
      <w:r w:rsidR="007D1D6B">
        <w:rPr>
          <w:rFonts w:eastAsia="Trebuchet MS"/>
          <w:color w:val="000000"/>
        </w:rPr>
        <w:t xml:space="preserve"> </w:t>
      </w:r>
      <w:r w:rsidR="00150887">
        <w:rPr>
          <w:rFonts w:eastAsia="Trebuchet MS"/>
          <w:color w:val="000000"/>
        </w:rPr>
        <w:t>The payment rate w</w:t>
      </w:r>
      <w:r w:rsidR="00917552">
        <w:rPr>
          <w:rFonts w:eastAsia="Trebuchet MS"/>
          <w:color w:val="000000"/>
        </w:rPr>
        <w:t>as</w:t>
      </w:r>
      <w:r w:rsidR="00150887">
        <w:rPr>
          <w:rFonts w:eastAsia="Trebuchet MS"/>
          <w:color w:val="000000"/>
        </w:rPr>
        <w:t xml:space="preserve"> then inflated by </w:t>
      </w:r>
      <w:r w:rsidR="0010137C">
        <w:rPr>
          <w:rFonts w:eastAsia="Trebuchet MS"/>
          <w:color w:val="000000"/>
        </w:rPr>
        <w:t>1</w:t>
      </w:r>
      <w:r w:rsidR="00150887">
        <w:rPr>
          <w:rFonts w:eastAsia="Trebuchet MS"/>
          <w:color w:val="000000"/>
        </w:rPr>
        <w:t>% each of the succeeding years.</w:t>
      </w:r>
    </w:p>
    <w:bookmarkEnd w:id="3"/>
    <w:p w14:paraId="429120F8" w14:textId="7C87CD4C" w:rsidR="00F32D7E" w:rsidRDefault="00003594" w:rsidP="00F32D7E">
      <w:pPr>
        <w:spacing w:after="240"/>
        <w:textAlignment w:val="baseline"/>
        <w:rPr>
          <w:rFonts w:eastAsia="Trebuchet MS"/>
          <w:color w:val="000000"/>
        </w:rPr>
      </w:pPr>
      <w:r w:rsidRPr="001F1A6D">
        <w:rPr>
          <w:rFonts w:eastAsia="Trebuchet MS"/>
          <w:color w:val="000000"/>
        </w:rPr>
        <w:t xml:space="preserve">It is </w:t>
      </w:r>
      <w:r w:rsidR="00F85C2C">
        <w:rPr>
          <w:rFonts w:eastAsia="Trebuchet MS"/>
          <w:color w:val="000000"/>
        </w:rPr>
        <w:t>my</w:t>
      </w:r>
      <w:r w:rsidRPr="001F1A6D">
        <w:rPr>
          <w:rFonts w:eastAsia="Trebuchet MS"/>
          <w:color w:val="000000"/>
        </w:rPr>
        <w:t xml:space="preserve"> opinion</w:t>
      </w:r>
      <w:r w:rsidR="00C246EC">
        <w:rPr>
          <w:rFonts w:eastAsia="Trebuchet MS"/>
          <w:color w:val="000000"/>
        </w:rPr>
        <w:t xml:space="preserve"> </w:t>
      </w:r>
      <w:r w:rsidRPr="001F1A6D">
        <w:rPr>
          <w:rFonts w:eastAsia="Trebuchet MS"/>
          <w:color w:val="000000"/>
        </w:rPr>
        <w:t xml:space="preserve">that the revenue </w:t>
      </w:r>
      <w:r w:rsidR="00C246EC">
        <w:rPr>
          <w:rFonts w:eastAsia="Trebuchet MS"/>
          <w:color w:val="000000"/>
        </w:rPr>
        <w:t xml:space="preserve">growth </w:t>
      </w:r>
      <w:r w:rsidRPr="001F1A6D">
        <w:rPr>
          <w:rFonts w:eastAsia="Trebuchet MS"/>
          <w:color w:val="000000"/>
        </w:rPr>
        <w:t xml:space="preserve">projected by Management reflects a reasonable estimation </w:t>
      </w:r>
      <w:r w:rsidR="00C246EC">
        <w:rPr>
          <w:rFonts w:eastAsia="Trebuchet MS"/>
          <w:color w:val="000000"/>
        </w:rPr>
        <w:t>based primarily on historical operations</w:t>
      </w:r>
      <w:r w:rsidR="008838A0" w:rsidRPr="008838A0">
        <w:rPr>
          <w:rFonts w:eastAsia="Trebuchet MS"/>
          <w:color w:val="000000"/>
        </w:rPr>
        <w:t xml:space="preserve"> </w:t>
      </w:r>
      <w:r w:rsidR="008838A0">
        <w:rPr>
          <w:rFonts w:eastAsia="Trebuchet MS"/>
          <w:color w:val="000000"/>
        </w:rPr>
        <w:t>of Encompass Western Mass</w:t>
      </w:r>
      <w:r w:rsidR="00917552">
        <w:rPr>
          <w:rFonts w:eastAsia="Trebuchet MS"/>
          <w:color w:val="000000"/>
        </w:rPr>
        <w:t>.</w:t>
      </w:r>
      <w:r w:rsidR="00C246EC">
        <w:rPr>
          <w:rFonts w:eastAsia="Trebuchet MS"/>
          <w:color w:val="000000"/>
        </w:rPr>
        <w:t xml:space="preserve"> </w:t>
      </w:r>
      <w:bookmarkStart w:id="4" w:name="_Hlk37932484"/>
    </w:p>
    <w:p w14:paraId="3AB1B89D" w14:textId="6C21D2DB" w:rsidR="002141FE" w:rsidRPr="004E2EAC" w:rsidRDefault="00003594" w:rsidP="004E2EAC">
      <w:pPr>
        <w:pStyle w:val="ListParagraph"/>
        <w:numPr>
          <w:ilvl w:val="0"/>
          <w:numId w:val="5"/>
        </w:numPr>
        <w:spacing w:after="240"/>
        <w:ind w:left="360"/>
        <w:textAlignment w:val="baseline"/>
        <w:rPr>
          <w:rFonts w:eastAsia="Trebuchet MS"/>
          <w:b/>
          <w:color w:val="000000"/>
          <w:spacing w:val="3"/>
        </w:rPr>
      </w:pPr>
      <w:r w:rsidRPr="004E2EAC">
        <w:rPr>
          <w:rFonts w:eastAsia="Trebuchet MS"/>
          <w:b/>
          <w:color w:val="000000"/>
          <w:spacing w:val="3"/>
        </w:rPr>
        <w:lastRenderedPageBreak/>
        <w:t>Operating Expenses</w:t>
      </w:r>
    </w:p>
    <w:p w14:paraId="68A301AF" w14:textId="764035E9" w:rsidR="00935C47" w:rsidRDefault="00935C47" w:rsidP="00F32D7E">
      <w:pPr>
        <w:spacing w:after="240"/>
        <w:textAlignment w:val="baseline"/>
        <w:rPr>
          <w:rFonts w:eastAsia="Trebuchet MS"/>
          <w:bCs/>
          <w:color w:val="000000"/>
          <w:spacing w:val="3"/>
        </w:rPr>
      </w:pPr>
      <w:r>
        <w:rPr>
          <w:rFonts w:eastAsia="Trebuchet MS"/>
          <w:bCs/>
          <w:color w:val="000000"/>
          <w:spacing w:val="3"/>
        </w:rPr>
        <w:t>I analyzed the Salar</w:t>
      </w:r>
      <w:r w:rsidR="00BD47BE">
        <w:rPr>
          <w:rFonts w:eastAsia="Trebuchet MS"/>
          <w:bCs/>
          <w:color w:val="000000"/>
          <w:spacing w:val="3"/>
        </w:rPr>
        <w:t xml:space="preserve">ies </w:t>
      </w:r>
      <w:r>
        <w:rPr>
          <w:rFonts w:eastAsia="Trebuchet MS"/>
          <w:bCs/>
          <w:color w:val="000000"/>
          <w:spacing w:val="3"/>
        </w:rPr>
        <w:t xml:space="preserve">and Benefits, as well as the Other Operating Expenses </w:t>
      </w:r>
      <w:r w:rsidR="005D6413">
        <w:rPr>
          <w:rFonts w:eastAsia="Trebuchet MS"/>
          <w:bCs/>
          <w:color w:val="000000"/>
          <w:spacing w:val="3"/>
        </w:rPr>
        <w:t xml:space="preserve">and Depreciation Expense </w:t>
      </w:r>
      <w:r>
        <w:rPr>
          <w:rFonts w:eastAsia="Trebuchet MS"/>
          <w:bCs/>
          <w:color w:val="000000"/>
          <w:spacing w:val="3"/>
        </w:rPr>
        <w:t xml:space="preserve">for reasonableness and feasibility as related to the projection of </w:t>
      </w:r>
      <w:r w:rsidR="00704F71">
        <w:rPr>
          <w:rFonts w:eastAsia="Trebuchet MS"/>
          <w:bCs/>
          <w:color w:val="000000"/>
          <w:spacing w:val="3"/>
        </w:rPr>
        <w:t>E</w:t>
      </w:r>
      <w:r w:rsidR="000974C5">
        <w:rPr>
          <w:rFonts w:eastAsia="Trebuchet MS"/>
          <w:bCs/>
          <w:color w:val="000000"/>
          <w:spacing w:val="3"/>
        </w:rPr>
        <w:t>ncompass</w:t>
      </w:r>
      <w:r w:rsidR="00F01BF1">
        <w:rPr>
          <w:rFonts w:eastAsia="Trebuchet MS"/>
          <w:bCs/>
          <w:color w:val="000000"/>
          <w:spacing w:val="3"/>
        </w:rPr>
        <w:t xml:space="preserve"> </w:t>
      </w:r>
      <w:r w:rsidR="008838A0">
        <w:rPr>
          <w:rFonts w:eastAsia="Trebuchet MS"/>
          <w:bCs/>
          <w:color w:val="000000"/>
          <w:spacing w:val="3"/>
        </w:rPr>
        <w:t>Western Mass</w:t>
      </w:r>
      <w:r>
        <w:rPr>
          <w:rFonts w:eastAsia="Trebuchet MS"/>
          <w:bCs/>
          <w:color w:val="000000"/>
          <w:spacing w:val="3"/>
        </w:rPr>
        <w:t>.</w:t>
      </w:r>
      <w:r w:rsidR="0084274E">
        <w:rPr>
          <w:rFonts w:eastAsia="Trebuchet MS"/>
          <w:bCs/>
          <w:color w:val="000000"/>
          <w:spacing w:val="3"/>
        </w:rPr>
        <w:t xml:space="preserve"> Salar</w:t>
      </w:r>
      <w:r w:rsidR="00BD47BE">
        <w:rPr>
          <w:rFonts w:eastAsia="Trebuchet MS"/>
          <w:bCs/>
          <w:color w:val="000000"/>
          <w:spacing w:val="3"/>
        </w:rPr>
        <w:t>ies</w:t>
      </w:r>
      <w:r w:rsidR="00F01BF1">
        <w:rPr>
          <w:rFonts w:eastAsia="Trebuchet MS"/>
          <w:bCs/>
          <w:color w:val="000000"/>
          <w:spacing w:val="3"/>
        </w:rPr>
        <w:t xml:space="preserve"> </w:t>
      </w:r>
      <w:r w:rsidR="0084274E">
        <w:rPr>
          <w:rFonts w:eastAsia="Trebuchet MS"/>
          <w:bCs/>
          <w:color w:val="000000"/>
          <w:spacing w:val="3"/>
        </w:rPr>
        <w:t xml:space="preserve">were calculated as a function of </w:t>
      </w:r>
      <w:r w:rsidR="00F01BF1">
        <w:rPr>
          <w:rFonts w:eastAsia="Trebuchet MS"/>
          <w:bCs/>
          <w:color w:val="000000"/>
          <w:spacing w:val="3"/>
        </w:rPr>
        <w:t xml:space="preserve">the historical </w:t>
      </w:r>
      <w:r w:rsidR="0084274E">
        <w:rPr>
          <w:rFonts w:eastAsia="Trebuchet MS"/>
          <w:bCs/>
          <w:color w:val="000000"/>
          <w:spacing w:val="3"/>
        </w:rPr>
        <w:t>Full Time Equivalent</w:t>
      </w:r>
      <w:r w:rsidR="00F13905">
        <w:rPr>
          <w:rFonts w:eastAsia="Trebuchet MS"/>
          <w:bCs/>
          <w:color w:val="000000"/>
          <w:spacing w:val="3"/>
        </w:rPr>
        <w:t>s (FTE’s) per occupied bed</w:t>
      </w:r>
      <w:r w:rsidR="00F01BF1">
        <w:rPr>
          <w:rFonts w:eastAsia="Trebuchet MS"/>
          <w:bCs/>
          <w:color w:val="000000"/>
          <w:spacing w:val="3"/>
        </w:rPr>
        <w:t xml:space="preserve"> at Encompass </w:t>
      </w:r>
      <w:r w:rsidR="008838A0">
        <w:rPr>
          <w:rFonts w:eastAsia="Trebuchet MS"/>
          <w:bCs/>
          <w:color w:val="000000"/>
          <w:spacing w:val="3"/>
        </w:rPr>
        <w:t>Western Mass</w:t>
      </w:r>
      <w:r w:rsidR="00F13905">
        <w:rPr>
          <w:rFonts w:eastAsia="Trebuchet MS"/>
          <w:bCs/>
          <w:color w:val="000000"/>
          <w:spacing w:val="3"/>
        </w:rPr>
        <w:t>. Thus, as the patient population increase</w:t>
      </w:r>
      <w:r w:rsidR="000339A6">
        <w:rPr>
          <w:rFonts w:eastAsia="Trebuchet MS"/>
          <w:bCs/>
          <w:color w:val="000000"/>
          <w:spacing w:val="3"/>
        </w:rPr>
        <w:t>s</w:t>
      </w:r>
      <w:r w:rsidR="00F13905">
        <w:rPr>
          <w:rFonts w:eastAsia="Trebuchet MS"/>
          <w:bCs/>
          <w:color w:val="000000"/>
          <w:spacing w:val="3"/>
        </w:rPr>
        <w:t>, the number of FTE’s required w</w:t>
      </w:r>
      <w:r w:rsidR="000339A6">
        <w:rPr>
          <w:rFonts w:eastAsia="Trebuchet MS"/>
          <w:bCs/>
          <w:color w:val="000000"/>
          <w:spacing w:val="3"/>
        </w:rPr>
        <w:t xml:space="preserve">ill </w:t>
      </w:r>
      <w:r w:rsidR="00F13905">
        <w:rPr>
          <w:rFonts w:eastAsia="Trebuchet MS"/>
          <w:bCs/>
          <w:color w:val="000000"/>
          <w:spacing w:val="3"/>
        </w:rPr>
        <w:t xml:space="preserve">also </w:t>
      </w:r>
      <w:r w:rsidR="000339A6">
        <w:rPr>
          <w:rFonts w:eastAsia="Trebuchet MS"/>
          <w:bCs/>
          <w:color w:val="000000"/>
          <w:spacing w:val="3"/>
        </w:rPr>
        <w:t xml:space="preserve">be </w:t>
      </w:r>
      <w:r w:rsidR="00F13905">
        <w:rPr>
          <w:rFonts w:eastAsia="Trebuchet MS"/>
          <w:bCs/>
          <w:color w:val="000000"/>
          <w:spacing w:val="3"/>
        </w:rPr>
        <w:t xml:space="preserve">increased. </w:t>
      </w:r>
      <w:r w:rsidR="00F01BF1">
        <w:rPr>
          <w:rFonts w:eastAsia="Trebuchet MS"/>
          <w:bCs/>
          <w:color w:val="000000"/>
          <w:spacing w:val="3"/>
        </w:rPr>
        <w:t xml:space="preserve">Salary amounts were based on historical data. Benefits were calculated as a percentage of </w:t>
      </w:r>
      <w:r w:rsidR="008838A0">
        <w:rPr>
          <w:rFonts w:eastAsia="Trebuchet MS"/>
          <w:bCs/>
          <w:color w:val="000000"/>
          <w:spacing w:val="3"/>
        </w:rPr>
        <w:t>s</w:t>
      </w:r>
      <w:r w:rsidR="00F01BF1">
        <w:rPr>
          <w:rFonts w:eastAsia="Trebuchet MS"/>
          <w:bCs/>
          <w:color w:val="000000"/>
          <w:spacing w:val="3"/>
        </w:rPr>
        <w:t xml:space="preserve">alaries using historical data. </w:t>
      </w:r>
      <w:r w:rsidR="00F13905">
        <w:rPr>
          <w:rFonts w:eastAsia="Trebuchet MS"/>
          <w:bCs/>
          <w:color w:val="000000"/>
          <w:spacing w:val="3"/>
        </w:rPr>
        <w:t xml:space="preserve">Salaries </w:t>
      </w:r>
      <w:r w:rsidR="000339A6">
        <w:rPr>
          <w:rFonts w:eastAsia="Trebuchet MS"/>
          <w:bCs/>
          <w:color w:val="000000"/>
          <w:spacing w:val="3"/>
        </w:rPr>
        <w:t xml:space="preserve">costs </w:t>
      </w:r>
      <w:r w:rsidR="00F13905">
        <w:rPr>
          <w:rFonts w:eastAsia="Trebuchet MS"/>
          <w:bCs/>
          <w:color w:val="000000"/>
          <w:spacing w:val="3"/>
        </w:rPr>
        <w:t xml:space="preserve">were increased each year by a rate of </w:t>
      </w:r>
      <w:r w:rsidR="00F01BF1">
        <w:rPr>
          <w:rFonts w:eastAsia="Trebuchet MS"/>
          <w:bCs/>
          <w:color w:val="000000"/>
          <w:spacing w:val="3"/>
        </w:rPr>
        <w:t>2.5</w:t>
      </w:r>
      <w:r w:rsidR="00F13905">
        <w:rPr>
          <w:rFonts w:eastAsia="Trebuchet MS"/>
          <w:bCs/>
          <w:color w:val="000000"/>
          <w:spacing w:val="3"/>
        </w:rPr>
        <w:t>%.</w:t>
      </w:r>
      <w:r w:rsidR="00F01BF1">
        <w:rPr>
          <w:rFonts w:eastAsia="Trebuchet MS"/>
          <w:bCs/>
          <w:color w:val="000000"/>
          <w:spacing w:val="3"/>
        </w:rPr>
        <w:t xml:space="preserve"> </w:t>
      </w:r>
      <w:r w:rsidR="00CA67B5">
        <w:rPr>
          <w:rFonts w:eastAsia="Trebuchet MS"/>
          <w:bCs/>
          <w:color w:val="000000"/>
          <w:spacing w:val="3"/>
        </w:rPr>
        <w:t>Benefits were increased each year as a percentage of salaries.</w:t>
      </w:r>
    </w:p>
    <w:p w14:paraId="77C40805" w14:textId="68CD6273" w:rsidR="000339A6" w:rsidRDefault="00F13905" w:rsidP="00F32D7E">
      <w:pPr>
        <w:spacing w:after="240"/>
        <w:textAlignment w:val="baseline"/>
        <w:rPr>
          <w:rFonts w:eastAsia="Trebuchet MS"/>
          <w:bCs/>
          <w:color w:val="000000"/>
          <w:spacing w:val="3"/>
        </w:rPr>
      </w:pPr>
      <w:r>
        <w:rPr>
          <w:rFonts w:eastAsia="Trebuchet MS"/>
          <w:bCs/>
          <w:color w:val="000000"/>
          <w:spacing w:val="3"/>
        </w:rPr>
        <w:t xml:space="preserve">Supplies </w:t>
      </w:r>
      <w:r w:rsidR="00CA67B5">
        <w:rPr>
          <w:rFonts w:eastAsia="Trebuchet MS"/>
          <w:bCs/>
          <w:color w:val="000000"/>
          <w:spacing w:val="3"/>
        </w:rPr>
        <w:t xml:space="preserve">and Other Operating Expenses </w:t>
      </w:r>
      <w:r>
        <w:rPr>
          <w:rFonts w:eastAsia="Trebuchet MS"/>
          <w:bCs/>
          <w:color w:val="000000"/>
          <w:spacing w:val="3"/>
        </w:rPr>
        <w:t xml:space="preserve">were </w:t>
      </w:r>
      <w:r w:rsidR="00747BD0">
        <w:rPr>
          <w:rFonts w:eastAsia="Trebuchet MS"/>
          <w:bCs/>
          <w:color w:val="000000"/>
          <w:spacing w:val="3"/>
        </w:rPr>
        <w:t>calculated as an historical cost per patient day</w:t>
      </w:r>
      <w:r w:rsidR="00CA67B5">
        <w:rPr>
          <w:rFonts w:eastAsia="Trebuchet MS"/>
          <w:bCs/>
          <w:color w:val="000000"/>
          <w:spacing w:val="3"/>
        </w:rPr>
        <w:t xml:space="preserve"> at Encompass </w:t>
      </w:r>
      <w:r w:rsidR="008838A0">
        <w:rPr>
          <w:rFonts w:eastAsia="Trebuchet MS"/>
          <w:bCs/>
          <w:color w:val="000000"/>
          <w:spacing w:val="3"/>
        </w:rPr>
        <w:t>Western Mass</w:t>
      </w:r>
      <w:r w:rsidR="00747BD0">
        <w:rPr>
          <w:rFonts w:eastAsia="Trebuchet MS"/>
          <w:bCs/>
          <w:color w:val="000000"/>
          <w:spacing w:val="3"/>
        </w:rPr>
        <w:t xml:space="preserve">, and </w:t>
      </w:r>
      <w:r w:rsidR="00747BD0" w:rsidRPr="001A0E7A">
        <w:rPr>
          <w:rFonts w:eastAsia="Trebuchet MS"/>
          <w:bCs/>
          <w:color w:val="000000"/>
          <w:spacing w:val="3"/>
        </w:rPr>
        <w:t xml:space="preserve">then inflated by </w:t>
      </w:r>
      <w:r w:rsidR="00CA67B5" w:rsidRPr="001A0E7A">
        <w:rPr>
          <w:rFonts w:eastAsia="Trebuchet MS"/>
          <w:bCs/>
          <w:color w:val="000000"/>
          <w:spacing w:val="3"/>
        </w:rPr>
        <w:t>2</w:t>
      </w:r>
      <w:r w:rsidR="008838A0" w:rsidRPr="001A0E7A">
        <w:rPr>
          <w:rFonts w:eastAsia="Trebuchet MS"/>
          <w:bCs/>
          <w:color w:val="000000"/>
          <w:spacing w:val="3"/>
        </w:rPr>
        <w:t xml:space="preserve"> to </w:t>
      </w:r>
      <w:r w:rsidR="00CA67B5" w:rsidRPr="001A0E7A">
        <w:rPr>
          <w:rFonts w:eastAsia="Trebuchet MS"/>
          <w:bCs/>
          <w:color w:val="000000"/>
          <w:spacing w:val="3"/>
        </w:rPr>
        <w:t>3%</w:t>
      </w:r>
      <w:r w:rsidR="00747BD0" w:rsidRPr="001A0E7A">
        <w:rPr>
          <w:rFonts w:eastAsia="Trebuchet MS"/>
          <w:bCs/>
          <w:color w:val="000000"/>
          <w:spacing w:val="3"/>
        </w:rPr>
        <w:t xml:space="preserve"> per </w:t>
      </w:r>
      <w:r w:rsidR="008838A0" w:rsidRPr="001A0E7A">
        <w:rPr>
          <w:rFonts w:eastAsia="Trebuchet MS"/>
          <w:bCs/>
          <w:color w:val="000000"/>
          <w:spacing w:val="3"/>
        </w:rPr>
        <w:t xml:space="preserve">year </w:t>
      </w:r>
      <w:r w:rsidR="00747BD0" w:rsidRPr="001A0E7A">
        <w:rPr>
          <w:rFonts w:eastAsia="Trebuchet MS"/>
          <w:bCs/>
          <w:color w:val="000000"/>
          <w:spacing w:val="3"/>
        </w:rPr>
        <w:t>during the projection years</w:t>
      </w:r>
      <w:r w:rsidR="00747BD0">
        <w:rPr>
          <w:rFonts w:eastAsia="Trebuchet MS"/>
          <w:bCs/>
          <w:color w:val="000000"/>
          <w:spacing w:val="3"/>
        </w:rPr>
        <w:t xml:space="preserve">. </w:t>
      </w:r>
      <w:r w:rsidR="003C1A2D">
        <w:rPr>
          <w:rFonts w:eastAsia="Trebuchet MS"/>
          <w:bCs/>
          <w:color w:val="000000"/>
          <w:spacing w:val="3"/>
        </w:rPr>
        <w:t>Included in Other Operating Expenses are management fees</w:t>
      </w:r>
      <w:r w:rsidR="00CA67B5">
        <w:rPr>
          <w:rFonts w:eastAsia="Trebuchet MS"/>
          <w:bCs/>
          <w:color w:val="000000"/>
          <w:spacing w:val="3"/>
        </w:rPr>
        <w:t xml:space="preserve"> and the facility lease</w:t>
      </w:r>
      <w:r w:rsidR="003C1A2D">
        <w:rPr>
          <w:rFonts w:eastAsia="Trebuchet MS"/>
          <w:bCs/>
          <w:color w:val="000000"/>
          <w:spacing w:val="3"/>
        </w:rPr>
        <w:t>. Management fees are calculated at 5% of NPSR and remain</w:t>
      </w:r>
      <w:r w:rsidR="000339A6">
        <w:rPr>
          <w:rFonts w:eastAsia="Trebuchet MS"/>
          <w:bCs/>
          <w:color w:val="000000"/>
          <w:spacing w:val="3"/>
        </w:rPr>
        <w:t xml:space="preserve"> a</w:t>
      </w:r>
      <w:r w:rsidR="003C1A2D">
        <w:rPr>
          <w:rFonts w:eastAsia="Trebuchet MS"/>
          <w:bCs/>
          <w:color w:val="000000"/>
          <w:spacing w:val="3"/>
        </w:rPr>
        <w:t>s such through the projection years.</w:t>
      </w:r>
      <w:r w:rsidR="00CA67B5">
        <w:rPr>
          <w:rFonts w:eastAsia="Trebuchet MS"/>
          <w:bCs/>
          <w:color w:val="000000"/>
          <w:spacing w:val="3"/>
        </w:rPr>
        <w:t xml:space="preserve"> The facility</w:t>
      </w:r>
      <w:r w:rsidR="00887D57">
        <w:rPr>
          <w:rFonts w:eastAsia="Trebuchet MS"/>
          <w:bCs/>
          <w:color w:val="000000"/>
          <w:spacing w:val="3"/>
        </w:rPr>
        <w:t xml:space="preserve"> is leased from Encompass Health Mass Real Estate, LLC. L</w:t>
      </w:r>
      <w:r w:rsidR="00CA67B5">
        <w:rPr>
          <w:rFonts w:eastAsia="Trebuchet MS"/>
          <w:bCs/>
          <w:color w:val="000000"/>
          <w:spacing w:val="3"/>
        </w:rPr>
        <w:t xml:space="preserve">ease </w:t>
      </w:r>
      <w:r w:rsidR="00887D57">
        <w:rPr>
          <w:rFonts w:eastAsia="Trebuchet MS"/>
          <w:bCs/>
          <w:color w:val="000000"/>
          <w:spacing w:val="3"/>
        </w:rPr>
        <w:t xml:space="preserve">expense </w:t>
      </w:r>
      <w:r w:rsidR="00CA67B5">
        <w:rPr>
          <w:rFonts w:eastAsia="Trebuchet MS"/>
          <w:bCs/>
          <w:color w:val="000000"/>
          <w:spacing w:val="3"/>
        </w:rPr>
        <w:t xml:space="preserve">is inflated by 2% </w:t>
      </w:r>
      <w:r w:rsidR="008838A0">
        <w:rPr>
          <w:rFonts w:eastAsia="Trebuchet MS"/>
          <w:bCs/>
          <w:color w:val="000000"/>
          <w:spacing w:val="3"/>
        </w:rPr>
        <w:t xml:space="preserve">per year </w:t>
      </w:r>
      <w:r w:rsidR="00CA67B5">
        <w:rPr>
          <w:rFonts w:eastAsia="Trebuchet MS"/>
          <w:bCs/>
          <w:color w:val="000000"/>
          <w:spacing w:val="3"/>
        </w:rPr>
        <w:t>during the projection years.</w:t>
      </w:r>
      <w:r w:rsidR="003C1A2D">
        <w:rPr>
          <w:rFonts w:eastAsia="Trebuchet MS"/>
          <w:bCs/>
          <w:color w:val="000000"/>
          <w:spacing w:val="3"/>
        </w:rPr>
        <w:t xml:space="preserve"> The remaining </w:t>
      </w:r>
      <w:r w:rsidR="00747BD0">
        <w:rPr>
          <w:rFonts w:eastAsia="Trebuchet MS"/>
          <w:bCs/>
          <w:color w:val="000000"/>
          <w:spacing w:val="3"/>
        </w:rPr>
        <w:t xml:space="preserve">Other Operating </w:t>
      </w:r>
      <w:r w:rsidR="003C1A2D">
        <w:rPr>
          <w:rFonts w:eastAsia="Trebuchet MS"/>
          <w:bCs/>
          <w:color w:val="000000"/>
          <w:spacing w:val="3"/>
        </w:rPr>
        <w:t>E</w:t>
      </w:r>
      <w:r w:rsidR="00747BD0">
        <w:rPr>
          <w:rFonts w:eastAsia="Trebuchet MS"/>
          <w:bCs/>
          <w:color w:val="000000"/>
          <w:spacing w:val="3"/>
        </w:rPr>
        <w:t>xpenses were calculated as an historical cost per patient day</w:t>
      </w:r>
      <w:r w:rsidR="008838A0">
        <w:rPr>
          <w:rFonts w:eastAsia="Trebuchet MS"/>
          <w:bCs/>
          <w:color w:val="000000"/>
          <w:spacing w:val="3"/>
        </w:rPr>
        <w:t xml:space="preserve"> inflated by 2% per year during the projection period</w:t>
      </w:r>
      <w:r w:rsidR="006C3DA9">
        <w:rPr>
          <w:rFonts w:eastAsia="Trebuchet MS"/>
          <w:bCs/>
          <w:color w:val="000000"/>
          <w:spacing w:val="3"/>
        </w:rPr>
        <w:t xml:space="preserve">. </w:t>
      </w:r>
    </w:p>
    <w:p w14:paraId="510EDFC1" w14:textId="17B2D44E" w:rsidR="00935C47" w:rsidRPr="00935C47" w:rsidRDefault="000339A6" w:rsidP="00F32D7E">
      <w:pPr>
        <w:spacing w:after="240"/>
        <w:textAlignment w:val="baseline"/>
        <w:rPr>
          <w:rFonts w:eastAsia="Trebuchet MS"/>
          <w:bCs/>
          <w:color w:val="000000"/>
          <w:spacing w:val="3"/>
        </w:rPr>
      </w:pPr>
      <w:r>
        <w:rPr>
          <w:rFonts w:eastAsia="Trebuchet MS"/>
          <w:bCs/>
          <w:color w:val="000000"/>
          <w:spacing w:val="3"/>
        </w:rPr>
        <w:t xml:space="preserve">Depreciation expense reflects the incremental expense related to the proposed project. The projections reflect building and building improvements depreciated over an average life of </w:t>
      </w:r>
      <w:r w:rsidR="00887D57">
        <w:rPr>
          <w:rFonts w:eastAsia="Trebuchet MS"/>
          <w:bCs/>
          <w:color w:val="000000"/>
          <w:spacing w:val="3"/>
        </w:rPr>
        <w:t>30</w:t>
      </w:r>
      <w:r>
        <w:rPr>
          <w:rFonts w:eastAsia="Trebuchet MS"/>
          <w:bCs/>
          <w:color w:val="000000"/>
          <w:spacing w:val="3"/>
        </w:rPr>
        <w:t xml:space="preserve"> years</w:t>
      </w:r>
      <w:r w:rsidR="00887D57">
        <w:rPr>
          <w:rFonts w:eastAsia="Trebuchet MS"/>
          <w:bCs/>
          <w:color w:val="000000"/>
          <w:spacing w:val="3"/>
        </w:rPr>
        <w:t>,</w:t>
      </w:r>
      <w:r>
        <w:rPr>
          <w:rFonts w:eastAsia="Trebuchet MS"/>
          <w:bCs/>
          <w:color w:val="000000"/>
          <w:spacing w:val="3"/>
        </w:rPr>
        <w:t xml:space="preserve"> equipment depreciated over an average life of 8 years</w:t>
      </w:r>
      <w:r w:rsidR="00887D57">
        <w:rPr>
          <w:rFonts w:eastAsia="Trebuchet MS"/>
          <w:bCs/>
          <w:color w:val="000000"/>
          <w:spacing w:val="3"/>
        </w:rPr>
        <w:t xml:space="preserve">, and intangibles amortized over an average life of </w:t>
      </w:r>
      <w:r w:rsidR="00C90CA0">
        <w:rPr>
          <w:rFonts w:eastAsia="Trebuchet MS"/>
          <w:bCs/>
          <w:color w:val="000000"/>
          <w:spacing w:val="3"/>
        </w:rPr>
        <w:t xml:space="preserve">either 5 or </w:t>
      </w:r>
      <w:r w:rsidR="00887D57">
        <w:rPr>
          <w:rFonts w:eastAsia="Trebuchet MS"/>
          <w:bCs/>
          <w:color w:val="000000"/>
          <w:spacing w:val="3"/>
        </w:rPr>
        <w:t>10 years.</w:t>
      </w:r>
      <w:r w:rsidR="00747BD0">
        <w:rPr>
          <w:rFonts w:eastAsia="Trebuchet MS"/>
          <w:bCs/>
          <w:color w:val="000000"/>
          <w:spacing w:val="3"/>
        </w:rPr>
        <w:t xml:space="preserve"> </w:t>
      </w:r>
    </w:p>
    <w:bookmarkEnd w:id="4"/>
    <w:p w14:paraId="33901710" w14:textId="18660C69" w:rsidR="00557E9F" w:rsidRDefault="00003594" w:rsidP="00DA528E">
      <w:pPr>
        <w:textAlignment w:val="baseline"/>
        <w:rPr>
          <w:rFonts w:eastAsia="Trebuchet MS"/>
          <w:color w:val="000000"/>
        </w:rPr>
      </w:pPr>
      <w:r w:rsidRPr="001F1A6D">
        <w:rPr>
          <w:rFonts w:eastAsia="Trebuchet MS"/>
          <w:color w:val="000000"/>
        </w:rPr>
        <w:t xml:space="preserve">It is </w:t>
      </w:r>
      <w:r w:rsidR="00F85C2C">
        <w:rPr>
          <w:rFonts w:eastAsia="Trebuchet MS"/>
          <w:color w:val="000000"/>
        </w:rPr>
        <w:t>my</w:t>
      </w:r>
      <w:r w:rsidRPr="001F1A6D">
        <w:rPr>
          <w:rFonts w:eastAsia="Trebuchet MS"/>
          <w:color w:val="000000"/>
        </w:rPr>
        <w:t xml:space="preserve"> opinion that the</w:t>
      </w:r>
      <w:r w:rsidR="00E5386F">
        <w:rPr>
          <w:rFonts w:eastAsia="Trebuchet MS"/>
          <w:color w:val="000000"/>
        </w:rPr>
        <w:t xml:space="preserve"> </w:t>
      </w:r>
      <w:r w:rsidR="00C246EC">
        <w:rPr>
          <w:rFonts w:eastAsia="Trebuchet MS"/>
          <w:color w:val="000000"/>
        </w:rPr>
        <w:t xml:space="preserve">growth in </w:t>
      </w:r>
      <w:r w:rsidRPr="001F1A6D">
        <w:rPr>
          <w:rFonts w:eastAsia="Trebuchet MS"/>
          <w:color w:val="000000"/>
        </w:rPr>
        <w:t xml:space="preserve">operating expenses projected by Management </w:t>
      </w:r>
      <w:r w:rsidR="00C246EC">
        <w:rPr>
          <w:rFonts w:eastAsia="Trebuchet MS"/>
          <w:color w:val="000000"/>
        </w:rPr>
        <w:t xml:space="preserve">reflects a </w:t>
      </w:r>
      <w:r w:rsidR="00E5386F">
        <w:rPr>
          <w:rFonts w:eastAsia="Trebuchet MS"/>
          <w:color w:val="000000"/>
        </w:rPr>
        <w:t>reasonable</w:t>
      </w:r>
      <w:r w:rsidR="00C246EC">
        <w:rPr>
          <w:rFonts w:eastAsia="Trebuchet MS"/>
          <w:color w:val="000000"/>
        </w:rPr>
        <w:t xml:space="preserve"> estimation based primarily upon </w:t>
      </w:r>
      <w:r w:rsidR="008838A0">
        <w:rPr>
          <w:rFonts w:eastAsia="Trebuchet MS"/>
          <w:color w:val="000000"/>
        </w:rPr>
        <w:t xml:space="preserve">the </w:t>
      </w:r>
      <w:r w:rsidR="00C246EC">
        <w:rPr>
          <w:rFonts w:eastAsia="Trebuchet MS"/>
          <w:color w:val="000000"/>
        </w:rPr>
        <w:t>historical operations</w:t>
      </w:r>
      <w:r w:rsidR="008838A0">
        <w:rPr>
          <w:rFonts w:eastAsia="Trebuchet MS"/>
          <w:color w:val="000000"/>
        </w:rPr>
        <w:t xml:space="preserve"> of Encompass Western Mass</w:t>
      </w:r>
      <w:r w:rsidR="00C246EC">
        <w:rPr>
          <w:rFonts w:eastAsia="Trebuchet MS"/>
          <w:color w:val="000000"/>
        </w:rPr>
        <w:t xml:space="preserve">.   </w:t>
      </w:r>
      <w:r w:rsidR="00C30649">
        <w:rPr>
          <w:rFonts w:eastAsia="Trebuchet MS"/>
          <w:color w:val="000000"/>
        </w:rPr>
        <w:t xml:space="preserve"> </w:t>
      </w:r>
    </w:p>
    <w:p w14:paraId="39D1A298" w14:textId="77777777" w:rsidR="002141FE" w:rsidRPr="001F1A6D" w:rsidRDefault="002141FE" w:rsidP="002141FE">
      <w:pPr>
        <w:jc w:val="both"/>
        <w:textAlignment w:val="baseline"/>
        <w:rPr>
          <w:rFonts w:eastAsia="Trebuchet MS"/>
          <w:color w:val="000000"/>
        </w:rPr>
      </w:pPr>
    </w:p>
    <w:p w14:paraId="3A577CA2" w14:textId="17A7C331" w:rsidR="00557E9F" w:rsidRPr="00180A96" w:rsidRDefault="00180A96" w:rsidP="002141FE">
      <w:pPr>
        <w:pStyle w:val="ListParagraph"/>
        <w:numPr>
          <w:ilvl w:val="0"/>
          <w:numId w:val="5"/>
        </w:numPr>
        <w:ind w:left="360"/>
        <w:textAlignment w:val="baseline"/>
        <w:rPr>
          <w:rFonts w:eastAsia="Trebuchet MS"/>
          <w:b/>
          <w:color w:val="000000"/>
          <w:spacing w:val="1"/>
        </w:rPr>
      </w:pPr>
      <w:r>
        <w:rPr>
          <w:rFonts w:eastAsia="Trebuchet MS"/>
          <w:b/>
          <w:color w:val="000000"/>
          <w:spacing w:val="1"/>
        </w:rPr>
        <w:t>Other Income and Income Tax Expense</w:t>
      </w:r>
    </w:p>
    <w:p w14:paraId="49551D68" w14:textId="77777777" w:rsidR="002141FE" w:rsidRPr="002141FE" w:rsidRDefault="002141FE" w:rsidP="002141FE">
      <w:pPr>
        <w:pStyle w:val="ListParagraph"/>
        <w:ind w:left="360"/>
        <w:textAlignment w:val="baseline"/>
        <w:rPr>
          <w:rFonts w:eastAsia="Trebuchet MS"/>
          <w:b/>
          <w:color w:val="000000"/>
          <w:spacing w:val="1"/>
        </w:rPr>
      </w:pPr>
    </w:p>
    <w:p w14:paraId="6155EE5A" w14:textId="69371604" w:rsidR="00557E9F" w:rsidRDefault="00003594" w:rsidP="002141FE">
      <w:pPr>
        <w:textAlignment w:val="baseline"/>
        <w:rPr>
          <w:rFonts w:eastAsia="Trebuchet MS"/>
          <w:color w:val="000000"/>
          <w:spacing w:val="-2"/>
        </w:rPr>
      </w:pPr>
      <w:r w:rsidRPr="001F1A6D">
        <w:rPr>
          <w:rFonts w:eastAsia="Trebuchet MS"/>
          <w:color w:val="000000"/>
          <w:spacing w:val="-2"/>
        </w:rPr>
        <w:t xml:space="preserve">The final categories of </w:t>
      </w:r>
      <w:r w:rsidR="00704F71">
        <w:rPr>
          <w:rFonts w:eastAsia="Trebuchet MS"/>
          <w:color w:val="000000"/>
          <w:spacing w:val="-2"/>
        </w:rPr>
        <w:t>Encompass</w:t>
      </w:r>
      <w:r w:rsidR="00052CE4">
        <w:rPr>
          <w:rFonts w:eastAsia="Trebuchet MS"/>
          <w:color w:val="000000"/>
          <w:spacing w:val="-2"/>
        </w:rPr>
        <w:t xml:space="preserve"> Ludlow </w:t>
      </w:r>
      <w:r w:rsidRPr="001F1A6D">
        <w:rPr>
          <w:rFonts w:eastAsia="Trebuchet MS"/>
          <w:color w:val="000000"/>
          <w:spacing w:val="-2"/>
        </w:rPr>
        <w:t xml:space="preserve">Projections are </w:t>
      </w:r>
      <w:r w:rsidR="00180A96">
        <w:rPr>
          <w:rFonts w:eastAsia="Trebuchet MS"/>
          <w:color w:val="000000"/>
          <w:spacing w:val="-2"/>
        </w:rPr>
        <w:t xml:space="preserve">Other Income and Income Tax Expense. There were no increases projected for Other Income items. Income Tax Expense was calculated </w:t>
      </w:r>
      <w:r w:rsidR="00052CE4">
        <w:rPr>
          <w:rFonts w:eastAsia="Trebuchet MS"/>
          <w:color w:val="000000"/>
          <w:spacing w:val="-2"/>
        </w:rPr>
        <w:t xml:space="preserve">at </w:t>
      </w:r>
      <w:r w:rsidR="008838A0">
        <w:rPr>
          <w:rFonts w:eastAsia="Trebuchet MS"/>
          <w:color w:val="000000"/>
          <w:spacing w:val="-2"/>
        </w:rPr>
        <w:t xml:space="preserve">a rate of </w:t>
      </w:r>
      <w:r w:rsidR="00052CE4">
        <w:rPr>
          <w:rFonts w:eastAsia="Trebuchet MS"/>
          <w:color w:val="000000"/>
          <w:spacing w:val="-2"/>
        </w:rPr>
        <w:t xml:space="preserve">25%, using historical data. Projected </w:t>
      </w:r>
      <w:r w:rsidR="00180A96">
        <w:rPr>
          <w:rFonts w:eastAsia="Trebuchet MS"/>
          <w:color w:val="000000"/>
          <w:spacing w:val="-2"/>
        </w:rPr>
        <w:t>Operating Income</w:t>
      </w:r>
      <w:r w:rsidR="000339A6">
        <w:rPr>
          <w:rFonts w:eastAsia="Trebuchet MS"/>
          <w:color w:val="000000"/>
          <w:spacing w:val="-2"/>
        </w:rPr>
        <w:t xml:space="preserve"> (income before income tax expense)</w:t>
      </w:r>
      <w:r w:rsidR="00180A96">
        <w:rPr>
          <w:rFonts w:eastAsia="Trebuchet MS"/>
          <w:color w:val="000000"/>
          <w:spacing w:val="-2"/>
        </w:rPr>
        <w:t xml:space="preserve"> </w:t>
      </w:r>
      <w:r w:rsidR="00052CE4">
        <w:rPr>
          <w:rFonts w:eastAsia="Trebuchet MS"/>
          <w:color w:val="000000"/>
          <w:spacing w:val="-2"/>
        </w:rPr>
        <w:t xml:space="preserve">was then multiplied </w:t>
      </w:r>
      <w:r w:rsidR="00180A96">
        <w:rPr>
          <w:rFonts w:eastAsia="Trebuchet MS"/>
          <w:color w:val="000000"/>
          <w:spacing w:val="-2"/>
        </w:rPr>
        <w:t xml:space="preserve">by </w:t>
      </w:r>
      <w:r w:rsidR="00052CE4">
        <w:rPr>
          <w:rFonts w:eastAsia="Trebuchet MS"/>
          <w:color w:val="000000"/>
          <w:spacing w:val="-2"/>
        </w:rPr>
        <w:t xml:space="preserve">25% </w:t>
      </w:r>
      <w:r w:rsidR="00180A96">
        <w:rPr>
          <w:rFonts w:eastAsia="Trebuchet MS"/>
          <w:color w:val="000000"/>
          <w:spacing w:val="-2"/>
        </w:rPr>
        <w:t>each year</w:t>
      </w:r>
      <w:r w:rsidR="000339A6">
        <w:rPr>
          <w:rFonts w:eastAsia="Trebuchet MS"/>
          <w:color w:val="000000"/>
          <w:spacing w:val="-2"/>
        </w:rPr>
        <w:t>, which represents a combined federal and state corporate tax rate</w:t>
      </w:r>
      <w:r w:rsidR="00180A96">
        <w:rPr>
          <w:rFonts w:eastAsia="Trebuchet MS"/>
          <w:color w:val="000000"/>
          <w:spacing w:val="-2"/>
        </w:rPr>
        <w:t>.</w:t>
      </w:r>
      <w:r w:rsidR="007D1D6B">
        <w:rPr>
          <w:rFonts w:eastAsia="Trebuchet MS"/>
          <w:color w:val="000000"/>
          <w:spacing w:val="-2"/>
        </w:rPr>
        <w:t xml:space="preserve"> </w:t>
      </w:r>
      <w:r w:rsidRPr="001F1A6D">
        <w:rPr>
          <w:rFonts w:eastAsia="Trebuchet MS"/>
          <w:color w:val="000000"/>
          <w:spacing w:val="-2"/>
        </w:rPr>
        <w:t xml:space="preserve">Accordingly, it is </w:t>
      </w:r>
      <w:r w:rsidR="00F85C2C">
        <w:rPr>
          <w:rFonts w:eastAsia="Trebuchet MS"/>
          <w:color w:val="000000"/>
          <w:spacing w:val="-2"/>
        </w:rPr>
        <w:t>my</w:t>
      </w:r>
      <w:r w:rsidRPr="001F1A6D">
        <w:rPr>
          <w:rFonts w:eastAsia="Trebuchet MS"/>
          <w:color w:val="000000"/>
          <w:spacing w:val="-2"/>
        </w:rPr>
        <w:t xml:space="preserve"> opinion that the pro-forma </w:t>
      </w:r>
      <w:r w:rsidR="00180A96">
        <w:rPr>
          <w:rFonts w:eastAsia="Trebuchet MS"/>
          <w:color w:val="000000"/>
          <w:spacing w:val="-2"/>
        </w:rPr>
        <w:t xml:space="preserve">Other Income and Income Tax Expense </w:t>
      </w:r>
      <w:r w:rsidRPr="001F1A6D">
        <w:rPr>
          <w:rFonts w:eastAsia="Trebuchet MS"/>
          <w:color w:val="000000"/>
          <w:spacing w:val="-2"/>
        </w:rPr>
        <w:t>are reasonable.</w:t>
      </w:r>
    </w:p>
    <w:p w14:paraId="38A5EF27" w14:textId="77777777" w:rsidR="002141FE" w:rsidRPr="001F1A6D" w:rsidRDefault="002141FE" w:rsidP="002141FE">
      <w:pPr>
        <w:textAlignment w:val="baseline"/>
        <w:rPr>
          <w:rFonts w:eastAsia="Trebuchet MS"/>
          <w:color w:val="000000"/>
          <w:spacing w:val="-2"/>
        </w:rPr>
      </w:pPr>
    </w:p>
    <w:p w14:paraId="50D479B1" w14:textId="77777777" w:rsidR="00557E9F" w:rsidRDefault="00003594" w:rsidP="002141FE">
      <w:pPr>
        <w:pStyle w:val="ListParagraph"/>
        <w:numPr>
          <w:ilvl w:val="0"/>
          <w:numId w:val="5"/>
        </w:numPr>
        <w:ind w:left="360"/>
        <w:textAlignment w:val="baseline"/>
        <w:rPr>
          <w:rFonts w:eastAsia="Trebuchet MS"/>
          <w:b/>
          <w:color w:val="000000"/>
          <w:spacing w:val="2"/>
        </w:rPr>
      </w:pPr>
      <w:r w:rsidRPr="002141FE">
        <w:rPr>
          <w:rFonts w:eastAsia="Trebuchet MS"/>
          <w:b/>
          <w:color w:val="000000"/>
          <w:spacing w:val="2"/>
        </w:rPr>
        <w:t>Capital Expenditures and Cash Flows</w:t>
      </w:r>
    </w:p>
    <w:p w14:paraId="024D62EE" w14:textId="77777777" w:rsidR="002141FE" w:rsidRPr="002141FE" w:rsidRDefault="002141FE" w:rsidP="002141FE">
      <w:pPr>
        <w:pStyle w:val="ListParagraph"/>
        <w:ind w:left="360"/>
        <w:textAlignment w:val="baseline"/>
        <w:rPr>
          <w:rFonts w:eastAsia="Trebuchet MS"/>
          <w:b/>
          <w:color w:val="000000"/>
          <w:spacing w:val="2"/>
        </w:rPr>
      </w:pPr>
    </w:p>
    <w:p w14:paraId="38931515" w14:textId="438B7312" w:rsidR="006B00D9" w:rsidRDefault="00383B9A" w:rsidP="006B00D9">
      <w:pPr>
        <w:textAlignment w:val="baseline"/>
        <w:rPr>
          <w:color w:val="000000"/>
        </w:rPr>
      </w:pPr>
      <w:r>
        <w:rPr>
          <w:color w:val="000000"/>
        </w:rPr>
        <w:t xml:space="preserve">I reviewed the projected capital expenditures and future cash flows of </w:t>
      </w:r>
      <w:r w:rsidR="00704F71">
        <w:rPr>
          <w:color w:val="000000"/>
        </w:rPr>
        <w:t>Encompass</w:t>
      </w:r>
      <w:r>
        <w:rPr>
          <w:color w:val="000000"/>
        </w:rPr>
        <w:t xml:space="preserve"> </w:t>
      </w:r>
      <w:r w:rsidR="008838A0">
        <w:rPr>
          <w:color w:val="000000"/>
        </w:rPr>
        <w:t xml:space="preserve">Western Mass </w:t>
      </w:r>
      <w:r>
        <w:rPr>
          <w:color w:val="000000"/>
        </w:rPr>
        <w:t>in order to determine whether sufficient funds would be available to support the payment of the project</w:t>
      </w:r>
      <w:r w:rsidR="0094124B">
        <w:rPr>
          <w:color w:val="000000"/>
        </w:rPr>
        <w:t xml:space="preserve"> and whether the cash flow would be able to support the continued operations of </w:t>
      </w:r>
      <w:r w:rsidR="00704F71">
        <w:rPr>
          <w:color w:val="000000"/>
        </w:rPr>
        <w:t>E</w:t>
      </w:r>
      <w:r w:rsidR="000974C5">
        <w:rPr>
          <w:color w:val="000000"/>
        </w:rPr>
        <w:t>ncompass</w:t>
      </w:r>
      <w:r w:rsidR="008E5553">
        <w:rPr>
          <w:color w:val="000000"/>
        </w:rPr>
        <w:t xml:space="preserve"> </w:t>
      </w:r>
      <w:r w:rsidR="008838A0">
        <w:rPr>
          <w:color w:val="000000"/>
        </w:rPr>
        <w:t>Western Mass</w:t>
      </w:r>
      <w:r w:rsidR="00A17B34">
        <w:rPr>
          <w:color w:val="000000"/>
        </w:rPr>
        <w:t xml:space="preserve">. </w:t>
      </w:r>
      <w:r w:rsidR="0077125C" w:rsidRPr="00052CE4">
        <w:rPr>
          <w:color w:val="000000"/>
        </w:rPr>
        <w:t xml:space="preserve">The project will be financed by the annual cash flows of </w:t>
      </w:r>
      <w:r w:rsidR="00704F71" w:rsidRPr="00052CE4">
        <w:rPr>
          <w:color w:val="000000"/>
        </w:rPr>
        <w:t>E</w:t>
      </w:r>
      <w:r w:rsidR="000974C5" w:rsidRPr="00052CE4">
        <w:rPr>
          <w:color w:val="000000"/>
        </w:rPr>
        <w:t>ncompass Health Rehabilitation Hospital</w:t>
      </w:r>
      <w:r w:rsidR="008E5553" w:rsidRPr="00052CE4">
        <w:rPr>
          <w:color w:val="000000"/>
        </w:rPr>
        <w:t xml:space="preserve"> of </w:t>
      </w:r>
      <w:r w:rsidR="00052CE4" w:rsidRPr="00052CE4">
        <w:rPr>
          <w:color w:val="000000"/>
        </w:rPr>
        <w:t>Western Massachusetts</w:t>
      </w:r>
      <w:r w:rsidR="008E5553" w:rsidRPr="00052CE4">
        <w:rPr>
          <w:color w:val="000000"/>
        </w:rPr>
        <w:t>, LLC</w:t>
      </w:r>
      <w:r w:rsidR="00052CE4" w:rsidRPr="00052CE4">
        <w:rPr>
          <w:color w:val="000000"/>
        </w:rPr>
        <w:t>.</w:t>
      </w:r>
    </w:p>
    <w:p w14:paraId="1EBC1CEA" w14:textId="77777777" w:rsidR="0094124B" w:rsidRPr="00BA72E7" w:rsidRDefault="0094124B" w:rsidP="006B00D9">
      <w:pPr>
        <w:textAlignment w:val="baseline"/>
        <w:rPr>
          <w:color w:val="000000"/>
        </w:rPr>
      </w:pPr>
    </w:p>
    <w:p w14:paraId="07B9C19E" w14:textId="4FF73B38" w:rsidR="00557E9F" w:rsidRPr="001F1A6D" w:rsidRDefault="00003594" w:rsidP="002141FE">
      <w:pPr>
        <w:textAlignment w:val="baseline"/>
        <w:rPr>
          <w:rFonts w:eastAsia="Trebuchet MS"/>
          <w:color w:val="000000"/>
        </w:rPr>
      </w:pPr>
      <w:r w:rsidRPr="001F1A6D">
        <w:rPr>
          <w:rFonts w:eastAsia="Trebuchet MS"/>
          <w:color w:val="000000"/>
        </w:rPr>
        <w:t xml:space="preserve">Based upon </w:t>
      </w:r>
      <w:r w:rsidR="00F85C2C">
        <w:rPr>
          <w:rFonts w:eastAsia="Trebuchet MS"/>
          <w:color w:val="000000"/>
        </w:rPr>
        <w:t>my</w:t>
      </w:r>
      <w:r w:rsidRPr="001F1A6D">
        <w:rPr>
          <w:rFonts w:eastAsia="Trebuchet MS"/>
          <w:color w:val="000000"/>
        </w:rPr>
        <w:t xml:space="preserve"> discussions with Management and </w:t>
      </w:r>
      <w:r w:rsidR="00F85C2C">
        <w:rPr>
          <w:rFonts w:eastAsia="Trebuchet MS"/>
          <w:color w:val="000000"/>
        </w:rPr>
        <w:t>my</w:t>
      </w:r>
      <w:r w:rsidRPr="001F1A6D">
        <w:rPr>
          <w:rFonts w:eastAsia="Trebuchet MS"/>
          <w:color w:val="000000"/>
        </w:rPr>
        <w:t xml:space="preserve"> review of the information provided, </w:t>
      </w:r>
      <w:r w:rsidR="00F85C2C">
        <w:rPr>
          <w:rFonts w:eastAsia="Trebuchet MS"/>
          <w:color w:val="000000"/>
        </w:rPr>
        <w:t>I</w:t>
      </w:r>
      <w:r w:rsidRPr="001F1A6D">
        <w:rPr>
          <w:rFonts w:eastAsia="Trebuchet MS"/>
          <w:color w:val="000000"/>
        </w:rPr>
        <w:t xml:space="preserve"> considered the current and projected capital projects and loan financing obligations </w:t>
      </w:r>
      <w:r w:rsidR="00837972">
        <w:rPr>
          <w:rFonts w:eastAsia="Trebuchet MS"/>
          <w:color w:val="000000"/>
        </w:rPr>
        <w:t xml:space="preserve">included </w:t>
      </w:r>
      <w:r w:rsidRPr="001F1A6D">
        <w:rPr>
          <w:rFonts w:eastAsia="Trebuchet MS"/>
          <w:color w:val="000000"/>
        </w:rPr>
        <w:t xml:space="preserve">within the Projections and the impact of those projected expenditures on </w:t>
      </w:r>
      <w:r w:rsidR="00704F71">
        <w:rPr>
          <w:rFonts w:eastAsia="Trebuchet MS"/>
          <w:color w:val="000000"/>
        </w:rPr>
        <w:t>Encompass</w:t>
      </w:r>
      <w:r w:rsidR="0077125C">
        <w:rPr>
          <w:rFonts w:eastAsia="Trebuchet MS"/>
          <w:color w:val="000000"/>
        </w:rPr>
        <w:t xml:space="preserve"> </w:t>
      </w:r>
      <w:r w:rsidR="000974C5">
        <w:rPr>
          <w:rFonts w:eastAsia="Trebuchet MS"/>
          <w:color w:val="000000"/>
        </w:rPr>
        <w:t xml:space="preserve">Health </w:t>
      </w:r>
      <w:r w:rsidR="0077125C">
        <w:rPr>
          <w:rFonts w:eastAsia="Trebuchet MS"/>
          <w:color w:val="000000"/>
        </w:rPr>
        <w:t>Rehabilitation Hospital</w:t>
      </w:r>
      <w:r w:rsidR="008E5553">
        <w:rPr>
          <w:rFonts w:eastAsia="Trebuchet MS"/>
          <w:color w:val="000000"/>
        </w:rPr>
        <w:t xml:space="preserve"> of </w:t>
      </w:r>
      <w:r w:rsidR="00A17B34">
        <w:rPr>
          <w:rFonts w:eastAsia="Trebuchet MS"/>
          <w:color w:val="000000"/>
        </w:rPr>
        <w:t>Western Massachusetts</w:t>
      </w:r>
      <w:r w:rsidR="008E5553">
        <w:rPr>
          <w:rFonts w:eastAsia="Trebuchet MS"/>
          <w:color w:val="000000"/>
        </w:rPr>
        <w:t>, LLC</w:t>
      </w:r>
      <w:r w:rsidR="0077125C">
        <w:rPr>
          <w:rFonts w:eastAsia="Trebuchet MS"/>
          <w:color w:val="000000"/>
        </w:rPr>
        <w:t>’s</w:t>
      </w:r>
      <w:r w:rsidR="006B00D9">
        <w:rPr>
          <w:rFonts w:eastAsia="Trebuchet MS"/>
          <w:color w:val="000000"/>
        </w:rPr>
        <w:t xml:space="preserve"> </w:t>
      </w:r>
      <w:r w:rsidRPr="001F1A6D">
        <w:rPr>
          <w:rFonts w:eastAsia="Trebuchet MS"/>
          <w:color w:val="000000"/>
        </w:rPr>
        <w:t xml:space="preserve">cash flow. Based upon </w:t>
      </w:r>
      <w:r w:rsidR="00F85C2C">
        <w:rPr>
          <w:rFonts w:eastAsia="Trebuchet MS"/>
          <w:color w:val="000000"/>
        </w:rPr>
        <w:t>my</w:t>
      </w:r>
      <w:r w:rsidRPr="001F1A6D">
        <w:rPr>
          <w:rFonts w:eastAsia="Trebuchet MS"/>
          <w:color w:val="000000"/>
        </w:rPr>
        <w:t xml:space="preserve"> analysis, it is </w:t>
      </w:r>
      <w:r w:rsidR="00F85C2C">
        <w:rPr>
          <w:rFonts w:eastAsia="Trebuchet MS"/>
          <w:color w:val="000000"/>
        </w:rPr>
        <w:t>my</w:t>
      </w:r>
      <w:r w:rsidRPr="001F1A6D">
        <w:rPr>
          <w:rFonts w:eastAsia="Trebuchet MS"/>
          <w:color w:val="000000"/>
        </w:rPr>
        <w:t xml:space="preserve"> opinion that the pro-forma capital expenditures and resulting impact on </w:t>
      </w:r>
      <w:r w:rsidR="008838A0">
        <w:rPr>
          <w:rFonts w:eastAsia="Trebuchet MS"/>
          <w:color w:val="000000"/>
        </w:rPr>
        <w:t xml:space="preserve">the </w:t>
      </w:r>
      <w:r w:rsidRPr="001F1A6D">
        <w:rPr>
          <w:rFonts w:eastAsia="Trebuchet MS"/>
          <w:color w:val="000000"/>
        </w:rPr>
        <w:t xml:space="preserve">cash flows </w:t>
      </w:r>
      <w:r w:rsidR="008838A0">
        <w:rPr>
          <w:rFonts w:eastAsia="Trebuchet MS"/>
          <w:color w:val="000000"/>
        </w:rPr>
        <w:t>of Encompass Western Mass</w:t>
      </w:r>
      <w:r w:rsidR="008838A0" w:rsidRPr="001F1A6D">
        <w:rPr>
          <w:rFonts w:eastAsia="Trebuchet MS"/>
          <w:color w:val="000000"/>
        </w:rPr>
        <w:t xml:space="preserve"> </w:t>
      </w:r>
      <w:r w:rsidRPr="001F1A6D">
        <w:rPr>
          <w:rFonts w:eastAsia="Trebuchet MS"/>
          <w:color w:val="000000"/>
        </w:rPr>
        <w:t>are reasonable.</w:t>
      </w:r>
    </w:p>
    <w:p w14:paraId="7C459147" w14:textId="77777777" w:rsidR="001F1A6D" w:rsidRPr="001F1A6D" w:rsidRDefault="001F1A6D" w:rsidP="002141FE">
      <w:pPr>
        <w:tabs>
          <w:tab w:val="left" w:pos="720"/>
        </w:tabs>
        <w:textAlignment w:val="baseline"/>
        <w:rPr>
          <w:rFonts w:eastAsia="Trebuchet MS"/>
          <w:b/>
          <w:color w:val="000000"/>
        </w:rPr>
      </w:pPr>
    </w:p>
    <w:p w14:paraId="0E9AAB33" w14:textId="77777777" w:rsidR="001A0E7A" w:rsidRDefault="001A0E7A" w:rsidP="002141FE">
      <w:pPr>
        <w:pStyle w:val="ListParagraph"/>
        <w:numPr>
          <w:ilvl w:val="0"/>
          <w:numId w:val="4"/>
        </w:numPr>
        <w:tabs>
          <w:tab w:val="left" w:pos="720"/>
        </w:tabs>
        <w:ind w:left="720"/>
        <w:textAlignment w:val="baseline"/>
        <w:rPr>
          <w:rFonts w:eastAsia="Trebuchet MS"/>
          <w:b/>
          <w:color w:val="000000"/>
          <w:u w:val="single"/>
        </w:rPr>
      </w:pPr>
      <w:r>
        <w:rPr>
          <w:rFonts w:eastAsia="Trebuchet MS"/>
          <w:b/>
          <w:color w:val="000000"/>
          <w:u w:val="single"/>
        </w:rPr>
        <w:br w:type="page"/>
      </w:r>
    </w:p>
    <w:p w14:paraId="13E34A8E" w14:textId="5739DC2E" w:rsidR="00557E9F" w:rsidRPr="00A9626F" w:rsidRDefault="00003594" w:rsidP="00A9626F">
      <w:pPr>
        <w:pStyle w:val="Heading1"/>
        <w:numPr>
          <w:ilvl w:val="0"/>
          <w:numId w:val="12"/>
        </w:numPr>
        <w:ind w:left="720"/>
        <w:rPr>
          <w:rFonts w:ascii="Times New Roman" w:eastAsia="Trebuchet MS" w:hAnsi="Times New Roman" w:cs="Times New Roman"/>
          <w:b/>
          <w:bCs/>
          <w:color w:val="auto"/>
          <w:sz w:val="22"/>
          <w:szCs w:val="22"/>
          <w:u w:val="single"/>
        </w:rPr>
      </w:pPr>
      <w:r w:rsidRPr="00A9626F">
        <w:rPr>
          <w:rFonts w:ascii="Times New Roman" w:eastAsia="Trebuchet MS" w:hAnsi="Times New Roman" w:cs="Times New Roman"/>
          <w:b/>
          <w:bCs/>
          <w:color w:val="auto"/>
          <w:sz w:val="22"/>
          <w:szCs w:val="22"/>
          <w:u w:val="single"/>
        </w:rPr>
        <w:lastRenderedPageBreak/>
        <w:t>FEASIBILITY</w:t>
      </w:r>
    </w:p>
    <w:p w14:paraId="11AFE382" w14:textId="77777777" w:rsidR="002141FE" w:rsidRPr="002141FE" w:rsidRDefault="002141FE" w:rsidP="002141FE">
      <w:pPr>
        <w:pStyle w:val="ListParagraph"/>
        <w:tabs>
          <w:tab w:val="left" w:pos="720"/>
        </w:tabs>
        <w:ind w:left="1080"/>
        <w:textAlignment w:val="baseline"/>
        <w:rPr>
          <w:rFonts w:eastAsia="Trebuchet MS"/>
          <w:b/>
          <w:color w:val="000000"/>
        </w:rPr>
      </w:pPr>
    </w:p>
    <w:p w14:paraId="400B469B" w14:textId="2E053617" w:rsidR="005E1106" w:rsidRPr="00E74815" w:rsidRDefault="005E1106" w:rsidP="005E1106">
      <w:pPr>
        <w:textAlignment w:val="baseline"/>
        <w:rPr>
          <w:color w:val="000000"/>
        </w:rPr>
      </w:pPr>
      <w:bookmarkStart w:id="5" w:name="_Hlk135916156"/>
      <w:r w:rsidRPr="00E74815">
        <w:rPr>
          <w:color w:val="000000"/>
        </w:rPr>
        <w:t xml:space="preserve">I analyzed the </w:t>
      </w:r>
      <w:r w:rsidR="00A4573A">
        <w:rPr>
          <w:color w:val="000000"/>
        </w:rPr>
        <w:t xml:space="preserve">projected </w:t>
      </w:r>
      <w:r>
        <w:rPr>
          <w:color w:val="000000"/>
        </w:rPr>
        <w:t>o</w:t>
      </w:r>
      <w:r w:rsidRPr="00E74815">
        <w:rPr>
          <w:color w:val="000000"/>
        </w:rPr>
        <w:t xml:space="preserve">perations for </w:t>
      </w:r>
      <w:r w:rsidR="00704F71">
        <w:rPr>
          <w:color w:val="000000"/>
        </w:rPr>
        <w:t>Encompass</w:t>
      </w:r>
      <w:r w:rsidR="0077125C">
        <w:rPr>
          <w:color w:val="000000"/>
        </w:rPr>
        <w:t xml:space="preserve"> </w:t>
      </w:r>
      <w:r w:rsidR="0005385B">
        <w:rPr>
          <w:color w:val="000000"/>
        </w:rPr>
        <w:t xml:space="preserve">Health </w:t>
      </w:r>
      <w:r w:rsidR="0077125C">
        <w:rPr>
          <w:color w:val="000000"/>
        </w:rPr>
        <w:t>Rehabilitation Hospital</w:t>
      </w:r>
      <w:r w:rsidR="008E5553">
        <w:rPr>
          <w:color w:val="000000"/>
        </w:rPr>
        <w:t xml:space="preserve"> of </w:t>
      </w:r>
      <w:r w:rsidR="00A17B34">
        <w:rPr>
          <w:color w:val="000000"/>
        </w:rPr>
        <w:t>Western Massachusetts</w:t>
      </w:r>
      <w:r w:rsidR="008E5553">
        <w:rPr>
          <w:color w:val="000000"/>
        </w:rPr>
        <w:t>, LLC</w:t>
      </w:r>
      <w:r w:rsidR="00A4573A">
        <w:rPr>
          <w:color w:val="000000"/>
        </w:rPr>
        <w:t xml:space="preserve"> </w:t>
      </w:r>
      <w:r w:rsidRPr="00E74815">
        <w:rPr>
          <w:color w:val="000000"/>
        </w:rPr>
        <w:t>and the Key Metrics as well as the impact of the proposed project</w:t>
      </w:r>
      <w:r>
        <w:rPr>
          <w:color w:val="000000"/>
        </w:rPr>
        <w:t xml:space="preserve"> </w:t>
      </w:r>
      <w:r w:rsidRPr="00E74815">
        <w:rPr>
          <w:color w:val="000000"/>
        </w:rPr>
        <w:t xml:space="preserve">at </w:t>
      </w:r>
      <w:r w:rsidR="00704F71">
        <w:rPr>
          <w:color w:val="000000"/>
        </w:rPr>
        <w:t>Encompass</w:t>
      </w:r>
      <w:r>
        <w:rPr>
          <w:color w:val="000000"/>
        </w:rPr>
        <w:t xml:space="preserve"> </w:t>
      </w:r>
      <w:r w:rsidR="00A17B34">
        <w:rPr>
          <w:color w:val="000000"/>
        </w:rPr>
        <w:t>Western Mass</w:t>
      </w:r>
      <w:r w:rsidR="00A4573A">
        <w:rPr>
          <w:color w:val="000000"/>
        </w:rPr>
        <w:t xml:space="preserve"> </w:t>
      </w:r>
      <w:r>
        <w:rPr>
          <w:color w:val="000000"/>
        </w:rPr>
        <w:t>u</w:t>
      </w:r>
      <w:r w:rsidRPr="00E74815">
        <w:rPr>
          <w:color w:val="000000"/>
        </w:rPr>
        <w:t xml:space="preserve">pon the </w:t>
      </w:r>
      <w:r w:rsidRPr="00CD10DD">
        <w:rPr>
          <w:color w:val="000000"/>
        </w:rPr>
        <w:t>Projections and Key Metrics</w:t>
      </w:r>
      <w:r w:rsidRPr="00E74815">
        <w:rPr>
          <w:color w:val="000000"/>
        </w:rPr>
        <w:t>.</w:t>
      </w:r>
      <w:r w:rsidR="00A4573A">
        <w:rPr>
          <w:color w:val="000000"/>
        </w:rPr>
        <w:t xml:space="preserve"> </w:t>
      </w:r>
      <w:r w:rsidRPr="00E74815">
        <w:rPr>
          <w:color w:val="000000"/>
        </w:rPr>
        <w:t xml:space="preserve">In performing my analysis, I considered multiple sources of information including historical </w:t>
      </w:r>
      <w:r w:rsidR="001A0E7A">
        <w:rPr>
          <w:color w:val="000000"/>
        </w:rPr>
        <w:t xml:space="preserve">and projected </w:t>
      </w:r>
      <w:r w:rsidRPr="00E74815">
        <w:rPr>
          <w:color w:val="000000"/>
        </w:rPr>
        <w:t xml:space="preserve">financial information for </w:t>
      </w:r>
      <w:r w:rsidR="00704F71">
        <w:rPr>
          <w:color w:val="000000"/>
        </w:rPr>
        <w:t>Encompass</w:t>
      </w:r>
      <w:r w:rsidR="008A05FF">
        <w:rPr>
          <w:color w:val="000000"/>
        </w:rPr>
        <w:t xml:space="preserve"> </w:t>
      </w:r>
      <w:r w:rsidR="00A17B34">
        <w:rPr>
          <w:color w:val="000000"/>
        </w:rPr>
        <w:t>Western Mass</w:t>
      </w:r>
      <w:r w:rsidR="00A4573A">
        <w:rPr>
          <w:color w:val="000000"/>
        </w:rPr>
        <w:t xml:space="preserve"> and historical information and Key Metrics for </w:t>
      </w:r>
      <w:r w:rsidR="00A4573A">
        <w:t>Encompass Health Corporation for the years ended December 31, 2021 and 2022</w:t>
      </w:r>
      <w:r w:rsidR="00A17B34">
        <w:rPr>
          <w:color w:val="000000"/>
        </w:rPr>
        <w:t>.</w:t>
      </w:r>
      <w:r w:rsidRPr="00E74815">
        <w:rPr>
          <w:color w:val="000000"/>
        </w:rPr>
        <w:t xml:space="preserve"> It is important to note that the Projections do not account for any </w:t>
      </w:r>
      <w:r w:rsidR="00305A2A">
        <w:rPr>
          <w:color w:val="000000"/>
        </w:rPr>
        <w:t xml:space="preserve">potential future </w:t>
      </w:r>
      <w:r w:rsidRPr="00E74815">
        <w:rPr>
          <w:color w:val="000000"/>
        </w:rPr>
        <w:t>changes in accounting standards.</w:t>
      </w:r>
    </w:p>
    <w:p w14:paraId="4E34BBCE" w14:textId="77777777" w:rsidR="005E1106" w:rsidRDefault="005E1106" w:rsidP="002141FE">
      <w:pPr>
        <w:textAlignment w:val="baseline"/>
        <w:rPr>
          <w:rFonts w:eastAsia="Trebuchet MS"/>
          <w:color w:val="000000"/>
        </w:rPr>
      </w:pPr>
    </w:p>
    <w:bookmarkEnd w:id="5"/>
    <w:p w14:paraId="7E5E361B" w14:textId="6D223CC4" w:rsidR="00BC3C0C" w:rsidRPr="00F84A75" w:rsidRDefault="001A0E7A" w:rsidP="00BC3C0C">
      <w:pPr>
        <w:spacing w:after="240"/>
        <w:textAlignment w:val="baseline"/>
      </w:pPr>
      <w:r>
        <w:rPr>
          <w:color w:val="000000"/>
        </w:rPr>
        <w:t xml:space="preserve">Because the impact of the proposed </w:t>
      </w:r>
      <w:r>
        <w:rPr>
          <w:rFonts w:eastAsia="Trebuchet MS"/>
          <w:color w:val="000000"/>
        </w:rPr>
        <w:t>17-bed addition project at Encompass Health Rehabilitation Hospital of Western Massachusetts, LLC in Ludlow, Massachusetts represents a relatively insignificant portion of the operations and financial position of Encompass Health Corporation</w:t>
      </w:r>
      <w:r w:rsidR="00BC3C0C" w:rsidRPr="00E74815">
        <w:rPr>
          <w:color w:val="000000"/>
        </w:rPr>
        <w:t xml:space="preserve">, I determined </w:t>
      </w:r>
      <w:r w:rsidR="00A4573A">
        <w:rPr>
          <w:color w:val="000000"/>
        </w:rPr>
        <w:t xml:space="preserve">that the </w:t>
      </w:r>
      <w:r w:rsidRPr="001F1A6D">
        <w:rPr>
          <w:rFonts w:eastAsia="Trebuchet MS"/>
          <w:color w:val="000000"/>
        </w:rPr>
        <w:t xml:space="preserve">Projections </w:t>
      </w:r>
      <w:r>
        <w:rPr>
          <w:rFonts w:eastAsia="Trebuchet MS"/>
          <w:color w:val="000000"/>
        </w:rPr>
        <w:t>a</w:t>
      </w:r>
      <w:r w:rsidRPr="001F1A6D">
        <w:rPr>
          <w:rFonts w:eastAsia="Trebuchet MS"/>
          <w:color w:val="000000"/>
        </w:rPr>
        <w:t>re not likely to result in insufficient funds available for capital and ongoing operating costs necessary to support the proposed</w:t>
      </w:r>
      <w:r>
        <w:rPr>
          <w:rFonts w:eastAsia="Trebuchet MS"/>
          <w:color w:val="000000"/>
        </w:rPr>
        <w:t xml:space="preserve"> </w:t>
      </w:r>
      <w:r w:rsidRPr="001F1A6D">
        <w:rPr>
          <w:rFonts w:eastAsia="Trebuchet MS"/>
          <w:color w:val="000000"/>
        </w:rPr>
        <w:t>project.</w:t>
      </w:r>
      <w:r>
        <w:rPr>
          <w:rFonts w:eastAsia="Trebuchet MS"/>
          <w:color w:val="000000"/>
        </w:rPr>
        <w:t xml:space="preserve"> Based on my review of the Projections and relevant supporting documentation, I determined t</w:t>
      </w:r>
      <w:r w:rsidR="00BC3C0C" w:rsidRPr="00E74815">
        <w:rPr>
          <w:color w:val="000000"/>
        </w:rPr>
        <w:t>he project</w:t>
      </w:r>
      <w:r w:rsidR="00BC3C0C">
        <w:rPr>
          <w:color w:val="000000"/>
        </w:rPr>
        <w:t xml:space="preserve"> </w:t>
      </w:r>
      <w:r w:rsidR="00BC3C0C" w:rsidRPr="00E74815">
        <w:rPr>
          <w:color w:val="000000"/>
        </w:rPr>
        <w:t>and continued operating surplus are reasonable and based upon feasible financial assumptions. Therefore, the proposed</w:t>
      </w:r>
      <w:r w:rsidR="00B14E6D">
        <w:rPr>
          <w:color w:val="000000"/>
        </w:rPr>
        <w:t xml:space="preserve"> </w:t>
      </w:r>
      <w:r>
        <w:rPr>
          <w:rFonts w:eastAsia="Trebuchet MS"/>
          <w:color w:val="000000"/>
        </w:rPr>
        <w:t xml:space="preserve">17-bed addition project </w:t>
      </w:r>
      <w:r w:rsidR="00BC3C0C" w:rsidRPr="00E74815">
        <w:rPr>
          <w:color w:val="000000"/>
        </w:rPr>
        <w:t xml:space="preserve">at </w:t>
      </w:r>
      <w:r w:rsidR="00704F71">
        <w:rPr>
          <w:color w:val="000000"/>
        </w:rPr>
        <w:t>Encompass</w:t>
      </w:r>
      <w:r w:rsidR="005572D3">
        <w:rPr>
          <w:color w:val="000000"/>
        </w:rPr>
        <w:t xml:space="preserve"> </w:t>
      </w:r>
      <w:r w:rsidR="0005385B">
        <w:rPr>
          <w:color w:val="000000"/>
        </w:rPr>
        <w:t xml:space="preserve">Health </w:t>
      </w:r>
      <w:r w:rsidR="005572D3">
        <w:rPr>
          <w:color w:val="000000"/>
        </w:rPr>
        <w:t>Rehabilitation</w:t>
      </w:r>
      <w:r w:rsidR="00BC3C0C">
        <w:rPr>
          <w:color w:val="000000"/>
        </w:rPr>
        <w:t xml:space="preserve"> Hospital</w:t>
      </w:r>
      <w:r w:rsidR="0005385B">
        <w:rPr>
          <w:color w:val="000000"/>
        </w:rPr>
        <w:t xml:space="preserve"> of </w:t>
      </w:r>
      <w:r w:rsidR="009675A0">
        <w:rPr>
          <w:color w:val="000000"/>
        </w:rPr>
        <w:t>Western Massachusetts</w:t>
      </w:r>
      <w:r w:rsidR="006C050D">
        <w:rPr>
          <w:color w:val="000000"/>
        </w:rPr>
        <w:t>, LLC</w:t>
      </w:r>
      <w:r w:rsidR="00BC3C0C">
        <w:rPr>
          <w:color w:val="000000"/>
        </w:rPr>
        <w:t xml:space="preserve"> is</w:t>
      </w:r>
      <w:r w:rsidR="00BC3C0C" w:rsidRPr="00E74815">
        <w:rPr>
          <w:color w:val="000000"/>
        </w:rPr>
        <w:t xml:space="preserve"> financially feasible and within the financial capability of </w:t>
      </w:r>
      <w:r w:rsidR="00704F71">
        <w:rPr>
          <w:color w:val="000000"/>
        </w:rPr>
        <w:t>Encompass</w:t>
      </w:r>
      <w:r w:rsidR="0005385B">
        <w:rPr>
          <w:color w:val="000000"/>
        </w:rPr>
        <w:t xml:space="preserve"> Health Corporation</w:t>
      </w:r>
      <w:r w:rsidR="00BC3C0C">
        <w:rPr>
          <w:color w:val="000000"/>
        </w:rPr>
        <w:t>.</w:t>
      </w:r>
    </w:p>
    <w:p w14:paraId="39FF3F15" w14:textId="289F9C1E" w:rsidR="00E877F7" w:rsidRDefault="00E877F7" w:rsidP="0076184C">
      <w:pPr>
        <w:spacing w:after="120"/>
        <w:textAlignment w:val="baseline"/>
        <w:rPr>
          <w:rFonts w:eastAsia="Trebuchet MS"/>
          <w:color w:val="000000"/>
        </w:rPr>
      </w:pPr>
    </w:p>
    <w:p w14:paraId="06BDD6C6" w14:textId="78D90E1C" w:rsidR="00557E9F" w:rsidRDefault="00003594" w:rsidP="0076184C">
      <w:pPr>
        <w:spacing w:after="120"/>
        <w:textAlignment w:val="baseline"/>
        <w:rPr>
          <w:rFonts w:eastAsia="Trebuchet MS"/>
          <w:color w:val="000000"/>
        </w:rPr>
      </w:pPr>
      <w:r w:rsidRPr="001F1A6D">
        <w:rPr>
          <w:rFonts w:eastAsia="Trebuchet MS"/>
          <w:color w:val="000000"/>
        </w:rPr>
        <w:t>Respectively submitted,</w:t>
      </w:r>
    </w:p>
    <w:p w14:paraId="3BE52C18" w14:textId="77777777" w:rsidR="000B71FB" w:rsidRDefault="0076184C" w:rsidP="002141FE">
      <w:pPr>
        <w:textAlignment w:val="baseline"/>
        <w:rPr>
          <w:rFonts w:eastAsia="Trebuchet MS"/>
          <w:color w:val="000000"/>
        </w:rPr>
      </w:pPr>
      <w:r>
        <w:rPr>
          <w:rFonts w:eastAsia="Trebuchet MS"/>
          <w:noProof/>
          <w:color w:val="000000"/>
        </w:rPr>
        <w:drawing>
          <wp:inline distT="0" distB="0" distL="0" distR="0" wp14:anchorId="695B0CED" wp14:editId="58BBE534">
            <wp:extent cx="2785146" cy="349858"/>
            <wp:effectExtent l="0" t="0" r="0" b="0"/>
            <wp:docPr id="1" name="Picture 1" descr="BL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D signature"/>
                    <pic:cNvPicPr/>
                  </pic:nvPicPr>
                  <pic:blipFill>
                    <a:blip r:embed="rId19">
                      <a:extLst>
                        <a:ext uri="{28A0092B-C50C-407E-A947-70E740481C1C}">
                          <a14:useLocalDpi xmlns:a14="http://schemas.microsoft.com/office/drawing/2010/main" val="0"/>
                        </a:ext>
                      </a:extLst>
                    </a:blip>
                    <a:stretch>
                      <a:fillRect/>
                    </a:stretch>
                  </pic:blipFill>
                  <pic:spPr>
                    <a:xfrm>
                      <a:off x="0" y="0"/>
                      <a:ext cx="3010645" cy="378184"/>
                    </a:xfrm>
                    <a:prstGeom prst="rect">
                      <a:avLst/>
                    </a:prstGeom>
                  </pic:spPr>
                </pic:pic>
              </a:graphicData>
            </a:graphic>
          </wp:inline>
        </w:drawing>
      </w:r>
    </w:p>
    <w:p w14:paraId="61D9571A" w14:textId="77777777" w:rsidR="000B71FB" w:rsidRPr="001F1A6D" w:rsidRDefault="000B71FB" w:rsidP="0076184C">
      <w:pPr>
        <w:spacing w:before="120"/>
        <w:textAlignment w:val="baseline"/>
        <w:rPr>
          <w:rFonts w:eastAsia="Trebuchet MS"/>
          <w:color w:val="000000"/>
        </w:rPr>
      </w:pPr>
      <w:r>
        <w:rPr>
          <w:rFonts w:eastAsia="Trebuchet MS"/>
          <w:color w:val="000000"/>
        </w:rPr>
        <w:t>Bernard L. Donohue, III, CPA</w:t>
      </w:r>
    </w:p>
    <w:sectPr w:rsidR="000B71FB" w:rsidRPr="001F1A6D" w:rsidSect="00401860">
      <w:headerReference w:type="even" r:id="rId20"/>
      <w:headerReference w:type="default" r:id="rId21"/>
      <w:footerReference w:type="default" r:id="rId22"/>
      <w:headerReference w:type="first" r:id="rId23"/>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F066" w14:textId="77777777" w:rsidR="00726688" w:rsidRDefault="00726688" w:rsidP="005870F9">
      <w:r>
        <w:separator/>
      </w:r>
    </w:p>
  </w:endnote>
  <w:endnote w:type="continuationSeparator" w:id="0">
    <w:p w14:paraId="335EBB17" w14:textId="77777777" w:rsidR="00726688" w:rsidRDefault="00726688" w:rsidP="0058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rebuchet MS">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89039"/>
      <w:docPartObj>
        <w:docPartGallery w:val="Page Numbers (Bottom of Page)"/>
        <w:docPartUnique/>
      </w:docPartObj>
    </w:sdtPr>
    <w:sdtEndPr>
      <w:rPr>
        <w:noProof/>
      </w:rPr>
    </w:sdtEndPr>
    <w:sdtContent>
      <w:p w14:paraId="0E1CFBEB" w14:textId="77777777" w:rsidR="005870F9" w:rsidRDefault="00683303">
        <w:pPr>
          <w:pStyle w:val="Footer"/>
          <w:jc w:val="center"/>
        </w:pPr>
      </w:p>
    </w:sdtContent>
  </w:sdt>
  <w:p w14:paraId="08F9222B" w14:textId="77777777" w:rsidR="005870F9" w:rsidRDefault="0058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55256"/>
      <w:docPartObj>
        <w:docPartGallery w:val="Page Numbers (Bottom of Page)"/>
        <w:docPartUnique/>
      </w:docPartObj>
    </w:sdtPr>
    <w:sdtEndPr>
      <w:rPr>
        <w:noProof/>
      </w:rPr>
    </w:sdtEndPr>
    <w:sdtContent>
      <w:p w14:paraId="28E32F95" w14:textId="77777777" w:rsidR="005870F9" w:rsidRDefault="00683303">
        <w:pPr>
          <w:pStyle w:val="Footer"/>
          <w:jc w:val="center"/>
        </w:pPr>
      </w:p>
    </w:sdtContent>
  </w:sdt>
  <w:p w14:paraId="2EA53DAC" w14:textId="77777777" w:rsidR="005870F9" w:rsidRDefault="00587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7C62" w14:textId="77777777" w:rsidR="005E2301" w:rsidRPr="005E2301" w:rsidRDefault="005E2301" w:rsidP="005E2301">
    <w:pPr>
      <w:widowControl w:val="0"/>
      <w:autoSpaceDE w:val="0"/>
      <w:autoSpaceDN w:val="0"/>
      <w:spacing w:before="1" w:line="249" w:lineRule="auto"/>
      <w:ind w:left="2822" w:right="2820"/>
      <w:jc w:val="center"/>
      <w:rPr>
        <w:rFonts w:ascii="Garamond" w:eastAsia="Times New Roman" w:hAnsi="Garamond"/>
        <w:i/>
        <w:sz w:val="24"/>
      </w:rPr>
    </w:pPr>
    <w:r w:rsidRPr="005E2301">
      <w:rPr>
        <w:rFonts w:ascii="Garamond" w:eastAsia="Times New Roman" w:hAnsi="Garamond"/>
        <w:i/>
        <w:color w:val="004A8D"/>
        <w:sz w:val="24"/>
      </w:rPr>
      <w:t>Member: American Institute of CPA’s Massachusetts Society of CPA’s</w:t>
    </w:r>
  </w:p>
  <w:p w14:paraId="2456B17E" w14:textId="186CA91B" w:rsidR="005870F9" w:rsidRPr="005E2301" w:rsidRDefault="00683303" w:rsidP="005E2301">
    <w:pPr>
      <w:widowControl w:val="0"/>
      <w:autoSpaceDE w:val="0"/>
      <w:autoSpaceDN w:val="0"/>
      <w:spacing w:before="181"/>
      <w:ind w:left="2061" w:right="2061"/>
      <w:jc w:val="center"/>
      <w:rPr>
        <w:rFonts w:eastAsia="Times New Roman"/>
        <w:sz w:val="24"/>
        <w:szCs w:val="24"/>
      </w:rPr>
    </w:pPr>
    <w:hyperlink r:id="rId1">
      <w:r w:rsidR="005E2301" w:rsidRPr="005E2301">
        <w:rPr>
          <w:rFonts w:eastAsia="Times New Roman"/>
          <w:color w:val="004A8D"/>
          <w:sz w:val="24"/>
          <w:szCs w:val="24"/>
        </w:rPr>
        <w:t>www.bld-cpa.com</w:t>
      </w:r>
    </w:hyperlink>
  </w:p>
  <w:p w14:paraId="2CE40039" w14:textId="77777777" w:rsidR="005870F9" w:rsidRDefault="00587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B25" w14:textId="77777777" w:rsidR="005870F9" w:rsidRDefault="005870F9">
    <w:pPr>
      <w:pStyle w:val="Footer"/>
      <w:jc w:val="center"/>
    </w:pPr>
  </w:p>
  <w:p w14:paraId="57BC1840" w14:textId="77777777" w:rsidR="005870F9" w:rsidRDefault="0058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10FF" w14:textId="77777777" w:rsidR="00726688" w:rsidRDefault="00726688" w:rsidP="005870F9">
      <w:r>
        <w:separator/>
      </w:r>
    </w:p>
  </w:footnote>
  <w:footnote w:type="continuationSeparator" w:id="0">
    <w:p w14:paraId="08BDE2A9" w14:textId="77777777" w:rsidR="00726688" w:rsidRDefault="00726688" w:rsidP="0058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F71E" w14:textId="77135F42" w:rsidR="000F190B" w:rsidRDefault="000F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19D2" w14:textId="3D3A4DA1" w:rsidR="000F190B" w:rsidRDefault="000F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7467" w14:textId="1D5593CA" w:rsidR="000F190B" w:rsidRDefault="000F1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1CEE" w14:textId="04693905" w:rsidR="000F190B" w:rsidRDefault="000F19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18FD" w14:textId="0C7271CE" w:rsidR="005E2301" w:rsidRPr="005E2301" w:rsidRDefault="005E2301" w:rsidP="005E2301">
    <w:pPr>
      <w:widowControl w:val="0"/>
      <w:autoSpaceDE w:val="0"/>
      <w:autoSpaceDN w:val="0"/>
      <w:spacing w:before="58"/>
      <w:ind w:left="2061" w:right="2061"/>
      <w:jc w:val="center"/>
      <w:rPr>
        <w:rFonts w:eastAsia="Times New Roman"/>
        <w:sz w:val="36"/>
      </w:rPr>
    </w:pPr>
    <w:bookmarkStart w:id="0" w:name="_Hlk136532633"/>
    <w:r w:rsidRPr="005E2301">
      <w:rPr>
        <w:rFonts w:eastAsia="Times New Roman"/>
        <w:color w:val="004A8D"/>
        <w:sz w:val="36"/>
      </w:rPr>
      <w:t>B</w:t>
    </w:r>
    <w:r w:rsidRPr="005E2301">
      <w:rPr>
        <w:rFonts w:eastAsia="Times New Roman"/>
        <w:color w:val="004A8D"/>
        <w:sz w:val="27"/>
      </w:rPr>
      <w:t xml:space="preserve">ERNARD </w:t>
    </w:r>
    <w:r w:rsidRPr="005E2301">
      <w:rPr>
        <w:rFonts w:eastAsia="Times New Roman"/>
        <w:color w:val="004A8D"/>
        <w:sz w:val="36"/>
      </w:rPr>
      <w:t>L. D</w:t>
    </w:r>
    <w:r w:rsidRPr="005E2301">
      <w:rPr>
        <w:rFonts w:eastAsia="Times New Roman"/>
        <w:color w:val="004A8D"/>
        <w:sz w:val="27"/>
      </w:rPr>
      <w:t>ONOHUE</w:t>
    </w:r>
    <w:r w:rsidRPr="005E2301">
      <w:rPr>
        <w:rFonts w:eastAsia="Times New Roman"/>
        <w:color w:val="004A8D"/>
        <w:sz w:val="36"/>
      </w:rPr>
      <w:t>, III, CPA</w:t>
    </w:r>
  </w:p>
  <w:p w14:paraId="50487B73" w14:textId="77777777" w:rsidR="005E2301" w:rsidRPr="005E2301" w:rsidRDefault="005E2301" w:rsidP="005E2301">
    <w:pPr>
      <w:widowControl w:val="0"/>
      <w:autoSpaceDE w:val="0"/>
      <w:autoSpaceDN w:val="0"/>
      <w:ind w:left="2059" w:right="1829"/>
      <w:jc w:val="center"/>
      <w:rPr>
        <w:rFonts w:ascii="Palatino Linotype" w:eastAsia="Times New Roman"/>
        <w:sz w:val="24"/>
        <w:szCs w:val="24"/>
      </w:rPr>
    </w:pPr>
    <w:r w:rsidRPr="005E2301">
      <w:rPr>
        <w:rFonts w:ascii="Palatino Linotype" w:eastAsia="Times New Roman"/>
        <w:color w:val="004A8D"/>
        <w:sz w:val="24"/>
        <w:szCs w:val="24"/>
      </w:rPr>
      <w:t>One Pleasure Island Road</w:t>
    </w:r>
  </w:p>
  <w:p w14:paraId="07B4C6F1" w14:textId="77777777" w:rsidR="005E2301" w:rsidRPr="005E2301" w:rsidRDefault="005E2301" w:rsidP="005E2301">
    <w:pPr>
      <w:widowControl w:val="0"/>
      <w:autoSpaceDE w:val="0"/>
      <w:autoSpaceDN w:val="0"/>
      <w:spacing w:line="284" w:lineRule="exact"/>
      <w:ind w:left="2061" w:right="1828"/>
      <w:jc w:val="center"/>
      <w:rPr>
        <w:rFonts w:ascii="Palatino Linotype" w:eastAsia="Times New Roman"/>
        <w:sz w:val="24"/>
        <w:szCs w:val="24"/>
      </w:rPr>
    </w:pPr>
    <w:r w:rsidRPr="005E2301">
      <w:rPr>
        <w:rFonts w:eastAsia="Times New Roman"/>
        <w:color w:val="004A8D"/>
        <w:sz w:val="24"/>
        <w:szCs w:val="24"/>
      </w:rPr>
      <w:t xml:space="preserve">Suite </w:t>
    </w:r>
    <w:r w:rsidRPr="005E2301">
      <w:rPr>
        <w:rFonts w:ascii="Palatino Linotype" w:eastAsia="Times New Roman"/>
        <w:color w:val="004A8D"/>
        <w:sz w:val="24"/>
        <w:szCs w:val="24"/>
      </w:rPr>
      <w:t>2B</w:t>
    </w:r>
  </w:p>
  <w:p w14:paraId="3D40CF10" w14:textId="77777777" w:rsidR="005E2301" w:rsidRPr="005E2301" w:rsidRDefault="005E2301" w:rsidP="005E2301">
    <w:pPr>
      <w:widowControl w:val="0"/>
      <w:autoSpaceDE w:val="0"/>
      <w:autoSpaceDN w:val="0"/>
      <w:spacing w:after="56" w:line="302" w:lineRule="exact"/>
      <w:ind w:left="2061" w:right="1828"/>
      <w:jc w:val="center"/>
      <w:rPr>
        <w:rFonts w:eastAsia="Times New Roman"/>
        <w:sz w:val="24"/>
        <w:szCs w:val="24"/>
      </w:rPr>
    </w:pPr>
    <w:r w:rsidRPr="005E2301">
      <w:rPr>
        <w:rFonts w:eastAsia="Times New Roman"/>
        <w:color w:val="004A8D"/>
        <w:sz w:val="24"/>
        <w:szCs w:val="24"/>
      </w:rPr>
      <w:t>W</w:t>
    </w:r>
    <w:r w:rsidRPr="005E2301">
      <w:rPr>
        <w:rFonts w:ascii="Palatino Linotype" w:eastAsia="Times New Roman"/>
        <w:color w:val="004A8D"/>
        <w:sz w:val="24"/>
        <w:szCs w:val="24"/>
      </w:rPr>
      <w:t xml:space="preserve">akefield, </w:t>
    </w:r>
    <w:r w:rsidRPr="005E2301">
      <w:rPr>
        <w:rFonts w:eastAsia="Times New Roman"/>
        <w:color w:val="004A8D"/>
        <w:sz w:val="24"/>
        <w:szCs w:val="24"/>
      </w:rPr>
      <w:t>MA 018</w:t>
    </w:r>
    <w:r w:rsidRPr="005E2301">
      <w:rPr>
        <w:rFonts w:ascii="Palatino Linotype" w:eastAsia="Times New Roman"/>
        <w:color w:val="004A8D"/>
        <w:sz w:val="24"/>
        <w:szCs w:val="24"/>
      </w:rPr>
      <w:t>8</w:t>
    </w:r>
    <w:r w:rsidRPr="005E2301">
      <w:rPr>
        <w:rFonts w:eastAsia="Times New Roman"/>
        <w:color w:val="004A8D"/>
        <w:sz w:val="24"/>
        <w:szCs w:val="24"/>
      </w:rPr>
      <w:t>0</w:t>
    </w:r>
  </w:p>
  <w:p w14:paraId="7A546589" w14:textId="77777777" w:rsidR="005E2301" w:rsidRPr="005E2301" w:rsidRDefault="005E2301" w:rsidP="005E2301">
    <w:pPr>
      <w:widowControl w:val="0"/>
      <w:autoSpaceDE w:val="0"/>
      <w:autoSpaceDN w:val="0"/>
      <w:spacing w:line="80" w:lineRule="exact"/>
      <w:ind w:left="-1020"/>
      <w:rPr>
        <w:rFonts w:eastAsia="Times New Roman"/>
        <w:sz w:val="8"/>
        <w:szCs w:val="24"/>
      </w:rPr>
    </w:pPr>
  </w:p>
  <w:p w14:paraId="12C838FA" w14:textId="77777777" w:rsidR="005E2301" w:rsidRPr="005E2301" w:rsidRDefault="005E2301" w:rsidP="005E2301">
    <w:pPr>
      <w:widowControl w:val="0"/>
      <w:autoSpaceDE w:val="0"/>
      <w:autoSpaceDN w:val="0"/>
      <w:spacing w:before="50"/>
      <w:ind w:left="2061" w:right="2061"/>
      <w:jc w:val="center"/>
      <w:rPr>
        <w:rFonts w:eastAsia="Times New Roman"/>
        <w:sz w:val="24"/>
        <w:szCs w:val="24"/>
      </w:rPr>
    </w:pPr>
    <w:r w:rsidRPr="005E2301">
      <w:rPr>
        <w:rFonts w:eastAsia="Times New Roman"/>
        <w:color w:val="004A8D"/>
        <w:sz w:val="24"/>
        <w:szCs w:val="24"/>
      </w:rPr>
      <w:t>(781) 569-0070</w:t>
    </w:r>
  </w:p>
  <w:p w14:paraId="3809B98A" w14:textId="3DB77584" w:rsidR="000F190B" w:rsidRPr="005E2301" w:rsidRDefault="005E2301" w:rsidP="005E2301">
    <w:pPr>
      <w:widowControl w:val="0"/>
      <w:autoSpaceDE w:val="0"/>
      <w:autoSpaceDN w:val="0"/>
      <w:ind w:left="2059" w:right="2059"/>
      <w:jc w:val="center"/>
      <w:rPr>
        <w:rFonts w:eastAsia="Times New Roman"/>
        <w:sz w:val="24"/>
        <w:szCs w:val="24"/>
      </w:rPr>
    </w:pPr>
    <w:r w:rsidRPr="005E2301">
      <w:rPr>
        <w:rFonts w:eastAsia="Times New Roman"/>
        <w:color w:val="004A8D"/>
        <w:sz w:val="24"/>
        <w:szCs w:val="24"/>
      </w:rPr>
      <w:t>Fax (781) 569-0460</w:t>
    </w:r>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E564" w14:textId="00C0EDA3" w:rsidR="000F190B" w:rsidRDefault="000F19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488C" w14:textId="5E3AE069" w:rsidR="000F190B" w:rsidRDefault="000F19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8EC8" w14:textId="13C00A71" w:rsidR="00F27CC6" w:rsidRPr="001F1A6D" w:rsidRDefault="000339A6" w:rsidP="00F27CC6">
    <w:pPr>
      <w:spacing w:before="100" w:beforeAutospacing="1" w:line="252" w:lineRule="exact"/>
      <w:textAlignment w:val="baseline"/>
      <w:rPr>
        <w:rFonts w:eastAsia="Trebuchet MS"/>
        <w:color w:val="000000"/>
      </w:rPr>
    </w:pPr>
    <w:r>
      <w:rPr>
        <w:rFonts w:eastAsia="Trebuchet MS"/>
        <w:bCs/>
        <w:color w:val="000000"/>
      </w:rPr>
      <w:t>Mr.</w:t>
    </w:r>
    <w:r w:rsidR="00704F71">
      <w:rPr>
        <w:rFonts w:eastAsia="Trebuchet MS"/>
        <w:bCs/>
        <w:color w:val="000000"/>
      </w:rPr>
      <w:t xml:space="preserve"> Carey B. McRae</w:t>
    </w:r>
  </w:p>
  <w:p w14:paraId="74C20177" w14:textId="420E022A" w:rsidR="00F27CC6" w:rsidRDefault="00704F71">
    <w:pPr>
      <w:pStyle w:val="Header"/>
      <w:rPr>
        <w:rFonts w:eastAsia="Trebuchet MS"/>
        <w:color w:val="000000"/>
      </w:rPr>
    </w:pPr>
    <w:r>
      <w:rPr>
        <w:rFonts w:eastAsia="Trebuchet MS"/>
        <w:color w:val="000000"/>
      </w:rPr>
      <w:t>Encompass</w:t>
    </w:r>
    <w:r w:rsidR="00794058">
      <w:rPr>
        <w:rFonts w:eastAsia="Trebuchet MS"/>
        <w:color w:val="000000"/>
      </w:rPr>
      <w:t xml:space="preserve"> </w:t>
    </w:r>
    <w:r>
      <w:rPr>
        <w:rFonts w:eastAsia="Trebuchet MS"/>
        <w:color w:val="000000"/>
      </w:rPr>
      <w:t>Health Corporation</w:t>
    </w:r>
  </w:p>
  <w:p w14:paraId="69ABFDAD" w14:textId="680FCEFF" w:rsidR="00D53307" w:rsidRDefault="000E29AF">
    <w:pPr>
      <w:pStyle w:val="Header"/>
    </w:pPr>
    <w:r>
      <w:t>May 2</w:t>
    </w:r>
    <w:r w:rsidR="001517E2">
      <w:t>5</w:t>
    </w:r>
    <w:r>
      <w:t>, 2023</w:t>
    </w:r>
  </w:p>
  <w:p w14:paraId="062FB5FC" w14:textId="77777777" w:rsidR="00D53307" w:rsidRDefault="00D53307">
    <w:pPr>
      <w:pStyle w:val="Header"/>
      <w:rPr>
        <w:bCs/>
      </w:rPr>
    </w:pPr>
    <w:r w:rsidRPr="00D53307">
      <w:t xml:space="preserve">Page </w:t>
    </w:r>
    <w:r w:rsidRPr="00D53307">
      <w:rPr>
        <w:bCs/>
      </w:rPr>
      <w:fldChar w:fldCharType="begin"/>
    </w:r>
    <w:r w:rsidRPr="00D53307">
      <w:rPr>
        <w:bCs/>
      </w:rPr>
      <w:instrText xml:space="preserve"> PAGE  \* Arabic  \* MERGEFORMAT </w:instrText>
    </w:r>
    <w:r w:rsidRPr="00D53307">
      <w:rPr>
        <w:bCs/>
      </w:rPr>
      <w:fldChar w:fldCharType="separate"/>
    </w:r>
    <w:r w:rsidR="006F2813">
      <w:rPr>
        <w:bCs/>
        <w:noProof/>
      </w:rPr>
      <w:t>2</w:t>
    </w:r>
    <w:r w:rsidRPr="00D53307">
      <w:rPr>
        <w:bCs/>
      </w:rPr>
      <w:fldChar w:fldCharType="end"/>
    </w:r>
  </w:p>
  <w:p w14:paraId="6F6539BE" w14:textId="77777777" w:rsidR="00D53307" w:rsidRPr="00D53307" w:rsidRDefault="00D533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D9C" w14:textId="1B9FD854" w:rsidR="000F190B" w:rsidRDefault="000F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881"/>
    <w:multiLevelType w:val="hybridMultilevel"/>
    <w:tmpl w:val="C086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E43C3"/>
    <w:multiLevelType w:val="multilevel"/>
    <w:tmpl w:val="03784C76"/>
    <w:lvl w:ilvl="0">
      <w:start w:val="1"/>
      <w:numFmt w:val="decimal"/>
      <w:lvlText w:val="%1."/>
      <w:lvlJc w:val="right"/>
      <w:pPr>
        <w:tabs>
          <w:tab w:val="num" w:pos="720"/>
        </w:tabs>
        <w:ind w:left="1080" w:firstLine="0"/>
      </w:pPr>
      <w:rPr>
        <w:rFonts w:ascii="Times New Roman" w:eastAsia="Trebuchet MS" w:hAnsi="Times New Roman" w:cs="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85E4606"/>
    <w:multiLevelType w:val="hybridMultilevel"/>
    <w:tmpl w:val="26EEFD98"/>
    <w:lvl w:ilvl="0" w:tplc="7E805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B3EA7"/>
    <w:multiLevelType w:val="hybridMultilevel"/>
    <w:tmpl w:val="96CE0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1497A"/>
    <w:multiLevelType w:val="hybridMultilevel"/>
    <w:tmpl w:val="3648CFE0"/>
    <w:lvl w:ilvl="0" w:tplc="D3AE5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8376C"/>
    <w:multiLevelType w:val="multilevel"/>
    <w:tmpl w:val="836AFDF0"/>
    <w:lvl w:ilvl="0">
      <w:start w:val="1"/>
      <w:numFmt w:val="upperRoman"/>
      <w:lvlText w:val="%1."/>
      <w:lvlJc w:val="left"/>
      <w:pPr>
        <w:tabs>
          <w:tab w:val="decimal" w:pos="720"/>
        </w:tabs>
        <w:ind w:left="720"/>
      </w:pPr>
      <w:rPr>
        <w:rFonts w:ascii="Times New Roman" w:eastAsia="Trebuchet MS" w:hAnsi="Times New Roman" w:cs="Times New Roman" w:hint="default"/>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25C81"/>
    <w:multiLevelType w:val="hybridMultilevel"/>
    <w:tmpl w:val="10C0D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657825"/>
    <w:multiLevelType w:val="hybridMultilevel"/>
    <w:tmpl w:val="E60E5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F0023"/>
    <w:multiLevelType w:val="hybridMultilevel"/>
    <w:tmpl w:val="082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766A4"/>
    <w:multiLevelType w:val="hybridMultilevel"/>
    <w:tmpl w:val="FED6E8E8"/>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52CE2"/>
    <w:multiLevelType w:val="hybridMultilevel"/>
    <w:tmpl w:val="1E841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806F3"/>
    <w:multiLevelType w:val="multilevel"/>
    <w:tmpl w:val="867CD6D8"/>
    <w:lvl w:ilvl="0">
      <w:start w:val="1"/>
      <w:numFmt w:val="bullet"/>
      <w:lvlText w:val=""/>
      <w:lvlJc w:val="left"/>
      <w:pPr>
        <w:tabs>
          <w:tab w:val="decimal"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623910">
    <w:abstractNumId w:val="5"/>
  </w:num>
  <w:num w:numId="2" w16cid:durableId="731585806">
    <w:abstractNumId w:val="1"/>
  </w:num>
  <w:num w:numId="3" w16cid:durableId="1356077255">
    <w:abstractNumId w:val="11"/>
  </w:num>
  <w:num w:numId="4" w16cid:durableId="1178227150">
    <w:abstractNumId w:val="9"/>
  </w:num>
  <w:num w:numId="5" w16cid:durableId="52506389">
    <w:abstractNumId w:val="10"/>
  </w:num>
  <w:num w:numId="6" w16cid:durableId="2086488483">
    <w:abstractNumId w:val="8"/>
  </w:num>
  <w:num w:numId="7" w16cid:durableId="1117069224">
    <w:abstractNumId w:val="4"/>
  </w:num>
  <w:num w:numId="8" w16cid:durableId="723140467">
    <w:abstractNumId w:val="6"/>
  </w:num>
  <w:num w:numId="9" w16cid:durableId="114256435">
    <w:abstractNumId w:val="3"/>
  </w:num>
  <w:num w:numId="10" w16cid:durableId="332415804">
    <w:abstractNumId w:val="7"/>
  </w:num>
  <w:num w:numId="11" w16cid:durableId="1033195665">
    <w:abstractNumId w:val="0"/>
  </w:num>
  <w:num w:numId="12" w16cid:durableId="798915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RwtBh5F/WscYetvx+pr0RhYke9Wnr7ypkrnTeqEh87kRpmExFlCKWib4DmTGlFJQbTjcevOlksSXhuOObnXSg==" w:salt="+Jwy9Zjn2DSqlJIUID1Sy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D384C4-0DF7-4D5E-88A3-AFF9224B6279}"/>
    <w:docVar w:name="dgnword-eventsink" w:val="781908152"/>
  </w:docVars>
  <w:rsids>
    <w:rsidRoot w:val="00557E9F"/>
    <w:rsid w:val="00001C1B"/>
    <w:rsid w:val="00003594"/>
    <w:rsid w:val="00006D9E"/>
    <w:rsid w:val="0001298C"/>
    <w:rsid w:val="00021738"/>
    <w:rsid w:val="00023189"/>
    <w:rsid w:val="000312C5"/>
    <w:rsid w:val="000339A6"/>
    <w:rsid w:val="0003524D"/>
    <w:rsid w:val="000405A2"/>
    <w:rsid w:val="0004100C"/>
    <w:rsid w:val="00044F27"/>
    <w:rsid w:val="00046A95"/>
    <w:rsid w:val="00052CE4"/>
    <w:rsid w:val="0005385B"/>
    <w:rsid w:val="000557B5"/>
    <w:rsid w:val="000619C5"/>
    <w:rsid w:val="00064E01"/>
    <w:rsid w:val="0006572D"/>
    <w:rsid w:val="00071DF5"/>
    <w:rsid w:val="00084202"/>
    <w:rsid w:val="00086EBF"/>
    <w:rsid w:val="000909DA"/>
    <w:rsid w:val="00092DB2"/>
    <w:rsid w:val="000974C5"/>
    <w:rsid w:val="000A1FC3"/>
    <w:rsid w:val="000A2943"/>
    <w:rsid w:val="000A314B"/>
    <w:rsid w:val="000B321A"/>
    <w:rsid w:val="000B71FB"/>
    <w:rsid w:val="000C579E"/>
    <w:rsid w:val="000C678A"/>
    <w:rsid w:val="000D0D53"/>
    <w:rsid w:val="000D3823"/>
    <w:rsid w:val="000D3CBC"/>
    <w:rsid w:val="000D6ED1"/>
    <w:rsid w:val="000E29AF"/>
    <w:rsid w:val="000E38FF"/>
    <w:rsid w:val="000E7CEF"/>
    <w:rsid w:val="000F190B"/>
    <w:rsid w:val="000F1978"/>
    <w:rsid w:val="0010079F"/>
    <w:rsid w:val="0010137C"/>
    <w:rsid w:val="00104FAE"/>
    <w:rsid w:val="0010609A"/>
    <w:rsid w:val="00114B71"/>
    <w:rsid w:val="0011778F"/>
    <w:rsid w:val="00121E47"/>
    <w:rsid w:val="001220C4"/>
    <w:rsid w:val="00126F3B"/>
    <w:rsid w:val="00142034"/>
    <w:rsid w:val="00144030"/>
    <w:rsid w:val="00147A95"/>
    <w:rsid w:val="00150887"/>
    <w:rsid w:val="001517E2"/>
    <w:rsid w:val="00151AD1"/>
    <w:rsid w:val="00153B29"/>
    <w:rsid w:val="00154235"/>
    <w:rsid w:val="00154B49"/>
    <w:rsid w:val="00154E7C"/>
    <w:rsid w:val="00155B05"/>
    <w:rsid w:val="00157624"/>
    <w:rsid w:val="001642AB"/>
    <w:rsid w:val="00166132"/>
    <w:rsid w:val="00172A9D"/>
    <w:rsid w:val="00174FC4"/>
    <w:rsid w:val="00176485"/>
    <w:rsid w:val="001807D3"/>
    <w:rsid w:val="00180A96"/>
    <w:rsid w:val="00180BDA"/>
    <w:rsid w:val="00181E01"/>
    <w:rsid w:val="00190BB7"/>
    <w:rsid w:val="00194205"/>
    <w:rsid w:val="00195744"/>
    <w:rsid w:val="001979D5"/>
    <w:rsid w:val="001A0E7A"/>
    <w:rsid w:val="001A6F0D"/>
    <w:rsid w:val="001B171C"/>
    <w:rsid w:val="001B1A5E"/>
    <w:rsid w:val="001B1DE6"/>
    <w:rsid w:val="001B3015"/>
    <w:rsid w:val="001C09D9"/>
    <w:rsid w:val="001C2FEA"/>
    <w:rsid w:val="001C5398"/>
    <w:rsid w:val="001C7746"/>
    <w:rsid w:val="001D0FDA"/>
    <w:rsid w:val="001E1980"/>
    <w:rsid w:val="001E1A99"/>
    <w:rsid w:val="001F0A2F"/>
    <w:rsid w:val="001F142E"/>
    <w:rsid w:val="001F1A6D"/>
    <w:rsid w:val="001F3A78"/>
    <w:rsid w:val="00201DF9"/>
    <w:rsid w:val="0020511C"/>
    <w:rsid w:val="0020567A"/>
    <w:rsid w:val="00212924"/>
    <w:rsid w:val="002135D0"/>
    <w:rsid w:val="002141FE"/>
    <w:rsid w:val="00215519"/>
    <w:rsid w:val="00215CCF"/>
    <w:rsid w:val="00220FC7"/>
    <w:rsid w:val="00222285"/>
    <w:rsid w:val="0022525E"/>
    <w:rsid w:val="00230453"/>
    <w:rsid w:val="0023536B"/>
    <w:rsid w:val="002375DC"/>
    <w:rsid w:val="00260127"/>
    <w:rsid w:val="0026398D"/>
    <w:rsid w:val="0027729E"/>
    <w:rsid w:val="00285882"/>
    <w:rsid w:val="0029243C"/>
    <w:rsid w:val="002B04E4"/>
    <w:rsid w:val="002B7241"/>
    <w:rsid w:val="002B7A70"/>
    <w:rsid w:val="002C29FD"/>
    <w:rsid w:val="002E05DC"/>
    <w:rsid w:val="002F1E18"/>
    <w:rsid w:val="002F452E"/>
    <w:rsid w:val="003004FC"/>
    <w:rsid w:val="00305A2A"/>
    <w:rsid w:val="00306231"/>
    <w:rsid w:val="00311D68"/>
    <w:rsid w:val="00315B4A"/>
    <w:rsid w:val="00320804"/>
    <w:rsid w:val="00322994"/>
    <w:rsid w:val="00325342"/>
    <w:rsid w:val="003257BD"/>
    <w:rsid w:val="00331BF4"/>
    <w:rsid w:val="0033444D"/>
    <w:rsid w:val="00337F24"/>
    <w:rsid w:val="00340118"/>
    <w:rsid w:val="00341DA5"/>
    <w:rsid w:val="0034287B"/>
    <w:rsid w:val="003440A7"/>
    <w:rsid w:val="00346B1B"/>
    <w:rsid w:val="00350569"/>
    <w:rsid w:val="00352E29"/>
    <w:rsid w:val="00356796"/>
    <w:rsid w:val="00363463"/>
    <w:rsid w:val="003676F0"/>
    <w:rsid w:val="0037144A"/>
    <w:rsid w:val="003743A4"/>
    <w:rsid w:val="00382943"/>
    <w:rsid w:val="00383B9A"/>
    <w:rsid w:val="00384BAA"/>
    <w:rsid w:val="00391EBB"/>
    <w:rsid w:val="00397D38"/>
    <w:rsid w:val="003A78EF"/>
    <w:rsid w:val="003B0E78"/>
    <w:rsid w:val="003B52FC"/>
    <w:rsid w:val="003B658B"/>
    <w:rsid w:val="003B716C"/>
    <w:rsid w:val="003C1A2D"/>
    <w:rsid w:val="003C2B6F"/>
    <w:rsid w:val="003C55AB"/>
    <w:rsid w:val="003C6469"/>
    <w:rsid w:val="003C7606"/>
    <w:rsid w:val="003D0364"/>
    <w:rsid w:val="003D25C8"/>
    <w:rsid w:val="003D5A2C"/>
    <w:rsid w:val="004014D7"/>
    <w:rsid w:val="00401860"/>
    <w:rsid w:val="00406FFC"/>
    <w:rsid w:val="004259D5"/>
    <w:rsid w:val="00427321"/>
    <w:rsid w:val="004302AD"/>
    <w:rsid w:val="00435455"/>
    <w:rsid w:val="0043661F"/>
    <w:rsid w:val="00441820"/>
    <w:rsid w:val="00447118"/>
    <w:rsid w:val="00447837"/>
    <w:rsid w:val="00447EF5"/>
    <w:rsid w:val="00453B2C"/>
    <w:rsid w:val="00453E1F"/>
    <w:rsid w:val="004561ED"/>
    <w:rsid w:val="00463639"/>
    <w:rsid w:val="00465E61"/>
    <w:rsid w:val="0047502A"/>
    <w:rsid w:val="00480E87"/>
    <w:rsid w:val="00481AD5"/>
    <w:rsid w:val="00483154"/>
    <w:rsid w:val="00487158"/>
    <w:rsid w:val="00494C8B"/>
    <w:rsid w:val="004A241C"/>
    <w:rsid w:val="004A7A7E"/>
    <w:rsid w:val="004B38D4"/>
    <w:rsid w:val="004B6477"/>
    <w:rsid w:val="004B69AE"/>
    <w:rsid w:val="004B7CE2"/>
    <w:rsid w:val="004C3805"/>
    <w:rsid w:val="004C7AEC"/>
    <w:rsid w:val="004D0CC7"/>
    <w:rsid w:val="004D0FF1"/>
    <w:rsid w:val="004D32CE"/>
    <w:rsid w:val="004D6FE3"/>
    <w:rsid w:val="004E2EAC"/>
    <w:rsid w:val="004E30CC"/>
    <w:rsid w:val="004E3800"/>
    <w:rsid w:val="004F1C50"/>
    <w:rsid w:val="004F6005"/>
    <w:rsid w:val="00500A3F"/>
    <w:rsid w:val="00501612"/>
    <w:rsid w:val="00501781"/>
    <w:rsid w:val="0050244E"/>
    <w:rsid w:val="005051D7"/>
    <w:rsid w:val="005071C8"/>
    <w:rsid w:val="00512EAC"/>
    <w:rsid w:val="00523D99"/>
    <w:rsid w:val="00525908"/>
    <w:rsid w:val="005341F8"/>
    <w:rsid w:val="00535362"/>
    <w:rsid w:val="00537469"/>
    <w:rsid w:val="00552E4A"/>
    <w:rsid w:val="005572D3"/>
    <w:rsid w:val="00557E9F"/>
    <w:rsid w:val="005713BB"/>
    <w:rsid w:val="00584BE7"/>
    <w:rsid w:val="005855BA"/>
    <w:rsid w:val="005870F9"/>
    <w:rsid w:val="00587A80"/>
    <w:rsid w:val="00587AD4"/>
    <w:rsid w:val="00592BFE"/>
    <w:rsid w:val="00594421"/>
    <w:rsid w:val="00596050"/>
    <w:rsid w:val="005B736C"/>
    <w:rsid w:val="005B7D4C"/>
    <w:rsid w:val="005C71FB"/>
    <w:rsid w:val="005D36B5"/>
    <w:rsid w:val="005D6413"/>
    <w:rsid w:val="005D6DD3"/>
    <w:rsid w:val="005E1106"/>
    <w:rsid w:val="005E13C3"/>
    <w:rsid w:val="005E2301"/>
    <w:rsid w:val="005E2A31"/>
    <w:rsid w:val="005E5F36"/>
    <w:rsid w:val="005E6256"/>
    <w:rsid w:val="005F0952"/>
    <w:rsid w:val="00604658"/>
    <w:rsid w:val="00627A1E"/>
    <w:rsid w:val="006317EF"/>
    <w:rsid w:val="00636890"/>
    <w:rsid w:val="00641893"/>
    <w:rsid w:val="0064394A"/>
    <w:rsid w:val="00652671"/>
    <w:rsid w:val="00654B74"/>
    <w:rsid w:val="006567B8"/>
    <w:rsid w:val="006574EE"/>
    <w:rsid w:val="006650D1"/>
    <w:rsid w:val="00666054"/>
    <w:rsid w:val="00667180"/>
    <w:rsid w:val="00667779"/>
    <w:rsid w:val="006807CC"/>
    <w:rsid w:val="00683303"/>
    <w:rsid w:val="00683701"/>
    <w:rsid w:val="00690F92"/>
    <w:rsid w:val="00695A6A"/>
    <w:rsid w:val="00696968"/>
    <w:rsid w:val="006A369F"/>
    <w:rsid w:val="006A7E88"/>
    <w:rsid w:val="006B00D9"/>
    <w:rsid w:val="006C050D"/>
    <w:rsid w:val="006C1D30"/>
    <w:rsid w:val="006C1F03"/>
    <w:rsid w:val="006C3DA9"/>
    <w:rsid w:val="006C4F5F"/>
    <w:rsid w:val="006C714E"/>
    <w:rsid w:val="006D13D7"/>
    <w:rsid w:val="006D6565"/>
    <w:rsid w:val="006F17DD"/>
    <w:rsid w:val="006F2813"/>
    <w:rsid w:val="00704AC6"/>
    <w:rsid w:val="00704F71"/>
    <w:rsid w:val="0070779D"/>
    <w:rsid w:val="007147FD"/>
    <w:rsid w:val="00721FF9"/>
    <w:rsid w:val="00722726"/>
    <w:rsid w:val="0072487F"/>
    <w:rsid w:val="00726688"/>
    <w:rsid w:val="00727370"/>
    <w:rsid w:val="00732599"/>
    <w:rsid w:val="007328AC"/>
    <w:rsid w:val="00733D21"/>
    <w:rsid w:val="007422F6"/>
    <w:rsid w:val="007442A3"/>
    <w:rsid w:val="00745EEB"/>
    <w:rsid w:val="00747BD0"/>
    <w:rsid w:val="00756C2A"/>
    <w:rsid w:val="00757B3B"/>
    <w:rsid w:val="0076184C"/>
    <w:rsid w:val="00766633"/>
    <w:rsid w:val="0077125C"/>
    <w:rsid w:val="00771C51"/>
    <w:rsid w:val="007759C2"/>
    <w:rsid w:val="00776608"/>
    <w:rsid w:val="00785F63"/>
    <w:rsid w:val="00794058"/>
    <w:rsid w:val="007A1986"/>
    <w:rsid w:val="007A5BD4"/>
    <w:rsid w:val="007B1D6A"/>
    <w:rsid w:val="007C10BF"/>
    <w:rsid w:val="007C3164"/>
    <w:rsid w:val="007C341C"/>
    <w:rsid w:val="007C54C8"/>
    <w:rsid w:val="007D1D6B"/>
    <w:rsid w:val="007D1DAF"/>
    <w:rsid w:val="007D7C7F"/>
    <w:rsid w:val="007E2556"/>
    <w:rsid w:val="007E5B69"/>
    <w:rsid w:val="007F135E"/>
    <w:rsid w:val="007F3FF6"/>
    <w:rsid w:val="007F40BF"/>
    <w:rsid w:val="008009D3"/>
    <w:rsid w:val="00801908"/>
    <w:rsid w:val="00806993"/>
    <w:rsid w:val="00813FBC"/>
    <w:rsid w:val="00820367"/>
    <w:rsid w:val="0082648B"/>
    <w:rsid w:val="00830FD2"/>
    <w:rsid w:val="0083423F"/>
    <w:rsid w:val="00835819"/>
    <w:rsid w:val="00837972"/>
    <w:rsid w:val="00837DA4"/>
    <w:rsid w:val="008414DC"/>
    <w:rsid w:val="0084274E"/>
    <w:rsid w:val="008430F3"/>
    <w:rsid w:val="008542AB"/>
    <w:rsid w:val="008605F9"/>
    <w:rsid w:val="008631CC"/>
    <w:rsid w:val="00880008"/>
    <w:rsid w:val="008838A0"/>
    <w:rsid w:val="00887D57"/>
    <w:rsid w:val="00892AA5"/>
    <w:rsid w:val="008A05FF"/>
    <w:rsid w:val="008A1732"/>
    <w:rsid w:val="008A398A"/>
    <w:rsid w:val="008A5CDC"/>
    <w:rsid w:val="008A69C8"/>
    <w:rsid w:val="008A712F"/>
    <w:rsid w:val="008B02D8"/>
    <w:rsid w:val="008B35B4"/>
    <w:rsid w:val="008B48F1"/>
    <w:rsid w:val="008C1B1C"/>
    <w:rsid w:val="008C3252"/>
    <w:rsid w:val="008D3F76"/>
    <w:rsid w:val="008D43B9"/>
    <w:rsid w:val="008D69A6"/>
    <w:rsid w:val="008E1D1B"/>
    <w:rsid w:val="008E5553"/>
    <w:rsid w:val="00900A75"/>
    <w:rsid w:val="00902455"/>
    <w:rsid w:val="009075F2"/>
    <w:rsid w:val="00907E67"/>
    <w:rsid w:val="00911774"/>
    <w:rsid w:val="00914463"/>
    <w:rsid w:val="0091717D"/>
    <w:rsid w:val="009174B0"/>
    <w:rsid w:val="00917552"/>
    <w:rsid w:val="00923B89"/>
    <w:rsid w:val="00931C4F"/>
    <w:rsid w:val="00933533"/>
    <w:rsid w:val="00934CC6"/>
    <w:rsid w:val="00935C47"/>
    <w:rsid w:val="009369AE"/>
    <w:rsid w:val="0094124B"/>
    <w:rsid w:val="009413EB"/>
    <w:rsid w:val="00941B98"/>
    <w:rsid w:val="00943DE1"/>
    <w:rsid w:val="00946739"/>
    <w:rsid w:val="009500A6"/>
    <w:rsid w:val="00951156"/>
    <w:rsid w:val="00955064"/>
    <w:rsid w:val="0095642C"/>
    <w:rsid w:val="0096263B"/>
    <w:rsid w:val="009636CF"/>
    <w:rsid w:val="009675A0"/>
    <w:rsid w:val="00974837"/>
    <w:rsid w:val="00982C7B"/>
    <w:rsid w:val="00983594"/>
    <w:rsid w:val="00984139"/>
    <w:rsid w:val="0098664F"/>
    <w:rsid w:val="00990D1B"/>
    <w:rsid w:val="00994395"/>
    <w:rsid w:val="009A5658"/>
    <w:rsid w:val="009B39EC"/>
    <w:rsid w:val="009B6188"/>
    <w:rsid w:val="009C56D1"/>
    <w:rsid w:val="009C7B21"/>
    <w:rsid w:val="009D3564"/>
    <w:rsid w:val="009D4F9B"/>
    <w:rsid w:val="009D7039"/>
    <w:rsid w:val="009D7652"/>
    <w:rsid w:val="009E5BF2"/>
    <w:rsid w:val="00A02D4A"/>
    <w:rsid w:val="00A07048"/>
    <w:rsid w:val="00A0738C"/>
    <w:rsid w:val="00A074B4"/>
    <w:rsid w:val="00A07761"/>
    <w:rsid w:val="00A1288C"/>
    <w:rsid w:val="00A13625"/>
    <w:rsid w:val="00A17B34"/>
    <w:rsid w:val="00A17E04"/>
    <w:rsid w:val="00A26C69"/>
    <w:rsid w:val="00A30242"/>
    <w:rsid w:val="00A346FC"/>
    <w:rsid w:val="00A40D6B"/>
    <w:rsid w:val="00A41929"/>
    <w:rsid w:val="00A422BE"/>
    <w:rsid w:val="00A44814"/>
    <w:rsid w:val="00A4573A"/>
    <w:rsid w:val="00A522D0"/>
    <w:rsid w:val="00A54B3D"/>
    <w:rsid w:val="00A54D77"/>
    <w:rsid w:val="00A612C4"/>
    <w:rsid w:val="00A6169E"/>
    <w:rsid w:val="00A644E8"/>
    <w:rsid w:val="00A74F85"/>
    <w:rsid w:val="00A76142"/>
    <w:rsid w:val="00A76F30"/>
    <w:rsid w:val="00A77218"/>
    <w:rsid w:val="00A90471"/>
    <w:rsid w:val="00A9126F"/>
    <w:rsid w:val="00A9320E"/>
    <w:rsid w:val="00A9626F"/>
    <w:rsid w:val="00A9710C"/>
    <w:rsid w:val="00AA618D"/>
    <w:rsid w:val="00AA67AB"/>
    <w:rsid w:val="00AB0C29"/>
    <w:rsid w:val="00AB0F12"/>
    <w:rsid w:val="00AB1156"/>
    <w:rsid w:val="00AB1A58"/>
    <w:rsid w:val="00AB21EA"/>
    <w:rsid w:val="00AB51CE"/>
    <w:rsid w:val="00AC4BA7"/>
    <w:rsid w:val="00AE162F"/>
    <w:rsid w:val="00AE254C"/>
    <w:rsid w:val="00AE3496"/>
    <w:rsid w:val="00AE5701"/>
    <w:rsid w:val="00AE58CF"/>
    <w:rsid w:val="00AE5A08"/>
    <w:rsid w:val="00AF2956"/>
    <w:rsid w:val="00AF5DCD"/>
    <w:rsid w:val="00B003B2"/>
    <w:rsid w:val="00B14E6D"/>
    <w:rsid w:val="00B23C75"/>
    <w:rsid w:val="00B33141"/>
    <w:rsid w:val="00B3359F"/>
    <w:rsid w:val="00B42DBE"/>
    <w:rsid w:val="00B453BD"/>
    <w:rsid w:val="00B50638"/>
    <w:rsid w:val="00B50A76"/>
    <w:rsid w:val="00B55E56"/>
    <w:rsid w:val="00B65491"/>
    <w:rsid w:val="00B661A0"/>
    <w:rsid w:val="00B71FAF"/>
    <w:rsid w:val="00B74CA4"/>
    <w:rsid w:val="00B8785C"/>
    <w:rsid w:val="00B91179"/>
    <w:rsid w:val="00B93D38"/>
    <w:rsid w:val="00BA45F1"/>
    <w:rsid w:val="00BB2F09"/>
    <w:rsid w:val="00BB418F"/>
    <w:rsid w:val="00BC3C0C"/>
    <w:rsid w:val="00BD2B92"/>
    <w:rsid w:val="00BD341C"/>
    <w:rsid w:val="00BD47BE"/>
    <w:rsid w:val="00BE27ED"/>
    <w:rsid w:val="00BE296E"/>
    <w:rsid w:val="00C122A3"/>
    <w:rsid w:val="00C13760"/>
    <w:rsid w:val="00C17A62"/>
    <w:rsid w:val="00C23235"/>
    <w:rsid w:val="00C238DA"/>
    <w:rsid w:val="00C23CB1"/>
    <w:rsid w:val="00C246EC"/>
    <w:rsid w:val="00C25A92"/>
    <w:rsid w:val="00C270F5"/>
    <w:rsid w:val="00C30649"/>
    <w:rsid w:val="00C35A0B"/>
    <w:rsid w:val="00C36E74"/>
    <w:rsid w:val="00C4352B"/>
    <w:rsid w:val="00C43695"/>
    <w:rsid w:val="00C469F9"/>
    <w:rsid w:val="00C5637B"/>
    <w:rsid w:val="00C64EAD"/>
    <w:rsid w:val="00C67C82"/>
    <w:rsid w:val="00C67F3A"/>
    <w:rsid w:val="00C72E80"/>
    <w:rsid w:val="00C758A9"/>
    <w:rsid w:val="00C852AD"/>
    <w:rsid w:val="00C85B7E"/>
    <w:rsid w:val="00C90CA0"/>
    <w:rsid w:val="00C92BDA"/>
    <w:rsid w:val="00CA04BD"/>
    <w:rsid w:val="00CA1E3F"/>
    <w:rsid w:val="00CA2901"/>
    <w:rsid w:val="00CA3356"/>
    <w:rsid w:val="00CA4CCB"/>
    <w:rsid w:val="00CA67B5"/>
    <w:rsid w:val="00CC0B29"/>
    <w:rsid w:val="00CC2255"/>
    <w:rsid w:val="00CC6D58"/>
    <w:rsid w:val="00CC7FEC"/>
    <w:rsid w:val="00CD2CA1"/>
    <w:rsid w:val="00CD50BA"/>
    <w:rsid w:val="00CD741D"/>
    <w:rsid w:val="00CE1852"/>
    <w:rsid w:val="00CE1B12"/>
    <w:rsid w:val="00CE2DB4"/>
    <w:rsid w:val="00CE7E8F"/>
    <w:rsid w:val="00CF149F"/>
    <w:rsid w:val="00CF5F6C"/>
    <w:rsid w:val="00CF79BC"/>
    <w:rsid w:val="00D0268F"/>
    <w:rsid w:val="00D03FF2"/>
    <w:rsid w:val="00D22810"/>
    <w:rsid w:val="00D25AD1"/>
    <w:rsid w:val="00D340C5"/>
    <w:rsid w:val="00D34EC0"/>
    <w:rsid w:val="00D42B6C"/>
    <w:rsid w:val="00D430E0"/>
    <w:rsid w:val="00D44B5F"/>
    <w:rsid w:val="00D53307"/>
    <w:rsid w:val="00D600CA"/>
    <w:rsid w:val="00D63A8F"/>
    <w:rsid w:val="00D8026A"/>
    <w:rsid w:val="00D81621"/>
    <w:rsid w:val="00D91A23"/>
    <w:rsid w:val="00D922F8"/>
    <w:rsid w:val="00D94D2C"/>
    <w:rsid w:val="00D94E11"/>
    <w:rsid w:val="00DA528E"/>
    <w:rsid w:val="00DA72F1"/>
    <w:rsid w:val="00DB6330"/>
    <w:rsid w:val="00DD1708"/>
    <w:rsid w:val="00DD59FF"/>
    <w:rsid w:val="00DD6ACC"/>
    <w:rsid w:val="00DE0AB8"/>
    <w:rsid w:val="00DE4E39"/>
    <w:rsid w:val="00DF01D5"/>
    <w:rsid w:val="00DF6C9D"/>
    <w:rsid w:val="00E054E2"/>
    <w:rsid w:val="00E07BCD"/>
    <w:rsid w:val="00E131DE"/>
    <w:rsid w:val="00E22B36"/>
    <w:rsid w:val="00E23938"/>
    <w:rsid w:val="00E36060"/>
    <w:rsid w:val="00E373D0"/>
    <w:rsid w:val="00E42162"/>
    <w:rsid w:val="00E438D9"/>
    <w:rsid w:val="00E45C46"/>
    <w:rsid w:val="00E47BB6"/>
    <w:rsid w:val="00E5386F"/>
    <w:rsid w:val="00E53E14"/>
    <w:rsid w:val="00E57979"/>
    <w:rsid w:val="00E620B5"/>
    <w:rsid w:val="00E67ECE"/>
    <w:rsid w:val="00E73AE7"/>
    <w:rsid w:val="00E75DBB"/>
    <w:rsid w:val="00E85C3B"/>
    <w:rsid w:val="00E867FA"/>
    <w:rsid w:val="00E87400"/>
    <w:rsid w:val="00E877F7"/>
    <w:rsid w:val="00E93F5C"/>
    <w:rsid w:val="00E95C5B"/>
    <w:rsid w:val="00E966A5"/>
    <w:rsid w:val="00E96BEC"/>
    <w:rsid w:val="00E97420"/>
    <w:rsid w:val="00EA00E8"/>
    <w:rsid w:val="00EA4A3D"/>
    <w:rsid w:val="00EA51A6"/>
    <w:rsid w:val="00EA7913"/>
    <w:rsid w:val="00EB5649"/>
    <w:rsid w:val="00EC538E"/>
    <w:rsid w:val="00ED0486"/>
    <w:rsid w:val="00ED0CC0"/>
    <w:rsid w:val="00ED2EA3"/>
    <w:rsid w:val="00ED3429"/>
    <w:rsid w:val="00ED4A1F"/>
    <w:rsid w:val="00EF311D"/>
    <w:rsid w:val="00F01BF1"/>
    <w:rsid w:val="00F02CB9"/>
    <w:rsid w:val="00F04638"/>
    <w:rsid w:val="00F062C7"/>
    <w:rsid w:val="00F13905"/>
    <w:rsid w:val="00F20DD0"/>
    <w:rsid w:val="00F230FA"/>
    <w:rsid w:val="00F26196"/>
    <w:rsid w:val="00F27CC6"/>
    <w:rsid w:val="00F307D6"/>
    <w:rsid w:val="00F31341"/>
    <w:rsid w:val="00F32D7E"/>
    <w:rsid w:val="00F36DBD"/>
    <w:rsid w:val="00F4132F"/>
    <w:rsid w:val="00F425D9"/>
    <w:rsid w:val="00F437FF"/>
    <w:rsid w:val="00F54775"/>
    <w:rsid w:val="00F56495"/>
    <w:rsid w:val="00F56D3A"/>
    <w:rsid w:val="00F60287"/>
    <w:rsid w:val="00F61C01"/>
    <w:rsid w:val="00F65A95"/>
    <w:rsid w:val="00F71AE8"/>
    <w:rsid w:val="00F76E4F"/>
    <w:rsid w:val="00F85C2C"/>
    <w:rsid w:val="00F95AF4"/>
    <w:rsid w:val="00F95BC7"/>
    <w:rsid w:val="00F9765C"/>
    <w:rsid w:val="00F97C39"/>
    <w:rsid w:val="00FA3416"/>
    <w:rsid w:val="00FB1F7E"/>
    <w:rsid w:val="00FB6A18"/>
    <w:rsid w:val="00FC049E"/>
    <w:rsid w:val="00FC3362"/>
    <w:rsid w:val="00FD205D"/>
    <w:rsid w:val="00FD6C51"/>
    <w:rsid w:val="00FE2C2B"/>
    <w:rsid w:val="00FE417D"/>
    <w:rsid w:val="00FF0662"/>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B55A"/>
  <w15:docId w15:val="{5ACDEF1B-A472-4A39-B799-8FEE635F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96"/>
  </w:style>
  <w:style w:type="paragraph" w:styleId="Heading1">
    <w:name w:val="heading 1"/>
    <w:basedOn w:val="Normal"/>
    <w:next w:val="Normal"/>
    <w:link w:val="Heading1Char"/>
    <w:uiPriority w:val="9"/>
    <w:qFormat/>
    <w:rsid w:val="00A962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6D"/>
    <w:pPr>
      <w:ind w:left="720"/>
      <w:contextualSpacing/>
    </w:pPr>
  </w:style>
  <w:style w:type="paragraph" w:styleId="Header">
    <w:name w:val="header"/>
    <w:basedOn w:val="Normal"/>
    <w:link w:val="HeaderChar"/>
    <w:uiPriority w:val="99"/>
    <w:unhideWhenUsed/>
    <w:rsid w:val="005870F9"/>
    <w:pPr>
      <w:tabs>
        <w:tab w:val="center" w:pos="4680"/>
        <w:tab w:val="right" w:pos="9360"/>
      </w:tabs>
    </w:pPr>
  </w:style>
  <w:style w:type="character" w:customStyle="1" w:styleId="HeaderChar">
    <w:name w:val="Header Char"/>
    <w:basedOn w:val="DefaultParagraphFont"/>
    <w:link w:val="Header"/>
    <w:uiPriority w:val="99"/>
    <w:rsid w:val="005870F9"/>
  </w:style>
  <w:style w:type="paragraph" w:styleId="Footer">
    <w:name w:val="footer"/>
    <w:basedOn w:val="Normal"/>
    <w:link w:val="FooterChar"/>
    <w:uiPriority w:val="99"/>
    <w:unhideWhenUsed/>
    <w:rsid w:val="005870F9"/>
    <w:pPr>
      <w:tabs>
        <w:tab w:val="center" w:pos="4680"/>
        <w:tab w:val="right" w:pos="9360"/>
      </w:tabs>
    </w:pPr>
  </w:style>
  <w:style w:type="character" w:customStyle="1" w:styleId="FooterChar">
    <w:name w:val="Footer Char"/>
    <w:basedOn w:val="DefaultParagraphFont"/>
    <w:link w:val="Footer"/>
    <w:uiPriority w:val="99"/>
    <w:rsid w:val="005870F9"/>
  </w:style>
  <w:style w:type="paragraph" w:styleId="BalloonText">
    <w:name w:val="Balloon Text"/>
    <w:basedOn w:val="Normal"/>
    <w:link w:val="BalloonTextChar"/>
    <w:uiPriority w:val="99"/>
    <w:semiHidden/>
    <w:unhideWhenUsed/>
    <w:rsid w:val="00FB1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7E"/>
    <w:rPr>
      <w:rFonts w:ascii="Segoe UI" w:hAnsi="Segoe UI" w:cs="Segoe UI"/>
      <w:sz w:val="18"/>
      <w:szCs w:val="18"/>
    </w:rPr>
  </w:style>
  <w:style w:type="paragraph" w:styleId="Revision">
    <w:name w:val="Revision"/>
    <w:hidden/>
    <w:uiPriority w:val="99"/>
    <w:semiHidden/>
    <w:rsid w:val="00481AD5"/>
  </w:style>
  <w:style w:type="character" w:styleId="Hyperlink">
    <w:name w:val="Hyperlink"/>
    <w:basedOn w:val="DefaultParagraphFont"/>
    <w:uiPriority w:val="99"/>
    <w:unhideWhenUsed/>
    <w:rsid w:val="00934CC6"/>
    <w:rPr>
      <w:color w:val="0563C1" w:themeColor="hyperlink"/>
      <w:u w:val="single"/>
    </w:rPr>
  </w:style>
  <w:style w:type="character" w:styleId="UnresolvedMention">
    <w:name w:val="Unresolved Mention"/>
    <w:basedOn w:val="DefaultParagraphFont"/>
    <w:uiPriority w:val="99"/>
    <w:semiHidden/>
    <w:unhideWhenUsed/>
    <w:rsid w:val="00934CC6"/>
    <w:rPr>
      <w:color w:val="605E5C"/>
      <w:shd w:val="clear" w:color="auto" w:fill="E1DFDD"/>
    </w:rPr>
  </w:style>
  <w:style w:type="character" w:styleId="FollowedHyperlink">
    <w:name w:val="FollowedHyperlink"/>
    <w:basedOn w:val="DefaultParagraphFont"/>
    <w:uiPriority w:val="99"/>
    <w:semiHidden/>
    <w:unhideWhenUsed/>
    <w:rsid w:val="005F0952"/>
    <w:rPr>
      <w:color w:val="954F72" w:themeColor="followedHyperlink"/>
      <w:u w:val="single"/>
    </w:rPr>
  </w:style>
  <w:style w:type="paragraph" w:styleId="BodyText">
    <w:name w:val="Body Text"/>
    <w:basedOn w:val="Normal"/>
    <w:link w:val="BodyTextChar"/>
    <w:uiPriority w:val="1"/>
    <w:qFormat/>
    <w:rsid w:val="009174B0"/>
    <w:pPr>
      <w:widowControl w:val="0"/>
      <w:autoSpaceDE w:val="0"/>
      <w:autoSpaceDN w:val="0"/>
    </w:pPr>
    <w:rPr>
      <w:rFonts w:ascii="Trebuchet MS" w:eastAsia="Trebuchet MS" w:hAnsi="Trebuchet MS" w:cs="Trebuchet MS"/>
    </w:rPr>
  </w:style>
  <w:style w:type="character" w:customStyle="1" w:styleId="BodyTextChar">
    <w:name w:val="Body Text Char"/>
    <w:basedOn w:val="DefaultParagraphFont"/>
    <w:link w:val="BodyText"/>
    <w:uiPriority w:val="1"/>
    <w:rsid w:val="009174B0"/>
    <w:rPr>
      <w:rFonts w:ascii="Trebuchet MS" w:eastAsia="Trebuchet MS" w:hAnsi="Trebuchet MS" w:cs="Trebuchet MS"/>
    </w:rPr>
  </w:style>
  <w:style w:type="table" w:styleId="TableGrid">
    <w:name w:val="Table Grid"/>
    <w:basedOn w:val="TableNormal"/>
    <w:uiPriority w:val="39"/>
    <w:rsid w:val="003B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62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929681">
      <w:bodyDiv w:val="1"/>
      <w:marLeft w:val="0"/>
      <w:marRight w:val="0"/>
      <w:marTop w:val="0"/>
      <w:marBottom w:val="0"/>
      <w:divBdr>
        <w:top w:val="none" w:sz="0" w:space="0" w:color="auto"/>
        <w:left w:val="none" w:sz="0" w:space="0" w:color="auto"/>
        <w:bottom w:val="none" w:sz="0" w:space="0" w:color="auto"/>
        <w:right w:val="none" w:sz="0" w:space="0" w:color="auto"/>
      </w:divBdr>
    </w:div>
    <w:div w:id="198550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encompasshealth.com"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ncompasshealth.com/westernmassreha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bld-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CE2F-D019-4934-930B-309B5D3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2902</Words>
  <Characters>16546</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dc:creator>
  <cp:lastModifiedBy>Ciolfi, Kasey</cp:lastModifiedBy>
  <cp:revision>2</cp:revision>
  <cp:lastPrinted>2023-06-02T18:24:00Z</cp:lastPrinted>
  <dcterms:created xsi:type="dcterms:W3CDTF">2023-09-15T14:13:00Z</dcterms:created>
  <dcterms:modified xsi:type="dcterms:W3CDTF">2023-09-15T14:13:00Z</dcterms:modified>
</cp:coreProperties>
</file>