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Flysheet Client Name"/>
        <w:tag w:val="Cover/Flysheet Client Name"/>
        <w:id w:val="1699735212"/>
        <w:placeholder>
          <w:docPart w:val="DefaultPlaceholder_1081868574"/>
        </w:placeholder>
      </w:sdtPr>
      <w:sdtContent>
        <w:p w14:paraId="18810DD9" w14:textId="77777777" w:rsidR="009A2BEA" w:rsidRPr="000D36DA" w:rsidRDefault="00D3103D">
          <w:pPr>
            <w:pStyle w:val="A-CoverTitle"/>
          </w:pPr>
          <w:r w:rsidRPr="000D36DA">
            <w:t xml:space="preserve">Analysis of the Reasonableness of Assumptions Used For and </w:t>
          </w:r>
        </w:p>
        <w:p w14:paraId="29FD0D1C" w14:textId="05629408" w:rsidR="009A2BEA" w:rsidRPr="000D36DA" w:rsidRDefault="00D3103D">
          <w:pPr>
            <w:pStyle w:val="A-CoverTitle"/>
          </w:pPr>
          <w:r w:rsidRPr="000D36DA">
            <w:t>Feasibility of Projected Financials of:</w:t>
          </w:r>
        </w:p>
      </w:sdtContent>
    </w:sdt>
    <w:p w14:paraId="6BECA564" w14:textId="77777777" w:rsidR="009A2BEA" w:rsidRPr="000D36DA"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2458E55F" w14:textId="349E73E4" w:rsidR="009A2BEA" w:rsidRPr="000D36DA" w:rsidRDefault="00B94107" w:rsidP="00CE574D">
          <w:pPr>
            <w:pStyle w:val="A-CoverDescription"/>
          </w:pPr>
          <w:r w:rsidRPr="00B94107">
            <w:t>Children’s Medical Center Corporation</w:t>
          </w:r>
          <w:r w:rsidR="000B22A3" w:rsidRPr="000D36DA">
            <w:t xml:space="preserve"> </w:t>
          </w:r>
        </w:p>
      </w:sdtContent>
    </w:sdt>
    <w:sdt>
      <w:sdtPr>
        <w:alias w:val="Cover/Flysheet Year End"/>
        <w:tag w:val="Cover/Flysheet Year End"/>
        <w:id w:val="-1501266546"/>
        <w:placeholder>
          <w:docPart w:val="DefaultPlaceholder_1081868574"/>
        </w:placeholder>
      </w:sdtPr>
      <w:sdtContent>
        <w:p w14:paraId="0164372C" w14:textId="3DD0CBE4" w:rsidR="009A2BEA" w:rsidRPr="000D36DA" w:rsidRDefault="00D3103D">
          <w:pPr>
            <w:pStyle w:val="A-CoverYearEnd"/>
          </w:pPr>
          <w:r w:rsidRPr="000D36DA">
            <w:t xml:space="preserve">For the Years Ending </w:t>
          </w:r>
          <w:r w:rsidR="00E62BE4">
            <w:t>September 30</w:t>
          </w:r>
          <w:r w:rsidRPr="000D36DA">
            <w:t>, 202</w:t>
          </w:r>
          <w:r w:rsidR="00AB4425">
            <w:t>3</w:t>
          </w:r>
          <w:r w:rsidRPr="000D36DA">
            <w:t xml:space="preserve"> </w:t>
          </w:r>
          <w:r w:rsidR="00B94107">
            <w:tab/>
          </w:r>
        </w:p>
        <w:p w14:paraId="7CA5354C" w14:textId="2C81C22B" w:rsidR="009A2BEA" w:rsidRPr="000D36DA" w:rsidRDefault="00D3103D">
          <w:pPr>
            <w:pStyle w:val="A-CoverYearEnd"/>
          </w:pPr>
          <w:r w:rsidRPr="000D36DA">
            <w:t xml:space="preserve">Through </w:t>
          </w:r>
          <w:r w:rsidR="00E62BE4">
            <w:t xml:space="preserve">September </w:t>
          </w:r>
          <w:r w:rsidR="00B94107">
            <w:t>3</w:t>
          </w:r>
          <w:r w:rsidR="00E62BE4">
            <w:t>0</w:t>
          </w:r>
          <w:r w:rsidRPr="000D36DA">
            <w:t xml:space="preserve">, </w:t>
          </w:r>
          <w:r w:rsidR="00691961" w:rsidRPr="000D36DA">
            <w:t>20</w:t>
          </w:r>
          <w:r w:rsidR="00CD0BED">
            <w:t>3</w:t>
          </w:r>
          <w:r w:rsidR="006A537A">
            <w:t>3</w:t>
          </w:r>
        </w:p>
      </w:sdtContent>
    </w:sdt>
    <w:p w14:paraId="68FAAC27" w14:textId="694DF095" w:rsidR="009A2BEA" w:rsidRDefault="009A2BEA">
      <w:pPr>
        <w:pStyle w:val="A-CoverYearEnd"/>
      </w:pPr>
    </w:p>
    <w:p w14:paraId="6E137C50" w14:textId="7C94F063" w:rsidR="008D3469" w:rsidRDefault="008D3469">
      <w:pPr>
        <w:pStyle w:val="A-CoverYearEnd"/>
      </w:pPr>
    </w:p>
    <w:p w14:paraId="78D6F262" w14:textId="691D9382" w:rsidR="008D3469" w:rsidRDefault="008D3469">
      <w:pPr>
        <w:pStyle w:val="A-CoverYearEnd"/>
      </w:pPr>
    </w:p>
    <w:p w14:paraId="2EB0D073" w14:textId="503986AC" w:rsidR="008D3469" w:rsidRDefault="008D3469">
      <w:pPr>
        <w:pStyle w:val="A-CoverYearEnd"/>
      </w:pPr>
    </w:p>
    <w:p w14:paraId="49F0457B" w14:textId="21A66716" w:rsidR="008D3469" w:rsidRDefault="008D3469">
      <w:pPr>
        <w:pStyle w:val="A-CoverYearEnd"/>
      </w:pPr>
    </w:p>
    <w:p w14:paraId="07CD83F3" w14:textId="724BA34B" w:rsidR="008D3469" w:rsidRDefault="008D3469">
      <w:pPr>
        <w:pStyle w:val="A-CoverYearEnd"/>
      </w:pPr>
    </w:p>
    <w:p w14:paraId="5AC45FEB" w14:textId="3AA094F6" w:rsidR="008D3469" w:rsidRDefault="008D3469">
      <w:pPr>
        <w:pStyle w:val="A-CoverYearEnd"/>
      </w:pPr>
    </w:p>
    <w:p w14:paraId="3D7F6BFF" w14:textId="05766908" w:rsidR="008D3469" w:rsidRPr="008D3469" w:rsidRDefault="008D3469">
      <w:pPr>
        <w:pStyle w:val="A-CoverYearEnd"/>
        <w:rPr>
          <w:color w:val="FFFFFF" w:themeColor="background1"/>
        </w:rPr>
      </w:pPr>
    </w:p>
    <w:p w14:paraId="73AB502C" w14:textId="77777777" w:rsidR="009A2BEA" w:rsidRPr="000D36DA" w:rsidRDefault="009A2BEA">
      <w:pPr>
        <w:pStyle w:val="A-CoverYearEnd"/>
        <w:rPr>
          <w:highlight w:val="yellow"/>
        </w:rPr>
        <w:sectPr w:rsidR="009A2BEA" w:rsidRPr="000D36DA">
          <w:headerReference w:type="first" r:id="rId11"/>
          <w:pgSz w:w="12240" w:h="15840"/>
          <w:pgMar w:top="4320" w:right="720" w:bottom="1440" w:left="5904" w:header="720" w:footer="720" w:gutter="0"/>
          <w:cols w:space="720"/>
          <w:titlePg/>
          <w:docGrid w:linePitch="360"/>
        </w:sectPr>
      </w:pPr>
    </w:p>
    <w:p w14:paraId="0E2F996E" w14:textId="1B92B9E3"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616C16">
        <w:rPr>
          <w:rFonts w:ascii="Trebuchet MS" w:hAnsi="Trebuchet MS"/>
          <w:noProof/>
          <w:sz w:val="22"/>
          <w:szCs w:val="22"/>
        </w:rPr>
        <w:t>October 19, 2023</w:t>
      </w:r>
      <w:r w:rsidRPr="000D36DA">
        <w:rPr>
          <w:rFonts w:ascii="Trebuchet MS" w:hAnsi="Trebuchet MS"/>
          <w:sz w:val="22"/>
          <w:szCs w:val="22"/>
        </w:rPr>
        <w:fldChar w:fldCharType="end"/>
      </w:r>
      <w:r w:rsidRPr="000D36DA">
        <w:rPr>
          <w:rFonts w:ascii="Trebuchet MS" w:hAnsi="Trebuchet MS"/>
          <w:sz w:val="22"/>
          <w:szCs w:val="22"/>
        </w:rPr>
        <w:tab/>
      </w:r>
    </w:p>
    <w:p w14:paraId="531DC4BC" w14:textId="77777777" w:rsidR="009A2BEA" w:rsidRPr="000D36DA" w:rsidRDefault="009A2BEA">
      <w:pPr>
        <w:tabs>
          <w:tab w:val="left" w:pos="4590"/>
        </w:tabs>
        <w:jc w:val="both"/>
        <w:rPr>
          <w:rFonts w:ascii="Trebuchet MS" w:hAnsi="Trebuchet MS"/>
          <w:sz w:val="22"/>
          <w:szCs w:val="22"/>
        </w:rPr>
      </w:pPr>
    </w:p>
    <w:p w14:paraId="38114DD8" w14:textId="77777777" w:rsidR="009A2BEA" w:rsidRPr="000D36DA" w:rsidRDefault="009A2BEA">
      <w:pPr>
        <w:tabs>
          <w:tab w:val="left" w:pos="4590"/>
        </w:tabs>
        <w:jc w:val="both"/>
        <w:rPr>
          <w:rFonts w:ascii="Trebuchet MS" w:hAnsi="Trebuchet MS"/>
          <w:sz w:val="22"/>
          <w:szCs w:val="22"/>
          <w:highlight w:val="yellow"/>
        </w:rPr>
      </w:pPr>
    </w:p>
    <w:p w14:paraId="3B327E1C" w14:textId="03DAFFAF"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Donna M. Casey </w:t>
      </w:r>
    </w:p>
    <w:p w14:paraId="3A869C36" w14:textId="0685AF14"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Senior Vice President</w:t>
      </w:r>
    </w:p>
    <w:p w14:paraId="1952D5C5" w14:textId="7F5162BA" w:rsidR="000B22A3" w:rsidRDefault="006A537A" w:rsidP="00304B75">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70458828" w14:textId="4F624BBA" w:rsidR="006A537A" w:rsidRDefault="006A537A" w:rsidP="00304B75">
      <w:pPr>
        <w:tabs>
          <w:tab w:val="left" w:pos="4590"/>
        </w:tabs>
        <w:jc w:val="both"/>
        <w:rPr>
          <w:rFonts w:ascii="Trebuchet MS" w:hAnsi="Trebuchet MS"/>
          <w:sz w:val="22"/>
          <w:szCs w:val="22"/>
        </w:rPr>
      </w:pPr>
      <w:r>
        <w:rPr>
          <w:rFonts w:ascii="Trebuchet MS" w:hAnsi="Trebuchet MS"/>
          <w:sz w:val="22"/>
          <w:szCs w:val="22"/>
        </w:rPr>
        <w:t>300 Longwood Avenue</w:t>
      </w:r>
    </w:p>
    <w:p w14:paraId="09000C58" w14:textId="24C44396" w:rsidR="006A537A"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BY483 </w:t>
      </w:r>
    </w:p>
    <w:p w14:paraId="1D84F82E" w14:textId="4FE5D6E3" w:rsidR="009A2BEA" w:rsidRDefault="00CD0BED" w:rsidP="006A537A">
      <w:pPr>
        <w:tabs>
          <w:tab w:val="left" w:pos="4590"/>
        </w:tabs>
        <w:jc w:val="both"/>
        <w:rPr>
          <w:rFonts w:ascii="Trebuchet MS" w:hAnsi="Trebuchet MS"/>
          <w:sz w:val="22"/>
          <w:szCs w:val="22"/>
        </w:rPr>
      </w:pPr>
      <w:r>
        <w:rPr>
          <w:rFonts w:ascii="Trebuchet MS" w:hAnsi="Trebuchet MS"/>
          <w:sz w:val="22"/>
          <w:szCs w:val="22"/>
        </w:rPr>
        <w:t>B</w:t>
      </w:r>
      <w:r w:rsidR="006A537A">
        <w:rPr>
          <w:rFonts w:ascii="Trebuchet MS" w:hAnsi="Trebuchet MS"/>
          <w:sz w:val="22"/>
          <w:szCs w:val="22"/>
        </w:rPr>
        <w:t>oston</w:t>
      </w:r>
      <w:r>
        <w:rPr>
          <w:rFonts w:ascii="Trebuchet MS" w:hAnsi="Trebuchet MS"/>
          <w:sz w:val="22"/>
          <w:szCs w:val="22"/>
        </w:rPr>
        <w:t>, MA 02</w:t>
      </w:r>
      <w:r w:rsidR="006A537A">
        <w:rPr>
          <w:rFonts w:ascii="Trebuchet MS" w:hAnsi="Trebuchet MS"/>
          <w:sz w:val="22"/>
          <w:szCs w:val="22"/>
        </w:rPr>
        <w:t>215</w:t>
      </w:r>
    </w:p>
    <w:p w14:paraId="2EAE1A4A" w14:textId="77777777" w:rsidR="006A537A" w:rsidRPr="006A537A" w:rsidRDefault="006A537A" w:rsidP="006A537A">
      <w:pPr>
        <w:tabs>
          <w:tab w:val="left" w:pos="4590"/>
        </w:tabs>
        <w:jc w:val="both"/>
        <w:rPr>
          <w:rFonts w:ascii="Trebuchet MS" w:hAnsi="Trebuchet MS"/>
          <w:sz w:val="22"/>
          <w:szCs w:val="22"/>
        </w:rPr>
      </w:pPr>
    </w:p>
    <w:p w14:paraId="1131B642" w14:textId="77777777" w:rsidR="009A2BEA" w:rsidRPr="000D36DA" w:rsidRDefault="009A2BEA">
      <w:pPr>
        <w:jc w:val="both"/>
        <w:rPr>
          <w:rFonts w:ascii="Trebuchet MS" w:hAnsi="Trebuchet MS"/>
          <w:b/>
          <w:sz w:val="22"/>
          <w:szCs w:val="22"/>
          <w:lang w:eastAsia="en-GB"/>
        </w:rPr>
      </w:pPr>
    </w:p>
    <w:p w14:paraId="2670D77A" w14:textId="536BC0C4" w:rsidR="000B22A3" w:rsidRPr="000D36DA" w:rsidRDefault="00D3103D" w:rsidP="00D6680B">
      <w:pPr>
        <w:pStyle w:val="BDOBODY14ptleading"/>
        <w:ind w:left="720" w:hanging="720"/>
        <w:rPr>
          <w:b/>
          <w:sz w:val="22"/>
          <w:szCs w:val="22"/>
        </w:rPr>
      </w:pPr>
      <w:r w:rsidRPr="000D36DA">
        <w:rPr>
          <w:b/>
          <w:sz w:val="22"/>
          <w:szCs w:val="22"/>
        </w:rPr>
        <w:t>RE:</w:t>
      </w:r>
      <w:r w:rsidRPr="000D36DA">
        <w:rPr>
          <w:b/>
          <w:sz w:val="22"/>
          <w:szCs w:val="22"/>
        </w:rPr>
        <w:tab/>
      </w:r>
      <w:r w:rsidR="00DD088E" w:rsidRPr="000D36DA">
        <w:rPr>
          <w:b/>
          <w:sz w:val="22"/>
          <w:szCs w:val="22"/>
        </w:rPr>
        <w:t>Analysis of the Reasonableness of Assumptions and Projections Used to Support the Financial Feasibility of the Proposed Project</w:t>
      </w:r>
    </w:p>
    <w:p w14:paraId="4D02D3B4" w14:textId="520725EE" w:rsidR="009A2BEA" w:rsidRPr="000D36DA"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00808CF7" w14:textId="77777777" w:rsidR="009A2BEA" w:rsidRPr="000D36DA" w:rsidRDefault="00D3103D">
      <w:pPr>
        <w:tabs>
          <w:tab w:val="left" w:pos="7383"/>
        </w:tabs>
        <w:jc w:val="both"/>
        <w:rPr>
          <w:rFonts w:ascii="Trebuchet MS" w:hAnsi="Trebuchet MS"/>
          <w:sz w:val="22"/>
          <w:szCs w:val="22"/>
        </w:rPr>
      </w:pPr>
      <w:r w:rsidRPr="000D36DA">
        <w:rPr>
          <w:rFonts w:ascii="Trebuchet MS" w:hAnsi="Trebuchet MS"/>
          <w:sz w:val="22"/>
          <w:szCs w:val="22"/>
        </w:rPr>
        <w:tab/>
      </w:r>
    </w:p>
    <w:p w14:paraId="5EAC9AC6" w14:textId="3D505332"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B94107">
        <w:rPr>
          <w:rFonts w:ascii="Trebuchet MS" w:hAnsi="Trebuchet MS"/>
          <w:sz w:val="22"/>
          <w:szCs w:val="22"/>
        </w:rPr>
        <w:t>s</w:t>
      </w:r>
      <w:r w:rsidR="000B22A3" w:rsidRPr="000D36DA">
        <w:rPr>
          <w:rFonts w:ascii="Trebuchet MS" w:hAnsi="Trebuchet MS"/>
          <w:sz w:val="22"/>
          <w:szCs w:val="22"/>
        </w:rPr>
        <w:t xml:space="preserve">. </w:t>
      </w:r>
      <w:r w:rsidR="00B94107" w:rsidRPr="00B94107">
        <w:rPr>
          <w:rFonts w:ascii="Trebuchet MS" w:hAnsi="Trebuchet MS"/>
          <w:sz w:val="22"/>
          <w:szCs w:val="22"/>
        </w:rPr>
        <w:t>Casey</w:t>
      </w:r>
      <w:r w:rsidRPr="000D36DA">
        <w:rPr>
          <w:rFonts w:ascii="Trebuchet MS" w:hAnsi="Trebuchet MS"/>
          <w:sz w:val="22"/>
          <w:szCs w:val="22"/>
        </w:rPr>
        <w:t>:</w:t>
      </w:r>
    </w:p>
    <w:p w14:paraId="1EBA7CDE"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735514E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20FF454" w14:textId="3FA19796" w:rsidR="009A2BEA" w:rsidRPr="000D36DA" w:rsidRDefault="00D3103D">
      <w:pPr>
        <w:ind w:left="720"/>
        <w:jc w:val="both"/>
        <w:rPr>
          <w:rFonts w:ascii="Trebuchet MS" w:hAnsi="Trebuchet MS"/>
          <w:b/>
          <w:sz w:val="22"/>
          <w:szCs w:val="22"/>
        </w:rPr>
      </w:pPr>
      <w:r w:rsidRPr="000D36DA">
        <w:rPr>
          <w:rFonts w:ascii="Trebuchet MS" w:hAnsi="Trebuchet MS"/>
          <w:sz w:val="22"/>
          <w:szCs w:val="22"/>
        </w:rPr>
        <w:t>Enclosed is a copy of our report on the reasonableness of assumptions used for and feasibility of the</w:t>
      </w:r>
      <w:r w:rsidR="00070E4D" w:rsidRPr="000D36DA">
        <w:rPr>
          <w:rFonts w:ascii="Trebuchet MS" w:hAnsi="Trebuchet MS"/>
          <w:sz w:val="22"/>
          <w:szCs w:val="22"/>
        </w:rPr>
        <w:t xml:space="preserve"> </w:t>
      </w:r>
      <w:r w:rsidRPr="000D36DA">
        <w:rPr>
          <w:rFonts w:ascii="Trebuchet MS" w:hAnsi="Trebuchet MS"/>
          <w:sz w:val="22"/>
          <w:szCs w:val="22"/>
        </w:rPr>
        <w:t>financial projections for</w:t>
      </w:r>
      <w:r w:rsidR="00A23B4E" w:rsidRPr="000D36DA">
        <w:rPr>
          <w:rFonts w:ascii="Trebuchet MS" w:hAnsi="Trebuchet MS"/>
          <w:sz w:val="22"/>
          <w:szCs w:val="22"/>
        </w:rPr>
        <w:t xml:space="preserve"> </w:t>
      </w:r>
      <w:r w:rsidR="00331462" w:rsidRPr="00331462">
        <w:rPr>
          <w:rFonts w:ascii="Trebuchet MS" w:hAnsi="Trebuchet MS"/>
          <w:sz w:val="22"/>
          <w:szCs w:val="22"/>
        </w:rPr>
        <w:t>Children’s Medical Center Corporation</w:t>
      </w:r>
      <w:r w:rsidR="004D057D">
        <w:rPr>
          <w:rFonts w:ascii="Trebuchet MS" w:hAnsi="Trebuchet MS"/>
          <w:sz w:val="22"/>
          <w:szCs w:val="22"/>
        </w:rPr>
        <w:t>.</w:t>
      </w:r>
      <w:r w:rsidRPr="000D36DA">
        <w:rPr>
          <w:rFonts w:ascii="Trebuchet MS" w:hAnsi="Trebuchet MS"/>
          <w:sz w:val="22"/>
          <w:szCs w:val="22"/>
        </w:rPr>
        <w:t xml:space="preserve"> Please contact me to discuss this report once you have had an opportunity to review.</w:t>
      </w:r>
    </w:p>
    <w:p w14:paraId="591D11A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4B3B3D63"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3AAED343" w14:textId="77777777" w:rsidR="009A2BEA" w:rsidRPr="000D36DA" w:rsidRDefault="009A2BEA">
      <w:pPr>
        <w:jc w:val="both"/>
        <w:rPr>
          <w:rFonts w:ascii="Trebuchet MS" w:hAnsi="Trebuchet MS"/>
          <w:sz w:val="22"/>
          <w:szCs w:val="22"/>
        </w:rPr>
      </w:pPr>
    </w:p>
    <w:p w14:paraId="5FEB7214" w14:textId="77777777" w:rsidR="009A2BEA" w:rsidRPr="000D36DA" w:rsidRDefault="00D3103D">
      <w:pPr>
        <w:jc w:val="both"/>
        <w:rPr>
          <w:rFonts w:ascii="Trebuchet MS" w:hAnsi="Trebuchet MS"/>
          <w:sz w:val="22"/>
          <w:szCs w:val="22"/>
        </w:rPr>
      </w:pPr>
      <w:r w:rsidRPr="000D36DA">
        <w:rPr>
          <w:rFonts w:ascii="Trebuchet MS" w:hAnsi="Trebuchet MS"/>
          <w:sz w:val="22"/>
          <w:szCs w:val="22"/>
        </w:rPr>
        <w:t>Sincerely,</w:t>
      </w:r>
    </w:p>
    <w:p w14:paraId="668440B4" w14:textId="77777777" w:rsidR="009A2BEA" w:rsidRPr="000D36DA" w:rsidRDefault="009A2BEA">
      <w:pPr>
        <w:tabs>
          <w:tab w:val="left" w:pos="4590"/>
        </w:tabs>
        <w:jc w:val="both"/>
        <w:rPr>
          <w:rFonts w:ascii="Trebuchet MS" w:hAnsi="Trebuchet MS"/>
          <w:sz w:val="22"/>
          <w:szCs w:val="22"/>
        </w:rPr>
      </w:pPr>
    </w:p>
    <w:p w14:paraId="6D109CA4" w14:textId="77777777" w:rsidR="00F3710B" w:rsidRDefault="00F3710B">
      <w:pPr>
        <w:tabs>
          <w:tab w:val="left" w:pos="4590"/>
        </w:tabs>
        <w:jc w:val="both"/>
        <w:rPr>
          <w:noProof/>
          <w:color w:val="FF0000"/>
        </w:rPr>
      </w:pPr>
    </w:p>
    <w:p w14:paraId="54BA31BD" w14:textId="77777777" w:rsidR="006A537A" w:rsidRPr="006A537A" w:rsidRDefault="006A537A">
      <w:pPr>
        <w:tabs>
          <w:tab w:val="left" w:pos="4590"/>
        </w:tabs>
        <w:jc w:val="both"/>
        <w:rPr>
          <w:rFonts w:ascii="Trebuchet MS" w:hAnsi="Trebuchet MS"/>
          <w:color w:val="FF0000"/>
          <w:sz w:val="22"/>
          <w:szCs w:val="22"/>
          <w:highlight w:val="yellow"/>
        </w:rPr>
      </w:pPr>
    </w:p>
    <w:p w14:paraId="488FEF92" w14:textId="43FB1E50" w:rsidR="009A2BEA" w:rsidRPr="00F06254" w:rsidRDefault="00F06254">
      <w:pPr>
        <w:tabs>
          <w:tab w:val="left" w:pos="4590"/>
        </w:tabs>
        <w:jc w:val="both"/>
        <w:rPr>
          <w:rFonts w:ascii="Trebuchet MS" w:hAnsi="Trebuchet MS"/>
          <w:sz w:val="22"/>
          <w:szCs w:val="22"/>
        </w:rPr>
      </w:pPr>
      <w:r w:rsidRPr="00F06254">
        <w:rPr>
          <w:rFonts w:ascii="Trebuchet MS" w:hAnsi="Trebuchet MS"/>
          <w:sz w:val="22"/>
          <w:szCs w:val="22"/>
        </w:rPr>
        <w:t>BDO USA</w:t>
      </w:r>
    </w:p>
    <w:p w14:paraId="54E69CB7" w14:textId="77777777" w:rsidR="009A2BEA" w:rsidRPr="000D36DA" w:rsidRDefault="009A2BEA">
      <w:pPr>
        <w:tabs>
          <w:tab w:val="left" w:pos="4590"/>
        </w:tabs>
        <w:jc w:val="both"/>
        <w:rPr>
          <w:rFonts w:ascii="Trebuchet MS" w:hAnsi="Trebuchet MS"/>
          <w:sz w:val="22"/>
          <w:szCs w:val="22"/>
          <w:highlight w:val="yellow"/>
        </w:rPr>
        <w:sectPr w:rsidR="009A2BEA" w:rsidRPr="000D36DA">
          <w:headerReference w:type="even" r:id="rId12"/>
          <w:headerReference w:type="default" r:id="rId13"/>
          <w:footerReference w:type="default" r:id="rId14"/>
          <w:headerReference w:type="first" r:id="rId15"/>
          <w:pgSz w:w="12240" w:h="15840"/>
          <w:pgMar w:top="2592" w:right="1440" w:bottom="1440" w:left="1656" w:header="792" w:footer="720" w:gutter="0"/>
          <w:cols w:space="720"/>
          <w:docGrid w:linePitch="360"/>
        </w:sectPr>
      </w:pPr>
    </w:p>
    <w:p w14:paraId="2E16E8CE" w14:textId="77777777" w:rsidR="009A2BEA" w:rsidRPr="000D36DA" w:rsidRDefault="00D3103D">
      <w:pPr>
        <w:tabs>
          <w:tab w:val="left" w:pos="-720"/>
        </w:tabs>
        <w:suppressAutoHyphens/>
        <w:jc w:val="center"/>
        <w:rPr>
          <w:rFonts w:ascii="Trebuchet MS" w:hAnsi="Trebuchet MS"/>
          <w:b/>
          <w:spacing w:val="-3"/>
          <w:sz w:val="22"/>
          <w:szCs w:val="22"/>
        </w:rPr>
      </w:pPr>
      <w:r w:rsidRPr="006C4C2B">
        <w:rPr>
          <w:rFonts w:ascii="Trebuchet MS" w:hAnsi="Trebuchet MS"/>
          <w:b/>
          <w:spacing w:val="-3"/>
          <w:sz w:val="22"/>
          <w:szCs w:val="22"/>
        </w:rPr>
        <w:lastRenderedPageBreak/>
        <w:t>TABLE OF CONTENTS</w:t>
      </w:r>
    </w:p>
    <w:p w14:paraId="3FEDF5E3"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26FED125"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18AA3D74"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560449C8" w14:textId="77777777" w:rsidR="009A2BEA" w:rsidRPr="000D36DA" w:rsidRDefault="00D3103D">
      <w:pPr>
        <w:tabs>
          <w:tab w:val="left" w:pos="-720"/>
        </w:tabs>
        <w:suppressAutoHyphens/>
        <w:jc w:val="right"/>
        <w:rPr>
          <w:rFonts w:ascii="Trebuchet MS" w:hAnsi="Trebuchet MS"/>
          <w:spacing w:val="-3"/>
          <w:sz w:val="22"/>
          <w:szCs w:val="22"/>
        </w:rPr>
      </w:pPr>
      <w:r w:rsidRPr="000D36DA">
        <w:rPr>
          <w:rFonts w:ascii="Trebuchet MS" w:hAnsi="Trebuchet MS"/>
          <w:spacing w:val="-3"/>
          <w:sz w:val="22"/>
          <w:szCs w:val="22"/>
        </w:rPr>
        <w:t>Page</w:t>
      </w:r>
    </w:p>
    <w:p w14:paraId="7D8F51CC" w14:textId="0B7A20AE"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 </w:t>
      </w:r>
      <w:r w:rsidRPr="000D36DA">
        <w:rPr>
          <w:rFonts w:ascii="Trebuchet MS" w:hAnsi="Trebuchet MS"/>
          <w:spacing w:val="-3"/>
          <w:sz w:val="22"/>
          <w:szCs w:val="22"/>
        </w:rPr>
        <w:tab/>
        <w:t>EXECUTIVE SUMMARY</w:t>
      </w:r>
      <w:r w:rsidRPr="000D36DA">
        <w:rPr>
          <w:rFonts w:ascii="Trebuchet MS" w:hAnsi="Trebuchet MS"/>
          <w:spacing w:val="-3"/>
          <w:sz w:val="22"/>
          <w:szCs w:val="22"/>
        </w:rPr>
        <w:tab/>
      </w:r>
      <w:r w:rsidR="00A551A8">
        <w:rPr>
          <w:rFonts w:ascii="Trebuchet MS" w:hAnsi="Trebuchet MS"/>
          <w:spacing w:val="-3"/>
          <w:sz w:val="22"/>
          <w:szCs w:val="22"/>
        </w:rPr>
        <w:t>2</w:t>
      </w:r>
    </w:p>
    <w:p w14:paraId="7E41FEA2" w14:textId="77777777"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z w:val="22"/>
          <w:szCs w:val="22"/>
        </w:rPr>
        <w:t xml:space="preserve">II. </w:t>
      </w:r>
      <w:r w:rsidRPr="000D36DA">
        <w:rPr>
          <w:rFonts w:ascii="Trebuchet MS" w:hAnsi="Trebuchet MS"/>
          <w:sz w:val="22"/>
          <w:szCs w:val="22"/>
        </w:rPr>
        <w:tab/>
        <w:t>RELEVANT BACKGROUND INFORMATION</w:t>
      </w:r>
      <w:r w:rsidRPr="000D36DA">
        <w:rPr>
          <w:rFonts w:ascii="Trebuchet MS" w:hAnsi="Trebuchet MS"/>
          <w:spacing w:val="-3"/>
          <w:sz w:val="22"/>
          <w:szCs w:val="22"/>
        </w:rPr>
        <w:tab/>
        <w:t>2</w:t>
      </w:r>
    </w:p>
    <w:p w14:paraId="44D2930C" w14:textId="4B06052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III. </w:t>
      </w:r>
      <w:r w:rsidRPr="000D36DA">
        <w:rPr>
          <w:rFonts w:ascii="Trebuchet MS" w:hAnsi="Trebuchet MS"/>
          <w:spacing w:val="-3"/>
          <w:sz w:val="22"/>
          <w:szCs w:val="22"/>
        </w:rPr>
        <w:tab/>
      </w:r>
      <w:r w:rsidRPr="000D36DA">
        <w:rPr>
          <w:rFonts w:ascii="Trebuchet MS" w:hAnsi="Trebuchet MS"/>
          <w:sz w:val="22"/>
          <w:szCs w:val="22"/>
        </w:rPr>
        <w:t>SCOPE OF REPORT</w:t>
      </w:r>
      <w:r w:rsidRPr="000D36DA">
        <w:rPr>
          <w:rFonts w:ascii="Trebuchet MS" w:hAnsi="Trebuchet MS"/>
          <w:spacing w:val="-3"/>
          <w:sz w:val="22"/>
          <w:szCs w:val="22"/>
        </w:rPr>
        <w:tab/>
      </w:r>
      <w:r w:rsidR="00FE2F5E">
        <w:rPr>
          <w:rFonts w:ascii="Trebuchet MS" w:hAnsi="Trebuchet MS"/>
          <w:spacing w:val="-3"/>
          <w:sz w:val="22"/>
          <w:szCs w:val="22"/>
        </w:rPr>
        <w:t>5</w:t>
      </w:r>
    </w:p>
    <w:p w14:paraId="5D60197C" w14:textId="27D47256"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IV. </w:t>
      </w:r>
      <w:r w:rsidRPr="000D36DA">
        <w:rPr>
          <w:rFonts w:ascii="Trebuchet MS" w:hAnsi="Trebuchet MS"/>
          <w:spacing w:val="-3"/>
          <w:sz w:val="22"/>
          <w:szCs w:val="22"/>
        </w:rPr>
        <w:tab/>
      </w:r>
      <w:r w:rsidRPr="000D36DA">
        <w:rPr>
          <w:rFonts w:ascii="Trebuchet MS" w:hAnsi="Trebuchet MS"/>
          <w:sz w:val="22"/>
          <w:szCs w:val="22"/>
        </w:rPr>
        <w:t>SOURCES OF INFORMATION UTILIZED</w:t>
      </w:r>
      <w:r w:rsidRPr="000D36DA">
        <w:rPr>
          <w:rFonts w:ascii="Trebuchet MS" w:hAnsi="Trebuchet MS"/>
          <w:spacing w:val="-3"/>
          <w:sz w:val="22"/>
          <w:szCs w:val="22"/>
        </w:rPr>
        <w:tab/>
      </w:r>
      <w:r w:rsidR="00FE2F5E">
        <w:rPr>
          <w:rFonts w:ascii="Trebuchet MS" w:hAnsi="Trebuchet MS"/>
          <w:spacing w:val="-3"/>
          <w:sz w:val="22"/>
          <w:szCs w:val="22"/>
        </w:rPr>
        <w:t>6</w:t>
      </w:r>
    </w:p>
    <w:p w14:paraId="4ABE99FD" w14:textId="6BC46D10"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 </w:t>
      </w:r>
      <w:r w:rsidRPr="000D36DA">
        <w:rPr>
          <w:rFonts w:ascii="Trebuchet MS" w:hAnsi="Trebuchet MS"/>
          <w:spacing w:val="-3"/>
          <w:sz w:val="22"/>
          <w:szCs w:val="22"/>
        </w:rPr>
        <w:tab/>
        <w:t>REVIEW OF THE PROJECTIONS</w:t>
      </w:r>
      <w:r w:rsidRPr="000D36DA">
        <w:rPr>
          <w:rFonts w:ascii="Trebuchet MS" w:hAnsi="Trebuchet MS"/>
          <w:spacing w:val="-3"/>
          <w:sz w:val="22"/>
          <w:szCs w:val="22"/>
        </w:rPr>
        <w:tab/>
      </w:r>
      <w:r w:rsidR="00F3710B">
        <w:rPr>
          <w:rFonts w:ascii="Trebuchet MS" w:hAnsi="Trebuchet MS"/>
          <w:spacing w:val="-3"/>
          <w:sz w:val="22"/>
          <w:szCs w:val="22"/>
        </w:rPr>
        <w:t>7</w:t>
      </w:r>
    </w:p>
    <w:p w14:paraId="0D2666FD" w14:textId="29405F08"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VI. </w:t>
      </w:r>
      <w:r w:rsidRPr="000D36DA">
        <w:rPr>
          <w:rFonts w:ascii="Trebuchet MS" w:hAnsi="Trebuchet MS"/>
          <w:spacing w:val="-3"/>
          <w:sz w:val="22"/>
          <w:szCs w:val="22"/>
        </w:rPr>
        <w:tab/>
      </w:r>
      <w:r w:rsidRPr="000D36DA">
        <w:rPr>
          <w:rFonts w:ascii="Trebuchet MS" w:hAnsi="Trebuchet MS"/>
          <w:sz w:val="22"/>
          <w:szCs w:val="22"/>
        </w:rPr>
        <w:t>FEASIBILITY</w:t>
      </w:r>
      <w:r w:rsidRPr="000D36DA">
        <w:rPr>
          <w:rFonts w:ascii="Trebuchet MS" w:hAnsi="Trebuchet MS"/>
          <w:spacing w:val="-3"/>
          <w:sz w:val="22"/>
          <w:szCs w:val="22"/>
        </w:rPr>
        <w:tab/>
      </w:r>
      <w:r w:rsidR="00F3710B" w:rsidRPr="000D36DA">
        <w:rPr>
          <w:rFonts w:ascii="Trebuchet MS" w:hAnsi="Trebuchet MS"/>
          <w:spacing w:val="-3"/>
          <w:sz w:val="22"/>
          <w:szCs w:val="22"/>
        </w:rPr>
        <w:t>1</w:t>
      </w:r>
      <w:r w:rsidR="00F3710B">
        <w:rPr>
          <w:rFonts w:ascii="Trebuchet MS" w:hAnsi="Trebuchet MS"/>
          <w:spacing w:val="-3"/>
          <w:sz w:val="22"/>
          <w:szCs w:val="22"/>
        </w:rPr>
        <w:t>4</w:t>
      </w:r>
    </w:p>
    <w:p w14:paraId="1549B6DA" w14:textId="77777777" w:rsidR="009A2BEA" w:rsidRPr="000D36DA"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47F892DA" w14:textId="77777777" w:rsidR="009A2BEA" w:rsidRPr="000D36DA" w:rsidRDefault="009A2BEA">
      <w:pPr>
        <w:tabs>
          <w:tab w:val="left" w:pos="-720"/>
        </w:tabs>
        <w:suppressAutoHyphens/>
        <w:rPr>
          <w:rFonts w:ascii="Trebuchet MS" w:hAnsi="Trebuchet MS"/>
          <w:b/>
          <w:spacing w:val="-3"/>
          <w:sz w:val="22"/>
          <w:szCs w:val="22"/>
          <w:highlight w:val="yellow"/>
        </w:rPr>
        <w:sectPr w:rsidR="009A2BEA" w:rsidRPr="000D36DA">
          <w:headerReference w:type="even" r:id="rId16"/>
          <w:headerReference w:type="default" r:id="rId17"/>
          <w:footerReference w:type="default" r:id="rId18"/>
          <w:headerReference w:type="first" r:id="rId19"/>
          <w:pgSz w:w="12240" w:h="15840"/>
          <w:pgMar w:top="2448" w:right="1440" w:bottom="1080" w:left="1440" w:header="720" w:footer="720" w:gutter="0"/>
          <w:pgNumType w:start="2"/>
          <w:cols w:space="720"/>
          <w:docGrid w:linePitch="360"/>
        </w:sectPr>
      </w:pPr>
    </w:p>
    <w:bookmarkStart w:id="1" w:name="_Toc463886374"/>
    <w:bookmarkStart w:id="2" w:name="_Ref467150440"/>
    <w:p w14:paraId="26267DE1" w14:textId="36A71251"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616C16">
        <w:rPr>
          <w:rFonts w:ascii="Trebuchet MS" w:hAnsi="Trebuchet MS"/>
          <w:noProof/>
          <w:sz w:val="22"/>
          <w:szCs w:val="22"/>
        </w:rPr>
        <w:t>October 19, 2023</w:t>
      </w:r>
      <w:r w:rsidRPr="000D36DA">
        <w:rPr>
          <w:rFonts w:ascii="Trebuchet MS" w:hAnsi="Trebuchet MS"/>
          <w:sz w:val="22"/>
          <w:szCs w:val="22"/>
        </w:rPr>
        <w:fldChar w:fldCharType="end"/>
      </w:r>
    </w:p>
    <w:p w14:paraId="2DB7DB8F" w14:textId="77777777" w:rsidR="009A2BEA" w:rsidRPr="000D36DA" w:rsidRDefault="009A2BEA">
      <w:pPr>
        <w:tabs>
          <w:tab w:val="left" w:pos="4590"/>
        </w:tabs>
        <w:jc w:val="both"/>
        <w:rPr>
          <w:rFonts w:ascii="Trebuchet MS" w:hAnsi="Trebuchet MS"/>
          <w:sz w:val="22"/>
          <w:szCs w:val="22"/>
        </w:rPr>
      </w:pPr>
    </w:p>
    <w:p w14:paraId="016EC6FC" w14:textId="01C8016F" w:rsidR="009A2BEA" w:rsidRPr="000D36DA" w:rsidRDefault="009A2BEA">
      <w:pPr>
        <w:tabs>
          <w:tab w:val="left" w:pos="4590"/>
        </w:tabs>
        <w:jc w:val="both"/>
        <w:rPr>
          <w:rFonts w:ascii="Trebuchet MS" w:hAnsi="Trebuchet MS"/>
          <w:sz w:val="22"/>
          <w:szCs w:val="22"/>
        </w:rPr>
      </w:pPr>
    </w:p>
    <w:p w14:paraId="53083387"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Donna M. Casey </w:t>
      </w:r>
    </w:p>
    <w:p w14:paraId="7CAD9BC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Senior Vice President</w:t>
      </w:r>
    </w:p>
    <w:p w14:paraId="2B3F1EE8"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2F916181"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300 Longwood Avenue</w:t>
      </w:r>
    </w:p>
    <w:p w14:paraId="775666A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BY483 </w:t>
      </w:r>
    </w:p>
    <w:p w14:paraId="48AE12BA"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Boston, MA 02215</w:t>
      </w:r>
    </w:p>
    <w:p w14:paraId="35426892" w14:textId="77777777" w:rsidR="009A2BEA" w:rsidRPr="000D36DA" w:rsidRDefault="009A2BEA">
      <w:pPr>
        <w:jc w:val="both"/>
        <w:rPr>
          <w:rFonts w:ascii="Trebuchet MS" w:hAnsi="Trebuchet MS"/>
          <w:sz w:val="22"/>
          <w:szCs w:val="22"/>
        </w:rPr>
      </w:pPr>
    </w:p>
    <w:p w14:paraId="4FB28965" w14:textId="77777777" w:rsidR="009A2BEA" w:rsidRPr="000D36DA" w:rsidRDefault="009A2BEA">
      <w:pPr>
        <w:jc w:val="both"/>
        <w:rPr>
          <w:rFonts w:ascii="Trebuchet MS" w:hAnsi="Trebuchet MS"/>
          <w:sz w:val="22"/>
          <w:szCs w:val="22"/>
        </w:rPr>
      </w:pPr>
    </w:p>
    <w:p w14:paraId="0F4DD829" w14:textId="3573A570" w:rsidR="009A2BEA" w:rsidRPr="000D36DA"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0D36DA">
        <w:rPr>
          <w:rFonts w:ascii="Trebuchet MS" w:hAnsi="Trebuchet MS"/>
          <w:b/>
          <w:sz w:val="22"/>
          <w:szCs w:val="22"/>
        </w:rPr>
        <w:t>RE:</w:t>
      </w:r>
      <w:r w:rsidRPr="000D36DA">
        <w:rPr>
          <w:rFonts w:ascii="Trebuchet MS" w:hAnsi="Trebuchet MS"/>
          <w:b/>
          <w:sz w:val="22"/>
          <w:szCs w:val="22"/>
        </w:rPr>
        <w:tab/>
      </w:r>
      <w:r w:rsidR="00126CCA" w:rsidRPr="000D36DA">
        <w:rPr>
          <w:rFonts w:ascii="Trebuchet MS" w:hAnsi="Trebuchet MS"/>
          <w:b/>
          <w:sz w:val="22"/>
          <w:szCs w:val="22"/>
        </w:rPr>
        <w:t xml:space="preserve">Project Financial Feasibility Services Associated with DPH </w:t>
      </w:r>
      <w:proofErr w:type="spellStart"/>
      <w:r w:rsidR="00126CCA" w:rsidRPr="000D36DA">
        <w:rPr>
          <w:rFonts w:ascii="Trebuchet MS" w:hAnsi="Trebuchet MS"/>
          <w:b/>
          <w:sz w:val="22"/>
          <w:szCs w:val="22"/>
        </w:rPr>
        <w:t>D</w:t>
      </w:r>
      <w:r w:rsidR="004F1EBC">
        <w:rPr>
          <w:rFonts w:ascii="Trebuchet MS" w:hAnsi="Trebuchet MS"/>
          <w:b/>
          <w:sz w:val="22"/>
          <w:szCs w:val="22"/>
        </w:rPr>
        <w:t>o</w:t>
      </w:r>
      <w:r w:rsidR="00126CCA" w:rsidRPr="000D36DA">
        <w:rPr>
          <w:rFonts w:ascii="Trebuchet MS" w:hAnsi="Trebuchet MS"/>
          <w:b/>
          <w:sz w:val="22"/>
          <w:szCs w:val="22"/>
        </w:rPr>
        <w:t>N</w:t>
      </w:r>
      <w:proofErr w:type="spellEnd"/>
      <w:r w:rsidR="00126CCA" w:rsidRPr="000D36DA">
        <w:rPr>
          <w:rFonts w:ascii="Trebuchet MS" w:hAnsi="Trebuchet MS"/>
          <w:b/>
          <w:sz w:val="22"/>
          <w:szCs w:val="22"/>
        </w:rPr>
        <w:t xml:space="preserve"> Factor 4</w:t>
      </w:r>
    </w:p>
    <w:p w14:paraId="386A6906" w14:textId="77777777" w:rsidR="009A2BEA" w:rsidRPr="000D36DA" w:rsidRDefault="009A2BEA">
      <w:pPr>
        <w:tabs>
          <w:tab w:val="left" w:pos="7383"/>
        </w:tabs>
        <w:jc w:val="both"/>
        <w:rPr>
          <w:rFonts w:ascii="Trebuchet MS" w:hAnsi="Trebuchet MS"/>
          <w:sz w:val="22"/>
          <w:szCs w:val="22"/>
        </w:rPr>
      </w:pPr>
    </w:p>
    <w:p w14:paraId="654BD3A2" w14:textId="77777777" w:rsidR="009A2BEA" w:rsidRPr="000D36DA" w:rsidRDefault="009A2BEA">
      <w:pPr>
        <w:tabs>
          <w:tab w:val="left" w:pos="7383"/>
        </w:tabs>
        <w:jc w:val="both"/>
        <w:rPr>
          <w:rFonts w:ascii="Trebuchet MS" w:hAnsi="Trebuchet MS"/>
          <w:sz w:val="22"/>
          <w:szCs w:val="22"/>
        </w:rPr>
      </w:pPr>
    </w:p>
    <w:p w14:paraId="2902E07E" w14:textId="1ADC4AFD"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6A537A">
        <w:rPr>
          <w:rFonts w:ascii="Trebuchet MS" w:hAnsi="Trebuchet MS"/>
          <w:sz w:val="22"/>
          <w:szCs w:val="22"/>
        </w:rPr>
        <w:t>s</w:t>
      </w:r>
      <w:r w:rsidR="004A20AF" w:rsidRPr="000D36DA">
        <w:rPr>
          <w:rFonts w:ascii="Trebuchet MS" w:hAnsi="Trebuchet MS"/>
          <w:sz w:val="22"/>
          <w:szCs w:val="22"/>
        </w:rPr>
        <w:t xml:space="preserve">. </w:t>
      </w:r>
      <w:r w:rsidR="00CD0BED">
        <w:rPr>
          <w:rFonts w:ascii="Trebuchet MS" w:hAnsi="Trebuchet MS"/>
          <w:sz w:val="22"/>
          <w:szCs w:val="22"/>
        </w:rPr>
        <w:t>C</w:t>
      </w:r>
      <w:r w:rsidR="006A537A">
        <w:rPr>
          <w:rFonts w:ascii="Trebuchet MS" w:hAnsi="Trebuchet MS"/>
          <w:sz w:val="22"/>
          <w:szCs w:val="22"/>
        </w:rPr>
        <w:t>asey</w:t>
      </w:r>
      <w:r w:rsidRPr="000D36DA">
        <w:rPr>
          <w:rFonts w:ascii="Trebuchet MS" w:hAnsi="Trebuchet MS"/>
          <w:sz w:val="22"/>
          <w:szCs w:val="22"/>
        </w:rPr>
        <w:t>:</w:t>
      </w:r>
    </w:p>
    <w:p w14:paraId="6E6B182A" w14:textId="77777777" w:rsidR="009A2BEA" w:rsidRPr="000D36DA" w:rsidRDefault="009A2BEA">
      <w:pPr>
        <w:jc w:val="both"/>
        <w:rPr>
          <w:rFonts w:ascii="Trebuchet MS" w:hAnsi="Trebuchet MS"/>
          <w:sz w:val="22"/>
          <w:szCs w:val="22"/>
          <w:highlight w:val="yellow"/>
        </w:rPr>
      </w:pPr>
    </w:p>
    <w:p w14:paraId="1D8AEDA9" w14:textId="77777777" w:rsidR="009A2BEA" w:rsidRPr="000D36DA" w:rsidRDefault="009A2BEA">
      <w:pPr>
        <w:jc w:val="both"/>
        <w:rPr>
          <w:rFonts w:ascii="Trebuchet MS" w:hAnsi="Trebuchet MS"/>
          <w:sz w:val="22"/>
          <w:szCs w:val="22"/>
          <w:highlight w:val="yellow"/>
        </w:rPr>
      </w:pPr>
    </w:p>
    <w:p w14:paraId="75CC1D2B" w14:textId="401101BC" w:rsidR="009A2BEA" w:rsidRDefault="00D3103D" w:rsidP="004A20AF">
      <w:pPr>
        <w:spacing w:line="480" w:lineRule="auto"/>
        <w:jc w:val="both"/>
        <w:rPr>
          <w:rFonts w:ascii="Trebuchet MS" w:hAnsi="Trebuchet MS"/>
          <w:sz w:val="22"/>
          <w:szCs w:val="22"/>
        </w:rPr>
      </w:pPr>
      <w:r w:rsidRPr="000D36DA">
        <w:rPr>
          <w:rFonts w:ascii="Trebuchet MS" w:hAnsi="Trebuchet MS"/>
          <w:sz w:val="22"/>
          <w:szCs w:val="22"/>
        </w:rPr>
        <w:t>We have performed an analysis related to the reasonableness and feasibility of the financial projections (the “Projections”)</w:t>
      </w:r>
      <w:r w:rsidR="006A44BA">
        <w:rPr>
          <w:rStyle w:val="FootnoteReference"/>
          <w:rFonts w:ascii="Trebuchet MS" w:hAnsi="Trebuchet MS"/>
          <w:sz w:val="22"/>
          <w:szCs w:val="22"/>
        </w:rPr>
        <w:footnoteReference w:id="1"/>
      </w:r>
      <w:r w:rsidR="00331462">
        <w:rPr>
          <w:rFonts w:ascii="Trebuchet MS" w:hAnsi="Trebuchet MS"/>
          <w:sz w:val="22"/>
          <w:szCs w:val="22"/>
        </w:rPr>
        <w:t xml:space="preserve"> </w:t>
      </w:r>
      <w:r w:rsidRPr="000D36DA">
        <w:rPr>
          <w:rFonts w:ascii="Trebuchet MS" w:hAnsi="Trebuchet MS"/>
          <w:sz w:val="22"/>
          <w:szCs w:val="22"/>
        </w:rPr>
        <w:t>of</w:t>
      </w:r>
      <w:r w:rsidR="00331462">
        <w:rPr>
          <w:rFonts w:ascii="Trebuchet MS" w:hAnsi="Trebuchet MS"/>
          <w:sz w:val="22"/>
          <w:szCs w:val="22"/>
        </w:rPr>
        <w:t xml:space="preserve"> </w:t>
      </w:r>
      <w:r w:rsidR="00331462" w:rsidRPr="00331462">
        <w:rPr>
          <w:rFonts w:ascii="Trebuchet MS" w:hAnsi="Trebuchet MS"/>
          <w:sz w:val="22"/>
          <w:szCs w:val="22"/>
        </w:rPr>
        <w:t>Children’s</w:t>
      </w:r>
      <w:r w:rsidR="00331462">
        <w:rPr>
          <w:rFonts w:ascii="Trebuchet MS" w:hAnsi="Trebuchet MS"/>
          <w:sz w:val="22"/>
          <w:szCs w:val="22"/>
        </w:rPr>
        <w:t xml:space="preserve"> </w:t>
      </w:r>
      <w:r w:rsidR="00331462" w:rsidRPr="00331462">
        <w:rPr>
          <w:rFonts w:ascii="Trebuchet MS" w:hAnsi="Trebuchet MS"/>
          <w:sz w:val="22"/>
          <w:szCs w:val="22"/>
        </w:rPr>
        <w:t>Medical Center Corporation</w:t>
      </w:r>
      <w:r w:rsidRPr="000D36DA">
        <w:rPr>
          <w:rFonts w:ascii="Trebuchet MS" w:hAnsi="Trebuchet MS"/>
          <w:sz w:val="22"/>
          <w:szCs w:val="22"/>
        </w:rPr>
        <w:t xml:space="preserve"> (</w:t>
      </w:r>
      <w:r w:rsidR="00D25C0D" w:rsidRPr="000D36DA">
        <w:rPr>
          <w:rFonts w:ascii="Trebuchet MS" w:hAnsi="Trebuchet MS"/>
          <w:sz w:val="22"/>
          <w:szCs w:val="22"/>
        </w:rPr>
        <w:t>“</w:t>
      </w:r>
      <w:r w:rsidR="00331462" w:rsidRPr="00331462">
        <w:rPr>
          <w:rFonts w:ascii="Trebuchet MS" w:hAnsi="Trebuchet MS"/>
          <w:sz w:val="22"/>
          <w:szCs w:val="22"/>
        </w:rPr>
        <w:t>Children’s Medical Center</w:t>
      </w:r>
      <w:r w:rsidR="00D25C0D" w:rsidRPr="000D36DA">
        <w:rPr>
          <w:rFonts w:ascii="Trebuchet MS" w:hAnsi="Trebuchet MS"/>
          <w:sz w:val="22"/>
          <w:szCs w:val="22"/>
        </w:rPr>
        <w:t xml:space="preserve">”, </w:t>
      </w:r>
      <w:r w:rsidRPr="000D36DA">
        <w:rPr>
          <w:rFonts w:ascii="Trebuchet MS" w:hAnsi="Trebuchet MS"/>
          <w:sz w:val="22"/>
          <w:szCs w:val="22"/>
        </w:rPr>
        <w:t>“</w:t>
      </w:r>
      <w:r w:rsidR="007A4155">
        <w:rPr>
          <w:rFonts w:ascii="Trebuchet MS" w:hAnsi="Trebuchet MS"/>
          <w:sz w:val="22"/>
          <w:szCs w:val="22"/>
        </w:rPr>
        <w:t>CMCCC</w:t>
      </w:r>
      <w:r w:rsidRPr="000D36DA">
        <w:rPr>
          <w:rFonts w:ascii="Trebuchet MS" w:hAnsi="Trebuchet MS"/>
          <w:sz w:val="22"/>
          <w:szCs w:val="22"/>
        </w:rPr>
        <w:t xml:space="preserve">” or the </w:t>
      </w:r>
      <w:r w:rsidR="00287E8A">
        <w:rPr>
          <w:rFonts w:ascii="Trebuchet MS" w:hAnsi="Trebuchet MS"/>
          <w:sz w:val="22"/>
          <w:szCs w:val="22"/>
        </w:rPr>
        <w:t>“</w:t>
      </w:r>
      <w:r w:rsidRPr="000D36DA">
        <w:rPr>
          <w:rFonts w:ascii="Trebuchet MS" w:hAnsi="Trebuchet MS"/>
          <w:sz w:val="22"/>
          <w:szCs w:val="22"/>
        </w:rPr>
        <w:t>Applicant”)</w:t>
      </w:r>
      <w:r w:rsidR="00F93F12">
        <w:rPr>
          <w:rFonts w:ascii="Trebuchet MS" w:hAnsi="Trebuchet MS"/>
          <w:sz w:val="22"/>
          <w:szCs w:val="22"/>
        </w:rPr>
        <w:t xml:space="preserve"> </w:t>
      </w:r>
      <w:r w:rsidRPr="000D36DA">
        <w:rPr>
          <w:rFonts w:ascii="Trebuchet MS" w:hAnsi="Trebuchet MS"/>
          <w:sz w:val="22"/>
          <w:szCs w:val="22"/>
        </w:rPr>
        <w:t xml:space="preserve">related to </w:t>
      </w:r>
      <w:r w:rsidR="006A44BA" w:rsidRPr="006A44BA">
        <w:rPr>
          <w:rFonts w:ascii="Trebuchet MS" w:hAnsi="Trebuchet MS"/>
          <w:sz w:val="22"/>
          <w:szCs w:val="22"/>
        </w:rPr>
        <w:t xml:space="preserve">its Determination of Need (“DON”) filing which will include the proposed conservation projects </w:t>
      </w:r>
      <w:r w:rsidR="006A44BA" w:rsidRPr="00AB7E9D">
        <w:rPr>
          <w:rFonts w:ascii="Trebuchet MS" w:hAnsi="Trebuchet MS"/>
          <w:sz w:val="22"/>
          <w:szCs w:val="22"/>
        </w:rPr>
        <w:t>(the “Proposed Projects”), described further below</w:t>
      </w:r>
      <w:r w:rsidR="00D93ABC">
        <w:rPr>
          <w:rFonts w:ascii="Trebuchet MS" w:hAnsi="Trebuchet MS"/>
          <w:sz w:val="22"/>
          <w:szCs w:val="22"/>
        </w:rPr>
        <w:t>.</w:t>
      </w:r>
      <w:r w:rsidR="00166607">
        <w:rPr>
          <w:rFonts w:ascii="Trebuchet MS" w:hAnsi="Trebuchet MS"/>
          <w:sz w:val="22"/>
          <w:szCs w:val="22"/>
        </w:rPr>
        <w:t xml:space="preserve"> </w:t>
      </w:r>
      <w:r w:rsidR="00DB521B" w:rsidRPr="000D36DA">
        <w:rPr>
          <w:rFonts w:ascii="Trebuchet MS" w:hAnsi="Trebuchet MS"/>
          <w:sz w:val="22"/>
          <w:szCs w:val="22"/>
        </w:rPr>
        <w:t xml:space="preserve">This report details our analysis and findings with regard to the reasonableness of assumptions used in the preparation of the Projections and feasibility of the projected financial results prepared by the management of </w:t>
      </w:r>
      <w:r w:rsidR="00DB521B">
        <w:rPr>
          <w:rFonts w:ascii="Trebuchet MS" w:hAnsi="Trebuchet MS"/>
          <w:sz w:val="22"/>
          <w:szCs w:val="22"/>
        </w:rPr>
        <w:t>CMCC</w:t>
      </w:r>
      <w:r w:rsidR="00DB521B" w:rsidRPr="000D36DA">
        <w:rPr>
          <w:rFonts w:ascii="Trebuchet MS" w:hAnsi="Trebuchet MS"/>
          <w:sz w:val="22"/>
          <w:szCs w:val="22"/>
        </w:rPr>
        <w:t xml:space="preserve"> (“Management”). This report is to be used by</w:t>
      </w:r>
      <w:r w:rsidR="00DB521B">
        <w:rPr>
          <w:rFonts w:ascii="Trebuchet MS" w:hAnsi="Trebuchet MS"/>
          <w:sz w:val="22"/>
          <w:szCs w:val="22"/>
        </w:rPr>
        <w:t xml:space="preserve"> CMCC</w:t>
      </w:r>
      <w:r w:rsidR="00DB521B" w:rsidRPr="000D36DA">
        <w:rPr>
          <w:rFonts w:ascii="Trebuchet MS" w:hAnsi="Trebuchet MS"/>
          <w:sz w:val="22"/>
          <w:szCs w:val="22"/>
        </w:rPr>
        <w:t xml:space="preserve"> in connection with its </w:t>
      </w:r>
      <w:proofErr w:type="spellStart"/>
      <w:r w:rsidR="00DB521B" w:rsidRPr="000D36DA">
        <w:rPr>
          <w:rFonts w:ascii="Trebuchet MS" w:hAnsi="Trebuchet MS"/>
          <w:sz w:val="22"/>
          <w:szCs w:val="22"/>
        </w:rPr>
        <w:t>D</w:t>
      </w:r>
      <w:r w:rsidR="00DB521B">
        <w:rPr>
          <w:rFonts w:ascii="Trebuchet MS" w:hAnsi="Trebuchet MS"/>
          <w:sz w:val="22"/>
          <w:szCs w:val="22"/>
        </w:rPr>
        <w:t>o</w:t>
      </w:r>
      <w:r w:rsidR="00DB521B" w:rsidRPr="000D36DA">
        <w:rPr>
          <w:rFonts w:ascii="Trebuchet MS" w:hAnsi="Trebuchet MS"/>
          <w:sz w:val="22"/>
          <w:szCs w:val="22"/>
        </w:rPr>
        <w:t>N</w:t>
      </w:r>
      <w:proofErr w:type="spellEnd"/>
      <w:r w:rsidR="006A44BA">
        <w:rPr>
          <w:rFonts w:ascii="Trebuchet MS" w:hAnsi="Trebuchet MS"/>
          <w:sz w:val="22"/>
          <w:szCs w:val="22"/>
        </w:rPr>
        <w:t xml:space="preserve"> </w:t>
      </w:r>
      <w:r w:rsidR="00DB521B" w:rsidRPr="000D36DA">
        <w:rPr>
          <w:rFonts w:ascii="Trebuchet MS" w:hAnsi="Trebuchet MS"/>
          <w:sz w:val="22"/>
          <w:szCs w:val="22"/>
        </w:rPr>
        <w:t>Application – Factor 4(a) and should not be distributed or relied upon for any other purpose.</w:t>
      </w:r>
    </w:p>
    <w:p w14:paraId="29B48B0C" w14:textId="77777777" w:rsidR="006A44BA" w:rsidRPr="000D36DA" w:rsidRDefault="006A44BA" w:rsidP="004A20AF">
      <w:pPr>
        <w:spacing w:line="480" w:lineRule="auto"/>
        <w:jc w:val="both"/>
        <w:rPr>
          <w:rFonts w:ascii="Trebuchet MS" w:hAnsi="Trebuchet MS"/>
          <w:sz w:val="22"/>
          <w:szCs w:val="22"/>
        </w:rPr>
      </w:pPr>
    </w:p>
    <w:p w14:paraId="271B520D" w14:textId="77777777" w:rsidR="009A2BEA" w:rsidRPr="000D36DA"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lastRenderedPageBreak/>
        <w:t>EXECUTIVE SUMMARY</w:t>
      </w:r>
    </w:p>
    <w:p w14:paraId="5E278B65" w14:textId="77777777" w:rsidR="009A2BEA" w:rsidRPr="000D36DA" w:rsidRDefault="009A2BEA">
      <w:pPr>
        <w:rPr>
          <w:rFonts w:ascii="Trebuchet MS" w:hAnsi="Trebuchet MS"/>
          <w:sz w:val="22"/>
          <w:szCs w:val="22"/>
          <w:highlight w:val="yellow"/>
        </w:rPr>
      </w:pPr>
    </w:p>
    <w:p w14:paraId="149180F5" w14:textId="77777777" w:rsidR="00DB521B" w:rsidRPr="000D36DA" w:rsidRDefault="00DB521B" w:rsidP="00DB521B">
      <w:pPr>
        <w:spacing w:line="480" w:lineRule="auto"/>
        <w:jc w:val="both"/>
        <w:rPr>
          <w:rFonts w:ascii="Trebuchet MS" w:hAnsi="Trebuchet MS"/>
          <w:sz w:val="22"/>
          <w:szCs w:val="22"/>
        </w:rPr>
      </w:pPr>
      <w:r w:rsidRPr="000D36DA">
        <w:rPr>
          <w:rFonts w:ascii="Trebuchet MS" w:hAnsi="Trebuchet MS"/>
          <w:sz w:val="22"/>
          <w:szCs w:val="22"/>
        </w:rPr>
        <w:t xml:space="preserve">The scope of our review was limited to an analysis of the consolidated </w:t>
      </w:r>
      <w:r w:rsidRPr="00331462">
        <w:rPr>
          <w:rFonts w:ascii="Trebuchet MS" w:hAnsi="Trebuchet MS"/>
          <w:sz w:val="22"/>
          <w:szCs w:val="22"/>
        </w:rPr>
        <w:t>Children’s Medical Center Corporation</w:t>
      </w:r>
      <w:r>
        <w:rPr>
          <w:rFonts w:ascii="Trebuchet MS" w:hAnsi="Trebuchet MS"/>
          <w:sz w:val="22"/>
          <w:szCs w:val="22"/>
        </w:rPr>
        <w:t>’s</w:t>
      </w:r>
      <w:r w:rsidRPr="00331462">
        <w:rPr>
          <w:rFonts w:ascii="Trebuchet MS" w:hAnsi="Trebuchet MS"/>
          <w:sz w:val="22"/>
          <w:szCs w:val="22"/>
        </w:rPr>
        <w:t xml:space="preserve"> eleven</w:t>
      </w:r>
      <w:r w:rsidRPr="000D36DA">
        <w:rPr>
          <w:rFonts w:ascii="Trebuchet MS" w:hAnsi="Trebuchet MS"/>
          <w:sz w:val="22"/>
          <w:szCs w:val="22"/>
        </w:rPr>
        <w:t xml:space="preserve">-year financial projections for the fiscal years ending </w:t>
      </w:r>
      <w:r>
        <w:rPr>
          <w:rFonts w:ascii="Trebuchet MS" w:hAnsi="Trebuchet MS"/>
          <w:sz w:val="22"/>
          <w:szCs w:val="22"/>
        </w:rPr>
        <w:t>September 30</w:t>
      </w:r>
      <w:r w:rsidRPr="000D36DA">
        <w:rPr>
          <w:rFonts w:ascii="Trebuchet MS" w:hAnsi="Trebuchet MS"/>
          <w:sz w:val="22"/>
          <w:szCs w:val="22"/>
        </w:rPr>
        <w:t xml:space="preserve">, </w:t>
      </w:r>
      <w:r w:rsidRPr="00AB4425">
        <w:rPr>
          <w:rFonts w:ascii="Trebuchet MS" w:hAnsi="Trebuchet MS"/>
          <w:sz w:val="22"/>
          <w:szCs w:val="22"/>
        </w:rPr>
        <w:t>202</w:t>
      </w:r>
      <w:r>
        <w:rPr>
          <w:rFonts w:ascii="Trebuchet MS" w:hAnsi="Trebuchet MS"/>
          <w:sz w:val="22"/>
          <w:szCs w:val="22"/>
        </w:rPr>
        <w:t>3</w:t>
      </w:r>
      <w:r w:rsidRPr="000D36DA">
        <w:rPr>
          <w:rFonts w:ascii="Trebuchet MS" w:hAnsi="Trebuchet MS"/>
          <w:sz w:val="22"/>
          <w:szCs w:val="22"/>
        </w:rPr>
        <w:t>, through 20</w:t>
      </w:r>
      <w:r>
        <w:rPr>
          <w:rFonts w:ascii="Trebuchet MS" w:hAnsi="Trebuchet MS"/>
          <w:sz w:val="22"/>
          <w:szCs w:val="22"/>
        </w:rPr>
        <w:t>33</w:t>
      </w:r>
      <w:r w:rsidRPr="000D36DA">
        <w:rPr>
          <w:rFonts w:ascii="Trebuchet MS" w:hAnsi="Trebuchet MS"/>
          <w:sz w:val="22"/>
          <w:szCs w:val="22"/>
        </w:rPr>
        <w:t xml:space="preserve"> prepared by Management and the supporting documentation to render an opinion as to the reasonableness of assumptions used in the preparation and feasibility of the Projections.</w:t>
      </w:r>
      <w:r>
        <w:rPr>
          <w:rFonts w:ascii="Trebuchet MS" w:hAnsi="Trebuchet MS"/>
          <w:sz w:val="22"/>
          <w:szCs w:val="22"/>
        </w:rPr>
        <w:t xml:space="preserve"> The Applicant</w:t>
      </w:r>
      <w:r w:rsidRPr="00D5151F">
        <w:rPr>
          <w:rFonts w:ascii="Trebuchet MS" w:hAnsi="Trebuchet MS"/>
          <w:sz w:val="22"/>
          <w:szCs w:val="22"/>
        </w:rPr>
        <w:t xml:space="preserve">’s fiscal year </w:t>
      </w:r>
      <w:r>
        <w:rPr>
          <w:rFonts w:ascii="Trebuchet MS" w:hAnsi="Trebuchet MS"/>
          <w:sz w:val="22"/>
          <w:szCs w:val="22"/>
        </w:rPr>
        <w:t>is</w:t>
      </w:r>
      <w:r w:rsidRPr="00D5151F">
        <w:rPr>
          <w:rFonts w:ascii="Trebuchet MS" w:hAnsi="Trebuchet MS"/>
          <w:sz w:val="22"/>
          <w:szCs w:val="22"/>
        </w:rPr>
        <w:t xml:space="preserve"> defined as</w:t>
      </w:r>
      <w:r>
        <w:rPr>
          <w:rFonts w:ascii="Trebuchet MS" w:hAnsi="Trebuchet MS"/>
          <w:sz w:val="22"/>
          <w:szCs w:val="22"/>
        </w:rPr>
        <w:t xml:space="preserve"> October 1</w:t>
      </w:r>
      <w:r w:rsidRPr="00D5151F">
        <w:rPr>
          <w:rFonts w:ascii="Trebuchet MS" w:hAnsi="Trebuchet MS"/>
          <w:sz w:val="22"/>
          <w:szCs w:val="22"/>
        </w:rPr>
        <w:t xml:space="preserve"> – </w:t>
      </w:r>
      <w:r>
        <w:rPr>
          <w:rFonts w:ascii="Trebuchet MS" w:hAnsi="Trebuchet MS"/>
          <w:sz w:val="22"/>
          <w:szCs w:val="22"/>
        </w:rPr>
        <w:t>September 30</w:t>
      </w:r>
      <w:r w:rsidRPr="00D5151F">
        <w:rPr>
          <w:rFonts w:ascii="Trebuchet MS" w:hAnsi="Trebuchet MS"/>
          <w:sz w:val="22"/>
          <w:szCs w:val="22"/>
        </w:rPr>
        <w:t xml:space="preserve"> throughout the entirety of this memo. Based</w:t>
      </w:r>
      <w:r w:rsidRPr="000D36DA">
        <w:rPr>
          <w:rFonts w:ascii="Trebuchet MS" w:hAnsi="Trebuchet MS"/>
          <w:sz w:val="22"/>
          <w:szCs w:val="22"/>
        </w:rPr>
        <w:t xml:space="preserve"> upon our review of the relevant documents and analysis of the Projections, we determined </w:t>
      </w:r>
      <w:r>
        <w:rPr>
          <w:rFonts w:ascii="Trebuchet MS" w:hAnsi="Trebuchet MS"/>
          <w:sz w:val="22"/>
          <w:szCs w:val="22"/>
        </w:rPr>
        <w:t xml:space="preserve">that </w:t>
      </w:r>
      <w:r w:rsidRPr="000D36DA">
        <w:rPr>
          <w:rFonts w:ascii="Trebuchet MS" w:hAnsi="Trebuchet MS"/>
          <w:sz w:val="22"/>
          <w:szCs w:val="22"/>
        </w:rPr>
        <w:t xml:space="preserve">the anticipated operating </w:t>
      </w:r>
      <w:r w:rsidRPr="007A4155">
        <w:rPr>
          <w:rFonts w:ascii="Trebuchet MS" w:hAnsi="Trebuchet MS"/>
          <w:sz w:val="22"/>
          <w:szCs w:val="22"/>
        </w:rPr>
        <w:t>EBIDA</w:t>
      </w:r>
      <w:r w:rsidRPr="007A4155">
        <w:rPr>
          <w:rStyle w:val="FootnoteReference"/>
          <w:rFonts w:ascii="Trebuchet MS" w:hAnsi="Trebuchet MS"/>
          <w:sz w:val="22"/>
          <w:szCs w:val="22"/>
        </w:rPr>
        <w:footnoteReference w:id="2"/>
      </w:r>
      <w:r>
        <w:rPr>
          <w:rFonts w:ascii="Trebuchet MS" w:hAnsi="Trebuchet MS"/>
          <w:sz w:val="22"/>
          <w:szCs w:val="22"/>
        </w:rPr>
        <w:t xml:space="preserve"> </w:t>
      </w:r>
      <w:r w:rsidRPr="000D36DA">
        <w:rPr>
          <w:rFonts w:ascii="Trebuchet MS" w:hAnsi="Trebuchet MS"/>
          <w:sz w:val="22"/>
          <w:szCs w:val="22"/>
        </w:rPr>
        <w:t>surplus is a reasonable expectation and</w:t>
      </w:r>
      <w:r>
        <w:rPr>
          <w:rFonts w:ascii="Trebuchet MS" w:hAnsi="Trebuchet MS"/>
          <w:sz w:val="22"/>
          <w:szCs w:val="22"/>
        </w:rPr>
        <w:t xml:space="preserve"> 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Applicant’s patient panel or result in a liquidation of </w:t>
      </w:r>
      <w:r>
        <w:rPr>
          <w:rFonts w:ascii="Trebuchet MS" w:hAnsi="Trebuchet MS"/>
          <w:sz w:val="22"/>
          <w:szCs w:val="22"/>
        </w:rPr>
        <w:t>CMCC</w:t>
      </w:r>
      <w:r w:rsidRPr="000D36DA">
        <w:rPr>
          <w:rFonts w:ascii="Trebuchet MS" w:hAnsi="Trebuchet MS"/>
          <w:sz w:val="22"/>
          <w:szCs w:val="22"/>
        </w:rPr>
        <w:t xml:space="preserve">’s assets. A detailed explanation </w:t>
      </w:r>
      <w:r>
        <w:rPr>
          <w:rFonts w:ascii="Trebuchet MS" w:hAnsi="Trebuchet MS"/>
          <w:sz w:val="22"/>
          <w:szCs w:val="22"/>
        </w:rPr>
        <w:t xml:space="preserve">regarding </w:t>
      </w:r>
      <w:r w:rsidRPr="000D36DA">
        <w:rPr>
          <w:rFonts w:ascii="Trebuchet MS" w:hAnsi="Trebuchet MS"/>
          <w:sz w:val="22"/>
          <w:szCs w:val="22"/>
        </w:rPr>
        <w:t>the basis for our determination of reasonableness and feasibility is contained within this report.</w:t>
      </w:r>
    </w:p>
    <w:p w14:paraId="5B840DBA" w14:textId="77777777" w:rsidR="00B423AF" w:rsidRPr="000D36DA" w:rsidRDefault="00B423AF">
      <w:pPr>
        <w:spacing w:line="480" w:lineRule="auto"/>
        <w:jc w:val="both"/>
        <w:rPr>
          <w:rFonts w:ascii="Trebuchet MS" w:hAnsi="Trebuchet MS"/>
          <w:sz w:val="22"/>
          <w:szCs w:val="22"/>
        </w:rPr>
      </w:pPr>
    </w:p>
    <w:p w14:paraId="43FDEB92" w14:textId="77777777" w:rsidR="00EF5377" w:rsidRPr="000D36DA"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t>RELEVANT BACKGROUND INFORMATION</w:t>
      </w:r>
    </w:p>
    <w:p w14:paraId="7F43288F" w14:textId="77777777" w:rsidR="00EF5377" w:rsidRPr="000D36DA" w:rsidRDefault="00EF5377" w:rsidP="00A22182">
      <w:pPr>
        <w:jc w:val="both"/>
        <w:rPr>
          <w:rFonts w:ascii="Trebuchet MS" w:hAnsi="Trebuchet MS"/>
          <w:sz w:val="22"/>
          <w:szCs w:val="22"/>
          <w:highlight w:val="yellow"/>
        </w:rPr>
      </w:pPr>
    </w:p>
    <w:p w14:paraId="4533CCBA" w14:textId="3FEEB45E" w:rsidR="00B97440" w:rsidRDefault="00BD7120" w:rsidP="0020457C">
      <w:pPr>
        <w:spacing w:line="480" w:lineRule="auto"/>
        <w:jc w:val="both"/>
        <w:rPr>
          <w:rFonts w:ascii="Trebuchet MS" w:hAnsi="Trebuchet MS"/>
          <w:sz w:val="22"/>
          <w:szCs w:val="22"/>
        </w:rPr>
      </w:pPr>
      <w:r w:rsidRPr="00BD7120">
        <w:rPr>
          <w:rFonts w:ascii="Trebuchet MS" w:hAnsi="Trebuchet MS"/>
          <w:sz w:val="22"/>
          <w:szCs w:val="22"/>
        </w:rPr>
        <w:t>Children’s Medical Center</w:t>
      </w:r>
      <w:r w:rsidR="007A4155" w:rsidRPr="007A4155">
        <w:rPr>
          <w:rFonts w:ascii="Trebuchet MS" w:hAnsi="Trebuchet MS"/>
          <w:sz w:val="22"/>
          <w:szCs w:val="22"/>
        </w:rPr>
        <w:t>, d/b/a Boston Children’s Hospital, includes (1) Children’s Hospital (the “Hospital”), which engages in pediatric patient care, research, training, and community service, (2) 15 tax-exempt physician foundations (the “Foundations”), which are organized for charitable, scientific, and educational purposes and operate for the benefit of the Hospital and Harvard Medical School</w:t>
      </w:r>
      <w:r>
        <w:rPr>
          <w:rFonts w:ascii="Trebuchet MS" w:hAnsi="Trebuchet MS"/>
          <w:sz w:val="22"/>
          <w:szCs w:val="22"/>
        </w:rPr>
        <w:t xml:space="preserve"> by providing medical, education, and health care services primarily to patients at the Hospital and at the other health care providers at </w:t>
      </w:r>
      <w:r>
        <w:rPr>
          <w:rFonts w:ascii="Trebuchet MS" w:hAnsi="Trebuchet MS"/>
          <w:sz w:val="22"/>
          <w:szCs w:val="22"/>
        </w:rPr>
        <w:lastRenderedPageBreak/>
        <w:t>satellite locations</w:t>
      </w:r>
      <w:r w:rsidR="007A4155" w:rsidRPr="007A4155">
        <w:rPr>
          <w:rFonts w:ascii="Trebuchet MS" w:hAnsi="Trebuchet MS"/>
          <w:sz w:val="22"/>
          <w:szCs w:val="22"/>
        </w:rPr>
        <w:t xml:space="preserve">, (3) the Physicians’ Organization at Children’s Hospital, Inc. (the “PO”), which provides coordination and general oversight of the clinical and medicine practices and related health care services of the Foundations, (4) CHB Properties, Inc., which owns and operates real property and distributes the net income of such property to </w:t>
      </w:r>
      <w:r>
        <w:rPr>
          <w:rFonts w:ascii="Trebuchet MS" w:hAnsi="Trebuchet MS"/>
          <w:sz w:val="22"/>
          <w:szCs w:val="22"/>
        </w:rPr>
        <w:t>CMCC</w:t>
      </w:r>
      <w:r w:rsidR="007A4155" w:rsidRPr="007A4155">
        <w:rPr>
          <w:rFonts w:ascii="Trebuchet MS" w:hAnsi="Trebuchet MS"/>
          <w:sz w:val="22"/>
          <w:szCs w:val="22"/>
        </w:rPr>
        <w:t>, (5) Longwood Research Institute, Inc., which holds real property for the benefit of the Hospital to further its research mission, (6) Boston Children’s Health Physicians, LLP, a fully integrated health care community that provides pediatric inpatient and outpatient care to patients in New York, Connecticut, and New Jersey, (7) Blood Research Institute, Inc.</w:t>
      </w:r>
      <w:r>
        <w:rPr>
          <w:rFonts w:ascii="Trebuchet MS" w:hAnsi="Trebuchet MS"/>
          <w:sz w:val="22"/>
          <w:szCs w:val="22"/>
        </w:rPr>
        <w:t xml:space="preserve">, </w:t>
      </w:r>
      <w:r w:rsidR="007A4155" w:rsidRPr="007A4155">
        <w:rPr>
          <w:rFonts w:ascii="Trebuchet MS" w:hAnsi="Trebuchet MS"/>
          <w:sz w:val="22"/>
          <w:szCs w:val="22"/>
        </w:rPr>
        <w:t>(8) Boston Children’s Health International, LLC</w:t>
      </w:r>
      <w:r>
        <w:rPr>
          <w:rFonts w:ascii="Trebuchet MS" w:hAnsi="Trebuchet MS"/>
          <w:sz w:val="22"/>
          <w:szCs w:val="22"/>
        </w:rPr>
        <w:t xml:space="preserve">, and </w:t>
      </w:r>
      <w:r w:rsidRPr="007A4155">
        <w:rPr>
          <w:rFonts w:ascii="Trebuchet MS" w:hAnsi="Trebuchet MS"/>
          <w:sz w:val="22"/>
          <w:szCs w:val="22"/>
        </w:rPr>
        <w:t>(</w:t>
      </w:r>
      <w:r>
        <w:rPr>
          <w:rFonts w:ascii="Trebuchet MS" w:hAnsi="Trebuchet MS"/>
          <w:sz w:val="22"/>
          <w:szCs w:val="22"/>
        </w:rPr>
        <w:t>9</w:t>
      </w:r>
      <w:r w:rsidRPr="007A4155">
        <w:rPr>
          <w:rFonts w:ascii="Trebuchet MS" w:hAnsi="Trebuchet MS"/>
          <w:sz w:val="22"/>
          <w:szCs w:val="22"/>
        </w:rPr>
        <w:t xml:space="preserve">) Boston Children’s Health </w:t>
      </w:r>
      <w:r>
        <w:rPr>
          <w:rFonts w:ascii="Trebuchet MS" w:hAnsi="Trebuchet MS"/>
          <w:sz w:val="22"/>
          <w:szCs w:val="22"/>
        </w:rPr>
        <w:t>Solutions RX</w:t>
      </w:r>
      <w:r w:rsidRPr="007A4155">
        <w:rPr>
          <w:rFonts w:ascii="Trebuchet MS" w:hAnsi="Trebuchet MS"/>
          <w:sz w:val="22"/>
          <w:szCs w:val="22"/>
        </w:rPr>
        <w:t xml:space="preserve"> LLC</w:t>
      </w:r>
      <w:r w:rsidR="007A4155" w:rsidRPr="007A4155">
        <w:rPr>
          <w:rFonts w:ascii="Trebuchet MS" w:hAnsi="Trebuchet MS"/>
          <w:sz w:val="22"/>
          <w:szCs w:val="22"/>
        </w:rPr>
        <w:t>.</w:t>
      </w:r>
      <w:r w:rsidR="00D652F1">
        <w:rPr>
          <w:rFonts w:ascii="Trebuchet MS" w:hAnsi="Trebuchet MS"/>
          <w:sz w:val="22"/>
          <w:szCs w:val="22"/>
        </w:rPr>
        <w:t xml:space="preserve"> </w:t>
      </w:r>
    </w:p>
    <w:p w14:paraId="27FF0124" w14:textId="77777777" w:rsidR="00BD7120" w:rsidRDefault="00BD7120" w:rsidP="005C4CDA">
      <w:pPr>
        <w:spacing w:line="480" w:lineRule="auto"/>
        <w:jc w:val="both"/>
        <w:rPr>
          <w:rFonts w:ascii="Trebuchet MS" w:hAnsi="Trebuchet MS"/>
          <w:sz w:val="22"/>
          <w:szCs w:val="22"/>
        </w:rPr>
      </w:pPr>
    </w:p>
    <w:p w14:paraId="43C10B3C" w14:textId="5CD88A2B" w:rsidR="0097269D" w:rsidRDefault="00C658C2" w:rsidP="00C658C2">
      <w:pPr>
        <w:spacing w:line="480" w:lineRule="auto"/>
        <w:jc w:val="both"/>
        <w:rPr>
          <w:rFonts w:ascii="Trebuchet MS" w:hAnsi="Trebuchet MS"/>
          <w:sz w:val="22"/>
          <w:szCs w:val="22"/>
        </w:rPr>
      </w:pPr>
      <w:r w:rsidRPr="00C658C2">
        <w:rPr>
          <w:rFonts w:ascii="Trebuchet MS" w:hAnsi="Trebuchet MS"/>
          <w:sz w:val="22"/>
          <w:szCs w:val="22"/>
        </w:rPr>
        <w:t xml:space="preserve">The Applicant proposes to complete a series of conservation / renovation projects to its main campus at Longwood and satellite locations in </w:t>
      </w:r>
      <w:r w:rsidR="009E253F">
        <w:rPr>
          <w:rFonts w:ascii="Trebuchet MS" w:hAnsi="Trebuchet MS"/>
          <w:sz w:val="22"/>
          <w:szCs w:val="22"/>
        </w:rPr>
        <w:t xml:space="preserve">Lexington, Peabody, North Dartmouth, and Waltham. </w:t>
      </w:r>
      <w:r w:rsidRPr="00C658C2">
        <w:rPr>
          <w:rFonts w:ascii="Trebuchet MS" w:hAnsi="Trebuchet MS"/>
          <w:sz w:val="22"/>
          <w:szCs w:val="22"/>
        </w:rPr>
        <w:t>The Longwood campus includes inpatient, outpatient, research, and administrative space and serves approximately 21,669 discharges and 387,000 outpatient visits annually.  The Waltham campus includes surgical inpatient beds supported by six operating rooms and additional outpatient specialty services</w:t>
      </w:r>
      <w:r>
        <w:rPr>
          <w:rFonts w:ascii="Trebuchet MS" w:hAnsi="Trebuchet MS"/>
          <w:sz w:val="22"/>
          <w:szCs w:val="22"/>
        </w:rPr>
        <w:t xml:space="preserve"> and </w:t>
      </w:r>
      <w:r w:rsidRPr="00C658C2">
        <w:rPr>
          <w:rFonts w:ascii="Trebuchet MS" w:hAnsi="Trebuchet MS"/>
          <w:sz w:val="22"/>
          <w:szCs w:val="22"/>
        </w:rPr>
        <w:t>serves approximately 843 discharges and 129,000 outpatient visits</w:t>
      </w:r>
      <w:r>
        <w:rPr>
          <w:rFonts w:ascii="Trebuchet MS" w:hAnsi="Trebuchet MS"/>
          <w:sz w:val="22"/>
          <w:szCs w:val="22"/>
        </w:rPr>
        <w:t xml:space="preserve"> </w:t>
      </w:r>
      <w:r w:rsidRPr="00C658C2">
        <w:rPr>
          <w:rFonts w:ascii="Trebuchet MS" w:hAnsi="Trebuchet MS"/>
          <w:sz w:val="22"/>
          <w:szCs w:val="22"/>
        </w:rPr>
        <w:t>annually.</w:t>
      </w:r>
      <w:r>
        <w:rPr>
          <w:rFonts w:ascii="Trebuchet MS" w:hAnsi="Trebuchet MS"/>
          <w:sz w:val="22"/>
          <w:szCs w:val="22"/>
        </w:rPr>
        <w:t xml:space="preserve"> </w:t>
      </w:r>
      <w:r w:rsidRPr="00C658C2">
        <w:rPr>
          <w:rFonts w:ascii="Trebuchet MS" w:hAnsi="Trebuchet MS"/>
          <w:sz w:val="22"/>
          <w:szCs w:val="22"/>
        </w:rPr>
        <w:t>The Lexington and Peabody campuses include outpatient specialty services and annually serves approximately 23,200 and 35,600 outpatient visits, respectively.</w:t>
      </w:r>
      <w:r w:rsidR="0097269D">
        <w:rPr>
          <w:rFonts w:ascii="Trebuchet MS" w:hAnsi="Trebuchet MS"/>
          <w:sz w:val="22"/>
          <w:szCs w:val="22"/>
        </w:rPr>
        <w:t xml:space="preserve"> </w:t>
      </w:r>
      <w:r w:rsidR="0097269D" w:rsidRPr="00C658C2">
        <w:rPr>
          <w:rFonts w:ascii="Trebuchet MS" w:hAnsi="Trebuchet MS"/>
          <w:sz w:val="22"/>
          <w:szCs w:val="22"/>
        </w:rPr>
        <w:t xml:space="preserve">The conservation projects </w:t>
      </w:r>
      <w:r w:rsidR="009E253F">
        <w:rPr>
          <w:rFonts w:ascii="Trebuchet MS" w:hAnsi="Trebuchet MS"/>
          <w:sz w:val="22"/>
          <w:szCs w:val="22"/>
        </w:rPr>
        <w:t xml:space="preserve">include </w:t>
      </w:r>
      <w:r w:rsidR="00796B8E">
        <w:rPr>
          <w:rFonts w:ascii="Trebuchet MS" w:hAnsi="Trebuchet MS"/>
          <w:sz w:val="22"/>
          <w:szCs w:val="22"/>
        </w:rPr>
        <w:t>improvements to the</w:t>
      </w:r>
      <w:r w:rsidR="0097269D">
        <w:rPr>
          <w:rFonts w:ascii="Trebuchet MS" w:hAnsi="Trebuchet MS"/>
          <w:sz w:val="22"/>
          <w:szCs w:val="22"/>
        </w:rPr>
        <w:t xml:space="preserve"> (</w:t>
      </w:r>
      <w:r w:rsidR="0097269D" w:rsidRPr="00C658C2">
        <w:rPr>
          <w:rFonts w:ascii="Trebuchet MS" w:hAnsi="Trebuchet MS"/>
          <w:sz w:val="22"/>
          <w:szCs w:val="22"/>
        </w:rPr>
        <w:t xml:space="preserve">1) </w:t>
      </w:r>
      <w:r w:rsidR="0097269D">
        <w:rPr>
          <w:rFonts w:ascii="Trebuchet MS" w:hAnsi="Trebuchet MS"/>
          <w:sz w:val="22"/>
          <w:szCs w:val="22"/>
        </w:rPr>
        <w:t>sterile processing department (the “SPD)</w:t>
      </w:r>
      <w:r w:rsidR="009E253F">
        <w:rPr>
          <w:rFonts w:ascii="Trebuchet MS" w:hAnsi="Trebuchet MS"/>
          <w:sz w:val="22"/>
          <w:szCs w:val="22"/>
        </w:rPr>
        <w:t xml:space="preserve">, </w:t>
      </w:r>
      <w:r w:rsidR="0097269D">
        <w:rPr>
          <w:rFonts w:ascii="Trebuchet MS" w:hAnsi="Trebuchet MS"/>
          <w:sz w:val="22"/>
          <w:szCs w:val="22"/>
        </w:rPr>
        <w:t xml:space="preserve">(2) </w:t>
      </w:r>
      <w:r w:rsidR="009E253F">
        <w:rPr>
          <w:rFonts w:ascii="Trebuchet MS" w:hAnsi="Trebuchet MS"/>
          <w:sz w:val="22"/>
          <w:szCs w:val="22"/>
        </w:rPr>
        <w:t xml:space="preserve">building restoration, </w:t>
      </w:r>
      <w:r w:rsidR="0097269D">
        <w:rPr>
          <w:rFonts w:ascii="Trebuchet MS" w:hAnsi="Trebuchet MS"/>
          <w:sz w:val="22"/>
          <w:szCs w:val="22"/>
        </w:rPr>
        <w:t xml:space="preserve">(3) </w:t>
      </w:r>
      <w:r w:rsidR="009E253F">
        <w:rPr>
          <w:rFonts w:ascii="Trebuchet MS" w:hAnsi="Trebuchet MS"/>
          <w:sz w:val="22"/>
          <w:szCs w:val="22"/>
        </w:rPr>
        <w:t xml:space="preserve">renovations to the radiology </w:t>
      </w:r>
      <w:r w:rsidR="0097269D">
        <w:rPr>
          <w:rFonts w:ascii="Trebuchet MS" w:hAnsi="Trebuchet MS"/>
          <w:sz w:val="22"/>
          <w:szCs w:val="22"/>
        </w:rPr>
        <w:t>department</w:t>
      </w:r>
      <w:r w:rsidR="009E253F">
        <w:rPr>
          <w:rFonts w:ascii="Trebuchet MS" w:hAnsi="Trebuchet MS"/>
          <w:sz w:val="22"/>
          <w:szCs w:val="22"/>
        </w:rPr>
        <w:t xml:space="preserve">, and </w:t>
      </w:r>
      <w:r w:rsidR="000663C7">
        <w:rPr>
          <w:rFonts w:ascii="Trebuchet MS" w:hAnsi="Trebuchet MS"/>
          <w:sz w:val="22"/>
          <w:szCs w:val="22"/>
        </w:rPr>
        <w:t xml:space="preserve">(4) </w:t>
      </w:r>
      <w:r w:rsidR="009E253F">
        <w:rPr>
          <w:rFonts w:ascii="Trebuchet MS" w:hAnsi="Trebuchet MS"/>
          <w:sz w:val="22"/>
          <w:szCs w:val="22"/>
        </w:rPr>
        <w:t xml:space="preserve">accessibility expansions to the multi-disciplinary integrated outpatient care </w:t>
      </w:r>
      <w:r w:rsidR="0097269D">
        <w:rPr>
          <w:rFonts w:ascii="Trebuchet MS" w:hAnsi="Trebuchet MS"/>
          <w:sz w:val="22"/>
          <w:szCs w:val="22"/>
        </w:rPr>
        <w:t>areas in various locations</w:t>
      </w:r>
      <w:r w:rsidR="009E253F">
        <w:rPr>
          <w:rFonts w:ascii="Trebuchet MS" w:hAnsi="Trebuchet MS"/>
          <w:sz w:val="22"/>
          <w:szCs w:val="22"/>
        </w:rPr>
        <w:t xml:space="preserve">. </w:t>
      </w:r>
    </w:p>
    <w:p w14:paraId="6181D1E3" w14:textId="77777777" w:rsidR="000663C7" w:rsidRDefault="000663C7" w:rsidP="00C66494">
      <w:pPr>
        <w:spacing w:line="480" w:lineRule="auto"/>
        <w:jc w:val="both"/>
        <w:rPr>
          <w:rFonts w:ascii="Trebuchet MS" w:hAnsi="Trebuchet MS"/>
          <w:sz w:val="22"/>
          <w:szCs w:val="22"/>
        </w:rPr>
      </w:pPr>
    </w:p>
    <w:p w14:paraId="3FF6A547" w14:textId="0C52B3A6" w:rsidR="0097269D" w:rsidRDefault="0097269D" w:rsidP="00C66494">
      <w:pPr>
        <w:spacing w:line="480" w:lineRule="auto"/>
        <w:jc w:val="both"/>
        <w:rPr>
          <w:rFonts w:ascii="Trebuchet MS" w:hAnsi="Trebuchet MS"/>
          <w:sz w:val="22"/>
          <w:szCs w:val="22"/>
        </w:rPr>
      </w:pPr>
      <w:r w:rsidRPr="0097269D">
        <w:rPr>
          <w:rFonts w:ascii="Trebuchet MS" w:hAnsi="Trebuchet MS"/>
          <w:sz w:val="22"/>
          <w:szCs w:val="22"/>
        </w:rPr>
        <w:lastRenderedPageBreak/>
        <w:t xml:space="preserve">The </w:t>
      </w:r>
      <w:r w:rsidR="00AC2505">
        <w:rPr>
          <w:rFonts w:ascii="Trebuchet MS" w:hAnsi="Trebuchet MS"/>
          <w:sz w:val="22"/>
          <w:szCs w:val="22"/>
        </w:rPr>
        <w:t xml:space="preserve">sterile processing department </w:t>
      </w:r>
      <w:r w:rsidR="00C66494">
        <w:rPr>
          <w:rFonts w:ascii="Trebuchet MS" w:hAnsi="Trebuchet MS"/>
          <w:sz w:val="22"/>
          <w:szCs w:val="22"/>
        </w:rPr>
        <w:t xml:space="preserve">proposed project </w:t>
      </w:r>
      <w:r w:rsidRPr="0097269D">
        <w:rPr>
          <w:rFonts w:ascii="Trebuchet MS" w:hAnsi="Trebuchet MS"/>
          <w:sz w:val="22"/>
          <w:szCs w:val="22"/>
        </w:rPr>
        <w:t xml:space="preserve">will include </w:t>
      </w:r>
      <w:r w:rsidR="00C66494">
        <w:rPr>
          <w:rFonts w:ascii="Trebuchet MS" w:hAnsi="Trebuchet MS"/>
          <w:sz w:val="22"/>
          <w:szCs w:val="22"/>
        </w:rPr>
        <w:t xml:space="preserve">approximately </w:t>
      </w:r>
      <w:r w:rsidRPr="0097269D">
        <w:rPr>
          <w:rFonts w:ascii="Trebuchet MS" w:hAnsi="Trebuchet MS"/>
          <w:sz w:val="22"/>
          <w:szCs w:val="22"/>
        </w:rPr>
        <w:t xml:space="preserve">2,440 </w:t>
      </w:r>
      <w:r w:rsidR="00C66494" w:rsidRPr="00C66494">
        <w:rPr>
          <w:rFonts w:ascii="Trebuchet MS" w:hAnsi="Trebuchet MS"/>
          <w:sz w:val="22"/>
          <w:szCs w:val="22"/>
        </w:rPr>
        <w:t xml:space="preserve">square feet </w:t>
      </w:r>
      <w:r w:rsidR="00C66494">
        <w:rPr>
          <w:rFonts w:ascii="Trebuchet MS" w:hAnsi="Trebuchet MS"/>
          <w:sz w:val="22"/>
          <w:szCs w:val="22"/>
        </w:rPr>
        <w:t xml:space="preserve">renovation </w:t>
      </w:r>
      <w:r w:rsidRPr="0097269D">
        <w:rPr>
          <w:rFonts w:ascii="Trebuchet MS" w:hAnsi="Trebuchet MS"/>
          <w:sz w:val="22"/>
          <w:szCs w:val="22"/>
        </w:rPr>
        <w:t xml:space="preserve">of existing </w:t>
      </w:r>
      <w:r w:rsidR="00C66494">
        <w:rPr>
          <w:rFonts w:ascii="Trebuchet MS" w:hAnsi="Trebuchet MS"/>
          <w:sz w:val="22"/>
          <w:szCs w:val="22"/>
        </w:rPr>
        <w:t xml:space="preserve">level </w:t>
      </w:r>
      <w:r w:rsidRPr="0097269D">
        <w:rPr>
          <w:rFonts w:ascii="Trebuchet MS" w:hAnsi="Trebuchet MS"/>
          <w:sz w:val="22"/>
          <w:szCs w:val="22"/>
        </w:rPr>
        <w:t xml:space="preserve">2 </w:t>
      </w:r>
      <w:r w:rsidR="00C66494">
        <w:rPr>
          <w:rFonts w:ascii="Trebuchet MS" w:hAnsi="Trebuchet MS"/>
          <w:sz w:val="22"/>
          <w:szCs w:val="22"/>
        </w:rPr>
        <w:t>s</w:t>
      </w:r>
      <w:r w:rsidRPr="0097269D">
        <w:rPr>
          <w:rFonts w:ascii="Trebuchet MS" w:hAnsi="Trebuchet MS"/>
          <w:sz w:val="22"/>
          <w:szCs w:val="22"/>
        </w:rPr>
        <w:t xml:space="preserve">terile </w:t>
      </w:r>
      <w:r w:rsidR="00C66494">
        <w:rPr>
          <w:rFonts w:ascii="Trebuchet MS" w:hAnsi="Trebuchet MS"/>
          <w:sz w:val="22"/>
          <w:szCs w:val="22"/>
        </w:rPr>
        <w:t>p</w:t>
      </w:r>
      <w:r w:rsidRPr="0097269D">
        <w:rPr>
          <w:rFonts w:ascii="Trebuchet MS" w:hAnsi="Trebuchet MS"/>
          <w:sz w:val="22"/>
          <w:szCs w:val="22"/>
        </w:rPr>
        <w:t xml:space="preserve">rocessing </w:t>
      </w:r>
      <w:r w:rsidR="00C66494">
        <w:rPr>
          <w:rFonts w:ascii="Trebuchet MS" w:hAnsi="Trebuchet MS"/>
          <w:sz w:val="22"/>
          <w:szCs w:val="22"/>
        </w:rPr>
        <w:t>d</w:t>
      </w:r>
      <w:r w:rsidRPr="0097269D">
        <w:rPr>
          <w:rFonts w:ascii="Trebuchet MS" w:hAnsi="Trebuchet MS"/>
          <w:sz w:val="22"/>
          <w:szCs w:val="22"/>
        </w:rPr>
        <w:t xml:space="preserve">epartment in Waltham.  The renovation will include the removal of existing SPD equipment including washers, </w:t>
      </w:r>
      <w:r w:rsidR="00C66494" w:rsidRPr="0097269D">
        <w:rPr>
          <w:rFonts w:ascii="Trebuchet MS" w:hAnsi="Trebuchet MS"/>
          <w:sz w:val="22"/>
          <w:szCs w:val="22"/>
        </w:rPr>
        <w:t>sterilizers,</w:t>
      </w:r>
      <w:r w:rsidRPr="0097269D">
        <w:rPr>
          <w:rFonts w:ascii="Trebuchet MS" w:hAnsi="Trebuchet MS"/>
          <w:sz w:val="22"/>
          <w:szCs w:val="22"/>
        </w:rPr>
        <w:t xml:space="preserve"> and decontamination sinks</w:t>
      </w:r>
      <w:r w:rsidR="00C66494">
        <w:rPr>
          <w:rFonts w:ascii="Trebuchet MS" w:hAnsi="Trebuchet MS"/>
          <w:sz w:val="22"/>
          <w:szCs w:val="22"/>
        </w:rPr>
        <w:t xml:space="preserve"> and r</w:t>
      </w:r>
      <w:r w:rsidRPr="0097269D">
        <w:rPr>
          <w:rFonts w:ascii="Trebuchet MS" w:hAnsi="Trebuchet MS"/>
          <w:sz w:val="22"/>
          <w:szCs w:val="22"/>
        </w:rPr>
        <w:t xml:space="preserve">emoval and replacement of existing </w:t>
      </w:r>
      <w:r w:rsidR="00C66494">
        <w:rPr>
          <w:rFonts w:ascii="Trebuchet MS" w:hAnsi="Trebuchet MS"/>
          <w:sz w:val="22"/>
          <w:szCs w:val="22"/>
        </w:rPr>
        <w:t>c</w:t>
      </w:r>
      <w:r w:rsidRPr="0097269D">
        <w:rPr>
          <w:rFonts w:ascii="Trebuchet MS" w:hAnsi="Trebuchet MS"/>
          <w:sz w:val="22"/>
          <w:szCs w:val="22"/>
        </w:rPr>
        <w:t xml:space="preserve">lean and </w:t>
      </w:r>
      <w:r w:rsidR="00C66494">
        <w:rPr>
          <w:rFonts w:ascii="Trebuchet MS" w:hAnsi="Trebuchet MS"/>
          <w:sz w:val="22"/>
          <w:szCs w:val="22"/>
        </w:rPr>
        <w:t>s</w:t>
      </w:r>
      <w:r w:rsidRPr="0097269D">
        <w:rPr>
          <w:rFonts w:ascii="Trebuchet MS" w:hAnsi="Trebuchet MS"/>
          <w:sz w:val="22"/>
          <w:szCs w:val="22"/>
        </w:rPr>
        <w:t xml:space="preserve">oiled </w:t>
      </w:r>
      <w:proofErr w:type="gramStart"/>
      <w:r w:rsidR="00C66494">
        <w:rPr>
          <w:rFonts w:ascii="Trebuchet MS" w:hAnsi="Trebuchet MS"/>
          <w:sz w:val="22"/>
          <w:szCs w:val="22"/>
        </w:rPr>
        <w:t>d</w:t>
      </w:r>
      <w:r w:rsidRPr="0097269D">
        <w:rPr>
          <w:rFonts w:ascii="Trebuchet MS" w:hAnsi="Trebuchet MS"/>
          <w:sz w:val="22"/>
          <w:szCs w:val="22"/>
        </w:rPr>
        <w:t>umb-</w:t>
      </w:r>
      <w:r w:rsidR="00C66494">
        <w:rPr>
          <w:rFonts w:ascii="Trebuchet MS" w:hAnsi="Trebuchet MS"/>
          <w:sz w:val="22"/>
          <w:szCs w:val="22"/>
        </w:rPr>
        <w:t>w</w:t>
      </w:r>
      <w:r w:rsidRPr="0097269D">
        <w:rPr>
          <w:rFonts w:ascii="Trebuchet MS" w:hAnsi="Trebuchet MS"/>
          <w:sz w:val="22"/>
          <w:szCs w:val="22"/>
        </w:rPr>
        <w:t>aiters</w:t>
      </w:r>
      <w:proofErr w:type="gramEnd"/>
      <w:r w:rsidRPr="0097269D">
        <w:rPr>
          <w:rFonts w:ascii="Trebuchet MS" w:hAnsi="Trebuchet MS"/>
          <w:sz w:val="22"/>
          <w:szCs w:val="22"/>
        </w:rPr>
        <w:t xml:space="preserve"> within existing shafts. In addition, the </w:t>
      </w:r>
      <w:r w:rsidR="00C66494">
        <w:rPr>
          <w:rFonts w:ascii="Trebuchet MS" w:hAnsi="Trebuchet MS"/>
          <w:sz w:val="22"/>
          <w:szCs w:val="22"/>
        </w:rPr>
        <w:t>d</w:t>
      </w:r>
      <w:r w:rsidRPr="0097269D">
        <w:rPr>
          <w:rFonts w:ascii="Trebuchet MS" w:hAnsi="Trebuchet MS"/>
          <w:sz w:val="22"/>
          <w:szCs w:val="22"/>
        </w:rPr>
        <w:t xml:space="preserve">econtamination and </w:t>
      </w:r>
      <w:r w:rsidR="00C66494">
        <w:rPr>
          <w:rFonts w:ascii="Trebuchet MS" w:hAnsi="Trebuchet MS"/>
          <w:sz w:val="22"/>
          <w:szCs w:val="22"/>
        </w:rPr>
        <w:t>s</w:t>
      </w:r>
      <w:r w:rsidRPr="0097269D">
        <w:rPr>
          <w:rFonts w:ascii="Trebuchet MS" w:hAnsi="Trebuchet MS"/>
          <w:sz w:val="22"/>
          <w:szCs w:val="22"/>
        </w:rPr>
        <w:t xml:space="preserve">ub </w:t>
      </w:r>
      <w:r w:rsidR="00C66494">
        <w:rPr>
          <w:rFonts w:ascii="Trebuchet MS" w:hAnsi="Trebuchet MS"/>
          <w:sz w:val="22"/>
          <w:szCs w:val="22"/>
        </w:rPr>
        <w:t>s</w:t>
      </w:r>
      <w:r w:rsidRPr="0097269D">
        <w:rPr>
          <w:rFonts w:ascii="Trebuchet MS" w:hAnsi="Trebuchet MS"/>
          <w:sz w:val="22"/>
          <w:szCs w:val="22"/>
        </w:rPr>
        <w:t xml:space="preserve">terile rooms will be reconfigured to optimize workflow. The </w:t>
      </w:r>
      <w:r w:rsidR="00C66494">
        <w:rPr>
          <w:rFonts w:ascii="Trebuchet MS" w:hAnsi="Trebuchet MS"/>
          <w:sz w:val="22"/>
          <w:szCs w:val="22"/>
        </w:rPr>
        <w:t>t</w:t>
      </w:r>
      <w:r w:rsidRPr="0097269D">
        <w:rPr>
          <w:rFonts w:ascii="Trebuchet MS" w:hAnsi="Trebuchet MS"/>
          <w:sz w:val="22"/>
          <w:szCs w:val="22"/>
        </w:rPr>
        <w:t xml:space="preserve">rash room will be repurposed for new </w:t>
      </w:r>
      <w:r w:rsidR="00C66494" w:rsidRPr="00C66494">
        <w:rPr>
          <w:rFonts w:ascii="Trebuchet MS" w:hAnsi="Trebuchet MS"/>
          <w:sz w:val="22"/>
          <w:szCs w:val="22"/>
        </w:rPr>
        <w:t>mechanical, electrical and plumbing</w:t>
      </w:r>
      <w:r w:rsidRPr="0097269D">
        <w:rPr>
          <w:rFonts w:ascii="Trebuchet MS" w:hAnsi="Trebuchet MS"/>
          <w:sz w:val="22"/>
          <w:szCs w:val="22"/>
        </w:rPr>
        <w:t xml:space="preserve"> risers. The reconfiguration will include all required demolition followed by new walls, architectural finishes, electrical, lighting, mechanical, and plumbing and fire protection systems</w:t>
      </w:r>
      <w:r w:rsidR="00C66494">
        <w:rPr>
          <w:rFonts w:ascii="Trebuchet MS" w:hAnsi="Trebuchet MS"/>
          <w:sz w:val="22"/>
          <w:szCs w:val="22"/>
        </w:rPr>
        <w:t xml:space="preserve"> </w:t>
      </w:r>
      <w:r w:rsidRPr="0097269D">
        <w:rPr>
          <w:rFonts w:ascii="Trebuchet MS" w:hAnsi="Trebuchet MS"/>
          <w:sz w:val="22"/>
          <w:szCs w:val="22"/>
        </w:rPr>
        <w:t xml:space="preserve">required for reconfigured </w:t>
      </w:r>
      <w:r w:rsidR="00C66494">
        <w:rPr>
          <w:rFonts w:ascii="Trebuchet MS" w:hAnsi="Trebuchet MS"/>
          <w:sz w:val="22"/>
          <w:szCs w:val="22"/>
        </w:rPr>
        <w:t>d</w:t>
      </w:r>
      <w:r w:rsidRPr="0097269D">
        <w:rPr>
          <w:rFonts w:ascii="Trebuchet MS" w:hAnsi="Trebuchet MS"/>
          <w:sz w:val="22"/>
          <w:szCs w:val="22"/>
        </w:rPr>
        <w:t xml:space="preserve">econtamination, </w:t>
      </w:r>
      <w:r w:rsidR="00C66494">
        <w:rPr>
          <w:rFonts w:ascii="Trebuchet MS" w:hAnsi="Trebuchet MS"/>
          <w:sz w:val="22"/>
          <w:szCs w:val="22"/>
        </w:rPr>
        <w:t>s</w:t>
      </w:r>
      <w:r w:rsidRPr="0097269D">
        <w:rPr>
          <w:rFonts w:ascii="Trebuchet MS" w:hAnsi="Trebuchet MS"/>
          <w:sz w:val="22"/>
          <w:szCs w:val="22"/>
        </w:rPr>
        <w:t>ub-</w:t>
      </w:r>
      <w:r w:rsidR="00C66494">
        <w:rPr>
          <w:rFonts w:ascii="Trebuchet MS" w:hAnsi="Trebuchet MS"/>
          <w:sz w:val="22"/>
          <w:szCs w:val="22"/>
        </w:rPr>
        <w:t>s</w:t>
      </w:r>
      <w:r w:rsidRPr="0097269D">
        <w:rPr>
          <w:rFonts w:ascii="Trebuchet MS" w:hAnsi="Trebuchet MS"/>
          <w:sz w:val="22"/>
          <w:szCs w:val="22"/>
        </w:rPr>
        <w:t xml:space="preserve">terile spaces, and new SPD equipment. The </w:t>
      </w:r>
      <w:r w:rsidR="00C66494">
        <w:rPr>
          <w:rFonts w:ascii="Trebuchet MS" w:hAnsi="Trebuchet MS"/>
          <w:sz w:val="22"/>
          <w:szCs w:val="22"/>
        </w:rPr>
        <w:t xml:space="preserve">renovation </w:t>
      </w:r>
      <w:r w:rsidRPr="0097269D">
        <w:rPr>
          <w:rFonts w:ascii="Trebuchet MS" w:hAnsi="Trebuchet MS"/>
          <w:sz w:val="22"/>
          <w:szCs w:val="22"/>
        </w:rPr>
        <w:t xml:space="preserve">will be completed in two phases; an enabling phase in which infrastructure will be provided to a temporary SPD trailer, and to relocated scope washers on </w:t>
      </w:r>
      <w:r w:rsidR="00C66494">
        <w:rPr>
          <w:rFonts w:ascii="Trebuchet MS" w:hAnsi="Trebuchet MS"/>
          <w:sz w:val="22"/>
          <w:szCs w:val="22"/>
        </w:rPr>
        <w:t>l</w:t>
      </w:r>
      <w:r w:rsidRPr="0097269D">
        <w:rPr>
          <w:rFonts w:ascii="Trebuchet MS" w:hAnsi="Trebuchet MS"/>
          <w:sz w:val="22"/>
          <w:szCs w:val="22"/>
        </w:rPr>
        <w:t xml:space="preserve">evel 3. The second phase will be the primary scope of work on </w:t>
      </w:r>
      <w:r w:rsidR="00C66494">
        <w:rPr>
          <w:rFonts w:ascii="Trebuchet MS" w:hAnsi="Trebuchet MS"/>
          <w:sz w:val="22"/>
          <w:szCs w:val="22"/>
        </w:rPr>
        <w:t>l</w:t>
      </w:r>
      <w:r w:rsidRPr="0097269D">
        <w:rPr>
          <w:rFonts w:ascii="Trebuchet MS" w:hAnsi="Trebuchet MS"/>
          <w:sz w:val="22"/>
          <w:szCs w:val="22"/>
        </w:rPr>
        <w:t xml:space="preserve">evel 2 as described above. </w:t>
      </w:r>
    </w:p>
    <w:p w14:paraId="16AD6267" w14:textId="465120A1" w:rsidR="00C66494" w:rsidRDefault="00C66494" w:rsidP="00C66494">
      <w:pPr>
        <w:spacing w:line="480" w:lineRule="auto"/>
        <w:jc w:val="both"/>
        <w:rPr>
          <w:rFonts w:ascii="Trebuchet MS" w:hAnsi="Trebuchet MS"/>
          <w:sz w:val="22"/>
          <w:szCs w:val="22"/>
        </w:rPr>
      </w:pPr>
    </w:p>
    <w:p w14:paraId="315DA26C" w14:textId="105CA676" w:rsidR="00C66494" w:rsidRDefault="000663C7" w:rsidP="00C66494">
      <w:pPr>
        <w:spacing w:line="480" w:lineRule="auto"/>
        <w:jc w:val="both"/>
        <w:rPr>
          <w:rFonts w:ascii="Trebuchet MS" w:hAnsi="Trebuchet MS"/>
          <w:sz w:val="22"/>
          <w:szCs w:val="22"/>
        </w:rPr>
      </w:pPr>
      <w:r w:rsidRPr="000663C7">
        <w:rPr>
          <w:rFonts w:ascii="Trebuchet MS" w:hAnsi="Trebuchet MS"/>
          <w:sz w:val="22"/>
          <w:szCs w:val="22"/>
        </w:rPr>
        <w:t xml:space="preserve">Building restoration included as part of the Proposed Projects relates to the replacement and upgrades to </w:t>
      </w:r>
      <w:r>
        <w:rPr>
          <w:rFonts w:ascii="Trebuchet MS" w:hAnsi="Trebuchet MS"/>
          <w:sz w:val="22"/>
          <w:szCs w:val="22"/>
        </w:rPr>
        <w:t>walls</w:t>
      </w:r>
      <w:r w:rsidRPr="000663C7">
        <w:rPr>
          <w:rFonts w:ascii="Trebuchet MS" w:hAnsi="Trebuchet MS"/>
          <w:sz w:val="22"/>
          <w:szCs w:val="22"/>
        </w:rPr>
        <w:t>,</w:t>
      </w:r>
      <w:r>
        <w:rPr>
          <w:rFonts w:ascii="Trebuchet MS" w:hAnsi="Trebuchet MS"/>
          <w:sz w:val="22"/>
          <w:szCs w:val="22"/>
        </w:rPr>
        <w:t xml:space="preserve"> floors, ceilings, millwork, </w:t>
      </w:r>
      <w:r w:rsidRPr="000663C7">
        <w:rPr>
          <w:rFonts w:ascii="Trebuchet MS" w:hAnsi="Trebuchet MS"/>
          <w:sz w:val="22"/>
          <w:szCs w:val="22"/>
        </w:rPr>
        <w:t>utilities, transformers, air handlers,</w:t>
      </w:r>
      <w:r>
        <w:rPr>
          <w:rFonts w:ascii="Trebuchet MS" w:hAnsi="Trebuchet MS"/>
          <w:sz w:val="22"/>
          <w:szCs w:val="22"/>
        </w:rPr>
        <w:t xml:space="preserve"> </w:t>
      </w:r>
      <w:r w:rsidRPr="000663C7">
        <w:rPr>
          <w:rFonts w:ascii="Trebuchet MS" w:hAnsi="Trebuchet MS"/>
          <w:sz w:val="22"/>
          <w:szCs w:val="22"/>
        </w:rPr>
        <w:t>facility automation systems</w:t>
      </w:r>
      <w:r>
        <w:rPr>
          <w:rFonts w:ascii="Trebuchet MS" w:hAnsi="Trebuchet MS"/>
          <w:sz w:val="22"/>
          <w:szCs w:val="22"/>
        </w:rPr>
        <w:t xml:space="preserve">, and </w:t>
      </w:r>
      <w:r w:rsidRPr="000663C7">
        <w:rPr>
          <w:rFonts w:ascii="Trebuchet MS" w:hAnsi="Trebuchet MS"/>
          <w:sz w:val="22"/>
          <w:szCs w:val="22"/>
        </w:rPr>
        <w:t xml:space="preserve">HVAC unit </w:t>
      </w:r>
      <w:r>
        <w:rPr>
          <w:rFonts w:ascii="Trebuchet MS" w:hAnsi="Trebuchet MS"/>
          <w:sz w:val="22"/>
          <w:szCs w:val="22"/>
        </w:rPr>
        <w:t xml:space="preserve">at </w:t>
      </w:r>
      <w:r w:rsidRPr="000663C7">
        <w:rPr>
          <w:rFonts w:ascii="Trebuchet MS" w:hAnsi="Trebuchet MS"/>
          <w:sz w:val="22"/>
          <w:szCs w:val="22"/>
        </w:rPr>
        <w:t>the Longwood campus</w:t>
      </w:r>
      <w:r>
        <w:rPr>
          <w:rFonts w:ascii="Trebuchet MS" w:hAnsi="Trebuchet MS"/>
          <w:sz w:val="22"/>
          <w:szCs w:val="22"/>
        </w:rPr>
        <w:t xml:space="preserve">. The building restoration project also includes </w:t>
      </w:r>
      <w:r w:rsidRPr="000663C7">
        <w:rPr>
          <w:rFonts w:ascii="Trebuchet MS" w:hAnsi="Trebuchet MS"/>
          <w:sz w:val="22"/>
          <w:szCs w:val="22"/>
        </w:rPr>
        <w:t>replacement</w:t>
      </w:r>
      <w:r>
        <w:rPr>
          <w:rFonts w:ascii="Trebuchet MS" w:hAnsi="Trebuchet MS"/>
          <w:sz w:val="22"/>
          <w:szCs w:val="22"/>
        </w:rPr>
        <w:t xml:space="preserve"> and </w:t>
      </w:r>
      <w:r w:rsidRPr="000663C7">
        <w:rPr>
          <w:rFonts w:ascii="Trebuchet MS" w:hAnsi="Trebuchet MS"/>
          <w:sz w:val="22"/>
          <w:szCs w:val="22"/>
        </w:rPr>
        <w:t>upgrades</w:t>
      </w:r>
      <w:r w:rsidR="008B3B5C">
        <w:rPr>
          <w:rFonts w:ascii="Trebuchet MS" w:hAnsi="Trebuchet MS"/>
          <w:sz w:val="22"/>
          <w:szCs w:val="22"/>
        </w:rPr>
        <w:t xml:space="preserve"> to </w:t>
      </w:r>
      <w:r w:rsidRPr="000663C7">
        <w:rPr>
          <w:rFonts w:ascii="Trebuchet MS" w:hAnsi="Trebuchet MS"/>
          <w:sz w:val="22"/>
          <w:szCs w:val="22"/>
        </w:rPr>
        <w:t xml:space="preserve">roofs, stairwells, hot water systems, sprinklers, flooring, renewal of the utility substation, transformer, and </w:t>
      </w:r>
      <w:r w:rsidR="008B3B5C">
        <w:rPr>
          <w:rFonts w:ascii="Trebuchet MS" w:hAnsi="Trebuchet MS"/>
          <w:sz w:val="22"/>
          <w:szCs w:val="22"/>
        </w:rPr>
        <w:t xml:space="preserve">various maintenance </w:t>
      </w:r>
      <w:r w:rsidRPr="000663C7">
        <w:rPr>
          <w:rFonts w:ascii="Trebuchet MS" w:hAnsi="Trebuchet MS"/>
          <w:sz w:val="22"/>
          <w:szCs w:val="22"/>
        </w:rPr>
        <w:t>projects at the Waltham campus.</w:t>
      </w:r>
    </w:p>
    <w:p w14:paraId="36F04DFC" w14:textId="5FE7248A" w:rsidR="008B3B5C" w:rsidRPr="00EA35EC" w:rsidRDefault="008B3B5C" w:rsidP="008B3B5C">
      <w:pPr>
        <w:spacing w:line="480" w:lineRule="auto"/>
        <w:jc w:val="both"/>
        <w:rPr>
          <w:rFonts w:ascii="Trebuchet MS" w:hAnsi="Trebuchet MS"/>
          <w:sz w:val="22"/>
          <w:szCs w:val="22"/>
        </w:rPr>
      </w:pPr>
      <w:r w:rsidRPr="00EA35EC">
        <w:rPr>
          <w:rFonts w:ascii="Trebuchet MS" w:hAnsi="Trebuchet MS"/>
          <w:sz w:val="22"/>
          <w:szCs w:val="22"/>
        </w:rPr>
        <w:t>The renovations to the radiology department relate to an existing multi-year plan to renew its current imaging services as they pass end of life capabilities while allowing for the delivery of care to continue on</w:t>
      </w:r>
      <w:r>
        <w:rPr>
          <w:rFonts w:ascii="Trebuchet MS" w:hAnsi="Trebuchet MS"/>
          <w:sz w:val="22"/>
          <w:szCs w:val="22"/>
        </w:rPr>
        <w:t xml:space="preserve"> </w:t>
      </w:r>
      <w:r w:rsidRPr="008B3B5C">
        <w:rPr>
          <w:rFonts w:ascii="Trebuchet MS" w:hAnsi="Trebuchet MS"/>
          <w:sz w:val="22"/>
          <w:szCs w:val="22"/>
        </w:rPr>
        <w:t>Longwood, Lexington, Peabody, and North Dartmouth campuses</w:t>
      </w:r>
      <w:r w:rsidRPr="00EA35EC">
        <w:rPr>
          <w:rFonts w:ascii="Trebuchet MS" w:hAnsi="Trebuchet MS"/>
          <w:sz w:val="22"/>
          <w:szCs w:val="22"/>
        </w:rPr>
        <w:t xml:space="preserve">. The </w:t>
      </w:r>
      <w:r w:rsidRPr="00EA35EC">
        <w:rPr>
          <w:rFonts w:ascii="Trebuchet MS" w:hAnsi="Trebuchet MS"/>
          <w:sz w:val="22"/>
          <w:szCs w:val="22"/>
        </w:rPr>
        <w:lastRenderedPageBreak/>
        <w:t xml:space="preserve">scope of the renovations included as part of the Proposed Projects includes the architectural and design fees to evaluate </w:t>
      </w:r>
      <w:r>
        <w:rPr>
          <w:rFonts w:ascii="Trebuchet MS" w:hAnsi="Trebuchet MS"/>
          <w:sz w:val="22"/>
          <w:szCs w:val="22"/>
        </w:rPr>
        <w:t xml:space="preserve">future </w:t>
      </w:r>
      <w:r w:rsidRPr="008B3B5C">
        <w:rPr>
          <w:rFonts w:ascii="Trebuchet MS" w:hAnsi="Trebuchet MS"/>
          <w:sz w:val="22"/>
          <w:szCs w:val="22"/>
        </w:rPr>
        <w:t xml:space="preserve">renewal </w:t>
      </w:r>
      <w:r>
        <w:rPr>
          <w:rFonts w:ascii="Trebuchet MS" w:hAnsi="Trebuchet MS"/>
          <w:sz w:val="22"/>
          <w:szCs w:val="22"/>
        </w:rPr>
        <w:t xml:space="preserve">opportunities for </w:t>
      </w:r>
      <w:r w:rsidRPr="008B3B5C">
        <w:rPr>
          <w:rFonts w:ascii="Trebuchet MS" w:hAnsi="Trebuchet MS"/>
          <w:sz w:val="22"/>
          <w:szCs w:val="22"/>
        </w:rPr>
        <w:t>the imaging suites across the four locations</w:t>
      </w:r>
      <w:r w:rsidRPr="00EA35EC">
        <w:rPr>
          <w:rFonts w:ascii="Trebuchet MS" w:hAnsi="Trebuchet MS"/>
          <w:sz w:val="22"/>
          <w:szCs w:val="22"/>
        </w:rPr>
        <w:t>.</w:t>
      </w:r>
    </w:p>
    <w:p w14:paraId="4D6AA5F7" w14:textId="6E4B358C" w:rsidR="008B3B5C" w:rsidRDefault="008B3B5C" w:rsidP="00C66494">
      <w:pPr>
        <w:spacing w:line="480" w:lineRule="auto"/>
        <w:jc w:val="both"/>
        <w:rPr>
          <w:rFonts w:ascii="Trebuchet MS" w:hAnsi="Trebuchet MS"/>
          <w:sz w:val="22"/>
          <w:szCs w:val="22"/>
        </w:rPr>
      </w:pPr>
    </w:p>
    <w:p w14:paraId="5C279CC6" w14:textId="6465666D" w:rsidR="008B3B5C" w:rsidRDefault="00834F5C" w:rsidP="00C66494">
      <w:pPr>
        <w:spacing w:line="480" w:lineRule="auto"/>
        <w:jc w:val="both"/>
        <w:rPr>
          <w:rFonts w:ascii="Trebuchet MS" w:hAnsi="Trebuchet MS"/>
          <w:sz w:val="22"/>
          <w:szCs w:val="22"/>
        </w:rPr>
      </w:pPr>
      <w:r>
        <w:rPr>
          <w:rFonts w:ascii="Trebuchet MS" w:hAnsi="Trebuchet MS"/>
          <w:sz w:val="22"/>
          <w:szCs w:val="22"/>
        </w:rPr>
        <w:t>The</w:t>
      </w:r>
      <w:r w:rsidR="008B3B5C">
        <w:rPr>
          <w:rFonts w:ascii="Trebuchet MS" w:hAnsi="Trebuchet MS"/>
          <w:sz w:val="22"/>
          <w:szCs w:val="22"/>
        </w:rPr>
        <w:t xml:space="preserve"> Applicant </w:t>
      </w:r>
      <w:r w:rsidR="008B3B5C" w:rsidRPr="008B3B5C">
        <w:rPr>
          <w:rFonts w:ascii="Trebuchet MS" w:hAnsi="Trebuchet MS"/>
          <w:sz w:val="22"/>
          <w:szCs w:val="22"/>
        </w:rPr>
        <w:t xml:space="preserve">continues to expand access to multi-disciplinary integrated outpatient care.   </w:t>
      </w:r>
      <w:r w:rsidR="008B3B5C">
        <w:rPr>
          <w:rFonts w:ascii="Trebuchet MS" w:hAnsi="Trebuchet MS"/>
          <w:sz w:val="22"/>
          <w:szCs w:val="22"/>
        </w:rPr>
        <w:t xml:space="preserve">It </w:t>
      </w:r>
      <w:r w:rsidR="008B3B5C" w:rsidRPr="008B3B5C">
        <w:rPr>
          <w:rFonts w:ascii="Trebuchet MS" w:hAnsi="Trebuchet MS"/>
          <w:sz w:val="22"/>
          <w:szCs w:val="22"/>
        </w:rPr>
        <w:t>is evaluating the opportunity to redesign certain spaces in order to create more patient and family centric space within its existing footprint</w:t>
      </w:r>
      <w:r w:rsidR="008B3B5C">
        <w:rPr>
          <w:rFonts w:ascii="Trebuchet MS" w:hAnsi="Trebuchet MS"/>
          <w:sz w:val="22"/>
          <w:szCs w:val="22"/>
        </w:rPr>
        <w:t xml:space="preserve">. </w:t>
      </w:r>
      <w:r w:rsidR="008B3B5C" w:rsidRPr="00EA35EC">
        <w:rPr>
          <w:rFonts w:ascii="Trebuchet MS" w:hAnsi="Trebuchet MS"/>
          <w:sz w:val="22"/>
          <w:szCs w:val="22"/>
        </w:rPr>
        <w:t>The scope of the renovations includes the architectural and design fees</w:t>
      </w:r>
      <w:r w:rsidR="008B3B5C">
        <w:rPr>
          <w:rFonts w:ascii="Trebuchet MS" w:hAnsi="Trebuchet MS"/>
          <w:sz w:val="22"/>
          <w:szCs w:val="22"/>
        </w:rPr>
        <w:t xml:space="preserve"> to evaluate opportunities for future development at Longwood and Peabody campuses.</w:t>
      </w:r>
    </w:p>
    <w:p w14:paraId="35ADCDF4" w14:textId="77777777" w:rsidR="002541B2" w:rsidRDefault="002541B2" w:rsidP="0049260C">
      <w:pPr>
        <w:spacing w:line="480" w:lineRule="auto"/>
        <w:jc w:val="both"/>
        <w:rPr>
          <w:rFonts w:ascii="Trebuchet MS" w:hAnsi="Trebuchet MS"/>
          <w:sz w:val="22"/>
          <w:szCs w:val="22"/>
        </w:rPr>
      </w:pPr>
    </w:p>
    <w:p w14:paraId="518527FB" w14:textId="77777777" w:rsidR="000D17B6" w:rsidRPr="000D36DA" w:rsidRDefault="000D17B6" w:rsidP="000D17B6">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SCOPE OF REPORT</w:t>
      </w:r>
    </w:p>
    <w:p w14:paraId="7C5BB700" w14:textId="77777777" w:rsidR="000D17B6" w:rsidRPr="000D36DA" w:rsidRDefault="000D17B6" w:rsidP="00A22182">
      <w:pPr>
        <w:jc w:val="both"/>
        <w:rPr>
          <w:rFonts w:ascii="Trebuchet MS" w:hAnsi="Trebuchet MS"/>
          <w:b/>
          <w:sz w:val="22"/>
          <w:szCs w:val="22"/>
          <w:u w:val="single"/>
        </w:rPr>
      </w:pPr>
    </w:p>
    <w:p w14:paraId="65886DA3" w14:textId="2F04E289" w:rsidR="000D17B6" w:rsidRPr="000D36DA" w:rsidRDefault="000D17B6" w:rsidP="000D17B6">
      <w:pPr>
        <w:tabs>
          <w:tab w:val="left" w:pos="720"/>
        </w:tabs>
        <w:spacing w:line="480" w:lineRule="auto"/>
        <w:jc w:val="both"/>
        <w:rPr>
          <w:rFonts w:ascii="Trebuchet MS" w:hAnsi="Trebuchet MS"/>
          <w:sz w:val="22"/>
          <w:szCs w:val="22"/>
        </w:rPr>
      </w:pPr>
      <w:r w:rsidRPr="00F62A90">
        <w:rPr>
          <w:rFonts w:ascii="Trebuchet MS" w:hAnsi="Trebuchet MS"/>
          <w:sz w:val="22"/>
          <w:szCs w:val="22"/>
        </w:rPr>
        <w:t xml:space="preserve">The scope of this report is limited to an analysis of the </w:t>
      </w:r>
      <w:r w:rsidR="00F62A90" w:rsidRPr="00F62A90">
        <w:rPr>
          <w:rFonts w:ascii="Trebuchet MS" w:hAnsi="Trebuchet MS"/>
          <w:sz w:val="22"/>
          <w:szCs w:val="22"/>
        </w:rPr>
        <w:t>eleven</w:t>
      </w:r>
      <w:r w:rsidRPr="00F62A90">
        <w:rPr>
          <w:rFonts w:ascii="Trebuchet MS" w:hAnsi="Trebuchet MS"/>
          <w:sz w:val="22"/>
          <w:szCs w:val="22"/>
        </w:rPr>
        <w:t xml:space="preserve">-year </w:t>
      </w:r>
      <w:r w:rsidR="003F6E53" w:rsidRPr="00F62A90">
        <w:rPr>
          <w:rFonts w:ascii="Trebuchet MS" w:hAnsi="Trebuchet MS"/>
          <w:sz w:val="22"/>
          <w:szCs w:val="22"/>
        </w:rPr>
        <w:t>Projection</w:t>
      </w:r>
      <w:r w:rsidR="00DC6493" w:rsidRPr="00F62A90">
        <w:rPr>
          <w:rFonts w:ascii="Trebuchet MS" w:hAnsi="Trebuchet MS"/>
          <w:sz w:val="22"/>
          <w:szCs w:val="22"/>
        </w:rPr>
        <w:t>s</w:t>
      </w:r>
      <w:r w:rsidR="003F6E53" w:rsidRPr="00F62A90">
        <w:rPr>
          <w:rFonts w:ascii="Trebuchet MS" w:hAnsi="Trebuchet MS"/>
          <w:sz w:val="22"/>
          <w:szCs w:val="22"/>
        </w:rPr>
        <w:t xml:space="preserve"> </w:t>
      </w:r>
      <w:r w:rsidRPr="00F62A90">
        <w:rPr>
          <w:rFonts w:ascii="Trebuchet MS" w:hAnsi="Trebuchet MS"/>
          <w:sz w:val="22"/>
          <w:szCs w:val="22"/>
        </w:rPr>
        <w:t xml:space="preserve">for the fiscal years ending </w:t>
      </w:r>
      <w:r w:rsidR="0008676E" w:rsidRPr="00F62A90">
        <w:rPr>
          <w:rFonts w:ascii="Trebuchet MS" w:hAnsi="Trebuchet MS"/>
          <w:sz w:val="22"/>
          <w:szCs w:val="22"/>
        </w:rPr>
        <w:t>September</w:t>
      </w:r>
      <w:r w:rsidRPr="00F62A90">
        <w:rPr>
          <w:rFonts w:ascii="Trebuchet MS" w:hAnsi="Trebuchet MS"/>
          <w:sz w:val="22"/>
          <w:szCs w:val="22"/>
        </w:rPr>
        <w:t xml:space="preserve"> 30,</w:t>
      </w:r>
      <w:r w:rsidR="003F53A3" w:rsidRPr="00F62A90">
        <w:rPr>
          <w:rFonts w:ascii="Trebuchet MS" w:hAnsi="Trebuchet MS"/>
          <w:sz w:val="22"/>
          <w:szCs w:val="22"/>
        </w:rPr>
        <w:t xml:space="preserve"> </w:t>
      </w:r>
      <w:r w:rsidR="009D5319" w:rsidRPr="00F62A90">
        <w:rPr>
          <w:rFonts w:ascii="Trebuchet MS" w:hAnsi="Trebuchet MS"/>
          <w:sz w:val="22"/>
          <w:szCs w:val="22"/>
        </w:rPr>
        <w:t>202</w:t>
      </w:r>
      <w:r w:rsidR="00A22B43" w:rsidRPr="00F62A90">
        <w:rPr>
          <w:rFonts w:ascii="Trebuchet MS" w:hAnsi="Trebuchet MS"/>
          <w:sz w:val="22"/>
          <w:szCs w:val="22"/>
        </w:rPr>
        <w:t>3</w:t>
      </w:r>
      <w:r w:rsidRPr="00F62A90">
        <w:rPr>
          <w:rFonts w:ascii="Trebuchet MS" w:hAnsi="Trebuchet MS"/>
          <w:sz w:val="22"/>
          <w:szCs w:val="22"/>
        </w:rPr>
        <w:t xml:space="preserve"> through </w:t>
      </w:r>
      <w:r w:rsidR="00691961" w:rsidRPr="00F62A90">
        <w:rPr>
          <w:rFonts w:ascii="Trebuchet MS" w:hAnsi="Trebuchet MS"/>
          <w:sz w:val="22"/>
          <w:szCs w:val="22"/>
        </w:rPr>
        <w:t>20</w:t>
      </w:r>
      <w:r w:rsidR="003808BD" w:rsidRPr="00F62A90">
        <w:rPr>
          <w:rFonts w:ascii="Trebuchet MS" w:hAnsi="Trebuchet MS"/>
          <w:sz w:val="22"/>
          <w:szCs w:val="22"/>
        </w:rPr>
        <w:t>3</w:t>
      </w:r>
      <w:r w:rsidR="005C4CDA" w:rsidRPr="00F62A90">
        <w:rPr>
          <w:rFonts w:ascii="Trebuchet MS" w:hAnsi="Trebuchet MS"/>
          <w:sz w:val="22"/>
          <w:szCs w:val="22"/>
        </w:rPr>
        <w:t>3</w:t>
      </w:r>
      <w:r w:rsidRPr="000D36DA">
        <w:rPr>
          <w:rFonts w:ascii="Trebuchet MS" w:hAnsi="Trebuchet MS"/>
          <w:sz w:val="22"/>
          <w:szCs w:val="22"/>
        </w:rPr>
        <w:t xml:space="preserve">, prepared by Management, and the supporting documentation </w:t>
      </w:r>
      <w:r w:rsidR="009D5319" w:rsidRPr="000D36DA">
        <w:rPr>
          <w:rFonts w:ascii="Trebuchet MS" w:hAnsi="Trebuchet MS"/>
          <w:sz w:val="22"/>
          <w:szCs w:val="22"/>
        </w:rPr>
        <w:t>to</w:t>
      </w:r>
      <w:r w:rsidRPr="000D36DA">
        <w:rPr>
          <w:rFonts w:ascii="Trebuchet MS" w:hAnsi="Trebuchet MS"/>
          <w:sz w:val="22"/>
          <w:szCs w:val="22"/>
        </w:rPr>
        <w:t xml:space="preserve">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Projects are not likely to result in a liquidation of the underlying assets or the need for reorganization.</w:t>
      </w:r>
    </w:p>
    <w:p w14:paraId="3DE3031F"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48FB8E3C" w14:textId="1BCC75C1" w:rsidR="000D17B6" w:rsidRPr="000D36DA" w:rsidRDefault="000D17B6" w:rsidP="000D17B6">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This report is based on prospective financial information provided to us by Management. BDO understands the prospective financial information was developed as of </w:t>
      </w:r>
      <w:r w:rsidR="00F62A90">
        <w:rPr>
          <w:rFonts w:ascii="Trebuchet MS" w:hAnsi="Trebuchet MS"/>
          <w:sz w:val="22"/>
          <w:szCs w:val="22"/>
        </w:rPr>
        <w:t xml:space="preserve"> August 2</w:t>
      </w:r>
      <w:r w:rsidR="00F62A90" w:rsidRPr="00F62A90">
        <w:rPr>
          <w:rFonts w:ascii="Trebuchet MS" w:hAnsi="Trebuchet MS"/>
          <w:sz w:val="22"/>
          <w:szCs w:val="22"/>
        </w:rPr>
        <w:t>, 202</w:t>
      </w:r>
      <w:r w:rsidR="00F62A90">
        <w:rPr>
          <w:rFonts w:ascii="Trebuchet MS" w:hAnsi="Trebuchet MS"/>
          <w:sz w:val="22"/>
          <w:szCs w:val="22"/>
        </w:rPr>
        <w:t>3</w:t>
      </w:r>
      <w:r w:rsidR="009D5319" w:rsidRPr="000D36DA">
        <w:rPr>
          <w:rFonts w:ascii="Trebuchet MS" w:hAnsi="Trebuchet MS"/>
          <w:sz w:val="22"/>
          <w:szCs w:val="22"/>
        </w:rPr>
        <w:t xml:space="preserve"> and</w:t>
      </w:r>
      <w:r w:rsidRPr="000D36DA">
        <w:rPr>
          <w:rFonts w:ascii="Trebuchet MS" w:hAnsi="Trebuchet MS"/>
          <w:sz w:val="22"/>
          <w:szCs w:val="22"/>
        </w:rPr>
        <w:t xml:space="preserve"> is representative of Management’s expectations as of the drafting of this report. BDO has not </w:t>
      </w:r>
      <w:r w:rsidRPr="000D36DA">
        <w:rPr>
          <w:rFonts w:ascii="Trebuchet MS" w:hAnsi="Trebuchet MS"/>
          <w:sz w:val="22"/>
          <w:szCs w:val="22"/>
        </w:rPr>
        <w:lastRenderedPageBreak/>
        <w:t xml:space="preserve">audited or performed any other form of attestation services on the projected financial information related to the operations of </w:t>
      </w:r>
      <w:r w:rsidR="007A4155">
        <w:rPr>
          <w:rFonts w:ascii="Trebuchet MS" w:hAnsi="Trebuchet MS"/>
          <w:sz w:val="22"/>
          <w:szCs w:val="22"/>
        </w:rPr>
        <w:t>CMCC</w:t>
      </w:r>
      <w:r w:rsidRPr="000D36DA">
        <w:rPr>
          <w:rFonts w:ascii="Trebuchet MS" w:hAnsi="Trebuchet MS"/>
          <w:sz w:val="22"/>
          <w:szCs w:val="22"/>
        </w:rPr>
        <w:t>.</w:t>
      </w:r>
    </w:p>
    <w:p w14:paraId="758C62B2"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0530DB6F" w14:textId="0A59C68D" w:rsidR="009A2BEA" w:rsidRDefault="000D17B6">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w:t>
      </w:r>
      <w:r w:rsidR="000E384B" w:rsidRPr="000D36DA">
        <w:rPr>
          <w:rFonts w:ascii="Trebuchet MS" w:hAnsi="Trebuchet MS"/>
          <w:sz w:val="22"/>
          <w:szCs w:val="22"/>
        </w:rPr>
        <w:t xml:space="preserve">if </w:t>
      </w:r>
      <w:r w:rsidRPr="000D36DA">
        <w:rPr>
          <w:rFonts w:ascii="Trebuchet MS" w:hAnsi="Trebuchet MS"/>
          <w:sz w:val="22"/>
          <w:szCs w:val="22"/>
        </w:rPr>
        <w:t xml:space="preserve">in the event that we are provided with additional information. </w:t>
      </w:r>
      <w:bookmarkEnd w:id="1"/>
      <w:bookmarkEnd w:id="2"/>
    </w:p>
    <w:p w14:paraId="3122D4FB" w14:textId="77777777" w:rsidR="00C323E0" w:rsidRDefault="00C323E0">
      <w:pPr>
        <w:tabs>
          <w:tab w:val="left" w:pos="720"/>
        </w:tabs>
        <w:spacing w:line="480" w:lineRule="auto"/>
        <w:jc w:val="both"/>
        <w:rPr>
          <w:rFonts w:ascii="Trebuchet MS" w:hAnsi="Trebuchet MS"/>
          <w:sz w:val="22"/>
          <w:szCs w:val="22"/>
        </w:rPr>
      </w:pPr>
    </w:p>
    <w:p w14:paraId="3E5EDD4F" w14:textId="77777777" w:rsidR="009A2BEA" w:rsidRPr="0096276D" w:rsidRDefault="00D3103D">
      <w:pPr>
        <w:pStyle w:val="Heading1"/>
        <w:keepNext w:val="0"/>
        <w:numPr>
          <w:ilvl w:val="0"/>
          <w:numId w:val="1"/>
        </w:numPr>
        <w:spacing w:line="480" w:lineRule="auto"/>
        <w:ind w:hanging="720"/>
        <w:rPr>
          <w:rFonts w:ascii="Trebuchet MS" w:hAnsi="Trebuchet MS"/>
          <w:sz w:val="22"/>
          <w:szCs w:val="22"/>
        </w:rPr>
      </w:pPr>
      <w:bookmarkStart w:id="3" w:name="_Toc463886376"/>
      <w:bookmarkStart w:id="4" w:name="_Ref467150501"/>
      <w:r w:rsidRPr="0096276D">
        <w:rPr>
          <w:rFonts w:ascii="Trebuchet MS" w:hAnsi="Trebuchet MS"/>
          <w:sz w:val="22"/>
          <w:szCs w:val="22"/>
        </w:rPr>
        <w:t>SOURCES OF INFORMATION UTILIZED</w:t>
      </w:r>
      <w:bookmarkEnd w:id="3"/>
      <w:bookmarkEnd w:id="4"/>
    </w:p>
    <w:p w14:paraId="585CEB13" w14:textId="77777777" w:rsidR="009A2BEA" w:rsidRPr="000D36DA" w:rsidRDefault="009A2BEA">
      <w:pPr>
        <w:spacing w:line="480" w:lineRule="auto"/>
        <w:jc w:val="both"/>
        <w:rPr>
          <w:rFonts w:ascii="Trebuchet MS" w:hAnsi="Trebuchet MS"/>
          <w:b/>
          <w:sz w:val="22"/>
          <w:szCs w:val="22"/>
          <w:u w:val="single"/>
        </w:rPr>
      </w:pPr>
    </w:p>
    <w:p w14:paraId="7FB32DC3" w14:textId="31D18B75" w:rsidR="009A2BEA" w:rsidRPr="000D36DA" w:rsidRDefault="00D3103D">
      <w:pPr>
        <w:spacing w:line="480" w:lineRule="auto"/>
        <w:jc w:val="both"/>
        <w:rPr>
          <w:rFonts w:ascii="Trebuchet MS" w:hAnsi="Trebuchet MS"/>
          <w:sz w:val="22"/>
          <w:szCs w:val="22"/>
        </w:rPr>
      </w:pPr>
      <w:r w:rsidRPr="000D36DA">
        <w:rPr>
          <w:rFonts w:ascii="Trebuchet MS" w:hAnsi="Trebuchet MS"/>
          <w:sz w:val="22"/>
          <w:szCs w:val="22"/>
        </w:rPr>
        <w:t>In formulatin</w:t>
      </w:r>
      <w:r w:rsidR="00D31AC0" w:rsidRPr="000D36DA">
        <w:rPr>
          <w:rFonts w:ascii="Trebuchet MS" w:hAnsi="Trebuchet MS"/>
          <w:sz w:val="22"/>
          <w:szCs w:val="22"/>
        </w:rPr>
        <w:t>g</w:t>
      </w:r>
      <w:r w:rsidRPr="000D36DA">
        <w:rPr>
          <w:rFonts w:ascii="Trebuchet MS" w:hAnsi="Trebuchet MS"/>
          <w:sz w:val="22"/>
          <w:szCs w:val="22"/>
        </w:rPr>
        <w:t xml:space="preserve"> </w:t>
      </w:r>
      <w:r w:rsidR="00D31AC0" w:rsidRPr="000D36DA">
        <w:rPr>
          <w:rFonts w:ascii="Trebuchet MS" w:hAnsi="Trebuchet MS"/>
          <w:sz w:val="22"/>
          <w:szCs w:val="22"/>
        </w:rPr>
        <w:t>our</w:t>
      </w:r>
      <w:r w:rsidRPr="000D36DA">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17EF8755" w14:textId="77777777" w:rsidR="009A2BEA" w:rsidRPr="00AB4425" w:rsidRDefault="009A2BEA">
      <w:pPr>
        <w:spacing w:line="480" w:lineRule="auto"/>
        <w:jc w:val="both"/>
        <w:rPr>
          <w:rFonts w:ascii="Trebuchet MS" w:hAnsi="Trebuchet MS"/>
          <w:sz w:val="22"/>
          <w:szCs w:val="22"/>
        </w:rPr>
      </w:pPr>
    </w:p>
    <w:p w14:paraId="5B277429" w14:textId="3AFB01F4" w:rsidR="009A2BEA" w:rsidRPr="00AB4425" w:rsidRDefault="005876E8">
      <w:pPr>
        <w:numPr>
          <w:ilvl w:val="0"/>
          <w:numId w:val="2"/>
        </w:numPr>
        <w:spacing w:line="480" w:lineRule="auto"/>
        <w:jc w:val="both"/>
        <w:rPr>
          <w:rFonts w:ascii="Trebuchet MS" w:hAnsi="Trebuchet MS"/>
          <w:sz w:val="22"/>
          <w:szCs w:val="22"/>
        </w:rPr>
      </w:pPr>
      <w:r w:rsidRPr="00AB4425">
        <w:rPr>
          <w:rFonts w:ascii="Trebuchet MS" w:hAnsi="Trebuchet MS"/>
          <w:sz w:val="22"/>
          <w:szCs w:val="22"/>
        </w:rPr>
        <w:t xml:space="preserve">Projected </w:t>
      </w:r>
      <w:r w:rsidR="00D3103D" w:rsidRPr="00AB4425">
        <w:rPr>
          <w:rFonts w:ascii="Trebuchet MS" w:hAnsi="Trebuchet MS"/>
          <w:sz w:val="22"/>
          <w:szCs w:val="22"/>
        </w:rPr>
        <w:t>Financial Model for</w:t>
      </w:r>
      <w:r w:rsidR="0014288E" w:rsidRPr="00AB4425">
        <w:rPr>
          <w:rFonts w:ascii="Trebuchet MS" w:hAnsi="Trebuchet MS"/>
          <w:sz w:val="22"/>
          <w:szCs w:val="22"/>
        </w:rPr>
        <w:t xml:space="preserve"> </w:t>
      </w:r>
      <w:r w:rsidR="007A4155">
        <w:rPr>
          <w:rFonts w:ascii="Trebuchet MS" w:hAnsi="Trebuchet MS"/>
          <w:sz w:val="22"/>
          <w:szCs w:val="22"/>
        </w:rPr>
        <w:t>CMCC</w:t>
      </w:r>
      <w:r w:rsidR="00C34204">
        <w:rPr>
          <w:rFonts w:ascii="Trebuchet MS" w:hAnsi="Trebuchet MS"/>
          <w:sz w:val="22"/>
          <w:szCs w:val="22"/>
        </w:rPr>
        <w:t xml:space="preserve"> </w:t>
      </w:r>
      <w:r w:rsidR="00D3103D" w:rsidRPr="00C34204">
        <w:rPr>
          <w:rFonts w:ascii="Trebuchet MS" w:hAnsi="Trebuchet MS"/>
          <w:sz w:val="22"/>
          <w:szCs w:val="22"/>
        </w:rPr>
        <w:t xml:space="preserve">for the periods ending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r w:rsidR="009D5319" w:rsidRPr="00C34204">
        <w:rPr>
          <w:rFonts w:ascii="Trebuchet MS" w:hAnsi="Trebuchet MS"/>
          <w:sz w:val="22"/>
          <w:szCs w:val="22"/>
        </w:rPr>
        <w:t>202</w:t>
      </w:r>
      <w:r w:rsidR="00AB4425" w:rsidRPr="00C34204">
        <w:rPr>
          <w:rFonts w:ascii="Trebuchet MS" w:hAnsi="Trebuchet MS"/>
          <w:sz w:val="22"/>
          <w:szCs w:val="22"/>
        </w:rPr>
        <w:t>3</w:t>
      </w:r>
      <w:r w:rsidR="009D5319" w:rsidRPr="00C34204">
        <w:rPr>
          <w:rFonts w:ascii="Trebuchet MS" w:hAnsi="Trebuchet MS"/>
          <w:sz w:val="22"/>
          <w:szCs w:val="22"/>
        </w:rPr>
        <w:t>,</w:t>
      </w:r>
      <w:r w:rsidR="00D3103D" w:rsidRPr="00C34204">
        <w:rPr>
          <w:rFonts w:ascii="Trebuchet MS" w:hAnsi="Trebuchet MS"/>
          <w:sz w:val="22"/>
          <w:szCs w:val="22"/>
        </w:rPr>
        <w:t xml:space="preserve"> through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r w:rsidR="00691961" w:rsidRPr="00C34204">
        <w:rPr>
          <w:rFonts w:ascii="Trebuchet MS" w:hAnsi="Trebuchet MS"/>
          <w:sz w:val="22"/>
          <w:szCs w:val="22"/>
        </w:rPr>
        <w:t>20</w:t>
      </w:r>
      <w:r w:rsidR="003808BD" w:rsidRPr="00C34204">
        <w:rPr>
          <w:rFonts w:ascii="Trebuchet MS" w:hAnsi="Trebuchet MS"/>
          <w:sz w:val="22"/>
          <w:szCs w:val="22"/>
        </w:rPr>
        <w:t>3</w:t>
      </w:r>
      <w:r w:rsidR="004D057D" w:rsidRPr="00C34204">
        <w:rPr>
          <w:rFonts w:ascii="Trebuchet MS" w:hAnsi="Trebuchet MS"/>
          <w:sz w:val="22"/>
          <w:szCs w:val="22"/>
        </w:rPr>
        <w:t>3</w:t>
      </w:r>
      <w:r w:rsidR="00D3103D" w:rsidRPr="00C34204">
        <w:rPr>
          <w:rFonts w:ascii="Trebuchet MS" w:hAnsi="Trebuchet MS"/>
          <w:sz w:val="22"/>
          <w:szCs w:val="22"/>
        </w:rPr>
        <w:t>;</w:t>
      </w:r>
    </w:p>
    <w:p w14:paraId="12C0DD92" w14:textId="5AA68D7F" w:rsidR="009A2BEA" w:rsidRPr="00AB4425" w:rsidRDefault="00D3103D">
      <w:pPr>
        <w:numPr>
          <w:ilvl w:val="0"/>
          <w:numId w:val="2"/>
        </w:numPr>
        <w:spacing w:line="480" w:lineRule="auto"/>
        <w:jc w:val="both"/>
        <w:rPr>
          <w:rFonts w:ascii="Trebuchet MS" w:hAnsi="Trebuchet MS"/>
          <w:sz w:val="22"/>
          <w:szCs w:val="22"/>
        </w:rPr>
      </w:pPr>
      <w:bookmarkStart w:id="5" w:name="_Hlk138943660"/>
      <w:r w:rsidRPr="00AB4425">
        <w:rPr>
          <w:rFonts w:ascii="Trebuchet MS" w:hAnsi="Trebuchet MS"/>
          <w:sz w:val="22"/>
          <w:szCs w:val="22"/>
        </w:rPr>
        <w:t xml:space="preserve">Draft </w:t>
      </w:r>
      <w:r w:rsidR="004D057D">
        <w:rPr>
          <w:rFonts w:ascii="Trebuchet MS" w:hAnsi="Trebuchet MS"/>
          <w:sz w:val="22"/>
          <w:szCs w:val="22"/>
        </w:rPr>
        <w:t>Children’s Medical Center Corporation</w:t>
      </w:r>
      <w:r w:rsidR="00CD7216" w:rsidRPr="00AB4425">
        <w:rPr>
          <w:rFonts w:ascii="Trebuchet MS" w:hAnsi="Trebuchet MS"/>
          <w:sz w:val="22"/>
          <w:szCs w:val="22"/>
        </w:rPr>
        <w:t xml:space="preserve"> Application Form</w:t>
      </w:r>
      <w:r w:rsidRPr="00AB4425">
        <w:rPr>
          <w:rFonts w:ascii="Trebuchet MS" w:hAnsi="Trebuchet MS"/>
          <w:sz w:val="22"/>
          <w:szCs w:val="22"/>
        </w:rPr>
        <w:t xml:space="preserve"> for </w:t>
      </w:r>
      <w:proofErr w:type="spellStart"/>
      <w:r w:rsidRPr="00AB4425">
        <w:rPr>
          <w:rFonts w:ascii="Trebuchet MS" w:hAnsi="Trebuchet MS"/>
          <w:sz w:val="22"/>
          <w:szCs w:val="22"/>
        </w:rPr>
        <w:t>D</w:t>
      </w:r>
      <w:r w:rsidR="009F64E3">
        <w:rPr>
          <w:rFonts w:ascii="Trebuchet MS" w:hAnsi="Trebuchet MS"/>
          <w:sz w:val="22"/>
          <w:szCs w:val="22"/>
        </w:rPr>
        <w:t>o</w:t>
      </w:r>
      <w:r w:rsidRPr="00AB4425">
        <w:rPr>
          <w:rFonts w:ascii="Trebuchet MS" w:hAnsi="Trebuchet MS"/>
          <w:sz w:val="22"/>
          <w:szCs w:val="22"/>
        </w:rPr>
        <w:t>N</w:t>
      </w:r>
      <w:proofErr w:type="spellEnd"/>
      <w:r w:rsidRPr="00AB4425">
        <w:rPr>
          <w:rFonts w:ascii="Trebuchet MS" w:hAnsi="Trebuchet MS"/>
          <w:sz w:val="22"/>
          <w:szCs w:val="22"/>
        </w:rPr>
        <w:t xml:space="preserve"> Application</w:t>
      </w:r>
      <w:bookmarkEnd w:id="5"/>
      <w:r w:rsidR="00C34204">
        <w:rPr>
          <w:rFonts w:ascii="Trebuchet MS" w:hAnsi="Trebuchet MS"/>
          <w:sz w:val="22"/>
          <w:szCs w:val="22"/>
        </w:rPr>
        <w:t xml:space="preserve"> </w:t>
      </w:r>
      <w:r w:rsidR="00C51D9F">
        <w:rPr>
          <w:rFonts w:ascii="Trebuchet MS" w:hAnsi="Trebuchet MS"/>
          <w:sz w:val="22"/>
          <w:szCs w:val="22"/>
        </w:rPr>
        <w:t>provided on</w:t>
      </w:r>
      <w:r w:rsidR="00C34204">
        <w:rPr>
          <w:rFonts w:ascii="Trebuchet MS" w:hAnsi="Trebuchet MS"/>
          <w:sz w:val="22"/>
          <w:szCs w:val="22"/>
        </w:rPr>
        <w:t xml:space="preserve"> </w:t>
      </w:r>
      <w:r w:rsidR="00C51D9F">
        <w:rPr>
          <w:rFonts w:ascii="Trebuchet MS" w:hAnsi="Trebuchet MS"/>
          <w:sz w:val="22"/>
          <w:szCs w:val="22"/>
        </w:rPr>
        <w:t>August 30, 2023</w:t>
      </w:r>
      <w:r w:rsidRPr="00AB4425">
        <w:rPr>
          <w:rFonts w:ascii="Trebuchet MS" w:hAnsi="Trebuchet MS"/>
          <w:sz w:val="22"/>
          <w:szCs w:val="22"/>
        </w:rPr>
        <w:t>;</w:t>
      </w:r>
    </w:p>
    <w:p w14:paraId="2A6A6342" w14:textId="74F91B48" w:rsidR="005876E8" w:rsidRDefault="00D3103D" w:rsidP="0050076D">
      <w:pPr>
        <w:numPr>
          <w:ilvl w:val="0"/>
          <w:numId w:val="2"/>
        </w:numPr>
        <w:spacing w:line="480" w:lineRule="auto"/>
        <w:jc w:val="both"/>
        <w:rPr>
          <w:rFonts w:ascii="Trebuchet MS" w:hAnsi="Trebuchet MS"/>
          <w:sz w:val="22"/>
          <w:szCs w:val="22"/>
        </w:rPr>
      </w:pPr>
      <w:r w:rsidRPr="000D36DA">
        <w:rPr>
          <w:rFonts w:ascii="Trebuchet MS" w:hAnsi="Trebuchet MS"/>
          <w:sz w:val="22"/>
          <w:szCs w:val="22"/>
        </w:rPr>
        <w:lastRenderedPageBreak/>
        <w:t>Audited Financial Statements for</w:t>
      </w:r>
      <w:bookmarkStart w:id="6" w:name="_Hlk57821392"/>
      <w:r w:rsidR="000E384B" w:rsidRPr="000D36DA">
        <w:rPr>
          <w:rFonts w:ascii="Trebuchet MS" w:hAnsi="Trebuchet MS"/>
          <w:sz w:val="22"/>
          <w:szCs w:val="22"/>
        </w:rPr>
        <w:t xml:space="preserve"> </w:t>
      </w:r>
      <w:r w:rsidR="00C34204" w:rsidRPr="00C34204">
        <w:rPr>
          <w:rFonts w:ascii="Trebuchet MS" w:hAnsi="Trebuchet MS"/>
          <w:sz w:val="22"/>
          <w:szCs w:val="22"/>
        </w:rPr>
        <w:t>Boston Children’s Hospital and Subsidiaries</w:t>
      </w:r>
      <w:r w:rsidR="0014288E" w:rsidRPr="000D36DA">
        <w:rPr>
          <w:rFonts w:ascii="Trebuchet MS" w:hAnsi="Trebuchet MS"/>
          <w:sz w:val="22"/>
          <w:szCs w:val="22"/>
        </w:rPr>
        <w:t xml:space="preserve"> </w:t>
      </w:r>
      <w:bookmarkEnd w:id="6"/>
      <w:r w:rsidRPr="000D36DA">
        <w:rPr>
          <w:rFonts w:ascii="Trebuchet MS" w:hAnsi="Trebuchet MS"/>
          <w:sz w:val="22"/>
          <w:szCs w:val="22"/>
        </w:rPr>
        <w:t>for Fiscal Year</w:t>
      </w:r>
      <w:r w:rsidR="005765D8" w:rsidRPr="000D36DA">
        <w:rPr>
          <w:rFonts w:ascii="Trebuchet MS" w:hAnsi="Trebuchet MS"/>
          <w:sz w:val="22"/>
          <w:szCs w:val="22"/>
        </w:rPr>
        <w:t>s</w:t>
      </w:r>
      <w:r w:rsidRPr="000D36DA">
        <w:rPr>
          <w:rFonts w:ascii="Trebuchet MS" w:hAnsi="Trebuchet MS"/>
          <w:sz w:val="22"/>
          <w:szCs w:val="22"/>
        </w:rPr>
        <w:t xml:space="preserve"> </w:t>
      </w:r>
      <w:r w:rsidR="009F125A" w:rsidRPr="000D36DA">
        <w:rPr>
          <w:rFonts w:ascii="Trebuchet MS" w:hAnsi="Trebuchet MS"/>
          <w:sz w:val="22"/>
          <w:szCs w:val="22"/>
        </w:rPr>
        <w:t>Ended</w:t>
      </w:r>
      <w:r w:rsidR="004D057D">
        <w:rPr>
          <w:rFonts w:ascii="Trebuchet MS" w:hAnsi="Trebuchet MS"/>
          <w:sz w:val="22"/>
          <w:szCs w:val="22"/>
        </w:rPr>
        <w:t xml:space="preserve"> September</w:t>
      </w:r>
      <w:r w:rsidRPr="000D36DA">
        <w:rPr>
          <w:rFonts w:ascii="Trebuchet MS" w:hAnsi="Trebuchet MS"/>
          <w:sz w:val="22"/>
          <w:szCs w:val="22"/>
        </w:rPr>
        <w:t xml:space="preserve"> 30, 20</w:t>
      </w:r>
      <w:r w:rsidR="00287E8A">
        <w:rPr>
          <w:rFonts w:ascii="Trebuchet MS" w:hAnsi="Trebuchet MS"/>
          <w:sz w:val="22"/>
          <w:szCs w:val="22"/>
        </w:rPr>
        <w:t xml:space="preserve">19 through </w:t>
      </w:r>
      <w:r w:rsidR="000E384B" w:rsidRPr="000D36DA">
        <w:rPr>
          <w:rFonts w:ascii="Trebuchet MS" w:hAnsi="Trebuchet MS"/>
          <w:sz w:val="22"/>
          <w:szCs w:val="22"/>
        </w:rPr>
        <w:t>20</w:t>
      </w:r>
      <w:r w:rsidR="00287E8A">
        <w:rPr>
          <w:rFonts w:ascii="Trebuchet MS" w:hAnsi="Trebuchet MS"/>
          <w:sz w:val="22"/>
          <w:szCs w:val="22"/>
        </w:rPr>
        <w:t>2</w:t>
      </w:r>
      <w:r w:rsidR="004D057D">
        <w:rPr>
          <w:rFonts w:ascii="Trebuchet MS" w:hAnsi="Trebuchet MS"/>
          <w:sz w:val="22"/>
          <w:szCs w:val="22"/>
        </w:rPr>
        <w:t>2</w:t>
      </w:r>
      <w:r w:rsidRPr="000D36DA">
        <w:rPr>
          <w:rFonts w:ascii="Trebuchet MS" w:hAnsi="Trebuchet MS"/>
          <w:sz w:val="22"/>
          <w:szCs w:val="22"/>
        </w:rPr>
        <w:t>;</w:t>
      </w:r>
    </w:p>
    <w:p w14:paraId="203A3E3F" w14:textId="57862328" w:rsidR="00805077" w:rsidRDefault="00AB4425" w:rsidP="00691528">
      <w:pPr>
        <w:numPr>
          <w:ilvl w:val="0"/>
          <w:numId w:val="2"/>
        </w:numPr>
        <w:spacing w:line="480" w:lineRule="auto"/>
        <w:jc w:val="both"/>
        <w:rPr>
          <w:rFonts w:ascii="Trebuchet MS" w:hAnsi="Trebuchet MS"/>
          <w:sz w:val="22"/>
          <w:szCs w:val="22"/>
        </w:rPr>
      </w:pPr>
      <w:r>
        <w:rPr>
          <w:rFonts w:ascii="Trebuchet MS" w:hAnsi="Trebuchet MS"/>
          <w:sz w:val="22"/>
          <w:szCs w:val="22"/>
        </w:rPr>
        <w:t xml:space="preserve">Unaudited </w:t>
      </w:r>
      <w:r w:rsidR="00691528">
        <w:rPr>
          <w:rFonts w:ascii="Trebuchet MS" w:hAnsi="Trebuchet MS"/>
          <w:sz w:val="22"/>
          <w:szCs w:val="22"/>
        </w:rPr>
        <w:t xml:space="preserve">Comparative Statement of Revenues and Expenses for </w:t>
      </w:r>
      <w:r w:rsidR="00C34204" w:rsidRPr="00C34204">
        <w:rPr>
          <w:rFonts w:ascii="Trebuchet MS" w:hAnsi="Trebuchet MS"/>
          <w:sz w:val="22"/>
          <w:szCs w:val="22"/>
        </w:rPr>
        <w:t>Children’s Medical Center Corporation</w:t>
      </w:r>
      <w:r w:rsidR="00691528" w:rsidRPr="00C34204">
        <w:rPr>
          <w:rFonts w:ascii="Trebuchet MS" w:hAnsi="Trebuchet MS"/>
          <w:sz w:val="22"/>
          <w:szCs w:val="22"/>
        </w:rPr>
        <w:t xml:space="preserve"> for the period ended June 30, 2023</w:t>
      </w:r>
      <w:r w:rsidRPr="00C34204">
        <w:rPr>
          <w:rFonts w:ascii="Trebuchet MS" w:hAnsi="Trebuchet MS"/>
          <w:sz w:val="22"/>
          <w:szCs w:val="22"/>
        </w:rPr>
        <w:t>;</w:t>
      </w:r>
      <w:r w:rsidR="00805077" w:rsidRPr="00C34204">
        <w:rPr>
          <w:rFonts w:ascii="Trebuchet MS" w:hAnsi="Trebuchet MS"/>
          <w:sz w:val="22"/>
          <w:szCs w:val="22"/>
        </w:rPr>
        <w:t xml:space="preserve"> </w:t>
      </w:r>
    </w:p>
    <w:p w14:paraId="0B43D90C" w14:textId="77777777" w:rsidR="00FE2F5E" w:rsidRDefault="00FE2F5E" w:rsidP="00FE2F5E">
      <w:pPr>
        <w:numPr>
          <w:ilvl w:val="0"/>
          <w:numId w:val="2"/>
        </w:numPr>
        <w:spacing w:line="480" w:lineRule="auto"/>
        <w:jc w:val="both"/>
        <w:rPr>
          <w:rFonts w:ascii="Trebuchet MS" w:hAnsi="Trebuchet MS"/>
          <w:sz w:val="22"/>
          <w:szCs w:val="22"/>
        </w:rPr>
      </w:pPr>
      <w:r>
        <w:rPr>
          <w:rFonts w:ascii="Trebuchet MS" w:hAnsi="Trebuchet MS"/>
          <w:sz w:val="22"/>
          <w:szCs w:val="22"/>
        </w:rPr>
        <w:t xml:space="preserve">Project RISE - </w:t>
      </w:r>
      <w:r w:rsidRPr="00BD0038">
        <w:rPr>
          <w:rFonts w:ascii="Trebuchet MS" w:hAnsi="Trebuchet MS"/>
          <w:sz w:val="22"/>
          <w:szCs w:val="22"/>
        </w:rPr>
        <w:t>Management Action Plan</w:t>
      </w:r>
      <w:r>
        <w:rPr>
          <w:rFonts w:ascii="Trebuchet MS" w:hAnsi="Trebuchet MS"/>
          <w:sz w:val="22"/>
          <w:szCs w:val="22"/>
        </w:rPr>
        <w:t xml:space="preserve"> as of July 24, 2023;</w:t>
      </w:r>
    </w:p>
    <w:p w14:paraId="10F930E8" w14:textId="706A1849" w:rsidR="00BD0038" w:rsidRDefault="00BD0038" w:rsidP="0050076D">
      <w:pPr>
        <w:numPr>
          <w:ilvl w:val="0"/>
          <w:numId w:val="2"/>
        </w:numPr>
        <w:spacing w:line="480" w:lineRule="auto"/>
        <w:jc w:val="both"/>
        <w:rPr>
          <w:rFonts w:ascii="Trebuchet MS" w:hAnsi="Trebuchet MS"/>
          <w:sz w:val="22"/>
          <w:szCs w:val="22"/>
        </w:rPr>
      </w:pPr>
      <w:r>
        <w:rPr>
          <w:rFonts w:ascii="Trebuchet MS" w:hAnsi="Trebuchet MS"/>
          <w:sz w:val="22"/>
          <w:szCs w:val="22"/>
        </w:rPr>
        <w:t>Drivers of Financial Performance (FY 2023 – YTD April) Presentation to the Finance Committee on July 26, 2023;</w:t>
      </w:r>
    </w:p>
    <w:p w14:paraId="7E12834D" w14:textId="26789EB2" w:rsidR="00BD0038" w:rsidRDefault="00BD0038">
      <w:pPr>
        <w:numPr>
          <w:ilvl w:val="0"/>
          <w:numId w:val="2"/>
        </w:numPr>
        <w:spacing w:line="480" w:lineRule="auto"/>
        <w:jc w:val="both"/>
        <w:rPr>
          <w:rFonts w:ascii="Trebuchet MS" w:hAnsi="Trebuchet MS"/>
          <w:sz w:val="22"/>
          <w:szCs w:val="22"/>
        </w:rPr>
      </w:pPr>
      <w:r>
        <w:rPr>
          <w:rFonts w:ascii="Trebuchet MS" w:hAnsi="Trebuchet MS"/>
          <w:sz w:val="22"/>
          <w:szCs w:val="22"/>
        </w:rPr>
        <w:t xml:space="preserve">Historical Budget Tracking for </w:t>
      </w:r>
      <w:r w:rsidRPr="00BD0038">
        <w:rPr>
          <w:rFonts w:ascii="Trebuchet MS" w:hAnsi="Trebuchet MS"/>
          <w:sz w:val="22"/>
          <w:szCs w:val="22"/>
        </w:rPr>
        <w:t>CMCC for the periods ending September 30, 20</w:t>
      </w:r>
      <w:r>
        <w:rPr>
          <w:rFonts w:ascii="Trebuchet MS" w:hAnsi="Trebuchet MS"/>
          <w:sz w:val="22"/>
          <w:szCs w:val="22"/>
        </w:rPr>
        <w:t>05</w:t>
      </w:r>
      <w:r w:rsidRPr="00BD0038">
        <w:rPr>
          <w:rFonts w:ascii="Trebuchet MS" w:hAnsi="Trebuchet MS"/>
          <w:sz w:val="22"/>
          <w:szCs w:val="22"/>
        </w:rPr>
        <w:t>, through September 30, 20</w:t>
      </w:r>
      <w:r>
        <w:rPr>
          <w:rFonts w:ascii="Trebuchet MS" w:hAnsi="Trebuchet MS"/>
          <w:sz w:val="22"/>
          <w:szCs w:val="22"/>
        </w:rPr>
        <w:t>19</w:t>
      </w:r>
      <w:r w:rsidRPr="00BD0038">
        <w:rPr>
          <w:rFonts w:ascii="Trebuchet MS" w:hAnsi="Trebuchet MS"/>
          <w:sz w:val="22"/>
          <w:szCs w:val="22"/>
        </w:rPr>
        <w:t>;</w:t>
      </w:r>
    </w:p>
    <w:p w14:paraId="323B7C73" w14:textId="68E52E34" w:rsidR="00BD0038" w:rsidRDefault="00BD0038">
      <w:pPr>
        <w:numPr>
          <w:ilvl w:val="0"/>
          <w:numId w:val="2"/>
        </w:numPr>
        <w:spacing w:line="480" w:lineRule="auto"/>
        <w:jc w:val="both"/>
        <w:rPr>
          <w:rFonts w:ascii="Trebuchet MS" w:hAnsi="Trebuchet MS"/>
          <w:sz w:val="22"/>
          <w:szCs w:val="22"/>
        </w:rPr>
      </w:pPr>
      <w:r w:rsidRPr="003E1A80">
        <w:rPr>
          <w:rFonts w:ascii="Trebuchet MS" w:hAnsi="Trebuchet MS"/>
          <w:sz w:val="22"/>
          <w:szCs w:val="22"/>
        </w:rPr>
        <w:t>Definitive Healthcare data;</w:t>
      </w:r>
    </w:p>
    <w:p w14:paraId="2695AF33" w14:textId="021D1F04" w:rsidR="004270B5" w:rsidRPr="00C34204" w:rsidRDefault="004611E1">
      <w:pPr>
        <w:numPr>
          <w:ilvl w:val="0"/>
          <w:numId w:val="2"/>
        </w:numPr>
        <w:spacing w:line="480" w:lineRule="auto"/>
        <w:jc w:val="both"/>
        <w:rPr>
          <w:rFonts w:ascii="Trebuchet MS" w:hAnsi="Trebuchet MS"/>
          <w:sz w:val="22"/>
          <w:szCs w:val="22"/>
        </w:rPr>
      </w:pPr>
      <w:r w:rsidRPr="00C34204">
        <w:rPr>
          <w:rFonts w:ascii="Trebuchet MS" w:hAnsi="Trebuchet MS"/>
          <w:sz w:val="22"/>
          <w:szCs w:val="22"/>
        </w:rPr>
        <w:t xml:space="preserve">Data obtained from Integra Information, A Division of </w:t>
      </w:r>
      <w:proofErr w:type="spellStart"/>
      <w:r w:rsidRPr="00C34204">
        <w:rPr>
          <w:rFonts w:ascii="Trebuchet MS" w:hAnsi="Trebuchet MS"/>
          <w:sz w:val="22"/>
          <w:szCs w:val="22"/>
        </w:rPr>
        <w:t>Microbilt</w:t>
      </w:r>
      <w:proofErr w:type="spellEnd"/>
      <w:r w:rsidRPr="00C34204">
        <w:rPr>
          <w:rFonts w:ascii="Trebuchet MS" w:hAnsi="Trebuchet MS"/>
          <w:sz w:val="22"/>
          <w:szCs w:val="22"/>
        </w:rPr>
        <w:t xml:space="preserve"> Corporation</w:t>
      </w:r>
      <w:r w:rsidR="006C4C2B" w:rsidRPr="00C34204">
        <w:rPr>
          <w:rFonts w:ascii="Trebuchet MS" w:hAnsi="Trebuchet MS"/>
          <w:sz w:val="22"/>
          <w:szCs w:val="22"/>
        </w:rPr>
        <w:t xml:space="preserve"> as of </w:t>
      </w:r>
      <w:r w:rsidR="00CB5216">
        <w:rPr>
          <w:rFonts w:ascii="Trebuchet MS" w:hAnsi="Trebuchet MS"/>
          <w:sz w:val="22"/>
          <w:szCs w:val="22"/>
        </w:rPr>
        <w:t>August 4</w:t>
      </w:r>
      <w:r w:rsidR="006C4C2B" w:rsidRPr="00C34204">
        <w:rPr>
          <w:rFonts w:ascii="Trebuchet MS" w:hAnsi="Trebuchet MS"/>
          <w:sz w:val="22"/>
          <w:szCs w:val="22"/>
        </w:rPr>
        <w:t>, 2023</w:t>
      </w:r>
      <w:r w:rsidR="004270B5" w:rsidRPr="00C34204">
        <w:rPr>
          <w:rFonts w:ascii="Trebuchet MS" w:hAnsi="Trebuchet MS"/>
          <w:sz w:val="22"/>
          <w:szCs w:val="22"/>
        </w:rPr>
        <w:t xml:space="preserve">; and, </w:t>
      </w:r>
    </w:p>
    <w:p w14:paraId="5D1F679F" w14:textId="74A3FD25" w:rsidR="004A6767" w:rsidRDefault="00D3103D" w:rsidP="00A22182">
      <w:pPr>
        <w:numPr>
          <w:ilvl w:val="0"/>
          <w:numId w:val="2"/>
        </w:numPr>
        <w:spacing w:line="480" w:lineRule="auto"/>
        <w:jc w:val="both"/>
        <w:rPr>
          <w:rFonts w:ascii="Trebuchet MS" w:hAnsi="Trebuchet MS"/>
          <w:sz w:val="22"/>
          <w:szCs w:val="22"/>
        </w:rPr>
      </w:pPr>
      <w:r w:rsidRPr="000D36DA">
        <w:rPr>
          <w:rFonts w:ascii="Trebuchet MS" w:hAnsi="Trebuchet MS"/>
          <w:sz w:val="22"/>
          <w:szCs w:val="22"/>
        </w:rPr>
        <w:t>IBISWorld Industry Report</w:t>
      </w:r>
      <w:r w:rsidR="00287E8A">
        <w:rPr>
          <w:rFonts w:ascii="Trebuchet MS" w:hAnsi="Trebuchet MS"/>
          <w:sz w:val="22"/>
          <w:szCs w:val="22"/>
        </w:rPr>
        <w:t xml:space="preserve"> 62211:</w:t>
      </w:r>
      <w:r w:rsidRPr="000D36DA">
        <w:rPr>
          <w:rFonts w:ascii="Trebuchet MS" w:hAnsi="Trebuchet MS"/>
          <w:sz w:val="22"/>
          <w:szCs w:val="22"/>
        </w:rPr>
        <w:t xml:space="preserve"> Hospitals in the US, dated </w:t>
      </w:r>
      <w:r w:rsidR="006C4C2B">
        <w:rPr>
          <w:rFonts w:ascii="Trebuchet MS" w:hAnsi="Trebuchet MS"/>
          <w:sz w:val="22"/>
          <w:szCs w:val="22"/>
        </w:rPr>
        <w:t xml:space="preserve">January </w:t>
      </w:r>
      <w:r w:rsidR="00805077">
        <w:rPr>
          <w:rFonts w:ascii="Trebuchet MS" w:hAnsi="Trebuchet MS"/>
          <w:sz w:val="22"/>
          <w:szCs w:val="22"/>
        </w:rPr>
        <w:t>202</w:t>
      </w:r>
      <w:r w:rsidR="006C4C2B">
        <w:rPr>
          <w:rFonts w:ascii="Trebuchet MS" w:hAnsi="Trebuchet MS"/>
          <w:sz w:val="22"/>
          <w:szCs w:val="22"/>
        </w:rPr>
        <w:t>3</w:t>
      </w:r>
      <w:r w:rsidR="00805077">
        <w:rPr>
          <w:rFonts w:ascii="Trebuchet MS" w:hAnsi="Trebuchet MS"/>
          <w:sz w:val="22"/>
          <w:szCs w:val="22"/>
        </w:rPr>
        <w:t xml:space="preserve">. </w:t>
      </w:r>
    </w:p>
    <w:p w14:paraId="38336601" w14:textId="77777777" w:rsidR="009E7927" w:rsidRDefault="009E7927" w:rsidP="002E238B">
      <w:pPr>
        <w:spacing w:line="480" w:lineRule="auto"/>
        <w:ind w:left="720"/>
        <w:jc w:val="both"/>
        <w:rPr>
          <w:rFonts w:ascii="Trebuchet MS" w:hAnsi="Trebuchet MS"/>
          <w:sz w:val="22"/>
          <w:szCs w:val="22"/>
        </w:rPr>
      </w:pPr>
    </w:p>
    <w:p w14:paraId="33ACA851"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REVIEW OF THE PROJECTIONS</w:t>
      </w:r>
    </w:p>
    <w:p w14:paraId="7235F4B6" w14:textId="76CC71A2"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This section of our report summarizes our review of the reasonableness of the assumptions used and feasibility of the Projections. </w:t>
      </w:r>
    </w:p>
    <w:p w14:paraId="0F5CD17D" w14:textId="57AFF290" w:rsidR="007560FB"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The following tables present the Key Metrics, as defined below, which compare the operating results of the Projections to market information from Integra Reports (“Integra”), IBISWorld, and Definitive Healthcare as well as the Applicant’s historical performance, to assess the reasonableness of the projections.</w:t>
      </w:r>
    </w:p>
    <w:p w14:paraId="13F950F6" w14:textId="47558710" w:rsidR="005F42AD" w:rsidRDefault="005F42AD" w:rsidP="00B26FD1">
      <w:pPr>
        <w:tabs>
          <w:tab w:val="num" w:pos="1260"/>
        </w:tabs>
        <w:spacing w:line="480" w:lineRule="auto"/>
        <w:jc w:val="both"/>
        <w:rPr>
          <w:rFonts w:ascii="Trebuchet MS" w:hAnsi="Trebuchet MS"/>
          <w:sz w:val="22"/>
          <w:szCs w:val="22"/>
        </w:rPr>
      </w:pPr>
    </w:p>
    <w:p w14:paraId="372B3BE4" w14:textId="77777777" w:rsidR="002C3F11" w:rsidRDefault="002C3F11" w:rsidP="00B26FD1">
      <w:pPr>
        <w:tabs>
          <w:tab w:val="num" w:pos="1260"/>
        </w:tabs>
        <w:spacing w:line="480" w:lineRule="auto"/>
        <w:jc w:val="both"/>
        <w:rPr>
          <w:rFonts w:ascii="Trebuchet MS" w:hAnsi="Trebuchet MS"/>
          <w:sz w:val="22"/>
          <w:szCs w:val="22"/>
        </w:rPr>
      </w:pPr>
    </w:p>
    <w:p w14:paraId="4159F9A7" w14:textId="06D13D15" w:rsidR="00211425" w:rsidRPr="00584795" w:rsidRDefault="00675782" w:rsidP="009E7927">
      <w:pPr>
        <w:tabs>
          <w:tab w:val="num" w:pos="1260"/>
        </w:tabs>
        <w:jc w:val="both"/>
        <w:rPr>
          <w:rFonts w:ascii="Trebuchet MS" w:hAnsi="Trebuchet MS"/>
          <w:b/>
          <w:bCs/>
          <w:sz w:val="22"/>
          <w:szCs w:val="22"/>
        </w:rPr>
      </w:pPr>
      <w:r w:rsidRPr="00584795">
        <w:rPr>
          <w:rFonts w:ascii="Trebuchet MS" w:hAnsi="Trebuchet MS"/>
          <w:b/>
          <w:bCs/>
          <w:sz w:val="22"/>
          <w:szCs w:val="22"/>
        </w:rPr>
        <w:lastRenderedPageBreak/>
        <w:t xml:space="preserve">Projected </w:t>
      </w:r>
      <w:r w:rsidR="00211425" w:rsidRPr="00584795">
        <w:rPr>
          <w:rFonts w:ascii="Trebuchet MS" w:hAnsi="Trebuchet MS"/>
          <w:b/>
          <w:bCs/>
          <w:sz w:val="22"/>
          <w:szCs w:val="22"/>
        </w:rPr>
        <w:t>Key Financial Metrics and Ratios</w:t>
      </w:r>
    </w:p>
    <w:tbl>
      <w:tblPr>
        <w:tblStyle w:val="TableGrid"/>
        <w:tblW w:w="0" w:type="auto"/>
        <w:jc w:val="center"/>
        <w:tblLayout w:type="fixed"/>
        <w:tblLook w:val="04A0" w:firstRow="1" w:lastRow="0" w:firstColumn="1" w:lastColumn="0" w:noHBand="0" w:noVBand="1"/>
        <w:tblCaption w:val="Projected Key Financial Metrics and Ratios"/>
      </w:tblPr>
      <w:tblGrid>
        <w:gridCol w:w="1795"/>
        <w:gridCol w:w="646"/>
        <w:gridCol w:w="646"/>
        <w:gridCol w:w="647"/>
        <w:gridCol w:w="646"/>
        <w:gridCol w:w="646"/>
        <w:gridCol w:w="647"/>
        <w:gridCol w:w="646"/>
        <w:gridCol w:w="646"/>
        <w:gridCol w:w="647"/>
        <w:gridCol w:w="753"/>
        <w:gridCol w:w="720"/>
      </w:tblGrid>
      <w:tr w:rsidR="00B97440" w14:paraId="7352A790" w14:textId="77777777" w:rsidTr="00616C16">
        <w:trPr>
          <w:cantSplit/>
          <w:trHeight w:val="418"/>
          <w:tblHeader/>
          <w:jc w:val="center"/>
        </w:trPr>
        <w:tc>
          <w:tcPr>
            <w:tcW w:w="1795" w:type="dxa"/>
            <w:vAlign w:val="center"/>
          </w:tcPr>
          <w:p w14:paraId="3027EA8C" w14:textId="77777777" w:rsidR="00B97440" w:rsidRPr="007560FB" w:rsidRDefault="00B97440" w:rsidP="00BB18FD">
            <w:pPr>
              <w:tabs>
                <w:tab w:val="num" w:pos="1260"/>
              </w:tabs>
              <w:jc w:val="both"/>
              <w:rPr>
                <w:rFonts w:ascii="Trebuchet MS" w:hAnsi="Trebuchet MS"/>
                <w:sz w:val="15"/>
                <w:szCs w:val="15"/>
              </w:rPr>
            </w:pPr>
            <w:r w:rsidRPr="007560FB">
              <w:rPr>
                <w:rFonts w:ascii="Trebuchet MS" w:hAnsi="Trebuchet MS"/>
                <w:sz w:val="15"/>
                <w:szCs w:val="15"/>
              </w:rPr>
              <w:t>Children’s Medical Center Corporation</w:t>
            </w:r>
          </w:p>
        </w:tc>
        <w:tc>
          <w:tcPr>
            <w:tcW w:w="646" w:type="dxa"/>
            <w:vAlign w:val="center"/>
          </w:tcPr>
          <w:p w14:paraId="065DBAAE"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2023</w:t>
            </w:r>
          </w:p>
        </w:tc>
        <w:tc>
          <w:tcPr>
            <w:tcW w:w="646" w:type="dxa"/>
            <w:vAlign w:val="center"/>
          </w:tcPr>
          <w:p w14:paraId="54CF5311"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2024</w:t>
            </w:r>
          </w:p>
        </w:tc>
        <w:tc>
          <w:tcPr>
            <w:tcW w:w="647" w:type="dxa"/>
            <w:vAlign w:val="center"/>
          </w:tcPr>
          <w:p w14:paraId="30B2934F"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2025</w:t>
            </w:r>
          </w:p>
        </w:tc>
        <w:tc>
          <w:tcPr>
            <w:tcW w:w="646" w:type="dxa"/>
            <w:vAlign w:val="center"/>
          </w:tcPr>
          <w:p w14:paraId="4DCA1943"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2026</w:t>
            </w:r>
          </w:p>
        </w:tc>
        <w:tc>
          <w:tcPr>
            <w:tcW w:w="646" w:type="dxa"/>
            <w:vAlign w:val="center"/>
          </w:tcPr>
          <w:p w14:paraId="5D37F7D4"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2027</w:t>
            </w:r>
          </w:p>
        </w:tc>
        <w:tc>
          <w:tcPr>
            <w:tcW w:w="647" w:type="dxa"/>
            <w:vAlign w:val="center"/>
          </w:tcPr>
          <w:p w14:paraId="472B6DB6"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2028</w:t>
            </w:r>
          </w:p>
        </w:tc>
        <w:tc>
          <w:tcPr>
            <w:tcW w:w="646" w:type="dxa"/>
            <w:vAlign w:val="center"/>
          </w:tcPr>
          <w:p w14:paraId="681CB5F5"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2029</w:t>
            </w:r>
          </w:p>
        </w:tc>
        <w:tc>
          <w:tcPr>
            <w:tcW w:w="646" w:type="dxa"/>
            <w:vAlign w:val="center"/>
          </w:tcPr>
          <w:p w14:paraId="307D65DA"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2030</w:t>
            </w:r>
          </w:p>
        </w:tc>
        <w:tc>
          <w:tcPr>
            <w:tcW w:w="647" w:type="dxa"/>
            <w:vAlign w:val="center"/>
          </w:tcPr>
          <w:p w14:paraId="55B91A9C"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2031</w:t>
            </w:r>
          </w:p>
        </w:tc>
        <w:tc>
          <w:tcPr>
            <w:tcW w:w="753" w:type="dxa"/>
            <w:vAlign w:val="center"/>
          </w:tcPr>
          <w:p w14:paraId="393EB846"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2032</w:t>
            </w:r>
          </w:p>
        </w:tc>
        <w:tc>
          <w:tcPr>
            <w:tcW w:w="720" w:type="dxa"/>
            <w:vAlign w:val="center"/>
          </w:tcPr>
          <w:p w14:paraId="36303AF5"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2033</w:t>
            </w:r>
          </w:p>
        </w:tc>
      </w:tr>
      <w:tr w:rsidR="00B97440" w14:paraId="6A3BA7EE" w14:textId="77777777" w:rsidTr="00616C16">
        <w:trPr>
          <w:cantSplit/>
          <w:trHeight w:val="418"/>
          <w:jc w:val="center"/>
        </w:trPr>
        <w:tc>
          <w:tcPr>
            <w:tcW w:w="1795" w:type="dxa"/>
            <w:vAlign w:val="center"/>
          </w:tcPr>
          <w:p w14:paraId="44F321FE"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3E6BEFA8"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-3.8%</w:t>
            </w:r>
          </w:p>
        </w:tc>
        <w:tc>
          <w:tcPr>
            <w:tcW w:w="646" w:type="dxa"/>
            <w:vAlign w:val="center"/>
          </w:tcPr>
          <w:p w14:paraId="4DD5C67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0.0%</w:t>
            </w:r>
          </w:p>
        </w:tc>
        <w:tc>
          <w:tcPr>
            <w:tcW w:w="647" w:type="dxa"/>
            <w:vAlign w:val="center"/>
          </w:tcPr>
          <w:p w14:paraId="1D2B932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2.4%</w:t>
            </w:r>
          </w:p>
        </w:tc>
        <w:tc>
          <w:tcPr>
            <w:tcW w:w="646" w:type="dxa"/>
            <w:vAlign w:val="center"/>
          </w:tcPr>
          <w:p w14:paraId="2BBA1E49"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1E28907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2.2%</w:t>
            </w:r>
          </w:p>
        </w:tc>
        <w:tc>
          <w:tcPr>
            <w:tcW w:w="647" w:type="dxa"/>
            <w:vAlign w:val="center"/>
          </w:tcPr>
          <w:p w14:paraId="153A023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6D72BBAF"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1.8%</w:t>
            </w:r>
          </w:p>
        </w:tc>
        <w:tc>
          <w:tcPr>
            <w:tcW w:w="646" w:type="dxa"/>
            <w:vAlign w:val="center"/>
          </w:tcPr>
          <w:p w14:paraId="6597170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w:t>
            </w:r>
          </w:p>
        </w:tc>
        <w:tc>
          <w:tcPr>
            <w:tcW w:w="647" w:type="dxa"/>
            <w:vAlign w:val="center"/>
          </w:tcPr>
          <w:p w14:paraId="705AEAC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2.3%</w:t>
            </w:r>
          </w:p>
        </w:tc>
        <w:tc>
          <w:tcPr>
            <w:tcW w:w="753" w:type="dxa"/>
            <w:vAlign w:val="center"/>
          </w:tcPr>
          <w:p w14:paraId="6AED33C6"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2.7%</w:t>
            </w:r>
          </w:p>
        </w:tc>
        <w:tc>
          <w:tcPr>
            <w:tcW w:w="720" w:type="dxa"/>
            <w:vAlign w:val="center"/>
          </w:tcPr>
          <w:p w14:paraId="28E8135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3.1%</w:t>
            </w:r>
          </w:p>
        </w:tc>
      </w:tr>
      <w:tr w:rsidR="00B97440" w14:paraId="428CE956" w14:textId="77777777" w:rsidTr="00616C16">
        <w:trPr>
          <w:cantSplit/>
          <w:trHeight w:val="418"/>
          <w:jc w:val="center"/>
        </w:trPr>
        <w:tc>
          <w:tcPr>
            <w:tcW w:w="1795" w:type="dxa"/>
            <w:vAlign w:val="center"/>
          </w:tcPr>
          <w:p w14:paraId="0DA64ACD"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3F905F2F"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3.2%</w:t>
            </w:r>
          </w:p>
        </w:tc>
        <w:tc>
          <w:tcPr>
            <w:tcW w:w="646" w:type="dxa"/>
            <w:vAlign w:val="center"/>
          </w:tcPr>
          <w:p w14:paraId="20A0573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6.5%</w:t>
            </w:r>
          </w:p>
        </w:tc>
        <w:tc>
          <w:tcPr>
            <w:tcW w:w="647" w:type="dxa"/>
            <w:vAlign w:val="center"/>
          </w:tcPr>
          <w:p w14:paraId="423E4A8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9.3%</w:t>
            </w:r>
          </w:p>
        </w:tc>
        <w:tc>
          <w:tcPr>
            <w:tcW w:w="646" w:type="dxa"/>
            <w:vAlign w:val="center"/>
          </w:tcPr>
          <w:p w14:paraId="6ABDA7FB"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9.4%</w:t>
            </w:r>
          </w:p>
        </w:tc>
        <w:tc>
          <w:tcPr>
            <w:tcW w:w="646" w:type="dxa"/>
            <w:vAlign w:val="center"/>
          </w:tcPr>
          <w:p w14:paraId="08E235F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9.6%</w:t>
            </w:r>
          </w:p>
        </w:tc>
        <w:tc>
          <w:tcPr>
            <w:tcW w:w="647" w:type="dxa"/>
            <w:vAlign w:val="center"/>
          </w:tcPr>
          <w:p w14:paraId="693CAF7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5823B880"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6D69EBA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9.8%</w:t>
            </w:r>
          </w:p>
        </w:tc>
        <w:tc>
          <w:tcPr>
            <w:tcW w:w="647" w:type="dxa"/>
            <w:vAlign w:val="center"/>
          </w:tcPr>
          <w:p w14:paraId="138247C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9.8%</w:t>
            </w:r>
          </w:p>
        </w:tc>
        <w:tc>
          <w:tcPr>
            <w:tcW w:w="753" w:type="dxa"/>
            <w:vAlign w:val="center"/>
          </w:tcPr>
          <w:p w14:paraId="080761C0"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9.9%</w:t>
            </w:r>
          </w:p>
        </w:tc>
        <w:tc>
          <w:tcPr>
            <w:tcW w:w="720" w:type="dxa"/>
            <w:vAlign w:val="center"/>
          </w:tcPr>
          <w:p w14:paraId="1E3DC3CA"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10.0%</w:t>
            </w:r>
          </w:p>
        </w:tc>
      </w:tr>
      <w:tr w:rsidR="00B97440" w14:paraId="5EA47BF7" w14:textId="77777777" w:rsidTr="00616C16">
        <w:trPr>
          <w:cantSplit/>
          <w:trHeight w:val="418"/>
          <w:jc w:val="center"/>
        </w:trPr>
        <w:tc>
          <w:tcPr>
            <w:tcW w:w="1795" w:type="dxa"/>
            <w:vAlign w:val="center"/>
          </w:tcPr>
          <w:p w14:paraId="32E050A0"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6281CF6F"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2.2x</w:t>
            </w:r>
          </w:p>
        </w:tc>
        <w:tc>
          <w:tcPr>
            <w:tcW w:w="646" w:type="dxa"/>
            <w:vAlign w:val="center"/>
          </w:tcPr>
          <w:p w14:paraId="28FFAFD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4.4x</w:t>
            </w:r>
          </w:p>
        </w:tc>
        <w:tc>
          <w:tcPr>
            <w:tcW w:w="647" w:type="dxa"/>
            <w:vAlign w:val="center"/>
          </w:tcPr>
          <w:p w14:paraId="74098EC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6.6x</w:t>
            </w:r>
          </w:p>
        </w:tc>
        <w:tc>
          <w:tcPr>
            <w:tcW w:w="646" w:type="dxa"/>
            <w:vAlign w:val="center"/>
          </w:tcPr>
          <w:p w14:paraId="2DB6CFD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7.0x</w:t>
            </w:r>
          </w:p>
        </w:tc>
        <w:tc>
          <w:tcPr>
            <w:tcW w:w="646" w:type="dxa"/>
            <w:vAlign w:val="center"/>
          </w:tcPr>
          <w:p w14:paraId="5951496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7.4x</w:t>
            </w:r>
          </w:p>
        </w:tc>
        <w:tc>
          <w:tcPr>
            <w:tcW w:w="647" w:type="dxa"/>
            <w:vAlign w:val="center"/>
          </w:tcPr>
          <w:p w14:paraId="1E79880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7.8x</w:t>
            </w:r>
          </w:p>
        </w:tc>
        <w:tc>
          <w:tcPr>
            <w:tcW w:w="646" w:type="dxa"/>
            <w:vAlign w:val="center"/>
          </w:tcPr>
          <w:p w14:paraId="376524D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8.1x</w:t>
            </w:r>
          </w:p>
        </w:tc>
        <w:tc>
          <w:tcPr>
            <w:tcW w:w="646" w:type="dxa"/>
            <w:vAlign w:val="center"/>
          </w:tcPr>
          <w:p w14:paraId="3E42A52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8.5x</w:t>
            </w:r>
          </w:p>
        </w:tc>
        <w:tc>
          <w:tcPr>
            <w:tcW w:w="647" w:type="dxa"/>
            <w:vAlign w:val="center"/>
          </w:tcPr>
          <w:p w14:paraId="1DC644E6"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8.8x</w:t>
            </w:r>
          </w:p>
        </w:tc>
        <w:tc>
          <w:tcPr>
            <w:tcW w:w="753" w:type="dxa"/>
            <w:vAlign w:val="center"/>
          </w:tcPr>
          <w:p w14:paraId="5A4DF7D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9.2x</w:t>
            </w:r>
          </w:p>
        </w:tc>
        <w:tc>
          <w:tcPr>
            <w:tcW w:w="720" w:type="dxa"/>
            <w:vAlign w:val="center"/>
          </w:tcPr>
          <w:p w14:paraId="7C297CC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9.6x</w:t>
            </w:r>
          </w:p>
        </w:tc>
      </w:tr>
      <w:tr w:rsidR="00B97440" w:rsidRPr="00E56196" w14:paraId="01455650" w14:textId="77777777" w:rsidTr="00616C16">
        <w:trPr>
          <w:cantSplit/>
          <w:trHeight w:val="418"/>
          <w:jc w:val="center"/>
        </w:trPr>
        <w:tc>
          <w:tcPr>
            <w:tcW w:w="1795" w:type="dxa"/>
            <w:vAlign w:val="center"/>
          </w:tcPr>
          <w:p w14:paraId="673489DF"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659A135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594</w:t>
            </w:r>
          </w:p>
        </w:tc>
        <w:tc>
          <w:tcPr>
            <w:tcW w:w="646" w:type="dxa"/>
            <w:vAlign w:val="center"/>
          </w:tcPr>
          <w:p w14:paraId="62E5D17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560</w:t>
            </w:r>
          </w:p>
        </w:tc>
        <w:tc>
          <w:tcPr>
            <w:tcW w:w="647" w:type="dxa"/>
            <w:vAlign w:val="center"/>
          </w:tcPr>
          <w:p w14:paraId="25A0C32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483</w:t>
            </w:r>
          </w:p>
        </w:tc>
        <w:tc>
          <w:tcPr>
            <w:tcW w:w="646" w:type="dxa"/>
            <w:vAlign w:val="center"/>
          </w:tcPr>
          <w:p w14:paraId="236B869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477</w:t>
            </w:r>
          </w:p>
        </w:tc>
        <w:tc>
          <w:tcPr>
            <w:tcW w:w="646" w:type="dxa"/>
            <w:vAlign w:val="center"/>
          </w:tcPr>
          <w:p w14:paraId="6F17E789"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464</w:t>
            </w:r>
          </w:p>
        </w:tc>
        <w:tc>
          <w:tcPr>
            <w:tcW w:w="647" w:type="dxa"/>
            <w:vAlign w:val="center"/>
          </w:tcPr>
          <w:p w14:paraId="031A5CF2"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256C723A"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4C66EB65"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458</w:t>
            </w:r>
          </w:p>
        </w:tc>
        <w:tc>
          <w:tcPr>
            <w:tcW w:w="647" w:type="dxa"/>
            <w:vAlign w:val="center"/>
          </w:tcPr>
          <w:p w14:paraId="236167BF"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462</w:t>
            </w:r>
          </w:p>
        </w:tc>
        <w:tc>
          <w:tcPr>
            <w:tcW w:w="753" w:type="dxa"/>
            <w:vAlign w:val="center"/>
          </w:tcPr>
          <w:p w14:paraId="6AD5CCFF"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484</w:t>
            </w:r>
          </w:p>
        </w:tc>
        <w:tc>
          <w:tcPr>
            <w:tcW w:w="720" w:type="dxa"/>
            <w:vAlign w:val="center"/>
          </w:tcPr>
          <w:p w14:paraId="27263ED6"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509</w:t>
            </w:r>
          </w:p>
        </w:tc>
      </w:tr>
      <w:tr w:rsidR="00B97440" w14:paraId="188E5FBF" w14:textId="77777777" w:rsidTr="00616C16">
        <w:trPr>
          <w:cantSplit/>
          <w:trHeight w:val="418"/>
          <w:jc w:val="center"/>
        </w:trPr>
        <w:tc>
          <w:tcPr>
            <w:tcW w:w="1795" w:type="dxa"/>
            <w:vAlign w:val="center"/>
          </w:tcPr>
          <w:p w14:paraId="5C0CE1E0"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75422BA9"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2.2%</w:t>
            </w:r>
          </w:p>
        </w:tc>
        <w:tc>
          <w:tcPr>
            <w:tcW w:w="646" w:type="dxa"/>
            <w:vAlign w:val="center"/>
          </w:tcPr>
          <w:p w14:paraId="0691DD2C"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5.5%</w:t>
            </w:r>
          </w:p>
        </w:tc>
        <w:tc>
          <w:tcPr>
            <w:tcW w:w="647" w:type="dxa"/>
            <w:vAlign w:val="center"/>
          </w:tcPr>
          <w:p w14:paraId="24DE8E5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8.4%</w:t>
            </w:r>
          </w:p>
        </w:tc>
        <w:tc>
          <w:tcPr>
            <w:tcW w:w="646" w:type="dxa"/>
            <w:vAlign w:val="center"/>
          </w:tcPr>
          <w:p w14:paraId="09068F26"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8.5%</w:t>
            </w:r>
          </w:p>
        </w:tc>
        <w:tc>
          <w:tcPr>
            <w:tcW w:w="646" w:type="dxa"/>
            <w:vAlign w:val="center"/>
          </w:tcPr>
          <w:p w14:paraId="5BAE507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8.7%</w:t>
            </w:r>
          </w:p>
        </w:tc>
        <w:tc>
          <w:tcPr>
            <w:tcW w:w="647" w:type="dxa"/>
            <w:vAlign w:val="center"/>
          </w:tcPr>
          <w:p w14:paraId="4952A14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8.8%</w:t>
            </w:r>
          </w:p>
        </w:tc>
        <w:tc>
          <w:tcPr>
            <w:tcW w:w="646" w:type="dxa"/>
            <w:vAlign w:val="center"/>
          </w:tcPr>
          <w:p w14:paraId="020200C8"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8.9%</w:t>
            </w:r>
          </w:p>
        </w:tc>
        <w:tc>
          <w:tcPr>
            <w:tcW w:w="646" w:type="dxa"/>
            <w:vAlign w:val="center"/>
          </w:tcPr>
          <w:p w14:paraId="21E49FEC"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9.0%</w:t>
            </w:r>
          </w:p>
        </w:tc>
        <w:tc>
          <w:tcPr>
            <w:tcW w:w="647" w:type="dxa"/>
            <w:vAlign w:val="center"/>
          </w:tcPr>
          <w:p w14:paraId="5AD7DB1B"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9.0%</w:t>
            </w:r>
          </w:p>
        </w:tc>
        <w:tc>
          <w:tcPr>
            <w:tcW w:w="753" w:type="dxa"/>
            <w:vAlign w:val="center"/>
          </w:tcPr>
          <w:p w14:paraId="25FD786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9.2%</w:t>
            </w:r>
          </w:p>
        </w:tc>
        <w:tc>
          <w:tcPr>
            <w:tcW w:w="720" w:type="dxa"/>
            <w:vAlign w:val="center"/>
          </w:tcPr>
          <w:p w14:paraId="08008F8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9.3%</w:t>
            </w:r>
          </w:p>
        </w:tc>
      </w:tr>
      <w:tr w:rsidR="00B97440" w14:paraId="56C5B232" w14:textId="77777777" w:rsidTr="00616C16">
        <w:trPr>
          <w:cantSplit/>
          <w:trHeight w:val="418"/>
          <w:jc w:val="center"/>
        </w:trPr>
        <w:tc>
          <w:tcPr>
            <w:tcW w:w="1795" w:type="dxa"/>
            <w:vAlign w:val="center"/>
          </w:tcPr>
          <w:p w14:paraId="28FBDCFB"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615964AB"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3D77EC02"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1.4x</w:t>
            </w:r>
          </w:p>
        </w:tc>
        <w:tc>
          <w:tcPr>
            <w:tcW w:w="647" w:type="dxa"/>
            <w:vAlign w:val="center"/>
          </w:tcPr>
          <w:p w14:paraId="3CA5D42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40C9BF2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16B812B8"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1.3</w:t>
            </w:r>
            <w:r w:rsidRPr="00BD4513">
              <w:rPr>
                <w:rFonts w:ascii="Trebuchet MS" w:hAnsi="Trebuchet MS"/>
                <w:sz w:val="14"/>
                <w:szCs w:val="14"/>
              </w:rPr>
              <w:t>x</w:t>
            </w:r>
          </w:p>
        </w:tc>
        <w:tc>
          <w:tcPr>
            <w:tcW w:w="647" w:type="dxa"/>
            <w:vAlign w:val="center"/>
          </w:tcPr>
          <w:p w14:paraId="2EB2C98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1BE9173B"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582D033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c>
          <w:tcPr>
            <w:tcW w:w="647" w:type="dxa"/>
            <w:vAlign w:val="center"/>
          </w:tcPr>
          <w:p w14:paraId="51E0DAC0"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c>
          <w:tcPr>
            <w:tcW w:w="753" w:type="dxa"/>
            <w:vAlign w:val="center"/>
          </w:tcPr>
          <w:p w14:paraId="3A34D11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c>
          <w:tcPr>
            <w:tcW w:w="720" w:type="dxa"/>
            <w:vAlign w:val="center"/>
          </w:tcPr>
          <w:p w14:paraId="1745406F"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1.3x</w:t>
            </w:r>
          </w:p>
        </w:tc>
      </w:tr>
      <w:tr w:rsidR="00B97440" w14:paraId="6B9348B9" w14:textId="77777777" w:rsidTr="00616C16">
        <w:trPr>
          <w:cantSplit/>
          <w:trHeight w:val="418"/>
          <w:jc w:val="center"/>
        </w:trPr>
        <w:tc>
          <w:tcPr>
            <w:tcW w:w="1795" w:type="dxa"/>
            <w:vAlign w:val="center"/>
          </w:tcPr>
          <w:p w14:paraId="79521A20"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6" w:type="dxa"/>
            <w:vAlign w:val="center"/>
          </w:tcPr>
          <w:p w14:paraId="5DC1486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17.1%</w:t>
            </w:r>
          </w:p>
        </w:tc>
        <w:tc>
          <w:tcPr>
            <w:tcW w:w="646" w:type="dxa"/>
            <w:vAlign w:val="center"/>
          </w:tcPr>
          <w:p w14:paraId="5B030D7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20.9%</w:t>
            </w:r>
          </w:p>
        </w:tc>
        <w:tc>
          <w:tcPr>
            <w:tcW w:w="647" w:type="dxa"/>
            <w:vAlign w:val="center"/>
          </w:tcPr>
          <w:p w14:paraId="1F27EEEA"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20.2%</w:t>
            </w:r>
          </w:p>
        </w:tc>
        <w:tc>
          <w:tcPr>
            <w:tcW w:w="646" w:type="dxa"/>
            <w:vAlign w:val="center"/>
          </w:tcPr>
          <w:p w14:paraId="5A053D5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23.7%</w:t>
            </w:r>
          </w:p>
        </w:tc>
        <w:tc>
          <w:tcPr>
            <w:tcW w:w="646" w:type="dxa"/>
            <w:vAlign w:val="center"/>
          </w:tcPr>
          <w:p w14:paraId="160EB3CF"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22.0</w:t>
            </w:r>
            <w:r w:rsidRPr="00BD4513">
              <w:rPr>
                <w:rFonts w:ascii="Trebuchet MS" w:hAnsi="Trebuchet MS"/>
                <w:sz w:val="14"/>
                <w:szCs w:val="14"/>
              </w:rPr>
              <w:t>%</w:t>
            </w:r>
          </w:p>
        </w:tc>
        <w:tc>
          <w:tcPr>
            <w:tcW w:w="647" w:type="dxa"/>
            <w:vAlign w:val="center"/>
          </w:tcPr>
          <w:p w14:paraId="4D14BC14"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21.2</w:t>
            </w:r>
            <w:r w:rsidRPr="00BD4513">
              <w:rPr>
                <w:rFonts w:ascii="Trebuchet MS" w:hAnsi="Trebuchet MS"/>
                <w:sz w:val="14"/>
                <w:szCs w:val="14"/>
              </w:rPr>
              <w:t>%</w:t>
            </w:r>
          </w:p>
        </w:tc>
        <w:tc>
          <w:tcPr>
            <w:tcW w:w="646" w:type="dxa"/>
            <w:vAlign w:val="center"/>
          </w:tcPr>
          <w:p w14:paraId="2F8027BA"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20.4</w:t>
            </w:r>
            <w:r w:rsidRPr="00BD4513">
              <w:rPr>
                <w:rFonts w:ascii="Trebuchet MS" w:hAnsi="Trebuchet MS"/>
                <w:sz w:val="14"/>
                <w:szCs w:val="14"/>
              </w:rPr>
              <w:t>%</w:t>
            </w:r>
          </w:p>
        </w:tc>
        <w:tc>
          <w:tcPr>
            <w:tcW w:w="646" w:type="dxa"/>
            <w:vAlign w:val="center"/>
          </w:tcPr>
          <w:p w14:paraId="6280E9F4"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19.6</w:t>
            </w:r>
            <w:r w:rsidRPr="00BD4513">
              <w:rPr>
                <w:rFonts w:ascii="Trebuchet MS" w:hAnsi="Trebuchet MS"/>
                <w:sz w:val="14"/>
                <w:szCs w:val="14"/>
              </w:rPr>
              <w:t>%</w:t>
            </w:r>
          </w:p>
        </w:tc>
        <w:tc>
          <w:tcPr>
            <w:tcW w:w="647" w:type="dxa"/>
            <w:vAlign w:val="center"/>
          </w:tcPr>
          <w:p w14:paraId="069C1840"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18.8</w:t>
            </w:r>
            <w:r w:rsidRPr="00BD4513">
              <w:rPr>
                <w:rFonts w:ascii="Trebuchet MS" w:hAnsi="Trebuchet MS"/>
                <w:sz w:val="14"/>
                <w:szCs w:val="14"/>
              </w:rPr>
              <w:t>%</w:t>
            </w:r>
          </w:p>
        </w:tc>
        <w:tc>
          <w:tcPr>
            <w:tcW w:w="753" w:type="dxa"/>
            <w:vAlign w:val="center"/>
          </w:tcPr>
          <w:p w14:paraId="2D5B043A"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17.9</w:t>
            </w:r>
            <w:r w:rsidRPr="00BD4513">
              <w:rPr>
                <w:rFonts w:ascii="Trebuchet MS" w:hAnsi="Trebuchet MS"/>
                <w:sz w:val="14"/>
                <w:szCs w:val="14"/>
              </w:rPr>
              <w:t>%</w:t>
            </w:r>
          </w:p>
        </w:tc>
        <w:tc>
          <w:tcPr>
            <w:tcW w:w="720" w:type="dxa"/>
            <w:vAlign w:val="center"/>
          </w:tcPr>
          <w:p w14:paraId="17BDE8A9"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17.</w:t>
            </w:r>
            <w:r>
              <w:rPr>
                <w:rFonts w:ascii="Trebuchet MS" w:hAnsi="Trebuchet MS"/>
                <w:sz w:val="14"/>
                <w:szCs w:val="14"/>
              </w:rPr>
              <w:t>1</w:t>
            </w:r>
            <w:r w:rsidRPr="00BD4513">
              <w:rPr>
                <w:rFonts w:ascii="Trebuchet MS" w:hAnsi="Trebuchet MS"/>
                <w:sz w:val="14"/>
                <w:szCs w:val="14"/>
              </w:rPr>
              <w:t>%</w:t>
            </w:r>
          </w:p>
        </w:tc>
      </w:tr>
      <w:tr w:rsidR="00B97440" w14:paraId="50A778A3" w14:textId="77777777" w:rsidTr="00616C16">
        <w:trPr>
          <w:cantSplit/>
          <w:trHeight w:val="418"/>
          <w:jc w:val="center"/>
        </w:trPr>
        <w:tc>
          <w:tcPr>
            <w:tcW w:w="1795" w:type="dxa"/>
            <w:vAlign w:val="center"/>
          </w:tcPr>
          <w:p w14:paraId="0C59DD4B"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6E8B31E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4.9%</w:t>
            </w:r>
          </w:p>
        </w:tc>
        <w:tc>
          <w:tcPr>
            <w:tcW w:w="646" w:type="dxa"/>
            <w:vAlign w:val="center"/>
          </w:tcPr>
          <w:p w14:paraId="6D074D5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9.9%</w:t>
            </w:r>
          </w:p>
        </w:tc>
        <w:tc>
          <w:tcPr>
            <w:tcW w:w="647" w:type="dxa"/>
            <w:vAlign w:val="center"/>
          </w:tcPr>
          <w:p w14:paraId="4C2E6FA6"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16.1%</w:t>
            </w:r>
          </w:p>
        </w:tc>
        <w:tc>
          <w:tcPr>
            <w:tcW w:w="646" w:type="dxa"/>
            <w:vAlign w:val="center"/>
          </w:tcPr>
          <w:p w14:paraId="2C7E0EF2"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13.8%</w:t>
            </w:r>
          </w:p>
        </w:tc>
        <w:tc>
          <w:tcPr>
            <w:tcW w:w="646" w:type="dxa"/>
            <w:vAlign w:val="center"/>
          </w:tcPr>
          <w:p w14:paraId="7B101302"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14.9%</w:t>
            </w:r>
          </w:p>
        </w:tc>
        <w:tc>
          <w:tcPr>
            <w:tcW w:w="647" w:type="dxa"/>
            <w:vAlign w:val="center"/>
          </w:tcPr>
          <w:p w14:paraId="32B61D4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15.9%</w:t>
            </w:r>
          </w:p>
        </w:tc>
        <w:tc>
          <w:tcPr>
            <w:tcW w:w="646" w:type="dxa"/>
            <w:vAlign w:val="center"/>
          </w:tcPr>
          <w:p w14:paraId="0F8EEA4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16.9%</w:t>
            </w:r>
          </w:p>
        </w:tc>
        <w:tc>
          <w:tcPr>
            <w:tcW w:w="646" w:type="dxa"/>
            <w:vAlign w:val="center"/>
          </w:tcPr>
          <w:p w14:paraId="78BDFDA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18.0%</w:t>
            </w:r>
          </w:p>
        </w:tc>
        <w:tc>
          <w:tcPr>
            <w:tcW w:w="647" w:type="dxa"/>
            <w:vAlign w:val="center"/>
          </w:tcPr>
          <w:p w14:paraId="2BB7FBE8"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19.1%</w:t>
            </w:r>
          </w:p>
        </w:tc>
        <w:tc>
          <w:tcPr>
            <w:tcW w:w="753" w:type="dxa"/>
            <w:vAlign w:val="center"/>
          </w:tcPr>
          <w:p w14:paraId="4C47B4D8"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20.4%</w:t>
            </w:r>
          </w:p>
        </w:tc>
        <w:tc>
          <w:tcPr>
            <w:tcW w:w="720" w:type="dxa"/>
            <w:vAlign w:val="center"/>
          </w:tcPr>
          <w:p w14:paraId="75F199D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21.8%</w:t>
            </w:r>
          </w:p>
        </w:tc>
      </w:tr>
      <w:tr w:rsidR="00B97440" w14:paraId="6B4B44D4" w14:textId="77777777" w:rsidTr="00616C16">
        <w:trPr>
          <w:cantSplit/>
          <w:trHeight w:val="418"/>
          <w:jc w:val="center"/>
        </w:trPr>
        <w:tc>
          <w:tcPr>
            <w:tcW w:w="1795" w:type="dxa"/>
            <w:vAlign w:val="center"/>
          </w:tcPr>
          <w:p w14:paraId="43CBF396"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024C8A54"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$6,561</w:t>
            </w:r>
          </w:p>
        </w:tc>
        <w:tc>
          <w:tcPr>
            <w:tcW w:w="646" w:type="dxa"/>
            <w:vAlign w:val="center"/>
          </w:tcPr>
          <w:p w14:paraId="4D635AE8"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$6,861</w:t>
            </w:r>
          </w:p>
        </w:tc>
        <w:tc>
          <w:tcPr>
            <w:tcW w:w="647" w:type="dxa"/>
            <w:vAlign w:val="center"/>
          </w:tcPr>
          <w:p w14:paraId="77A35E6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$7,066</w:t>
            </w:r>
          </w:p>
        </w:tc>
        <w:tc>
          <w:tcPr>
            <w:tcW w:w="646" w:type="dxa"/>
            <w:vAlign w:val="center"/>
          </w:tcPr>
          <w:p w14:paraId="516AA53C"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$7,185</w:t>
            </w:r>
          </w:p>
        </w:tc>
        <w:tc>
          <w:tcPr>
            <w:tcW w:w="646" w:type="dxa"/>
            <w:vAlign w:val="center"/>
          </w:tcPr>
          <w:p w14:paraId="0351D1A2"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w:t>
            </w:r>
            <w:r>
              <w:rPr>
                <w:rFonts w:ascii="Trebuchet MS" w:hAnsi="Trebuchet MS"/>
                <w:sz w:val="14"/>
                <w:szCs w:val="14"/>
              </w:rPr>
              <w:t>857</w:t>
            </w:r>
          </w:p>
        </w:tc>
        <w:tc>
          <w:tcPr>
            <w:tcW w:w="647" w:type="dxa"/>
            <w:vAlign w:val="center"/>
          </w:tcPr>
          <w:p w14:paraId="74E3D75D"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8,104</w:t>
            </w:r>
          </w:p>
        </w:tc>
        <w:tc>
          <w:tcPr>
            <w:tcW w:w="646" w:type="dxa"/>
            <w:vAlign w:val="center"/>
          </w:tcPr>
          <w:p w14:paraId="63CA0EBC"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8,395</w:t>
            </w:r>
          </w:p>
        </w:tc>
        <w:tc>
          <w:tcPr>
            <w:tcW w:w="646" w:type="dxa"/>
            <w:vAlign w:val="center"/>
          </w:tcPr>
          <w:p w14:paraId="59A42E1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703</w:t>
            </w:r>
            <w:r w:rsidRPr="00BD4513">
              <w:rPr>
                <w:rFonts w:ascii="Trebuchet MS" w:hAnsi="Trebuchet MS"/>
                <w:sz w:val="14"/>
                <w:szCs w:val="14"/>
              </w:rPr>
              <w:t xml:space="preserve"> </w:t>
            </w:r>
          </w:p>
        </w:tc>
        <w:tc>
          <w:tcPr>
            <w:tcW w:w="647" w:type="dxa"/>
            <w:vAlign w:val="center"/>
          </w:tcPr>
          <w:p w14:paraId="0A8A1D5A"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9,020</w:t>
            </w:r>
          </w:p>
        </w:tc>
        <w:tc>
          <w:tcPr>
            <w:tcW w:w="753" w:type="dxa"/>
            <w:vAlign w:val="center"/>
          </w:tcPr>
          <w:p w14:paraId="6F94C11C"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9,400</w:t>
            </w:r>
          </w:p>
        </w:tc>
        <w:tc>
          <w:tcPr>
            <w:tcW w:w="720" w:type="dxa"/>
            <w:vAlign w:val="center"/>
          </w:tcPr>
          <w:p w14:paraId="38C150F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w:t>
            </w:r>
            <w:r>
              <w:rPr>
                <w:rFonts w:ascii="Trebuchet MS" w:hAnsi="Trebuchet MS"/>
                <w:sz w:val="14"/>
                <w:szCs w:val="14"/>
              </w:rPr>
              <w:t>826</w:t>
            </w:r>
          </w:p>
        </w:tc>
      </w:tr>
      <w:tr w:rsidR="00B97440" w14:paraId="444E7CB6" w14:textId="77777777" w:rsidTr="00616C16">
        <w:trPr>
          <w:cantSplit/>
          <w:trHeight w:val="418"/>
          <w:jc w:val="center"/>
        </w:trPr>
        <w:tc>
          <w:tcPr>
            <w:tcW w:w="1795" w:type="dxa"/>
            <w:vAlign w:val="center"/>
          </w:tcPr>
          <w:p w14:paraId="419C6EF4"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29595CE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$7,342</w:t>
            </w:r>
          </w:p>
        </w:tc>
        <w:tc>
          <w:tcPr>
            <w:tcW w:w="646" w:type="dxa"/>
            <w:vAlign w:val="center"/>
          </w:tcPr>
          <w:p w14:paraId="644D2690"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$7,670</w:t>
            </w:r>
          </w:p>
        </w:tc>
        <w:tc>
          <w:tcPr>
            <w:tcW w:w="647" w:type="dxa"/>
            <w:vAlign w:val="center"/>
          </w:tcPr>
          <w:p w14:paraId="7ECD41B1"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$7,876</w:t>
            </w:r>
          </w:p>
        </w:tc>
        <w:tc>
          <w:tcPr>
            <w:tcW w:w="646" w:type="dxa"/>
            <w:vAlign w:val="center"/>
          </w:tcPr>
          <w:p w14:paraId="235E2C46"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$7,994</w:t>
            </w:r>
          </w:p>
        </w:tc>
        <w:tc>
          <w:tcPr>
            <w:tcW w:w="646" w:type="dxa"/>
            <w:vAlign w:val="center"/>
          </w:tcPr>
          <w:p w14:paraId="6ED52E67"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666</w:t>
            </w:r>
          </w:p>
        </w:tc>
        <w:tc>
          <w:tcPr>
            <w:tcW w:w="647" w:type="dxa"/>
            <w:vAlign w:val="center"/>
          </w:tcPr>
          <w:p w14:paraId="03620F5F"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$8,</w:t>
            </w:r>
            <w:r>
              <w:rPr>
                <w:rFonts w:ascii="Trebuchet MS" w:hAnsi="Trebuchet MS"/>
                <w:sz w:val="14"/>
                <w:szCs w:val="14"/>
              </w:rPr>
              <w:t>913</w:t>
            </w:r>
          </w:p>
        </w:tc>
        <w:tc>
          <w:tcPr>
            <w:tcW w:w="646" w:type="dxa"/>
            <w:vAlign w:val="center"/>
          </w:tcPr>
          <w:p w14:paraId="63F45CF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9,205</w:t>
            </w:r>
          </w:p>
        </w:tc>
        <w:tc>
          <w:tcPr>
            <w:tcW w:w="646" w:type="dxa"/>
            <w:vAlign w:val="center"/>
          </w:tcPr>
          <w:p w14:paraId="30A05FEE"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9,513</w:t>
            </w:r>
          </w:p>
        </w:tc>
        <w:tc>
          <w:tcPr>
            <w:tcW w:w="647" w:type="dxa"/>
            <w:vAlign w:val="center"/>
          </w:tcPr>
          <w:p w14:paraId="138CF745"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$9,</w:t>
            </w:r>
            <w:r>
              <w:rPr>
                <w:rFonts w:ascii="Trebuchet MS" w:hAnsi="Trebuchet MS"/>
                <w:sz w:val="14"/>
                <w:szCs w:val="14"/>
              </w:rPr>
              <w:t>830</w:t>
            </w:r>
          </w:p>
        </w:tc>
        <w:tc>
          <w:tcPr>
            <w:tcW w:w="753" w:type="dxa"/>
            <w:vAlign w:val="center"/>
          </w:tcPr>
          <w:p w14:paraId="21F6C253"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w:t>
            </w:r>
            <w:r>
              <w:rPr>
                <w:rFonts w:ascii="Trebuchet MS" w:hAnsi="Trebuchet MS"/>
                <w:sz w:val="14"/>
                <w:szCs w:val="14"/>
              </w:rPr>
              <w:t>10,210</w:t>
            </w:r>
          </w:p>
        </w:tc>
        <w:tc>
          <w:tcPr>
            <w:tcW w:w="720" w:type="dxa"/>
            <w:vAlign w:val="center"/>
          </w:tcPr>
          <w:p w14:paraId="12899CBB" w14:textId="77777777" w:rsidR="00B97440" w:rsidRPr="00E56196" w:rsidRDefault="00B97440" w:rsidP="00BB18FD">
            <w:pPr>
              <w:tabs>
                <w:tab w:val="num" w:pos="1260"/>
              </w:tabs>
              <w:jc w:val="center"/>
              <w:rPr>
                <w:rFonts w:ascii="Trebuchet MS" w:hAnsi="Trebuchet MS"/>
                <w:sz w:val="14"/>
                <w:szCs w:val="14"/>
              </w:rPr>
            </w:pPr>
            <w:r w:rsidRPr="00BD4513">
              <w:rPr>
                <w:rFonts w:ascii="Trebuchet MS" w:hAnsi="Trebuchet MS"/>
                <w:sz w:val="14"/>
                <w:szCs w:val="14"/>
              </w:rPr>
              <w:t>$10,</w:t>
            </w:r>
            <w:r>
              <w:rPr>
                <w:rFonts w:ascii="Trebuchet MS" w:hAnsi="Trebuchet MS"/>
                <w:sz w:val="14"/>
                <w:szCs w:val="14"/>
              </w:rPr>
              <w:t>636</w:t>
            </w:r>
          </w:p>
        </w:tc>
      </w:tr>
    </w:tbl>
    <w:p w14:paraId="12133699" w14:textId="60EA9902" w:rsidR="00B97440" w:rsidRPr="007560FB" w:rsidRDefault="00B97440" w:rsidP="00B97440">
      <w:pPr>
        <w:autoSpaceDE w:val="0"/>
        <w:autoSpaceDN w:val="0"/>
        <w:adjustRightInd w:val="0"/>
        <w:ind w:left="90"/>
        <w:rPr>
          <w:rFonts w:ascii="Trebuchet MS" w:hAnsi="Trebuchet MS"/>
          <w:sz w:val="14"/>
          <w:szCs w:val="14"/>
        </w:rPr>
      </w:pPr>
    </w:p>
    <w:p w14:paraId="7B468E74" w14:textId="1F90D6FF" w:rsidR="009E7927" w:rsidRDefault="009E7927" w:rsidP="009E7927">
      <w:pPr>
        <w:tabs>
          <w:tab w:val="num" w:pos="1260"/>
        </w:tabs>
        <w:jc w:val="both"/>
        <w:rPr>
          <w:rFonts w:ascii="Trebuchet MS" w:hAnsi="Trebuchet MS"/>
          <w:b/>
          <w:bCs/>
          <w:sz w:val="22"/>
          <w:szCs w:val="22"/>
          <w:highlight w:val="yellow"/>
          <w:u w:val="single"/>
        </w:rPr>
      </w:pPr>
    </w:p>
    <w:p w14:paraId="67948FC3" w14:textId="2A5DB541" w:rsidR="00B97440" w:rsidRPr="009E7927" w:rsidRDefault="00B97440" w:rsidP="00B97440">
      <w:pPr>
        <w:tabs>
          <w:tab w:val="num" w:pos="1260"/>
        </w:tabs>
        <w:jc w:val="both"/>
        <w:rPr>
          <w:rFonts w:ascii="Trebuchet MS" w:hAnsi="Trebuchet MS"/>
          <w:b/>
          <w:bCs/>
          <w:sz w:val="22"/>
          <w:szCs w:val="22"/>
        </w:rPr>
      </w:pPr>
      <w:r>
        <w:rPr>
          <w:rFonts w:ascii="Trebuchet MS" w:hAnsi="Trebuchet MS"/>
          <w:b/>
          <w:bCs/>
          <w:sz w:val="22"/>
          <w:szCs w:val="22"/>
        </w:rPr>
        <w:t xml:space="preserve">Historical Data and </w:t>
      </w:r>
      <w:r w:rsidRPr="00C34204">
        <w:rPr>
          <w:rFonts w:ascii="Trebuchet MS" w:hAnsi="Trebuchet MS"/>
          <w:b/>
          <w:bCs/>
          <w:sz w:val="22"/>
          <w:szCs w:val="22"/>
        </w:rPr>
        <w:t>Industry Data Key Financial Metrics and Ratios</w:t>
      </w:r>
    </w:p>
    <w:tbl>
      <w:tblPr>
        <w:tblStyle w:val="TableGrid"/>
        <w:tblW w:w="0" w:type="auto"/>
        <w:jc w:val="center"/>
        <w:tblLayout w:type="fixed"/>
        <w:tblLook w:val="04A0" w:firstRow="1" w:lastRow="0" w:firstColumn="1" w:lastColumn="0" w:noHBand="0" w:noVBand="1"/>
        <w:tblCaption w:val="Historical Data and Industry Data Key Financial Metrics and Ratios"/>
      </w:tblPr>
      <w:tblGrid>
        <w:gridCol w:w="1795"/>
        <w:gridCol w:w="646"/>
        <w:gridCol w:w="646"/>
        <w:gridCol w:w="647"/>
        <w:gridCol w:w="646"/>
        <w:gridCol w:w="1465"/>
        <w:gridCol w:w="1440"/>
        <w:gridCol w:w="1440"/>
      </w:tblGrid>
      <w:tr w:rsidR="00B97440" w14:paraId="330D9655" w14:textId="77777777" w:rsidTr="00616C16">
        <w:trPr>
          <w:cantSplit/>
          <w:trHeight w:val="418"/>
          <w:jc w:val="center"/>
        </w:trPr>
        <w:tc>
          <w:tcPr>
            <w:tcW w:w="1795" w:type="dxa"/>
            <w:vAlign w:val="center"/>
          </w:tcPr>
          <w:p w14:paraId="6BD9A44B" w14:textId="77777777" w:rsidR="00B97440" w:rsidRPr="007560FB" w:rsidRDefault="00B97440" w:rsidP="00BB18FD">
            <w:pPr>
              <w:tabs>
                <w:tab w:val="num" w:pos="1260"/>
              </w:tabs>
              <w:jc w:val="both"/>
              <w:rPr>
                <w:rFonts w:ascii="Trebuchet MS" w:hAnsi="Trebuchet MS"/>
                <w:sz w:val="15"/>
                <w:szCs w:val="15"/>
              </w:rPr>
            </w:pPr>
            <w:r w:rsidRPr="007560FB">
              <w:rPr>
                <w:rFonts w:ascii="Trebuchet MS" w:hAnsi="Trebuchet MS"/>
                <w:sz w:val="15"/>
                <w:szCs w:val="15"/>
              </w:rPr>
              <w:t>Children’s Medical Center Corporation</w:t>
            </w:r>
          </w:p>
        </w:tc>
        <w:tc>
          <w:tcPr>
            <w:tcW w:w="646" w:type="dxa"/>
            <w:vAlign w:val="center"/>
          </w:tcPr>
          <w:p w14:paraId="1780B9A0"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w:t>
            </w:r>
            <w:r>
              <w:rPr>
                <w:rFonts w:ascii="Trebuchet MS" w:hAnsi="Trebuchet MS"/>
                <w:sz w:val="15"/>
                <w:szCs w:val="15"/>
              </w:rPr>
              <w:t>19</w:t>
            </w:r>
          </w:p>
        </w:tc>
        <w:tc>
          <w:tcPr>
            <w:tcW w:w="646" w:type="dxa"/>
            <w:vAlign w:val="center"/>
          </w:tcPr>
          <w:p w14:paraId="405DE3A6"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0</w:t>
            </w:r>
          </w:p>
        </w:tc>
        <w:tc>
          <w:tcPr>
            <w:tcW w:w="647" w:type="dxa"/>
            <w:vAlign w:val="center"/>
          </w:tcPr>
          <w:p w14:paraId="6CF33DCE"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1</w:t>
            </w:r>
          </w:p>
        </w:tc>
        <w:tc>
          <w:tcPr>
            <w:tcW w:w="646" w:type="dxa"/>
            <w:vAlign w:val="center"/>
          </w:tcPr>
          <w:p w14:paraId="4A96F442" w14:textId="77777777" w:rsidR="00B97440" w:rsidRPr="007560FB" w:rsidRDefault="00B97440" w:rsidP="00BB18FD">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2</w:t>
            </w:r>
          </w:p>
        </w:tc>
        <w:tc>
          <w:tcPr>
            <w:tcW w:w="1465" w:type="dxa"/>
            <w:vAlign w:val="center"/>
          </w:tcPr>
          <w:p w14:paraId="1C255B86" w14:textId="77777777" w:rsidR="00B97440" w:rsidRPr="007560FB" w:rsidRDefault="00B97440" w:rsidP="00BB18FD">
            <w:pPr>
              <w:tabs>
                <w:tab w:val="num" w:pos="1260"/>
              </w:tabs>
              <w:jc w:val="center"/>
              <w:rPr>
                <w:rFonts w:ascii="Trebuchet MS" w:hAnsi="Trebuchet MS"/>
                <w:sz w:val="15"/>
                <w:szCs w:val="15"/>
              </w:rPr>
            </w:pPr>
            <w:r w:rsidRPr="009D19C3">
              <w:rPr>
                <w:rFonts w:ascii="Trebuchet MS" w:hAnsi="Trebuchet MS"/>
                <w:sz w:val="15"/>
                <w:szCs w:val="15"/>
              </w:rPr>
              <w:t>Integra - General Medical and Surgical Hospitals</w:t>
            </w:r>
          </w:p>
        </w:tc>
        <w:tc>
          <w:tcPr>
            <w:tcW w:w="1440" w:type="dxa"/>
            <w:vAlign w:val="center"/>
          </w:tcPr>
          <w:p w14:paraId="6034EB76" w14:textId="77777777" w:rsidR="00B97440" w:rsidRPr="00B161CD" w:rsidRDefault="00B97440" w:rsidP="00BB18FD">
            <w:pPr>
              <w:tabs>
                <w:tab w:val="num" w:pos="1260"/>
              </w:tabs>
              <w:jc w:val="center"/>
              <w:rPr>
                <w:rFonts w:ascii="Trebuchet MS" w:hAnsi="Trebuchet MS"/>
                <w:sz w:val="15"/>
                <w:szCs w:val="15"/>
              </w:rPr>
            </w:pPr>
            <w:r w:rsidRPr="00B161CD">
              <w:rPr>
                <w:rFonts w:ascii="Trebuchet MS" w:hAnsi="Trebuchet MS"/>
                <w:sz w:val="15"/>
                <w:szCs w:val="15"/>
              </w:rPr>
              <w:t xml:space="preserve">IBIS - Hospitals </w:t>
            </w:r>
          </w:p>
          <w:p w14:paraId="6939E827" w14:textId="77777777" w:rsidR="00B97440" w:rsidRPr="007560FB" w:rsidRDefault="00B97440" w:rsidP="00BB18FD">
            <w:pPr>
              <w:tabs>
                <w:tab w:val="num" w:pos="1260"/>
              </w:tabs>
              <w:jc w:val="center"/>
              <w:rPr>
                <w:rFonts w:ascii="Trebuchet MS" w:hAnsi="Trebuchet MS"/>
                <w:sz w:val="15"/>
                <w:szCs w:val="15"/>
              </w:rPr>
            </w:pPr>
            <w:r w:rsidRPr="00B161CD">
              <w:rPr>
                <w:rFonts w:ascii="Trebuchet MS" w:hAnsi="Trebuchet MS"/>
                <w:sz w:val="15"/>
                <w:szCs w:val="15"/>
              </w:rPr>
              <w:t>in the US</w:t>
            </w:r>
          </w:p>
        </w:tc>
        <w:tc>
          <w:tcPr>
            <w:tcW w:w="1440" w:type="dxa"/>
            <w:vAlign w:val="center"/>
          </w:tcPr>
          <w:p w14:paraId="6D8C1BA6" w14:textId="77777777" w:rsidR="00B97440" w:rsidRPr="007560FB" w:rsidRDefault="00B97440" w:rsidP="00BB18FD">
            <w:pPr>
              <w:tabs>
                <w:tab w:val="num" w:pos="1260"/>
              </w:tabs>
              <w:jc w:val="center"/>
              <w:rPr>
                <w:rFonts w:ascii="Trebuchet MS" w:hAnsi="Trebuchet MS"/>
                <w:sz w:val="15"/>
                <w:szCs w:val="15"/>
              </w:rPr>
            </w:pPr>
            <w:r>
              <w:rPr>
                <w:rFonts w:ascii="Trebuchet MS" w:hAnsi="Trebuchet MS"/>
                <w:sz w:val="15"/>
                <w:szCs w:val="15"/>
              </w:rPr>
              <w:t>Definitive Healthcare</w:t>
            </w:r>
          </w:p>
        </w:tc>
      </w:tr>
      <w:tr w:rsidR="00B97440" w14:paraId="38547060" w14:textId="77777777" w:rsidTr="00616C16">
        <w:trPr>
          <w:cantSplit/>
          <w:trHeight w:val="418"/>
          <w:jc w:val="center"/>
        </w:trPr>
        <w:tc>
          <w:tcPr>
            <w:tcW w:w="1795" w:type="dxa"/>
            <w:vAlign w:val="center"/>
          </w:tcPr>
          <w:p w14:paraId="2B4D0B6E"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45BC388D"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2.6%</w:t>
            </w:r>
          </w:p>
        </w:tc>
        <w:tc>
          <w:tcPr>
            <w:tcW w:w="646" w:type="dxa"/>
            <w:vAlign w:val="center"/>
          </w:tcPr>
          <w:p w14:paraId="60D25EE6"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-2.6%</w:t>
            </w:r>
          </w:p>
        </w:tc>
        <w:tc>
          <w:tcPr>
            <w:tcW w:w="647" w:type="dxa"/>
            <w:vAlign w:val="center"/>
          </w:tcPr>
          <w:p w14:paraId="018F8A0E"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-0.1%</w:t>
            </w:r>
          </w:p>
        </w:tc>
        <w:tc>
          <w:tcPr>
            <w:tcW w:w="646" w:type="dxa"/>
            <w:vAlign w:val="center"/>
          </w:tcPr>
          <w:p w14:paraId="7AAFEF28"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-1.0%</w:t>
            </w:r>
          </w:p>
        </w:tc>
        <w:tc>
          <w:tcPr>
            <w:tcW w:w="1465" w:type="dxa"/>
            <w:vAlign w:val="center"/>
          </w:tcPr>
          <w:p w14:paraId="4A76DAF3"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1.6%</w:t>
            </w:r>
          </w:p>
        </w:tc>
        <w:tc>
          <w:tcPr>
            <w:tcW w:w="1440" w:type="dxa"/>
            <w:vAlign w:val="center"/>
          </w:tcPr>
          <w:p w14:paraId="4CBA869A"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0.8%</w:t>
            </w:r>
          </w:p>
        </w:tc>
        <w:tc>
          <w:tcPr>
            <w:tcW w:w="1440" w:type="dxa"/>
            <w:vAlign w:val="center"/>
          </w:tcPr>
          <w:p w14:paraId="2ACA921F"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-14.5%</w:t>
            </w:r>
          </w:p>
        </w:tc>
      </w:tr>
      <w:tr w:rsidR="00B97440" w14:paraId="2FB5F901" w14:textId="77777777" w:rsidTr="00616C16">
        <w:trPr>
          <w:cantSplit/>
          <w:trHeight w:val="418"/>
          <w:jc w:val="center"/>
        </w:trPr>
        <w:tc>
          <w:tcPr>
            <w:tcW w:w="1795" w:type="dxa"/>
            <w:vAlign w:val="center"/>
          </w:tcPr>
          <w:p w14:paraId="1A67E6CC"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1F0DE45F"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9.1%</w:t>
            </w:r>
          </w:p>
        </w:tc>
        <w:tc>
          <w:tcPr>
            <w:tcW w:w="646" w:type="dxa"/>
            <w:vAlign w:val="center"/>
          </w:tcPr>
          <w:p w14:paraId="72FED631"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3.8%</w:t>
            </w:r>
          </w:p>
        </w:tc>
        <w:tc>
          <w:tcPr>
            <w:tcW w:w="647" w:type="dxa"/>
            <w:vAlign w:val="center"/>
          </w:tcPr>
          <w:p w14:paraId="356C1328"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5.5%</w:t>
            </w:r>
          </w:p>
        </w:tc>
        <w:tc>
          <w:tcPr>
            <w:tcW w:w="646" w:type="dxa"/>
            <w:vAlign w:val="center"/>
          </w:tcPr>
          <w:p w14:paraId="0E27BB07"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4.9%</w:t>
            </w:r>
          </w:p>
        </w:tc>
        <w:tc>
          <w:tcPr>
            <w:tcW w:w="1465" w:type="dxa"/>
            <w:vAlign w:val="center"/>
          </w:tcPr>
          <w:p w14:paraId="253EB8B0"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0.2%</w:t>
            </w:r>
          </w:p>
        </w:tc>
        <w:tc>
          <w:tcPr>
            <w:tcW w:w="1440" w:type="dxa"/>
            <w:vAlign w:val="center"/>
          </w:tcPr>
          <w:p w14:paraId="723FF3CD"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1A7904B3"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4.1%</w:t>
            </w:r>
          </w:p>
        </w:tc>
      </w:tr>
      <w:tr w:rsidR="00B97440" w14:paraId="489990FB" w14:textId="77777777" w:rsidTr="00616C16">
        <w:trPr>
          <w:cantSplit/>
          <w:trHeight w:val="418"/>
          <w:jc w:val="center"/>
        </w:trPr>
        <w:tc>
          <w:tcPr>
            <w:tcW w:w="1795" w:type="dxa"/>
            <w:vAlign w:val="center"/>
          </w:tcPr>
          <w:p w14:paraId="731E7B1E"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73663358"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6.0x</w:t>
            </w:r>
          </w:p>
        </w:tc>
        <w:tc>
          <w:tcPr>
            <w:tcW w:w="646" w:type="dxa"/>
            <w:vAlign w:val="center"/>
          </w:tcPr>
          <w:p w14:paraId="32CCA424"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2.9x</w:t>
            </w:r>
          </w:p>
        </w:tc>
        <w:tc>
          <w:tcPr>
            <w:tcW w:w="647" w:type="dxa"/>
            <w:vAlign w:val="center"/>
          </w:tcPr>
          <w:p w14:paraId="6FC1C594"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5.2x</w:t>
            </w:r>
          </w:p>
        </w:tc>
        <w:tc>
          <w:tcPr>
            <w:tcW w:w="646" w:type="dxa"/>
            <w:vAlign w:val="center"/>
          </w:tcPr>
          <w:p w14:paraId="77C5AA0F"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5.0x</w:t>
            </w:r>
          </w:p>
        </w:tc>
        <w:tc>
          <w:tcPr>
            <w:tcW w:w="1465" w:type="dxa"/>
            <w:vAlign w:val="center"/>
          </w:tcPr>
          <w:p w14:paraId="751A05D8"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1.4x</w:t>
            </w:r>
          </w:p>
        </w:tc>
        <w:tc>
          <w:tcPr>
            <w:tcW w:w="1440" w:type="dxa"/>
            <w:vAlign w:val="center"/>
          </w:tcPr>
          <w:p w14:paraId="025F2E2D"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187B2DD2"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NA</w:t>
            </w:r>
          </w:p>
        </w:tc>
      </w:tr>
      <w:tr w:rsidR="00B97440" w:rsidRPr="00E56196" w14:paraId="3FAF4DCE" w14:textId="77777777" w:rsidTr="00616C16">
        <w:trPr>
          <w:cantSplit/>
          <w:trHeight w:val="418"/>
          <w:jc w:val="center"/>
        </w:trPr>
        <w:tc>
          <w:tcPr>
            <w:tcW w:w="1795" w:type="dxa"/>
            <w:vAlign w:val="center"/>
          </w:tcPr>
          <w:p w14:paraId="465BC6CC"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49E6633D"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786</w:t>
            </w:r>
          </w:p>
        </w:tc>
        <w:tc>
          <w:tcPr>
            <w:tcW w:w="646" w:type="dxa"/>
            <w:vAlign w:val="center"/>
          </w:tcPr>
          <w:p w14:paraId="267A00EA"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870</w:t>
            </w:r>
          </w:p>
        </w:tc>
        <w:tc>
          <w:tcPr>
            <w:tcW w:w="647" w:type="dxa"/>
            <w:vAlign w:val="center"/>
          </w:tcPr>
          <w:p w14:paraId="3181DE1C"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906</w:t>
            </w:r>
          </w:p>
        </w:tc>
        <w:tc>
          <w:tcPr>
            <w:tcW w:w="646" w:type="dxa"/>
            <w:vAlign w:val="center"/>
          </w:tcPr>
          <w:p w14:paraId="5E32AE7D"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729</w:t>
            </w:r>
          </w:p>
        </w:tc>
        <w:tc>
          <w:tcPr>
            <w:tcW w:w="1465" w:type="dxa"/>
            <w:vAlign w:val="center"/>
          </w:tcPr>
          <w:p w14:paraId="595CD4D7"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95E175E"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09B35422"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62</w:t>
            </w:r>
          </w:p>
        </w:tc>
      </w:tr>
      <w:tr w:rsidR="00B97440" w14:paraId="170B9E5C" w14:textId="77777777" w:rsidTr="00616C16">
        <w:trPr>
          <w:cantSplit/>
          <w:trHeight w:val="418"/>
          <w:jc w:val="center"/>
        </w:trPr>
        <w:tc>
          <w:tcPr>
            <w:tcW w:w="1795" w:type="dxa"/>
            <w:vAlign w:val="center"/>
          </w:tcPr>
          <w:p w14:paraId="4348AD2E"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56289347"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7.6%</w:t>
            </w:r>
          </w:p>
        </w:tc>
        <w:tc>
          <w:tcPr>
            <w:tcW w:w="646" w:type="dxa"/>
            <w:vAlign w:val="center"/>
          </w:tcPr>
          <w:p w14:paraId="6DA6F543"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3.7%</w:t>
            </w:r>
          </w:p>
        </w:tc>
        <w:tc>
          <w:tcPr>
            <w:tcW w:w="647" w:type="dxa"/>
            <w:vAlign w:val="center"/>
          </w:tcPr>
          <w:p w14:paraId="391C0FD0"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5.0%</w:t>
            </w:r>
          </w:p>
        </w:tc>
        <w:tc>
          <w:tcPr>
            <w:tcW w:w="646" w:type="dxa"/>
            <w:vAlign w:val="center"/>
          </w:tcPr>
          <w:p w14:paraId="04977DCD"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4.5%</w:t>
            </w:r>
          </w:p>
        </w:tc>
        <w:tc>
          <w:tcPr>
            <w:tcW w:w="1465" w:type="dxa"/>
            <w:vAlign w:val="center"/>
          </w:tcPr>
          <w:p w14:paraId="42C1CFC7"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3.6%</w:t>
            </w:r>
          </w:p>
        </w:tc>
        <w:tc>
          <w:tcPr>
            <w:tcW w:w="1440" w:type="dxa"/>
            <w:vAlign w:val="center"/>
          </w:tcPr>
          <w:p w14:paraId="204CE8E0"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38.4%</w:t>
            </w:r>
          </w:p>
        </w:tc>
        <w:tc>
          <w:tcPr>
            <w:tcW w:w="1440" w:type="dxa"/>
            <w:vAlign w:val="center"/>
          </w:tcPr>
          <w:p w14:paraId="418E9C36"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r>
      <w:tr w:rsidR="00B97440" w14:paraId="6B5C4482" w14:textId="77777777" w:rsidTr="00616C16">
        <w:trPr>
          <w:cantSplit/>
          <w:trHeight w:val="418"/>
          <w:jc w:val="center"/>
        </w:trPr>
        <w:tc>
          <w:tcPr>
            <w:tcW w:w="1795" w:type="dxa"/>
            <w:vAlign w:val="center"/>
          </w:tcPr>
          <w:p w14:paraId="33C6E1A0"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6FCA856C"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1.5x</w:t>
            </w:r>
          </w:p>
        </w:tc>
        <w:tc>
          <w:tcPr>
            <w:tcW w:w="646" w:type="dxa"/>
            <w:vAlign w:val="center"/>
          </w:tcPr>
          <w:p w14:paraId="476D7952"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1.4x</w:t>
            </w:r>
          </w:p>
        </w:tc>
        <w:tc>
          <w:tcPr>
            <w:tcW w:w="647" w:type="dxa"/>
            <w:vAlign w:val="center"/>
          </w:tcPr>
          <w:p w14:paraId="4DD406A5"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1.4x</w:t>
            </w:r>
          </w:p>
        </w:tc>
        <w:tc>
          <w:tcPr>
            <w:tcW w:w="646" w:type="dxa"/>
            <w:vAlign w:val="center"/>
          </w:tcPr>
          <w:p w14:paraId="5A0FC932"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1.4x</w:t>
            </w:r>
          </w:p>
        </w:tc>
        <w:tc>
          <w:tcPr>
            <w:tcW w:w="1465" w:type="dxa"/>
            <w:vAlign w:val="center"/>
          </w:tcPr>
          <w:p w14:paraId="2AA67A87"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4FB74E15"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0.9x</w:t>
            </w:r>
          </w:p>
        </w:tc>
        <w:tc>
          <w:tcPr>
            <w:tcW w:w="1440" w:type="dxa"/>
            <w:vAlign w:val="center"/>
          </w:tcPr>
          <w:p w14:paraId="463B4895"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1.5x</w:t>
            </w:r>
          </w:p>
        </w:tc>
      </w:tr>
      <w:tr w:rsidR="00B97440" w14:paraId="78EA20EB" w14:textId="77777777" w:rsidTr="00616C16">
        <w:trPr>
          <w:cantSplit/>
          <w:trHeight w:val="418"/>
          <w:jc w:val="center"/>
        </w:trPr>
        <w:tc>
          <w:tcPr>
            <w:tcW w:w="1795" w:type="dxa"/>
            <w:vAlign w:val="center"/>
          </w:tcPr>
          <w:p w14:paraId="4DBD1AE6"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6" w:type="dxa"/>
            <w:vAlign w:val="center"/>
          </w:tcPr>
          <w:p w14:paraId="6ABDC424"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16.6%</w:t>
            </w:r>
          </w:p>
        </w:tc>
        <w:tc>
          <w:tcPr>
            <w:tcW w:w="646" w:type="dxa"/>
            <w:vAlign w:val="center"/>
          </w:tcPr>
          <w:p w14:paraId="0D1A8A13"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18.9%</w:t>
            </w:r>
          </w:p>
        </w:tc>
        <w:tc>
          <w:tcPr>
            <w:tcW w:w="647" w:type="dxa"/>
            <w:vAlign w:val="center"/>
          </w:tcPr>
          <w:p w14:paraId="4E2FAB15"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16.1%</w:t>
            </w:r>
          </w:p>
        </w:tc>
        <w:tc>
          <w:tcPr>
            <w:tcW w:w="646" w:type="dxa"/>
            <w:vAlign w:val="center"/>
          </w:tcPr>
          <w:p w14:paraId="15C3169A"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17.2%</w:t>
            </w:r>
          </w:p>
        </w:tc>
        <w:tc>
          <w:tcPr>
            <w:tcW w:w="1465" w:type="dxa"/>
            <w:vAlign w:val="center"/>
          </w:tcPr>
          <w:p w14:paraId="7846E0D7"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43.3%</w:t>
            </w:r>
          </w:p>
        </w:tc>
        <w:tc>
          <w:tcPr>
            <w:tcW w:w="1440" w:type="dxa"/>
            <w:vAlign w:val="center"/>
          </w:tcPr>
          <w:p w14:paraId="522CA292"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1565AEA8"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r>
      <w:tr w:rsidR="00B97440" w14:paraId="44463528" w14:textId="77777777" w:rsidTr="00616C16">
        <w:trPr>
          <w:cantSplit/>
          <w:trHeight w:val="418"/>
          <w:jc w:val="center"/>
        </w:trPr>
        <w:tc>
          <w:tcPr>
            <w:tcW w:w="1795" w:type="dxa"/>
            <w:vAlign w:val="center"/>
          </w:tcPr>
          <w:p w14:paraId="48FDD8EC" w14:textId="77777777" w:rsidR="00B97440" w:rsidRPr="00E56196" w:rsidRDefault="00B97440" w:rsidP="00BB18FD">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4D77B1D2"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17.0%</w:t>
            </w:r>
          </w:p>
        </w:tc>
        <w:tc>
          <w:tcPr>
            <w:tcW w:w="646" w:type="dxa"/>
            <w:vAlign w:val="center"/>
          </w:tcPr>
          <w:p w14:paraId="03EDA833"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6.4%</w:t>
            </w:r>
          </w:p>
        </w:tc>
        <w:tc>
          <w:tcPr>
            <w:tcW w:w="647" w:type="dxa"/>
            <w:vAlign w:val="center"/>
          </w:tcPr>
          <w:p w14:paraId="4F5A5703"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9.6%</w:t>
            </w:r>
          </w:p>
        </w:tc>
        <w:tc>
          <w:tcPr>
            <w:tcW w:w="646" w:type="dxa"/>
            <w:vAlign w:val="center"/>
          </w:tcPr>
          <w:p w14:paraId="57C8E78E"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9.3%</w:t>
            </w:r>
          </w:p>
        </w:tc>
        <w:tc>
          <w:tcPr>
            <w:tcW w:w="1465" w:type="dxa"/>
            <w:vAlign w:val="center"/>
          </w:tcPr>
          <w:p w14:paraId="516807C7"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13.1%</w:t>
            </w:r>
          </w:p>
        </w:tc>
        <w:tc>
          <w:tcPr>
            <w:tcW w:w="1440" w:type="dxa"/>
            <w:vAlign w:val="center"/>
          </w:tcPr>
          <w:p w14:paraId="1EFF4B4A"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2F8223C"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1.5x</w:t>
            </w:r>
          </w:p>
        </w:tc>
      </w:tr>
      <w:tr w:rsidR="00B97440" w14:paraId="6E78E39C" w14:textId="77777777" w:rsidTr="00616C16">
        <w:trPr>
          <w:cantSplit/>
          <w:trHeight w:val="418"/>
          <w:jc w:val="center"/>
        </w:trPr>
        <w:tc>
          <w:tcPr>
            <w:tcW w:w="1795" w:type="dxa"/>
            <w:vAlign w:val="center"/>
          </w:tcPr>
          <w:p w14:paraId="547225CF"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3A214DB7"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$5,270</w:t>
            </w:r>
          </w:p>
        </w:tc>
        <w:tc>
          <w:tcPr>
            <w:tcW w:w="646" w:type="dxa"/>
            <w:vAlign w:val="center"/>
          </w:tcPr>
          <w:p w14:paraId="2AAF4551"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$5,725</w:t>
            </w:r>
          </w:p>
        </w:tc>
        <w:tc>
          <w:tcPr>
            <w:tcW w:w="647" w:type="dxa"/>
            <w:vAlign w:val="center"/>
          </w:tcPr>
          <w:p w14:paraId="2102F41E"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$7,007</w:t>
            </w:r>
          </w:p>
        </w:tc>
        <w:tc>
          <w:tcPr>
            <w:tcW w:w="646" w:type="dxa"/>
            <w:vAlign w:val="center"/>
          </w:tcPr>
          <w:p w14:paraId="095BE583"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$6,549</w:t>
            </w:r>
          </w:p>
        </w:tc>
        <w:tc>
          <w:tcPr>
            <w:tcW w:w="1465" w:type="dxa"/>
            <w:vAlign w:val="center"/>
          </w:tcPr>
          <w:p w14:paraId="2580986D"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1644C29"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0FCAB470"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NA</w:t>
            </w:r>
          </w:p>
        </w:tc>
      </w:tr>
      <w:tr w:rsidR="00B97440" w14:paraId="5F4FE0F2" w14:textId="77777777" w:rsidTr="00616C16">
        <w:trPr>
          <w:cantSplit/>
          <w:trHeight w:val="418"/>
          <w:jc w:val="center"/>
        </w:trPr>
        <w:tc>
          <w:tcPr>
            <w:tcW w:w="1795" w:type="dxa"/>
            <w:vAlign w:val="center"/>
          </w:tcPr>
          <w:p w14:paraId="2EC0B6FB" w14:textId="77777777" w:rsidR="00B97440" w:rsidRPr="00E56196" w:rsidRDefault="00B97440" w:rsidP="00BB18FD">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323896D2"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$6,123</w:t>
            </w:r>
          </w:p>
        </w:tc>
        <w:tc>
          <w:tcPr>
            <w:tcW w:w="646" w:type="dxa"/>
            <w:vAlign w:val="center"/>
          </w:tcPr>
          <w:p w14:paraId="3FFED5BF"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$6,501</w:t>
            </w:r>
          </w:p>
        </w:tc>
        <w:tc>
          <w:tcPr>
            <w:tcW w:w="647" w:type="dxa"/>
            <w:vAlign w:val="center"/>
          </w:tcPr>
          <w:p w14:paraId="2E5AE9F6"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$7,909</w:t>
            </w:r>
          </w:p>
        </w:tc>
        <w:tc>
          <w:tcPr>
            <w:tcW w:w="646" w:type="dxa"/>
            <w:vAlign w:val="center"/>
          </w:tcPr>
          <w:p w14:paraId="70CE5995" w14:textId="77777777" w:rsidR="00B97440" w:rsidRPr="00E56196" w:rsidRDefault="00B97440" w:rsidP="00BB18FD">
            <w:pPr>
              <w:tabs>
                <w:tab w:val="num" w:pos="1260"/>
              </w:tabs>
              <w:jc w:val="center"/>
              <w:rPr>
                <w:rFonts w:ascii="Trebuchet MS" w:hAnsi="Trebuchet MS"/>
                <w:sz w:val="14"/>
                <w:szCs w:val="14"/>
              </w:rPr>
            </w:pPr>
            <w:r w:rsidRPr="00E025D2">
              <w:rPr>
                <w:rFonts w:ascii="Trebuchet MS" w:hAnsi="Trebuchet MS"/>
                <w:sz w:val="14"/>
                <w:szCs w:val="14"/>
              </w:rPr>
              <w:t>$7,331</w:t>
            </w:r>
          </w:p>
        </w:tc>
        <w:tc>
          <w:tcPr>
            <w:tcW w:w="1465" w:type="dxa"/>
            <w:vAlign w:val="center"/>
          </w:tcPr>
          <w:p w14:paraId="374F9374"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02D89965" w14:textId="77777777" w:rsidR="00B97440" w:rsidRPr="00E56196" w:rsidRDefault="00B97440" w:rsidP="00BB18FD">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A815969" w14:textId="77777777" w:rsidR="00B97440" w:rsidRPr="00E56196" w:rsidRDefault="00B97440" w:rsidP="00BB18FD">
            <w:pPr>
              <w:tabs>
                <w:tab w:val="num" w:pos="1260"/>
              </w:tabs>
              <w:jc w:val="center"/>
              <w:rPr>
                <w:rFonts w:ascii="Trebuchet MS" w:hAnsi="Trebuchet MS"/>
                <w:sz w:val="14"/>
                <w:szCs w:val="14"/>
              </w:rPr>
            </w:pPr>
            <w:r w:rsidRPr="00F90A08">
              <w:rPr>
                <w:rFonts w:ascii="Trebuchet MS" w:hAnsi="Trebuchet MS"/>
                <w:sz w:val="14"/>
                <w:szCs w:val="14"/>
              </w:rPr>
              <w:t>NA</w:t>
            </w:r>
          </w:p>
        </w:tc>
      </w:tr>
    </w:tbl>
    <w:p w14:paraId="16757F8E" w14:textId="77777777" w:rsidR="00B97440" w:rsidRDefault="00B97440" w:rsidP="00B97440">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34AB23AF" w14:textId="77777777" w:rsidR="00B97440" w:rsidRPr="00F90A08" w:rsidRDefault="00B97440" w:rsidP="00B97440">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2484B3C9" w14:textId="77777777" w:rsidR="00B97440" w:rsidRPr="00F90A08" w:rsidRDefault="00B97440" w:rsidP="00B97440">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67CAAC5A" w14:textId="77777777" w:rsidR="005F42AD" w:rsidRDefault="005F42AD">
      <w:pPr>
        <w:tabs>
          <w:tab w:val="num" w:pos="1260"/>
        </w:tabs>
        <w:spacing w:line="480" w:lineRule="auto"/>
        <w:jc w:val="both"/>
        <w:rPr>
          <w:rFonts w:ascii="Trebuchet MS" w:hAnsi="Trebuchet MS"/>
          <w:sz w:val="22"/>
          <w:szCs w:val="22"/>
        </w:rPr>
      </w:pPr>
    </w:p>
    <w:p w14:paraId="7D3FEFCD" w14:textId="18A75DEB" w:rsidR="00876C43" w:rsidRDefault="00B26FD1">
      <w:pPr>
        <w:tabs>
          <w:tab w:val="num" w:pos="1260"/>
        </w:tabs>
        <w:spacing w:line="480" w:lineRule="auto"/>
        <w:jc w:val="both"/>
        <w:rPr>
          <w:rFonts w:ascii="Trebuchet MS" w:hAnsi="Trebuchet MS"/>
          <w:sz w:val="22"/>
          <w:szCs w:val="22"/>
        </w:rPr>
      </w:pPr>
      <w:r w:rsidRPr="00B26FD1">
        <w:rPr>
          <w:rFonts w:ascii="Trebuchet MS" w:hAnsi="Trebuchet MS"/>
          <w:sz w:val="22"/>
          <w:szCs w:val="22"/>
        </w:rPr>
        <w:lastRenderedPageBreak/>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4860D8FE" w14:textId="77777777" w:rsidR="005F42AD" w:rsidRDefault="005F42AD" w:rsidP="00F47CA6">
      <w:pPr>
        <w:tabs>
          <w:tab w:val="num" w:pos="1260"/>
        </w:tabs>
        <w:jc w:val="both"/>
        <w:rPr>
          <w:rFonts w:ascii="Trebuchet MS" w:hAnsi="Trebuchet MS"/>
          <w:b/>
          <w:bCs/>
          <w:sz w:val="22"/>
          <w:szCs w:val="22"/>
        </w:rPr>
      </w:pPr>
    </w:p>
    <w:p w14:paraId="46374D0D" w14:textId="481E56E3" w:rsidR="00AC2505" w:rsidRPr="00AC2505" w:rsidRDefault="00F47CA6" w:rsidP="00F47CA6">
      <w:pPr>
        <w:tabs>
          <w:tab w:val="num" w:pos="1260"/>
        </w:tabs>
        <w:jc w:val="both"/>
        <w:rPr>
          <w:rFonts w:ascii="Trebuchet MS" w:hAnsi="Trebuchet MS"/>
          <w:b/>
          <w:bCs/>
          <w:sz w:val="22"/>
          <w:szCs w:val="22"/>
        </w:rPr>
      </w:pPr>
      <w:r w:rsidRPr="00F47CA6">
        <w:rPr>
          <w:rFonts w:ascii="Trebuchet MS" w:hAnsi="Trebuchet MS"/>
          <w:b/>
          <w:bCs/>
          <w:sz w:val="22"/>
          <w:szCs w:val="22"/>
        </w:rPr>
        <w:t>Ratio Definitions for</w:t>
      </w:r>
      <w:r>
        <w:rPr>
          <w:rFonts w:ascii="Trebuchet MS" w:hAnsi="Trebuchet MS"/>
          <w:b/>
          <w:bCs/>
          <w:sz w:val="22"/>
          <w:szCs w:val="22"/>
        </w:rPr>
        <w:t xml:space="preserve"> </w:t>
      </w:r>
      <w:r w:rsidR="00876C43" w:rsidRPr="00F47CA6">
        <w:rPr>
          <w:rFonts w:ascii="Trebuchet MS" w:hAnsi="Trebuchet MS"/>
          <w:b/>
          <w:bCs/>
          <w:sz w:val="22"/>
          <w:szCs w:val="22"/>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876C43" w14:paraId="408D6DED" w14:textId="77777777" w:rsidTr="004D4560">
        <w:trPr>
          <w:cantSplit/>
          <w:tblHeader/>
        </w:trPr>
        <w:tc>
          <w:tcPr>
            <w:tcW w:w="4567" w:type="dxa"/>
            <w:vAlign w:val="center"/>
          </w:tcPr>
          <w:p w14:paraId="0439AF2B" w14:textId="22BB4EC5" w:rsidR="00876C43" w:rsidRPr="009D19C3" w:rsidRDefault="00876C43" w:rsidP="00F47CA6">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3401B51A" w14:textId="489F255C" w:rsidR="00876C43" w:rsidRPr="009D19C3" w:rsidRDefault="00F47CA6" w:rsidP="00F47CA6">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7560FB" w14:paraId="78F0F99B" w14:textId="77777777" w:rsidTr="004D4560">
        <w:trPr>
          <w:cantSplit/>
        </w:trPr>
        <w:tc>
          <w:tcPr>
            <w:tcW w:w="4567" w:type="dxa"/>
            <w:vAlign w:val="center"/>
          </w:tcPr>
          <w:p w14:paraId="70294BE4" w14:textId="77838DA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7B514C81" w14:textId="364FB60C"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 from Operations Divided by Total Operating Revenue</w:t>
            </w:r>
          </w:p>
        </w:tc>
      </w:tr>
      <w:tr w:rsidR="007560FB" w14:paraId="27520EF1" w14:textId="77777777" w:rsidTr="004D4560">
        <w:trPr>
          <w:cantSplit/>
        </w:trPr>
        <w:tc>
          <w:tcPr>
            <w:tcW w:w="4567" w:type="dxa"/>
            <w:vAlign w:val="center"/>
          </w:tcPr>
          <w:p w14:paraId="75D996BC" w14:textId="4B49DA7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377890A6" w14:textId="6047350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Excess of Revenue over Expenses Divided by (Total Operating Revenue + Total Nonoperating Gains)</w:t>
            </w:r>
          </w:p>
        </w:tc>
      </w:tr>
      <w:tr w:rsidR="007560FB" w14:paraId="6C50204E" w14:textId="77777777" w:rsidTr="004D4560">
        <w:trPr>
          <w:cantSplit/>
        </w:trPr>
        <w:tc>
          <w:tcPr>
            <w:tcW w:w="4567" w:type="dxa"/>
            <w:vAlign w:val="center"/>
          </w:tcPr>
          <w:p w14:paraId="59360C8D" w14:textId="2746098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098C7423" w14:textId="00E55C90"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 Depreciation and Amortization + Interest) Divided by Interest</w:t>
            </w:r>
          </w:p>
        </w:tc>
      </w:tr>
      <w:tr w:rsidR="007560FB" w14:paraId="4B684EAE" w14:textId="77777777" w:rsidTr="004D4560">
        <w:trPr>
          <w:cantSplit/>
        </w:trPr>
        <w:tc>
          <w:tcPr>
            <w:tcW w:w="4567" w:type="dxa"/>
            <w:vAlign w:val="center"/>
          </w:tcPr>
          <w:p w14:paraId="60B26958" w14:textId="2356A78C"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37802DC2" w14:textId="42B5D350"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(Cash and Unrestricted as to Use Investments and Board-Designation as to Use) Multiplied by 365 Divided by (Total Operating Expenses Less Depreciation and Amortization)</w:t>
            </w:r>
          </w:p>
        </w:tc>
      </w:tr>
      <w:tr w:rsidR="007560FB" w14:paraId="67865BFD" w14:textId="77777777" w:rsidTr="004D4560">
        <w:trPr>
          <w:cantSplit/>
        </w:trPr>
        <w:tc>
          <w:tcPr>
            <w:tcW w:w="4567" w:type="dxa"/>
            <w:vAlign w:val="center"/>
          </w:tcPr>
          <w:p w14:paraId="3A3FDFBF" w14:textId="4B945AD7"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3F778717" w14:textId="2C71C4E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Total Operating Revenue</w:t>
            </w:r>
          </w:p>
        </w:tc>
      </w:tr>
      <w:tr w:rsidR="007560FB" w14:paraId="1E47634D" w14:textId="77777777" w:rsidTr="004D4560">
        <w:trPr>
          <w:cantSplit/>
        </w:trPr>
        <w:tc>
          <w:tcPr>
            <w:tcW w:w="4567" w:type="dxa"/>
            <w:vAlign w:val="center"/>
          </w:tcPr>
          <w:p w14:paraId="1213F6D7" w14:textId="2E5C3417"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Current Ratio (x)</w:t>
            </w:r>
          </w:p>
        </w:tc>
        <w:tc>
          <w:tcPr>
            <w:tcW w:w="4567" w:type="dxa"/>
          </w:tcPr>
          <w:p w14:paraId="22F14DEE" w14:textId="5857C81B"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 xml:space="preserve">Current Assets Divided by Current Liabilities </w:t>
            </w:r>
          </w:p>
        </w:tc>
      </w:tr>
      <w:tr w:rsidR="007560FB" w14:paraId="317D1FBF" w14:textId="77777777" w:rsidTr="004D4560">
        <w:trPr>
          <w:cantSplit/>
        </w:trPr>
        <w:tc>
          <w:tcPr>
            <w:tcW w:w="4567" w:type="dxa"/>
            <w:vAlign w:val="center"/>
          </w:tcPr>
          <w:p w14:paraId="33B95186" w14:textId="1B92F392"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67793F45" w14:textId="3AA488EE"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Long Term Debt Divided by Total Capitalization (Long Term Debt and Total Net Assets)</w:t>
            </w:r>
          </w:p>
        </w:tc>
      </w:tr>
      <w:tr w:rsidR="007560FB" w14:paraId="567D5F2B" w14:textId="77777777" w:rsidTr="004D4560">
        <w:trPr>
          <w:cantSplit/>
        </w:trPr>
        <w:tc>
          <w:tcPr>
            <w:tcW w:w="4567" w:type="dxa"/>
            <w:vAlign w:val="center"/>
          </w:tcPr>
          <w:p w14:paraId="2837A885" w14:textId="0930EB79"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Solvency:</w:t>
            </w:r>
            <w:r w:rsidRPr="009D19C3">
              <w:rPr>
                <w:rFonts w:ascii="Trebuchet MS" w:hAnsi="Trebuchet MS"/>
                <w:sz w:val="16"/>
                <w:szCs w:val="16"/>
              </w:rPr>
              <w:t xml:space="preserve"> Ratio of Cash Flow to Long Term Debt (%)</w:t>
            </w:r>
          </w:p>
        </w:tc>
        <w:tc>
          <w:tcPr>
            <w:tcW w:w="4567" w:type="dxa"/>
          </w:tcPr>
          <w:p w14:paraId="7A48D0C0" w14:textId="2721431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Long Term Debt</w:t>
            </w:r>
          </w:p>
        </w:tc>
      </w:tr>
      <w:tr w:rsidR="007560FB" w14:paraId="65982FD2" w14:textId="77777777" w:rsidTr="004D4560">
        <w:trPr>
          <w:cantSplit/>
        </w:trPr>
        <w:tc>
          <w:tcPr>
            <w:tcW w:w="4567" w:type="dxa"/>
            <w:vAlign w:val="center"/>
          </w:tcPr>
          <w:p w14:paraId="6C6C9D31" w14:textId="34DBC0B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1DD73EFD" w14:textId="2BD4BCF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7560FB" w14:paraId="47CACE20" w14:textId="77777777" w:rsidTr="004D4560">
        <w:trPr>
          <w:cantSplit/>
        </w:trPr>
        <w:tc>
          <w:tcPr>
            <w:tcW w:w="4567" w:type="dxa"/>
            <w:vAlign w:val="center"/>
          </w:tcPr>
          <w:p w14:paraId="1FE04632" w14:textId="74285E43"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79F1AEC6" w14:textId="2E1E73B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721CEF32" w14:textId="20517F25" w:rsidR="00501F79" w:rsidRDefault="00501F79" w:rsidP="00F41BF0">
      <w:pPr>
        <w:spacing w:line="480" w:lineRule="auto"/>
        <w:jc w:val="both"/>
        <w:rPr>
          <w:rFonts w:ascii="Trebuchet MS" w:hAnsi="Trebuchet MS"/>
          <w:b/>
          <w:sz w:val="22"/>
          <w:szCs w:val="22"/>
        </w:rPr>
      </w:pPr>
    </w:p>
    <w:p w14:paraId="71877FBC" w14:textId="77777777" w:rsidR="00C323E0" w:rsidRPr="00F41BF0" w:rsidRDefault="00C323E0" w:rsidP="00F41BF0">
      <w:pPr>
        <w:spacing w:line="480" w:lineRule="auto"/>
        <w:jc w:val="both"/>
        <w:rPr>
          <w:rFonts w:ascii="Trebuchet MS" w:hAnsi="Trebuchet MS"/>
          <w:b/>
          <w:sz w:val="22"/>
          <w:szCs w:val="22"/>
        </w:rPr>
      </w:pPr>
    </w:p>
    <w:p w14:paraId="7D1D23C1" w14:textId="492D838F"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Revenue</w:t>
      </w:r>
    </w:p>
    <w:p w14:paraId="61F192AE" w14:textId="77777777" w:rsidR="009A2BEA" w:rsidRPr="000D36DA" w:rsidRDefault="009A2BEA" w:rsidP="00A22182">
      <w:pPr>
        <w:tabs>
          <w:tab w:val="num" w:pos="1260"/>
        </w:tabs>
        <w:jc w:val="both"/>
        <w:rPr>
          <w:rFonts w:ascii="Trebuchet MS" w:hAnsi="Trebuchet MS"/>
          <w:sz w:val="22"/>
          <w:szCs w:val="22"/>
        </w:rPr>
      </w:pPr>
    </w:p>
    <w:p w14:paraId="56B9E6B1" w14:textId="31680CB0"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We analyzed the revenue forecast within the Projections. Revenue includes net patient service revenue (“NPSR”), research grants and contracts, recovery of indirect costs on grants and contracts, other operating revenue, unrestricted contributions net of fundraising expenses, and net assets released from restriction used for operations. Approximately 8</w:t>
      </w:r>
      <w:r w:rsidR="00E025D2">
        <w:rPr>
          <w:rFonts w:ascii="Trebuchet MS" w:hAnsi="Trebuchet MS"/>
          <w:sz w:val="22"/>
          <w:szCs w:val="22"/>
        </w:rPr>
        <w:t>2</w:t>
      </w:r>
      <w:r w:rsidRPr="00B26FD1">
        <w:rPr>
          <w:rFonts w:ascii="Trebuchet MS" w:hAnsi="Trebuchet MS"/>
          <w:sz w:val="22"/>
          <w:szCs w:val="22"/>
        </w:rPr>
        <w:t xml:space="preserve">.0 </w:t>
      </w:r>
      <w:r w:rsidRPr="00B26FD1">
        <w:rPr>
          <w:rFonts w:ascii="Trebuchet MS" w:hAnsi="Trebuchet MS"/>
          <w:sz w:val="22"/>
          <w:szCs w:val="22"/>
        </w:rPr>
        <w:lastRenderedPageBreak/>
        <w:t xml:space="preserve">percent of revenue is derived from net patient service revenue. NPSR is projected to grow between </w:t>
      </w:r>
      <w:r>
        <w:rPr>
          <w:rFonts w:ascii="Trebuchet MS" w:hAnsi="Trebuchet MS"/>
          <w:sz w:val="22"/>
          <w:szCs w:val="22"/>
        </w:rPr>
        <w:t>3</w:t>
      </w:r>
      <w:r w:rsidRPr="00B26FD1">
        <w:rPr>
          <w:rFonts w:ascii="Trebuchet MS" w:hAnsi="Trebuchet MS"/>
          <w:sz w:val="22"/>
          <w:szCs w:val="22"/>
        </w:rPr>
        <w:t>.</w:t>
      </w:r>
      <w:r>
        <w:rPr>
          <w:rFonts w:ascii="Trebuchet MS" w:hAnsi="Trebuchet MS"/>
          <w:sz w:val="22"/>
          <w:szCs w:val="22"/>
        </w:rPr>
        <w:t>3</w:t>
      </w:r>
      <w:r w:rsidRPr="00B26FD1">
        <w:rPr>
          <w:rFonts w:ascii="Trebuchet MS" w:hAnsi="Trebuchet MS"/>
          <w:sz w:val="22"/>
          <w:szCs w:val="22"/>
        </w:rPr>
        <w:t xml:space="preserve"> percent and </w:t>
      </w:r>
      <w:r w:rsidR="00E025D2">
        <w:rPr>
          <w:rFonts w:ascii="Trebuchet MS" w:hAnsi="Trebuchet MS"/>
          <w:sz w:val="22"/>
          <w:szCs w:val="22"/>
        </w:rPr>
        <w:t>7</w:t>
      </w:r>
      <w:r w:rsidRPr="00B26FD1">
        <w:rPr>
          <w:rFonts w:ascii="Trebuchet MS" w:hAnsi="Trebuchet MS"/>
          <w:sz w:val="22"/>
          <w:szCs w:val="22"/>
        </w:rPr>
        <w:t>.</w:t>
      </w:r>
      <w:r w:rsidR="00E025D2">
        <w:rPr>
          <w:rFonts w:ascii="Trebuchet MS" w:hAnsi="Trebuchet MS"/>
          <w:sz w:val="22"/>
          <w:szCs w:val="22"/>
        </w:rPr>
        <w:t>4</w:t>
      </w:r>
      <w:r w:rsidRPr="00B26FD1">
        <w:rPr>
          <w:rFonts w:ascii="Trebuchet MS" w:hAnsi="Trebuchet MS"/>
          <w:sz w:val="22"/>
          <w:szCs w:val="22"/>
        </w:rPr>
        <w:t xml:space="preserve"> percent annually over the projection period</w:t>
      </w:r>
      <w:r>
        <w:rPr>
          <w:rFonts w:ascii="Trebuchet MS" w:hAnsi="Trebuchet MS"/>
          <w:sz w:val="22"/>
          <w:szCs w:val="22"/>
        </w:rPr>
        <w:t>, with the exception of the growth in FY</w:t>
      </w:r>
      <w:r w:rsidR="00341B87">
        <w:rPr>
          <w:rFonts w:ascii="Trebuchet MS" w:hAnsi="Trebuchet MS"/>
          <w:sz w:val="22"/>
          <w:szCs w:val="22"/>
        </w:rPr>
        <w:t xml:space="preserve"> </w:t>
      </w:r>
      <w:r>
        <w:rPr>
          <w:rFonts w:ascii="Trebuchet MS" w:hAnsi="Trebuchet MS"/>
          <w:sz w:val="22"/>
          <w:szCs w:val="22"/>
        </w:rPr>
        <w:t>2023 of 12.4 percent</w:t>
      </w:r>
      <w:r w:rsidR="00B467DD">
        <w:rPr>
          <w:rFonts w:ascii="Trebuchet MS" w:hAnsi="Trebuchet MS"/>
          <w:sz w:val="22"/>
          <w:szCs w:val="22"/>
        </w:rPr>
        <w:t>.</w:t>
      </w:r>
      <w:r w:rsidR="00F84503">
        <w:rPr>
          <w:rFonts w:ascii="Trebuchet MS" w:hAnsi="Trebuchet MS"/>
          <w:sz w:val="22"/>
          <w:szCs w:val="22"/>
        </w:rPr>
        <w:t xml:space="preserve"> The historical</w:t>
      </w:r>
      <w:r w:rsidR="00530C27">
        <w:rPr>
          <w:rFonts w:ascii="Trebuchet MS" w:hAnsi="Trebuchet MS"/>
          <w:sz w:val="22"/>
          <w:szCs w:val="22"/>
        </w:rPr>
        <w:t xml:space="preserve"> growth in </w:t>
      </w:r>
      <w:r w:rsidR="00F84503">
        <w:rPr>
          <w:rFonts w:ascii="Trebuchet MS" w:hAnsi="Trebuchet MS"/>
          <w:sz w:val="22"/>
          <w:szCs w:val="22"/>
        </w:rPr>
        <w:t xml:space="preserve">NPSR </w:t>
      </w:r>
      <w:r w:rsidR="00530C27">
        <w:rPr>
          <w:rFonts w:ascii="Trebuchet MS" w:hAnsi="Trebuchet MS"/>
          <w:sz w:val="22"/>
          <w:szCs w:val="22"/>
        </w:rPr>
        <w:t>for</w:t>
      </w:r>
      <w:r w:rsidR="00F84503">
        <w:rPr>
          <w:rFonts w:ascii="Trebuchet MS" w:hAnsi="Trebuchet MS"/>
          <w:sz w:val="22"/>
          <w:szCs w:val="22"/>
        </w:rPr>
        <w:t xml:space="preserve"> FY 2021 and FY 2022 ranged from 7.8 percent to 15.0 percent.</w:t>
      </w:r>
    </w:p>
    <w:p w14:paraId="01246AEB" w14:textId="4B784266" w:rsidR="00B467DD" w:rsidRDefault="00530C27" w:rsidP="00B26FD1">
      <w:pPr>
        <w:tabs>
          <w:tab w:val="num" w:pos="1260"/>
        </w:tabs>
        <w:spacing w:line="480" w:lineRule="auto"/>
        <w:jc w:val="both"/>
        <w:rPr>
          <w:rFonts w:ascii="Trebuchet MS" w:hAnsi="Trebuchet MS"/>
          <w:sz w:val="22"/>
          <w:szCs w:val="22"/>
        </w:rPr>
      </w:pPr>
      <w:r>
        <w:rPr>
          <w:rFonts w:ascii="Trebuchet MS" w:hAnsi="Trebuchet MS"/>
          <w:sz w:val="22"/>
          <w:szCs w:val="22"/>
        </w:rPr>
        <w:t>On average, a</w:t>
      </w:r>
      <w:r w:rsidR="00B26FD1" w:rsidRPr="00B26FD1">
        <w:rPr>
          <w:rFonts w:ascii="Trebuchet MS" w:hAnsi="Trebuchet MS"/>
          <w:sz w:val="22"/>
          <w:szCs w:val="22"/>
        </w:rPr>
        <w:t>pproximately 6</w:t>
      </w:r>
      <w:r w:rsidR="00E025D2">
        <w:rPr>
          <w:rFonts w:ascii="Trebuchet MS" w:hAnsi="Trebuchet MS"/>
          <w:sz w:val="22"/>
          <w:szCs w:val="22"/>
        </w:rPr>
        <w:t>6</w:t>
      </w:r>
      <w:r w:rsidR="00B26FD1" w:rsidRPr="00B26FD1">
        <w:rPr>
          <w:rFonts w:ascii="Trebuchet MS" w:hAnsi="Trebuchet MS"/>
          <w:sz w:val="22"/>
          <w:szCs w:val="22"/>
        </w:rPr>
        <w:t>.0 percent of NPSR is derived from the Hospital, approximately 2</w:t>
      </w:r>
      <w:r w:rsidR="00E025D2">
        <w:rPr>
          <w:rFonts w:ascii="Trebuchet MS" w:hAnsi="Trebuchet MS"/>
          <w:sz w:val="22"/>
          <w:szCs w:val="22"/>
        </w:rPr>
        <w:t>6</w:t>
      </w:r>
      <w:r w:rsidR="00B26FD1" w:rsidRPr="00B26FD1">
        <w:rPr>
          <w:rFonts w:ascii="Trebuchet MS" w:hAnsi="Trebuchet MS"/>
          <w:sz w:val="22"/>
          <w:szCs w:val="22"/>
        </w:rPr>
        <w:t xml:space="preserve">.0 percent is from the PO, and the remainder from other subsidiaries. </w:t>
      </w:r>
    </w:p>
    <w:p w14:paraId="45BC1AB3" w14:textId="56004213" w:rsidR="00B26FD1" w:rsidRDefault="00B26FD1" w:rsidP="002055D5">
      <w:pPr>
        <w:tabs>
          <w:tab w:val="num" w:pos="1260"/>
        </w:tabs>
        <w:spacing w:line="480" w:lineRule="auto"/>
        <w:jc w:val="both"/>
        <w:rPr>
          <w:rFonts w:ascii="Trebuchet MS" w:hAnsi="Trebuchet MS"/>
          <w:sz w:val="22"/>
          <w:szCs w:val="22"/>
        </w:rPr>
      </w:pPr>
      <w:r w:rsidRPr="002055D5">
        <w:rPr>
          <w:rFonts w:ascii="Trebuchet MS" w:hAnsi="Trebuchet MS"/>
          <w:sz w:val="22"/>
          <w:szCs w:val="22"/>
        </w:rPr>
        <w:t xml:space="preserve">Management projects NPSR </w:t>
      </w:r>
      <w:r w:rsidR="00B467DD" w:rsidRPr="002055D5">
        <w:rPr>
          <w:rFonts w:ascii="Trebuchet MS" w:hAnsi="Trebuchet MS"/>
          <w:sz w:val="22"/>
          <w:szCs w:val="22"/>
        </w:rPr>
        <w:t>for the Hospital</w:t>
      </w:r>
      <w:r w:rsidR="002055D5" w:rsidRPr="002055D5">
        <w:rPr>
          <w:rFonts w:ascii="Trebuchet MS" w:hAnsi="Trebuchet MS"/>
          <w:sz w:val="22"/>
          <w:szCs w:val="22"/>
        </w:rPr>
        <w:t xml:space="preserve"> and </w:t>
      </w:r>
      <w:r w:rsidR="00B467DD" w:rsidRPr="002055D5">
        <w:rPr>
          <w:rFonts w:ascii="Trebuchet MS" w:hAnsi="Trebuchet MS"/>
          <w:sz w:val="22"/>
          <w:szCs w:val="22"/>
        </w:rPr>
        <w:t xml:space="preserve">PO </w:t>
      </w:r>
      <w:r w:rsidRPr="002055D5">
        <w:rPr>
          <w:rFonts w:ascii="Trebuchet MS" w:hAnsi="Trebuchet MS"/>
          <w:sz w:val="22"/>
          <w:szCs w:val="22"/>
        </w:rPr>
        <w:t>to increase annually</w:t>
      </w:r>
      <w:r w:rsidR="00B467DD" w:rsidRPr="002055D5">
        <w:rPr>
          <w:rFonts w:ascii="Trebuchet MS" w:hAnsi="Trebuchet MS"/>
          <w:sz w:val="22"/>
          <w:szCs w:val="22"/>
        </w:rPr>
        <w:t xml:space="preserve"> as follow</w:t>
      </w:r>
      <w:r w:rsidR="002055D5" w:rsidRPr="002055D5">
        <w:rPr>
          <w:rFonts w:ascii="Trebuchet MS" w:hAnsi="Trebuchet MS"/>
          <w:sz w:val="22"/>
          <w:szCs w:val="22"/>
        </w:rPr>
        <w:t>s:</w:t>
      </w:r>
      <w:r w:rsidRPr="002055D5">
        <w:rPr>
          <w:rFonts w:ascii="Trebuchet MS" w:hAnsi="Trebuchet MS"/>
          <w:sz w:val="22"/>
          <w:szCs w:val="22"/>
        </w:rPr>
        <w:t xml:space="preserve"> </w:t>
      </w:r>
    </w:p>
    <w:p w14:paraId="62F3B3B5" w14:textId="77777777" w:rsidR="00AC2505" w:rsidRPr="002055D5" w:rsidRDefault="00AC2505" w:rsidP="002055D5">
      <w:pPr>
        <w:tabs>
          <w:tab w:val="num" w:pos="1260"/>
        </w:tabs>
        <w:spacing w:line="480" w:lineRule="auto"/>
        <w:jc w:val="both"/>
        <w:rPr>
          <w:rFonts w:ascii="Trebuchet MS" w:hAnsi="Trebuchet MS"/>
          <w:sz w:val="22"/>
          <w:szCs w:val="22"/>
        </w:rPr>
      </w:pPr>
    </w:p>
    <w:tbl>
      <w:tblPr>
        <w:tblStyle w:val="TableGrid"/>
        <w:tblW w:w="0" w:type="auto"/>
        <w:jc w:val="center"/>
        <w:tblLayout w:type="fixed"/>
        <w:tblLook w:val="04A0" w:firstRow="1" w:lastRow="0" w:firstColumn="1" w:lastColumn="0" w:noHBand="0" w:noVBand="1"/>
        <w:tblCaption w:val="Projected Change in NPSR for Hospital and PO"/>
      </w:tblPr>
      <w:tblGrid>
        <w:gridCol w:w="2155"/>
        <w:gridCol w:w="1980"/>
        <w:gridCol w:w="2160"/>
        <w:gridCol w:w="1980"/>
      </w:tblGrid>
      <w:tr w:rsidR="00B467DD" w:rsidRPr="007560FB" w14:paraId="0600D76A" w14:textId="77777777" w:rsidTr="003E0B52">
        <w:trPr>
          <w:cantSplit/>
          <w:trHeight w:val="418"/>
          <w:tblHeader/>
          <w:jc w:val="center"/>
        </w:trPr>
        <w:tc>
          <w:tcPr>
            <w:tcW w:w="2155" w:type="dxa"/>
            <w:vAlign w:val="center"/>
          </w:tcPr>
          <w:p w14:paraId="0D5AA2BE" w14:textId="2AEA31CF"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Net Patient Service Revenue</w:t>
            </w:r>
          </w:p>
        </w:tc>
        <w:tc>
          <w:tcPr>
            <w:tcW w:w="1980" w:type="dxa"/>
            <w:vAlign w:val="center"/>
          </w:tcPr>
          <w:p w14:paraId="1A0CE02A" w14:textId="495F5E76"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 xml:space="preserve">Historical Annual Growth </w:t>
            </w:r>
          </w:p>
          <w:p w14:paraId="6921F8EF" w14:textId="076184C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2019 – 2022</w:t>
            </w:r>
          </w:p>
        </w:tc>
        <w:tc>
          <w:tcPr>
            <w:tcW w:w="2160" w:type="dxa"/>
            <w:vAlign w:val="center"/>
          </w:tcPr>
          <w:p w14:paraId="5757E594" w14:textId="6368E912"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 xml:space="preserve">2023 Growth </w:t>
            </w:r>
          </w:p>
        </w:tc>
        <w:tc>
          <w:tcPr>
            <w:tcW w:w="1980" w:type="dxa"/>
            <w:vAlign w:val="center"/>
          </w:tcPr>
          <w:p w14:paraId="125BEE6D" w14:textId="715F757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Future Annual Growth</w:t>
            </w:r>
          </w:p>
          <w:p w14:paraId="620F4929" w14:textId="7145806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2024 - 2033</w:t>
            </w:r>
          </w:p>
        </w:tc>
      </w:tr>
      <w:tr w:rsidR="00B467DD" w:rsidRPr="00E56196" w14:paraId="6B8876ED" w14:textId="77777777" w:rsidTr="003E0B52">
        <w:trPr>
          <w:cantSplit/>
          <w:trHeight w:val="60"/>
          <w:jc w:val="center"/>
        </w:trPr>
        <w:tc>
          <w:tcPr>
            <w:tcW w:w="2155" w:type="dxa"/>
            <w:vAlign w:val="center"/>
          </w:tcPr>
          <w:p w14:paraId="6954AB96" w14:textId="744B2EB3"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Hospital</w:t>
            </w:r>
          </w:p>
        </w:tc>
        <w:tc>
          <w:tcPr>
            <w:tcW w:w="1980" w:type="dxa"/>
            <w:vAlign w:val="center"/>
          </w:tcPr>
          <w:p w14:paraId="70478E87" w14:textId="419970EF"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-9.1% to 15.6%</w:t>
            </w:r>
          </w:p>
        </w:tc>
        <w:tc>
          <w:tcPr>
            <w:tcW w:w="2160" w:type="dxa"/>
            <w:vAlign w:val="center"/>
          </w:tcPr>
          <w:p w14:paraId="0433C69C" w14:textId="7F7A5F2F"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16.9%</w:t>
            </w:r>
          </w:p>
        </w:tc>
        <w:tc>
          <w:tcPr>
            <w:tcW w:w="1980" w:type="dxa"/>
            <w:vAlign w:val="center"/>
          </w:tcPr>
          <w:p w14:paraId="515701FF" w14:textId="17EC90DE"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2.6% to 6.1%</w:t>
            </w:r>
          </w:p>
        </w:tc>
      </w:tr>
      <w:tr w:rsidR="00B467DD" w:rsidRPr="00E56196" w14:paraId="389D61AB" w14:textId="77777777" w:rsidTr="003E0B52">
        <w:trPr>
          <w:cantSplit/>
          <w:trHeight w:val="60"/>
          <w:jc w:val="center"/>
        </w:trPr>
        <w:tc>
          <w:tcPr>
            <w:tcW w:w="2155" w:type="dxa"/>
            <w:vAlign w:val="center"/>
          </w:tcPr>
          <w:p w14:paraId="6D4755EF" w14:textId="570C65BB"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PO</w:t>
            </w:r>
          </w:p>
        </w:tc>
        <w:tc>
          <w:tcPr>
            <w:tcW w:w="1980" w:type="dxa"/>
            <w:vAlign w:val="center"/>
          </w:tcPr>
          <w:p w14:paraId="64B8AB22" w14:textId="5946DC53"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-11.1% to 13.7%</w:t>
            </w:r>
          </w:p>
        </w:tc>
        <w:tc>
          <w:tcPr>
            <w:tcW w:w="2160" w:type="dxa"/>
            <w:vAlign w:val="center"/>
          </w:tcPr>
          <w:p w14:paraId="1B8A1431" w14:textId="269B3D9A"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3.6%</w:t>
            </w:r>
          </w:p>
        </w:tc>
        <w:tc>
          <w:tcPr>
            <w:tcW w:w="1980" w:type="dxa"/>
            <w:vAlign w:val="center"/>
          </w:tcPr>
          <w:p w14:paraId="1B35514D" w14:textId="57396B59"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4.1% to 4.7%</w:t>
            </w:r>
          </w:p>
        </w:tc>
      </w:tr>
    </w:tbl>
    <w:p w14:paraId="5A762819" w14:textId="77777777" w:rsidR="00F3710B" w:rsidRDefault="00F3710B" w:rsidP="00B97440">
      <w:pPr>
        <w:tabs>
          <w:tab w:val="num" w:pos="1260"/>
        </w:tabs>
        <w:spacing w:line="480" w:lineRule="auto"/>
        <w:jc w:val="both"/>
        <w:rPr>
          <w:rFonts w:ascii="Trebuchet MS" w:hAnsi="Trebuchet MS"/>
          <w:sz w:val="22"/>
          <w:szCs w:val="22"/>
        </w:rPr>
      </w:pPr>
    </w:p>
    <w:p w14:paraId="4DCC73A3" w14:textId="4A3B27E4" w:rsidR="00B97440" w:rsidRPr="00B26FD1" w:rsidRDefault="00B97440" w:rsidP="00B97440">
      <w:pPr>
        <w:tabs>
          <w:tab w:val="num" w:pos="1260"/>
        </w:tabs>
        <w:spacing w:line="480" w:lineRule="auto"/>
        <w:jc w:val="both"/>
        <w:rPr>
          <w:rFonts w:ascii="Trebuchet MS" w:hAnsi="Trebuchet MS"/>
          <w:sz w:val="22"/>
          <w:szCs w:val="22"/>
        </w:rPr>
      </w:pPr>
      <w:r>
        <w:rPr>
          <w:rFonts w:ascii="Trebuchet MS" w:hAnsi="Trebuchet MS"/>
          <w:sz w:val="22"/>
          <w:szCs w:val="22"/>
        </w:rPr>
        <w:t xml:space="preserve">As illustrated in the table above, the future annual growth for both the Hospital and the PO from FY 2023 to FY 2033 is consistent with historical annual growth from FY 2019 and FY 2022. The Hospital’s NPSR growth in FY 2023 is anticipated to be higher at 16.9 percent. Based on discussions with Management, we understand the higher growth is driven by several factors, including the overall service pricing increase of approximately 7.0 percent started in early FY 2023 and the Hospital’s ability to service more patients by increasing capacity and volume; </w:t>
      </w:r>
      <w:r w:rsidRPr="00B26FD1">
        <w:rPr>
          <w:rFonts w:ascii="Trebuchet MS" w:hAnsi="Trebuchet MS"/>
          <w:sz w:val="22"/>
          <w:szCs w:val="22"/>
        </w:rPr>
        <w:t xml:space="preserve">Growth in </w:t>
      </w:r>
      <w:r>
        <w:rPr>
          <w:rFonts w:ascii="Trebuchet MS" w:hAnsi="Trebuchet MS"/>
          <w:sz w:val="22"/>
          <w:szCs w:val="22"/>
        </w:rPr>
        <w:t>volume</w:t>
      </w:r>
      <w:r w:rsidRPr="00B26FD1">
        <w:rPr>
          <w:rFonts w:ascii="Trebuchet MS" w:hAnsi="Trebuchet MS"/>
          <w:sz w:val="22"/>
          <w:szCs w:val="22"/>
        </w:rPr>
        <w:t xml:space="preserve"> primarily relate</w:t>
      </w:r>
      <w:r>
        <w:rPr>
          <w:rFonts w:ascii="Trebuchet MS" w:hAnsi="Trebuchet MS"/>
          <w:sz w:val="22"/>
          <w:szCs w:val="22"/>
        </w:rPr>
        <w:t>s</w:t>
      </w:r>
      <w:r w:rsidRPr="00B26FD1">
        <w:rPr>
          <w:rFonts w:ascii="Trebuchet MS" w:hAnsi="Trebuchet MS"/>
          <w:sz w:val="22"/>
          <w:szCs w:val="22"/>
        </w:rPr>
        <w:t xml:space="preserve"> to the return to </w:t>
      </w:r>
      <w:r>
        <w:rPr>
          <w:rFonts w:ascii="Trebuchet MS" w:hAnsi="Trebuchet MS"/>
          <w:sz w:val="22"/>
          <w:szCs w:val="22"/>
        </w:rPr>
        <w:t>pre-</w:t>
      </w:r>
      <w:r w:rsidRPr="00B26FD1">
        <w:rPr>
          <w:rFonts w:ascii="Trebuchet MS" w:hAnsi="Trebuchet MS"/>
          <w:sz w:val="22"/>
          <w:szCs w:val="22"/>
        </w:rPr>
        <w:t>COVID</w:t>
      </w:r>
      <w:r>
        <w:rPr>
          <w:rFonts w:ascii="Trebuchet MS" w:hAnsi="Trebuchet MS"/>
          <w:sz w:val="22"/>
          <w:szCs w:val="22"/>
        </w:rPr>
        <w:t xml:space="preserve"> </w:t>
      </w:r>
      <w:r w:rsidRPr="00B26FD1">
        <w:rPr>
          <w:rFonts w:ascii="Trebuchet MS" w:hAnsi="Trebuchet MS"/>
          <w:sz w:val="22"/>
          <w:szCs w:val="22"/>
        </w:rPr>
        <w:t xml:space="preserve">19 operating levels, the </w:t>
      </w:r>
      <w:r>
        <w:rPr>
          <w:rFonts w:ascii="Trebuchet MS" w:hAnsi="Trebuchet MS"/>
          <w:sz w:val="22"/>
          <w:szCs w:val="22"/>
        </w:rPr>
        <w:t xml:space="preserve">full integration of </w:t>
      </w:r>
      <w:r w:rsidRPr="00B26FD1">
        <w:rPr>
          <w:rFonts w:ascii="Trebuchet MS" w:hAnsi="Trebuchet MS"/>
          <w:sz w:val="22"/>
          <w:szCs w:val="22"/>
        </w:rPr>
        <w:t xml:space="preserve">the Hale Building </w:t>
      </w:r>
      <w:r>
        <w:rPr>
          <w:rFonts w:ascii="Trebuchet MS" w:hAnsi="Trebuchet MS"/>
          <w:sz w:val="22"/>
          <w:szCs w:val="22"/>
        </w:rPr>
        <w:t xml:space="preserve">ending </w:t>
      </w:r>
      <w:r w:rsidRPr="00B26FD1">
        <w:rPr>
          <w:rFonts w:ascii="Trebuchet MS" w:hAnsi="Trebuchet MS"/>
          <w:sz w:val="22"/>
          <w:szCs w:val="22"/>
        </w:rPr>
        <w:t xml:space="preserve">in FY 2022, and </w:t>
      </w:r>
      <w:r>
        <w:rPr>
          <w:rFonts w:ascii="Trebuchet MS" w:hAnsi="Trebuchet MS"/>
          <w:sz w:val="22"/>
          <w:szCs w:val="22"/>
        </w:rPr>
        <w:t xml:space="preserve">partly due to </w:t>
      </w:r>
      <w:r w:rsidRPr="00B26FD1">
        <w:rPr>
          <w:rFonts w:ascii="Trebuchet MS" w:hAnsi="Trebuchet MS"/>
          <w:sz w:val="22"/>
          <w:szCs w:val="22"/>
        </w:rPr>
        <w:t xml:space="preserve">the addition of 12 inpatient adolescent and pediatric psychiatric beds at Waltham </w:t>
      </w:r>
      <w:r>
        <w:rPr>
          <w:rFonts w:ascii="Trebuchet MS" w:hAnsi="Trebuchet MS"/>
          <w:sz w:val="22"/>
          <w:szCs w:val="22"/>
        </w:rPr>
        <w:t>and 58</w:t>
      </w:r>
      <w:r w:rsidRPr="00E2519E">
        <w:rPr>
          <w:rFonts w:ascii="Trebuchet MS" w:hAnsi="Trebuchet MS"/>
          <w:sz w:val="22"/>
          <w:szCs w:val="22"/>
        </w:rPr>
        <w:t xml:space="preserve"> incremental beds </w:t>
      </w:r>
      <w:r>
        <w:rPr>
          <w:rFonts w:ascii="Trebuchet MS" w:hAnsi="Trebuchet MS"/>
          <w:sz w:val="22"/>
          <w:szCs w:val="22"/>
        </w:rPr>
        <w:t xml:space="preserve">in </w:t>
      </w:r>
      <w:r w:rsidRPr="00E2519E">
        <w:rPr>
          <w:rFonts w:ascii="Trebuchet MS" w:hAnsi="Trebuchet MS"/>
          <w:sz w:val="22"/>
          <w:szCs w:val="22"/>
        </w:rPr>
        <w:t>Longwood</w:t>
      </w:r>
      <w:r>
        <w:rPr>
          <w:rFonts w:ascii="Trebuchet MS" w:hAnsi="Trebuchet MS"/>
          <w:sz w:val="22"/>
          <w:szCs w:val="22"/>
        </w:rPr>
        <w:t xml:space="preserve"> throughout FY 2021 to FY 2023</w:t>
      </w:r>
      <w:r w:rsidRPr="00B26FD1">
        <w:rPr>
          <w:rFonts w:ascii="Trebuchet MS" w:hAnsi="Trebuchet MS"/>
          <w:sz w:val="22"/>
          <w:szCs w:val="22"/>
        </w:rPr>
        <w:t>.</w:t>
      </w:r>
      <w:r>
        <w:rPr>
          <w:rFonts w:ascii="Trebuchet MS" w:hAnsi="Trebuchet MS"/>
          <w:sz w:val="22"/>
          <w:szCs w:val="22"/>
        </w:rPr>
        <w:t xml:space="preserve"> Additionally, based on the data provided by Management, the year-to-date NPSR ended June 30, 2023 is tracking the FY 2023 budget by 97.9 percent.</w:t>
      </w:r>
    </w:p>
    <w:p w14:paraId="7AADEA86" w14:textId="69AD6DF5" w:rsidR="006A4A27" w:rsidRDefault="00B97440">
      <w:pPr>
        <w:tabs>
          <w:tab w:val="num" w:pos="1260"/>
        </w:tabs>
        <w:spacing w:line="480" w:lineRule="auto"/>
        <w:jc w:val="both"/>
        <w:rPr>
          <w:rFonts w:ascii="Trebuchet MS" w:hAnsi="Trebuchet MS"/>
          <w:sz w:val="22"/>
          <w:szCs w:val="22"/>
        </w:rPr>
      </w:pPr>
      <w:r w:rsidRPr="00B26FD1">
        <w:rPr>
          <w:rFonts w:ascii="Trebuchet MS" w:hAnsi="Trebuchet MS"/>
          <w:sz w:val="22"/>
          <w:szCs w:val="22"/>
        </w:rPr>
        <w:lastRenderedPageBreak/>
        <w:t xml:space="preserve">In order to determine the reasonableness of the projected revenue, we reviewed the underlying assumptions upon which Management relied. Based upon our review, Management relied upon the historical operations and anticipated market movements. The </w:t>
      </w:r>
      <w:r>
        <w:rPr>
          <w:rFonts w:ascii="Trebuchet MS" w:hAnsi="Trebuchet MS"/>
          <w:sz w:val="22"/>
          <w:szCs w:val="22"/>
        </w:rPr>
        <w:t>eleven</w:t>
      </w:r>
      <w:r w:rsidRPr="00B26FD1">
        <w:rPr>
          <w:rFonts w:ascii="Trebuchet MS" w:hAnsi="Trebuchet MS"/>
          <w:sz w:val="22"/>
          <w:szCs w:val="22"/>
        </w:rPr>
        <w:t xml:space="preserve">-year </w:t>
      </w:r>
      <w:r>
        <w:rPr>
          <w:rFonts w:ascii="Trebuchet MS" w:hAnsi="Trebuchet MS"/>
          <w:sz w:val="22"/>
          <w:szCs w:val="22"/>
        </w:rPr>
        <w:t>compounded annual growth rate (“</w:t>
      </w:r>
      <w:r w:rsidRPr="00B26FD1">
        <w:rPr>
          <w:rFonts w:ascii="Trebuchet MS" w:hAnsi="Trebuchet MS"/>
          <w:sz w:val="22"/>
          <w:szCs w:val="22"/>
        </w:rPr>
        <w:t>CAGR</w:t>
      </w:r>
      <w:r>
        <w:rPr>
          <w:rFonts w:ascii="Trebuchet MS" w:hAnsi="Trebuchet MS"/>
          <w:sz w:val="22"/>
          <w:szCs w:val="22"/>
        </w:rPr>
        <w:t>”)</w:t>
      </w:r>
      <w:r w:rsidRPr="00B26FD1">
        <w:rPr>
          <w:rFonts w:ascii="Trebuchet MS" w:hAnsi="Trebuchet MS"/>
          <w:sz w:val="22"/>
          <w:szCs w:val="22"/>
        </w:rPr>
        <w:t xml:space="preserve"> for total operating revenue in the Projections of </w:t>
      </w:r>
      <w:r>
        <w:rPr>
          <w:rFonts w:ascii="Trebuchet MS" w:hAnsi="Trebuchet MS"/>
          <w:sz w:val="22"/>
          <w:szCs w:val="22"/>
        </w:rPr>
        <w:t>4</w:t>
      </w:r>
      <w:r w:rsidRPr="00B26FD1">
        <w:rPr>
          <w:rFonts w:ascii="Trebuchet MS" w:hAnsi="Trebuchet MS"/>
          <w:sz w:val="22"/>
          <w:szCs w:val="22"/>
        </w:rPr>
        <w:t>.</w:t>
      </w:r>
      <w:r>
        <w:rPr>
          <w:rFonts w:ascii="Trebuchet MS" w:hAnsi="Trebuchet MS"/>
          <w:sz w:val="22"/>
          <w:szCs w:val="22"/>
        </w:rPr>
        <w:t>6</w:t>
      </w:r>
      <w:r w:rsidRPr="00B26FD1">
        <w:rPr>
          <w:rFonts w:ascii="Trebuchet MS" w:hAnsi="Trebuchet MS"/>
          <w:sz w:val="22"/>
          <w:szCs w:val="22"/>
        </w:rPr>
        <w:t xml:space="preserve"> percent falls below </w:t>
      </w:r>
      <w:r>
        <w:rPr>
          <w:rFonts w:ascii="Trebuchet MS" w:hAnsi="Trebuchet MS"/>
          <w:sz w:val="22"/>
          <w:szCs w:val="22"/>
        </w:rPr>
        <w:t xml:space="preserve">CMCC’s </w:t>
      </w:r>
      <w:r w:rsidRPr="00B26FD1">
        <w:rPr>
          <w:rFonts w:ascii="Trebuchet MS" w:hAnsi="Trebuchet MS"/>
          <w:sz w:val="22"/>
          <w:szCs w:val="22"/>
        </w:rPr>
        <w:t>revenue growth rates in FY 2021 of 10.4 percent</w:t>
      </w:r>
      <w:r>
        <w:rPr>
          <w:rFonts w:ascii="Trebuchet MS" w:hAnsi="Trebuchet MS"/>
          <w:sz w:val="22"/>
          <w:szCs w:val="22"/>
        </w:rPr>
        <w:t xml:space="preserve"> and FY 2022 of 8.8 percent</w:t>
      </w:r>
      <w:r w:rsidRPr="00B26FD1">
        <w:rPr>
          <w:rFonts w:ascii="Trebuchet MS" w:hAnsi="Trebuchet MS"/>
          <w:sz w:val="22"/>
          <w:szCs w:val="22"/>
        </w:rPr>
        <w:t xml:space="preserve">. Based upon the foregoing, it is our opinion that the revenue growth projected by Management is based on reasonable assumptions and is feasible for </w:t>
      </w:r>
      <w:r>
        <w:rPr>
          <w:rFonts w:ascii="Trebuchet MS" w:hAnsi="Trebuchet MS"/>
          <w:sz w:val="22"/>
          <w:szCs w:val="22"/>
        </w:rPr>
        <w:t>the combined operations of CMCC</w:t>
      </w:r>
      <w:r w:rsidRPr="00B26FD1">
        <w:rPr>
          <w:rFonts w:ascii="Trebuchet MS" w:hAnsi="Trebuchet MS"/>
          <w:sz w:val="22"/>
          <w:szCs w:val="22"/>
        </w:rPr>
        <w:t>.</w:t>
      </w:r>
    </w:p>
    <w:p w14:paraId="5B361AC6" w14:textId="77777777" w:rsidR="00F3710B" w:rsidRPr="000D36DA" w:rsidRDefault="00F3710B">
      <w:pPr>
        <w:tabs>
          <w:tab w:val="num" w:pos="1260"/>
        </w:tabs>
        <w:spacing w:line="480" w:lineRule="auto"/>
        <w:jc w:val="both"/>
        <w:rPr>
          <w:rFonts w:ascii="Trebuchet MS" w:hAnsi="Trebuchet MS"/>
          <w:sz w:val="22"/>
          <w:szCs w:val="22"/>
        </w:rPr>
      </w:pPr>
    </w:p>
    <w:p w14:paraId="182E58E4" w14:textId="77777777"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Operating Expenses</w:t>
      </w:r>
    </w:p>
    <w:p w14:paraId="4514D15C" w14:textId="77777777" w:rsidR="009A2BEA" w:rsidRPr="000D36DA" w:rsidRDefault="009A2BEA">
      <w:pPr>
        <w:spacing w:line="480" w:lineRule="auto"/>
        <w:ind w:left="360"/>
        <w:jc w:val="both"/>
        <w:rPr>
          <w:rFonts w:ascii="Trebuchet MS" w:hAnsi="Trebuchet MS"/>
          <w:sz w:val="22"/>
          <w:szCs w:val="22"/>
        </w:rPr>
      </w:pPr>
    </w:p>
    <w:p w14:paraId="3764E398" w14:textId="77777777"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We analyzed each of the categorized operating expenses for reasonableness and feasibility as it related to the Projections. </w:t>
      </w:r>
    </w:p>
    <w:p w14:paraId="347C22A0" w14:textId="77777777" w:rsidR="00B97440" w:rsidRPr="008F2524" w:rsidRDefault="00B97440" w:rsidP="00B97440">
      <w:pPr>
        <w:spacing w:line="480" w:lineRule="auto"/>
        <w:jc w:val="both"/>
        <w:rPr>
          <w:rFonts w:ascii="Trebuchet MS" w:hAnsi="Trebuchet MS"/>
          <w:sz w:val="22"/>
          <w:szCs w:val="22"/>
        </w:rPr>
      </w:pPr>
    </w:p>
    <w:p w14:paraId="194916E4" w14:textId="1FB369C5"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The operating expenses in the analysis include salaries and benefits, supplies and other expenses, direct research expenses of grants, health safety net assessment, depreciation and amortization, costs related to asset dispositions, and interest and net interest rate swap cash flows. Salaries and benefits account for approximately 60.0 percent of total operating expenses and </w:t>
      </w:r>
      <w:r w:rsidR="005F42AD" w:rsidRPr="008F2524">
        <w:rPr>
          <w:rFonts w:ascii="Trebuchet MS" w:hAnsi="Trebuchet MS"/>
          <w:sz w:val="22"/>
          <w:szCs w:val="22"/>
        </w:rPr>
        <w:t>supplies,</w:t>
      </w:r>
      <w:r w:rsidRPr="008F2524">
        <w:rPr>
          <w:rFonts w:ascii="Trebuchet MS" w:hAnsi="Trebuchet MS"/>
          <w:sz w:val="22"/>
          <w:szCs w:val="22"/>
        </w:rPr>
        <w:t xml:space="preserve"> and other expenses account for approximately 23.0 percent of total operating expenses throughout the projection period. </w:t>
      </w:r>
    </w:p>
    <w:p w14:paraId="23FFD63D" w14:textId="77777777" w:rsidR="00B97440" w:rsidRPr="008F2524" w:rsidRDefault="00B97440" w:rsidP="00B97440">
      <w:pPr>
        <w:spacing w:line="480" w:lineRule="auto"/>
        <w:jc w:val="both"/>
        <w:rPr>
          <w:rFonts w:ascii="Trebuchet MS" w:hAnsi="Trebuchet MS"/>
          <w:sz w:val="22"/>
          <w:szCs w:val="22"/>
        </w:rPr>
      </w:pPr>
    </w:p>
    <w:p w14:paraId="28CA987C" w14:textId="75FC1D44" w:rsidR="00B97440" w:rsidRPr="008F2524" w:rsidRDefault="00B97440" w:rsidP="00B97440">
      <w:pPr>
        <w:spacing w:line="480" w:lineRule="auto"/>
        <w:jc w:val="both"/>
        <w:rPr>
          <w:rFonts w:ascii="Trebuchet MS" w:hAnsi="Trebuchet MS"/>
          <w:sz w:val="22"/>
          <w:szCs w:val="22"/>
        </w:rPr>
      </w:pPr>
      <w:r w:rsidRPr="008F2524">
        <w:rPr>
          <w:rFonts w:ascii="Trebuchet MS" w:hAnsi="Trebuchet MS"/>
          <w:sz w:val="22"/>
          <w:szCs w:val="22"/>
        </w:rPr>
        <w:t xml:space="preserve">Salaries and benefits were projected to increase </w:t>
      </w:r>
      <w:r>
        <w:rPr>
          <w:rFonts w:ascii="Trebuchet MS" w:hAnsi="Trebuchet MS"/>
          <w:sz w:val="22"/>
          <w:szCs w:val="22"/>
        </w:rPr>
        <w:t xml:space="preserve">by 12.6 percent in FY 2023 and </w:t>
      </w:r>
      <w:r w:rsidRPr="008F2524">
        <w:rPr>
          <w:rFonts w:ascii="Trebuchet MS" w:hAnsi="Trebuchet MS"/>
          <w:sz w:val="22"/>
          <w:szCs w:val="22"/>
        </w:rPr>
        <w:t>annually between 3.</w:t>
      </w:r>
      <w:r>
        <w:rPr>
          <w:rFonts w:ascii="Trebuchet MS" w:hAnsi="Trebuchet MS"/>
          <w:sz w:val="22"/>
          <w:szCs w:val="22"/>
        </w:rPr>
        <w:t>3</w:t>
      </w:r>
      <w:r w:rsidRPr="008F2524">
        <w:rPr>
          <w:rFonts w:ascii="Trebuchet MS" w:hAnsi="Trebuchet MS"/>
          <w:sz w:val="22"/>
          <w:szCs w:val="22"/>
        </w:rPr>
        <w:t xml:space="preserve"> percent and </w:t>
      </w:r>
      <w:r>
        <w:rPr>
          <w:rFonts w:ascii="Trebuchet MS" w:hAnsi="Trebuchet MS"/>
          <w:sz w:val="22"/>
          <w:szCs w:val="22"/>
        </w:rPr>
        <w:t>8</w:t>
      </w:r>
      <w:r w:rsidRPr="008F2524">
        <w:rPr>
          <w:rFonts w:ascii="Trebuchet MS" w:hAnsi="Trebuchet MS"/>
          <w:sz w:val="22"/>
          <w:szCs w:val="22"/>
        </w:rPr>
        <w:t>.</w:t>
      </w:r>
      <w:r>
        <w:rPr>
          <w:rFonts w:ascii="Trebuchet MS" w:hAnsi="Trebuchet MS"/>
          <w:sz w:val="22"/>
          <w:szCs w:val="22"/>
        </w:rPr>
        <w:t>2</w:t>
      </w:r>
      <w:r w:rsidRPr="008F2524">
        <w:rPr>
          <w:rFonts w:ascii="Trebuchet MS" w:hAnsi="Trebuchet MS"/>
          <w:sz w:val="22"/>
          <w:szCs w:val="22"/>
        </w:rPr>
        <w:t xml:space="preserve"> percent for FY 202</w:t>
      </w:r>
      <w:r>
        <w:rPr>
          <w:rFonts w:ascii="Trebuchet MS" w:hAnsi="Trebuchet MS"/>
          <w:sz w:val="22"/>
          <w:szCs w:val="22"/>
        </w:rPr>
        <w:t>4</w:t>
      </w:r>
      <w:r w:rsidRPr="008F2524">
        <w:rPr>
          <w:rFonts w:ascii="Trebuchet MS" w:hAnsi="Trebuchet MS"/>
          <w:sz w:val="22"/>
          <w:szCs w:val="22"/>
        </w:rPr>
        <w:t xml:space="preserve"> through FY 20</w:t>
      </w:r>
      <w:r>
        <w:rPr>
          <w:rFonts w:ascii="Trebuchet MS" w:hAnsi="Trebuchet MS"/>
          <w:sz w:val="22"/>
          <w:szCs w:val="22"/>
        </w:rPr>
        <w:t>33</w:t>
      </w:r>
      <w:r w:rsidRPr="008F2524">
        <w:rPr>
          <w:rFonts w:ascii="Trebuchet MS" w:hAnsi="Trebuchet MS"/>
          <w:sz w:val="22"/>
          <w:szCs w:val="22"/>
        </w:rPr>
        <w:t xml:space="preserve">. Approximately </w:t>
      </w:r>
      <w:r>
        <w:rPr>
          <w:rFonts w:ascii="Trebuchet MS" w:hAnsi="Trebuchet MS"/>
          <w:sz w:val="22"/>
          <w:szCs w:val="22"/>
        </w:rPr>
        <w:t>60</w:t>
      </w:r>
      <w:r w:rsidRPr="008F2524">
        <w:rPr>
          <w:rFonts w:ascii="Trebuchet MS" w:hAnsi="Trebuchet MS"/>
          <w:sz w:val="22"/>
          <w:szCs w:val="22"/>
        </w:rPr>
        <w:t xml:space="preserve">.0 </w:t>
      </w:r>
      <w:r w:rsidRPr="008F2524">
        <w:rPr>
          <w:rFonts w:ascii="Trebuchet MS" w:hAnsi="Trebuchet MS"/>
          <w:sz w:val="22"/>
          <w:szCs w:val="22"/>
        </w:rPr>
        <w:lastRenderedPageBreak/>
        <w:t xml:space="preserve">percent of the total salaries and benefits relate to the Hospital. Growth in salaries and benefits for the Hospital was determined based on growth in full time equivalents (“FTEs”) and change in wages. </w:t>
      </w:r>
      <w:r>
        <w:rPr>
          <w:rFonts w:ascii="Trebuchet MS" w:hAnsi="Trebuchet MS"/>
          <w:sz w:val="22"/>
          <w:szCs w:val="22"/>
        </w:rPr>
        <w:t xml:space="preserve">Growth in </w:t>
      </w:r>
      <w:r w:rsidRPr="008F2524">
        <w:rPr>
          <w:rFonts w:ascii="Trebuchet MS" w:hAnsi="Trebuchet MS"/>
          <w:sz w:val="22"/>
          <w:szCs w:val="22"/>
        </w:rPr>
        <w:t xml:space="preserve">FTEs </w:t>
      </w:r>
      <w:r w:rsidRPr="00463571">
        <w:rPr>
          <w:rFonts w:ascii="Trebuchet MS" w:hAnsi="Trebuchet MS"/>
          <w:sz w:val="22"/>
          <w:szCs w:val="22"/>
        </w:rPr>
        <w:t>is largely drive</w:t>
      </w:r>
      <w:r>
        <w:rPr>
          <w:rFonts w:ascii="Trebuchet MS" w:hAnsi="Trebuchet MS"/>
          <w:sz w:val="22"/>
          <w:szCs w:val="22"/>
        </w:rPr>
        <w:t>n</w:t>
      </w:r>
      <w:r w:rsidRPr="00463571">
        <w:rPr>
          <w:rFonts w:ascii="Trebuchet MS" w:hAnsi="Trebuchet MS"/>
          <w:sz w:val="22"/>
          <w:szCs w:val="22"/>
        </w:rPr>
        <w:t xml:space="preserve"> by the opening of 70 incremental beds from FY21 to FY23 in Longwood </w:t>
      </w:r>
      <w:r>
        <w:rPr>
          <w:rFonts w:ascii="Trebuchet MS" w:hAnsi="Trebuchet MS"/>
          <w:sz w:val="22"/>
          <w:szCs w:val="22"/>
        </w:rPr>
        <w:t xml:space="preserve">and </w:t>
      </w:r>
      <w:r w:rsidRPr="00463571">
        <w:rPr>
          <w:rFonts w:ascii="Trebuchet MS" w:hAnsi="Trebuchet MS"/>
          <w:sz w:val="22"/>
          <w:szCs w:val="22"/>
        </w:rPr>
        <w:t>Waltham</w:t>
      </w:r>
      <w:r>
        <w:rPr>
          <w:rFonts w:ascii="Trebuchet MS" w:hAnsi="Trebuchet MS"/>
          <w:sz w:val="22"/>
          <w:szCs w:val="22"/>
        </w:rPr>
        <w:t xml:space="preserve"> locations as well as the integration of the </w:t>
      </w:r>
      <w:r w:rsidRPr="00B26FD1">
        <w:rPr>
          <w:rFonts w:ascii="Trebuchet MS" w:hAnsi="Trebuchet MS"/>
          <w:sz w:val="22"/>
          <w:szCs w:val="22"/>
        </w:rPr>
        <w:t>Hale Building</w:t>
      </w:r>
      <w:r>
        <w:rPr>
          <w:rFonts w:ascii="Trebuchet MS" w:hAnsi="Trebuchet MS"/>
          <w:sz w:val="22"/>
          <w:szCs w:val="22"/>
        </w:rPr>
        <w:t xml:space="preserve"> FTEs. Per Management, the </w:t>
      </w:r>
      <w:r w:rsidRPr="00463571">
        <w:rPr>
          <w:rFonts w:ascii="Trebuchet MS" w:hAnsi="Trebuchet MS"/>
          <w:sz w:val="22"/>
          <w:szCs w:val="22"/>
        </w:rPr>
        <w:t xml:space="preserve">labor </w:t>
      </w:r>
      <w:r>
        <w:rPr>
          <w:rFonts w:ascii="Trebuchet MS" w:hAnsi="Trebuchet MS"/>
          <w:sz w:val="22"/>
          <w:szCs w:val="22"/>
        </w:rPr>
        <w:t xml:space="preserve">market </w:t>
      </w:r>
      <w:r w:rsidRPr="00463571">
        <w:rPr>
          <w:rFonts w:ascii="Trebuchet MS" w:hAnsi="Trebuchet MS"/>
          <w:sz w:val="22"/>
          <w:szCs w:val="22"/>
        </w:rPr>
        <w:t xml:space="preserve">has remained at </w:t>
      </w:r>
      <w:r>
        <w:rPr>
          <w:rFonts w:ascii="Trebuchet MS" w:hAnsi="Trebuchet MS"/>
          <w:sz w:val="22"/>
          <w:szCs w:val="22"/>
        </w:rPr>
        <w:t xml:space="preserve">an </w:t>
      </w:r>
      <w:r w:rsidRPr="00463571">
        <w:rPr>
          <w:rFonts w:ascii="Trebuchet MS" w:hAnsi="Trebuchet MS"/>
          <w:sz w:val="22"/>
          <w:szCs w:val="22"/>
        </w:rPr>
        <w:t xml:space="preserve">elevated level throughout </w:t>
      </w:r>
      <w:r>
        <w:rPr>
          <w:rFonts w:ascii="Trebuchet MS" w:hAnsi="Trebuchet MS"/>
          <w:sz w:val="22"/>
          <w:szCs w:val="22"/>
        </w:rPr>
        <w:t>FY 2023</w:t>
      </w:r>
      <w:r w:rsidRPr="00463571">
        <w:rPr>
          <w:rFonts w:ascii="Trebuchet MS" w:hAnsi="Trebuchet MS"/>
          <w:sz w:val="22"/>
          <w:szCs w:val="22"/>
        </w:rPr>
        <w:t>.</w:t>
      </w:r>
      <w:r>
        <w:rPr>
          <w:rFonts w:ascii="Trebuchet MS" w:hAnsi="Trebuchet MS"/>
          <w:sz w:val="22"/>
          <w:szCs w:val="22"/>
        </w:rPr>
        <w:t xml:space="preserve"> </w:t>
      </w:r>
      <w:r w:rsidRPr="008F2524">
        <w:rPr>
          <w:rFonts w:ascii="Trebuchet MS" w:hAnsi="Trebuchet MS"/>
          <w:sz w:val="22"/>
          <w:szCs w:val="22"/>
        </w:rPr>
        <w:t xml:space="preserve">Wages were grown by a merit increase </w:t>
      </w:r>
      <w:r>
        <w:rPr>
          <w:rFonts w:ascii="Trebuchet MS" w:hAnsi="Trebuchet MS"/>
          <w:sz w:val="22"/>
          <w:szCs w:val="22"/>
        </w:rPr>
        <w:t xml:space="preserve">and </w:t>
      </w:r>
      <w:r w:rsidRPr="008F2524">
        <w:rPr>
          <w:rFonts w:ascii="Trebuchet MS" w:hAnsi="Trebuchet MS"/>
          <w:sz w:val="22"/>
          <w:szCs w:val="22"/>
        </w:rPr>
        <w:t>varying market adjustments. Management held salaries and benefits flat to historical FY 2021 for eliminations</w:t>
      </w:r>
      <w:r>
        <w:rPr>
          <w:rFonts w:ascii="Trebuchet MS" w:hAnsi="Trebuchet MS"/>
          <w:sz w:val="22"/>
          <w:szCs w:val="22"/>
        </w:rPr>
        <w:t xml:space="preserve"> and </w:t>
      </w:r>
      <w:r w:rsidRPr="008F2524">
        <w:rPr>
          <w:rFonts w:ascii="Trebuchet MS" w:hAnsi="Trebuchet MS"/>
          <w:sz w:val="22"/>
          <w:szCs w:val="22"/>
        </w:rPr>
        <w:t>increased salaries and benefits by at least 2.5 percent annually for the PO and other.</w:t>
      </w:r>
    </w:p>
    <w:p w14:paraId="7F489AF8" w14:textId="77777777" w:rsidR="00B97440" w:rsidRPr="008F2524" w:rsidRDefault="00B97440" w:rsidP="00B97440">
      <w:pPr>
        <w:spacing w:line="480" w:lineRule="auto"/>
        <w:jc w:val="both"/>
        <w:rPr>
          <w:rFonts w:ascii="Trebuchet MS" w:hAnsi="Trebuchet MS"/>
          <w:sz w:val="22"/>
          <w:szCs w:val="22"/>
        </w:rPr>
      </w:pPr>
    </w:p>
    <w:p w14:paraId="1F6E18B4" w14:textId="77777777" w:rsidR="00B97440" w:rsidRDefault="00B97440" w:rsidP="00B97440">
      <w:pPr>
        <w:spacing w:line="480" w:lineRule="auto"/>
        <w:jc w:val="both"/>
        <w:rPr>
          <w:rFonts w:ascii="Trebuchet MS" w:hAnsi="Trebuchet MS"/>
          <w:sz w:val="22"/>
          <w:szCs w:val="22"/>
        </w:rPr>
      </w:pPr>
      <w:r w:rsidRPr="008F2524">
        <w:rPr>
          <w:rFonts w:ascii="Trebuchet MS" w:hAnsi="Trebuchet MS"/>
          <w:sz w:val="22"/>
          <w:szCs w:val="22"/>
        </w:rPr>
        <w:t>Supplies were projected to increas</w:t>
      </w:r>
      <w:r>
        <w:rPr>
          <w:rFonts w:ascii="Trebuchet MS" w:hAnsi="Trebuchet MS"/>
          <w:sz w:val="22"/>
          <w:szCs w:val="22"/>
        </w:rPr>
        <w:t>e</w:t>
      </w:r>
      <w:r w:rsidRPr="008F2524">
        <w:rPr>
          <w:rFonts w:ascii="Trebuchet MS" w:hAnsi="Trebuchet MS"/>
          <w:sz w:val="22"/>
          <w:szCs w:val="22"/>
        </w:rPr>
        <w:t xml:space="preserve"> annually between </w:t>
      </w:r>
      <w:r>
        <w:rPr>
          <w:rFonts w:ascii="Trebuchet MS" w:hAnsi="Trebuchet MS"/>
          <w:sz w:val="22"/>
          <w:szCs w:val="22"/>
        </w:rPr>
        <w:t>2</w:t>
      </w:r>
      <w:r w:rsidRPr="008F2524">
        <w:rPr>
          <w:rFonts w:ascii="Trebuchet MS" w:hAnsi="Trebuchet MS"/>
          <w:sz w:val="22"/>
          <w:szCs w:val="22"/>
        </w:rPr>
        <w:t>.</w:t>
      </w:r>
      <w:r>
        <w:rPr>
          <w:rFonts w:ascii="Trebuchet MS" w:hAnsi="Trebuchet MS"/>
          <w:sz w:val="22"/>
          <w:szCs w:val="22"/>
        </w:rPr>
        <w:t>5</w:t>
      </w:r>
      <w:r w:rsidRPr="008F2524">
        <w:rPr>
          <w:rFonts w:ascii="Trebuchet MS" w:hAnsi="Trebuchet MS"/>
          <w:sz w:val="22"/>
          <w:szCs w:val="22"/>
        </w:rPr>
        <w:t xml:space="preserve"> percent and </w:t>
      </w:r>
      <w:r>
        <w:rPr>
          <w:rFonts w:ascii="Trebuchet MS" w:hAnsi="Trebuchet MS"/>
          <w:sz w:val="22"/>
          <w:szCs w:val="22"/>
        </w:rPr>
        <w:t>10</w:t>
      </w:r>
      <w:r w:rsidRPr="008F2524">
        <w:rPr>
          <w:rFonts w:ascii="Trebuchet MS" w:hAnsi="Trebuchet MS"/>
          <w:sz w:val="22"/>
          <w:szCs w:val="22"/>
        </w:rPr>
        <w:t>.</w:t>
      </w:r>
      <w:r>
        <w:rPr>
          <w:rFonts w:ascii="Trebuchet MS" w:hAnsi="Trebuchet MS"/>
          <w:sz w:val="22"/>
          <w:szCs w:val="22"/>
        </w:rPr>
        <w:t>1</w:t>
      </w:r>
      <w:r w:rsidRPr="008F2524">
        <w:rPr>
          <w:rFonts w:ascii="Trebuchet MS" w:hAnsi="Trebuchet MS"/>
          <w:sz w:val="22"/>
          <w:szCs w:val="22"/>
        </w:rPr>
        <w:t xml:space="preserve"> percent for FY 2023 through FY 20</w:t>
      </w:r>
      <w:r>
        <w:rPr>
          <w:rFonts w:ascii="Trebuchet MS" w:hAnsi="Trebuchet MS"/>
          <w:sz w:val="22"/>
          <w:szCs w:val="22"/>
        </w:rPr>
        <w:t>33</w:t>
      </w:r>
      <w:r w:rsidRPr="008F2524">
        <w:rPr>
          <w:rFonts w:ascii="Trebuchet MS" w:hAnsi="Trebuchet MS"/>
          <w:sz w:val="22"/>
          <w:szCs w:val="22"/>
        </w:rPr>
        <w:t>. Approximately 9</w:t>
      </w:r>
      <w:r>
        <w:rPr>
          <w:rFonts w:ascii="Trebuchet MS" w:hAnsi="Trebuchet MS"/>
          <w:sz w:val="22"/>
          <w:szCs w:val="22"/>
        </w:rPr>
        <w:t>1</w:t>
      </w:r>
      <w:r w:rsidRPr="008F2524">
        <w:rPr>
          <w:rFonts w:ascii="Trebuchet MS" w:hAnsi="Trebuchet MS"/>
          <w:sz w:val="22"/>
          <w:szCs w:val="22"/>
        </w:rPr>
        <w:t>.</w:t>
      </w:r>
      <w:r>
        <w:rPr>
          <w:rFonts w:ascii="Trebuchet MS" w:hAnsi="Trebuchet MS"/>
          <w:sz w:val="22"/>
          <w:szCs w:val="22"/>
        </w:rPr>
        <w:t>2</w:t>
      </w:r>
      <w:r w:rsidRPr="008F2524">
        <w:rPr>
          <w:rFonts w:ascii="Trebuchet MS" w:hAnsi="Trebuchet MS"/>
          <w:sz w:val="22"/>
          <w:szCs w:val="22"/>
        </w:rPr>
        <w:t xml:space="preserve"> percent </w:t>
      </w:r>
      <w:r>
        <w:rPr>
          <w:rFonts w:ascii="Trebuchet MS" w:hAnsi="Trebuchet MS"/>
          <w:sz w:val="22"/>
          <w:szCs w:val="22"/>
        </w:rPr>
        <w:t xml:space="preserve">on average </w:t>
      </w:r>
      <w:r w:rsidRPr="008F2524">
        <w:rPr>
          <w:rFonts w:ascii="Trebuchet MS" w:hAnsi="Trebuchet MS"/>
          <w:sz w:val="22"/>
          <w:szCs w:val="22"/>
        </w:rPr>
        <w:t>of the total supplies and other expenses relate to the Hospital.</w:t>
      </w:r>
    </w:p>
    <w:p w14:paraId="5DB66790" w14:textId="77777777" w:rsidR="00B97440" w:rsidRPr="008F2524" w:rsidRDefault="00B97440" w:rsidP="00B97440">
      <w:pPr>
        <w:spacing w:line="480" w:lineRule="auto"/>
        <w:jc w:val="both"/>
        <w:rPr>
          <w:rFonts w:ascii="Trebuchet MS" w:hAnsi="Trebuchet MS"/>
          <w:sz w:val="22"/>
          <w:szCs w:val="22"/>
        </w:rPr>
      </w:pPr>
    </w:p>
    <w:p w14:paraId="39AFE5AA" w14:textId="77777777" w:rsidR="00B97440" w:rsidRPr="008F2524" w:rsidRDefault="00B97440" w:rsidP="00B97440">
      <w:pPr>
        <w:spacing w:line="480" w:lineRule="auto"/>
        <w:jc w:val="both"/>
        <w:rPr>
          <w:rFonts w:ascii="Trebuchet MS" w:hAnsi="Trebuchet MS"/>
          <w:sz w:val="22"/>
          <w:szCs w:val="22"/>
        </w:rPr>
      </w:pPr>
      <w:r>
        <w:rPr>
          <w:rFonts w:ascii="Trebuchet MS" w:hAnsi="Trebuchet MS"/>
          <w:sz w:val="22"/>
          <w:szCs w:val="22"/>
        </w:rPr>
        <w:t>Based on data provided by Management, the year-to-date operating expenses for CMCC ended June 30, 2023 is tracking the FY 2023 budget by 102.2 percent.</w:t>
      </w:r>
    </w:p>
    <w:p w14:paraId="2C0A893E" w14:textId="77777777" w:rsidR="00B97440" w:rsidRDefault="00B97440" w:rsidP="00B97440">
      <w:pPr>
        <w:spacing w:line="480" w:lineRule="auto"/>
        <w:jc w:val="both"/>
        <w:rPr>
          <w:rFonts w:ascii="Trebuchet MS" w:hAnsi="Trebuchet MS"/>
          <w:sz w:val="22"/>
          <w:szCs w:val="22"/>
        </w:rPr>
      </w:pPr>
    </w:p>
    <w:p w14:paraId="2B3FEB3D" w14:textId="77777777" w:rsidR="00B97440" w:rsidRDefault="00B97440" w:rsidP="00B97440">
      <w:pPr>
        <w:spacing w:line="480" w:lineRule="auto"/>
        <w:jc w:val="both"/>
        <w:rPr>
          <w:rFonts w:ascii="Trebuchet MS" w:hAnsi="Trebuchet MS"/>
          <w:sz w:val="22"/>
          <w:szCs w:val="22"/>
        </w:rPr>
      </w:pPr>
      <w:r w:rsidRPr="008F2524">
        <w:rPr>
          <w:rFonts w:ascii="Trebuchet MS" w:hAnsi="Trebuchet MS"/>
          <w:sz w:val="22"/>
          <w:szCs w:val="22"/>
        </w:rPr>
        <w:t>Based upon the foregoing, it is our opinion that the operating expenses projected by Management reflects are based on reasonable assumptions and are feasible for the Applicant.</w:t>
      </w:r>
    </w:p>
    <w:p w14:paraId="60034F13" w14:textId="77777777" w:rsidR="00F01E07" w:rsidRDefault="00F01E07" w:rsidP="008F2524">
      <w:pPr>
        <w:spacing w:line="480" w:lineRule="auto"/>
        <w:jc w:val="both"/>
        <w:rPr>
          <w:rFonts w:ascii="Trebuchet MS" w:hAnsi="Trebuchet MS"/>
          <w:sz w:val="22"/>
          <w:szCs w:val="22"/>
        </w:rPr>
      </w:pPr>
    </w:p>
    <w:p w14:paraId="18AB6D02" w14:textId="77777777" w:rsidR="00F01E07" w:rsidRPr="00F01E07" w:rsidRDefault="00F01E07" w:rsidP="00F01E07">
      <w:pPr>
        <w:pStyle w:val="ListParagraph"/>
        <w:numPr>
          <w:ilvl w:val="0"/>
          <w:numId w:val="3"/>
        </w:numPr>
        <w:rPr>
          <w:rFonts w:ascii="Trebuchet MS" w:hAnsi="Trebuchet MS"/>
          <w:b/>
          <w:bCs/>
          <w:sz w:val="22"/>
          <w:szCs w:val="22"/>
        </w:rPr>
      </w:pPr>
      <w:r w:rsidRPr="00F01E07">
        <w:rPr>
          <w:rFonts w:ascii="Trebuchet MS" w:hAnsi="Trebuchet MS"/>
          <w:b/>
          <w:bCs/>
          <w:sz w:val="22"/>
          <w:szCs w:val="22"/>
        </w:rPr>
        <w:t>Improvement Plan</w:t>
      </w:r>
    </w:p>
    <w:p w14:paraId="53AC3190" w14:textId="3DFE02CD" w:rsidR="00CE574D" w:rsidRDefault="00CE574D" w:rsidP="00F01E07">
      <w:pPr>
        <w:pStyle w:val="ListParagraph"/>
        <w:tabs>
          <w:tab w:val="num" w:pos="1260"/>
        </w:tabs>
        <w:spacing w:line="480" w:lineRule="auto"/>
        <w:ind w:left="360"/>
        <w:jc w:val="both"/>
        <w:rPr>
          <w:rFonts w:ascii="Trebuchet MS" w:hAnsi="Trebuchet MS"/>
          <w:sz w:val="22"/>
          <w:szCs w:val="22"/>
        </w:rPr>
      </w:pPr>
    </w:p>
    <w:p w14:paraId="3A446D5A" w14:textId="77777777" w:rsidR="00B97440" w:rsidRDefault="00B97440" w:rsidP="00B97440">
      <w:pPr>
        <w:tabs>
          <w:tab w:val="num" w:pos="1260"/>
        </w:tabs>
        <w:spacing w:line="480" w:lineRule="auto"/>
        <w:jc w:val="both"/>
        <w:rPr>
          <w:rFonts w:ascii="Trebuchet MS" w:hAnsi="Trebuchet MS"/>
          <w:sz w:val="22"/>
          <w:szCs w:val="22"/>
        </w:rPr>
      </w:pPr>
      <w:r w:rsidRPr="00F01E07">
        <w:rPr>
          <w:rFonts w:ascii="Trebuchet MS" w:hAnsi="Trebuchet MS"/>
          <w:sz w:val="22"/>
          <w:szCs w:val="22"/>
        </w:rPr>
        <w:t>Management incorporates an improvement plan within its financial forecast for FY 202</w:t>
      </w:r>
      <w:r>
        <w:rPr>
          <w:rFonts w:ascii="Trebuchet MS" w:hAnsi="Trebuchet MS"/>
          <w:sz w:val="22"/>
          <w:szCs w:val="22"/>
        </w:rPr>
        <w:t>4</w:t>
      </w:r>
      <w:r w:rsidRPr="00F01E07">
        <w:rPr>
          <w:rFonts w:ascii="Trebuchet MS" w:hAnsi="Trebuchet MS"/>
          <w:sz w:val="22"/>
          <w:szCs w:val="22"/>
        </w:rPr>
        <w:t xml:space="preserve"> through FY 20</w:t>
      </w:r>
      <w:r>
        <w:rPr>
          <w:rFonts w:ascii="Trebuchet MS" w:hAnsi="Trebuchet MS"/>
          <w:sz w:val="22"/>
          <w:szCs w:val="22"/>
        </w:rPr>
        <w:t>33</w:t>
      </w:r>
      <w:r w:rsidRPr="00F01E07">
        <w:rPr>
          <w:rFonts w:ascii="Trebuchet MS" w:hAnsi="Trebuchet MS"/>
          <w:sz w:val="22"/>
          <w:szCs w:val="22"/>
        </w:rPr>
        <w:t xml:space="preserve">. This improvement plan reflects future initiatives and strategic plans which </w:t>
      </w:r>
      <w:r>
        <w:rPr>
          <w:rFonts w:ascii="Trebuchet MS" w:hAnsi="Trebuchet MS"/>
          <w:sz w:val="22"/>
          <w:szCs w:val="22"/>
        </w:rPr>
        <w:t>have been in development</w:t>
      </w:r>
      <w:r w:rsidRPr="00F01E07">
        <w:rPr>
          <w:rFonts w:ascii="Trebuchet MS" w:hAnsi="Trebuchet MS"/>
          <w:sz w:val="22"/>
          <w:szCs w:val="22"/>
        </w:rPr>
        <w:t xml:space="preserve">. We understand based on discussions with Management that the </w:t>
      </w:r>
      <w:r w:rsidRPr="00F01E07">
        <w:rPr>
          <w:rFonts w:ascii="Trebuchet MS" w:hAnsi="Trebuchet MS"/>
          <w:sz w:val="22"/>
          <w:szCs w:val="22"/>
        </w:rPr>
        <w:lastRenderedPageBreak/>
        <w:t>Applicant undergoes this process as a part of its regular forecasting. We reviewed the Applicant’s actual gain from operations in comparison to the Applicant’s budget for each of the prior 1</w:t>
      </w:r>
      <w:r>
        <w:rPr>
          <w:rFonts w:ascii="Trebuchet MS" w:hAnsi="Trebuchet MS"/>
          <w:sz w:val="22"/>
          <w:szCs w:val="22"/>
        </w:rPr>
        <w:t>5</w:t>
      </w:r>
      <w:r w:rsidRPr="00F01E07">
        <w:rPr>
          <w:rFonts w:ascii="Trebuchet MS" w:hAnsi="Trebuchet MS"/>
          <w:sz w:val="22"/>
          <w:szCs w:val="22"/>
        </w:rPr>
        <w:t xml:space="preserve"> fiscal years </w:t>
      </w:r>
      <w:r>
        <w:rPr>
          <w:rFonts w:ascii="Trebuchet MS" w:hAnsi="Trebuchet MS"/>
          <w:sz w:val="22"/>
          <w:szCs w:val="22"/>
        </w:rPr>
        <w:t xml:space="preserve">(FY 2005 – FY 2019) </w:t>
      </w:r>
      <w:r w:rsidRPr="00F01E07">
        <w:rPr>
          <w:rFonts w:ascii="Trebuchet MS" w:hAnsi="Trebuchet MS"/>
          <w:sz w:val="22"/>
          <w:szCs w:val="22"/>
        </w:rPr>
        <w:t>and noted the Applicant met or exceeded budget in 12 out of 1</w:t>
      </w:r>
      <w:r>
        <w:rPr>
          <w:rFonts w:ascii="Trebuchet MS" w:hAnsi="Trebuchet MS"/>
          <w:sz w:val="22"/>
          <w:szCs w:val="22"/>
        </w:rPr>
        <w:t>9</w:t>
      </w:r>
      <w:r w:rsidRPr="00F01E07">
        <w:rPr>
          <w:rFonts w:ascii="Trebuchet MS" w:hAnsi="Trebuchet MS"/>
          <w:sz w:val="22"/>
          <w:szCs w:val="22"/>
        </w:rPr>
        <w:t xml:space="preserve"> years.</w:t>
      </w:r>
      <w:r>
        <w:rPr>
          <w:rFonts w:ascii="Trebuchet MS" w:hAnsi="Trebuchet MS"/>
          <w:sz w:val="22"/>
          <w:szCs w:val="22"/>
        </w:rPr>
        <w:t xml:space="preserve"> Based on discussions with Management, </w:t>
      </w:r>
      <w:r w:rsidRPr="006D551C">
        <w:rPr>
          <w:rFonts w:ascii="Trebuchet MS" w:hAnsi="Trebuchet MS"/>
          <w:sz w:val="22"/>
          <w:szCs w:val="22"/>
        </w:rPr>
        <w:t>FY</w:t>
      </w:r>
      <w:r>
        <w:rPr>
          <w:rFonts w:ascii="Trebuchet MS" w:hAnsi="Trebuchet MS"/>
          <w:sz w:val="22"/>
          <w:szCs w:val="22"/>
        </w:rPr>
        <w:t xml:space="preserve"> </w:t>
      </w:r>
      <w:r w:rsidRPr="006D551C">
        <w:rPr>
          <w:rFonts w:ascii="Trebuchet MS" w:hAnsi="Trebuchet MS"/>
          <w:sz w:val="22"/>
          <w:szCs w:val="22"/>
        </w:rPr>
        <w:t>20</w:t>
      </w:r>
      <w:r>
        <w:rPr>
          <w:rFonts w:ascii="Trebuchet MS" w:hAnsi="Trebuchet MS"/>
          <w:sz w:val="22"/>
          <w:szCs w:val="22"/>
        </w:rPr>
        <w:t xml:space="preserve">20 through </w:t>
      </w:r>
      <w:r w:rsidRPr="006D551C">
        <w:rPr>
          <w:rFonts w:ascii="Trebuchet MS" w:hAnsi="Trebuchet MS"/>
          <w:sz w:val="22"/>
          <w:szCs w:val="22"/>
        </w:rPr>
        <w:t>FY</w:t>
      </w:r>
      <w:r>
        <w:rPr>
          <w:rFonts w:ascii="Trebuchet MS" w:hAnsi="Trebuchet MS"/>
          <w:sz w:val="22"/>
          <w:szCs w:val="22"/>
        </w:rPr>
        <w:t xml:space="preserve"> 20</w:t>
      </w:r>
      <w:r w:rsidRPr="006D551C">
        <w:rPr>
          <w:rFonts w:ascii="Trebuchet MS" w:hAnsi="Trebuchet MS"/>
          <w:sz w:val="22"/>
          <w:szCs w:val="22"/>
        </w:rPr>
        <w:t>22 were</w:t>
      </w:r>
      <w:r>
        <w:rPr>
          <w:rFonts w:ascii="Trebuchet MS" w:hAnsi="Trebuchet MS"/>
          <w:sz w:val="22"/>
          <w:szCs w:val="22"/>
        </w:rPr>
        <w:t xml:space="preserve"> excluded from the comparison as</w:t>
      </w:r>
      <w:r w:rsidRPr="006D551C">
        <w:rPr>
          <w:rFonts w:ascii="Trebuchet MS" w:hAnsi="Trebuchet MS"/>
          <w:sz w:val="22"/>
          <w:szCs w:val="22"/>
        </w:rPr>
        <w:t xml:space="preserve"> </w:t>
      </w:r>
      <w:proofErr w:type="gramStart"/>
      <w:r>
        <w:rPr>
          <w:rFonts w:ascii="Trebuchet MS" w:hAnsi="Trebuchet MS"/>
          <w:sz w:val="22"/>
          <w:szCs w:val="22"/>
        </w:rPr>
        <w:t>CMCC</w:t>
      </w:r>
      <w:proofErr w:type="gramEnd"/>
      <w:r>
        <w:rPr>
          <w:rFonts w:ascii="Trebuchet MS" w:hAnsi="Trebuchet MS"/>
          <w:sz w:val="22"/>
          <w:szCs w:val="22"/>
        </w:rPr>
        <w:t xml:space="preserve"> and other healthcare providers were </w:t>
      </w:r>
      <w:r w:rsidRPr="006D551C">
        <w:rPr>
          <w:rFonts w:ascii="Trebuchet MS" w:hAnsi="Trebuchet MS"/>
          <w:sz w:val="22"/>
          <w:szCs w:val="22"/>
        </w:rPr>
        <w:t>severely impacted by COVID</w:t>
      </w:r>
      <w:r>
        <w:rPr>
          <w:rFonts w:ascii="Trebuchet MS" w:hAnsi="Trebuchet MS"/>
          <w:sz w:val="22"/>
          <w:szCs w:val="22"/>
        </w:rPr>
        <w:t xml:space="preserve">. There was no </w:t>
      </w:r>
      <w:r w:rsidRPr="006D551C">
        <w:rPr>
          <w:rFonts w:ascii="Trebuchet MS" w:hAnsi="Trebuchet MS"/>
          <w:sz w:val="22"/>
          <w:szCs w:val="22"/>
        </w:rPr>
        <w:t>improvement plan in those years</w:t>
      </w:r>
      <w:r>
        <w:rPr>
          <w:rFonts w:ascii="Trebuchet MS" w:hAnsi="Trebuchet MS"/>
          <w:sz w:val="22"/>
          <w:szCs w:val="22"/>
        </w:rPr>
        <w:t xml:space="preserve"> as the </w:t>
      </w:r>
      <w:r w:rsidRPr="006D551C">
        <w:rPr>
          <w:rFonts w:ascii="Trebuchet MS" w:hAnsi="Trebuchet MS"/>
          <w:sz w:val="22"/>
          <w:szCs w:val="22"/>
        </w:rPr>
        <w:t xml:space="preserve">focus was </w:t>
      </w:r>
      <w:r>
        <w:rPr>
          <w:rFonts w:ascii="Trebuchet MS" w:hAnsi="Trebuchet MS"/>
          <w:sz w:val="22"/>
          <w:szCs w:val="22"/>
        </w:rPr>
        <w:t xml:space="preserve">to address </w:t>
      </w:r>
      <w:r w:rsidRPr="006D551C">
        <w:rPr>
          <w:rFonts w:ascii="Trebuchet MS" w:hAnsi="Trebuchet MS"/>
          <w:sz w:val="22"/>
          <w:szCs w:val="22"/>
        </w:rPr>
        <w:t xml:space="preserve">external </w:t>
      </w:r>
      <w:r>
        <w:rPr>
          <w:rFonts w:ascii="Trebuchet MS" w:hAnsi="Trebuchet MS"/>
          <w:sz w:val="22"/>
          <w:szCs w:val="22"/>
        </w:rPr>
        <w:t xml:space="preserve">and </w:t>
      </w:r>
      <w:r w:rsidRPr="006D551C">
        <w:rPr>
          <w:rFonts w:ascii="Trebuchet MS" w:hAnsi="Trebuchet MS"/>
          <w:sz w:val="22"/>
          <w:szCs w:val="22"/>
        </w:rPr>
        <w:t xml:space="preserve">internal needs related to the pandemic. </w:t>
      </w:r>
      <w:r w:rsidRPr="00F01E07">
        <w:rPr>
          <w:rFonts w:ascii="Trebuchet MS" w:hAnsi="Trebuchet MS"/>
          <w:sz w:val="22"/>
          <w:szCs w:val="22"/>
        </w:rPr>
        <w:t>As such, it is feasible that the Applicant will continue to achieve the improvement plan targets included in the Projections.</w:t>
      </w:r>
    </w:p>
    <w:p w14:paraId="7BF8A09B" w14:textId="77777777" w:rsidR="00AB2A1F" w:rsidRPr="00F01E07" w:rsidRDefault="00AB2A1F" w:rsidP="00F01E07">
      <w:pPr>
        <w:tabs>
          <w:tab w:val="num" w:pos="1260"/>
        </w:tabs>
        <w:spacing w:line="480" w:lineRule="auto"/>
        <w:jc w:val="both"/>
        <w:rPr>
          <w:rFonts w:ascii="Trebuchet MS" w:hAnsi="Trebuchet MS"/>
          <w:sz w:val="22"/>
          <w:szCs w:val="22"/>
        </w:rPr>
      </w:pPr>
    </w:p>
    <w:p w14:paraId="0FF646EB" w14:textId="67FF4D23" w:rsidR="009A2BE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 xml:space="preserve">Capital Expenditures </w:t>
      </w:r>
      <w:r w:rsidR="0050325B" w:rsidRPr="000D36DA">
        <w:rPr>
          <w:rFonts w:ascii="Trebuchet MS" w:hAnsi="Trebuchet MS"/>
          <w:b/>
          <w:sz w:val="22"/>
          <w:szCs w:val="22"/>
        </w:rPr>
        <w:t xml:space="preserve">and Proposed Project </w:t>
      </w:r>
      <w:r w:rsidR="003E00F8">
        <w:rPr>
          <w:rFonts w:ascii="Trebuchet MS" w:hAnsi="Trebuchet MS"/>
          <w:b/>
          <w:sz w:val="22"/>
          <w:szCs w:val="22"/>
        </w:rPr>
        <w:t>Financing</w:t>
      </w:r>
    </w:p>
    <w:p w14:paraId="764951AA" w14:textId="77777777" w:rsidR="00EA1DDC" w:rsidRPr="000D36DA" w:rsidRDefault="00EA1DDC" w:rsidP="00EA1DDC">
      <w:pPr>
        <w:pStyle w:val="ListParagraph"/>
        <w:spacing w:line="480" w:lineRule="auto"/>
        <w:ind w:left="360"/>
        <w:jc w:val="both"/>
        <w:rPr>
          <w:rFonts w:ascii="Trebuchet MS" w:hAnsi="Trebuchet MS"/>
          <w:b/>
          <w:sz w:val="22"/>
          <w:szCs w:val="22"/>
        </w:rPr>
      </w:pPr>
    </w:p>
    <w:p w14:paraId="457CB582" w14:textId="23181E18" w:rsidR="00CA0FF9" w:rsidRDefault="00CA0FF9" w:rsidP="00CA0FF9">
      <w:pPr>
        <w:pStyle w:val="ListParagraph"/>
        <w:tabs>
          <w:tab w:val="num" w:pos="1260"/>
        </w:tabs>
        <w:spacing w:line="480" w:lineRule="auto"/>
        <w:ind w:left="0"/>
        <w:jc w:val="both"/>
        <w:rPr>
          <w:rFonts w:ascii="Trebuchet MS" w:hAnsi="Trebuchet MS"/>
          <w:sz w:val="22"/>
          <w:szCs w:val="22"/>
        </w:rPr>
      </w:pPr>
      <w:r w:rsidRPr="00A45514">
        <w:rPr>
          <w:rFonts w:ascii="Trebuchet MS" w:hAnsi="Trebuchet MS"/>
          <w:sz w:val="22"/>
          <w:szCs w:val="22"/>
        </w:rPr>
        <w:t xml:space="preserve">We reviewed the project costs within the </w:t>
      </w:r>
      <w:r w:rsidRPr="00CA0FF9">
        <w:rPr>
          <w:rFonts w:ascii="Trebuchet MS" w:hAnsi="Trebuchet MS"/>
          <w:sz w:val="22"/>
          <w:szCs w:val="22"/>
        </w:rPr>
        <w:t xml:space="preserve">Draft </w:t>
      </w:r>
      <w:proofErr w:type="spellStart"/>
      <w:r w:rsidR="003E00F8">
        <w:rPr>
          <w:rFonts w:ascii="Trebuchet MS" w:hAnsi="Trebuchet MS"/>
          <w:sz w:val="22"/>
          <w:szCs w:val="22"/>
        </w:rPr>
        <w:t>DoN</w:t>
      </w:r>
      <w:proofErr w:type="spellEnd"/>
      <w:r w:rsidR="003E00F8">
        <w:rPr>
          <w:rFonts w:ascii="Trebuchet MS" w:hAnsi="Trebuchet MS"/>
          <w:sz w:val="22"/>
          <w:szCs w:val="22"/>
        </w:rPr>
        <w:t xml:space="preserve"> </w:t>
      </w:r>
      <w:r w:rsidRPr="00CA0FF9">
        <w:rPr>
          <w:rFonts w:ascii="Trebuchet MS" w:hAnsi="Trebuchet MS"/>
          <w:sz w:val="22"/>
          <w:szCs w:val="22"/>
        </w:rPr>
        <w:t xml:space="preserve">Application Form </w:t>
      </w:r>
      <w:r w:rsidRPr="00A45514">
        <w:rPr>
          <w:rFonts w:ascii="Trebuchet MS" w:hAnsi="Trebuchet MS"/>
          <w:sz w:val="22"/>
          <w:szCs w:val="22"/>
        </w:rPr>
        <w:t xml:space="preserve">related to the Proposed Projects of which </w:t>
      </w:r>
      <w:r w:rsidRPr="009F64E3">
        <w:rPr>
          <w:rFonts w:ascii="Trebuchet MS" w:hAnsi="Trebuchet MS"/>
          <w:sz w:val="22"/>
          <w:szCs w:val="22"/>
        </w:rPr>
        <w:t>$</w:t>
      </w:r>
      <w:r w:rsidR="003E00F8" w:rsidRPr="003E00F8">
        <w:rPr>
          <w:rFonts w:ascii="Trebuchet MS" w:hAnsi="Trebuchet MS"/>
          <w:sz w:val="22"/>
          <w:szCs w:val="22"/>
        </w:rPr>
        <w:t>26</w:t>
      </w:r>
      <w:r w:rsidR="00D36617">
        <w:rPr>
          <w:rFonts w:ascii="Trebuchet MS" w:hAnsi="Trebuchet MS"/>
          <w:sz w:val="22"/>
          <w:szCs w:val="22"/>
        </w:rPr>
        <w:t>.5 million</w:t>
      </w:r>
      <w:r w:rsidR="003E00F8">
        <w:rPr>
          <w:rFonts w:ascii="Trebuchet MS" w:hAnsi="Trebuchet MS"/>
          <w:sz w:val="22"/>
          <w:szCs w:val="22"/>
        </w:rPr>
        <w:t xml:space="preserve"> are </w:t>
      </w:r>
      <w:r w:rsidRPr="00A45514">
        <w:rPr>
          <w:rFonts w:ascii="Trebuchet MS" w:hAnsi="Trebuchet MS"/>
          <w:sz w:val="22"/>
          <w:szCs w:val="22"/>
        </w:rPr>
        <w:t xml:space="preserve">classified as maximum capital expenditures </w:t>
      </w:r>
      <w:r w:rsidR="00536585">
        <w:rPr>
          <w:rFonts w:ascii="Trebuchet MS" w:hAnsi="Trebuchet MS"/>
          <w:sz w:val="22"/>
          <w:szCs w:val="22"/>
        </w:rPr>
        <w:t xml:space="preserve">(“MCE”) </w:t>
      </w:r>
      <w:r w:rsidRPr="00A45514">
        <w:rPr>
          <w:rFonts w:ascii="Trebuchet MS" w:hAnsi="Trebuchet MS"/>
          <w:sz w:val="22"/>
          <w:szCs w:val="22"/>
        </w:rPr>
        <w:t xml:space="preserve">per the </w:t>
      </w:r>
      <w:proofErr w:type="spellStart"/>
      <w:r w:rsidRPr="00A45514">
        <w:rPr>
          <w:rFonts w:ascii="Trebuchet MS" w:hAnsi="Trebuchet MS"/>
          <w:sz w:val="22"/>
          <w:szCs w:val="22"/>
        </w:rPr>
        <w:t>D</w:t>
      </w:r>
      <w:r w:rsidR="009F64E3">
        <w:rPr>
          <w:rFonts w:ascii="Trebuchet MS" w:hAnsi="Trebuchet MS"/>
          <w:sz w:val="22"/>
          <w:szCs w:val="22"/>
        </w:rPr>
        <w:t>o</w:t>
      </w:r>
      <w:r w:rsidRPr="00A45514">
        <w:rPr>
          <w:rFonts w:ascii="Trebuchet MS" w:hAnsi="Trebuchet MS"/>
          <w:sz w:val="22"/>
          <w:szCs w:val="22"/>
        </w:rPr>
        <w:t>N</w:t>
      </w:r>
      <w:proofErr w:type="spellEnd"/>
      <w:r w:rsidRPr="00A45514">
        <w:rPr>
          <w:rFonts w:ascii="Trebuchet MS" w:hAnsi="Trebuchet MS"/>
          <w:sz w:val="22"/>
          <w:szCs w:val="22"/>
        </w:rPr>
        <w:t xml:space="preserve"> regulations. </w:t>
      </w:r>
      <w:r w:rsidR="00882499">
        <w:rPr>
          <w:rFonts w:ascii="Trebuchet MS" w:hAnsi="Trebuchet MS"/>
          <w:sz w:val="22"/>
          <w:szCs w:val="22"/>
        </w:rPr>
        <w:t xml:space="preserve">Please see the following for a breakdown of maximum capital expenditure by proposed project: </w:t>
      </w:r>
    </w:p>
    <w:p w14:paraId="6F474539" w14:textId="77777777" w:rsidR="005F42AD" w:rsidRDefault="005F42AD" w:rsidP="00CA0FF9">
      <w:pPr>
        <w:pStyle w:val="ListParagraph"/>
        <w:tabs>
          <w:tab w:val="num" w:pos="1260"/>
        </w:tabs>
        <w:spacing w:line="480" w:lineRule="auto"/>
        <w:ind w:left="0"/>
        <w:jc w:val="both"/>
        <w:rPr>
          <w:rFonts w:ascii="Trebuchet MS" w:hAnsi="Trebuchet MS"/>
          <w:sz w:val="22"/>
          <w:szCs w:val="22"/>
        </w:rPr>
      </w:pPr>
    </w:p>
    <w:tbl>
      <w:tblPr>
        <w:tblStyle w:val="TableGrid"/>
        <w:tblW w:w="0" w:type="auto"/>
        <w:tblLook w:val="04A0" w:firstRow="1" w:lastRow="0" w:firstColumn="1" w:lastColumn="0" w:noHBand="0" w:noVBand="1"/>
        <w:tblCaption w:val="Breakdown of Capital Expenditure by Project"/>
      </w:tblPr>
      <w:tblGrid>
        <w:gridCol w:w="4567"/>
        <w:gridCol w:w="4567"/>
      </w:tblGrid>
      <w:tr w:rsidR="00882499" w14:paraId="36DE0DEA" w14:textId="77777777" w:rsidTr="0083475D">
        <w:trPr>
          <w:cantSplit/>
        </w:trPr>
        <w:tc>
          <w:tcPr>
            <w:tcW w:w="4567" w:type="dxa"/>
            <w:shd w:val="clear" w:color="auto" w:fill="auto"/>
          </w:tcPr>
          <w:p w14:paraId="461311B6" w14:textId="1CD4A2A7" w:rsidR="00882499" w:rsidRDefault="00882499"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 xml:space="preserve">Sterile Processing </w:t>
            </w:r>
          </w:p>
        </w:tc>
        <w:tc>
          <w:tcPr>
            <w:tcW w:w="4567" w:type="dxa"/>
            <w:shd w:val="clear" w:color="auto" w:fill="auto"/>
          </w:tcPr>
          <w:p w14:paraId="649B5A24" w14:textId="29D61F02"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$ 9,956,000</w:t>
            </w:r>
          </w:p>
        </w:tc>
      </w:tr>
      <w:tr w:rsidR="00882499" w14:paraId="5EC8C6A9" w14:textId="77777777" w:rsidTr="0083475D">
        <w:trPr>
          <w:cantSplit/>
        </w:trPr>
        <w:tc>
          <w:tcPr>
            <w:tcW w:w="4567" w:type="dxa"/>
            <w:shd w:val="clear" w:color="auto" w:fill="auto"/>
          </w:tcPr>
          <w:p w14:paraId="7FC8A6FE" w14:textId="7B0942B6" w:rsidR="00882499" w:rsidRDefault="00882499"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Building Restoration</w:t>
            </w:r>
          </w:p>
        </w:tc>
        <w:tc>
          <w:tcPr>
            <w:tcW w:w="4567" w:type="dxa"/>
            <w:shd w:val="clear" w:color="auto" w:fill="auto"/>
          </w:tcPr>
          <w:p w14:paraId="4FBB4812" w14:textId="04E1EB5E"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$ 9,560,000</w:t>
            </w:r>
          </w:p>
        </w:tc>
      </w:tr>
      <w:tr w:rsidR="00882499" w14:paraId="59B3FAF8" w14:textId="77777777" w:rsidTr="0083475D">
        <w:trPr>
          <w:cantSplit/>
        </w:trPr>
        <w:tc>
          <w:tcPr>
            <w:tcW w:w="4567" w:type="dxa"/>
            <w:shd w:val="clear" w:color="auto" w:fill="auto"/>
          </w:tcPr>
          <w:p w14:paraId="577A1F5A" w14:textId="35BA07B9" w:rsidR="00882499" w:rsidRDefault="00882499"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 xml:space="preserve">Radiology Department Improvements </w:t>
            </w:r>
          </w:p>
        </w:tc>
        <w:tc>
          <w:tcPr>
            <w:tcW w:w="4567" w:type="dxa"/>
            <w:shd w:val="clear" w:color="auto" w:fill="auto"/>
          </w:tcPr>
          <w:p w14:paraId="0311B75C" w14:textId="217A952C"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$ 6,235,000</w:t>
            </w:r>
          </w:p>
        </w:tc>
      </w:tr>
      <w:tr w:rsidR="00882499" w14:paraId="559A13B4" w14:textId="77777777" w:rsidTr="0083475D">
        <w:trPr>
          <w:cantSplit/>
        </w:trPr>
        <w:tc>
          <w:tcPr>
            <w:tcW w:w="4567" w:type="dxa"/>
            <w:shd w:val="clear" w:color="auto" w:fill="auto"/>
          </w:tcPr>
          <w:p w14:paraId="68AFDEED" w14:textId="4AE7CCAC" w:rsidR="00882499" w:rsidRDefault="00882499" w:rsidP="00CA0FF9">
            <w:pPr>
              <w:pStyle w:val="ListParagraph"/>
              <w:tabs>
                <w:tab w:val="num" w:pos="1260"/>
              </w:tabs>
              <w:spacing w:line="480" w:lineRule="auto"/>
              <w:ind w:left="0"/>
              <w:jc w:val="both"/>
              <w:rPr>
                <w:rFonts w:ascii="Trebuchet MS" w:hAnsi="Trebuchet MS"/>
                <w:sz w:val="22"/>
                <w:szCs w:val="22"/>
              </w:rPr>
            </w:pPr>
            <w:r>
              <w:rPr>
                <w:rFonts w:ascii="Trebuchet MS" w:hAnsi="Trebuchet MS"/>
                <w:sz w:val="22"/>
                <w:szCs w:val="22"/>
              </w:rPr>
              <w:t>Improvements to Outpatient Areas</w:t>
            </w:r>
          </w:p>
        </w:tc>
        <w:tc>
          <w:tcPr>
            <w:tcW w:w="4567" w:type="dxa"/>
            <w:shd w:val="clear" w:color="auto" w:fill="auto"/>
          </w:tcPr>
          <w:p w14:paraId="3E080AFB" w14:textId="0F059B92" w:rsidR="00882499" w:rsidRDefault="00882499" w:rsidP="00882499">
            <w:pPr>
              <w:pStyle w:val="ListParagraph"/>
              <w:tabs>
                <w:tab w:val="num" w:pos="1260"/>
              </w:tabs>
              <w:spacing w:line="480" w:lineRule="auto"/>
              <w:ind w:left="0"/>
              <w:jc w:val="center"/>
              <w:rPr>
                <w:rFonts w:ascii="Trebuchet MS" w:hAnsi="Trebuchet MS"/>
                <w:sz w:val="22"/>
                <w:szCs w:val="22"/>
              </w:rPr>
            </w:pPr>
            <w:r>
              <w:rPr>
                <w:rFonts w:ascii="Trebuchet MS" w:hAnsi="Trebuchet MS"/>
                <w:sz w:val="22"/>
                <w:szCs w:val="22"/>
              </w:rPr>
              <w:t>$ 747,000</w:t>
            </w:r>
          </w:p>
        </w:tc>
      </w:tr>
    </w:tbl>
    <w:p w14:paraId="3104EF62" w14:textId="77777777" w:rsidR="00A028FF" w:rsidRDefault="00A028FF" w:rsidP="00CA0FF9">
      <w:pPr>
        <w:pStyle w:val="ListParagraph"/>
        <w:tabs>
          <w:tab w:val="num" w:pos="1260"/>
        </w:tabs>
        <w:spacing w:line="480" w:lineRule="auto"/>
        <w:ind w:left="0"/>
        <w:jc w:val="both"/>
        <w:rPr>
          <w:rFonts w:ascii="Trebuchet MS" w:hAnsi="Trebuchet MS"/>
          <w:sz w:val="22"/>
          <w:szCs w:val="22"/>
        </w:rPr>
      </w:pPr>
    </w:p>
    <w:p w14:paraId="2E5312D0" w14:textId="6B8B372C" w:rsidR="00D36617" w:rsidRPr="0041108B" w:rsidRDefault="00CA0FF9">
      <w:pPr>
        <w:tabs>
          <w:tab w:val="num" w:pos="1260"/>
        </w:tabs>
        <w:spacing w:line="480" w:lineRule="auto"/>
        <w:jc w:val="both"/>
        <w:rPr>
          <w:rFonts w:ascii="Trebuchet MS" w:hAnsi="Trebuchet MS"/>
          <w:sz w:val="22"/>
          <w:szCs w:val="22"/>
          <w:highlight w:val="yellow"/>
        </w:rPr>
      </w:pPr>
      <w:r w:rsidRPr="00536585">
        <w:rPr>
          <w:rFonts w:ascii="Trebuchet MS" w:hAnsi="Trebuchet MS"/>
          <w:sz w:val="22"/>
          <w:szCs w:val="22"/>
        </w:rPr>
        <w:t xml:space="preserve">In addition to capital expenditures, we also reviewed the proposed financing of the </w:t>
      </w:r>
      <w:r w:rsidR="00536585" w:rsidRPr="00536585">
        <w:rPr>
          <w:rFonts w:ascii="Trebuchet MS" w:hAnsi="Trebuchet MS"/>
          <w:sz w:val="22"/>
          <w:szCs w:val="22"/>
        </w:rPr>
        <w:t>Proposed P</w:t>
      </w:r>
      <w:r w:rsidRPr="00536585">
        <w:rPr>
          <w:rFonts w:ascii="Trebuchet MS" w:hAnsi="Trebuchet MS"/>
          <w:sz w:val="22"/>
          <w:szCs w:val="22"/>
        </w:rPr>
        <w:t>roject.</w:t>
      </w:r>
      <w:r w:rsidR="005B09A7">
        <w:rPr>
          <w:rFonts w:ascii="Trebuchet MS" w:hAnsi="Trebuchet MS"/>
          <w:sz w:val="22"/>
          <w:szCs w:val="22"/>
        </w:rPr>
        <w:t xml:space="preserve"> </w:t>
      </w:r>
      <w:r w:rsidRPr="00536585">
        <w:rPr>
          <w:rFonts w:ascii="Trebuchet MS" w:hAnsi="Trebuchet MS"/>
          <w:sz w:val="22"/>
          <w:szCs w:val="22"/>
        </w:rPr>
        <w:t>It is our understanding that</w:t>
      </w:r>
      <w:r w:rsidR="0008676E" w:rsidRPr="00536585">
        <w:rPr>
          <w:rFonts w:ascii="Trebuchet MS" w:hAnsi="Trebuchet MS"/>
          <w:sz w:val="22"/>
          <w:szCs w:val="22"/>
        </w:rPr>
        <w:t xml:space="preserve"> </w:t>
      </w:r>
      <w:r w:rsidR="00536585" w:rsidRPr="00536585">
        <w:rPr>
          <w:rFonts w:ascii="Trebuchet MS" w:hAnsi="Trebuchet MS"/>
          <w:sz w:val="22"/>
          <w:szCs w:val="22"/>
        </w:rPr>
        <w:t xml:space="preserve">the </w:t>
      </w:r>
      <w:r w:rsidR="003E00F8">
        <w:rPr>
          <w:rFonts w:ascii="Trebuchet MS" w:hAnsi="Trebuchet MS"/>
          <w:sz w:val="22"/>
          <w:szCs w:val="22"/>
        </w:rPr>
        <w:t>capital expenditures</w:t>
      </w:r>
      <w:r w:rsidR="00536585" w:rsidRPr="00536585">
        <w:rPr>
          <w:rFonts w:ascii="Trebuchet MS" w:hAnsi="Trebuchet MS"/>
          <w:sz w:val="22"/>
          <w:szCs w:val="22"/>
        </w:rPr>
        <w:t xml:space="preserve"> will be funded </w:t>
      </w:r>
      <w:r w:rsidR="003E00F8">
        <w:rPr>
          <w:rFonts w:ascii="Trebuchet MS" w:hAnsi="Trebuchet MS"/>
          <w:sz w:val="22"/>
          <w:szCs w:val="22"/>
        </w:rPr>
        <w:t xml:space="preserve">through </w:t>
      </w:r>
      <w:r w:rsidR="00A028FF">
        <w:rPr>
          <w:rFonts w:ascii="Trebuchet MS" w:hAnsi="Trebuchet MS"/>
          <w:sz w:val="22"/>
          <w:szCs w:val="22"/>
        </w:rPr>
        <w:t xml:space="preserve">CMCC’s </w:t>
      </w:r>
      <w:r w:rsidR="00A028FF">
        <w:rPr>
          <w:rFonts w:ascii="Trebuchet MS" w:hAnsi="Trebuchet MS"/>
          <w:sz w:val="22"/>
          <w:szCs w:val="22"/>
        </w:rPr>
        <w:lastRenderedPageBreak/>
        <w:t>net asset</w:t>
      </w:r>
      <w:r w:rsidR="003E00F8">
        <w:rPr>
          <w:rFonts w:ascii="Trebuchet MS" w:hAnsi="Trebuchet MS"/>
          <w:sz w:val="22"/>
          <w:szCs w:val="22"/>
        </w:rPr>
        <w:t xml:space="preserve">s and cash flows. </w:t>
      </w:r>
      <w:r w:rsidR="003E00F8" w:rsidRPr="003E00F8">
        <w:rPr>
          <w:rFonts w:ascii="Trebuchet MS" w:hAnsi="Trebuchet MS"/>
          <w:sz w:val="22"/>
          <w:szCs w:val="22"/>
        </w:rPr>
        <w:t>The capital expenditures are included within the Applicant’s cash flows with no additional debt financing anticipated.</w:t>
      </w:r>
      <w:r w:rsidR="003E00F8">
        <w:rPr>
          <w:rFonts w:ascii="Trebuchet MS" w:hAnsi="Trebuchet MS"/>
          <w:sz w:val="22"/>
          <w:szCs w:val="22"/>
        </w:rPr>
        <w:t xml:space="preserve"> </w:t>
      </w:r>
      <w:r w:rsidR="00E25754" w:rsidRPr="00E25754">
        <w:rPr>
          <w:rFonts w:ascii="Trebuchet MS" w:hAnsi="Trebuchet MS"/>
          <w:sz w:val="22"/>
          <w:szCs w:val="22"/>
        </w:rPr>
        <w:t>We note that the Projections include cumulative routine capital expenditures of $5</w:t>
      </w:r>
      <w:r w:rsidR="00E25754">
        <w:rPr>
          <w:rFonts w:ascii="Trebuchet MS" w:hAnsi="Trebuchet MS"/>
          <w:sz w:val="22"/>
          <w:szCs w:val="22"/>
        </w:rPr>
        <w:t>21</w:t>
      </w:r>
      <w:r w:rsidR="00E25754" w:rsidRPr="00E25754">
        <w:rPr>
          <w:rFonts w:ascii="Trebuchet MS" w:hAnsi="Trebuchet MS"/>
          <w:sz w:val="22"/>
          <w:szCs w:val="22"/>
        </w:rPr>
        <w:t>.</w:t>
      </w:r>
      <w:r w:rsidR="00E25754">
        <w:rPr>
          <w:rFonts w:ascii="Trebuchet MS" w:hAnsi="Trebuchet MS"/>
          <w:sz w:val="22"/>
          <w:szCs w:val="22"/>
        </w:rPr>
        <w:t>6</w:t>
      </w:r>
      <w:r w:rsidR="00E25754" w:rsidRPr="00E25754">
        <w:rPr>
          <w:rFonts w:ascii="Trebuchet MS" w:hAnsi="Trebuchet MS"/>
          <w:sz w:val="22"/>
          <w:szCs w:val="22"/>
        </w:rPr>
        <w:t xml:space="preserve"> million and major project expenditures of $</w:t>
      </w:r>
      <w:r w:rsidR="00E25754">
        <w:rPr>
          <w:rFonts w:ascii="Trebuchet MS" w:hAnsi="Trebuchet MS"/>
          <w:sz w:val="22"/>
          <w:szCs w:val="22"/>
        </w:rPr>
        <w:t>2</w:t>
      </w:r>
      <w:r w:rsidR="00E25754" w:rsidRPr="00E25754">
        <w:rPr>
          <w:rFonts w:ascii="Trebuchet MS" w:hAnsi="Trebuchet MS"/>
          <w:sz w:val="22"/>
          <w:szCs w:val="22"/>
        </w:rPr>
        <w:t>,</w:t>
      </w:r>
      <w:r w:rsidR="00E25754">
        <w:rPr>
          <w:rFonts w:ascii="Trebuchet MS" w:hAnsi="Trebuchet MS"/>
          <w:sz w:val="22"/>
          <w:szCs w:val="22"/>
        </w:rPr>
        <w:t>870</w:t>
      </w:r>
      <w:r w:rsidR="00E25754" w:rsidRPr="00E25754">
        <w:rPr>
          <w:rFonts w:ascii="Trebuchet MS" w:hAnsi="Trebuchet MS"/>
          <w:sz w:val="22"/>
          <w:szCs w:val="22"/>
        </w:rPr>
        <w:t>.</w:t>
      </w:r>
      <w:r w:rsidR="00E25754">
        <w:rPr>
          <w:rFonts w:ascii="Trebuchet MS" w:hAnsi="Trebuchet MS"/>
          <w:sz w:val="22"/>
          <w:szCs w:val="22"/>
        </w:rPr>
        <w:t>7</w:t>
      </w:r>
      <w:r w:rsidR="00E25754" w:rsidRPr="00E25754">
        <w:rPr>
          <w:rFonts w:ascii="Trebuchet MS" w:hAnsi="Trebuchet MS"/>
          <w:sz w:val="22"/>
          <w:szCs w:val="22"/>
        </w:rPr>
        <w:t xml:space="preserve"> million for a total cumulative capital expenditure of $</w:t>
      </w:r>
      <w:r w:rsidR="00E25754">
        <w:rPr>
          <w:rFonts w:ascii="Trebuchet MS" w:hAnsi="Trebuchet MS"/>
          <w:sz w:val="22"/>
          <w:szCs w:val="22"/>
        </w:rPr>
        <w:t>3</w:t>
      </w:r>
      <w:r w:rsidR="00E25754" w:rsidRPr="00E25754">
        <w:rPr>
          <w:rFonts w:ascii="Trebuchet MS" w:hAnsi="Trebuchet MS"/>
          <w:sz w:val="22"/>
          <w:szCs w:val="22"/>
        </w:rPr>
        <w:t>,</w:t>
      </w:r>
      <w:r w:rsidR="00E25754">
        <w:rPr>
          <w:rFonts w:ascii="Trebuchet MS" w:hAnsi="Trebuchet MS"/>
          <w:sz w:val="22"/>
          <w:szCs w:val="22"/>
        </w:rPr>
        <w:t>392</w:t>
      </w:r>
      <w:r w:rsidR="00E25754" w:rsidRPr="00E25754">
        <w:rPr>
          <w:rFonts w:ascii="Trebuchet MS" w:hAnsi="Trebuchet MS"/>
          <w:sz w:val="22"/>
          <w:szCs w:val="22"/>
        </w:rPr>
        <w:t>.</w:t>
      </w:r>
      <w:r w:rsidR="00E25754">
        <w:rPr>
          <w:rFonts w:ascii="Trebuchet MS" w:hAnsi="Trebuchet MS"/>
          <w:sz w:val="22"/>
          <w:szCs w:val="22"/>
        </w:rPr>
        <w:t>3</w:t>
      </w:r>
      <w:r w:rsidR="00E25754" w:rsidRPr="00E25754">
        <w:rPr>
          <w:rFonts w:ascii="Trebuchet MS" w:hAnsi="Trebuchet MS"/>
          <w:sz w:val="22"/>
          <w:szCs w:val="22"/>
        </w:rPr>
        <w:t xml:space="preserve"> million </w:t>
      </w:r>
      <w:r w:rsidR="00E25754">
        <w:rPr>
          <w:rFonts w:ascii="Trebuchet MS" w:hAnsi="Trebuchet MS"/>
          <w:sz w:val="22"/>
          <w:szCs w:val="22"/>
        </w:rPr>
        <w:t xml:space="preserve">over the next five years (FY 2023 through FY 2027). </w:t>
      </w:r>
      <w:r w:rsidR="00E25754" w:rsidRPr="00E25754">
        <w:rPr>
          <w:rFonts w:ascii="Trebuchet MS" w:hAnsi="Trebuchet MS"/>
          <w:sz w:val="22"/>
          <w:szCs w:val="22"/>
        </w:rPr>
        <w:t xml:space="preserve">The capital expenditures subject to the Proposed Projects represent </w:t>
      </w:r>
      <w:r w:rsidR="00D36617">
        <w:rPr>
          <w:rFonts w:ascii="Trebuchet MS" w:hAnsi="Trebuchet MS"/>
          <w:sz w:val="22"/>
          <w:szCs w:val="22"/>
        </w:rPr>
        <w:t xml:space="preserve">less than </w:t>
      </w:r>
      <w:r w:rsidR="00E25754" w:rsidRPr="00E25754">
        <w:rPr>
          <w:rFonts w:ascii="Trebuchet MS" w:hAnsi="Trebuchet MS"/>
          <w:sz w:val="22"/>
          <w:szCs w:val="22"/>
        </w:rPr>
        <w:t>1.</w:t>
      </w:r>
      <w:r w:rsidR="00D36617">
        <w:rPr>
          <w:rFonts w:ascii="Trebuchet MS" w:hAnsi="Trebuchet MS"/>
          <w:sz w:val="22"/>
          <w:szCs w:val="22"/>
        </w:rPr>
        <w:t xml:space="preserve">0 </w:t>
      </w:r>
      <w:r w:rsidR="00E25754" w:rsidRPr="00E25754">
        <w:rPr>
          <w:rFonts w:ascii="Trebuchet MS" w:hAnsi="Trebuchet MS"/>
          <w:sz w:val="22"/>
          <w:szCs w:val="22"/>
        </w:rPr>
        <w:t xml:space="preserve">percent of the total capital expenditures over the </w:t>
      </w:r>
      <w:r w:rsidR="00D36617">
        <w:rPr>
          <w:rFonts w:ascii="Trebuchet MS" w:hAnsi="Trebuchet MS"/>
          <w:sz w:val="22"/>
          <w:szCs w:val="22"/>
        </w:rPr>
        <w:t xml:space="preserve">next five </w:t>
      </w:r>
      <w:r w:rsidR="00E25754" w:rsidRPr="00E25754">
        <w:rPr>
          <w:rFonts w:ascii="Trebuchet MS" w:hAnsi="Trebuchet MS"/>
          <w:sz w:val="22"/>
          <w:szCs w:val="22"/>
        </w:rPr>
        <w:t>years. We note the model indicates total cash on the balance sheet of approximately $</w:t>
      </w:r>
      <w:r w:rsidR="00D36617">
        <w:rPr>
          <w:rFonts w:ascii="Trebuchet MS" w:hAnsi="Trebuchet MS"/>
          <w:sz w:val="22"/>
          <w:szCs w:val="22"/>
        </w:rPr>
        <w:t>270</w:t>
      </w:r>
      <w:r w:rsidR="00E25754" w:rsidRPr="00E25754">
        <w:rPr>
          <w:rFonts w:ascii="Trebuchet MS" w:hAnsi="Trebuchet MS"/>
          <w:sz w:val="22"/>
          <w:szCs w:val="22"/>
        </w:rPr>
        <w:t xml:space="preserve">.0 million </w:t>
      </w:r>
      <w:r w:rsidR="00D36617">
        <w:rPr>
          <w:rFonts w:ascii="Trebuchet MS" w:hAnsi="Trebuchet MS"/>
          <w:sz w:val="22"/>
          <w:szCs w:val="22"/>
        </w:rPr>
        <w:t xml:space="preserve">on average </w:t>
      </w:r>
      <w:r w:rsidR="00E25754" w:rsidRPr="00E25754">
        <w:rPr>
          <w:rFonts w:ascii="Trebuchet MS" w:hAnsi="Trebuchet MS"/>
          <w:sz w:val="22"/>
          <w:szCs w:val="22"/>
        </w:rPr>
        <w:t>in each year, before considering the Applicant’s various investments. Therefore, it appears that the Applicant will be able to finance the Proposed Projects within its normal capital expenditures without the need for debt financing.</w:t>
      </w:r>
    </w:p>
    <w:p w14:paraId="0E80CE6B" w14:textId="77777777" w:rsidR="00A257C3" w:rsidRPr="000D36DA" w:rsidRDefault="00A257C3">
      <w:pPr>
        <w:tabs>
          <w:tab w:val="num" w:pos="1260"/>
        </w:tabs>
        <w:spacing w:line="480" w:lineRule="auto"/>
        <w:jc w:val="both"/>
        <w:rPr>
          <w:rFonts w:ascii="Trebuchet MS" w:hAnsi="Trebuchet MS"/>
          <w:sz w:val="22"/>
          <w:szCs w:val="22"/>
        </w:rPr>
      </w:pPr>
    </w:p>
    <w:p w14:paraId="1C83F7C9"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FEASIBILITY</w:t>
      </w:r>
    </w:p>
    <w:p w14:paraId="0DC5AC25" w14:textId="77777777" w:rsidR="009A2BEA" w:rsidRPr="000D36DA" w:rsidRDefault="009A2BEA">
      <w:pPr>
        <w:tabs>
          <w:tab w:val="num" w:pos="1260"/>
        </w:tabs>
        <w:spacing w:line="480" w:lineRule="auto"/>
        <w:jc w:val="both"/>
        <w:rPr>
          <w:rFonts w:ascii="Trebuchet MS" w:hAnsi="Trebuchet MS"/>
          <w:sz w:val="22"/>
          <w:szCs w:val="22"/>
        </w:rPr>
      </w:pPr>
    </w:p>
    <w:p w14:paraId="1D9D1948" w14:textId="467158E5" w:rsidR="00B97440" w:rsidRDefault="00B97440" w:rsidP="00B97440">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We analyzed the Projections and Key Metrics for the Proposed Project. In preparing our analysis we considered multiple sources of information including industry metrics, historical results, and Management expectations. It is important to note that the Projections do not account for </w:t>
      </w:r>
      <w:r>
        <w:rPr>
          <w:rFonts w:ascii="Trebuchet MS" w:hAnsi="Trebuchet MS"/>
          <w:sz w:val="22"/>
          <w:szCs w:val="22"/>
        </w:rPr>
        <w:t>certain</w:t>
      </w:r>
      <w:r w:rsidRPr="000D36DA">
        <w:rPr>
          <w:rFonts w:ascii="Trebuchet MS" w:hAnsi="Trebuchet MS"/>
          <w:sz w:val="22"/>
          <w:szCs w:val="22"/>
        </w:rPr>
        <w:t xml:space="preserve"> anticipated changes in accounting standards. These standards, which may have a material impact on individual future years, are not anticipated to have a material impact on the aggregate Projections. </w:t>
      </w:r>
    </w:p>
    <w:p w14:paraId="056C341E" w14:textId="77777777" w:rsidR="005F42AD" w:rsidRPr="000D36DA" w:rsidRDefault="005F42AD" w:rsidP="00B97440">
      <w:pPr>
        <w:tabs>
          <w:tab w:val="num" w:pos="1260"/>
        </w:tabs>
        <w:spacing w:line="480" w:lineRule="auto"/>
        <w:jc w:val="both"/>
        <w:rPr>
          <w:rFonts w:ascii="Trebuchet MS" w:hAnsi="Trebuchet MS"/>
          <w:sz w:val="22"/>
          <w:szCs w:val="22"/>
        </w:rPr>
      </w:pPr>
    </w:p>
    <w:p w14:paraId="2EDFAEE2" w14:textId="77777777" w:rsidR="00B97440" w:rsidRPr="000D36DA" w:rsidRDefault="00B97440" w:rsidP="00B97440">
      <w:pPr>
        <w:pStyle w:val="ListParagraph"/>
        <w:tabs>
          <w:tab w:val="num" w:pos="1260"/>
        </w:tabs>
        <w:spacing w:line="480" w:lineRule="auto"/>
        <w:ind w:left="0"/>
        <w:jc w:val="both"/>
        <w:rPr>
          <w:rFonts w:ascii="Trebuchet MS" w:hAnsi="Trebuchet MS"/>
          <w:sz w:val="22"/>
          <w:szCs w:val="22"/>
        </w:rPr>
      </w:pPr>
      <w:r w:rsidRPr="00D5151F">
        <w:rPr>
          <w:rFonts w:ascii="Trebuchet MS" w:hAnsi="Trebuchet MS"/>
          <w:sz w:val="22"/>
          <w:szCs w:val="22"/>
        </w:rPr>
        <w:t xml:space="preserve">Within the projected financial </w:t>
      </w:r>
      <w:r w:rsidRPr="00271EF3">
        <w:rPr>
          <w:rFonts w:ascii="Trebuchet MS" w:hAnsi="Trebuchet MS"/>
          <w:sz w:val="22"/>
          <w:szCs w:val="22"/>
        </w:rPr>
        <w:t xml:space="preserve">information, the Projections exhibit a cumulative operating EBIDA surplus of approximately 9.0 percent of cumulative projected total revenue for the eleven years from FY 2023 through FY 2033. Based upon our review of the relevant documents </w:t>
      </w:r>
      <w:r w:rsidRPr="00271EF3">
        <w:rPr>
          <w:rFonts w:ascii="Trebuchet MS" w:hAnsi="Trebuchet MS"/>
          <w:sz w:val="22"/>
          <w:szCs w:val="22"/>
        </w:rPr>
        <w:lastRenderedPageBreak/>
        <w:t>and analysis of the Projections, we determined the anticipated</w:t>
      </w:r>
      <w:r w:rsidRPr="000D36DA">
        <w:rPr>
          <w:rFonts w:ascii="Trebuchet MS" w:hAnsi="Trebuchet MS"/>
          <w:sz w:val="22"/>
          <w:szCs w:val="22"/>
        </w:rPr>
        <w:t xml:space="preserve"> EBIDA surplus is a reasonable expectation and </w:t>
      </w:r>
      <w:r>
        <w:rPr>
          <w:rFonts w:ascii="Trebuchet MS" w:hAnsi="Trebuchet MS"/>
          <w:sz w:val="22"/>
          <w:szCs w:val="22"/>
        </w:rPr>
        <w:t xml:space="preserve">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patient panel or result in a liquidation of assets of </w:t>
      </w:r>
      <w:r>
        <w:rPr>
          <w:rFonts w:ascii="Trebuchet MS" w:hAnsi="Trebuchet MS"/>
          <w:sz w:val="22"/>
          <w:szCs w:val="22"/>
        </w:rPr>
        <w:t>CMCC</w:t>
      </w:r>
      <w:r w:rsidRPr="000D36DA">
        <w:rPr>
          <w:rFonts w:ascii="Trebuchet MS" w:hAnsi="Trebuchet MS"/>
          <w:sz w:val="22"/>
          <w:szCs w:val="22"/>
        </w:rPr>
        <w:t>.</w:t>
      </w:r>
    </w:p>
    <w:p w14:paraId="45B30E2B" w14:textId="77777777" w:rsidR="00C323E0" w:rsidRDefault="00C323E0">
      <w:pPr>
        <w:rPr>
          <w:rFonts w:ascii="Trebuchet MS" w:hAnsi="Trebuchet MS"/>
          <w:sz w:val="22"/>
          <w:szCs w:val="22"/>
        </w:rPr>
      </w:pPr>
    </w:p>
    <w:p w14:paraId="019BEE1D" w14:textId="7B9C7070" w:rsidR="009A2BEA" w:rsidRPr="000D36DA" w:rsidRDefault="00D3103D">
      <w:pPr>
        <w:rPr>
          <w:rFonts w:ascii="Trebuchet MS" w:hAnsi="Trebuchet MS"/>
          <w:sz w:val="22"/>
          <w:szCs w:val="22"/>
        </w:rPr>
      </w:pPr>
      <w:r w:rsidRPr="000D36DA">
        <w:rPr>
          <w:rFonts w:ascii="Trebuchet MS" w:hAnsi="Trebuchet MS"/>
          <w:sz w:val="22"/>
          <w:szCs w:val="22"/>
        </w:rPr>
        <w:t>Respectively submitted,</w:t>
      </w:r>
    </w:p>
    <w:p w14:paraId="0B8A79C1" w14:textId="63FBB9AE" w:rsidR="009A2BEA" w:rsidRPr="007478C8" w:rsidRDefault="009A2BEA">
      <w:pPr>
        <w:tabs>
          <w:tab w:val="left" w:pos="1190"/>
        </w:tabs>
        <w:jc w:val="both"/>
        <w:rPr>
          <w:rFonts w:ascii="Trebuchet MS" w:hAnsi="Trebuchet MS"/>
          <w:color w:val="FF0000"/>
          <w:sz w:val="22"/>
          <w:szCs w:val="22"/>
        </w:rPr>
      </w:pPr>
    </w:p>
    <w:p w14:paraId="5A6D865A" w14:textId="77777777" w:rsidR="009A2BEA" w:rsidRPr="000D36DA" w:rsidRDefault="009A2BEA">
      <w:pPr>
        <w:jc w:val="both"/>
        <w:rPr>
          <w:rFonts w:ascii="Trebuchet MS" w:hAnsi="Trebuchet MS"/>
          <w:sz w:val="22"/>
          <w:szCs w:val="22"/>
        </w:rPr>
      </w:pPr>
    </w:p>
    <w:p w14:paraId="36C80F1A" w14:textId="1F4E22CE" w:rsidR="009A2BEA" w:rsidRPr="000D36DA" w:rsidRDefault="00EF2CDC">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0D36DA">
        <w:rPr>
          <w:rFonts w:ascii="Trebuchet MS" w:hAnsi="Trebuchet MS"/>
          <w:sz w:val="22"/>
          <w:szCs w:val="22"/>
        </w:rPr>
        <w:t>Erik Lynch</w:t>
      </w:r>
    </w:p>
    <w:p w14:paraId="33F81B35" w14:textId="32C6BAB0" w:rsidR="009A2BEA" w:rsidRPr="000D36DA" w:rsidRDefault="00D3103D">
      <w:pPr>
        <w:spacing w:line="480" w:lineRule="auto"/>
        <w:jc w:val="both"/>
        <w:rPr>
          <w:rFonts w:ascii="Trebuchet MS" w:hAnsi="Trebuchet MS"/>
          <w:sz w:val="22"/>
          <w:szCs w:val="22"/>
        </w:rPr>
      </w:pPr>
      <w:r w:rsidRPr="000D36DA">
        <w:rPr>
          <w:rFonts w:ascii="Trebuchet MS" w:hAnsi="Trebuchet MS"/>
          <w:spacing w:val="-3"/>
          <w:sz w:val="22"/>
          <w:szCs w:val="22"/>
        </w:rPr>
        <w:t>Partner, BDO USA</w:t>
      </w:r>
    </w:p>
    <w:sectPr w:rsidR="009A2BEA" w:rsidRPr="000D36DA" w:rsidSect="00CE574D">
      <w:headerReference w:type="even" r:id="rId20"/>
      <w:headerReference w:type="default" r:id="rId21"/>
      <w:headerReference w:type="first" r:id="rId22"/>
      <w:footerReference w:type="first" r:id="rId23"/>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2606" w14:textId="77777777" w:rsidR="004B2D3B" w:rsidRDefault="004B2D3B">
      <w:r>
        <w:separator/>
      </w:r>
    </w:p>
  </w:endnote>
  <w:endnote w:type="continuationSeparator" w:id="0">
    <w:p w14:paraId="79DBF098" w14:textId="77777777" w:rsidR="004B2D3B" w:rsidRDefault="004B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8033" w14:textId="77777777" w:rsidR="00675782" w:rsidRDefault="00675782" w:rsidP="00E87482">
    <w:pPr>
      <w:pStyle w:val="BDOFooter"/>
      <w:ind w:right="-86"/>
      <w:rPr>
        <w:rFonts w:ascii="Trebuchet MS" w:hAnsi="Trebuchet MS"/>
        <w:color w:val="auto"/>
        <w:szCs w:val="12"/>
        <w:lang w:val="it-IT"/>
      </w:rPr>
    </w:pPr>
  </w:p>
  <w:p w14:paraId="545B322F" w14:textId="77777777" w:rsidR="00675782" w:rsidRPr="006757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450A9E8E" w14:textId="77777777" w:rsidR="00675782" w:rsidRDefault="00675782" w:rsidP="00E87482">
    <w:pPr>
      <w:pStyle w:val="BDOFooter"/>
      <w:ind w:right="-86"/>
      <w:rPr>
        <w:color w:val="404040"/>
        <w:sz w:val="14"/>
        <w:szCs w:val="14"/>
      </w:rPr>
    </w:pPr>
  </w:p>
  <w:p w14:paraId="322A973B" w14:textId="313A05CE" w:rsid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26F87858" w14:textId="77777777" w:rsidR="00E87482" w:rsidRDefault="00E87482" w:rsidP="00675782">
    <w:pPr>
      <w:pStyle w:val="BDOFooter"/>
      <w:ind w:right="-86"/>
      <w:rPr>
        <w:rFonts w:ascii="Trebuchet MS" w:hAnsi="Trebuchet MS"/>
        <w:color w:val="auto"/>
        <w:szCs w:val="12"/>
        <w:lang w:val="it-IT"/>
      </w:rPr>
    </w:pPr>
  </w:p>
  <w:p w14:paraId="29F8E005" w14:textId="47C9C969" w:rsidR="0088018C" w:rsidRP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5FE2" w14:textId="77777777"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0C5C" w14:textId="77777777" w:rsidR="00CE574D" w:rsidRPr="00CE574D" w:rsidRDefault="00CE574D" w:rsidP="00FE11C3">
    <w:pPr>
      <w:pStyle w:val="BDOFooter"/>
      <w:rPr>
        <w:rFonts w:ascii="Trebuchet MS" w:hAnsi="Trebuchet MS"/>
        <w:bCs/>
        <w:color w:val="685040"/>
        <w:szCs w:val="12"/>
        <w:lang w:val="it-IT"/>
      </w:rPr>
    </w:pPr>
  </w:p>
  <w:p w14:paraId="26860C57" w14:textId="77777777" w:rsidR="00675782" w:rsidRP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7F941FAC" w14:textId="77777777" w:rsidR="00675782" w:rsidRDefault="00675782" w:rsidP="00675782">
    <w:pPr>
      <w:pStyle w:val="BDOFooter"/>
      <w:ind w:right="-86"/>
      <w:rPr>
        <w:color w:val="404040"/>
        <w:sz w:val="14"/>
        <w:szCs w:val="14"/>
      </w:rPr>
    </w:pPr>
  </w:p>
  <w:p w14:paraId="709000EB" w14:textId="77777777" w:rsid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5F8025E4" w14:textId="77777777" w:rsidR="00675782" w:rsidRDefault="00675782" w:rsidP="00675782">
    <w:pPr>
      <w:pStyle w:val="BDOFooter"/>
      <w:ind w:right="-86"/>
      <w:rPr>
        <w:rFonts w:ascii="Trebuchet MS" w:hAnsi="Trebuchet MS"/>
        <w:color w:val="auto"/>
        <w:szCs w:val="12"/>
        <w:lang w:val="it-IT"/>
      </w:rPr>
    </w:pPr>
  </w:p>
  <w:p w14:paraId="523A72AB" w14:textId="77777777" w:rsidR="00675782" w:rsidRPr="00E874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p w14:paraId="265421C6" w14:textId="397A5E72" w:rsidR="00116238" w:rsidRPr="00CE574D" w:rsidRDefault="00116238" w:rsidP="00675782">
    <w:pPr>
      <w:pStyle w:val="BDOFooter"/>
      <w:rPr>
        <w:rFonts w:ascii="Trebuchet MS" w:hAnsi="Trebuchet MS"/>
        <w:bCs/>
        <w:color w:val="685040"/>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E15B" w14:textId="77777777" w:rsidR="004B2D3B" w:rsidRDefault="004B2D3B">
      <w:r>
        <w:separator/>
      </w:r>
    </w:p>
  </w:footnote>
  <w:footnote w:type="continuationSeparator" w:id="0">
    <w:p w14:paraId="3F38E04C" w14:textId="77777777" w:rsidR="004B2D3B" w:rsidRDefault="004B2D3B">
      <w:r>
        <w:continuationSeparator/>
      </w:r>
    </w:p>
  </w:footnote>
  <w:footnote w:id="1">
    <w:p w14:paraId="40C68554" w14:textId="4A140B87" w:rsidR="006A44BA" w:rsidRPr="00FE2F5E" w:rsidRDefault="006A44BA" w:rsidP="00352A30">
      <w:pPr>
        <w:pStyle w:val="FootnoteText"/>
        <w:rPr>
          <w:sz w:val="18"/>
          <w:szCs w:val="18"/>
        </w:rPr>
      </w:pPr>
      <w:r w:rsidRPr="00FE2F5E">
        <w:rPr>
          <w:rFonts w:ascii="Trebuchet MS" w:hAnsi="Trebuchet MS"/>
          <w:sz w:val="18"/>
          <w:szCs w:val="18"/>
        </w:rPr>
        <w:footnoteRef/>
      </w:r>
      <w:r w:rsidRPr="00FE2F5E">
        <w:rPr>
          <w:rFonts w:ascii="Trebuchet MS" w:hAnsi="Trebuchet MS"/>
          <w:sz w:val="18"/>
          <w:szCs w:val="18"/>
        </w:rPr>
        <w:t xml:space="preserve"> </w:t>
      </w:r>
      <w:r w:rsidR="00E95333" w:rsidRPr="00FE2F5E">
        <w:rPr>
          <w:rFonts w:ascii="Trebuchet MS" w:hAnsi="Trebuchet MS"/>
          <w:sz w:val="18"/>
          <w:szCs w:val="18"/>
        </w:rPr>
        <w:t xml:space="preserve">The financial projections include the combined forecasts of Children’s Medical Center Corporation and Franciscan Hospital for Children (“Franciscan”). CMCC and Franciscan entered into an affiliation agreement, in which CMCC </w:t>
      </w:r>
      <w:r w:rsidR="00352A30" w:rsidRPr="00FE2F5E">
        <w:rPr>
          <w:rFonts w:ascii="Trebuchet MS" w:hAnsi="Trebuchet MS"/>
          <w:sz w:val="18"/>
          <w:szCs w:val="18"/>
        </w:rPr>
        <w:t xml:space="preserve">will become the sole corporate member of </w:t>
      </w:r>
      <w:r w:rsidR="00E95333" w:rsidRPr="00FE2F5E">
        <w:rPr>
          <w:rFonts w:ascii="Trebuchet MS" w:hAnsi="Trebuchet MS"/>
          <w:sz w:val="18"/>
          <w:szCs w:val="18"/>
        </w:rPr>
        <w:t>Franciscan</w:t>
      </w:r>
      <w:r w:rsidR="00352A30" w:rsidRPr="00FE2F5E">
        <w:rPr>
          <w:rFonts w:ascii="Trebuchet MS" w:hAnsi="Trebuchet MS"/>
          <w:sz w:val="18"/>
          <w:szCs w:val="18"/>
        </w:rPr>
        <w:t xml:space="preserve">. The agreement was approved by Massachusetts Department of Public Health Council and is pending </w:t>
      </w:r>
      <w:r w:rsidR="00D36617">
        <w:rPr>
          <w:rFonts w:ascii="Trebuchet MS" w:hAnsi="Trebuchet MS"/>
          <w:sz w:val="18"/>
          <w:szCs w:val="18"/>
        </w:rPr>
        <w:t xml:space="preserve">final approval from relevant </w:t>
      </w:r>
      <w:r w:rsidR="00352A30" w:rsidRPr="00FE2F5E">
        <w:rPr>
          <w:rFonts w:ascii="Trebuchet MS" w:hAnsi="Trebuchet MS"/>
          <w:sz w:val="18"/>
          <w:szCs w:val="18"/>
        </w:rPr>
        <w:t>Religious Authority as stated in the Affiliation Agreement.</w:t>
      </w:r>
      <w:r w:rsidR="00352A30" w:rsidRPr="00FE2F5E">
        <w:rPr>
          <w:sz w:val="18"/>
          <w:szCs w:val="18"/>
        </w:rPr>
        <w:t xml:space="preserve"> </w:t>
      </w:r>
    </w:p>
  </w:footnote>
  <w:footnote w:id="2">
    <w:p w14:paraId="2D0CEB75" w14:textId="77777777" w:rsidR="00DB521B" w:rsidRDefault="00DB521B" w:rsidP="00DB521B">
      <w:pPr>
        <w:pStyle w:val="FootnoteText"/>
      </w:pPr>
      <w:r w:rsidRPr="00AB4425">
        <w:rPr>
          <w:rStyle w:val="FootnoteReference"/>
          <w:rFonts w:ascii="Trebuchet MS" w:hAnsi="Trebuchet MS"/>
          <w:sz w:val="18"/>
          <w:szCs w:val="18"/>
        </w:rPr>
        <w:footnoteRef/>
      </w:r>
      <w:r>
        <w:t xml:space="preserve"> </w:t>
      </w:r>
      <w:r w:rsidRPr="00AB4425">
        <w:rPr>
          <w:rFonts w:ascii="Trebuchet MS" w:hAnsi="Trebuchet MS"/>
          <w:sz w:val="18"/>
          <w:szCs w:val="18"/>
        </w:rPr>
        <w:t>EBIDA (“</w:t>
      </w:r>
      <w:r w:rsidRPr="0041508E">
        <w:rPr>
          <w:rFonts w:ascii="Trebuchet MS" w:hAnsi="Trebuchet MS"/>
          <w:sz w:val="18"/>
          <w:szCs w:val="18"/>
        </w:rPr>
        <w:t>Earnings before Interest, Depreciation, and Amortization</w:t>
      </w:r>
      <w:r w:rsidRPr="00AB4425">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FC0" w14:textId="21583C00" w:rsidR="0088018C" w:rsidRDefault="0088018C" w:rsidP="00666C4E">
    <w:pPr>
      <w:pStyle w:val="Header"/>
    </w:pPr>
  </w:p>
  <w:p w14:paraId="4388BD9F"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C49" w14:textId="72D77A2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C074" w14:textId="6831B676"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34EB" w14:textId="2B0ED393" w:rsidR="0088018C" w:rsidRDefault="00880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02B3" w14:textId="480AFA50"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5CCC" w14:textId="0A73B4D1"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AFC4" w14:textId="13EC6A14"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C89" w14:textId="4DA69374"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E471" w14:textId="0B9712C4"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76B7" w14:textId="3FC585CD" w:rsidR="0088018C" w:rsidRDefault="00510392">
    <w:pPr>
      <w:pStyle w:val="BDONormal"/>
      <w:jc w:val="right"/>
      <w:rPr>
        <w:noProof/>
        <w:sz w:val="16"/>
        <w:szCs w:val="16"/>
        <w:lang w:eastAsia="en-US"/>
      </w:rPr>
    </w:pPr>
    <w:r>
      <w:rPr>
        <w:noProof/>
        <w:sz w:val="16"/>
        <w:szCs w:val="16"/>
        <w:lang w:eastAsia="en-US"/>
      </w:rPr>
      <w:t>M</w:t>
    </w:r>
    <w:r w:rsidR="002541B2">
      <w:rPr>
        <w:noProof/>
        <w:sz w:val="16"/>
        <w:szCs w:val="16"/>
        <w:lang w:eastAsia="en-US"/>
      </w:rPr>
      <w:t>s</w:t>
    </w:r>
    <w:r>
      <w:rPr>
        <w:noProof/>
        <w:sz w:val="16"/>
        <w:szCs w:val="16"/>
        <w:lang w:eastAsia="en-US"/>
      </w:rPr>
      <w:t xml:space="preserve">. </w:t>
    </w:r>
    <w:r w:rsidR="002541B2">
      <w:rPr>
        <w:noProof/>
        <w:sz w:val="16"/>
        <w:szCs w:val="16"/>
        <w:lang w:eastAsia="en-US"/>
      </w:rPr>
      <w:t>Donna M. Casey</w:t>
    </w:r>
  </w:p>
  <w:p w14:paraId="3225536C" w14:textId="71665C69" w:rsidR="0088018C" w:rsidRDefault="00C34204">
    <w:pPr>
      <w:pStyle w:val="BDONormal"/>
      <w:jc w:val="right"/>
      <w:rPr>
        <w:noProof/>
        <w:sz w:val="16"/>
        <w:szCs w:val="16"/>
        <w:lang w:eastAsia="en-US"/>
      </w:rPr>
    </w:pPr>
    <w:r w:rsidRPr="00C34204">
      <w:rPr>
        <w:noProof/>
        <w:sz w:val="16"/>
        <w:szCs w:val="16"/>
        <w:lang w:eastAsia="en-US"/>
      </w:rPr>
      <w:t>Children’s Medical Center Corporation</w:t>
    </w:r>
  </w:p>
  <w:p w14:paraId="473EAB5B" w14:textId="26D93AFC" w:rsidR="00FF6B1B" w:rsidRDefault="00FF6B1B">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616C16">
      <w:rPr>
        <w:rFonts w:ascii="Trebuchet MS" w:hAnsi="Trebuchet MS"/>
        <w:noProof/>
        <w:sz w:val="16"/>
        <w:szCs w:val="16"/>
        <w:lang w:eastAsia="en-GB"/>
      </w:rPr>
      <w:t>October 19, 2023</w:t>
    </w:r>
    <w:r>
      <w:rPr>
        <w:rFonts w:ascii="Trebuchet MS" w:hAnsi="Trebuchet MS"/>
        <w:sz w:val="16"/>
        <w:szCs w:val="16"/>
        <w:lang w:eastAsia="en-GB"/>
      </w:rPr>
      <w:fldChar w:fldCharType="end"/>
    </w:r>
  </w:p>
  <w:p w14:paraId="39B5B85D" w14:textId="5B6CCAC0"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3222C1">
      <w:rPr>
        <w:rFonts w:ascii="Trebuchet MS" w:hAnsi="Trebuchet MS"/>
        <w:noProof/>
        <w:sz w:val="16"/>
        <w:szCs w:val="16"/>
      </w:rPr>
      <w:t>15</w:t>
    </w:r>
    <w:r>
      <w:rPr>
        <w:rFonts w:ascii="Trebuchet MS" w:hAnsi="Trebuchet MS"/>
        <w:sz w:val="16"/>
        <w:szCs w:val="16"/>
      </w:rPr>
      <w:fldChar w:fldCharType="end"/>
    </w:r>
  </w:p>
  <w:p w14:paraId="0B6EA407" w14:textId="5277C501"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F40"/>
    <w:multiLevelType w:val="hybridMultilevel"/>
    <w:tmpl w:val="5B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10FC6"/>
    <w:multiLevelType w:val="hybridMultilevel"/>
    <w:tmpl w:val="63A08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537BB"/>
    <w:multiLevelType w:val="hybridMultilevel"/>
    <w:tmpl w:val="974E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11492">
    <w:abstractNumId w:val="8"/>
  </w:num>
  <w:num w:numId="2" w16cid:durableId="1905556926">
    <w:abstractNumId w:val="5"/>
  </w:num>
  <w:num w:numId="3" w16cid:durableId="1216501157">
    <w:abstractNumId w:val="2"/>
  </w:num>
  <w:num w:numId="4" w16cid:durableId="2013533106">
    <w:abstractNumId w:val="4"/>
  </w:num>
  <w:num w:numId="5" w16cid:durableId="1285455606">
    <w:abstractNumId w:val="7"/>
  </w:num>
  <w:num w:numId="6" w16cid:durableId="971448653">
    <w:abstractNumId w:val="3"/>
  </w:num>
  <w:num w:numId="7" w16cid:durableId="772700412">
    <w:abstractNumId w:val="1"/>
  </w:num>
  <w:num w:numId="8" w16cid:durableId="1419139351">
    <w:abstractNumId w:val="10"/>
  </w:num>
  <w:num w:numId="9" w16cid:durableId="1203060091">
    <w:abstractNumId w:val="11"/>
  </w:num>
  <w:num w:numId="10" w16cid:durableId="757798201">
    <w:abstractNumId w:val="6"/>
  </w:num>
  <w:num w:numId="11" w16cid:durableId="945426490">
    <w:abstractNumId w:val="9"/>
  </w:num>
  <w:num w:numId="12" w16cid:durableId="9097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3A84"/>
    <w:rsid w:val="0001362F"/>
    <w:rsid w:val="000176CE"/>
    <w:rsid w:val="00017BCD"/>
    <w:rsid w:val="00023252"/>
    <w:rsid w:val="000239A4"/>
    <w:rsid w:val="00026824"/>
    <w:rsid w:val="0003136D"/>
    <w:rsid w:val="00041E09"/>
    <w:rsid w:val="00052DBB"/>
    <w:rsid w:val="00054D6C"/>
    <w:rsid w:val="000663C7"/>
    <w:rsid w:val="00070D83"/>
    <w:rsid w:val="00070E4D"/>
    <w:rsid w:val="00073324"/>
    <w:rsid w:val="0007387D"/>
    <w:rsid w:val="0008676E"/>
    <w:rsid w:val="00090EF8"/>
    <w:rsid w:val="00092380"/>
    <w:rsid w:val="000A1582"/>
    <w:rsid w:val="000A1B15"/>
    <w:rsid w:val="000B22A3"/>
    <w:rsid w:val="000B3F19"/>
    <w:rsid w:val="000D17B6"/>
    <w:rsid w:val="000D1CE8"/>
    <w:rsid w:val="000D36DA"/>
    <w:rsid w:val="000E30BF"/>
    <w:rsid w:val="000E384B"/>
    <w:rsid w:val="000E3F13"/>
    <w:rsid w:val="000F0078"/>
    <w:rsid w:val="00103549"/>
    <w:rsid w:val="001037EF"/>
    <w:rsid w:val="00116238"/>
    <w:rsid w:val="00126CCA"/>
    <w:rsid w:val="0013724E"/>
    <w:rsid w:val="0014193B"/>
    <w:rsid w:val="0014288E"/>
    <w:rsid w:val="00142C5A"/>
    <w:rsid w:val="00143EC7"/>
    <w:rsid w:val="001609A2"/>
    <w:rsid w:val="0016236D"/>
    <w:rsid w:val="00166607"/>
    <w:rsid w:val="001A00AC"/>
    <w:rsid w:val="001D1DA0"/>
    <w:rsid w:val="001D22D0"/>
    <w:rsid w:val="001E1722"/>
    <w:rsid w:val="001E5BE2"/>
    <w:rsid w:val="0020457C"/>
    <w:rsid w:val="002055D5"/>
    <w:rsid w:val="00211425"/>
    <w:rsid w:val="00224BAB"/>
    <w:rsid w:val="00227309"/>
    <w:rsid w:val="00232F06"/>
    <w:rsid w:val="00240C55"/>
    <w:rsid w:val="00240DE1"/>
    <w:rsid w:val="002415B5"/>
    <w:rsid w:val="0024455D"/>
    <w:rsid w:val="0024640C"/>
    <w:rsid w:val="002471E5"/>
    <w:rsid w:val="00253BA7"/>
    <w:rsid w:val="002541B2"/>
    <w:rsid w:val="00254689"/>
    <w:rsid w:val="002636B7"/>
    <w:rsid w:val="0026508C"/>
    <w:rsid w:val="00271EF3"/>
    <w:rsid w:val="00287E8A"/>
    <w:rsid w:val="00295B22"/>
    <w:rsid w:val="00297711"/>
    <w:rsid w:val="002B25F4"/>
    <w:rsid w:val="002B2F47"/>
    <w:rsid w:val="002C3F11"/>
    <w:rsid w:val="002D0D66"/>
    <w:rsid w:val="002D643F"/>
    <w:rsid w:val="002E238B"/>
    <w:rsid w:val="002F6BEC"/>
    <w:rsid w:val="00304B3D"/>
    <w:rsid w:val="00304B75"/>
    <w:rsid w:val="0031162A"/>
    <w:rsid w:val="003139A7"/>
    <w:rsid w:val="003222C1"/>
    <w:rsid w:val="003230EE"/>
    <w:rsid w:val="00327537"/>
    <w:rsid w:val="00331462"/>
    <w:rsid w:val="00341B87"/>
    <w:rsid w:val="003429B3"/>
    <w:rsid w:val="00346BF0"/>
    <w:rsid w:val="003509E7"/>
    <w:rsid w:val="00352A30"/>
    <w:rsid w:val="003532AD"/>
    <w:rsid w:val="003654E7"/>
    <w:rsid w:val="003808BD"/>
    <w:rsid w:val="0038565E"/>
    <w:rsid w:val="003858EB"/>
    <w:rsid w:val="00387BAD"/>
    <w:rsid w:val="003916CB"/>
    <w:rsid w:val="0039350D"/>
    <w:rsid w:val="003A2962"/>
    <w:rsid w:val="003A56CE"/>
    <w:rsid w:val="003B3245"/>
    <w:rsid w:val="003B5787"/>
    <w:rsid w:val="003C20BE"/>
    <w:rsid w:val="003D2081"/>
    <w:rsid w:val="003E00F8"/>
    <w:rsid w:val="003E0318"/>
    <w:rsid w:val="003E0B52"/>
    <w:rsid w:val="003E187B"/>
    <w:rsid w:val="003E26E3"/>
    <w:rsid w:val="003E5FF6"/>
    <w:rsid w:val="003E623A"/>
    <w:rsid w:val="003E7744"/>
    <w:rsid w:val="003F1AB9"/>
    <w:rsid w:val="003F53A3"/>
    <w:rsid w:val="003F6E53"/>
    <w:rsid w:val="00404F3A"/>
    <w:rsid w:val="0040595B"/>
    <w:rsid w:val="00406CB5"/>
    <w:rsid w:val="004100C1"/>
    <w:rsid w:val="0041108B"/>
    <w:rsid w:val="00412684"/>
    <w:rsid w:val="00424467"/>
    <w:rsid w:val="004270B5"/>
    <w:rsid w:val="004611E1"/>
    <w:rsid w:val="00463571"/>
    <w:rsid w:val="004713C1"/>
    <w:rsid w:val="0047660F"/>
    <w:rsid w:val="004851EF"/>
    <w:rsid w:val="004908D1"/>
    <w:rsid w:val="0049260C"/>
    <w:rsid w:val="00493679"/>
    <w:rsid w:val="004A20AF"/>
    <w:rsid w:val="004A36DB"/>
    <w:rsid w:val="004A6767"/>
    <w:rsid w:val="004B2D3B"/>
    <w:rsid w:val="004B53E8"/>
    <w:rsid w:val="004C6978"/>
    <w:rsid w:val="004D057D"/>
    <w:rsid w:val="004D4560"/>
    <w:rsid w:val="004F0094"/>
    <w:rsid w:val="004F1EBC"/>
    <w:rsid w:val="004F4399"/>
    <w:rsid w:val="004F4C45"/>
    <w:rsid w:val="0050076D"/>
    <w:rsid w:val="00501F79"/>
    <w:rsid w:val="0050325B"/>
    <w:rsid w:val="00506872"/>
    <w:rsid w:val="00510392"/>
    <w:rsid w:val="0051136F"/>
    <w:rsid w:val="0051183F"/>
    <w:rsid w:val="005205C4"/>
    <w:rsid w:val="00526BE2"/>
    <w:rsid w:val="00530C27"/>
    <w:rsid w:val="00536585"/>
    <w:rsid w:val="00544977"/>
    <w:rsid w:val="00552650"/>
    <w:rsid w:val="00560DCF"/>
    <w:rsid w:val="00562173"/>
    <w:rsid w:val="00562DE4"/>
    <w:rsid w:val="005658C1"/>
    <w:rsid w:val="005765D8"/>
    <w:rsid w:val="00584795"/>
    <w:rsid w:val="00585F0B"/>
    <w:rsid w:val="005876E8"/>
    <w:rsid w:val="0059100A"/>
    <w:rsid w:val="00593893"/>
    <w:rsid w:val="005977B6"/>
    <w:rsid w:val="005A74B2"/>
    <w:rsid w:val="005A776B"/>
    <w:rsid w:val="005B09A7"/>
    <w:rsid w:val="005C0576"/>
    <w:rsid w:val="005C1BB6"/>
    <w:rsid w:val="005C4CDA"/>
    <w:rsid w:val="005C612E"/>
    <w:rsid w:val="005D4DCB"/>
    <w:rsid w:val="005D640E"/>
    <w:rsid w:val="005E220A"/>
    <w:rsid w:val="005E37E4"/>
    <w:rsid w:val="005F0889"/>
    <w:rsid w:val="005F12D1"/>
    <w:rsid w:val="005F18CB"/>
    <w:rsid w:val="005F4284"/>
    <w:rsid w:val="005F42AD"/>
    <w:rsid w:val="005F710E"/>
    <w:rsid w:val="006008D9"/>
    <w:rsid w:val="00616C16"/>
    <w:rsid w:val="0064223D"/>
    <w:rsid w:val="00657B9A"/>
    <w:rsid w:val="00661581"/>
    <w:rsid w:val="00665612"/>
    <w:rsid w:val="00666966"/>
    <w:rsid w:val="00666C4E"/>
    <w:rsid w:val="00670D74"/>
    <w:rsid w:val="00675328"/>
    <w:rsid w:val="00675782"/>
    <w:rsid w:val="00691528"/>
    <w:rsid w:val="00691961"/>
    <w:rsid w:val="006A1C83"/>
    <w:rsid w:val="006A44BA"/>
    <w:rsid w:val="006A4543"/>
    <w:rsid w:val="006A4A27"/>
    <w:rsid w:val="006A4DE3"/>
    <w:rsid w:val="006A537A"/>
    <w:rsid w:val="006A706F"/>
    <w:rsid w:val="006B39CF"/>
    <w:rsid w:val="006B3EA8"/>
    <w:rsid w:val="006C4C2B"/>
    <w:rsid w:val="006C7942"/>
    <w:rsid w:val="006D551C"/>
    <w:rsid w:val="006D5D0B"/>
    <w:rsid w:val="006E08A2"/>
    <w:rsid w:val="006E0C7C"/>
    <w:rsid w:val="006E31BB"/>
    <w:rsid w:val="006F7912"/>
    <w:rsid w:val="00700592"/>
    <w:rsid w:val="007013DD"/>
    <w:rsid w:val="00702984"/>
    <w:rsid w:val="00703326"/>
    <w:rsid w:val="00704630"/>
    <w:rsid w:val="0070505F"/>
    <w:rsid w:val="00707854"/>
    <w:rsid w:val="00707BA0"/>
    <w:rsid w:val="00712E80"/>
    <w:rsid w:val="00724E54"/>
    <w:rsid w:val="0073707F"/>
    <w:rsid w:val="007409D2"/>
    <w:rsid w:val="007478C8"/>
    <w:rsid w:val="00751018"/>
    <w:rsid w:val="007560FB"/>
    <w:rsid w:val="00760B5A"/>
    <w:rsid w:val="00762626"/>
    <w:rsid w:val="007674F3"/>
    <w:rsid w:val="007722CF"/>
    <w:rsid w:val="00774F9E"/>
    <w:rsid w:val="007765B5"/>
    <w:rsid w:val="00777E0B"/>
    <w:rsid w:val="00796B8E"/>
    <w:rsid w:val="007A4155"/>
    <w:rsid w:val="007A6688"/>
    <w:rsid w:val="007A6E86"/>
    <w:rsid w:val="007C0CF3"/>
    <w:rsid w:val="007C10D0"/>
    <w:rsid w:val="007C37D8"/>
    <w:rsid w:val="007C3C2D"/>
    <w:rsid w:val="007C57EC"/>
    <w:rsid w:val="007C63CC"/>
    <w:rsid w:val="007C7782"/>
    <w:rsid w:val="007C7ABE"/>
    <w:rsid w:val="007E0B0C"/>
    <w:rsid w:val="007E7620"/>
    <w:rsid w:val="007F31AA"/>
    <w:rsid w:val="007F54E7"/>
    <w:rsid w:val="00801FE5"/>
    <w:rsid w:val="00802325"/>
    <w:rsid w:val="00805077"/>
    <w:rsid w:val="00805ED3"/>
    <w:rsid w:val="0081501C"/>
    <w:rsid w:val="008212B7"/>
    <w:rsid w:val="00822F4D"/>
    <w:rsid w:val="00824B0A"/>
    <w:rsid w:val="0083098E"/>
    <w:rsid w:val="0083363C"/>
    <w:rsid w:val="0083475D"/>
    <w:rsid w:val="00834F5C"/>
    <w:rsid w:val="008353A7"/>
    <w:rsid w:val="00844E2A"/>
    <w:rsid w:val="008562F9"/>
    <w:rsid w:val="00864604"/>
    <w:rsid w:val="00875808"/>
    <w:rsid w:val="00876C43"/>
    <w:rsid w:val="0088018C"/>
    <w:rsid w:val="00882499"/>
    <w:rsid w:val="008932CE"/>
    <w:rsid w:val="00896736"/>
    <w:rsid w:val="008A7636"/>
    <w:rsid w:val="008B00C3"/>
    <w:rsid w:val="008B1409"/>
    <w:rsid w:val="008B3B5C"/>
    <w:rsid w:val="008B41D7"/>
    <w:rsid w:val="008C1AAB"/>
    <w:rsid w:val="008C389A"/>
    <w:rsid w:val="008C4C16"/>
    <w:rsid w:val="008C6A48"/>
    <w:rsid w:val="008D3469"/>
    <w:rsid w:val="008E154A"/>
    <w:rsid w:val="008E6905"/>
    <w:rsid w:val="008F2524"/>
    <w:rsid w:val="008F3773"/>
    <w:rsid w:val="008F5352"/>
    <w:rsid w:val="00911B44"/>
    <w:rsid w:val="009143D6"/>
    <w:rsid w:val="0092232A"/>
    <w:rsid w:val="00925186"/>
    <w:rsid w:val="00925C65"/>
    <w:rsid w:val="0093034B"/>
    <w:rsid w:val="009309D9"/>
    <w:rsid w:val="00935BE9"/>
    <w:rsid w:val="00937A21"/>
    <w:rsid w:val="0094254F"/>
    <w:rsid w:val="00944E67"/>
    <w:rsid w:val="00945F22"/>
    <w:rsid w:val="00954EE2"/>
    <w:rsid w:val="0096276D"/>
    <w:rsid w:val="009655C1"/>
    <w:rsid w:val="00970340"/>
    <w:rsid w:val="0097269D"/>
    <w:rsid w:val="00972803"/>
    <w:rsid w:val="00973482"/>
    <w:rsid w:val="0097780F"/>
    <w:rsid w:val="00981CD6"/>
    <w:rsid w:val="00986A1A"/>
    <w:rsid w:val="009A2BEA"/>
    <w:rsid w:val="009B1883"/>
    <w:rsid w:val="009D1026"/>
    <w:rsid w:val="009D19C3"/>
    <w:rsid w:val="009D5319"/>
    <w:rsid w:val="009D5513"/>
    <w:rsid w:val="009E253F"/>
    <w:rsid w:val="009E4600"/>
    <w:rsid w:val="009E7927"/>
    <w:rsid w:val="009F125A"/>
    <w:rsid w:val="009F3A06"/>
    <w:rsid w:val="009F5BA8"/>
    <w:rsid w:val="009F64E3"/>
    <w:rsid w:val="00A000B3"/>
    <w:rsid w:val="00A028FF"/>
    <w:rsid w:val="00A22182"/>
    <w:rsid w:val="00A22B43"/>
    <w:rsid w:val="00A23B4E"/>
    <w:rsid w:val="00A257C3"/>
    <w:rsid w:val="00A440B9"/>
    <w:rsid w:val="00A5163A"/>
    <w:rsid w:val="00A52D20"/>
    <w:rsid w:val="00A551A8"/>
    <w:rsid w:val="00A56AB4"/>
    <w:rsid w:val="00A60373"/>
    <w:rsid w:val="00A67D9C"/>
    <w:rsid w:val="00A705D2"/>
    <w:rsid w:val="00A72E5B"/>
    <w:rsid w:val="00A824C4"/>
    <w:rsid w:val="00A9181D"/>
    <w:rsid w:val="00A9509A"/>
    <w:rsid w:val="00AA3859"/>
    <w:rsid w:val="00AA6249"/>
    <w:rsid w:val="00AB2998"/>
    <w:rsid w:val="00AB2A1F"/>
    <w:rsid w:val="00AB4425"/>
    <w:rsid w:val="00AC2505"/>
    <w:rsid w:val="00AD2805"/>
    <w:rsid w:val="00AE491E"/>
    <w:rsid w:val="00B02F8C"/>
    <w:rsid w:val="00B161CD"/>
    <w:rsid w:val="00B26FD1"/>
    <w:rsid w:val="00B406EE"/>
    <w:rsid w:val="00B423AF"/>
    <w:rsid w:val="00B467DD"/>
    <w:rsid w:val="00B46A21"/>
    <w:rsid w:val="00B6361F"/>
    <w:rsid w:val="00B715B8"/>
    <w:rsid w:val="00B865B6"/>
    <w:rsid w:val="00B90589"/>
    <w:rsid w:val="00B94107"/>
    <w:rsid w:val="00B97440"/>
    <w:rsid w:val="00BA2688"/>
    <w:rsid w:val="00BB55CE"/>
    <w:rsid w:val="00BB7034"/>
    <w:rsid w:val="00BC070E"/>
    <w:rsid w:val="00BC0BC3"/>
    <w:rsid w:val="00BC49DB"/>
    <w:rsid w:val="00BD0038"/>
    <w:rsid w:val="00BD32CC"/>
    <w:rsid w:val="00BD4513"/>
    <w:rsid w:val="00BD7045"/>
    <w:rsid w:val="00BD7120"/>
    <w:rsid w:val="00BE2D0F"/>
    <w:rsid w:val="00BE3B2C"/>
    <w:rsid w:val="00BE3C4A"/>
    <w:rsid w:val="00BE3DD1"/>
    <w:rsid w:val="00BE483E"/>
    <w:rsid w:val="00BE71FE"/>
    <w:rsid w:val="00BF7763"/>
    <w:rsid w:val="00C04486"/>
    <w:rsid w:val="00C050DB"/>
    <w:rsid w:val="00C1121B"/>
    <w:rsid w:val="00C11ED8"/>
    <w:rsid w:val="00C16B49"/>
    <w:rsid w:val="00C1780C"/>
    <w:rsid w:val="00C17851"/>
    <w:rsid w:val="00C2558D"/>
    <w:rsid w:val="00C30147"/>
    <w:rsid w:val="00C30B63"/>
    <w:rsid w:val="00C323E0"/>
    <w:rsid w:val="00C34204"/>
    <w:rsid w:val="00C51D9F"/>
    <w:rsid w:val="00C64253"/>
    <w:rsid w:val="00C658C2"/>
    <w:rsid w:val="00C66494"/>
    <w:rsid w:val="00C759D5"/>
    <w:rsid w:val="00C811D9"/>
    <w:rsid w:val="00C842C4"/>
    <w:rsid w:val="00C9206C"/>
    <w:rsid w:val="00C94C05"/>
    <w:rsid w:val="00C95092"/>
    <w:rsid w:val="00C958B9"/>
    <w:rsid w:val="00CA0FF9"/>
    <w:rsid w:val="00CA18A7"/>
    <w:rsid w:val="00CA58EE"/>
    <w:rsid w:val="00CB5216"/>
    <w:rsid w:val="00CB61B5"/>
    <w:rsid w:val="00CC045C"/>
    <w:rsid w:val="00CD0BED"/>
    <w:rsid w:val="00CD198A"/>
    <w:rsid w:val="00CD287C"/>
    <w:rsid w:val="00CD5988"/>
    <w:rsid w:val="00CD7216"/>
    <w:rsid w:val="00CE1924"/>
    <w:rsid w:val="00CE27E8"/>
    <w:rsid w:val="00CE574D"/>
    <w:rsid w:val="00D00311"/>
    <w:rsid w:val="00D029F4"/>
    <w:rsid w:val="00D240A5"/>
    <w:rsid w:val="00D25C0D"/>
    <w:rsid w:val="00D26D85"/>
    <w:rsid w:val="00D3103D"/>
    <w:rsid w:val="00D31AC0"/>
    <w:rsid w:val="00D328C0"/>
    <w:rsid w:val="00D3535C"/>
    <w:rsid w:val="00D36617"/>
    <w:rsid w:val="00D51375"/>
    <w:rsid w:val="00D5151F"/>
    <w:rsid w:val="00D54F26"/>
    <w:rsid w:val="00D5510B"/>
    <w:rsid w:val="00D63069"/>
    <w:rsid w:val="00D64930"/>
    <w:rsid w:val="00D652F1"/>
    <w:rsid w:val="00D6680B"/>
    <w:rsid w:val="00D74144"/>
    <w:rsid w:val="00D814FF"/>
    <w:rsid w:val="00D81AA0"/>
    <w:rsid w:val="00D81ABB"/>
    <w:rsid w:val="00D86771"/>
    <w:rsid w:val="00D93ABC"/>
    <w:rsid w:val="00D94E64"/>
    <w:rsid w:val="00D97D91"/>
    <w:rsid w:val="00DA1513"/>
    <w:rsid w:val="00DA63DD"/>
    <w:rsid w:val="00DB521B"/>
    <w:rsid w:val="00DB6E45"/>
    <w:rsid w:val="00DC6493"/>
    <w:rsid w:val="00DD088E"/>
    <w:rsid w:val="00DD23D2"/>
    <w:rsid w:val="00DD5CAE"/>
    <w:rsid w:val="00DE01DA"/>
    <w:rsid w:val="00DE5EBF"/>
    <w:rsid w:val="00E025D2"/>
    <w:rsid w:val="00E10EF7"/>
    <w:rsid w:val="00E24676"/>
    <w:rsid w:val="00E2519E"/>
    <w:rsid w:val="00E25754"/>
    <w:rsid w:val="00E32A8D"/>
    <w:rsid w:val="00E3456E"/>
    <w:rsid w:val="00E56196"/>
    <w:rsid w:val="00E57CD3"/>
    <w:rsid w:val="00E62BE4"/>
    <w:rsid w:val="00E67A2A"/>
    <w:rsid w:val="00E73EBF"/>
    <w:rsid w:val="00E76D4E"/>
    <w:rsid w:val="00E86A34"/>
    <w:rsid w:val="00E86E4B"/>
    <w:rsid w:val="00E87482"/>
    <w:rsid w:val="00E95333"/>
    <w:rsid w:val="00EA04A6"/>
    <w:rsid w:val="00EA1DDC"/>
    <w:rsid w:val="00EA236F"/>
    <w:rsid w:val="00EA44AD"/>
    <w:rsid w:val="00EB1286"/>
    <w:rsid w:val="00EC1155"/>
    <w:rsid w:val="00EC38E5"/>
    <w:rsid w:val="00EC68A9"/>
    <w:rsid w:val="00ED7761"/>
    <w:rsid w:val="00EF1F11"/>
    <w:rsid w:val="00EF2CDC"/>
    <w:rsid w:val="00EF5377"/>
    <w:rsid w:val="00F01E07"/>
    <w:rsid w:val="00F06254"/>
    <w:rsid w:val="00F06A6C"/>
    <w:rsid w:val="00F119C3"/>
    <w:rsid w:val="00F20425"/>
    <w:rsid w:val="00F23D8F"/>
    <w:rsid w:val="00F30FC0"/>
    <w:rsid w:val="00F326C0"/>
    <w:rsid w:val="00F33A6C"/>
    <w:rsid w:val="00F34463"/>
    <w:rsid w:val="00F3710B"/>
    <w:rsid w:val="00F41BF0"/>
    <w:rsid w:val="00F47CA6"/>
    <w:rsid w:val="00F5452F"/>
    <w:rsid w:val="00F57A61"/>
    <w:rsid w:val="00F613C5"/>
    <w:rsid w:val="00F62A90"/>
    <w:rsid w:val="00F7242A"/>
    <w:rsid w:val="00F75494"/>
    <w:rsid w:val="00F75D2E"/>
    <w:rsid w:val="00F84503"/>
    <w:rsid w:val="00F90A08"/>
    <w:rsid w:val="00F93F12"/>
    <w:rsid w:val="00F940AF"/>
    <w:rsid w:val="00F96B65"/>
    <w:rsid w:val="00FB47CD"/>
    <w:rsid w:val="00FB4B5E"/>
    <w:rsid w:val="00FB6615"/>
    <w:rsid w:val="00FC3368"/>
    <w:rsid w:val="00FC48F0"/>
    <w:rsid w:val="00FC6027"/>
    <w:rsid w:val="00FD0BF5"/>
    <w:rsid w:val="00FD6AF5"/>
    <w:rsid w:val="00FD750E"/>
    <w:rsid w:val="00FE2A0F"/>
    <w:rsid w:val="00FE2F5E"/>
    <w:rsid w:val="00FF58F0"/>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0CBE"/>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efault">
    <w:name w:val="Default"/>
    <w:rsid w:val="009E7927"/>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semiHidden/>
    <w:unhideWhenUsed/>
    <w:rsid w:val="00CB52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372312722">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186167581">
      <w:bodyDiv w:val="1"/>
      <w:marLeft w:val="0"/>
      <w:marRight w:val="0"/>
      <w:marTop w:val="0"/>
      <w:marBottom w:val="0"/>
      <w:divBdr>
        <w:top w:val="none" w:sz="0" w:space="0" w:color="auto"/>
        <w:left w:val="none" w:sz="0" w:space="0" w:color="auto"/>
        <w:bottom w:val="none" w:sz="0" w:space="0" w:color="auto"/>
        <w:right w:val="none" w:sz="0" w:space="0" w:color="auto"/>
      </w:divBdr>
    </w:div>
    <w:div w:id="1245800806">
      <w:bodyDiv w:val="1"/>
      <w:marLeft w:val="0"/>
      <w:marRight w:val="0"/>
      <w:marTop w:val="0"/>
      <w:marBottom w:val="0"/>
      <w:divBdr>
        <w:top w:val="none" w:sz="0" w:space="0" w:color="auto"/>
        <w:left w:val="none" w:sz="0" w:space="0" w:color="auto"/>
        <w:bottom w:val="none" w:sz="0" w:space="0" w:color="auto"/>
        <w:right w:val="none" w:sz="0" w:space="0" w:color="auto"/>
      </w:divBdr>
    </w:div>
    <w:div w:id="1735199144">
      <w:bodyDiv w:val="1"/>
      <w:marLeft w:val="0"/>
      <w:marRight w:val="0"/>
      <w:marTop w:val="0"/>
      <w:marBottom w:val="0"/>
      <w:divBdr>
        <w:top w:val="none" w:sz="0" w:space="0" w:color="auto"/>
        <w:left w:val="none" w:sz="0" w:space="0" w:color="auto"/>
        <w:bottom w:val="none" w:sz="0" w:space="0" w:color="auto"/>
        <w:right w:val="none" w:sz="0" w:space="0" w:color="auto"/>
      </w:divBdr>
    </w:div>
    <w:div w:id="1836843937">
      <w:bodyDiv w:val="1"/>
      <w:marLeft w:val="0"/>
      <w:marRight w:val="0"/>
      <w:marTop w:val="0"/>
      <w:marBottom w:val="0"/>
      <w:divBdr>
        <w:top w:val="none" w:sz="0" w:space="0" w:color="auto"/>
        <w:left w:val="none" w:sz="0" w:space="0" w:color="auto"/>
        <w:bottom w:val="none" w:sz="0" w:space="0" w:color="auto"/>
        <w:right w:val="none" w:sz="0" w:space="0" w:color="auto"/>
      </w:divBdr>
      <w:divsChild>
        <w:div w:id="1609695972">
          <w:marLeft w:val="274"/>
          <w:marRight w:val="0"/>
          <w:marTop w:val="0"/>
          <w:marBottom w:val="0"/>
          <w:divBdr>
            <w:top w:val="none" w:sz="0" w:space="0" w:color="auto"/>
            <w:left w:val="none" w:sz="0" w:space="0" w:color="auto"/>
            <w:bottom w:val="none" w:sz="0" w:space="0" w:color="auto"/>
            <w:right w:val="none" w:sz="0" w:space="0" w:color="auto"/>
          </w:divBdr>
        </w:div>
      </w:divsChild>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7686B"/>
    <w:rsid w:val="0018698E"/>
    <w:rsid w:val="00425E5F"/>
    <w:rsid w:val="0051117A"/>
    <w:rsid w:val="005F5FF8"/>
    <w:rsid w:val="00704D72"/>
    <w:rsid w:val="00707FD6"/>
    <w:rsid w:val="00750F82"/>
    <w:rsid w:val="008E1364"/>
    <w:rsid w:val="00943207"/>
    <w:rsid w:val="009D08A8"/>
    <w:rsid w:val="00A54F44"/>
    <w:rsid w:val="00D14FEC"/>
    <w:rsid w:val="00D41BC9"/>
    <w:rsid w:val="00DD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4.xml><?xml version="1.0" encoding="utf-8"?>
<ds:datastoreItem xmlns:ds="http://schemas.openxmlformats.org/officeDocument/2006/customXml" ds:itemID="{D45A3EE5-80A5-413E-9CBD-8F7DCB12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11</cp:revision>
  <cp:lastPrinted>2023-08-04T17:21:00Z</cp:lastPrinted>
  <dcterms:created xsi:type="dcterms:W3CDTF">2023-09-07T13:58:00Z</dcterms:created>
  <dcterms:modified xsi:type="dcterms:W3CDTF">2023-10-19T16:44:00Z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PSLTemplateName">
    <vt:lpwstr>Normal.dotm</vt:lpwstr>
  </property>
</Properties>
</file>