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C74E5" w14:textId="77777777" w:rsidR="001F4F2F" w:rsidRDefault="001F4F2F" w:rsidP="00DA45D2">
      <w:pPr>
        <w:jc w:val="center"/>
        <w:rPr>
          <w:b/>
          <w:bCs/>
          <w:sz w:val="36"/>
          <w:szCs w:val="36"/>
        </w:rPr>
      </w:pPr>
    </w:p>
    <w:p w14:paraId="4C7D4956" w14:textId="77777777" w:rsidR="001F4F2F" w:rsidRDefault="001F4F2F" w:rsidP="00DA45D2">
      <w:pPr>
        <w:jc w:val="center"/>
        <w:rPr>
          <w:b/>
          <w:bCs/>
          <w:sz w:val="36"/>
          <w:szCs w:val="36"/>
        </w:rPr>
      </w:pPr>
    </w:p>
    <w:p w14:paraId="7D734167" w14:textId="77777777" w:rsidR="001F4F2F" w:rsidRDefault="001F4F2F" w:rsidP="00DA45D2">
      <w:pPr>
        <w:jc w:val="center"/>
        <w:rPr>
          <w:b/>
          <w:bCs/>
          <w:sz w:val="36"/>
          <w:szCs w:val="36"/>
        </w:rPr>
      </w:pPr>
    </w:p>
    <w:p w14:paraId="49A11277" w14:textId="77777777" w:rsidR="00DA45D2" w:rsidRDefault="00DA45D2" w:rsidP="00DA45D2">
      <w:pPr>
        <w:jc w:val="center"/>
        <w:rPr>
          <w:b/>
          <w:bCs/>
          <w:sz w:val="36"/>
          <w:szCs w:val="36"/>
        </w:rPr>
      </w:pPr>
      <w:r>
        <w:rPr>
          <w:b/>
          <w:bCs/>
          <w:sz w:val="36"/>
          <w:szCs w:val="36"/>
        </w:rPr>
        <w:t>Attachment 3</w:t>
      </w:r>
    </w:p>
    <w:p w14:paraId="434E376C" w14:textId="77777777" w:rsidR="00DA45D2" w:rsidRDefault="00DA45D2" w:rsidP="00DA45D2">
      <w:pPr>
        <w:jc w:val="center"/>
        <w:rPr>
          <w:b/>
          <w:bCs/>
          <w:sz w:val="36"/>
          <w:szCs w:val="36"/>
        </w:rPr>
      </w:pPr>
      <w:r>
        <w:rPr>
          <w:b/>
          <w:bCs/>
          <w:sz w:val="36"/>
          <w:szCs w:val="36"/>
        </w:rPr>
        <w:t>Certification from Independent Certified Public Accountant</w:t>
      </w:r>
    </w:p>
    <w:p w14:paraId="2AB0FC0F" w14:textId="77777777" w:rsidR="00DA45D2" w:rsidRDefault="00DA45D2" w:rsidP="00DA45D2">
      <w:pPr>
        <w:spacing w:after="160" w:line="259" w:lineRule="auto"/>
        <w:rPr>
          <w:b/>
          <w:bCs/>
          <w:sz w:val="36"/>
          <w:szCs w:val="36"/>
        </w:rPr>
      </w:pPr>
      <w:r>
        <w:rPr>
          <w:b/>
          <w:bCs/>
          <w:sz w:val="36"/>
          <w:szCs w:val="36"/>
        </w:rPr>
        <w:br w:type="page"/>
      </w:r>
    </w:p>
    <w:p w14:paraId="62C28C69" w14:textId="77777777" w:rsidR="00DA45D2" w:rsidRDefault="00DA45D2" w:rsidP="00DA45D2">
      <w:pPr>
        <w:jc w:val="center"/>
        <w:rPr>
          <w:b/>
          <w:bCs/>
          <w:sz w:val="36"/>
          <w:szCs w:val="36"/>
        </w:rPr>
      </w:pPr>
    </w:p>
    <w:sdt>
      <w:sdtPr>
        <w:alias w:val="Cover/Flysheet Client Name"/>
        <w:tag w:val="Cover/Flysheet Client Name"/>
        <w:id w:val="1699735212"/>
        <w:placeholder>
          <w:docPart w:val="1000571DA55B4C1FB38EBE08F184DB07"/>
        </w:placeholder>
      </w:sdtPr>
      <w:sdtContent>
        <w:p w14:paraId="5C91847D" w14:textId="77777777" w:rsidR="00DA45D2" w:rsidRPr="00A23B4E" w:rsidRDefault="00DA45D2" w:rsidP="00DA45D2">
          <w:pPr>
            <w:pStyle w:val="A-CoverTitle"/>
          </w:pPr>
          <w:r w:rsidRPr="00A23B4E">
            <w:t xml:space="preserve">Analysis of the Reasonableness of Assumptions Used For and </w:t>
          </w:r>
        </w:p>
        <w:p w14:paraId="5594A246" w14:textId="77777777" w:rsidR="00DA45D2" w:rsidRPr="00A23B4E" w:rsidRDefault="00DA45D2" w:rsidP="00DA45D2">
          <w:pPr>
            <w:pStyle w:val="A-CoverTitle"/>
          </w:pPr>
          <w:r w:rsidRPr="00A23B4E">
            <w:t>Feasibility of Projected Financials of:</w:t>
          </w:r>
        </w:p>
      </w:sdtContent>
    </w:sdt>
    <w:p w14:paraId="422242BA" w14:textId="77777777" w:rsidR="00DA45D2" w:rsidRPr="00A23B4E" w:rsidRDefault="00DA45D2" w:rsidP="00DA45D2">
      <w:pPr>
        <w:pStyle w:val="A-CoverTitle"/>
      </w:pPr>
    </w:p>
    <w:bookmarkStart w:id="0" w:name="_Hlk26365320" w:displacedByCustomXml="next"/>
    <w:sdt>
      <w:sdtPr>
        <w:rPr>
          <w:sz w:val="24"/>
        </w:rPr>
        <w:alias w:val="Cover/Flysheet Description"/>
        <w:tag w:val="Cover/Flysheet Description"/>
        <w:id w:val="1509566082"/>
        <w:placeholder>
          <w:docPart w:val="1000571DA55B4C1FB38EBE08F184DB07"/>
        </w:placeholder>
      </w:sdtPr>
      <w:sdtContent>
        <w:bookmarkEnd w:id="0" w:displacedByCustomXml="prev"/>
        <w:p w14:paraId="3766B79B" w14:textId="77777777" w:rsidR="00DA45D2" w:rsidRPr="000B22A3" w:rsidRDefault="00DA45D2" w:rsidP="00DA45D2">
          <w:pPr>
            <w:pStyle w:val="A-CoverDescription"/>
          </w:pPr>
          <w:r>
            <w:t xml:space="preserve">UMass Memorial Heath Care, Inc. </w:t>
          </w:r>
        </w:p>
        <w:p w14:paraId="7A9E8D92" w14:textId="77777777" w:rsidR="00DA45D2" w:rsidRPr="000B22A3" w:rsidRDefault="00000000" w:rsidP="00DA45D2">
          <w:pPr>
            <w:pStyle w:val="A-CoverYearEnd"/>
          </w:pPr>
        </w:p>
      </w:sdtContent>
    </w:sdt>
    <w:sdt>
      <w:sdtPr>
        <w:alias w:val="Cover/Flysheet Year End"/>
        <w:tag w:val="Cover/Flysheet Year End"/>
        <w:id w:val="-1501266546"/>
        <w:placeholder>
          <w:docPart w:val="1000571DA55B4C1FB38EBE08F184DB07"/>
        </w:placeholder>
      </w:sdtPr>
      <w:sdtContent>
        <w:p w14:paraId="2FAA1932" w14:textId="77777777" w:rsidR="00DA45D2" w:rsidRPr="00A23B4E" w:rsidRDefault="00DA45D2" w:rsidP="00DA45D2">
          <w:pPr>
            <w:pStyle w:val="A-CoverYearEnd"/>
          </w:pPr>
          <w:r w:rsidRPr="00A23B4E">
            <w:t>For the Years Ending September 30, 202</w:t>
          </w:r>
          <w:r>
            <w:t>4</w:t>
          </w:r>
          <w:r w:rsidRPr="00A23B4E">
            <w:t xml:space="preserve"> </w:t>
          </w:r>
        </w:p>
        <w:p w14:paraId="2B955015" w14:textId="77777777" w:rsidR="00DA45D2" w:rsidRPr="00A23B4E" w:rsidRDefault="00DA45D2" w:rsidP="00DA45D2">
          <w:pPr>
            <w:pStyle w:val="A-CoverYearEnd"/>
          </w:pPr>
          <w:r w:rsidRPr="00A23B4E">
            <w:t>Through September 30, 202</w:t>
          </w:r>
          <w:r>
            <w:t>9</w:t>
          </w:r>
        </w:p>
      </w:sdtContent>
    </w:sdt>
    <w:p w14:paraId="1A2E02F5" w14:textId="77777777" w:rsidR="00DA45D2" w:rsidRPr="00A23B4E" w:rsidRDefault="00DA45D2" w:rsidP="00DA45D2">
      <w:pPr>
        <w:pStyle w:val="A-CoverYearEnd"/>
      </w:pPr>
    </w:p>
    <w:p w14:paraId="624DFC51" w14:textId="77777777" w:rsidR="00DA45D2" w:rsidRPr="00A23B4E" w:rsidRDefault="00DA45D2" w:rsidP="00DA45D2">
      <w:pPr>
        <w:pStyle w:val="A-CoverYearEnd"/>
        <w:rPr>
          <w:highlight w:val="yellow"/>
        </w:rPr>
        <w:sectPr w:rsidR="00DA45D2" w:rsidRPr="00A23B4E" w:rsidSect="00B57D65">
          <w:headerReference w:type="first" r:id="rId9"/>
          <w:pgSz w:w="12240" w:h="15840" w:code="1"/>
          <w:pgMar w:top="720" w:right="1080" w:bottom="720" w:left="1080" w:header="720" w:footer="720" w:gutter="0"/>
          <w:cols w:space="720"/>
          <w:docGrid w:linePitch="299"/>
        </w:sectPr>
      </w:pPr>
    </w:p>
    <w:p w14:paraId="64D5A7D5" w14:textId="77777777" w:rsidR="00DA45D2" w:rsidRPr="00A22182" w:rsidRDefault="00DA45D2" w:rsidP="00DA45D2">
      <w:pPr>
        <w:tabs>
          <w:tab w:val="left" w:pos="2193"/>
        </w:tabs>
        <w:jc w:val="both"/>
        <w:rPr>
          <w:rFonts w:ascii="Trebuchet MS" w:hAnsi="Trebuchet MS"/>
          <w:sz w:val="22"/>
        </w:rPr>
      </w:pPr>
      <w:r>
        <w:rPr>
          <w:rFonts w:ascii="Trebuchet MS" w:hAnsi="Trebuchet MS"/>
          <w:sz w:val="22"/>
        </w:rPr>
        <w:lastRenderedPageBreak/>
        <w:t>February 8, 2024</w:t>
      </w:r>
      <w:r w:rsidRPr="00A22182">
        <w:rPr>
          <w:rFonts w:ascii="Trebuchet MS" w:hAnsi="Trebuchet MS"/>
          <w:sz w:val="22"/>
        </w:rPr>
        <w:tab/>
      </w:r>
    </w:p>
    <w:p w14:paraId="7394929B" w14:textId="77777777" w:rsidR="00DA45D2" w:rsidRPr="00A22182" w:rsidRDefault="00DA45D2" w:rsidP="00DA45D2">
      <w:pPr>
        <w:tabs>
          <w:tab w:val="left" w:pos="4590"/>
        </w:tabs>
        <w:jc w:val="both"/>
        <w:rPr>
          <w:rFonts w:ascii="Trebuchet MS" w:hAnsi="Trebuchet MS"/>
          <w:sz w:val="22"/>
        </w:rPr>
      </w:pPr>
    </w:p>
    <w:p w14:paraId="25C94AA8" w14:textId="77777777" w:rsidR="00DA45D2" w:rsidRPr="00A22182" w:rsidRDefault="00DA45D2" w:rsidP="00DA45D2">
      <w:pPr>
        <w:tabs>
          <w:tab w:val="left" w:pos="4590"/>
        </w:tabs>
        <w:jc w:val="both"/>
        <w:rPr>
          <w:rFonts w:ascii="Trebuchet MS" w:hAnsi="Trebuchet MS"/>
          <w:sz w:val="22"/>
          <w:highlight w:val="yellow"/>
        </w:rPr>
      </w:pPr>
    </w:p>
    <w:p w14:paraId="3641DCBC" w14:textId="77777777" w:rsidR="00DA45D2" w:rsidRPr="00A22182" w:rsidRDefault="00DA45D2" w:rsidP="00DA45D2">
      <w:pPr>
        <w:tabs>
          <w:tab w:val="left" w:pos="4590"/>
        </w:tabs>
        <w:jc w:val="both"/>
        <w:rPr>
          <w:rFonts w:ascii="Trebuchet MS" w:hAnsi="Trebuchet MS"/>
          <w:sz w:val="22"/>
        </w:rPr>
      </w:pPr>
      <w:r w:rsidRPr="00A22182">
        <w:rPr>
          <w:rFonts w:ascii="Trebuchet MS" w:hAnsi="Trebuchet MS"/>
          <w:sz w:val="22"/>
        </w:rPr>
        <w:t>UMass Memorial Healthcare, Inc.</w:t>
      </w:r>
    </w:p>
    <w:p w14:paraId="17BDD9A3" w14:textId="77777777" w:rsidR="00DA45D2" w:rsidRPr="00A22182" w:rsidRDefault="00DA45D2" w:rsidP="00DA45D2">
      <w:pPr>
        <w:tabs>
          <w:tab w:val="left" w:pos="4590"/>
        </w:tabs>
        <w:jc w:val="both"/>
        <w:rPr>
          <w:rFonts w:ascii="Trebuchet MS" w:hAnsi="Trebuchet MS"/>
          <w:sz w:val="22"/>
        </w:rPr>
      </w:pPr>
      <w:r>
        <w:rPr>
          <w:rFonts w:ascii="Trebuchet MS" w:hAnsi="Trebuchet MS"/>
          <w:sz w:val="22"/>
        </w:rPr>
        <w:t xml:space="preserve">Milford Regional Medical Center, Inc. </w:t>
      </w:r>
    </w:p>
    <w:p w14:paraId="695304AD" w14:textId="77777777" w:rsidR="00DA45D2" w:rsidRPr="00A22182" w:rsidRDefault="00DA45D2" w:rsidP="00DA45D2">
      <w:pPr>
        <w:tabs>
          <w:tab w:val="left" w:pos="4590"/>
        </w:tabs>
        <w:jc w:val="both"/>
        <w:rPr>
          <w:rFonts w:ascii="Trebuchet MS" w:hAnsi="Trebuchet MS"/>
          <w:sz w:val="22"/>
        </w:rPr>
      </w:pPr>
      <w:r>
        <w:rPr>
          <w:rFonts w:ascii="Trebuchet MS" w:hAnsi="Trebuchet MS"/>
          <w:sz w:val="22"/>
        </w:rPr>
        <w:t xml:space="preserve">David Bierschied </w:t>
      </w:r>
    </w:p>
    <w:p w14:paraId="30E73F1C" w14:textId="77777777" w:rsidR="00DA45D2" w:rsidRPr="00A22182" w:rsidRDefault="00DA45D2" w:rsidP="00DA45D2">
      <w:pPr>
        <w:tabs>
          <w:tab w:val="left" w:pos="4590"/>
        </w:tabs>
        <w:jc w:val="both"/>
        <w:rPr>
          <w:rFonts w:ascii="Trebuchet MS" w:hAnsi="Trebuchet MS"/>
          <w:sz w:val="22"/>
        </w:rPr>
      </w:pPr>
      <w:r>
        <w:rPr>
          <w:rFonts w:ascii="Trebuchet MS" w:hAnsi="Trebuchet MS"/>
          <w:sz w:val="22"/>
        </w:rPr>
        <w:t xml:space="preserve">Sr. Director of Strategic Planning </w:t>
      </w:r>
    </w:p>
    <w:p w14:paraId="326CDBFB" w14:textId="77777777" w:rsidR="00DA45D2" w:rsidRPr="00A22182" w:rsidRDefault="00DA45D2" w:rsidP="00DA45D2">
      <w:pPr>
        <w:tabs>
          <w:tab w:val="left" w:pos="4590"/>
        </w:tabs>
        <w:jc w:val="both"/>
        <w:rPr>
          <w:rFonts w:ascii="Trebuchet MS" w:hAnsi="Trebuchet MS"/>
          <w:sz w:val="22"/>
        </w:rPr>
      </w:pPr>
      <w:r>
        <w:rPr>
          <w:rFonts w:ascii="Trebuchet MS" w:hAnsi="Trebuchet MS"/>
          <w:sz w:val="22"/>
        </w:rPr>
        <w:t xml:space="preserve">UMass Memorial Health Care, Inc. </w:t>
      </w:r>
    </w:p>
    <w:p w14:paraId="153FF89D" w14:textId="77777777" w:rsidR="00DA45D2" w:rsidRPr="00A22182" w:rsidRDefault="00DA45D2" w:rsidP="00DA45D2">
      <w:pPr>
        <w:tabs>
          <w:tab w:val="left" w:pos="4590"/>
        </w:tabs>
        <w:jc w:val="both"/>
        <w:rPr>
          <w:rFonts w:ascii="Trebuchet MS" w:hAnsi="Trebuchet MS"/>
          <w:sz w:val="22"/>
        </w:rPr>
      </w:pPr>
      <w:r>
        <w:rPr>
          <w:rFonts w:ascii="Trebuchet MS" w:hAnsi="Trebuchet MS"/>
          <w:sz w:val="22"/>
        </w:rPr>
        <w:t>306 Belmont Street</w:t>
      </w:r>
    </w:p>
    <w:p w14:paraId="52315D00" w14:textId="77777777" w:rsidR="00DA45D2" w:rsidRPr="00A22182" w:rsidRDefault="00DA45D2" w:rsidP="00DA45D2">
      <w:pPr>
        <w:tabs>
          <w:tab w:val="left" w:pos="4590"/>
        </w:tabs>
        <w:jc w:val="both"/>
        <w:rPr>
          <w:rFonts w:ascii="Trebuchet MS" w:hAnsi="Trebuchet MS"/>
          <w:sz w:val="22"/>
        </w:rPr>
      </w:pPr>
      <w:r>
        <w:rPr>
          <w:rFonts w:ascii="Trebuchet MS" w:hAnsi="Trebuchet MS"/>
          <w:sz w:val="22"/>
        </w:rPr>
        <w:t>Worcester, MA 01605</w:t>
      </w:r>
    </w:p>
    <w:p w14:paraId="4AC9AB28" w14:textId="77777777" w:rsidR="00DA45D2" w:rsidRPr="00A23B4E" w:rsidRDefault="00DA45D2" w:rsidP="00DA45D2">
      <w:pPr>
        <w:jc w:val="both"/>
        <w:rPr>
          <w:rFonts w:ascii="Trebuchet MS" w:hAnsi="Trebuchet MS"/>
          <w:sz w:val="22"/>
          <w:highlight w:val="yellow"/>
        </w:rPr>
      </w:pPr>
    </w:p>
    <w:p w14:paraId="35B7F56C" w14:textId="77777777" w:rsidR="00DA45D2" w:rsidRPr="000B22A3" w:rsidRDefault="00DA45D2" w:rsidP="00DA45D2">
      <w:pPr>
        <w:jc w:val="both"/>
        <w:rPr>
          <w:rFonts w:ascii="Trebuchet MS" w:hAnsi="Trebuchet MS"/>
          <w:b/>
          <w:sz w:val="22"/>
          <w:lang w:eastAsia="en-GB"/>
        </w:rPr>
      </w:pPr>
    </w:p>
    <w:p w14:paraId="6D4F0C8B" w14:textId="77777777" w:rsidR="00DA45D2" w:rsidRPr="00A22182" w:rsidRDefault="00DA45D2" w:rsidP="00DA45D2">
      <w:pPr>
        <w:pStyle w:val="BDOBODY14ptleading"/>
        <w:ind w:left="720" w:hanging="720"/>
        <w:rPr>
          <w:b/>
          <w:sz w:val="22"/>
          <w:szCs w:val="22"/>
        </w:rPr>
      </w:pPr>
      <w:r w:rsidRPr="00A22182">
        <w:rPr>
          <w:b/>
          <w:sz w:val="22"/>
          <w:szCs w:val="22"/>
        </w:rPr>
        <w:t>RE:</w:t>
      </w:r>
      <w:r w:rsidRPr="00A22182">
        <w:rPr>
          <w:b/>
          <w:sz w:val="22"/>
          <w:szCs w:val="22"/>
        </w:rPr>
        <w:tab/>
        <w:t>Analysis of the Reasonableness of Assumptions and Projections Used to Support the Financial Feasibility and Sustainability of the Proposed Project</w:t>
      </w:r>
    </w:p>
    <w:p w14:paraId="0CA1284F" w14:textId="77777777" w:rsidR="00DA45D2" w:rsidRPr="00A23B4E" w:rsidRDefault="00DA45D2" w:rsidP="00DA45D2">
      <w:pPr>
        <w:tabs>
          <w:tab w:val="left" w:pos="720"/>
          <w:tab w:val="left" w:pos="1440"/>
          <w:tab w:val="left" w:pos="2160"/>
          <w:tab w:val="left" w:pos="2880"/>
          <w:tab w:val="left" w:pos="3600"/>
          <w:tab w:val="left" w:pos="4320"/>
          <w:tab w:val="left" w:pos="5040"/>
          <w:tab w:val="left" w:pos="5760"/>
          <w:tab w:val="left" w:pos="6127"/>
        </w:tabs>
        <w:ind w:left="720" w:hanging="720"/>
        <w:jc w:val="both"/>
        <w:rPr>
          <w:rFonts w:ascii="Trebuchet MS" w:hAnsi="Trebuchet MS"/>
          <w:sz w:val="22"/>
        </w:rPr>
      </w:pPr>
    </w:p>
    <w:p w14:paraId="1D942343" w14:textId="77777777" w:rsidR="00DA45D2" w:rsidRPr="00A23B4E" w:rsidRDefault="00DA45D2" w:rsidP="00DA45D2">
      <w:pPr>
        <w:tabs>
          <w:tab w:val="left" w:pos="7383"/>
        </w:tabs>
        <w:jc w:val="both"/>
        <w:rPr>
          <w:rFonts w:ascii="Trebuchet MS" w:hAnsi="Trebuchet MS"/>
          <w:sz w:val="22"/>
        </w:rPr>
      </w:pPr>
      <w:r w:rsidRPr="00A23B4E">
        <w:rPr>
          <w:rFonts w:ascii="Trebuchet MS" w:hAnsi="Trebuchet MS"/>
          <w:sz w:val="22"/>
        </w:rPr>
        <w:tab/>
      </w:r>
    </w:p>
    <w:p w14:paraId="57197C88" w14:textId="77777777" w:rsidR="00DA45D2" w:rsidRPr="00A22182" w:rsidRDefault="00DA45D2" w:rsidP="00DA45D2">
      <w:pPr>
        <w:jc w:val="both"/>
        <w:rPr>
          <w:rFonts w:ascii="Trebuchet MS" w:hAnsi="Trebuchet MS"/>
          <w:sz w:val="22"/>
        </w:rPr>
      </w:pPr>
      <w:r w:rsidRPr="00A22182">
        <w:rPr>
          <w:rFonts w:ascii="Trebuchet MS" w:hAnsi="Trebuchet MS"/>
          <w:sz w:val="22"/>
        </w:rPr>
        <w:t xml:space="preserve">Dear Mr. </w:t>
      </w:r>
      <w:r>
        <w:rPr>
          <w:rFonts w:ascii="Trebuchet MS" w:hAnsi="Trebuchet MS"/>
          <w:sz w:val="22"/>
        </w:rPr>
        <w:t xml:space="preserve">Bierschied </w:t>
      </w:r>
      <w:r w:rsidRPr="00A22182">
        <w:rPr>
          <w:rFonts w:ascii="Trebuchet MS" w:hAnsi="Trebuchet MS"/>
          <w:sz w:val="22"/>
        </w:rPr>
        <w:t>:</w:t>
      </w:r>
    </w:p>
    <w:p w14:paraId="07CB5A48" w14:textId="77777777" w:rsidR="00DA45D2" w:rsidRPr="00A22182" w:rsidRDefault="00DA45D2" w:rsidP="00DA45D2">
      <w:pPr>
        <w:pStyle w:val="BodyText"/>
        <w:rPr>
          <w:rFonts w:ascii="Trebuchet MS" w:hAnsi="Trebuchet MS"/>
          <w:sz w:val="22"/>
          <w:szCs w:val="22"/>
        </w:rPr>
      </w:pPr>
    </w:p>
    <w:p w14:paraId="1F532CB6" w14:textId="77777777" w:rsidR="00DA45D2" w:rsidRPr="00A22182" w:rsidRDefault="00DA45D2" w:rsidP="00DA45D2">
      <w:pPr>
        <w:pStyle w:val="BodyText"/>
        <w:rPr>
          <w:rFonts w:ascii="Trebuchet MS" w:hAnsi="Trebuchet MS"/>
          <w:sz w:val="22"/>
          <w:szCs w:val="22"/>
        </w:rPr>
      </w:pPr>
    </w:p>
    <w:p w14:paraId="54E71091" w14:textId="77777777" w:rsidR="00DA45D2" w:rsidRPr="00A22182" w:rsidRDefault="00DA45D2" w:rsidP="00DA45D2">
      <w:pPr>
        <w:ind w:left="720"/>
        <w:jc w:val="both"/>
        <w:rPr>
          <w:rFonts w:ascii="Trebuchet MS" w:hAnsi="Trebuchet MS"/>
          <w:b/>
          <w:sz w:val="22"/>
        </w:rPr>
      </w:pPr>
      <w:r w:rsidRPr="00A22182">
        <w:rPr>
          <w:rFonts w:ascii="Trebuchet MS" w:hAnsi="Trebuchet MS"/>
          <w:sz w:val="22"/>
        </w:rPr>
        <w:t>Enclosed is a copy of our report on the reasonableness of assumptions used for and feasibility of the financial projections for UMass Memorial Healthcare, Inc. Please contact me to discuss this report once you have had an opportunity to review.</w:t>
      </w:r>
    </w:p>
    <w:p w14:paraId="3F736B55" w14:textId="77777777" w:rsidR="00DA45D2" w:rsidRPr="00A22182" w:rsidRDefault="00DA45D2" w:rsidP="00DA45D2">
      <w:pPr>
        <w:pStyle w:val="BodyText"/>
        <w:rPr>
          <w:rFonts w:ascii="Trebuchet MS" w:hAnsi="Trebuchet MS"/>
          <w:sz w:val="22"/>
          <w:szCs w:val="22"/>
          <w:highlight w:val="yellow"/>
        </w:rPr>
      </w:pPr>
    </w:p>
    <w:p w14:paraId="49E981DB" w14:textId="77777777" w:rsidR="00DA45D2" w:rsidRPr="00A22182" w:rsidRDefault="00DA45D2" w:rsidP="00DA45D2">
      <w:pPr>
        <w:pStyle w:val="BodyText"/>
        <w:rPr>
          <w:rFonts w:ascii="Trebuchet MS" w:hAnsi="Trebuchet MS"/>
          <w:sz w:val="22"/>
          <w:szCs w:val="22"/>
          <w:highlight w:val="yellow"/>
        </w:rPr>
      </w:pPr>
    </w:p>
    <w:p w14:paraId="1E279091" w14:textId="77777777" w:rsidR="00DA45D2" w:rsidRPr="00A22182" w:rsidRDefault="00DA45D2" w:rsidP="00DA45D2">
      <w:pPr>
        <w:jc w:val="both"/>
        <w:rPr>
          <w:rFonts w:ascii="Trebuchet MS" w:hAnsi="Trebuchet MS"/>
          <w:sz w:val="22"/>
        </w:rPr>
      </w:pPr>
    </w:p>
    <w:p w14:paraId="6EE1D4A1" w14:textId="77777777" w:rsidR="00DA45D2" w:rsidRPr="00A22182" w:rsidRDefault="00DA45D2" w:rsidP="00DA45D2">
      <w:pPr>
        <w:jc w:val="both"/>
        <w:rPr>
          <w:rFonts w:ascii="Trebuchet MS" w:hAnsi="Trebuchet MS"/>
          <w:sz w:val="22"/>
        </w:rPr>
      </w:pPr>
      <w:r w:rsidRPr="00A22182">
        <w:rPr>
          <w:rFonts w:ascii="Trebuchet MS" w:hAnsi="Trebuchet MS"/>
          <w:sz w:val="22"/>
        </w:rPr>
        <w:t>Sincerely,</w:t>
      </w:r>
    </w:p>
    <w:p w14:paraId="68A7090A" w14:textId="77777777" w:rsidR="00DA45D2" w:rsidRPr="00A23B4E" w:rsidRDefault="00DA45D2" w:rsidP="00DA45D2">
      <w:pPr>
        <w:tabs>
          <w:tab w:val="left" w:pos="4590"/>
        </w:tabs>
        <w:jc w:val="both"/>
        <w:rPr>
          <w:rFonts w:ascii="Trebuchet MS" w:hAnsi="Trebuchet MS"/>
          <w:sz w:val="22"/>
        </w:rPr>
      </w:pPr>
    </w:p>
    <w:p w14:paraId="6B12BBD7" w14:textId="77777777" w:rsidR="00DA45D2" w:rsidRPr="00A23B4E" w:rsidRDefault="00DA45D2" w:rsidP="00DA45D2">
      <w:pPr>
        <w:tabs>
          <w:tab w:val="left" w:pos="4590"/>
        </w:tabs>
        <w:jc w:val="both"/>
        <w:rPr>
          <w:rFonts w:ascii="Trebuchet MS" w:hAnsi="Trebuchet MS"/>
          <w:sz w:val="22"/>
          <w:highlight w:val="yellow"/>
        </w:rPr>
      </w:pPr>
    </w:p>
    <w:p w14:paraId="48BD26EF" w14:textId="77777777" w:rsidR="00DA45D2" w:rsidRPr="00A23B4E" w:rsidRDefault="00DA45D2" w:rsidP="00DA45D2">
      <w:pPr>
        <w:tabs>
          <w:tab w:val="left" w:pos="4590"/>
        </w:tabs>
        <w:jc w:val="both"/>
        <w:rPr>
          <w:rFonts w:ascii="Trebuchet MS" w:hAnsi="Trebuchet MS"/>
          <w:sz w:val="22"/>
          <w:highlight w:val="yellow"/>
        </w:rPr>
      </w:pPr>
    </w:p>
    <w:p w14:paraId="09B9059C" w14:textId="77777777" w:rsidR="00DA45D2" w:rsidRPr="00A23B4E" w:rsidRDefault="00DA45D2" w:rsidP="00DA45D2">
      <w:pPr>
        <w:tabs>
          <w:tab w:val="left" w:pos="4590"/>
        </w:tabs>
        <w:jc w:val="both"/>
        <w:rPr>
          <w:rFonts w:ascii="Trebuchet MS" w:hAnsi="Trebuchet MS"/>
          <w:sz w:val="22"/>
          <w:highlight w:val="yellow"/>
        </w:rPr>
        <w:sectPr w:rsidR="00DA45D2" w:rsidRPr="00A23B4E" w:rsidSect="00B57D65">
          <w:headerReference w:type="even" r:id="rId10"/>
          <w:headerReference w:type="default" r:id="rId11"/>
          <w:footerReference w:type="default" r:id="rId12"/>
          <w:headerReference w:type="first" r:id="rId13"/>
          <w:pgSz w:w="12240" w:h="15840"/>
          <w:pgMar w:top="720" w:right="1080" w:bottom="720" w:left="1080" w:header="792" w:footer="720" w:gutter="0"/>
          <w:cols w:space="720"/>
          <w:docGrid w:linePitch="360"/>
        </w:sectPr>
      </w:pPr>
    </w:p>
    <w:p w14:paraId="1A18F389" w14:textId="77777777" w:rsidR="00DA45D2" w:rsidRPr="00A22182" w:rsidRDefault="00DA45D2" w:rsidP="00DA45D2">
      <w:pPr>
        <w:tabs>
          <w:tab w:val="left" w:pos="-720"/>
        </w:tabs>
        <w:suppressAutoHyphens/>
        <w:jc w:val="center"/>
        <w:rPr>
          <w:rFonts w:ascii="Trebuchet MS" w:hAnsi="Trebuchet MS"/>
          <w:b/>
          <w:spacing w:val="-3"/>
          <w:sz w:val="22"/>
        </w:rPr>
      </w:pPr>
      <w:r w:rsidRPr="00A22182">
        <w:rPr>
          <w:rFonts w:ascii="Trebuchet MS" w:hAnsi="Trebuchet MS"/>
          <w:b/>
          <w:spacing w:val="-3"/>
          <w:sz w:val="22"/>
        </w:rPr>
        <w:lastRenderedPageBreak/>
        <w:t>TABLE OF CONTENTS</w:t>
      </w:r>
    </w:p>
    <w:p w14:paraId="4A439BA5" w14:textId="77777777" w:rsidR="00DA45D2" w:rsidRPr="00A22182" w:rsidRDefault="00DA45D2" w:rsidP="00DA45D2">
      <w:pPr>
        <w:tabs>
          <w:tab w:val="left" w:pos="-720"/>
        </w:tabs>
        <w:suppressAutoHyphens/>
        <w:jc w:val="center"/>
        <w:rPr>
          <w:rFonts w:ascii="Trebuchet MS" w:hAnsi="Trebuchet MS"/>
          <w:spacing w:val="-3"/>
          <w:sz w:val="22"/>
          <w:highlight w:val="yellow"/>
        </w:rPr>
      </w:pPr>
    </w:p>
    <w:p w14:paraId="1EB6F0B8" w14:textId="77777777" w:rsidR="00DA45D2" w:rsidRPr="00A22182" w:rsidRDefault="00DA45D2" w:rsidP="00DA45D2">
      <w:pPr>
        <w:tabs>
          <w:tab w:val="left" w:pos="-720"/>
        </w:tabs>
        <w:suppressAutoHyphens/>
        <w:jc w:val="center"/>
        <w:rPr>
          <w:rFonts w:ascii="Trebuchet MS" w:hAnsi="Trebuchet MS"/>
          <w:spacing w:val="-3"/>
          <w:sz w:val="22"/>
          <w:highlight w:val="yellow"/>
        </w:rPr>
      </w:pPr>
    </w:p>
    <w:p w14:paraId="6B3D8C45" w14:textId="77777777" w:rsidR="00DA45D2" w:rsidRPr="00A22182" w:rsidRDefault="00DA45D2" w:rsidP="00DA45D2">
      <w:pPr>
        <w:tabs>
          <w:tab w:val="left" w:pos="-720"/>
        </w:tabs>
        <w:suppressAutoHyphens/>
        <w:jc w:val="center"/>
        <w:rPr>
          <w:rFonts w:ascii="Trebuchet MS" w:hAnsi="Trebuchet MS"/>
          <w:spacing w:val="-3"/>
          <w:sz w:val="22"/>
          <w:highlight w:val="yellow"/>
        </w:rPr>
      </w:pPr>
    </w:p>
    <w:p w14:paraId="333B3392" w14:textId="77777777" w:rsidR="00DA45D2" w:rsidRPr="00A22182" w:rsidRDefault="00DA45D2" w:rsidP="00DA45D2">
      <w:pPr>
        <w:tabs>
          <w:tab w:val="left" w:pos="-720"/>
        </w:tabs>
        <w:suppressAutoHyphens/>
        <w:jc w:val="right"/>
        <w:rPr>
          <w:rFonts w:ascii="Trebuchet MS" w:hAnsi="Trebuchet MS"/>
          <w:spacing w:val="-3"/>
          <w:sz w:val="22"/>
        </w:rPr>
      </w:pPr>
      <w:r w:rsidRPr="00A22182">
        <w:rPr>
          <w:rFonts w:ascii="Trebuchet MS" w:hAnsi="Trebuchet MS"/>
          <w:spacing w:val="-3"/>
          <w:sz w:val="22"/>
        </w:rPr>
        <w:t>Page</w:t>
      </w:r>
    </w:p>
    <w:p w14:paraId="01362F4D" w14:textId="77777777" w:rsidR="00DA45D2" w:rsidRPr="00A22182" w:rsidRDefault="00DA45D2" w:rsidP="00DA45D2">
      <w:pPr>
        <w:tabs>
          <w:tab w:val="left" w:leader="dot" w:pos="9000"/>
          <w:tab w:val="right" w:pos="9360"/>
        </w:tabs>
        <w:suppressAutoHyphens/>
        <w:spacing w:before="480"/>
        <w:ind w:left="720" w:right="720" w:hanging="720"/>
        <w:rPr>
          <w:rFonts w:ascii="Trebuchet MS" w:hAnsi="Trebuchet MS"/>
          <w:spacing w:val="-3"/>
          <w:sz w:val="22"/>
        </w:rPr>
      </w:pPr>
      <w:r w:rsidRPr="00A22182">
        <w:rPr>
          <w:rFonts w:ascii="Trebuchet MS" w:hAnsi="Trebuchet MS"/>
          <w:spacing w:val="-3"/>
          <w:sz w:val="22"/>
        </w:rPr>
        <w:t xml:space="preserve">I. </w:t>
      </w:r>
      <w:r w:rsidRPr="00A22182">
        <w:rPr>
          <w:rFonts w:ascii="Trebuchet MS" w:hAnsi="Trebuchet MS"/>
          <w:spacing w:val="-3"/>
          <w:sz w:val="22"/>
        </w:rPr>
        <w:tab/>
        <w:t>EXECUTIVE SUMMARY</w:t>
      </w:r>
      <w:r w:rsidRPr="00A22182">
        <w:rPr>
          <w:rFonts w:ascii="Trebuchet MS" w:hAnsi="Trebuchet MS"/>
          <w:spacing w:val="-3"/>
          <w:sz w:val="22"/>
        </w:rPr>
        <w:tab/>
      </w:r>
      <w:r>
        <w:rPr>
          <w:rFonts w:ascii="Trebuchet MS" w:hAnsi="Trebuchet MS"/>
          <w:spacing w:val="-3"/>
          <w:sz w:val="22"/>
        </w:rPr>
        <w:t>2</w:t>
      </w:r>
    </w:p>
    <w:p w14:paraId="16C1467C" w14:textId="77777777" w:rsidR="00DA45D2" w:rsidRPr="00A22182" w:rsidRDefault="00DA45D2" w:rsidP="00DA45D2">
      <w:pPr>
        <w:tabs>
          <w:tab w:val="left" w:leader="dot" w:pos="9000"/>
          <w:tab w:val="right" w:pos="9360"/>
        </w:tabs>
        <w:suppressAutoHyphens/>
        <w:spacing w:before="480"/>
        <w:ind w:left="720" w:right="720" w:hanging="720"/>
        <w:rPr>
          <w:rFonts w:ascii="Trebuchet MS" w:hAnsi="Trebuchet MS"/>
          <w:spacing w:val="-3"/>
          <w:sz w:val="22"/>
        </w:rPr>
      </w:pPr>
      <w:r w:rsidRPr="00A22182">
        <w:rPr>
          <w:rFonts w:ascii="Trebuchet MS" w:hAnsi="Trebuchet MS"/>
          <w:sz w:val="22"/>
        </w:rPr>
        <w:t xml:space="preserve">II. </w:t>
      </w:r>
      <w:r w:rsidRPr="00A22182">
        <w:rPr>
          <w:rFonts w:ascii="Trebuchet MS" w:hAnsi="Trebuchet MS"/>
          <w:sz w:val="22"/>
        </w:rPr>
        <w:tab/>
        <w:t>RELEVANT BACKGROUND INFORMATION</w:t>
      </w:r>
      <w:r w:rsidRPr="00A22182">
        <w:rPr>
          <w:rFonts w:ascii="Trebuchet MS" w:hAnsi="Trebuchet MS"/>
          <w:spacing w:val="-3"/>
          <w:sz w:val="22"/>
        </w:rPr>
        <w:tab/>
        <w:t>2</w:t>
      </w:r>
    </w:p>
    <w:p w14:paraId="0FB9CEA7" w14:textId="77777777" w:rsidR="00DA45D2" w:rsidRPr="00A22182" w:rsidRDefault="00DA45D2" w:rsidP="00DA45D2">
      <w:pPr>
        <w:tabs>
          <w:tab w:val="left" w:leader="dot" w:pos="9000"/>
          <w:tab w:val="right" w:pos="9360"/>
        </w:tabs>
        <w:suppressAutoHyphens/>
        <w:spacing w:before="480"/>
        <w:ind w:left="720" w:right="720" w:hanging="720"/>
        <w:rPr>
          <w:rFonts w:ascii="Trebuchet MS" w:hAnsi="Trebuchet MS"/>
          <w:spacing w:val="-3"/>
          <w:sz w:val="22"/>
        </w:rPr>
      </w:pPr>
      <w:r w:rsidRPr="00A22182">
        <w:rPr>
          <w:rFonts w:ascii="Trebuchet MS" w:hAnsi="Trebuchet MS"/>
          <w:spacing w:val="-3"/>
          <w:sz w:val="22"/>
        </w:rPr>
        <w:t xml:space="preserve">III. </w:t>
      </w:r>
      <w:r w:rsidRPr="00A22182">
        <w:rPr>
          <w:rFonts w:ascii="Trebuchet MS" w:hAnsi="Trebuchet MS"/>
          <w:spacing w:val="-3"/>
          <w:sz w:val="22"/>
        </w:rPr>
        <w:tab/>
      </w:r>
      <w:r w:rsidRPr="00A22182">
        <w:rPr>
          <w:rFonts w:ascii="Trebuchet MS" w:hAnsi="Trebuchet MS"/>
          <w:sz w:val="22"/>
        </w:rPr>
        <w:t>SCOPE OF REPORT</w:t>
      </w:r>
      <w:r w:rsidRPr="00A22182">
        <w:rPr>
          <w:rFonts w:ascii="Trebuchet MS" w:hAnsi="Trebuchet MS"/>
          <w:spacing w:val="-3"/>
          <w:sz w:val="22"/>
        </w:rPr>
        <w:tab/>
      </w:r>
      <w:r>
        <w:rPr>
          <w:rFonts w:ascii="Trebuchet MS" w:hAnsi="Trebuchet MS"/>
          <w:spacing w:val="-3"/>
          <w:sz w:val="22"/>
        </w:rPr>
        <w:t>6</w:t>
      </w:r>
    </w:p>
    <w:p w14:paraId="6639A635" w14:textId="77777777" w:rsidR="00DA45D2" w:rsidRPr="00A22182" w:rsidRDefault="00DA45D2" w:rsidP="00DA45D2">
      <w:pPr>
        <w:tabs>
          <w:tab w:val="left" w:leader="dot" w:pos="9000"/>
          <w:tab w:val="right" w:pos="9360"/>
        </w:tabs>
        <w:suppressAutoHyphens/>
        <w:spacing w:before="480"/>
        <w:ind w:left="720" w:right="720" w:hanging="720"/>
        <w:rPr>
          <w:rFonts w:ascii="Trebuchet MS" w:hAnsi="Trebuchet MS"/>
          <w:spacing w:val="-3"/>
          <w:sz w:val="22"/>
        </w:rPr>
      </w:pPr>
      <w:r w:rsidRPr="00A22182">
        <w:rPr>
          <w:rFonts w:ascii="Trebuchet MS" w:hAnsi="Trebuchet MS"/>
          <w:spacing w:val="-3"/>
          <w:sz w:val="22"/>
        </w:rPr>
        <w:t xml:space="preserve">IV. </w:t>
      </w:r>
      <w:r w:rsidRPr="00A22182">
        <w:rPr>
          <w:rFonts w:ascii="Trebuchet MS" w:hAnsi="Trebuchet MS"/>
          <w:spacing w:val="-3"/>
          <w:sz w:val="22"/>
        </w:rPr>
        <w:tab/>
      </w:r>
      <w:r w:rsidRPr="00A22182">
        <w:rPr>
          <w:rFonts w:ascii="Trebuchet MS" w:hAnsi="Trebuchet MS"/>
          <w:sz w:val="22"/>
        </w:rPr>
        <w:t>SOURCES OF INFORMATION UTILIZED</w:t>
      </w:r>
      <w:r w:rsidRPr="00A22182">
        <w:rPr>
          <w:rFonts w:ascii="Trebuchet MS" w:hAnsi="Trebuchet MS"/>
          <w:spacing w:val="-3"/>
          <w:sz w:val="22"/>
        </w:rPr>
        <w:tab/>
      </w:r>
      <w:r>
        <w:rPr>
          <w:rFonts w:ascii="Trebuchet MS" w:hAnsi="Trebuchet MS"/>
          <w:spacing w:val="-3"/>
          <w:sz w:val="22"/>
        </w:rPr>
        <w:t>7</w:t>
      </w:r>
    </w:p>
    <w:p w14:paraId="4CAA3707" w14:textId="77777777" w:rsidR="00DA45D2" w:rsidRPr="00A22182" w:rsidRDefault="00DA45D2" w:rsidP="00DA45D2">
      <w:pPr>
        <w:tabs>
          <w:tab w:val="left" w:leader="dot" w:pos="9000"/>
          <w:tab w:val="right" w:pos="9360"/>
        </w:tabs>
        <w:suppressAutoHyphens/>
        <w:spacing w:before="480"/>
        <w:ind w:left="720" w:right="720" w:hanging="720"/>
        <w:rPr>
          <w:rFonts w:ascii="Trebuchet MS" w:hAnsi="Trebuchet MS"/>
          <w:spacing w:val="-3"/>
          <w:sz w:val="22"/>
        </w:rPr>
      </w:pPr>
      <w:r w:rsidRPr="00A22182">
        <w:rPr>
          <w:rFonts w:ascii="Trebuchet MS" w:hAnsi="Trebuchet MS"/>
          <w:spacing w:val="-3"/>
          <w:sz w:val="22"/>
        </w:rPr>
        <w:t xml:space="preserve">V. </w:t>
      </w:r>
      <w:r w:rsidRPr="00A22182">
        <w:rPr>
          <w:rFonts w:ascii="Trebuchet MS" w:hAnsi="Trebuchet MS"/>
          <w:spacing w:val="-3"/>
          <w:sz w:val="22"/>
        </w:rPr>
        <w:tab/>
        <w:t>REVIEW OF THE PROJECTIONS</w:t>
      </w:r>
      <w:r w:rsidRPr="00A22182">
        <w:rPr>
          <w:rFonts w:ascii="Trebuchet MS" w:hAnsi="Trebuchet MS"/>
          <w:spacing w:val="-3"/>
          <w:sz w:val="22"/>
        </w:rPr>
        <w:tab/>
      </w:r>
      <w:r>
        <w:rPr>
          <w:rFonts w:ascii="Trebuchet MS" w:hAnsi="Trebuchet MS"/>
          <w:spacing w:val="-3"/>
          <w:sz w:val="22"/>
        </w:rPr>
        <w:t>8</w:t>
      </w:r>
    </w:p>
    <w:p w14:paraId="390DDBC3" w14:textId="77777777" w:rsidR="00DA45D2" w:rsidRPr="00A22182" w:rsidRDefault="00DA45D2" w:rsidP="00DA45D2">
      <w:pPr>
        <w:tabs>
          <w:tab w:val="left" w:leader="dot" w:pos="9000"/>
          <w:tab w:val="right" w:pos="9360"/>
        </w:tabs>
        <w:suppressAutoHyphens/>
        <w:spacing w:before="480"/>
        <w:ind w:left="720" w:right="720" w:hanging="720"/>
        <w:rPr>
          <w:rFonts w:ascii="Trebuchet MS" w:hAnsi="Trebuchet MS"/>
          <w:spacing w:val="-3"/>
          <w:sz w:val="22"/>
        </w:rPr>
      </w:pPr>
      <w:r w:rsidRPr="00A22182">
        <w:rPr>
          <w:rFonts w:ascii="Trebuchet MS" w:hAnsi="Trebuchet MS"/>
          <w:spacing w:val="-3"/>
          <w:sz w:val="22"/>
        </w:rPr>
        <w:t xml:space="preserve">VI. </w:t>
      </w:r>
      <w:r w:rsidRPr="00A22182">
        <w:rPr>
          <w:rFonts w:ascii="Trebuchet MS" w:hAnsi="Trebuchet MS"/>
          <w:spacing w:val="-3"/>
          <w:sz w:val="22"/>
        </w:rPr>
        <w:tab/>
      </w:r>
      <w:r w:rsidRPr="00A22182">
        <w:rPr>
          <w:rFonts w:ascii="Trebuchet MS" w:hAnsi="Trebuchet MS"/>
          <w:sz w:val="22"/>
        </w:rPr>
        <w:t>FEASIBILITY</w:t>
      </w:r>
      <w:r w:rsidRPr="00A22182">
        <w:rPr>
          <w:rFonts w:ascii="Trebuchet MS" w:hAnsi="Trebuchet MS"/>
          <w:spacing w:val="-3"/>
          <w:sz w:val="22"/>
        </w:rPr>
        <w:tab/>
        <w:t>1</w:t>
      </w:r>
      <w:r>
        <w:rPr>
          <w:rFonts w:ascii="Trebuchet MS" w:hAnsi="Trebuchet MS"/>
          <w:spacing w:val="-3"/>
          <w:sz w:val="22"/>
        </w:rPr>
        <w:t>4</w:t>
      </w:r>
    </w:p>
    <w:p w14:paraId="63B4A7F9" w14:textId="77777777" w:rsidR="00DA45D2" w:rsidRPr="00A22182" w:rsidRDefault="00DA45D2" w:rsidP="00DA45D2">
      <w:pPr>
        <w:tabs>
          <w:tab w:val="left" w:leader="dot" w:pos="9000"/>
          <w:tab w:val="right" w:pos="9360"/>
        </w:tabs>
        <w:suppressAutoHyphens/>
        <w:spacing w:before="480"/>
        <w:ind w:left="720" w:right="720" w:hanging="720"/>
        <w:rPr>
          <w:rFonts w:ascii="Trebuchet MS" w:hAnsi="Trebuchet MS"/>
          <w:spacing w:val="-3"/>
          <w:sz w:val="22"/>
          <w:highlight w:val="yellow"/>
        </w:rPr>
      </w:pPr>
    </w:p>
    <w:p w14:paraId="5469AE92" w14:textId="77777777" w:rsidR="00DA45D2" w:rsidRPr="00A23B4E" w:rsidRDefault="00DA45D2" w:rsidP="00DA45D2">
      <w:pPr>
        <w:tabs>
          <w:tab w:val="left" w:pos="-720"/>
        </w:tabs>
        <w:suppressAutoHyphens/>
        <w:rPr>
          <w:rFonts w:ascii="Trebuchet MS" w:hAnsi="Trebuchet MS"/>
          <w:b/>
          <w:spacing w:val="-3"/>
          <w:sz w:val="22"/>
          <w:highlight w:val="yellow"/>
        </w:rPr>
        <w:sectPr w:rsidR="00DA45D2" w:rsidRPr="00A23B4E" w:rsidSect="00B57D65">
          <w:headerReference w:type="even" r:id="rId14"/>
          <w:headerReference w:type="default" r:id="rId15"/>
          <w:footerReference w:type="default" r:id="rId16"/>
          <w:headerReference w:type="first" r:id="rId17"/>
          <w:pgSz w:w="12240" w:h="15840"/>
          <w:pgMar w:top="720" w:right="1080" w:bottom="720" w:left="1080" w:header="720" w:footer="720" w:gutter="0"/>
          <w:pgNumType w:start="2"/>
          <w:cols w:space="720"/>
          <w:docGrid w:linePitch="360"/>
        </w:sectPr>
      </w:pPr>
    </w:p>
    <w:p w14:paraId="755AF9B7" w14:textId="77777777" w:rsidR="00DA45D2" w:rsidRPr="00A22182" w:rsidRDefault="00DA45D2" w:rsidP="00DA45D2">
      <w:pPr>
        <w:tabs>
          <w:tab w:val="left" w:pos="2193"/>
        </w:tabs>
        <w:jc w:val="both"/>
        <w:rPr>
          <w:rFonts w:ascii="Trebuchet MS" w:hAnsi="Trebuchet MS"/>
          <w:sz w:val="22"/>
        </w:rPr>
      </w:pPr>
      <w:bookmarkStart w:id="1" w:name="_Toc463886374"/>
      <w:bookmarkStart w:id="2" w:name="_Ref467150440"/>
      <w:r>
        <w:rPr>
          <w:rFonts w:ascii="Trebuchet MS" w:hAnsi="Trebuchet MS"/>
          <w:sz w:val="22"/>
        </w:rPr>
        <w:lastRenderedPageBreak/>
        <w:t>February 8, 2024</w:t>
      </w:r>
      <w:r w:rsidRPr="00A22182">
        <w:rPr>
          <w:rFonts w:ascii="Trebuchet MS" w:hAnsi="Trebuchet MS"/>
          <w:sz w:val="22"/>
        </w:rPr>
        <w:tab/>
      </w:r>
    </w:p>
    <w:p w14:paraId="3E2AEA26" w14:textId="77777777" w:rsidR="00DA45D2" w:rsidRPr="00A22182" w:rsidRDefault="00DA45D2" w:rsidP="00DA45D2">
      <w:pPr>
        <w:tabs>
          <w:tab w:val="left" w:pos="4590"/>
        </w:tabs>
        <w:jc w:val="both"/>
        <w:rPr>
          <w:rFonts w:ascii="Trebuchet MS" w:hAnsi="Trebuchet MS"/>
          <w:sz w:val="22"/>
          <w:highlight w:val="yellow"/>
        </w:rPr>
      </w:pPr>
    </w:p>
    <w:p w14:paraId="0F6599A3" w14:textId="77777777" w:rsidR="00DA45D2" w:rsidRPr="00A22182" w:rsidRDefault="00DA45D2" w:rsidP="00DA45D2">
      <w:pPr>
        <w:tabs>
          <w:tab w:val="left" w:pos="4590"/>
        </w:tabs>
        <w:jc w:val="both"/>
        <w:rPr>
          <w:rFonts w:ascii="Trebuchet MS" w:hAnsi="Trebuchet MS"/>
          <w:sz w:val="22"/>
        </w:rPr>
      </w:pPr>
      <w:r w:rsidRPr="00A22182">
        <w:rPr>
          <w:rFonts w:ascii="Trebuchet MS" w:hAnsi="Trebuchet MS"/>
          <w:sz w:val="22"/>
        </w:rPr>
        <w:tab/>
      </w:r>
    </w:p>
    <w:p w14:paraId="47C3AFEC" w14:textId="77777777" w:rsidR="00DA45D2" w:rsidRPr="00A22182" w:rsidRDefault="00DA45D2" w:rsidP="00DA45D2">
      <w:pPr>
        <w:tabs>
          <w:tab w:val="left" w:pos="4590"/>
        </w:tabs>
        <w:jc w:val="both"/>
        <w:rPr>
          <w:rFonts w:ascii="Trebuchet MS" w:hAnsi="Trebuchet MS"/>
          <w:sz w:val="22"/>
        </w:rPr>
      </w:pPr>
      <w:r w:rsidRPr="00A22182">
        <w:rPr>
          <w:rFonts w:ascii="Trebuchet MS" w:hAnsi="Trebuchet MS"/>
          <w:sz w:val="22"/>
        </w:rPr>
        <w:t>UMass Memorial Healthcare, Inc.</w:t>
      </w:r>
    </w:p>
    <w:p w14:paraId="3940C2EE" w14:textId="77777777" w:rsidR="00DA45D2" w:rsidRPr="00A22182" w:rsidRDefault="00DA45D2" w:rsidP="00DA45D2">
      <w:pPr>
        <w:tabs>
          <w:tab w:val="left" w:pos="4590"/>
        </w:tabs>
        <w:jc w:val="both"/>
        <w:rPr>
          <w:rFonts w:ascii="Trebuchet MS" w:hAnsi="Trebuchet MS"/>
          <w:sz w:val="22"/>
        </w:rPr>
      </w:pPr>
      <w:r>
        <w:rPr>
          <w:rFonts w:ascii="Trebuchet MS" w:hAnsi="Trebuchet MS"/>
          <w:sz w:val="22"/>
        </w:rPr>
        <w:t xml:space="preserve">Milford Regional Medical Center, Inc. </w:t>
      </w:r>
    </w:p>
    <w:p w14:paraId="04830845" w14:textId="77777777" w:rsidR="00DA45D2" w:rsidRPr="00A22182" w:rsidRDefault="00DA45D2" w:rsidP="00DA45D2">
      <w:pPr>
        <w:tabs>
          <w:tab w:val="left" w:pos="4590"/>
        </w:tabs>
        <w:jc w:val="both"/>
        <w:rPr>
          <w:rFonts w:ascii="Trebuchet MS" w:hAnsi="Trebuchet MS"/>
          <w:sz w:val="22"/>
        </w:rPr>
      </w:pPr>
      <w:bookmarkStart w:id="3" w:name="_Hlk156840340"/>
      <w:r>
        <w:rPr>
          <w:rFonts w:ascii="Trebuchet MS" w:hAnsi="Trebuchet MS"/>
          <w:sz w:val="22"/>
        </w:rPr>
        <w:t xml:space="preserve">David Bierschied </w:t>
      </w:r>
    </w:p>
    <w:bookmarkEnd w:id="3"/>
    <w:p w14:paraId="31E0F072" w14:textId="77777777" w:rsidR="00DA45D2" w:rsidRPr="00A22182" w:rsidRDefault="00DA45D2" w:rsidP="00DA45D2">
      <w:pPr>
        <w:tabs>
          <w:tab w:val="left" w:pos="4590"/>
        </w:tabs>
        <w:jc w:val="both"/>
        <w:rPr>
          <w:rFonts w:ascii="Trebuchet MS" w:hAnsi="Trebuchet MS"/>
          <w:sz w:val="22"/>
        </w:rPr>
      </w:pPr>
      <w:r>
        <w:rPr>
          <w:rFonts w:ascii="Trebuchet MS" w:hAnsi="Trebuchet MS"/>
          <w:sz w:val="22"/>
        </w:rPr>
        <w:t xml:space="preserve">Sr. Director of Strategic Planning </w:t>
      </w:r>
    </w:p>
    <w:p w14:paraId="1D7513CB" w14:textId="77777777" w:rsidR="00DA45D2" w:rsidRPr="00A22182" w:rsidRDefault="00DA45D2" w:rsidP="00DA45D2">
      <w:pPr>
        <w:tabs>
          <w:tab w:val="left" w:pos="4590"/>
        </w:tabs>
        <w:jc w:val="both"/>
        <w:rPr>
          <w:rFonts w:ascii="Trebuchet MS" w:hAnsi="Trebuchet MS"/>
          <w:sz w:val="22"/>
        </w:rPr>
      </w:pPr>
      <w:r>
        <w:rPr>
          <w:rFonts w:ascii="Trebuchet MS" w:hAnsi="Trebuchet MS"/>
          <w:sz w:val="22"/>
        </w:rPr>
        <w:t xml:space="preserve">UMass Memorial Health Care, Inc. </w:t>
      </w:r>
    </w:p>
    <w:p w14:paraId="2F850613" w14:textId="77777777" w:rsidR="00DA45D2" w:rsidRPr="00A22182" w:rsidRDefault="00DA45D2" w:rsidP="00DA45D2">
      <w:pPr>
        <w:tabs>
          <w:tab w:val="left" w:pos="4590"/>
        </w:tabs>
        <w:jc w:val="both"/>
        <w:rPr>
          <w:rFonts w:ascii="Trebuchet MS" w:hAnsi="Trebuchet MS"/>
          <w:sz w:val="22"/>
        </w:rPr>
      </w:pPr>
      <w:r>
        <w:rPr>
          <w:rFonts w:ascii="Trebuchet MS" w:hAnsi="Trebuchet MS"/>
          <w:sz w:val="22"/>
        </w:rPr>
        <w:t>306 Belmont Street</w:t>
      </w:r>
    </w:p>
    <w:p w14:paraId="1D46CAA4" w14:textId="77777777" w:rsidR="00DA45D2" w:rsidRPr="00A22182" w:rsidRDefault="00DA45D2" w:rsidP="00DA45D2">
      <w:pPr>
        <w:tabs>
          <w:tab w:val="left" w:pos="4590"/>
        </w:tabs>
        <w:jc w:val="both"/>
        <w:rPr>
          <w:rFonts w:ascii="Trebuchet MS" w:hAnsi="Trebuchet MS"/>
          <w:sz w:val="22"/>
        </w:rPr>
      </w:pPr>
      <w:r>
        <w:rPr>
          <w:rFonts w:ascii="Trebuchet MS" w:hAnsi="Trebuchet MS"/>
          <w:sz w:val="22"/>
        </w:rPr>
        <w:t>Worcester, MA 01605</w:t>
      </w:r>
    </w:p>
    <w:p w14:paraId="3FD8B0D9" w14:textId="77777777" w:rsidR="00DA45D2" w:rsidRPr="00A22182" w:rsidRDefault="00DA45D2" w:rsidP="00DA45D2">
      <w:pPr>
        <w:jc w:val="both"/>
        <w:rPr>
          <w:rFonts w:ascii="Trebuchet MS" w:hAnsi="Trebuchet MS"/>
          <w:sz w:val="22"/>
        </w:rPr>
      </w:pPr>
    </w:p>
    <w:p w14:paraId="7705424E" w14:textId="77777777" w:rsidR="00DA45D2" w:rsidRPr="00A22182" w:rsidRDefault="00DA45D2" w:rsidP="00DA45D2">
      <w:pPr>
        <w:jc w:val="both"/>
        <w:rPr>
          <w:rFonts w:ascii="Trebuchet MS" w:hAnsi="Trebuchet MS"/>
          <w:sz w:val="22"/>
        </w:rPr>
      </w:pPr>
    </w:p>
    <w:p w14:paraId="1FCDA37F" w14:textId="77777777" w:rsidR="00DA45D2" w:rsidRPr="00A22182" w:rsidRDefault="00DA45D2" w:rsidP="00DA45D2">
      <w:pPr>
        <w:tabs>
          <w:tab w:val="left" w:pos="720"/>
          <w:tab w:val="left" w:pos="1440"/>
          <w:tab w:val="left" w:pos="2160"/>
          <w:tab w:val="left" w:pos="2880"/>
          <w:tab w:val="left" w:pos="3600"/>
          <w:tab w:val="left" w:pos="4320"/>
          <w:tab w:val="left" w:pos="5040"/>
          <w:tab w:val="left" w:pos="5760"/>
          <w:tab w:val="left" w:pos="6127"/>
        </w:tabs>
        <w:ind w:left="720" w:hanging="720"/>
        <w:jc w:val="both"/>
        <w:rPr>
          <w:rFonts w:ascii="Trebuchet MS" w:hAnsi="Trebuchet MS"/>
          <w:b/>
          <w:sz w:val="22"/>
        </w:rPr>
      </w:pPr>
      <w:r w:rsidRPr="00A22182">
        <w:rPr>
          <w:rFonts w:ascii="Trebuchet MS" w:hAnsi="Trebuchet MS"/>
          <w:b/>
          <w:sz w:val="22"/>
        </w:rPr>
        <w:t>RE:</w:t>
      </w:r>
      <w:r w:rsidRPr="00A22182">
        <w:rPr>
          <w:rFonts w:ascii="Trebuchet MS" w:hAnsi="Trebuchet MS"/>
          <w:b/>
          <w:sz w:val="22"/>
        </w:rPr>
        <w:tab/>
        <w:t xml:space="preserve">Analysis of the Reasonableness of Assumptions and Projections Used to Support the Financial Feasibility and Sustainability of the Proposed Project </w:t>
      </w:r>
    </w:p>
    <w:p w14:paraId="2F060E0A" w14:textId="77777777" w:rsidR="00DA45D2" w:rsidRPr="00A22182" w:rsidRDefault="00DA45D2" w:rsidP="00DA45D2">
      <w:pPr>
        <w:tabs>
          <w:tab w:val="left" w:pos="7383"/>
        </w:tabs>
        <w:jc w:val="both"/>
        <w:rPr>
          <w:rFonts w:ascii="Trebuchet MS" w:hAnsi="Trebuchet MS"/>
          <w:sz w:val="22"/>
        </w:rPr>
      </w:pPr>
    </w:p>
    <w:p w14:paraId="16555360" w14:textId="77777777" w:rsidR="00DA45D2" w:rsidRPr="00A22182" w:rsidRDefault="00DA45D2" w:rsidP="00DA45D2">
      <w:pPr>
        <w:tabs>
          <w:tab w:val="left" w:pos="7383"/>
        </w:tabs>
        <w:jc w:val="both"/>
        <w:rPr>
          <w:rFonts w:ascii="Trebuchet MS" w:hAnsi="Trebuchet MS"/>
          <w:sz w:val="22"/>
        </w:rPr>
      </w:pPr>
    </w:p>
    <w:p w14:paraId="626C5720" w14:textId="77777777" w:rsidR="00DA45D2" w:rsidRPr="00A22182" w:rsidRDefault="00DA45D2" w:rsidP="00DA45D2">
      <w:pPr>
        <w:jc w:val="both"/>
        <w:rPr>
          <w:rFonts w:ascii="Trebuchet MS" w:hAnsi="Trebuchet MS"/>
          <w:sz w:val="22"/>
        </w:rPr>
      </w:pPr>
      <w:r w:rsidRPr="00A22182">
        <w:rPr>
          <w:rFonts w:ascii="Trebuchet MS" w:hAnsi="Trebuchet MS"/>
          <w:sz w:val="22"/>
        </w:rPr>
        <w:t xml:space="preserve">Dear Mr. </w:t>
      </w:r>
      <w:r>
        <w:rPr>
          <w:rFonts w:ascii="Trebuchet MS" w:hAnsi="Trebuchet MS"/>
          <w:sz w:val="22"/>
        </w:rPr>
        <w:t>Bierschied</w:t>
      </w:r>
      <w:r w:rsidRPr="00A22182">
        <w:rPr>
          <w:rFonts w:ascii="Trebuchet MS" w:hAnsi="Trebuchet MS"/>
          <w:sz w:val="22"/>
        </w:rPr>
        <w:t>:</w:t>
      </w:r>
    </w:p>
    <w:p w14:paraId="71574AE0" w14:textId="77777777" w:rsidR="00DA45D2" w:rsidRPr="00A22182" w:rsidRDefault="00DA45D2" w:rsidP="00DA45D2">
      <w:pPr>
        <w:jc w:val="both"/>
        <w:rPr>
          <w:rFonts w:ascii="Trebuchet MS" w:hAnsi="Trebuchet MS"/>
          <w:sz w:val="22"/>
          <w:highlight w:val="yellow"/>
        </w:rPr>
      </w:pPr>
    </w:p>
    <w:p w14:paraId="3CE074ED" w14:textId="77777777" w:rsidR="00DA45D2" w:rsidRPr="00A22182" w:rsidRDefault="00DA45D2" w:rsidP="00DA45D2">
      <w:pPr>
        <w:jc w:val="both"/>
        <w:rPr>
          <w:rFonts w:ascii="Trebuchet MS" w:hAnsi="Trebuchet MS"/>
          <w:sz w:val="22"/>
          <w:highlight w:val="yellow"/>
        </w:rPr>
      </w:pPr>
    </w:p>
    <w:p w14:paraId="09F28430" w14:textId="77777777" w:rsidR="00DA45D2" w:rsidRPr="00A22182" w:rsidRDefault="00DA45D2" w:rsidP="00DA45D2">
      <w:pPr>
        <w:spacing w:line="480" w:lineRule="auto"/>
        <w:jc w:val="both"/>
        <w:rPr>
          <w:rFonts w:ascii="Trebuchet MS" w:hAnsi="Trebuchet MS"/>
          <w:sz w:val="22"/>
        </w:rPr>
      </w:pPr>
      <w:r w:rsidRPr="00A22182">
        <w:rPr>
          <w:rFonts w:ascii="Trebuchet MS" w:hAnsi="Trebuchet MS"/>
          <w:sz w:val="22"/>
        </w:rPr>
        <w:t xml:space="preserve">We have performed an analysis related to the reasonableness and feasibility of the financial projections (the “Projections”) of UMass Memorial Healthcare, Inc. (“UMass Memorial Healthcare”, “UMMHC” or “the Applicant”), related to the </w:t>
      </w:r>
      <w:r>
        <w:rPr>
          <w:rFonts w:ascii="Trebuchet MS" w:hAnsi="Trebuchet MS"/>
          <w:sz w:val="22"/>
        </w:rPr>
        <w:t>p</w:t>
      </w:r>
      <w:r w:rsidRPr="00A22182">
        <w:rPr>
          <w:rFonts w:ascii="Trebuchet MS" w:hAnsi="Trebuchet MS"/>
          <w:sz w:val="22"/>
        </w:rPr>
        <w:t xml:space="preserve">roposed integration and corporation affiliation between </w:t>
      </w:r>
      <w:r>
        <w:rPr>
          <w:rFonts w:ascii="Trebuchet MS" w:hAnsi="Trebuchet MS"/>
          <w:sz w:val="22"/>
        </w:rPr>
        <w:t>Milford Regional Medical Center, Inc.</w:t>
      </w:r>
      <w:r w:rsidRPr="00A22182">
        <w:rPr>
          <w:rFonts w:ascii="Trebuchet MS" w:hAnsi="Trebuchet MS"/>
          <w:sz w:val="22"/>
        </w:rPr>
        <w:t xml:space="preserve"> (“</w:t>
      </w:r>
      <w:r>
        <w:rPr>
          <w:rFonts w:ascii="Trebuchet MS" w:hAnsi="Trebuchet MS"/>
          <w:sz w:val="22"/>
        </w:rPr>
        <w:t xml:space="preserve">Milford” or “MRMC”) and UMHHC, </w:t>
      </w:r>
      <w:r w:rsidRPr="00C8337F">
        <w:rPr>
          <w:rFonts w:ascii="Trebuchet MS" w:hAnsi="Trebuchet MS"/>
          <w:sz w:val="22"/>
        </w:rPr>
        <w:t>whereby MRMC shall become a local community health system within the UMMHC system</w:t>
      </w:r>
      <w:r w:rsidRPr="00A22182">
        <w:rPr>
          <w:rFonts w:ascii="Trebuchet MS" w:hAnsi="Trebuchet MS"/>
          <w:sz w:val="22"/>
        </w:rPr>
        <w:t xml:space="preserve"> (the “Proposed Project”). This report details our analysis and findings regarding the reasonableness of assumptions used in the preparation of the Projections and feasibility of the projected financial results prepared by the management of UMMHC and </w:t>
      </w:r>
      <w:r>
        <w:rPr>
          <w:rFonts w:ascii="Trebuchet MS" w:hAnsi="Trebuchet MS"/>
          <w:sz w:val="22"/>
        </w:rPr>
        <w:t>Milford</w:t>
      </w:r>
      <w:r w:rsidRPr="00A22182">
        <w:rPr>
          <w:rFonts w:ascii="Trebuchet MS" w:hAnsi="Trebuchet MS"/>
          <w:sz w:val="22"/>
        </w:rPr>
        <w:t xml:space="preserve"> (“Management”). This report is to be used by UMMHC in connection with its Determination of Need (“DON”) Application – Factor 4(a) and should not be distributed or relied upon for any other purpose.</w:t>
      </w:r>
    </w:p>
    <w:p w14:paraId="37C5E1FB" w14:textId="77777777" w:rsidR="00DA45D2" w:rsidRDefault="00DA45D2" w:rsidP="00DA45D2">
      <w:pPr>
        <w:pStyle w:val="Heading1"/>
        <w:keepNext w:val="0"/>
        <w:tabs>
          <w:tab w:val="left" w:pos="1224"/>
          <w:tab w:val="left" w:pos="1674"/>
          <w:tab w:val="left" w:pos="5364"/>
          <w:tab w:val="left" w:pos="5994"/>
          <w:tab w:val="left" w:pos="8244"/>
        </w:tabs>
        <w:spacing w:before="0" w:after="0" w:line="480" w:lineRule="auto"/>
        <w:ind w:left="720"/>
        <w:rPr>
          <w:rFonts w:ascii="Trebuchet MS" w:hAnsi="Trebuchet MS"/>
          <w:sz w:val="22"/>
          <w:szCs w:val="22"/>
        </w:rPr>
      </w:pPr>
    </w:p>
    <w:p w14:paraId="3D7B2B08" w14:textId="77777777" w:rsidR="00DA45D2" w:rsidRPr="00A22182" w:rsidRDefault="00DA45D2" w:rsidP="00DA45D2">
      <w:pPr>
        <w:pStyle w:val="Heading1"/>
        <w:keepNext w:val="0"/>
        <w:numPr>
          <w:ilvl w:val="0"/>
          <w:numId w:val="1"/>
        </w:numPr>
        <w:tabs>
          <w:tab w:val="num" w:pos="360"/>
          <w:tab w:val="left" w:pos="1224"/>
          <w:tab w:val="left" w:pos="1674"/>
          <w:tab w:val="left" w:pos="5364"/>
          <w:tab w:val="left" w:pos="5994"/>
          <w:tab w:val="left" w:pos="8244"/>
        </w:tabs>
        <w:spacing w:before="0" w:after="0" w:line="480" w:lineRule="auto"/>
        <w:ind w:left="0" w:hanging="720"/>
        <w:rPr>
          <w:rFonts w:ascii="Trebuchet MS" w:hAnsi="Trebuchet MS"/>
          <w:sz w:val="22"/>
          <w:szCs w:val="22"/>
        </w:rPr>
      </w:pPr>
      <w:r w:rsidRPr="00A22182">
        <w:rPr>
          <w:rFonts w:ascii="Trebuchet MS" w:hAnsi="Trebuchet MS"/>
          <w:sz w:val="22"/>
          <w:szCs w:val="22"/>
        </w:rPr>
        <w:t>EXECUTIVE SUMMARY</w:t>
      </w:r>
    </w:p>
    <w:p w14:paraId="392EAB5F" w14:textId="77777777" w:rsidR="00DA45D2" w:rsidRPr="00A22182" w:rsidRDefault="00DA45D2" w:rsidP="00DA45D2">
      <w:pPr>
        <w:rPr>
          <w:rFonts w:ascii="Trebuchet MS" w:hAnsi="Trebuchet MS"/>
          <w:sz w:val="22"/>
          <w:highlight w:val="yellow"/>
        </w:rPr>
      </w:pPr>
    </w:p>
    <w:p w14:paraId="4E7130B4" w14:textId="77777777" w:rsidR="00DA45D2" w:rsidRPr="00A22182" w:rsidRDefault="00DA45D2" w:rsidP="00DA45D2">
      <w:pPr>
        <w:spacing w:line="480" w:lineRule="auto"/>
        <w:jc w:val="both"/>
        <w:rPr>
          <w:rFonts w:ascii="Trebuchet MS" w:hAnsi="Trebuchet MS"/>
          <w:sz w:val="22"/>
        </w:rPr>
      </w:pPr>
      <w:r w:rsidRPr="00A22182">
        <w:rPr>
          <w:rFonts w:ascii="Trebuchet MS" w:hAnsi="Trebuchet MS"/>
          <w:sz w:val="22"/>
        </w:rPr>
        <w:t>The scope of our review was limited to an analysis of the consolidated UMMHC</w:t>
      </w:r>
      <w:r>
        <w:rPr>
          <w:rFonts w:ascii="Trebuchet MS" w:hAnsi="Trebuchet MS"/>
          <w:sz w:val="22"/>
        </w:rPr>
        <w:t xml:space="preserve"> and MRMC</w:t>
      </w:r>
      <w:r w:rsidRPr="00A22182">
        <w:rPr>
          <w:rFonts w:ascii="Trebuchet MS" w:hAnsi="Trebuchet MS"/>
          <w:sz w:val="22"/>
        </w:rPr>
        <w:t xml:space="preserve"> </w:t>
      </w:r>
      <w:r>
        <w:rPr>
          <w:rFonts w:ascii="Trebuchet MS" w:hAnsi="Trebuchet MS"/>
          <w:sz w:val="22"/>
        </w:rPr>
        <w:t>six</w:t>
      </w:r>
      <w:r w:rsidRPr="00A22182">
        <w:rPr>
          <w:rFonts w:ascii="Trebuchet MS" w:hAnsi="Trebuchet MS"/>
          <w:sz w:val="22"/>
        </w:rPr>
        <w:t xml:space="preserve">-year financial projections for the Applicant for the fiscal years ending September 30, </w:t>
      </w:r>
      <w:proofErr w:type="gramStart"/>
      <w:r w:rsidRPr="00A22182">
        <w:rPr>
          <w:rFonts w:ascii="Trebuchet MS" w:hAnsi="Trebuchet MS"/>
          <w:sz w:val="22"/>
        </w:rPr>
        <w:t>202</w:t>
      </w:r>
      <w:r>
        <w:rPr>
          <w:rFonts w:ascii="Trebuchet MS" w:hAnsi="Trebuchet MS"/>
          <w:sz w:val="22"/>
        </w:rPr>
        <w:t>4</w:t>
      </w:r>
      <w:proofErr w:type="gramEnd"/>
      <w:r w:rsidRPr="00A22182">
        <w:rPr>
          <w:rFonts w:ascii="Trebuchet MS" w:hAnsi="Trebuchet MS"/>
          <w:sz w:val="22"/>
        </w:rPr>
        <w:t xml:space="preserve"> </w:t>
      </w:r>
      <w:r w:rsidRPr="00A22182">
        <w:rPr>
          <w:rFonts w:ascii="Trebuchet MS" w:hAnsi="Trebuchet MS"/>
          <w:sz w:val="22"/>
        </w:rPr>
        <w:lastRenderedPageBreak/>
        <w:t>through 202</w:t>
      </w:r>
      <w:r>
        <w:rPr>
          <w:rFonts w:ascii="Trebuchet MS" w:hAnsi="Trebuchet MS"/>
          <w:sz w:val="22"/>
        </w:rPr>
        <w:t>9</w:t>
      </w:r>
      <w:r w:rsidRPr="00A22182">
        <w:rPr>
          <w:rFonts w:ascii="Trebuchet MS" w:hAnsi="Trebuchet MS"/>
          <w:sz w:val="22"/>
        </w:rPr>
        <w:t xml:space="preserve"> prepared by Management and the supporting documentation in order to render an opinion as to the reasonableness of assumptions used in the preparation and feasibility of the Projections.</w:t>
      </w:r>
      <w:r w:rsidRPr="00A22182">
        <w:rPr>
          <w:rStyle w:val="FootnoteReference"/>
          <w:sz w:val="22"/>
        </w:rPr>
        <w:footnoteReference w:id="1"/>
      </w:r>
    </w:p>
    <w:p w14:paraId="34C429CA" w14:textId="77777777" w:rsidR="00DA45D2" w:rsidRPr="00A22182" w:rsidRDefault="00DA45D2" w:rsidP="00DA45D2">
      <w:pPr>
        <w:spacing w:line="480" w:lineRule="auto"/>
        <w:jc w:val="both"/>
        <w:rPr>
          <w:rFonts w:ascii="Trebuchet MS" w:hAnsi="Trebuchet MS"/>
          <w:sz w:val="22"/>
        </w:rPr>
      </w:pPr>
    </w:p>
    <w:p w14:paraId="6483EA4B" w14:textId="77777777" w:rsidR="00DA45D2" w:rsidRPr="00A22182" w:rsidRDefault="00DA45D2" w:rsidP="00DA45D2">
      <w:pPr>
        <w:tabs>
          <w:tab w:val="left" w:pos="9180"/>
        </w:tabs>
        <w:spacing w:line="480" w:lineRule="auto"/>
        <w:jc w:val="both"/>
        <w:rPr>
          <w:rFonts w:ascii="Trebuchet MS" w:hAnsi="Trebuchet MS"/>
          <w:sz w:val="22"/>
        </w:rPr>
      </w:pPr>
      <w:r w:rsidRPr="00A22182">
        <w:rPr>
          <w:rFonts w:ascii="Trebuchet MS" w:hAnsi="Trebuchet MS"/>
          <w:sz w:val="22"/>
        </w:rPr>
        <w:t>The Projections exhibit a cumulative operating EBIDA surplus of approximately</w:t>
      </w:r>
      <w:r>
        <w:rPr>
          <w:rFonts w:ascii="Trebuchet MS" w:hAnsi="Trebuchet MS"/>
          <w:sz w:val="22"/>
        </w:rPr>
        <w:t xml:space="preserve"> 4.7 </w:t>
      </w:r>
      <w:r w:rsidRPr="00A22182">
        <w:rPr>
          <w:rFonts w:ascii="Trebuchet MS" w:hAnsi="Trebuchet MS"/>
          <w:sz w:val="22"/>
        </w:rPr>
        <w:t xml:space="preserve">percent of cumulative projected revenue for UMMHC </w:t>
      </w:r>
      <w:r>
        <w:rPr>
          <w:rFonts w:ascii="Trebuchet MS" w:hAnsi="Trebuchet MS"/>
          <w:sz w:val="22"/>
        </w:rPr>
        <w:t xml:space="preserve">and MRMC </w:t>
      </w:r>
      <w:r w:rsidRPr="00A22182">
        <w:rPr>
          <w:rFonts w:ascii="Trebuchet MS" w:hAnsi="Trebuchet MS"/>
          <w:sz w:val="22"/>
        </w:rPr>
        <w:t xml:space="preserve">for the </w:t>
      </w:r>
      <w:r>
        <w:rPr>
          <w:rFonts w:ascii="Trebuchet MS" w:hAnsi="Trebuchet MS"/>
          <w:sz w:val="22"/>
        </w:rPr>
        <w:t>six</w:t>
      </w:r>
      <w:r w:rsidRPr="00A22182">
        <w:rPr>
          <w:rFonts w:ascii="Trebuchet MS" w:hAnsi="Trebuchet MS"/>
          <w:sz w:val="22"/>
        </w:rPr>
        <w:t xml:space="preserve"> years from FY 202</w:t>
      </w:r>
      <w:r>
        <w:rPr>
          <w:rFonts w:ascii="Trebuchet MS" w:hAnsi="Trebuchet MS"/>
          <w:sz w:val="22"/>
        </w:rPr>
        <w:t>4</w:t>
      </w:r>
      <w:r w:rsidRPr="00A22182">
        <w:rPr>
          <w:rFonts w:ascii="Trebuchet MS" w:hAnsi="Trebuchet MS"/>
          <w:sz w:val="22"/>
        </w:rPr>
        <w:t xml:space="preserve"> through 202</w:t>
      </w:r>
      <w:r>
        <w:rPr>
          <w:rFonts w:ascii="Trebuchet MS" w:hAnsi="Trebuchet MS"/>
          <w:sz w:val="22"/>
        </w:rPr>
        <w:t>9</w:t>
      </w:r>
      <w:r w:rsidRPr="00A22182">
        <w:rPr>
          <w:rFonts w:ascii="Trebuchet MS" w:hAnsi="Trebuchet MS"/>
          <w:sz w:val="22"/>
        </w:rPr>
        <w:t>. Based upon our review of the relevant documents and analysis of the Projections, we determined the anticipated operating EBIDA surplus is a reasonable expectation and based upon feasible financial assumptions.</w:t>
      </w:r>
      <w:r>
        <w:rPr>
          <w:rFonts w:ascii="Trebuchet MS" w:hAnsi="Trebuchet MS"/>
          <w:sz w:val="22"/>
        </w:rPr>
        <w:t xml:space="preserve"> </w:t>
      </w:r>
      <w:r w:rsidRPr="00A22182">
        <w:rPr>
          <w:rFonts w:ascii="Trebuchet MS" w:hAnsi="Trebuchet MS"/>
          <w:sz w:val="22"/>
        </w:rPr>
        <w:t>Accordingly, we determined that the Projections are reasonable and feasible, and not likely to have a negative impact on the Applicant’s patient panel or result in a liquidation of UMMHC’s assets. A detailed explanation of the basis for our determination of reasonableness and feasibility is contained within this report.</w:t>
      </w:r>
    </w:p>
    <w:p w14:paraId="33C03D20" w14:textId="77777777" w:rsidR="00DA45D2" w:rsidRPr="00A22182" w:rsidRDefault="00DA45D2" w:rsidP="00DA45D2">
      <w:pPr>
        <w:spacing w:line="480" w:lineRule="auto"/>
        <w:jc w:val="both"/>
        <w:rPr>
          <w:rFonts w:ascii="Trebuchet MS" w:hAnsi="Trebuchet MS"/>
          <w:sz w:val="22"/>
        </w:rPr>
      </w:pPr>
    </w:p>
    <w:p w14:paraId="70F5D475" w14:textId="77777777" w:rsidR="00DA45D2" w:rsidRPr="00A22182" w:rsidRDefault="00DA45D2" w:rsidP="00DA45D2">
      <w:pPr>
        <w:pStyle w:val="Heading1"/>
        <w:keepNext w:val="0"/>
        <w:numPr>
          <w:ilvl w:val="0"/>
          <w:numId w:val="1"/>
        </w:numPr>
        <w:tabs>
          <w:tab w:val="num" w:pos="360"/>
          <w:tab w:val="left" w:pos="1224"/>
          <w:tab w:val="left" w:pos="1674"/>
          <w:tab w:val="left" w:pos="5364"/>
          <w:tab w:val="left" w:pos="5994"/>
          <w:tab w:val="left" w:pos="8244"/>
        </w:tabs>
        <w:spacing w:before="0" w:after="0" w:line="480" w:lineRule="auto"/>
        <w:ind w:left="0" w:hanging="720"/>
        <w:rPr>
          <w:rFonts w:ascii="Trebuchet MS" w:hAnsi="Trebuchet MS"/>
          <w:sz w:val="22"/>
          <w:szCs w:val="22"/>
        </w:rPr>
      </w:pPr>
      <w:r w:rsidRPr="00A22182">
        <w:rPr>
          <w:rFonts w:ascii="Trebuchet MS" w:hAnsi="Trebuchet MS"/>
          <w:sz w:val="22"/>
          <w:szCs w:val="22"/>
        </w:rPr>
        <w:t>RELEVANT BACKGROUND INFORMATION</w:t>
      </w:r>
      <w:r>
        <w:rPr>
          <w:rStyle w:val="FootnoteReference"/>
          <w:sz w:val="22"/>
          <w:szCs w:val="22"/>
        </w:rPr>
        <w:footnoteReference w:id="2"/>
      </w:r>
    </w:p>
    <w:p w14:paraId="540B9AB6" w14:textId="77777777" w:rsidR="00DA45D2" w:rsidRPr="00A22182" w:rsidRDefault="00DA45D2" w:rsidP="00DA45D2">
      <w:pPr>
        <w:jc w:val="both"/>
        <w:rPr>
          <w:rFonts w:ascii="Trebuchet MS" w:hAnsi="Trebuchet MS"/>
          <w:sz w:val="22"/>
          <w:highlight w:val="yellow"/>
        </w:rPr>
      </w:pPr>
    </w:p>
    <w:p w14:paraId="5C3B0BE3" w14:textId="77777777" w:rsidR="00DA45D2" w:rsidRPr="00A22182" w:rsidRDefault="00DA45D2" w:rsidP="00DA45D2">
      <w:pPr>
        <w:spacing w:line="480" w:lineRule="auto"/>
        <w:jc w:val="both"/>
        <w:rPr>
          <w:rFonts w:ascii="Trebuchet MS" w:hAnsi="Trebuchet MS"/>
          <w:sz w:val="22"/>
        </w:rPr>
      </w:pPr>
      <w:r w:rsidRPr="00A22182">
        <w:rPr>
          <w:rFonts w:ascii="Trebuchet MS" w:hAnsi="Trebuchet MS"/>
          <w:sz w:val="22"/>
        </w:rPr>
        <w:t xml:space="preserve">The Applicant is a Massachusetts nonprofit corporation that owns and operates an integrated health care system comprised of a network of hospitals, including one academic teaching hospital and </w:t>
      </w:r>
      <w:r>
        <w:rPr>
          <w:rFonts w:ascii="Trebuchet MS" w:hAnsi="Trebuchet MS"/>
          <w:sz w:val="22"/>
        </w:rPr>
        <w:t>three</w:t>
      </w:r>
      <w:r w:rsidRPr="00A22182">
        <w:rPr>
          <w:rFonts w:ascii="Trebuchet MS" w:hAnsi="Trebuchet MS"/>
          <w:sz w:val="22"/>
        </w:rPr>
        <w:t xml:space="preserve"> community hospitals, as well as other health care providers that serve the residents of Central Massachusetts. UMMHC is the sole corporate member of UMass Memorial Community Hospitals, Inc. (“UMMCH”) and certain other affiliates.</w:t>
      </w:r>
    </w:p>
    <w:p w14:paraId="6043E026" w14:textId="77777777" w:rsidR="00DA45D2" w:rsidRPr="00A22182" w:rsidRDefault="00DA45D2" w:rsidP="00DA45D2">
      <w:pPr>
        <w:spacing w:line="480" w:lineRule="auto"/>
        <w:jc w:val="both"/>
        <w:rPr>
          <w:rFonts w:ascii="Trebuchet MS" w:hAnsi="Trebuchet MS"/>
          <w:sz w:val="22"/>
        </w:rPr>
      </w:pPr>
    </w:p>
    <w:p w14:paraId="26FB0618" w14:textId="77777777" w:rsidR="00DA45D2" w:rsidRPr="005F710E" w:rsidRDefault="00DA45D2" w:rsidP="00DA45D2">
      <w:pPr>
        <w:spacing w:line="480" w:lineRule="auto"/>
        <w:jc w:val="both"/>
        <w:rPr>
          <w:rFonts w:ascii="Trebuchet MS" w:hAnsi="Trebuchet MS"/>
          <w:color w:val="000000" w:themeColor="text1"/>
          <w:sz w:val="22"/>
        </w:rPr>
      </w:pPr>
      <w:r>
        <w:rPr>
          <w:rFonts w:ascii="Trebuchet MS" w:hAnsi="Trebuchet MS"/>
          <w:sz w:val="22"/>
        </w:rPr>
        <w:t xml:space="preserve">Milford </w:t>
      </w:r>
      <w:r w:rsidRPr="00A22182">
        <w:rPr>
          <w:rFonts w:ascii="Trebuchet MS" w:hAnsi="Trebuchet MS"/>
          <w:sz w:val="22"/>
        </w:rPr>
        <w:t xml:space="preserve">is a Massachusetts nonprofit corporation that owns and operates an integrated health system comprised of the following three affiliates: </w:t>
      </w:r>
      <w:r w:rsidRPr="00DD7B50">
        <w:rPr>
          <w:rFonts w:ascii="Trebuchet MS" w:hAnsi="Trebuchet MS"/>
          <w:sz w:val="22"/>
        </w:rPr>
        <w:t xml:space="preserve">(1) Milford Regional Physician Group, Inc. </w:t>
      </w:r>
      <w:r w:rsidRPr="00DD7B50">
        <w:rPr>
          <w:rFonts w:ascii="Trebuchet MS" w:hAnsi="Trebuchet MS"/>
          <w:sz w:val="22"/>
        </w:rPr>
        <w:lastRenderedPageBreak/>
        <w:t>("MRPG"), which operates as a primary care and multi-specialty community medical practice in the MRMC service area; (2) Milford Regional Healthcare Foundation, Inc., a Massachusetts nonprofit and Chapter 501 (c)(3) tax exempt organization established to conduct fundraising activities to support MRMC; and (3) MRHC Management Services, Inc. a Massachusetts nonprofit organization which does not currently conduct any business activities.</w:t>
      </w:r>
    </w:p>
    <w:p w14:paraId="07259CF7" w14:textId="77777777" w:rsidR="00DA45D2" w:rsidRPr="00A22182" w:rsidRDefault="00DA45D2" w:rsidP="00DA45D2">
      <w:pPr>
        <w:spacing w:line="480" w:lineRule="auto"/>
        <w:jc w:val="both"/>
        <w:rPr>
          <w:rFonts w:ascii="Trebuchet MS" w:hAnsi="Trebuchet MS"/>
          <w:sz w:val="22"/>
        </w:rPr>
      </w:pPr>
    </w:p>
    <w:p w14:paraId="490365D4" w14:textId="77777777" w:rsidR="00DA45D2" w:rsidRPr="00A22182" w:rsidRDefault="00DA45D2" w:rsidP="00DA45D2">
      <w:pPr>
        <w:spacing w:line="480" w:lineRule="auto"/>
        <w:jc w:val="both"/>
        <w:rPr>
          <w:rFonts w:ascii="Trebuchet MS" w:hAnsi="Trebuchet MS"/>
          <w:sz w:val="22"/>
        </w:rPr>
      </w:pPr>
      <w:r w:rsidRPr="00E73C81">
        <w:rPr>
          <w:rFonts w:ascii="Trebuchet MS" w:hAnsi="Trebuchet MS"/>
          <w:sz w:val="22"/>
        </w:rPr>
        <w:t xml:space="preserve">On </w:t>
      </w:r>
      <w:r w:rsidRPr="00965DDF">
        <w:rPr>
          <w:rFonts w:ascii="Trebuchet MS" w:hAnsi="Trebuchet MS"/>
          <w:sz w:val="22"/>
        </w:rPr>
        <w:t xml:space="preserve">January 12, </w:t>
      </w:r>
      <w:proofErr w:type="gramStart"/>
      <w:r w:rsidRPr="00965DDF">
        <w:rPr>
          <w:rFonts w:ascii="Trebuchet MS" w:hAnsi="Trebuchet MS"/>
          <w:sz w:val="22"/>
        </w:rPr>
        <w:t>2024</w:t>
      </w:r>
      <w:proofErr w:type="gramEnd"/>
      <w:r w:rsidRPr="00A22182">
        <w:rPr>
          <w:rFonts w:ascii="Trebuchet MS" w:hAnsi="Trebuchet MS"/>
          <w:sz w:val="22"/>
        </w:rPr>
        <w:t xml:space="preserve"> </w:t>
      </w:r>
      <w:r>
        <w:rPr>
          <w:rFonts w:ascii="Trebuchet MS" w:hAnsi="Trebuchet MS"/>
          <w:sz w:val="22"/>
        </w:rPr>
        <w:t>MRMC</w:t>
      </w:r>
      <w:r w:rsidRPr="00A22182">
        <w:rPr>
          <w:rFonts w:ascii="Trebuchet MS" w:hAnsi="Trebuchet MS"/>
          <w:sz w:val="22"/>
        </w:rPr>
        <w:t xml:space="preserve"> and UMMHC entered into an Affiliation Agreement, pursuant to which UMMH</w:t>
      </w:r>
      <w:r>
        <w:rPr>
          <w:rFonts w:ascii="Trebuchet MS" w:hAnsi="Trebuchet MS"/>
          <w:sz w:val="22"/>
        </w:rPr>
        <w:t>C</w:t>
      </w:r>
      <w:r w:rsidRPr="00A22182">
        <w:rPr>
          <w:rFonts w:ascii="Trebuchet MS" w:hAnsi="Trebuchet MS"/>
          <w:sz w:val="22"/>
        </w:rPr>
        <w:t xml:space="preserve"> will become the sole corporate member of </w:t>
      </w:r>
      <w:r>
        <w:rPr>
          <w:rFonts w:ascii="Trebuchet MS" w:hAnsi="Trebuchet MS"/>
          <w:sz w:val="22"/>
        </w:rPr>
        <w:t>MRMC</w:t>
      </w:r>
      <w:r w:rsidRPr="00A22182">
        <w:rPr>
          <w:rFonts w:ascii="Trebuchet MS" w:hAnsi="Trebuchet MS"/>
          <w:sz w:val="22"/>
        </w:rPr>
        <w:t xml:space="preserve">. </w:t>
      </w:r>
      <w:r>
        <w:rPr>
          <w:rFonts w:ascii="Trebuchet MS" w:hAnsi="Trebuchet MS"/>
          <w:sz w:val="22"/>
        </w:rPr>
        <w:t>MRMC</w:t>
      </w:r>
      <w:r w:rsidRPr="00A22182">
        <w:rPr>
          <w:rFonts w:ascii="Trebuchet MS" w:hAnsi="Trebuchet MS"/>
          <w:sz w:val="22"/>
        </w:rPr>
        <w:t xml:space="preserve"> and UMMHC believe that the proposed corporate affiliation, which builds on the longstanding relationship between the parties, will allow the parties to further their common nonprofit missions of promoting the health of the communities they serve, and will enhance </w:t>
      </w:r>
      <w:r>
        <w:rPr>
          <w:rFonts w:ascii="Trebuchet MS" w:hAnsi="Trebuchet MS"/>
          <w:sz w:val="22"/>
        </w:rPr>
        <w:t>MRMC</w:t>
      </w:r>
      <w:r w:rsidRPr="00A22182">
        <w:rPr>
          <w:rFonts w:ascii="Trebuchet MS" w:hAnsi="Trebuchet MS"/>
          <w:sz w:val="22"/>
        </w:rPr>
        <w:t xml:space="preserve">’s ability to maintain its status as a high quality, financially secure community hospital, which will allow it to continue to meet and better respond to the health care needs of patients and the communities in its service area. </w:t>
      </w:r>
    </w:p>
    <w:p w14:paraId="22665567" w14:textId="77777777" w:rsidR="00DA45D2" w:rsidRPr="00A22182" w:rsidRDefault="00DA45D2" w:rsidP="00DA45D2">
      <w:pPr>
        <w:spacing w:line="480" w:lineRule="auto"/>
        <w:jc w:val="both"/>
        <w:rPr>
          <w:rFonts w:ascii="Trebuchet MS" w:hAnsi="Trebuchet MS"/>
          <w:sz w:val="22"/>
        </w:rPr>
      </w:pPr>
    </w:p>
    <w:p w14:paraId="4AE70CA9" w14:textId="77777777" w:rsidR="00DA45D2" w:rsidRPr="00A22182" w:rsidRDefault="00DA45D2" w:rsidP="00DA45D2">
      <w:pPr>
        <w:spacing w:line="480" w:lineRule="auto"/>
        <w:jc w:val="both"/>
        <w:rPr>
          <w:rFonts w:ascii="Trebuchet MS" w:hAnsi="Trebuchet MS"/>
          <w:sz w:val="22"/>
        </w:rPr>
      </w:pPr>
      <w:r w:rsidRPr="00A22182">
        <w:rPr>
          <w:rFonts w:ascii="Trebuchet MS" w:hAnsi="Trebuchet MS"/>
          <w:sz w:val="22"/>
        </w:rPr>
        <w:t xml:space="preserve">The Proposed Project will also permit </w:t>
      </w:r>
      <w:r>
        <w:rPr>
          <w:rFonts w:ascii="Trebuchet MS" w:hAnsi="Trebuchet MS"/>
          <w:sz w:val="22"/>
        </w:rPr>
        <w:t xml:space="preserve">MRMC </w:t>
      </w:r>
      <w:r w:rsidRPr="00A22182">
        <w:rPr>
          <w:rFonts w:ascii="Trebuchet MS" w:hAnsi="Trebuchet MS"/>
          <w:sz w:val="22"/>
        </w:rPr>
        <w:t xml:space="preserve">to have greater access to capital for service, equipment and physical plant improvements that will result in </w:t>
      </w:r>
      <w:r>
        <w:rPr>
          <w:rFonts w:ascii="Trebuchet MS" w:hAnsi="Trebuchet MS"/>
          <w:sz w:val="22"/>
        </w:rPr>
        <w:t xml:space="preserve">continued and </w:t>
      </w:r>
      <w:r w:rsidRPr="00A22182">
        <w:rPr>
          <w:rFonts w:ascii="Trebuchet MS" w:hAnsi="Trebuchet MS"/>
          <w:sz w:val="22"/>
        </w:rPr>
        <w:t xml:space="preserve">better access to community-based high-quality care for patients in the </w:t>
      </w:r>
      <w:r>
        <w:rPr>
          <w:rFonts w:ascii="Trebuchet MS" w:hAnsi="Trebuchet MS"/>
          <w:sz w:val="22"/>
        </w:rPr>
        <w:t xml:space="preserve">MRMC </w:t>
      </w:r>
      <w:r w:rsidRPr="00A22182">
        <w:rPr>
          <w:rFonts w:ascii="Trebuchet MS" w:hAnsi="Trebuchet MS"/>
          <w:sz w:val="22"/>
        </w:rPr>
        <w:t xml:space="preserve">service area. For example, the Proposed Project will enable </w:t>
      </w:r>
      <w:r>
        <w:rPr>
          <w:rFonts w:ascii="Trebuchet MS" w:hAnsi="Trebuchet MS"/>
          <w:sz w:val="22"/>
        </w:rPr>
        <w:t>MRMC</w:t>
      </w:r>
      <w:r w:rsidRPr="00A22182">
        <w:rPr>
          <w:rFonts w:ascii="Trebuchet MS" w:hAnsi="Trebuchet MS"/>
          <w:sz w:val="22"/>
        </w:rPr>
        <w:t xml:space="preserve"> to obtain more advanced health information technology that will enhance and expand the use of health data for accountable care and other value-based and population health managed care contracts </w:t>
      </w:r>
      <w:r w:rsidRPr="00473414">
        <w:rPr>
          <w:rFonts w:ascii="Trebuchet MS" w:hAnsi="Trebuchet MS"/>
          <w:sz w:val="22"/>
        </w:rPr>
        <w:t xml:space="preserve">to support improved performance in accountable care and other value-based and population health contracts which are increasingly common and designed to encourage efficient and </w:t>
      </w:r>
      <w:proofErr w:type="gramStart"/>
      <w:r w:rsidRPr="00473414">
        <w:rPr>
          <w:rFonts w:ascii="Trebuchet MS" w:hAnsi="Trebuchet MS"/>
          <w:sz w:val="22"/>
        </w:rPr>
        <w:t>cost effective</w:t>
      </w:r>
      <w:proofErr w:type="gramEnd"/>
      <w:r w:rsidRPr="00473414">
        <w:rPr>
          <w:rFonts w:ascii="Trebuchet MS" w:hAnsi="Trebuchet MS"/>
          <w:sz w:val="22"/>
        </w:rPr>
        <w:t xml:space="preserve"> care.  </w:t>
      </w:r>
    </w:p>
    <w:p w14:paraId="1CDD8ABC" w14:textId="77777777" w:rsidR="00DA45D2" w:rsidRPr="00A22182" w:rsidRDefault="00DA45D2" w:rsidP="00DA45D2">
      <w:pPr>
        <w:spacing w:line="480" w:lineRule="auto"/>
        <w:jc w:val="both"/>
        <w:rPr>
          <w:rFonts w:ascii="Trebuchet MS" w:hAnsi="Trebuchet MS"/>
          <w:sz w:val="22"/>
        </w:rPr>
      </w:pPr>
    </w:p>
    <w:p w14:paraId="7A2011E1" w14:textId="77777777" w:rsidR="00DA45D2" w:rsidRPr="00A22182" w:rsidRDefault="00DA45D2" w:rsidP="00DA45D2">
      <w:pPr>
        <w:spacing w:line="480" w:lineRule="auto"/>
        <w:jc w:val="both"/>
        <w:rPr>
          <w:rFonts w:ascii="Trebuchet MS" w:hAnsi="Trebuchet MS"/>
          <w:sz w:val="22"/>
        </w:rPr>
      </w:pPr>
      <w:r w:rsidRPr="00A22182">
        <w:rPr>
          <w:rFonts w:ascii="Trebuchet MS" w:hAnsi="Trebuchet MS"/>
          <w:sz w:val="22"/>
        </w:rPr>
        <w:t>In addition</w:t>
      </w:r>
      <w:r w:rsidRPr="00545692">
        <w:rPr>
          <w:rFonts w:ascii="Trebuchet MS" w:hAnsi="Trebuchet MS"/>
          <w:sz w:val="22"/>
        </w:rPr>
        <w:t xml:space="preserve">, </w:t>
      </w:r>
      <w:r>
        <w:rPr>
          <w:rFonts w:ascii="Trebuchet MS" w:hAnsi="Trebuchet MS"/>
          <w:sz w:val="22"/>
        </w:rPr>
        <w:t>MRMC</w:t>
      </w:r>
      <w:r w:rsidRPr="00A22182">
        <w:rPr>
          <w:rFonts w:ascii="Trebuchet MS" w:hAnsi="Trebuchet MS"/>
          <w:sz w:val="22"/>
        </w:rPr>
        <w:t xml:space="preserve"> and UMMHC believe the Proposed Project will strengthen </w:t>
      </w:r>
      <w:r w:rsidRPr="00F462A8">
        <w:rPr>
          <w:rFonts w:ascii="Trebuchet MS" w:hAnsi="Trebuchet MS"/>
          <w:sz w:val="22"/>
        </w:rPr>
        <w:t>MRMC’</w:t>
      </w:r>
      <w:r w:rsidRPr="00545692">
        <w:rPr>
          <w:rFonts w:ascii="Trebuchet MS" w:hAnsi="Trebuchet MS"/>
          <w:sz w:val="22"/>
        </w:rPr>
        <w:t xml:space="preserve">s </w:t>
      </w:r>
      <w:r w:rsidRPr="00A22182">
        <w:rPr>
          <w:rFonts w:ascii="Trebuchet MS" w:hAnsi="Trebuchet MS"/>
          <w:sz w:val="22"/>
        </w:rPr>
        <w:t xml:space="preserve">ability to recruit </w:t>
      </w:r>
      <w:r>
        <w:rPr>
          <w:rFonts w:ascii="Trebuchet MS" w:hAnsi="Trebuchet MS"/>
          <w:sz w:val="22"/>
        </w:rPr>
        <w:t xml:space="preserve">and retain </w:t>
      </w:r>
      <w:r w:rsidRPr="00A22182">
        <w:rPr>
          <w:rFonts w:ascii="Trebuchet MS" w:hAnsi="Trebuchet MS"/>
          <w:sz w:val="22"/>
        </w:rPr>
        <w:t>physicians</w:t>
      </w:r>
      <w:r>
        <w:rPr>
          <w:rFonts w:ascii="Trebuchet MS" w:hAnsi="Trebuchet MS"/>
          <w:sz w:val="22"/>
        </w:rPr>
        <w:t xml:space="preserve"> and other licensed professionals in the MRMC service area</w:t>
      </w:r>
      <w:r w:rsidRPr="00A22182">
        <w:rPr>
          <w:rFonts w:ascii="Trebuchet MS" w:hAnsi="Trebuchet MS"/>
          <w:sz w:val="22"/>
        </w:rPr>
        <w:t xml:space="preserve">, which </w:t>
      </w:r>
      <w:r w:rsidRPr="00A22182">
        <w:rPr>
          <w:rFonts w:ascii="Trebuchet MS" w:hAnsi="Trebuchet MS"/>
          <w:sz w:val="22"/>
        </w:rPr>
        <w:lastRenderedPageBreak/>
        <w:t xml:space="preserve">will enhance access to primary and specialty care and support the existence of high quality and cost-effective care in the </w:t>
      </w:r>
      <w:r>
        <w:rPr>
          <w:rFonts w:ascii="Trebuchet MS" w:hAnsi="Trebuchet MS"/>
          <w:sz w:val="22"/>
        </w:rPr>
        <w:t xml:space="preserve">MRMC </w:t>
      </w:r>
      <w:r w:rsidRPr="00A22182">
        <w:rPr>
          <w:rFonts w:ascii="Trebuchet MS" w:hAnsi="Trebuchet MS"/>
          <w:sz w:val="22"/>
        </w:rPr>
        <w:t xml:space="preserve">service area, an area with limited public transportation. The Proposed Project will also allow UMMHC to expand its physician and community hospital network to ensure that patients continue to have access to high quality, cost-effective health care services in the most appropriate clinical setting. UMass Memorial Medical Center regularly operates at capacity and often has no room for additional patients, so it is a key priority of UMMHC to keep hospital-based care local for patients who can be served by a community hospital. UMMHC’s strategy is to support clinical care in its community hospitals </w:t>
      </w:r>
      <w:proofErr w:type="gramStart"/>
      <w:r w:rsidRPr="00A22182">
        <w:rPr>
          <w:rFonts w:ascii="Trebuchet MS" w:hAnsi="Trebuchet MS"/>
          <w:sz w:val="22"/>
        </w:rPr>
        <w:t>in order to</w:t>
      </w:r>
      <w:proofErr w:type="gramEnd"/>
      <w:r w:rsidRPr="00A22182">
        <w:rPr>
          <w:rFonts w:ascii="Trebuchet MS" w:hAnsi="Trebuchet MS"/>
          <w:sz w:val="22"/>
        </w:rPr>
        <w:t xml:space="preserve"> keep care accessible and affordable. The greater alignment with </w:t>
      </w:r>
      <w:r>
        <w:rPr>
          <w:rFonts w:ascii="Trebuchet MS" w:hAnsi="Trebuchet MS"/>
          <w:sz w:val="22"/>
        </w:rPr>
        <w:t>MRMC</w:t>
      </w:r>
      <w:r w:rsidRPr="00A22182">
        <w:rPr>
          <w:rFonts w:ascii="Trebuchet MS" w:hAnsi="Trebuchet MS"/>
          <w:sz w:val="22"/>
        </w:rPr>
        <w:t xml:space="preserve"> is intended to allow patients in the </w:t>
      </w:r>
      <w:r>
        <w:rPr>
          <w:rFonts w:ascii="Trebuchet MS" w:hAnsi="Trebuchet MS"/>
          <w:sz w:val="22"/>
        </w:rPr>
        <w:t>MRMC</w:t>
      </w:r>
      <w:r w:rsidRPr="00A22182">
        <w:rPr>
          <w:rFonts w:ascii="Trebuchet MS" w:hAnsi="Trebuchet MS"/>
          <w:sz w:val="22"/>
        </w:rPr>
        <w:t xml:space="preserve"> service area to remain in that service area. Although </w:t>
      </w:r>
      <w:r>
        <w:rPr>
          <w:rFonts w:ascii="Trebuchet MS" w:hAnsi="Trebuchet MS"/>
          <w:sz w:val="22"/>
        </w:rPr>
        <w:t xml:space="preserve">MRMC </w:t>
      </w:r>
      <w:r w:rsidRPr="00A22182">
        <w:rPr>
          <w:rFonts w:ascii="Trebuchet MS" w:hAnsi="Trebuchet MS"/>
          <w:sz w:val="22"/>
        </w:rPr>
        <w:t xml:space="preserve">currently relies on UMMHC for specialists, the Proposed Project will further align specialist coverage between the two systems. </w:t>
      </w:r>
      <w:r w:rsidRPr="000E408C">
        <w:rPr>
          <w:rFonts w:ascii="Trebuchet MS" w:hAnsi="Trebuchet MS"/>
          <w:sz w:val="22"/>
        </w:rPr>
        <w:t>Since it is difficult for an independent community hospital to effectively attract and maintain specialists, MRMC’s access to UMMHC’s broader network of specialist coverage is expected to support the recruitment of additional health care providers and enhance patient access to care in South Worcester County. Retaining and enhancing patient access to local specialty care allows patients to avoid travelling outside of the MRMC service area for specialty care, which is typically provided at a more expensive tertiary level of care.</w:t>
      </w:r>
    </w:p>
    <w:p w14:paraId="3B5ADECC" w14:textId="77777777" w:rsidR="00DA45D2" w:rsidRPr="00A22182" w:rsidRDefault="00DA45D2" w:rsidP="00DA45D2">
      <w:pPr>
        <w:spacing w:line="480" w:lineRule="auto"/>
        <w:jc w:val="both"/>
        <w:rPr>
          <w:rFonts w:ascii="Trebuchet MS" w:hAnsi="Trebuchet MS"/>
          <w:sz w:val="22"/>
        </w:rPr>
      </w:pPr>
    </w:p>
    <w:p w14:paraId="28220DE7" w14:textId="77777777" w:rsidR="00DA45D2" w:rsidRPr="00A22182" w:rsidRDefault="00DA45D2" w:rsidP="00DA45D2">
      <w:pPr>
        <w:spacing w:line="480" w:lineRule="auto"/>
        <w:jc w:val="both"/>
        <w:rPr>
          <w:rFonts w:ascii="Trebuchet MS" w:hAnsi="Trebuchet MS"/>
          <w:sz w:val="22"/>
        </w:rPr>
      </w:pPr>
      <w:r w:rsidRPr="00A22182">
        <w:rPr>
          <w:rFonts w:ascii="Trebuchet MS" w:hAnsi="Trebuchet MS"/>
          <w:sz w:val="22"/>
        </w:rPr>
        <w:t xml:space="preserve">Importantly, the Proposed Project advances UMMHC’s strategic priority of health equity and fully integrates </w:t>
      </w:r>
      <w:r>
        <w:rPr>
          <w:rFonts w:ascii="Trebuchet MS" w:hAnsi="Trebuchet MS"/>
          <w:sz w:val="22"/>
        </w:rPr>
        <w:t>MRMC</w:t>
      </w:r>
      <w:r w:rsidRPr="00A22182">
        <w:rPr>
          <w:rFonts w:ascii="Trebuchet MS" w:hAnsi="Trebuchet MS"/>
          <w:sz w:val="22"/>
        </w:rPr>
        <w:t xml:space="preserve"> into UMMHC’s health equity work. The Proposed Project includes community investment funding for social determinants of health in the </w:t>
      </w:r>
      <w:r>
        <w:rPr>
          <w:rFonts w:ascii="Trebuchet MS" w:hAnsi="Trebuchet MS"/>
          <w:sz w:val="22"/>
        </w:rPr>
        <w:t>MRMC</w:t>
      </w:r>
      <w:r w:rsidRPr="00A22182">
        <w:rPr>
          <w:rFonts w:ascii="Trebuchet MS" w:hAnsi="Trebuchet MS"/>
          <w:sz w:val="22"/>
        </w:rPr>
        <w:t xml:space="preserve"> service area</w:t>
      </w:r>
      <w:r>
        <w:rPr>
          <w:rFonts w:ascii="Trebuchet MS" w:hAnsi="Trebuchet MS"/>
          <w:sz w:val="22"/>
        </w:rPr>
        <w:t>.</w:t>
      </w:r>
      <w:r w:rsidRPr="00C13B0A">
        <w:rPr>
          <w:rFonts w:ascii="Trebuchet MS" w:hAnsi="Trebuchet MS"/>
          <w:sz w:val="22"/>
        </w:rPr>
        <w:t xml:space="preserve"> </w:t>
      </w:r>
      <w:r w:rsidRPr="00C8337F">
        <w:rPr>
          <w:rFonts w:ascii="Trebuchet MS" w:eastAsia="Tahoma" w:hAnsi="Trebuchet MS" w:cstheme="minorHAnsi"/>
          <w:color w:val="000000"/>
          <w:sz w:val="22"/>
        </w:rPr>
        <w:t>In the most recent 2021 MRMC Community Health Needs Assessment, MRMC identified homelessness, food insecurity, health care access and outcomes, behavioral health and substance use as focused priorities.</w:t>
      </w:r>
    </w:p>
    <w:p w14:paraId="3D7C2FEF" w14:textId="77777777" w:rsidR="00DA45D2" w:rsidRPr="00A22182" w:rsidRDefault="00DA45D2" w:rsidP="00DA45D2">
      <w:pPr>
        <w:spacing w:line="480" w:lineRule="auto"/>
        <w:jc w:val="both"/>
        <w:rPr>
          <w:rFonts w:ascii="Trebuchet MS" w:hAnsi="Trebuchet MS"/>
          <w:sz w:val="22"/>
        </w:rPr>
      </w:pPr>
    </w:p>
    <w:p w14:paraId="6047B592" w14:textId="77777777" w:rsidR="00DA45D2" w:rsidRPr="00A22182" w:rsidRDefault="00DA45D2" w:rsidP="00DA45D2">
      <w:pPr>
        <w:spacing w:line="480" w:lineRule="auto"/>
        <w:jc w:val="both"/>
        <w:rPr>
          <w:rFonts w:ascii="Trebuchet MS" w:hAnsi="Trebuchet MS"/>
          <w:sz w:val="22"/>
        </w:rPr>
      </w:pPr>
      <w:r w:rsidRPr="00A22182">
        <w:rPr>
          <w:rFonts w:ascii="Trebuchet MS" w:hAnsi="Trebuchet MS"/>
          <w:sz w:val="22"/>
        </w:rPr>
        <w:lastRenderedPageBreak/>
        <w:t xml:space="preserve">Finally, the Proposed Project will allow </w:t>
      </w:r>
      <w:r>
        <w:rPr>
          <w:rFonts w:ascii="Trebuchet MS" w:hAnsi="Trebuchet MS"/>
          <w:sz w:val="22"/>
        </w:rPr>
        <w:t>MRMC</w:t>
      </w:r>
      <w:r w:rsidRPr="00A22182">
        <w:rPr>
          <w:rFonts w:ascii="Trebuchet MS" w:hAnsi="Trebuchet MS"/>
          <w:sz w:val="22"/>
        </w:rPr>
        <w:t xml:space="preserve"> to remain financially viable.</w:t>
      </w:r>
      <w:r>
        <w:rPr>
          <w:rFonts w:ascii="Trebuchet MS" w:hAnsi="Trebuchet MS"/>
          <w:sz w:val="22"/>
        </w:rPr>
        <w:t xml:space="preserve"> </w:t>
      </w:r>
      <w:r w:rsidRPr="00A22182">
        <w:rPr>
          <w:rFonts w:ascii="Trebuchet MS" w:hAnsi="Trebuchet MS"/>
          <w:sz w:val="22"/>
        </w:rPr>
        <w:t xml:space="preserve">The Proposed Project will allow </w:t>
      </w:r>
      <w:r>
        <w:rPr>
          <w:rFonts w:ascii="Trebuchet MS" w:hAnsi="Trebuchet MS"/>
          <w:sz w:val="22"/>
        </w:rPr>
        <w:t>MRMC</w:t>
      </w:r>
      <w:r w:rsidRPr="00A22182">
        <w:rPr>
          <w:rFonts w:ascii="Trebuchet MS" w:hAnsi="Trebuchet MS"/>
          <w:sz w:val="22"/>
        </w:rPr>
        <w:t xml:space="preserve">, as an affiliate of UMMHC, to </w:t>
      </w:r>
      <w:r>
        <w:rPr>
          <w:rFonts w:ascii="Trebuchet MS" w:hAnsi="Trebuchet MS"/>
          <w:sz w:val="22"/>
        </w:rPr>
        <w:t xml:space="preserve">support and </w:t>
      </w:r>
      <w:r w:rsidRPr="00A22182">
        <w:rPr>
          <w:rFonts w:ascii="Trebuchet MS" w:hAnsi="Trebuchet MS"/>
          <w:sz w:val="22"/>
        </w:rPr>
        <w:t xml:space="preserve">improve access to high quality care in the </w:t>
      </w:r>
      <w:r>
        <w:rPr>
          <w:rFonts w:ascii="Trebuchet MS" w:hAnsi="Trebuchet MS"/>
          <w:sz w:val="22"/>
        </w:rPr>
        <w:t xml:space="preserve">MRMC </w:t>
      </w:r>
      <w:r w:rsidRPr="00A22182">
        <w:rPr>
          <w:rFonts w:ascii="Trebuchet MS" w:hAnsi="Trebuchet MS"/>
          <w:sz w:val="22"/>
        </w:rPr>
        <w:t xml:space="preserve">service area with no expected material impact on </w:t>
      </w:r>
      <w:r>
        <w:rPr>
          <w:rFonts w:ascii="Trebuchet MS" w:hAnsi="Trebuchet MS"/>
          <w:sz w:val="22"/>
        </w:rPr>
        <w:t>costs to the overall health care system in the Commonwealth</w:t>
      </w:r>
      <w:r w:rsidRPr="00A22182">
        <w:rPr>
          <w:rFonts w:ascii="Trebuchet MS" w:hAnsi="Trebuchet MS"/>
          <w:sz w:val="22"/>
        </w:rPr>
        <w:t xml:space="preserve">. </w:t>
      </w:r>
      <w:r w:rsidRPr="00614080">
        <w:rPr>
          <w:rFonts w:ascii="Trebuchet MS" w:hAnsi="Trebuchet MS"/>
          <w:sz w:val="22"/>
        </w:rPr>
        <w:t>MRMC has experienced increased operating losses in recent years, and it is projected that such losses will continue if MRMC continues to operate as an independent community hospital.</w:t>
      </w:r>
      <w:r w:rsidRPr="00A22182">
        <w:rPr>
          <w:rFonts w:ascii="Trebuchet MS" w:hAnsi="Trebuchet MS"/>
          <w:sz w:val="22"/>
        </w:rPr>
        <w:t xml:space="preserve"> As with </w:t>
      </w:r>
      <w:r>
        <w:rPr>
          <w:rFonts w:ascii="Trebuchet MS" w:hAnsi="Trebuchet MS"/>
          <w:sz w:val="22"/>
        </w:rPr>
        <w:t>all other</w:t>
      </w:r>
      <w:r w:rsidRPr="00A22182">
        <w:rPr>
          <w:rFonts w:ascii="Trebuchet MS" w:hAnsi="Trebuchet MS"/>
          <w:sz w:val="22"/>
        </w:rPr>
        <w:t xml:space="preserve"> independent community health systems/hospitals in Massachusetts, </w:t>
      </w:r>
      <w:r>
        <w:rPr>
          <w:rFonts w:ascii="Trebuchet MS" w:hAnsi="Trebuchet MS"/>
          <w:sz w:val="22"/>
        </w:rPr>
        <w:t>MRMC’S</w:t>
      </w:r>
      <w:r w:rsidRPr="00A22182">
        <w:rPr>
          <w:rFonts w:ascii="Trebuchet MS" w:hAnsi="Trebuchet MS"/>
          <w:sz w:val="22"/>
        </w:rPr>
        <w:t xml:space="preserve"> future long-term viability as a stand-alone community hospital is threatened</w:t>
      </w:r>
      <w:r>
        <w:rPr>
          <w:rFonts w:ascii="Trebuchet MS" w:hAnsi="Trebuchet MS"/>
          <w:sz w:val="22"/>
        </w:rPr>
        <w:t xml:space="preserve"> and will be increasingly difficult to sustain</w:t>
      </w:r>
      <w:r w:rsidRPr="00A22182">
        <w:rPr>
          <w:rFonts w:ascii="Trebuchet MS" w:hAnsi="Trebuchet MS"/>
          <w:sz w:val="22"/>
        </w:rPr>
        <w:t xml:space="preserve">. The Proposed Project will strengthen </w:t>
      </w:r>
      <w:r>
        <w:rPr>
          <w:rFonts w:ascii="Trebuchet MS" w:hAnsi="Trebuchet MS"/>
          <w:sz w:val="22"/>
        </w:rPr>
        <w:t>MRMC</w:t>
      </w:r>
      <w:r w:rsidRPr="00A22182">
        <w:rPr>
          <w:rFonts w:ascii="Trebuchet MS" w:hAnsi="Trebuchet MS"/>
          <w:sz w:val="22"/>
        </w:rPr>
        <w:t>’</w:t>
      </w:r>
      <w:r>
        <w:rPr>
          <w:rFonts w:ascii="Trebuchet MS" w:hAnsi="Trebuchet MS"/>
          <w:sz w:val="22"/>
        </w:rPr>
        <w:t>S</w:t>
      </w:r>
      <w:r w:rsidRPr="00A22182">
        <w:rPr>
          <w:rFonts w:ascii="Trebuchet MS" w:hAnsi="Trebuchet MS"/>
          <w:sz w:val="22"/>
        </w:rPr>
        <w:t xml:space="preserve"> financial viability through financial support, operational efficiencies, and greater clinical alignment. </w:t>
      </w:r>
    </w:p>
    <w:p w14:paraId="3A0D8266" w14:textId="77777777" w:rsidR="00DA45D2" w:rsidRPr="00A22182" w:rsidRDefault="00DA45D2" w:rsidP="00DA45D2">
      <w:pPr>
        <w:spacing w:line="480" w:lineRule="auto"/>
        <w:jc w:val="both"/>
        <w:rPr>
          <w:rFonts w:ascii="Trebuchet MS" w:hAnsi="Trebuchet MS"/>
          <w:sz w:val="22"/>
        </w:rPr>
      </w:pPr>
    </w:p>
    <w:p w14:paraId="33504D29" w14:textId="77777777" w:rsidR="00DA45D2" w:rsidRDefault="00DA45D2" w:rsidP="00DA45D2">
      <w:pPr>
        <w:spacing w:line="480" w:lineRule="auto"/>
        <w:jc w:val="both"/>
        <w:rPr>
          <w:rFonts w:ascii="Trebuchet MS" w:hAnsi="Trebuchet MS"/>
          <w:sz w:val="22"/>
        </w:rPr>
      </w:pPr>
      <w:r w:rsidRPr="00A22182">
        <w:rPr>
          <w:rFonts w:ascii="Trebuchet MS" w:hAnsi="Trebuchet MS"/>
          <w:sz w:val="22"/>
        </w:rPr>
        <w:t>In sum, the Proposed Project, will add measurable public health value for the patient</w:t>
      </w:r>
      <w:r>
        <w:rPr>
          <w:rFonts w:ascii="Trebuchet MS" w:hAnsi="Trebuchet MS"/>
          <w:sz w:val="22"/>
        </w:rPr>
        <w:t>s and communities</w:t>
      </w:r>
      <w:r w:rsidRPr="00A22182">
        <w:rPr>
          <w:rFonts w:ascii="Trebuchet MS" w:hAnsi="Trebuchet MS"/>
          <w:sz w:val="22"/>
        </w:rPr>
        <w:t xml:space="preserve"> served by both UMMHC and </w:t>
      </w:r>
      <w:r>
        <w:rPr>
          <w:rFonts w:ascii="Trebuchet MS" w:hAnsi="Trebuchet MS"/>
          <w:sz w:val="22"/>
        </w:rPr>
        <w:t>MRMC</w:t>
      </w:r>
      <w:r w:rsidRPr="00A22182">
        <w:rPr>
          <w:rFonts w:ascii="Trebuchet MS" w:hAnsi="Trebuchet MS"/>
          <w:sz w:val="22"/>
        </w:rPr>
        <w:t xml:space="preserve"> and will </w:t>
      </w:r>
      <w:r>
        <w:rPr>
          <w:rFonts w:ascii="Trebuchet MS" w:hAnsi="Trebuchet MS"/>
          <w:sz w:val="22"/>
        </w:rPr>
        <w:t xml:space="preserve">bolster the ability of MRMC </w:t>
      </w:r>
      <w:r w:rsidRPr="00A22182">
        <w:rPr>
          <w:rFonts w:ascii="Trebuchet MS" w:hAnsi="Trebuchet MS"/>
          <w:sz w:val="22"/>
        </w:rPr>
        <w:t>to continue to provide high-quality, low-cost health care to the residents of South Worcester County.</w:t>
      </w:r>
    </w:p>
    <w:p w14:paraId="2AACEA06" w14:textId="77777777" w:rsidR="00DA45D2" w:rsidRPr="00A22182" w:rsidRDefault="00DA45D2" w:rsidP="00DA45D2">
      <w:pPr>
        <w:tabs>
          <w:tab w:val="left" w:pos="720"/>
        </w:tabs>
        <w:spacing w:line="480" w:lineRule="auto"/>
        <w:jc w:val="both"/>
        <w:rPr>
          <w:rFonts w:ascii="Trebuchet MS" w:hAnsi="Trebuchet MS"/>
          <w:sz w:val="22"/>
        </w:rPr>
      </w:pPr>
    </w:p>
    <w:p w14:paraId="469AB0A3" w14:textId="77777777" w:rsidR="00DA45D2" w:rsidRPr="00A22182" w:rsidRDefault="00DA45D2" w:rsidP="00DA45D2">
      <w:pPr>
        <w:pStyle w:val="Heading1"/>
        <w:keepNext w:val="0"/>
        <w:numPr>
          <w:ilvl w:val="0"/>
          <w:numId w:val="1"/>
        </w:numPr>
        <w:tabs>
          <w:tab w:val="left" w:pos="144"/>
          <w:tab w:val="num" w:pos="360"/>
          <w:tab w:val="left" w:pos="1224"/>
          <w:tab w:val="left" w:pos="1674"/>
          <w:tab w:val="left" w:pos="5364"/>
          <w:tab w:val="left" w:pos="5994"/>
          <w:tab w:val="left" w:pos="8244"/>
        </w:tabs>
        <w:spacing w:before="0" w:after="0" w:line="480" w:lineRule="auto"/>
        <w:ind w:left="0" w:hanging="720"/>
        <w:rPr>
          <w:rFonts w:ascii="Trebuchet MS" w:hAnsi="Trebuchet MS"/>
          <w:sz w:val="22"/>
          <w:szCs w:val="22"/>
        </w:rPr>
      </w:pPr>
      <w:r w:rsidRPr="00A22182">
        <w:rPr>
          <w:rFonts w:ascii="Trebuchet MS" w:hAnsi="Trebuchet MS"/>
          <w:sz w:val="22"/>
          <w:szCs w:val="22"/>
        </w:rPr>
        <w:t>SCOPE OF REPORT</w:t>
      </w:r>
    </w:p>
    <w:p w14:paraId="3777297E" w14:textId="77777777" w:rsidR="00DA45D2" w:rsidRPr="00A22182" w:rsidRDefault="00DA45D2" w:rsidP="00DA45D2">
      <w:pPr>
        <w:jc w:val="both"/>
        <w:rPr>
          <w:rFonts w:ascii="Trebuchet MS" w:hAnsi="Trebuchet MS"/>
          <w:b/>
          <w:sz w:val="22"/>
          <w:u w:val="single"/>
        </w:rPr>
      </w:pPr>
    </w:p>
    <w:p w14:paraId="717F9D2A" w14:textId="77777777" w:rsidR="00DA45D2" w:rsidRPr="00A22182" w:rsidRDefault="00DA45D2" w:rsidP="00DA45D2">
      <w:pPr>
        <w:tabs>
          <w:tab w:val="left" w:pos="720"/>
        </w:tabs>
        <w:spacing w:line="480" w:lineRule="auto"/>
        <w:jc w:val="both"/>
        <w:rPr>
          <w:rFonts w:ascii="Trebuchet MS" w:hAnsi="Trebuchet MS"/>
          <w:sz w:val="22"/>
        </w:rPr>
      </w:pPr>
      <w:r w:rsidRPr="00A22182">
        <w:rPr>
          <w:rFonts w:ascii="Trebuchet MS" w:hAnsi="Trebuchet MS"/>
          <w:sz w:val="22"/>
        </w:rPr>
        <w:t xml:space="preserve">The scope of this report is limited to an analysis of the </w:t>
      </w:r>
      <w:r>
        <w:rPr>
          <w:rFonts w:ascii="Trebuchet MS" w:hAnsi="Trebuchet MS"/>
          <w:sz w:val="22"/>
        </w:rPr>
        <w:t>six</w:t>
      </w:r>
      <w:r w:rsidRPr="00A22182">
        <w:rPr>
          <w:rFonts w:ascii="Trebuchet MS" w:hAnsi="Trebuchet MS"/>
          <w:sz w:val="22"/>
        </w:rPr>
        <w:t>-year Projection</w:t>
      </w:r>
      <w:r>
        <w:rPr>
          <w:rFonts w:ascii="Trebuchet MS" w:hAnsi="Trebuchet MS"/>
          <w:sz w:val="22"/>
        </w:rPr>
        <w:t>s</w:t>
      </w:r>
      <w:r w:rsidRPr="00A22182">
        <w:rPr>
          <w:rFonts w:ascii="Trebuchet MS" w:hAnsi="Trebuchet MS"/>
          <w:sz w:val="22"/>
        </w:rPr>
        <w:t xml:space="preserve"> for the fiscal years ending September 30, </w:t>
      </w:r>
      <w:proofErr w:type="gramStart"/>
      <w:r w:rsidRPr="00A22182">
        <w:rPr>
          <w:rFonts w:ascii="Trebuchet MS" w:hAnsi="Trebuchet MS"/>
          <w:sz w:val="22"/>
        </w:rPr>
        <w:t>202</w:t>
      </w:r>
      <w:r>
        <w:rPr>
          <w:rFonts w:ascii="Trebuchet MS" w:hAnsi="Trebuchet MS"/>
          <w:sz w:val="22"/>
        </w:rPr>
        <w:t>4</w:t>
      </w:r>
      <w:proofErr w:type="gramEnd"/>
      <w:r w:rsidRPr="00A22182">
        <w:rPr>
          <w:rFonts w:ascii="Trebuchet MS" w:hAnsi="Trebuchet MS"/>
          <w:sz w:val="22"/>
        </w:rPr>
        <w:t xml:space="preserve"> through 202</w:t>
      </w:r>
      <w:r>
        <w:rPr>
          <w:rFonts w:ascii="Trebuchet MS" w:hAnsi="Trebuchet MS"/>
          <w:sz w:val="22"/>
        </w:rPr>
        <w:t>9</w:t>
      </w:r>
      <w:r w:rsidRPr="00A22182">
        <w:rPr>
          <w:rFonts w:ascii="Trebuchet MS" w:hAnsi="Trebuchet MS"/>
          <w:sz w:val="22"/>
        </w:rPr>
        <w:t>, prepared by Management, and the supporting documentation in order to render an opinion as to the reasonableness of assumptions used in the preparation and feasibility of the Projections. Reasonableness is defined within the context of this report as supportable and proper, given the underlying information. Feasibility is defined as based on the assumptions used, the Proposed Projects are not likely to result in a liquidation of the underlying assets or the need for reorganization.</w:t>
      </w:r>
    </w:p>
    <w:p w14:paraId="47BD3EA8" w14:textId="77777777" w:rsidR="00DA45D2" w:rsidRPr="00A22182" w:rsidRDefault="00DA45D2" w:rsidP="00DA45D2">
      <w:pPr>
        <w:tabs>
          <w:tab w:val="left" w:pos="720"/>
        </w:tabs>
        <w:spacing w:line="480" w:lineRule="auto"/>
        <w:jc w:val="both"/>
        <w:rPr>
          <w:rFonts w:ascii="Trebuchet MS" w:hAnsi="Trebuchet MS"/>
          <w:sz w:val="22"/>
          <w:highlight w:val="yellow"/>
        </w:rPr>
      </w:pPr>
    </w:p>
    <w:p w14:paraId="42198A2C" w14:textId="77777777" w:rsidR="00DA45D2" w:rsidRPr="00A22182" w:rsidRDefault="00DA45D2" w:rsidP="00DA45D2">
      <w:pPr>
        <w:tabs>
          <w:tab w:val="left" w:pos="720"/>
        </w:tabs>
        <w:spacing w:line="480" w:lineRule="auto"/>
        <w:jc w:val="both"/>
        <w:rPr>
          <w:rFonts w:ascii="Trebuchet MS" w:hAnsi="Trebuchet MS"/>
          <w:sz w:val="22"/>
        </w:rPr>
      </w:pPr>
      <w:r w:rsidRPr="00A22182">
        <w:rPr>
          <w:rFonts w:ascii="Trebuchet MS" w:hAnsi="Trebuchet MS"/>
          <w:sz w:val="22"/>
        </w:rPr>
        <w:lastRenderedPageBreak/>
        <w:t xml:space="preserve">This report is based on prospective financial information provided to us by Management. BDO understands the prospective financial information was developed as </w:t>
      </w:r>
      <w:r w:rsidRPr="00545692">
        <w:rPr>
          <w:rFonts w:ascii="Trebuchet MS" w:hAnsi="Trebuchet MS"/>
          <w:sz w:val="22"/>
        </w:rPr>
        <w:t xml:space="preserve">of </w:t>
      </w:r>
      <w:r>
        <w:rPr>
          <w:rFonts w:ascii="Trebuchet MS" w:hAnsi="Trebuchet MS"/>
          <w:sz w:val="22"/>
        </w:rPr>
        <w:t xml:space="preserve">January 4, </w:t>
      </w:r>
      <w:proofErr w:type="gramStart"/>
      <w:r>
        <w:rPr>
          <w:rFonts w:ascii="Trebuchet MS" w:hAnsi="Trebuchet MS"/>
          <w:sz w:val="22"/>
        </w:rPr>
        <w:t>2024</w:t>
      </w:r>
      <w:proofErr w:type="gramEnd"/>
      <w:r w:rsidRPr="00A22182">
        <w:rPr>
          <w:rFonts w:ascii="Trebuchet MS" w:hAnsi="Trebuchet MS"/>
          <w:sz w:val="22"/>
        </w:rPr>
        <w:t xml:space="preserve"> and is still representative of Management’s expectations as of the drafting of this report. BDO has not audited or performed any other form of attestation services on the projected financial information related to the operations of UMMHC (or </w:t>
      </w:r>
      <w:r>
        <w:rPr>
          <w:rFonts w:ascii="Trebuchet MS" w:hAnsi="Trebuchet MS"/>
          <w:sz w:val="22"/>
        </w:rPr>
        <w:t>MRMC</w:t>
      </w:r>
      <w:r w:rsidRPr="00A22182">
        <w:rPr>
          <w:rFonts w:ascii="Trebuchet MS" w:hAnsi="Trebuchet MS"/>
          <w:sz w:val="22"/>
        </w:rPr>
        <w:t>).</w:t>
      </w:r>
    </w:p>
    <w:p w14:paraId="68D69D56" w14:textId="77777777" w:rsidR="00DA45D2" w:rsidRPr="00A22182" w:rsidRDefault="00DA45D2" w:rsidP="00DA45D2">
      <w:pPr>
        <w:tabs>
          <w:tab w:val="left" w:pos="720"/>
        </w:tabs>
        <w:spacing w:line="480" w:lineRule="auto"/>
        <w:jc w:val="both"/>
        <w:rPr>
          <w:rFonts w:ascii="Trebuchet MS" w:hAnsi="Trebuchet MS"/>
          <w:sz w:val="22"/>
          <w:highlight w:val="yellow"/>
        </w:rPr>
      </w:pPr>
    </w:p>
    <w:p w14:paraId="0C5EE6E7" w14:textId="77777777" w:rsidR="00DA45D2" w:rsidRPr="00A22182" w:rsidRDefault="00DA45D2" w:rsidP="00DA45D2">
      <w:pPr>
        <w:tabs>
          <w:tab w:val="left" w:pos="720"/>
        </w:tabs>
        <w:spacing w:line="480" w:lineRule="auto"/>
        <w:jc w:val="both"/>
        <w:rPr>
          <w:rFonts w:ascii="Trebuchet MS" w:hAnsi="Trebuchet MS"/>
          <w:sz w:val="22"/>
        </w:rPr>
      </w:pPr>
      <w:r w:rsidRPr="00A22182">
        <w:rPr>
          <w:rFonts w:ascii="Trebuchet MS" w:hAnsi="Trebuchet MS"/>
          <w:sz w:val="22"/>
        </w:rPr>
        <w:t xml:space="preserve">If BDO had audited the underlying data, matters may have come to our attention that would have resulted in our using amounts that differ from those provided. Accordingly, we do not express an opinion or any other assurances on the underlying data or projections presented or relied upon in this report. We do not provide assurance on the achievability of the results forecasted by the Applicant because events and circumstances frequently do not occur as expected, and the achievement of the forecasted results is dependent on the actions, plans, and assumptions of Management. We reserve the right to update our analysis </w:t>
      </w:r>
      <w:proofErr w:type="gramStart"/>
      <w:r w:rsidRPr="00A22182">
        <w:rPr>
          <w:rFonts w:ascii="Trebuchet MS" w:hAnsi="Trebuchet MS"/>
          <w:sz w:val="22"/>
        </w:rPr>
        <w:t>in the event that</w:t>
      </w:r>
      <w:proofErr w:type="gramEnd"/>
      <w:r w:rsidRPr="00A22182">
        <w:rPr>
          <w:rFonts w:ascii="Trebuchet MS" w:hAnsi="Trebuchet MS"/>
          <w:sz w:val="22"/>
        </w:rPr>
        <w:t xml:space="preserve"> we are provided with additional information. </w:t>
      </w:r>
    </w:p>
    <w:bookmarkEnd w:id="1"/>
    <w:bookmarkEnd w:id="2"/>
    <w:p w14:paraId="2FCCECA8" w14:textId="77777777" w:rsidR="00DA45D2" w:rsidRPr="00A22182" w:rsidRDefault="00DA45D2" w:rsidP="00DA45D2">
      <w:pPr>
        <w:tabs>
          <w:tab w:val="left" w:pos="720"/>
        </w:tabs>
        <w:spacing w:line="480" w:lineRule="auto"/>
        <w:jc w:val="both"/>
        <w:rPr>
          <w:rFonts w:ascii="Trebuchet MS" w:hAnsi="Trebuchet MS"/>
          <w:sz w:val="22"/>
        </w:rPr>
      </w:pPr>
    </w:p>
    <w:p w14:paraId="639FC079" w14:textId="77777777" w:rsidR="00DA45D2" w:rsidRPr="00A22182" w:rsidRDefault="00DA45D2" w:rsidP="00DA45D2">
      <w:pPr>
        <w:pStyle w:val="Heading1"/>
        <w:keepNext w:val="0"/>
        <w:numPr>
          <w:ilvl w:val="0"/>
          <w:numId w:val="1"/>
        </w:numPr>
        <w:tabs>
          <w:tab w:val="left" w:pos="144"/>
          <w:tab w:val="num" w:pos="360"/>
          <w:tab w:val="left" w:pos="1224"/>
          <w:tab w:val="left" w:pos="1674"/>
          <w:tab w:val="left" w:pos="5364"/>
          <w:tab w:val="left" w:pos="5994"/>
          <w:tab w:val="left" w:pos="8244"/>
        </w:tabs>
        <w:spacing w:before="0" w:after="0" w:line="480" w:lineRule="auto"/>
        <w:ind w:left="0" w:hanging="720"/>
        <w:rPr>
          <w:rFonts w:ascii="Trebuchet MS" w:hAnsi="Trebuchet MS"/>
          <w:sz w:val="22"/>
          <w:szCs w:val="22"/>
        </w:rPr>
      </w:pPr>
      <w:bookmarkStart w:id="4" w:name="_Toc463886376"/>
      <w:bookmarkStart w:id="5" w:name="_Ref467150501"/>
      <w:r w:rsidRPr="00A22182">
        <w:rPr>
          <w:rFonts w:ascii="Trebuchet MS" w:hAnsi="Trebuchet MS"/>
          <w:sz w:val="22"/>
          <w:szCs w:val="22"/>
        </w:rPr>
        <w:t>SOURCES OF INFORMATION UTILIZED</w:t>
      </w:r>
      <w:bookmarkEnd w:id="4"/>
      <w:bookmarkEnd w:id="5"/>
    </w:p>
    <w:p w14:paraId="02A7BAD3" w14:textId="77777777" w:rsidR="00DA45D2" w:rsidRPr="00A22182" w:rsidRDefault="00DA45D2" w:rsidP="00DA45D2">
      <w:pPr>
        <w:spacing w:line="480" w:lineRule="auto"/>
        <w:jc w:val="both"/>
        <w:rPr>
          <w:rFonts w:ascii="Trebuchet MS" w:hAnsi="Trebuchet MS"/>
          <w:b/>
          <w:sz w:val="22"/>
          <w:u w:val="single"/>
        </w:rPr>
      </w:pPr>
    </w:p>
    <w:p w14:paraId="77B6F476" w14:textId="77777777" w:rsidR="00DA45D2" w:rsidRPr="00A22182" w:rsidRDefault="00DA45D2" w:rsidP="00DA45D2">
      <w:pPr>
        <w:spacing w:line="480" w:lineRule="auto"/>
        <w:jc w:val="both"/>
        <w:rPr>
          <w:rFonts w:ascii="Trebuchet MS" w:hAnsi="Trebuchet MS"/>
          <w:sz w:val="22"/>
        </w:rPr>
      </w:pPr>
      <w:r w:rsidRPr="00A22182">
        <w:rPr>
          <w:rFonts w:ascii="Trebuchet MS" w:hAnsi="Trebuchet MS"/>
          <w:sz w:val="22"/>
        </w:rPr>
        <w:t xml:space="preserve">In formulating our conclusions contained in this report, we reviewed documents produced by Management as well as third party industry data sources. The documents and information upon which we relied are identified below or are otherwise referenced in this report: </w:t>
      </w:r>
    </w:p>
    <w:p w14:paraId="40CD3B78" w14:textId="77777777" w:rsidR="00DA45D2" w:rsidRPr="00A22182" w:rsidRDefault="00DA45D2" w:rsidP="00DA45D2">
      <w:pPr>
        <w:spacing w:line="480" w:lineRule="auto"/>
        <w:jc w:val="both"/>
        <w:rPr>
          <w:rFonts w:ascii="Trebuchet MS" w:hAnsi="Trebuchet MS"/>
          <w:sz w:val="22"/>
          <w:highlight w:val="yellow"/>
        </w:rPr>
      </w:pPr>
    </w:p>
    <w:p w14:paraId="1C6F4B07" w14:textId="77777777" w:rsidR="00DA45D2" w:rsidRPr="00A22182" w:rsidRDefault="00DA45D2" w:rsidP="00DA45D2">
      <w:pPr>
        <w:numPr>
          <w:ilvl w:val="0"/>
          <w:numId w:val="2"/>
        </w:numPr>
        <w:spacing w:line="480" w:lineRule="auto"/>
        <w:jc w:val="both"/>
        <w:rPr>
          <w:rFonts w:ascii="Trebuchet MS" w:hAnsi="Trebuchet MS"/>
          <w:sz w:val="22"/>
        </w:rPr>
      </w:pPr>
      <w:r w:rsidRPr="00A22182">
        <w:rPr>
          <w:rFonts w:ascii="Trebuchet MS" w:hAnsi="Trebuchet MS"/>
          <w:sz w:val="22"/>
        </w:rPr>
        <w:t xml:space="preserve">Financial Model for UMMHC &amp; </w:t>
      </w:r>
      <w:r>
        <w:rPr>
          <w:rFonts w:ascii="Trebuchet MS" w:hAnsi="Trebuchet MS"/>
          <w:sz w:val="22"/>
        </w:rPr>
        <w:t>MRMC</w:t>
      </w:r>
      <w:r w:rsidRPr="00A22182">
        <w:rPr>
          <w:rFonts w:ascii="Trebuchet MS" w:hAnsi="Trebuchet MS"/>
          <w:sz w:val="22"/>
        </w:rPr>
        <w:t xml:space="preserve"> individually and on a combined basis for the periods ending September 30, </w:t>
      </w:r>
      <w:proofErr w:type="gramStart"/>
      <w:r w:rsidRPr="00A22182">
        <w:rPr>
          <w:rFonts w:ascii="Trebuchet MS" w:hAnsi="Trebuchet MS"/>
          <w:sz w:val="22"/>
        </w:rPr>
        <w:t>202</w:t>
      </w:r>
      <w:r>
        <w:rPr>
          <w:rFonts w:ascii="Trebuchet MS" w:hAnsi="Trebuchet MS"/>
          <w:sz w:val="22"/>
        </w:rPr>
        <w:t>4</w:t>
      </w:r>
      <w:proofErr w:type="gramEnd"/>
      <w:r w:rsidRPr="00A22182">
        <w:rPr>
          <w:rFonts w:ascii="Trebuchet MS" w:hAnsi="Trebuchet MS"/>
          <w:sz w:val="22"/>
        </w:rPr>
        <w:t xml:space="preserve"> through September 30, 202</w:t>
      </w:r>
      <w:r>
        <w:rPr>
          <w:rFonts w:ascii="Trebuchet MS" w:hAnsi="Trebuchet MS"/>
          <w:sz w:val="22"/>
        </w:rPr>
        <w:t>9</w:t>
      </w:r>
      <w:r w:rsidRPr="00A22182">
        <w:rPr>
          <w:rFonts w:ascii="Trebuchet MS" w:hAnsi="Trebuchet MS"/>
          <w:sz w:val="22"/>
        </w:rPr>
        <w:t>;</w:t>
      </w:r>
    </w:p>
    <w:p w14:paraId="749E1C9D" w14:textId="77777777" w:rsidR="00DA45D2" w:rsidRPr="00A22182" w:rsidRDefault="00DA45D2" w:rsidP="00DA45D2">
      <w:pPr>
        <w:numPr>
          <w:ilvl w:val="0"/>
          <w:numId w:val="2"/>
        </w:numPr>
        <w:spacing w:line="480" w:lineRule="auto"/>
        <w:jc w:val="both"/>
        <w:rPr>
          <w:rFonts w:ascii="Trebuchet MS" w:hAnsi="Trebuchet MS"/>
          <w:sz w:val="22"/>
        </w:rPr>
      </w:pPr>
      <w:r w:rsidRPr="00A22182">
        <w:rPr>
          <w:rFonts w:ascii="Trebuchet MS" w:hAnsi="Trebuchet MS"/>
          <w:sz w:val="22"/>
        </w:rPr>
        <w:lastRenderedPageBreak/>
        <w:t>Proposed fiscal year 202</w:t>
      </w:r>
      <w:r>
        <w:rPr>
          <w:rFonts w:ascii="Trebuchet MS" w:hAnsi="Trebuchet MS"/>
          <w:sz w:val="22"/>
        </w:rPr>
        <w:t>3 and 2024</w:t>
      </w:r>
      <w:r w:rsidRPr="00A22182">
        <w:rPr>
          <w:rFonts w:ascii="Trebuchet MS" w:hAnsi="Trebuchet MS"/>
          <w:sz w:val="22"/>
        </w:rPr>
        <w:t xml:space="preserve"> </w:t>
      </w:r>
      <w:r>
        <w:rPr>
          <w:rFonts w:ascii="Trebuchet MS" w:hAnsi="Trebuchet MS"/>
          <w:sz w:val="22"/>
        </w:rPr>
        <w:t xml:space="preserve">UMMHC </w:t>
      </w:r>
      <w:r w:rsidRPr="00A22182">
        <w:rPr>
          <w:rFonts w:ascii="Trebuchet MS" w:hAnsi="Trebuchet MS"/>
          <w:sz w:val="22"/>
        </w:rPr>
        <w:t>Budget Presentation to the</w:t>
      </w:r>
      <w:r>
        <w:rPr>
          <w:rFonts w:ascii="Trebuchet MS" w:hAnsi="Trebuchet MS"/>
          <w:sz w:val="22"/>
        </w:rPr>
        <w:t xml:space="preserve"> UMMHC</w:t>
      </w:r>
      <w:r w:rsidRPr="00A22182">
        <w:rPr>
          <w:rFonts w:ascii="Trebuchet MS" w:hAnsi="Trebuchet MS"/>
          <w:sz w:val="22"/>
        </w:rPr>
        <w:t xml:space="preserve"> Finance Committee on September 2</w:t>
      </w:r>
      <w:r>
        <w:rPr>
          <w:rFonts w:ascii="Trebuchet MS" w:hAnsi="Trebuchet MS"/>
          <w:sz w:val="22"/>
        </w:rPr>
        <w:t>6</w:t>
      </w:r>
      <w:r w:rsidRPr="00A22182">
        <w:rPr>
          <w:rFonts w:ascii="Trebuchet MS" w:hAnsi="Trebuchet MS"/>
          <w:sz w:val="22"/>
        </w:rPr>
        <w:t>, 202</w:t>
      </w:r>
      <w:r>
        <w:rPr>
          <w:rFonts w:ascii="Trebuchet MS" w:hAnsi="Trebuchet MS"/>
          <w:sz w:val="22"/>
        </w:rPr>
        <w:t xml:space="preserve">3, which also includes discussions regarding fiscal year 2023 </w:t>
      </w:r>
      <w:proofErr w:type="gramStart"/>
      <w:r>
        <w:rPr>
          <w:rFonts w:ascii="Trebuchet MS" w:hAnsi="Trebuchet MS"/>
          <w:sz w:val="22"/>
        </w:rPr>
        <w:t>performance</w:t>
      </w:r>
      <w:r w:rsidRPr="00A22182">
        <w:rPr>
          <w:rFonts w:ascii="Trebuchet MS" w:hAnsi="Trebuchet MS"/>
          <w:sz w:val="22"/>
        </w:rPr>
        <w:t>;</w:t>
      </w:r>
      <w:proofErr w:type="gramEnd"/>
    </w:p>
    <w:p w14:paraId="70BCA167" w14:textId="77777777" w:rsidR="00DA45D2" w:rsidRPr="00A22182" w:rsidRDefault="00DA45D2" w:rsidP="00DA45D2">
      <w:pPr>
        <w:numPr>
          <w:ilvl w:val="0"/>
          <w:numId w:val="2"/>
        </w:numPr>
        <w:spacing w:line="480" w:lineRule="auto"/>
        <w:jc w:val="both"/>
        <w:rPr>
          <w:rFonts w:ascii="Trebuchet MS" w:hAnsi="Trebuchet MS"/>
          <w:sz w:val="22"/>
        </w:rPr>
      </w:pPr>
      <w:r w:rsidRPr="00A22182">
        <w:rPr>
          <w:rFonts w:ascii="Trebuchet MS" w:hAnsi="Trebuchet MS"/>
          <w:sz w:val="22"/>
        </w:rPr>
        <w:t xml:space="preserve">Draft DON </w:t>
      </w:r>
      <w:r>
        <w:rPr>
          <w:rFonts w:ascii="Trebuchet MS" w:hAnsi="Trebuchet MS"/>
          <w:sz w:val="22"/>
        </w:rPr>
        <w:t xml:space="preserve">Narrative report as of February 2, </w:t>
      </w:r>
      <w:proofErr w:type="gramStart"/>
      <w:r>
        <w:rPr>
          <w:rFonts w:ascii="Trebuchet MS" w:hAnsi="Trebuchet MS"/>
          <w:sz w:val="22"/>
        </w:rPr>
        <w:t>2024</w:t>
      </w:r>
      <w:r w:rsidRPr="00A22182">
        <w:rPr>
          <w:rFonts w:ascii="Trebuchet MS" w:hAnsi="Trebuchet MS"/>
          <w:sz w:val="22"/>
        </w:rPr>
        <w:t>;</w:t>
      </w:r>
      <w:proofErr w:type="gramEnd"/>
    </w:p>
    <w:p w14:paraId="0F88DBB1" w14:textId="77777777" w:rsidR="00DA45D2" w:rsidRDefault="00DA45D2" w:rsidP="00DA45D2">
      <w:pPr>
        <w:numPr>
          <w:ilvl w:val="0"/>
          <w:numId w:val="2"/>
        </w:numPr>
        <w:spacing w:line="480" w:lineRule="auto"/>
        <w:jc w:val="both"/>
        <w:rPr>
          <w:rFonts w:ascii="Trebuchet MS" w:hAnsi="Trebuchet MS"/>
          <w:sz w:val="22"/>
        </w:rPr>
      </w:pPr>
      <w:r w:rsidRPr="00A22182">
        <w:rPr>
          <w:rFonts w:ascii="Trebuchet MS" w:hAnsi="Trebuchet MS"/>
          <w:sz w:val="22"/>
        </w:rPr>
        <w:t xml:space="preserve">Audited Financial Statements for both </w:t>
      </w:r>
      <w:bookmarkStart w:id="6" w:name="_Hlk57821392"/>
      <w:r w:rsidRPr="00A22182">
        <w:rPr>
          <w:rFonts w:ascii="Trebuchet MS" w:hAnsi="Trebuchet MS"/>
          <w:sz w:val="22"/>
        </w:rPr>
        <w:t xml:space="preserve">UMass Memorial Healthcare, Inc. </w:t>
      </w:r>
      <w:bookmarkEnd w:id="6"/>
      <w:r w:rsidRPr="00A22182">
        <w:rPr>
          <w:rFonts w:ascii="Trebuchet MS" w:hAnsi="Trebuchet MS"/>
          <w:sz w:val="22"/>
        </w:rPr>
        <w:t xml:space="preserve">and </w:t>
      </w:r>
      <w:r>
        <w:rPr>
          <w:rFonts w:ascii="Trebuchet MS" w:hAnsi="Trebuchet MS"/>
          <w:sz w:val="22"/>
        </w:rPr>
        <w:t>Milford Regional Medical Center</w:t>
      </w:r>
      <w:r w:rsidRPr="00A22182">
        <w:rPr>
          <w:rFonts w:ascii="Trebuchet MS" w:hAnsi="Trebuchet MS"/>
          <w:sz w:val="22"/>
        </w:rPr>
        <w:t xml:space="preserve">, Inc. for Fiscal Years Ended September 30, </w:t>
      </w:r>
      <w:proofErr w:type="gramStart"/>
      <w:r w:rsidRPr="00A22182">
        <w:rPr>
          <w:rFonts w:ascii="Trebuchet MS" w:hAnsi="Trebuchet MS"/>
          <w:sz w:val="22"/>
        </w:rPr>
        <w:t>20</w:t>
      </w:r>
      <w:r>
        <w:rPr>
          <w:rFonts w:ascii="Trebuchet MS" w:hAnsi="Trebuchet MS"/>
          <w:sz w:val="22"/>
        </w:rPr>
        <w:t>21</w:t>
      </w:r>
      <w:proofErr w:type="gramEnd"/>
      <w:r>
        <w:rPr>
          <w:rFonts w:ascii="Trebuchet MS" w:hAnsi="Trebuchet MS"/>
          <w:sz w:val="22"/>
        </w:rPr>
        <w:t xml:space="preserve"> through</w:t>
      </w:r>
      <w:r w:rsidRPr="00A22182">
        <w:rPr>
          <w:rFonts w:ascii="Trebuchet MS" w:hAnsi="Trebuchet MS"/>
          <w:sz w:val="22"/>
        </w:rPr>
        <w:t xml:space="preserve"> 20</w:t>
      </w:r>
      <w:r>
        <w:rPr>
          <w:rFonts w:ascii="Trebuchet MS" w:hAnsi="Trebuchet MS"/>
          <w:sz w:val="22"/>
        </w:rPr>
        <w:t>23</w:t>
      </w:r>
      <w:r w:rsidRPr="00A22182">
        <w:rPr>
          <w:rFonts w:ascii="Trebuchet MS" w:hAnsi="Trebuchet MS"/>
          <w:sz w:val="22"/>
        </w:rPr>
        <w:t>;</w:t>
      </w:r>
    </w:p>
    <w:p w14:paraId="1060BEBD" w14:textId="77777777" w:rsidR="00DA45D2" w:rsidRPr="006E6F28" w:rsidRDefault="00DA45D2" w:rsidP="00DA45D2">
      <w:pPr>
        <w:numPr>
          <w:ilvl w:val="0"/>
          <w:numId w:val="2"/>
        </w:numPr>
        <w:spacing w:line="480" w:lineRule="auto"/>
        <w:jc w:val="both"/>
        <w:rPr>
          <w:rFonts w:ascii="Trebuchet MS" w:hAnsi="Trebuchet MS"/>
          <w:sz w:val="22"/>
        </w:rPr>
      </w:pPr>
      <w:r>
        <w:rPr>
          <w:rFonts w:ascii="Trebuchet MS" w:hAnsi="Trebuchet MS"/>
          <w:sz w:val="22"/>
        </w:rPr>
        <w:t xml:space="preserve">Milford Savings Summary for FY 2025 prepared by Huron Consulting </w:t>
      </w:r>
      <w:proofErr w:type="gramStart"/>
      <w:r>
        <w:rPr>
          <w:rFonts w:ascii="Trebuchet MS" w:hAnsi="Trebuchet MS"/>
          <w:sz w:val="22"/>
        </w:rPr>
        <w:t>Group;</w:t>
      </w:r>
      <w:proofErr w:type="gramEnd"/>
    </w:p>
    <w:p w14:paraId="6A821D4B" w14:textId="77777777" w:rsidR="00DA45D2" w:rsidRDefault="00DA45D2" w:rsidP="00DA45D2">
      <w:pPr>
        <w:numPr>
          <w:ilvl w:val="0"/>
          <w:numId w:val="2"/>
        </w:numPr>
        <w:spacing w:line="480" w:lineRule="auto"/>
        <w:jc w:val="both"/>
        <w:rPr>
          <w:rFonts w:ascii="Trebuchet MS" w:hAnsi="Trebuchet MS"/>
          <w:sz w:val="22"/>
        </w:rPr>
      </w:pPr>
      <w:r w:rsidRPr="00A22182">
        <w:rPr>
          <w:rFonts w:ascii="Trebuchet MS" w:hAnsi="Trebuchet MS"/>
          <w:sz w:val="22"/>
        </w:rPr>
        <w:t xml:space="preserve">Definitive Healthcare </w:t>
      </w:r>
      <w:proofErr w:type="gramStart"/>
      <w:r w:rsidRPr="00A22182">
        <w:rPr>
          <w:rFonts w:ascii="Trebuchet MS" w:hAnsi="Trebuchet MS"/>
          <w:sz w:val="22"/>
        </w:rPr>
        <w:t>data;</w:t>
      </w:r>
      <w:proofErr w:type="gramEnd"/>
      <w:r w:rsidRPr="00A22182">
        <w:rPr>
          <w:rFonts w:ascii="Trebuchet MS" w:hAnsi="Trebuchet MS"/>
          <w:sz w:val="22"/>
        </w:rPr>
        <w:t xml:space="preserve"> </w:t>
      </w:r>
    </w:p>
    <w:p w14:paraId="1CAAAEC6" w14:textId="77777777" w:rsidR="00DA45D2" w:rsidRPr="00CC6BFF" w:rsidRDefault="00DA45D2" w:rsidP="00DA45D2">
      <w:pPr>
        <w:numPr>
          <w:ilvl w:val="0"/>
          <w:numId w:val="2"/>
        </w:numPr>
        <w:spacing w:line="480" w:lineRule="auto"/>
        <w:jc w:val="both"/>
        <w:rPr>
          <w:rFonts w:ascii="Trebuchet MS" w:hAnsi="Trebuchet MS"/>
          <w:sz w:val="22"/>
        </w:rPr>
      </w:pPr>
      <w:r w:rsidRPr="00C34204">
        <w:rPr>
          <w:rFonts w:ascii="Trebuchet MS" w:hAnsi="Trebuchet MS"/>
          <w:sz w:val="22"/>
        </w:rPr>
        <w:t xml:space="preserve">Data obtained from Integra Information, A Division of </w:t>
      </w:r>
      <w:proofErr w:type="spellStart"/>
      <w:r w:rsidRPr="00C34204">
        <w:rPr>
          <w:rFonts w:ascii="Trebuchet MS" w:hAnsi="Trebuchet MS"/>
          <w:sz w:val="22"/>
        </w:rPr>
        <w:t>Microbilt</w:t>
      </w:r>
      <w:proofErr w:type="spellEnd"/>
      <w:r w:rsidRPr="00C34204">
        <w:rPr>
          <w:rFonts w:ascii="Trebuchet MS" w:hAnsi="Trebuchet MS"/>
          <w:sz w:val="22"/>
        </w:rPr>
        <w:t xml:space="preserve"> Corporation as of </w:t>
      </w:r>
      <w:r>
        <w:rPr>
          <w:rFonts w:ascii="Trebuchet MS" w:hAnsi="Trebuchet MS"/>
          <w:sz w:val="22"/>
        </w:rPr>
        <w:t>August 4</w:t>
      </w:r>
      <w:r w:rsidRPr="00C34204">
        <w:rPr>
          <w:rFonts w:ascii="Trebuchet MS" w:hAnsi="Trebuchet MS"/>
          <w:sz w:val="22"/>
        </w:rPr>
        <w:t xml:space="preserve">, 2023; and, </w:t>
      </w:r>
    </w:p>
    <w:p w14:paraId="5AFFA451" w14:textId="77777777" w:rsidR="00DA45D2" w:rsidRPr="00B25DA2" w:rsidRDefault="00DA45D2" w:rsidP="00DA45D2">
      <w:pPr>
        <w:numPr>
          <w:ilvl w:val="0"/>
          <w:numId w:val="2"/>
        </w:numPr>
        <w:spacing w:line="480" w:lineRule="auto"/>
        <w:jc w:val="both"/>
        <w:rPr>
          <w:rFonts w:ascii="Trebuchet MS" w:hAnsi="Trebuchet MS"/>
          <w:sz w:val="22"/>
        </w:rPr>
      </w:pPr>
      <w:r w:rsidRPr="00CC6BFF">
        <w:rPr>
          <w:rFonts w:ascii="Trebuchet MS" w:hAnsi="Trebuchet MS"/>
          <w:sz w:val="22"/>
        </w:rPr>
        <w:t xml:space="preserve">IBISWorld Industry Report, Hospitals in the US, dated </w:t>
      </w:r>
      <w:r w:rsidRPr="00C8337F">
        <w:rPr>
          <w:rFonts w:ascii="Trebuchet MS" w:hAnsi="Trebuchet MS"/>
          <w:sz w:val="22"/>
        </w:rPr>
        <w:t>November 2023.</w:t>
      </w:r>
    </w:p>
    <w:p w14:paraId="1C4F8EB8" w14:textId="77777777" w:rsidR="00DA45D2" w:rsidRPr="00A22182" w:rsidRDefault="00DA45D2" w:rsidP="00DA45D2">
      <w:pPr>
        <w:spacing w:line="480" w:lineRule="auto"/>
        <w:jc w:val="both"/>
        <w:rPr>
          <w:rFonts w:ascii="Trebuchet MS" w:hAnsi="Trebuchet MS"/>
          <w:sz w:val="22"/>
        </w:rPr>
      </w:pPr>
    </w:p>
    <w:p w14:paraId="3322F3C6" w14:textId="77777777" w:rsidR="00DA45D2" w:rsidRPr="00B25DA2" w:rsidRDefault="00DA45D2" w:rsidP="00DA45D2">
      <w:pPr>
        <w:pStyle w:val="Heading1"/>
        <w:keepNext w:val="0"/>
        <w:numPr>
          <w:ilvl w:val="0"/>
          <w:numId w:val="1"/>
        </w:numPr>
        <w:tabs>
          <w:tab w:val="left" w:pos="144"/>
          <w:tab w:val="num" w:pos="360"/>
          <w:tab w:val="left" w:pos="1224"/>
          <w:tab w:val="left" w:pos="1674"/>
          <w:tab w:val="left" w:pos="5364"/>
          <w:tab w:val="left" w:pos="5994"/>
          <w:tab w:val="left" w:pos="8244"/>
        </w:tabs>
        <w:spacing w:before="0" w:after="0" w:line="480" w:lineRule="auto"/>
        <w:ind w:left="0" w:hanging="720"/>
        <w:rPr>
          <w:rFonts w:ascii="Trebuchet MS" w:hAnsi="Trebuchet MS"/>
          <w:sz w:val="22"/>
          <w:szCs w:val="22"/>
        </w:rPr>
      </w:pPr>
      <w:r w:rsidRPr="00A22182">
        <w:rPr>
          <w:rFonts w:ascii="Trebuchet MS" w:hAnsi="Trebuchet MS"/>
          <w:sz w:val="22"/>
          <w:szCs w:val="22"/>
        </w:rPr>
        <w:t>REVIEW OF THE PROJECTIONS</w:t>
      </w:r>
    </w:p>
    <w:p w14:paraId="5EEEBEFB" w14:textId="77777777" w:rsidR="00DA45D2" w:rsidRPr="00A22182" w:rsidRDefault="00DA45D2" w:rsidP="00DA45D2">
      <w:pPr>
        <w:tabs>
          <w:tab w:val="num" w:pos="1260"/>
        </w:tabs>
        <w:spacing w:line="480" w:lineRule="auto"/>
        <w:jc w:val="both"/>
        <w:rPr>
          <w:rFonts w:ascii="Trebuchet MS" w:hAnsi="Trebuchet MS"/>
          <w:sz w:val="22"/>
        </w:rPr>
      </w:pPr>
      <w:r w:rsidRPr="00A22182">
        <w:rPr>
          <w:rFonts w:ascii="Trebuchet MS" w:hAnsi="Trebuchet MS"/>
          <w:sz w:val="22"/>
        </w:rPr>
        <w:t xml:space="preserve">This section of our report summarizes our review of the reasonableness of the assumptions used and feasibility of the Projections. </w:t>
      </w:r>
    </w:p>
    <w:p w14:paraId="08218B0A" w14:textId="77777777" w:rsidR="00DA45D2" w:rsidRPr="00A22182" w:rsidRDefault="00DA45D2" w:rsidP="00DA45D2">
      <w:pPr>
        <w:tabs>
          <w:tab w:val="num" w:pos="1260"/>
        </w:tabs>
        <w:spacing w:line="480" w:lineRule="auto"/>
        <w:jc w:val="both"/>
        <w:rPr>
          <w:rFonts w:ascii="Trebuchet MS" w:hAnsi="Trebuchet MS"/>
          <w:sz w:val="22"/>
        </w:rPr>
      </w:pPr>
    </w:p>
    <w:p w14:paraId="09DFA8AC" w14:textId="77777777" w:rsidR="00DA45D2" w:rsidRDefault="00DA45D2" w:rsidP="00DA45D2">
      <w:pPr>
        <w:tabs>
          <w:tab w:val="num" w:pos="1260"/>
        </w:tabs>
        <w:spacing w:line="480" w:lineRule="auto"/>
        <w:jc w:val="both"/>
        <w:rPr>
          <w:rFonts w:ascii="Trebuchet MS" w:hAnsi="Trebuchet MS"/>
          <w:sz w:val="22"/>
        </w:rPr>
      </w:pPr>
      <w:r w:rsidRPr="00A22182">
        <w:rPr>
          <w:rFonts w:ascii="Trebuchet MS" w:hAnsi="Trebuchet MS"/>
          <w:sz w:val="22"/>
        </w:rPr>
        <w:t xml:space="preserve">The following table presents the Key Metrics, as defined below, which compare the forecasted operating results of the performance of UMMHC after the affiliation to market information from </w:t>
      </w:r>
      <w:r w:rsidRPr="00B26FD1">
        <w:rPr>
          <w:rFonts w:ascii="Trebuchet MS" w:hAnsi="Trebuchet MS"/>
          <w:sz w:val="22"/>
        </w:rPr>
        <w:t xml:space="preserve">Integra Reports (“Integra”), </w:t>
      </w:r>
      <w:r w:rsidRPr="00A22182">
        <w:rPr>
          <w:rFonts w:ascii="Trebuchet MS" w:hAnsi="Trebuchet MS"/>
          <w:sz w:val="22"/>
        </w:rPr>
        <w:t>IBISWorld, and Definitive Healthcare to assess the reasonableness of the Projections.</w:t>
      </w:r>
    </w:p>
    <w:p w14:paraId="64567E23" w14:textId="77777777" w:rsidR="00DA45D2" w:rsidRPr="00B616AF" w:rsidRDefault="00DA45D2" w:rsidP="00DA45D2">
      <w:pPr>
        <w:tabs>
          <w:tab w:val="num" w:pos="1260"/>
        </w:tabs>
        <w:spacing w:line="480" w:lineRule="auto"/>
        <w:jc w:val="both"/>
        <w:rPr>
          <w:rFonts w:ascii="Trebuchet MS" w:hAnsi="Trebuchet MS"/>
          <w:b/>
          <w:bCs/>
          <w:sz w:val="22"/>
        </w:rPr>
      </w:pPr>
      <w:r w:rsidRPr="00584795">
        <w:rPr>
          <w:rFonts w:ascii="Trebuchet MS" w:hAnsi="Trebuchet MS"/>
          <w:b/>
          <w:bCs/>
          <w:sz w:val="22"/>
        </w:rPr>
        <w:t>Projected Key Financial Metrics and Ratios</w:t>
      </w:r>
    </w:p>
    <w:tbl>
      <w:tblPr>
        <w:tblStyle w:val="TableGrid"/>
        <w:tblW w:w="8980" w:type="dxa"/>
        <w:jc w:val="center"/>
        <w:tblInd w:w="0" w:type="dxa"/>
        <w:tblLayout w:type="fixed"/>
        <w:tblLook w:val="04A0" w:firstRow="1" w:lastRow="0" w:firstColumn="1" w:lastColumn="0" w:noHBand="0" w:noVBand="1"/>
        <w:tblCaption w:val="CMCC and Franciscan Combined Projected Key Financial Metrics and Ratios"/>
      </w:tblPr>
      <w:tblGrid>
        <w:gridCol w:w="2797"/>
        <w:gridCol w:w="1030"/>
        <w:gridCol w:w="1030"/>
        <w:gridCol w:w="1030"/>
        <w:gridCol w:w="1030"/>
        <w:gridCol w:w="1012"/>
        <w:gridCol w:w="1051"/>
      </w:tblGrid>
      <w:tr w:rsidR="00DA45D2" w14:paraId="241E4873" w14:textId="77777777" w:rsidTr="00A07503">
        <w:trPr>
          <w:cantSplit/>
          <w:trHeight w:val="416"/>
          <w:tblHeader/>
          <w:jc w:val="center"/>
        </w:trPr>
        <w:tc>
          <w:tcPr>
            <w:tcW w:w="2797" w:type="dxa"/>
            <w:vAlign w:val="center"/>
          </w:tcPr>
          <w:p w14:paraId="6531F2A2" w14:textId="77777777" w:rsidR="00DA45D2" w:rsidRPr="007560FB" w:rsidRDefault="00DA45D2" w:rsidP="00E04102">
            <w:pPr>
              <w:tabs>
                <w:tab w:val="num" w:pos="1260"/>
              </w:tabs>
              <w:rPr>
                <w:rFonts w:ascii="Trebuchet MS" w:hAnsi="Trebuchet MS"/>
                <w:sz w:val="15"/>
                <w:szCs w:val="15"/>
              </w:rPr>
            </w:pPr>
            <w:bookmarkStart w:id="7" w:name="_Hlk141279223"/>
            <w:r>
              <w:rPr>
                <w:rFonts w:ascii="Trebuchet MS" w:hAnsi="Trebuchet MS"/>
                <w:sz w:val="15"/>
                <w:szCs w:val="15"/>
              </w:rPr>
              <w:t xml:space="preserve">UMMH &amp; MRMC Combined </w:t>
            </w:r>
          </w:p>
        </w:tc>
        <w:tc>
          <w:tcPr>
            <w:tcW w:w="1030" w:type="dxa"/>
            <w:vAlign w:val="center"/>
          </w:tcPr>
          <w:p w14:paraId="48361C99" w14:textId="77777777" w:rsidR="00DA45D2" w:rsidRPr="001C6A66" w:rsidRDefault="00DA45D2" w:rsidP="00E04102">
            <w:pPr>
              <w:tabs>
                <w:tab w:val="num" w:pos="1260"/>
              </w:tabs>
              <w:jc w:val="center"/>
              <w:rPr>
                <w:rFonts w:ascii="Trebuchet MS" w:hAnsi="Trebuchet MS"/>
                <w:sz w:val="15"/>
                <w:szCs w:val="15"/>
              </w:rPr>
            </w:pPr>
            <w:r w:rsidRPr="001C6A66">
              <w:rPr>
                <w:rFonts w:ascii="Trebuchet MS" w:hAnsi="Trebuchet MS"/>
                <w:sz w:val="15"/>
                <w:szCs w:val="15"/>
              </w:rPr>
              <w:t>2024</w:t>
            </w:r>
          </w:p>
        </w:tc>
        <w:tc>
          <w:tcPr>
            <w:tcW w:w="1030" w:type="dxa"/>
            <w:vAlign w:val="center"/>
          </w:tcPr>
          <w:p w14:paraId="5EF3FB10" w14:textId="77777777" w:rsidR="00DA45D2" w:rsidRPr="001C6A66" w:rsidRDefault="00DA45D2" w:rsidP="00E04102">
            <w:pPr>
              <w:tabs>
                <w:tab w:val="num" w:pos="1260"/>
              </w:tabs>
              <w:jc w:val="center"/>
              <w:rPr>
                <w:rFonts w:ascii="Trebuchet MS" w:hAnsi="Trebuchet MS"/>
                <w:sz w:val="15"/>
                <w:szCs w:val="15"/>
              </w:rPr>
            </w:pPr>
            <w:r w:rsidRPr="001C6A66">
              <w:rPr>
                <w:rFonts w:ascii="Trebuchet MS" w:hAnsi="Trebuchet MS"/>
                <w:sz w:val="15"/>
                <w:szCs w:val="15"/>
              </w:rPr>
              <w:t>2025</w:t>
            </w:r>
          </w:p>
        </w:tc>
        <w:tc>
          <w:tcPr>
            <w:tcW w:w="1030" w:type="dxa"/>
            <w:vAlign w:val="center"/>
          </w:tcPr>
          <w:p w14:paraId="50F37AB7" w14:textId="77777777" w:rsidR="00DA45D2" w:rsidRPr="001C6A66" w:rsidRDefault="00DA45D2" w:rsidP="00E04102">
            <w:pPr>
              <w:tabs>
                <w:tab w:val="num" w:pos="1260"/>
              </w:tabs>
              <w:jc w:val="center"/>
              <w:rPr>
                <w:rFonts w:ascii="Trebuchet MS" w:hAnsi="Trebuchet MS"/>
                <w:sz w:val="15"/>
                <w:szCs w:val="15"/>
              </w:rPr>
            </w:pPr>
            <w:r w:rsidRPr="001C6A66">
              <w:rPr>
                <w:rFonts w:ascii="Trebuchet MS" w:hAnsi="Trebuchet MS"/>
                <w:sz w:val="15"/>
                <w:szCs w:val="15"/>
              </w:rPr>
              <w:t>2026</w:t>
            </w:r>
          </w:p>
        </w:tc>
        <w:tc>
          <w:tcPr>
            <w:tcW w:w="1030" w:type="dxa"/>
            <w:vAlign w:val="center"/>
          </w:tcPr>
          <w:p w14:paraId="27B79985" w14:textId="77777777" w:rsidR="00DA45D2" w:rsidRPr="001C6A66" w:rsidRDefault="00DA45D2" w:rsidP="00E04102">
            <w:pPr>
              <w:tabs>
                <w:tab w:val="num" w:pos="1260"/>
              </w:tabs>
              <w:jc w:val="center"/>
              <w:rPr>
                <w:rFonts w:ascii="Trebuchet MS" w:hAnsi="Trebuchet MS"/>
                <w:sz w:val="15"/>
                <w:szCs w:val="15"/>
              </w:rPr>
            </w:pPr>
            <w:r w:rsidRPr="001C6A66">
              <w:rPr>
                <w:rFonts w:ascii="Trebuchet MS" w:hAnsi="Trebuchet MS"/>
                <w:sz w:val="15"/>
                <w:szCs w:val="15"/>
              </w:rPr>
              <w:t>2027</w:t>
            </w:r>
          </w:p>
        </w:tc>
        <w:tc>
          <w:tcPr>
            <w:tcW w:w="1012" w:type="dxa"/>
            <w:vAlign w:val="center"/>
          </w:tcPr>
          <w:p w14:paraId="49895164" w14:textId="77777777" w:rsidR="00DA45D2" w:rsidRPr="001C6A66" w:rsidRDefault="00DA45D2" w:rsidP="00E04102">
            <w:pPr>
              <w:tabs>
                <w:tab w:val="num" w:pos="1260"/>
              </w:tabs>
              <w:jc w:val="center"/>
              <w:rPr>
                <w:rFonts w:ascii="Trebuchet MS" w:hAnsi="Trebuchet MS"/>
                <w:sz w:val="15"/>
                <w:szCs w:val="15"/>
              </w:rPr>
            </w:pPr>
            <w:r w:rsidRPr="001C6A66">
              <w:rPr>
                <w:rFonts w:ascii="Trebuchet MS" w:hAnsi="Trebuchet MS"/>
                <w:sz w:val="15"/>
                <w:szCs w:val="15"/>
              </w:rPr>
              <w:t>2028</w:t>
            </w:r>
          </w:p>
        </w:tc>
        <w:tc>
          <w:tcPr>
            <w:tcW w:w="1051" w:type="dxa"/>
            <w:vAlign w:val="center"/>
          </w:tcPr>
          <w:p w14:paraId="34044D82" w14:textId="77777777" w:rsidR="00DA45D2" w:rsidRPr="001C6A66" w:rsidRDefault="00DA45D2" w:rsidP="00E04102">
            <w:pPr>
              <w:tabs>
                <w:tab w:val="num" w:pos="1260"/>
              </w:tabs>
              <w:jc w:val="center"/>
              <w:rPr>
                <w:rFonts w:ascii="Trebuchet MS" w:hAnsi="Trebuchet MS"/>
                <w:sz w:val="15"/>
                <w:szCs w:val="15"/>
              </w:rPr>
            </w:pPr>
            <w:r w:rsidRPr="001C6A66">
              <w:rPr>
                <w:rFonts w:ascii="Trebuchet MS" w:hAnsi="Trebuchet MS"/>
                <w:sz w:val="15"/>
                <w:szCs w:val="15"/>
              </w:rPr>
              <w:t>2029</w:t>
            </w:r>
          </w:p>
        </w:tc>
      </w:tr>
      <w:tr w:rsidR="00DA45D2" w:rsidRPr="00255BDA" w14:paraId="46A9E247" w14:textId="77777777" w:rsidTr="00A07503">
        <w:trPr>
          <w:cantSplit/>
          <w:trHeight w:val="416"/>
          <w:jc w:val="center"/>
        </w:trPr>
        <w:tc>
          <w:tcPr>
            <w:tcW w:w="2797" w:type="dxa"/>
            <w:vAlign w:val="center"/>
          </w:tcPr>
          <w:p w14:paraId="38CE1D8C" w14:textId="77777777" w:rsidR="00DA45D2" w:rsidRPr="00255BDA" w:rsidRDefault="00DA45D2" w:rsidP="00E04102">
            <w:pPr>
              <w:tabs>
                <w:tab w:val="num" w:pos="1260"/>
              </w:tabs>
              <w:rPr>
                <w:rFonts w:ascii="Trebuchet MS" w:hAnsi="Trebuchet MS"/>
                <w:sz w:val="14"/>
                <w:szCs w:val="14"/>
              </w:rPr>
            </w:pPr>
            <w:r w:rsidRPr="00255BDA">
              <w:rPr>
                <w:rFonts w:ascii="Trebuchet MS" w:hAnsi="Trebuchet MS"/>
                <w:b/>
                <w:bCs/>
                <w:sz w:val="14"/>
                <w:szCs w:val="14"/>
              </w:rPr>
              <w:t>Profitability</w:t>
            </w:r>
            <w:r w:rsidRPr="00255BDA">
              <w:rPr>
                <w:rFonts w:ascii="Trebuchet MS" w:hAnsi="Trebuchet MS"/>
                <w:sz w:val="14"/>
                <w:szCs w:val="14"/>
              </w:rPr>
              <w:t>: Operating Margin (%)</w:t>
            </w:r>
          </w:p>
        </w:tc>
        <w:tc>
          <w:tcPr>
            <w:tcW w:w="1030" w:type="dxa"/>
            <w:vAlign w:val="center"/>
          </w:tcPr>
          <w:p w14:paraId="56505F6C" w14:textId="77777777" w:rsidR="00DA45D2" w:rsidRPr="001C6A66" w:rsidRDefault="00DA45D2" w:rsidP="00E04102">
            <w:pPr>
              <w:tabs>
                <w:tab w:val="num" w:pos="1260"/>
              </w:tabs>
              <w:jc w:val="center"/>
              <w:rPr>
                <w:rFonts w:ascii="Trebuchet MS" w:hAnsi="Trebuchet MS"/>
                <w:sz w:val="14"/>
                <w:szCs w:val="14"/>
              </w:rPr>
            </w:pPr>
            <w:r>
              <w:rPr>
                <w:rFonts w:ascii="Trebuchet MS" w:hAnsi="Trebuchet MS"/>
                <w:sz w:val="14"/>
                <w:szCs w:val="14"/>
              </w:rPr>
              <w:t>-0.3%</w:t>
            </w:r>
          </w:p>
        </w:tc>
        <w:tc>
          <w:tcPr>
            <w:tcW w:w="1030" w:type="dxa"/>
            <w:vAlign w:val="center"/>
          </w:tcPr>
          <w:p w14:paraId="64698AB9" w14:textId="77777777" w:rsidR="00DA45D2" w:rsidRPr="001C6A66" w:rsidRDefault="00DA45D2" w:rsidP="00E04102">
            <w:pPr>
              <w:tabs>
                <w:tab w:val="num" w:pos="1260"/>
              </w:tabs>
              <w:jc w:val="center"/>
              <w:rPr>
                <w:rFonts w:ascii="Trebuchet MS" w:hAnsi="Trebuchet MS"/>
                <w:sz w:val="14"/>
                <w:szCs w:val="14"/>
              </w:rPr>
            </w:pPr>
            <w:r>
              <w:rPr>
                <w:rFonts w:ascii="Trebuchet MS" w:hAnsi="Trebuchet MS"/>
                <w:sz w:val="14"/>
                <w:szCs w:val="14"/>
              </w:rPr>
              <w:t>-0.1%</w:t>
            </w:r>
          </w:p>
        </w:tc>
        <w:tc>
          <w:tcPr>
            <w:tcW w:w="1030" w:type="dxa"/>
            <w:vAlign w:val="center"/>
          </w:tcPr>
          <w:p w14:paraId="3FFBC8E7" w14:textId="77777777" w:rsidR="00DA45D2" w:rsidRPr="001C6A66" w:rsidRDefault="00DA45D2" w:rsidP="00E04102">
            <w:pPr>
              <w:tabs>
                <w:tab w:val="num" w:pos="1260"/>
              </w:tabs>
              <w:jc w:val="center"/>
              <w:rPr>
                <w:rFonts w:ascii="Trebuchet MS" w:hAnsi="Trebuchet MS"/>
                <w:sz w:val="14"/>
                <w:szCs w:val="14"/>
              </w:rPr>
            </w:pPr>
            <w:r>
              <w:rPr>
                <w:rFonts w:ascii="Trebuchet MS" w:hAnsi="Trebuchet MS"/>
                <w:sz w:val="14"/>
                <w:szCs w:val="14"/>
              </w:rPr>
              <w:t>0.0%</w:t>
            </w:r>
          </w:p>
        </w:tc>
        <w:tc>
          <w:tcPr>
            <w:tcW w:w="1030" w:type="dxa"/>
            <w:vAlign w:val="center"/>
          </w:tcPr>
          <w:p w14:paraId="39571CC3" w14:textId="77777777" w:rsidR="00DA45D2" w:rsidRPr="001C6A66" w:rsidRDefault="00DA45D2" w:rsidP="00E04102">
            <w:pPr>
              <w:tabs>
                <w:tab w:val="num" w:pos="1260"/>
              </w:tabs>
              <w:jc w:val="center"/>
              <w:rPr>
                <w:rFonts w:ascii="Trebuchet MS" w:hAnsi="Trebuchet MS"/>
                <w:sz w:val="14"/>
                <w:szCs w:val="14"/>
              </w:rPr>
            </w:pPr>
            <w:r>
              <w:rPr>
                <w:rFonts w:ascii="Trebuchet MS" w:hAnsi="Trebuchet MS"/>
                <w:sz w:val="14"/>
                <w:szCs w:val="14"/>
              </w:rPr>
              <w:t>0.2%</w:t>
            </w:r>
          </w:p>
        </w:tc>
        <w:tc>
          <w:tcPr>
            <w:tcW w:w="1012" w:type="dxa"/>
            <w:vAlign w:val="center"/>
          </w:tcPr>
          <w:p w14:paraId="5DF72C52" w14:textId="77777777" w:rsidR="00DA45D2" w:rsidRPr="001C6A66" w:rsidRDefault="00DA45D2" w:rsidP="00E04102">
            <w:pPr>
              <w:tabs>
                <w:tab w:val="num" w:pos="1260"/>
              </w:tabs>
              <w:jc w:val="center"/>
              <w:rPr>
                <w:rFonts w:ascii="Trebuchet MS" w:hAnsi="Trebuchet MS"/>
                <w:sz w:val="14"/>
                <w:szCs w:val="14"/>
              </w:rPr>
            </w:pPr>
            <w:r>
              <w:rPr>
                <w:rFonts w:ascii="Trebuchet MS" w:hAnsi="Trebuchet MS"/>
                <w:sz w:val="14"/>
                <w:szCs w:val="14"/>
              </w:rPr>
              <w:t>0.2%</w:t>
            </w:r>
          </w:p>
        </w:tc>
        <w:tc>
          <w:tcPr>
            <w:tcW w:w="1051" w:type="dxa"/>
            <w:vAlign w:val="center"/>
          </w:tcPr>
          <w:p w14:paraId="6E6C2A91" w14:textId="77777777" w:rsidR="00DA45D2" w:rsidRPr="001C6A66" w:rsidRDefault="00DA45D2" w:rsidP="00E04102">
            <w:pPr>
              <w:tabs>
                <w:tab w:val="num" w:pos="1260"/>
              </w:tabs>
              <w:jc w:val="center"/>
              <w:rPr>
                <w:rFonts w:ascii="Trebuchet MS" w:hAnsi="Trebuchet MS"/>
                <w:sz w:val="14"/>
                <w:szCs w:val="14"/>
              </w:rPr>
            </w:pPr>
            <w:r>
              <w:rPr>
                <w:rFonts w:ascii="Trebuchet MS" w:hAnsi="Trebuchet MS"/>
                <w:sz w:val="14"/>
                <w:szCs w:val="14"/>
              </w:rPr>
              <w:t>0.2%</w:t>
            </w:r>
          </w:p>
        </w:tc>
      </w:tr>
      <w:tr w:rsidR="00DA45D2" w:rsidRPr="00255BDA" w14:paraId="4770A915" w14:textId="77777777" w:rsidTr="00A07503">
        <w:trPr>
          <w:cantSplit/>
          <w:trHeight w:val="416"/>
          <w:jc w:val="center"/>
        </w:trPr>
        <w:tc>
          <w:tcPr>
            <w:tcW w:w="2797" w:type="dxa"/>
            <w:vAlign w:val="center"/>
          </w:tcPr>
          <w:p w14:paraId="7E5AA351" w14:textId="77777777" w:rsidR="00DA45D2" w:rsidRPr="00255BDA" w:rsidRDefault="00DA45D2" w:rsidP="00E04102">
            <w:pPr>
              <w:tabs>
                <w:tab w:val="num" w:pos="1260"/>
              </w:tabs>
              <w:rPr>
                <w:rFonts w:ascii="Trebuchet MS" w:hAnsi="Trebuchet MS"/>
                <w:b/>
                <w:bCs/>
                <w:sz w:val="14"/>
                <w:szCs w:val="14"/>
              </w:rPr>
            </w:pPr>
            <w:r w:rsidRPr="00255BDA">
              <w:rPr>
                <w:rFonts w:ascii="Trebuchet MS" w:hAnsi="Trebuchet MS"/>
                <w:b/>
                <w:bCs/>
                <w:sz w:val="14"/>
                <w:szCs w:val="14"/>
              </w:rPr>
              <w:t>Profitability</w:t>
            </w:r>
            <w:r w:rsidRPr="00255BDA">
              <w:rPr>
                <w:rFonts w:ascii="Trebuchet MS" w:hAnsi="Trebuchet MS"/>
                <w:sz w:val="14"/>
                <w:szCs w:val="14"/>
              </w:rPr>
              <w:t>: Excess Margin (%)</w:t>
            </w:r>
          </w:p>
        </w:tc>
        <w:tc>
          <w:tcPr>
            <w:tcW w:w="1030" w:type="dxa"/>
            <w:vAlign w:val="center"/>
          </w:tcPr>
          <w:p w14:paraId="76385F58" w14:textId="77777777" w:rsidR="00DA45D2" w:rsidRPr="001C6A66" w:rsidRDefault="00DA45D2" w:rsidP="00E04102">
            <w:pPr>
              <w:tabs>
                <w:tab w:val="num" w:pos="1260"/>
              </w:tabs>
              <w:jc w:val="center"/>
              <w:rPr>
                <w:rFonts w:ascii="Trebuchet MS" w:hAnsi="Trebuchet MS"/>
                <w:sz w:val="14"/>
                <w:szCs w:val="14"/>
              </w:rPr>
            </w:pPr>
            <w:r>
              <w:rPr>
                <w:rFonts w:ascii="Trebuchet MS" w:hAnsi="Trebuchet MS"/>
                <w:sz w:val="14"/>
                <w:szCs w:val="14"/>
              </w:rPr>
              <w:t>0.7%</w:t>
            </w:r>
          </w:p>
        </w:tc>
        <w:tc>
          <w:tcPr>
            <w:tcW w:w="1030" w:type="dxa"/>
            <w:vAlign w:val="center"/>
          </w:tcPr>
          <w:p w14:paraId="6BAEBC29" w14:textId="77777777" w:rsidR="00DA45D2" w:rsidRPr="001C6A66" w:rsidRDefault="00DA45D2" w:rsidP="00E04102">
            <w:pPr>
              <w:tabs>
                <w:tab w:val="num" w:pos="1260"/>
              </w:tabs>
              <w:jc w:val="center"/>
              <w:rPr>
                <w:rFonts w:ascii="Trebuchet MS" w:hAnsi="Trebuchet MS"/>
                <w:sz w:val="14"/>
                <w:szCs w:val="14"/>
              </w:rPr>
            </w:pPr>
            <w:r>
              <w:rPr>
                <w:rFonts w:ascii="Trebuchet MS" w:hAnsi="Trebuchet MS"/>
                <w:sz w:val="14"/>
                <w:szCs w:val="14"/>
              </w:rPr>
              <w:t>0.9%</w:t>
            </w:r>
          </w:p>
        </w:tc>
        <w:tc>
          <w:tcPr>
            <w:tcW w:w="1030" w:type="dxa"/>
            <w:vAlign w:val="center"/>
          </w:tcPr>
          <w:p w14:paraId="29756137" w14:textId="77777777" w:rsidR="00DA45D2" w:rsidRPr="001C6A66" w:rsidRDefault="00DA45D2" w:rsidP="00E04102">
            <w:pPr>
              <w:tabs>
                <w:tab w:val="num" w:pos="1260"/>
              </w:tabs>
              <w:jc w:val="center"/>
              <w:rPr>
                <w:rFonts w:ascii="Trebuchet MS" w:hAnsi="Trebuchet MS"/>
                <w:sz w:val="14"/>
                <w:szCs w:val="14"/>
              </w:rPr>
            </w:pPr>
            <w:r>
              <w:rPr>
                <w:rFonts w:ascii="Trebuchet MS" w:hAnsi="Trebuchet MS"/>
                <w:sz w:val="14"/>
                <w:szCs w:val="14"/>
              </w:rPr>
              <w:t>1.0%</w:t>
            </w:r>
          </w:p>
        </w:tc>
        <w:tc>
          <w:tcPr>
            <w:tcW w:w="1030" w:type="dxa"/>
            <w:vAlign w:val="center"/>
          </w:tcPr>
          <w:p w14:paraId="171F3940" w14:textId="77777777" w:rsidR="00DA45D2" w:rsidRPr="001C6A66" w:rsidRDefault="00DA45D2" w:rsidP="00E04102">
            <w:pPr>
              <w:tabs>
                <w:tab w:val="num" w:pos="1260"/>
              </w:tabs>
              <w:jc w:val="center"/>
              <w:rPr>
                <w:rFonts w:ascii="Trebuchet MS" w:hAnsi="Trebuchet MS"/>
                <w:sz w:val="14"/>
                <w:szCs w:val="14"/>
              </w:rPr>
            </w:pPr>
            <w:r>
              <w:rPr>
                <w:rFonts w:ascii="Trebuchet MS" w:hAnsi="Trebuchet MS"/>
                <w:sz w:val="14"/>
                <w:szCs w:val="14"/>
              </w:rPr>
              <w:t>1.2%</w:t>
            </w:r>
          </w:p>
        </w:tc>
        <w:tc>
          <w:tcPr>
            <w:tcW w:w="1012" w:type="dxa"/>
            <w:vAlign w:val="center"/>
          </w:tcPr>
          <w:p w14:paraId="23E3FD8E" w14:textId="77777777" w:rsidR="00DA45D2" w:rsidRPr="001C6A66" w:rsidRDefault="00DA45D2" w:rsidP="00E04102">
            <w:pPr>
              <w:tabs>
                <w:tab w:val="num" w:pos="1260"/>
              </w:tabs>
              <w:jc w:val="center"/>
              <w:rPr>
                <w:rFonts w:ascii="Trebuchet MS" w:hAnsi="Trebuchet MS"/>
                <w:sz w:val="14"/>
                <w:szCs w:val="14"/>
              </w:rPr>
            </w:pPr>
            <w:r>
              <w:rPr>
                <w:rFonts w:ascii="Trebuchet MS" w:hAnsi="Trebuchet MS"/>
                <w:sz w:val="14"/>
                <w:szCs w:val="14"/>
              </w:rPr>
              <w:t>1.1%</w:t>
            </w:r>
          </w:p>
        </w:tc>
        <w:tc>
          <w:tcPr>
            <w:tcW w:w="1051" w:type="dxa"/>
            <w:vAlign w:val="center"/>
          </w:tcPr>
          <w:p w14:paraId="7C82F7FD" w14:textId="77777777" w:rsidR="00DA45D2" w:rsidRPr="001C6A66" w:rsidRDefault="00DA45D2" w:rsidP="00E04102">
            <w:pPr>
              <w:tabs>
                <w:tab w:val="num" w:pos="1260"/>
              </w:tabs>
              <w:jc w:val="center"/>
              <w:rPr>
                <w:rFonts w:ascii="Trebuchet MS" w:hAnsi="Trebuchet MS"/>
                <w:sz w:val="14"/>
                <w:szCs w:val="14"/>
              </w:rPr>
            </w:pPr>
            <w:r>
              <w:rPr>
                <w:rFonts w:ascii="Trebuchet MS" w:hAnsi="Trebuchet MS"/>
                <w:sz w:val="14"/>
                <w:szCs w:val="14"/>
              </w:rPr>
              <w:t>1.2%</w:t>
            </w:r>
          </w:p>
        </w:tc>
      </w:tr>
      <w:tr w:rsidR="00DA45D2" w:rsidRPr="00255BDA" w14:paraId="5C83A6F2" w14:textId="77777777" w:rsidTr="00A07503">
        <w:trPr>
          <w:cantSplit/>
          <w:trHeight w:val="416"/>
          <w:jc w:val="center"/>
        </w:trPr>
        <w:tc>
          <w:tcPr>
            <w:tcW w:w="2797" w:type="dxa"/>
            <w:vAlign w:val="center"/>
          </w:tcPr>
          <w:p w14:paraId="4813745A" w14:textId="77777777" w:rsidR="00DA45D2" w:rsidRPr="00255BDA" w:rsidRDefault="00DA45D2" w:rsidP="00E04102">
            <w:pPr>
              <w:tabs>
                <w:tab w:val="num" w:pos="1260"/>
              </w:tabs>
              <w:rPr>
                <w:rFonts w:ascii="Trebuchet MS" w:hAnsi="Trebuchet MS"/>
                <w:sz w:val="14"/>
                <w:szCs w:val="14"/>
              </w:rPr>
            </w:pPr>
            <w:r w:rsidRPr="00255BDA">
              <w:rPr>
                <w:rFonts w:ascii="Trebuchet MS" w:hAnsi="Trebuchet MS"/>
                <w:b/>
                <w:bCs/>
                <w:sz w:val="14"/>
                <w:szCs w:val="14"/>
              </w:rPr>
              <w:t>Profitability</w:t>
            </w:r>
            <w:r w:rsidRPr="00255BDA">
              <w:rPr>
                <w:rFonts w:ascii="Trebuchet MS" w:hAnsi="Trebuchet MS"/>
                <w:sz w:val="14"/>
                <w:szCs w:val="14"/>
              </w:rPr>
              <w:t xml:space="preserve">: Debt Service Coverage Ratio (x) </w:t>
            </w:r>
          </w:p>
        </w:tc>
        <w:tc>
          <w:tcPr>
            <w:tcW w:w="1030" w:type="dxa"/>
            <w:vAlign w:val="center"/>
          </w:tcPr>
          <w:p w14:paraId="2D6385DA" w14:textId="77777777" w:rsidR="00DA45D2" w:rsidRPr="00622680" w:rsidRDefault="00DA45D2" w:rsidP="00E04102">
            <w:pPr>
              <w:tabs>
                <w:tab w:val="num" w:pos="1260"/>
              </w:tabs>
              <w:jc w:val="center"/>
              <w:rPr>
                <w:rFonts w:ascii="Trebuchet MS" w:hAnsi="Trebuchet MS"/>
                <w:sz w:val="14"/>
                <w:szCs w:val="14"/>
              </w:rPr>
            </w:pPr>
            <w:r>
              <w:rPr>
                <w:rFonts w:ascii="Trebuchet MS" w:hAnsi="Trebuchet MS"/>
                <w:sz w:val="14"/>
                <w:szCs w:val="14"/>
              </w:rPr>
              <w:t>1.82x</w:t>
            </w:r>
          </w:p>
        </w:tc>
        <w:tc>
          <w:tcPr>
            <w:tcW w:w="1030" w:type="dxa"/>
            <w:vAlign w:val="center"/>
          </w:tcPr>
          <w:p w14:paraId="5E12B7E9" w14:textId="77777777" w:rsidR="00DA45D2" w:rsidRPr="00622680" w:rsidRDefault="00DA45D2" w:rsidP="00E04102">
            <w:pPr>
              <w:tabs>
                <w:tab w:val="num" w:pos="1260"/>
              </w:tabs>
              <w:jc w:val="center"/>
              <w:rPr>
                <w:rFonts w:ascii="Trebuchet MS" w:hAnsi="Trebuchet MS"/>
                <w:sz w:val="14"/>
                <w:szCs w:val="14"/>
              </w:rPr>
            </w:pPr>
            <w:r>
              <w:rPr>
                <w:rFonts w:ascii="Trebuchet MS" w:hAnsi="Trebuchet MS"/>
                <w:sz w:val="14"/>
                <w:szCs w:val="14"/>
              </w:rPr>
              <w:t>3.19x</w:t>
            </w:r>
          </w:p>
        </w:tc>
        <w:tc>
          <w:tcPr>
            <w:tcW w:w="1030" w:type="dxa"/>
            <w:vAlign w:val="center"/>
          </w:tcPr>
          <w:p w14:paraId="0F265CEF" w14:textId="77777777" w:rsidR="00DA45D2" w:rsidRPr="00622680" w:rsidRDefault="00DA45D2" w:rsidP="00E04102">
            <w:pPr>
              <w:tabs>
                <w:tab w:val="num" w:pos="1260"/>
              </w:tabs>
              <w:jc w:val="center"/>
              <w:rPr>
                <w:rFonts w:ascii="Trebuchet MS" w:hAnsi="Trebuchet MS"/>
                <w:sz w:val="14"/>
                <w:szCs w:val="14"/>
              </w:rPr>
            </w:pPr>
            <w:r>
              <w:rPr>
                <w:rFonts w:ascii="Trebuchet MS" w:hAnsi="Trebuchet MS"/>
                <w:sz w:val="14"/>
                <w:szCs w:val="14"/>
              </w:rPr>
              <w:t>3.27x</w:t>
            </w:r>
          </w:p>
        </w:tc>
        <w:tc>
          <w:tcPr>
            <w:tcW w:w="1030" w:type="dxa"/>
            <w:vAlign w:val="center"/>
          </w:tcPr>
          <w:p w14:paraId="4DC7F6E5" w14:textId="77777777" w:rsidR="00DA45D2" w:rsidRPr="00622680" w:rsidRDefault="00DA45D2" w:rsidP="00E04102">
            <w:pPr>
              <w:tabs>
                <w:tab w:val="num" w:pos="1260"/>
              </w:tabs>
              <w:jc w:val="center"/>
              <w:rPr>
                <w:rFonts w:ascii="Trebuchet MS" w:hAnsi="Trebuchet MS"/>
                <w:sz w:val="14"/>
                <w:szCs w:val="14"/>
              </w:rPr>
            </w:pPr>
            <w:r>
              <w:rPr>
                <w:rFonts w:ascii="Trebuchet MS" w:hAnsi="Trebuchet MS"/>
                <w:sz w:val="14"/>
                <w:szCs w:val="14"/>
              </w:rPr>
              <w:t>3.54x</w:t>
            </w:r>
          </w:p>
        </w:tc>
        <w:tc>
          <w:tcPr>
            <w:tcW w:w="1012" w:type="dxa"/>
            <w:vAlign w:val="center"/>
          </w:tcPr>
          <w:p w14:paraId="0B578044" w14:textId="77777777" w:rsidR="00DA45D2" w:rsidRPr="00622680" w:rsidRDefault="00DA45D2" w:rsidP="00E04102">
            <w:pPr>
              <w:tabs>
                <w:tab w:val="num" w:pos="1260"/>
              </w:tabs>
              <w:jc w:val="center"/>
              <w:rPr>
                <w:rFonts w:ascii="Trebuchet MS" w:hAnsi="Trebuchet MS"/>
                <w:sz w:val="14"/>
                <w:szCs w:val="14"/>
              </w:rPr>
            </w:pPr>
            <w:r>
              <w:rPr>
                <w:rFonts w:ascii="Trebuchet MS" w:hAnsi="Trebuchet MS"/>
                <w:sz w:val="14"/>
                <w:szCs w:val="14"/>
              </w:rPr>
              <w:t>4.43x</w:t>
            </w:r>
          </w:p>
        </w:tc>
        <w:tc>
          <w:tcPr>
            <w:tcW w:w="1051" w:type="dxa"/>
            <w:vAlign w:val="center"/>
          </w:tcPr>
          <w:p w14:paraId="36E078B6" w14:textId="77777777" w:rsidR="00DA45D2" w:rsidRPr="00622680" w:rsidRDefault="00DA45D2" w:rsidP="00E04102">
            <w:pPr>
              <w:tabs>
                <w:tab w:val="num" w:pos="1260"/>
              </w:tabs>
              <w:jc w:val="center"/>
              <w:rPr>
                <w:rFonts w:ascii="Trebuchet MS" w:hAnsi="Trebuchet MS"/>
                <w:sz w:val="14"/>
                <w:szCs w:val="14"/>
              </w:rPr>
            </w:pPr>
            <w:r>
              <w:rPr>
                <w:rFonts w:ascii="Trebuchet MS" w:hAnsi="Trebuchet MS"/>
                <w:sz w:val="14"/>
                <w:szCs w:val="14"/>
              </w:rPr>
              <w:t>4.67x</w:t>
            </w:r>
          </w:p>
        </w:tc>
      </w:tr>
      <w:tr w:rsidR="00DA45D2" w:rsidRPr="00255BDA" w14:paraId="4B8640C5" w14:textId="77777777" w:rsidTr="00A07503">
        <w:trPr>
          <w:cantSplit/>
          <w:trHeight w:val="416"/>
          <w:jc w:val="center"/>
        </w:trPr>
        <w:tc>
          <w:tcPr>
            <w:tcW w:w="2797" w:type="dxa"/>
            <w:vAlign w:val="center"/>
          </w:tcPr>
          <w:p w14:paraId="41A88108" w14:textId="77777777" w:rsidR="00DA45D2" w:rsidRPr="00255BDA" w:rsidRDefault="00DA45D2" w:rsidP="00E04102">
            <w:pPr>
              <w:tabs>
                <w:tab w:val="num" w:pos="1260"/>
              </w:tabs>
              <w:rPr>
                <w:rFonts w:ascii="Trebuchet MS" w:hAnsi="Trebuchet MS"/>
                <w:sz w:val="14"/>
                <w:szCs w:val="14"/>
              </w:rPr>
            </w:pPr>
            <w:r w:rsidRPr="00255BDA">
              <w:rPr>
                <w:rFonts w:ascii="Trebuchet MS" w:hAnsi="Trebuchet MS"/>
                <w:b/>
                <w:bCs/>
                <w:sz w:val="14"/>
                <w:szCs w:val="14"/>
              </w:rPr>
              <w:t>Liquidity</w:t>
            </w:r>
            <w:r w:rsidRPr="00255BDA">
              <w:rPr>
                <w:rFonts w:ascii="Trebuchet MS" w:hAnsi="Trebuchet MS"/>
                <w:sz w:val="14"/>
                <w:szCs w:val="14"/>
              </w:rPr>
              <w:t>: Days Available Cash and Investments on Hand (#)</w:t>
            </w:r>
          </w:p>
        </w:tc>
        <w:tc>
          <w:tcPr>
            <w:tcW w:w="1030" w:type="dxa"/>
            <w:shd w:val="clear" w:color="auto" w:fill="auto"/>
            <w:vAlign w:val="center"/>
          </w:tcPr>
          <w:p w14:paraId="786AF80E" w14:textId="77777777" w:rsidR="00DA45D2" w:rsidRPr="00280EB4" w:rsidRDefault="00DA45D2" w:rsidP="00E04102">
            <w:pPr>
              <w:tabs>
                <w:tab w:val="num" w:pos="1260"/>
              </w:tabs>
              <w:jc w:val="center"/>
              <w:rPr>
                <w:rFonts w:ascii="Trebuchet MS" w:hAnsi="Trebuchet MS"/>
                <w:sz w:val="14"/>
                <w:szCs w:val="14"/>
              </w:rPr>
            </w:pPr>
            <w:r>
              <w:rPr>
                <w:rFonts w:ascii="Trebuchet MS" w:hAnsi="Trebuchet MS"/>
                <w:sz w:val="14"/>
                <w:szCs w:val="14"/>
              </w:rPr>
              <w:t>120</w:t>
            </w:r>
          </w:p>
        </w:tc>
        <w:tc>
          <w:tcPr>
            <w:tcW w:w="1030" w:type="dxa"/>
            <w:shd w:val="clear" w:color="auto" w:fill="auto"/>
            <w:vAlign w:val="center"/>
          </w:tcPr>
          <w:p w14:paraId="3ABB1D5C" w14:textId="77777777" w:rsidR="00DA45D2" w:rsidRPr="00280EB4" w:rsidRDefault="00DA45D2" w:rsidP="00E04102">
            <w:pPr>
              <w:tabs>
                <w:tab w:val="num" w:pos="1260"/>
              </w:tabs>
              <w:jc w:val="center"/>
              <w:rPr>
                <w:rFonts w:ascii="Trebuchet MS" w:hAnsi="Trebuchet MS"/>
                <w:sz w:val="14"/>
                <w:szCs w:val="14"/>
              </w:rPr>
            </w:pPr>
            <w:r>
              <w:rPr>
                <w:rFonts w:ascii="Trebuchet MS" w:hAnsi="Trebuchet MS"/>
                <w:sz w:val="14"/>
                <w:szCs w:val="14"/>
              </w:rPr>
              <w:t>113</w:t>
            </w:r>
          </w:p>
        </w:tc>
        <w:tc>
          <w:tcPr>
            <w:tcW w:w="1030" w:type="dxa"/>
            <w:shd w:val="clear" w:color="auto" w:fill="auto"/>
            <w:vAlign w:val="center"/>
          </w:tcPr>
          <w:p w14:paraId="37621808" w14:textId="77777777" w:rsidR="00DA45D2" w:rsidRPr="00280EB4" w:rsidRDefault="00DA45D2" w:rsidP="00E04102">
            <w:pPr>
              <w:tabs>
                <w:tab w:val="num" w:pos="1260"/>
              </w:tabs>
              <w:jc w:val="center"/>
              <w:rPr>
                <w:rFonts w:ascii="Trebuchet MS" w:hAnsi="Trebuchet MS"/>
                <w:sz w:val="14"/>
                <w:szCs w:val="14"/>
              </w:rPr>
            </w:pPr>
            <w:r>
              <w:rPr>
                <w:rFonts w:ascii="Trebuchet MS" w:hAnsi="Trebuchet MS"/>
                <w:sz w:val="14"/>
                <w:szCs w:val="14"/>
              </w:rPr>
              <w:t>113</w:t>
            </w:r>
          </w:p>
        </w:tc>
        <w:tc>
          <w:tcPr>
            <w:tcW w:w="1030" w:type="dxa"/>
            <w:shd w:val="clear" w:color="auto" w:fill="auto"/>
            <w:vAlign w:val="center"/>
          </w:tcPr>
          <w:p w14:paraId="4940BAEE" w14:textId="77777777" w:rsidR="00DA45D2" w:rsidRPr="00280EB4" w:rsidRDefault="00DA45D2" w:rsidP="00E04102">
            <w:pPr>
              <w:tabs>
                <w:tab w:val="num" w:pos="1260"/>
              </w:tabs>
              <w:jc w:val="center"/>
              <w:rPr>
                <w:rFonts w:ascii="Trebuchet MS" w:hAnsi="Trebuchet MS"/>
                <w:sz w:val="14"/>
                <w:szCs w:val="14"/>
              </w:rPr>
            </w:pPr>
            <w:r>
              <w:rPr>
                <w:rFonts w:ascii="Trebuchet MS" w:hAnsi="Trebuchet MS"/>
                <w:sz w:val="14"/>
                <w:szCs w:val="14"/>
              </w:rPr>
              <w:t>117</w:t>
            </w:r>
          </w:p>
        </w:tc>
        <w:tc>
          <w:tcPr>
            <w:tcW w:w="1012" w:type="dxa"/>
            <w:shd w:val="clear" w:color="auto" w:fill="auto"/>
            <w:vAlign w:val="center"/>
          </w:tcPr>
          <w:p w14:paraId="53501600" w14:textId="77777777" w:rsidR="00DA45D2" w:rsidRPr="00280EB4" w:rsidRDefault="00DA45D2" w:rsidP="00E04102">
            <w:pPr>
              <w:tabs>
                <w:tab w:val="num" w:pos="1260"/>
              </w:tabs>
              <w:jc w:val="center"/>
              <w:rPr>
                <w:rFonts w:ascii="Trebuchet MS" w:hAnsi="Trebuchet MS"/>
                <w:sz w:val="14"/>
                <w:szCs w:val="14"/>
              </w:rPr>
            </w:pPr>
            <w:r>
              <w:rPr>
                <w:rFonts w:ascii="Trebuchet MS" w:hAnsi="Trebuchet MS"/>
                <w:sz w:val="14"/>
                <w:szCs w:val="14"/>
              </w:rPr>
              <w:t>121</w:t>
            </w:r>
          </w:p>
        </w:tc>
        <w:tc>
          <w:tcPr>
            <w:tcW w:w="1051" w:type="dxa"/>
            <w:shd w:val="clear" w:color="auto" w:fill="auto"/>
            <w:vAlign w:val="center"/>
          </w:tcPr>
          <w:p w14:paraId="4268DA29" w14:textId="77777777" w:rsidR="00DA45D2" w:rsidRPr="00280EB4" w:rsidRDefault="00DA45D2" w:rsidP="00E04102">
            <w:pPr>
              <w:tabs>
                <w:tab w:val="num" w:pos="1260"/>
              </w:tabs>
              <w:jc w:val="center"/>
              <w:rPr>
                <w:rFonts w:ascii="Trebuchet MS" w:hAnsi="Trebuchet MS"/>
                <w:sz w:val="14"/>
                <w:szCs w:val="14"/>
              </w:rPr>
            </w:pPr>
            <w:r>
              <w:rPr>
                <w:rFonts w:ascii="Trebuchet MS" w:hAnsi="Trebuchet MS"/>
                <w:sz w:val="14"/>
                <w:szCs w:val="14"/>
              </w:rPr>
              <w:t>127</w:t>
            </w:r>
          </w:p>
        </w:tc>
      </w:tr>
      <w:tr w:rsidR="00DA45D2" w:rsidRPr="00255BDA" w14:paraId="08993DAC" w14:textId="77777777" w:rsidTr="00A07503">
        <w:trPr>
          <w:cantSplit/>
          <w:trHeight w:val="416"/>
          <w:jc w:val="center"/>
        </w:trPr>
        <w:tc>
          <w:tcPr>
            <w:tcW w:w="2797" w:type="dxa"/>
            <w:vAlign w:val="center"/>
          </w:tcPr>
          <w:p w14:paraId="786F924A" w14:textId="77777777" w:rsidR="00DA45D2" w:rsidRPr="00255BDA" w:rsidRDefault="00DA45D2" w:rsidP="00E04102">
            <w:pPr>
              <w:tabs>
                <w:tab w:val="num" w:pos="1260"/>
              </w:tabs>
              <w:rPr>
                <w:rFonts w:ascii="Trebuchet MS" w:hAnsi="Trebuchet MS"/>
                <w:sz w:val="14"/>
                <w:szCs w:val="14"/>
              </w:rPr>
            </w:pPr>
            <w:r w:rsidRPr="00255BDA">
              <w:rPr>
                <w:rFonts w:ascii="Trebuchet MS" w:hAnsi="Trebuchet MS"/>
                <w:b/>
                <w:bCs/>
                <w:sz w:val="14"/>
                <w:szCs w:val="14"/>
              </w:rPr>
              <w:lastRenderedPageBreak/>
              <w:t>Liquidity</w:t>
            </w:r>
            <w:r w:rsidRPr="00255BDA">
              <w:rPr>
                <w:rFonts w:ascii="Trebuchet MS" w:hAnsi="Trebuchet MS"/>
                <w:sz w:val="14"/>
                <w:szCs w:val="14"/>
              </w:rPr>
              <w:t>: Operating Cash Flow (%)</w:t>
            </w:r>
          </w:p>
        </w:tc>
        <w:tc>
          <w:tcPr>
            <w:tcW w:w="1030" w:type="dxa"/>
            <w:vAlign w:val="center"/>
          </w:tcPr>
          <w:p w14:paraId="6B4C2115" w14:textId="77777777" w:rsidR="00DA45D2" w:rsidRPr="00622680" w:rsidRDefault="00DA45D2" w:rsidP="00E04102">
            <w:pPr>
              <w:tabs>
                <w:tab w:val="num" w:pos="1260"/>
              </w:tabs>
              <w:jc w:val="center"/>
              <w:rPr>
                <w:rFonts w:ascii="Trebuchet MS" w:hAnsi="Trebuchet MS"/>
                <w:sz w:val="14"/>
                <w:szCs w:val="14"/>
              </w:rPr>
            </w:pPr>
            <w:r>
              <w:rPr>
                <w:rFonts w:ascii="Trebuchet MS" w:hAnsi="Trebuchet MS"/>
                <w:sz w:val="14"/>
                <w:szCs w:val="14"/>
              </w:rPr>
              <w:t>2.6%</w:t>
            </w:r>
          </w:p>
        </w:tc>
        <w:tc>
          <w:tcPr>
            <w:tcW w:w="1030" w:type="dxa"/>
            <w:vAlign w:val="center"/>
          </w:tcPr>
          <w:p w14:paraId="629E1ABD" w14:textId="77777777" w:rsidR="00DA45D2" w:rsidRPr="00622680" w:rsidRDefault="00DA45D2" w:rsidP="00E04102">
            <w:pPr>
              <w:tabs>
                <w:tab w:val="num" w:pos="1260"/>
              </w:tabs>
              <w:jc w:val="center"/>
              <w:rPr>
                <w:rFonts w:ascii="Trebuchet MS" w:hAnsi="Trebuchet MS"/>
                <w:sz w:val="14"/>
                <w:szCs w:val="14"/>
              </w:rPr>
            </w:pPr>
            <w:r>
              <w:rPr>
                <w:rFonts w:ascii="Trebuchet MS" w:hAnsi="Trebuchet MS"/>
                <w:sz w:val="14"/>
                <w:szCs w:val="14"/>
              </w:rPr>
              <w:t>3.6%</w:t>
            </w:r>
          </w:p>
        </w:tc>
        <w:tc>
          <w:tcPr>
            <w:tcW w:w="1030" w:type="dxa"/>
            <w:vAlign w:val="center"/>
          </w:tcPr>
          <w:p w14:paraId="6674A517" w14:textId="77777777" w:rsidR="00DA45D2" w:rsidRPr="00622680" w:rsidRDefault="00DA45D2" w:rsidP="00E04102">
            <w:pPr>
              <w:tabs>
                <w:tab w:val="num" w:pos="1260"/>
              </w:tabs>
              <w:jc w:val="center"/>
              <w:rPr>
                <w:rFonts w:ascii="Trebuchet MS" w:hAnsi="Trebuchet MS"/>
                <w:sz w:val="14"/>
                <w:szCs w:val="14"/>
              </w:rPr>
            </w:pPr>
            <w:r>
              <w:rPr>
                <w:rFonts w:ascii="Trebuchet MS" w:hAnsi="Trebuchet MS"/>
                <w:sz w:val="14"/>
                <w:szCs w:val="14"/>
              </w:rPr>
              <w:t>3.8%</w:t>
            </w:r>
          </w:p>
        </w:tc>
        <w:tc>
          <w:tcPr>
            <w:tcW w:w="1030" w:type="dxa"/>
            <w:vAlign w:val="center"/>
          </w:tcPr>
          <w:p w14:paraId="23EE5ACB" w14:textId="77777777" w:rsidR="00DA45D2" w:rsidRPr="00622680" w:rsidRDefault="00DA45D2" w:rsidP="00E04102">
            <w:pPr>
              <w:tabs>
                <w:tab w:val="num" w:pos="1260"/>
              </w:tabs>
              <w:jc w:val="center"/>
              <w:rPr>
                <w:rFonts w:ascii="Trebuchet MS" w:hAnsi="Trebuchet MS"/>
                <w:sz w:val="14"/>
                <w:szCs w:val="14"/>
              </w:rPr>
            </w:pPr>
            <w:r>
              <w:rPr>
                <w:rFonts w:ascii="Trebuchet MS" w:hAnsi="Trebuchet MS"/>
                <w:sz w:val="14"/>
                <w:szCs w:val="14"/>
              </w:rPr>
              <w:t>4.0%</w:t>
            </w:r>
          </w:p>
        </w:tc>
        <w:tc>
          <w:tcPr>
            <w:tcW w:w="1012" w:type="dxa"/>
            <w:vAlign w:val="center"/>
          </w:tcPr>
          <w:p w14:paraId="0A1DE5C1" w14:textId="77777777" w:rsidR="00DA45D2" w:rsidRPr="00622680" w:rsidRDefault="00DA45D2" w:rsidP="00E04102">
            <w:pPr>
              <w:tabs>
                <w:tab w:val="num" w:pos="1260"/>
              </w:tabs>
              <w:jc w:val="center"/>
              <w:rPr>
                <w:rFonts w:ascii="Trebuchet MS" w:hAnsi="Trebuchet MS"/>
                <w:sz w:val="14"/>
                <w:szCs w:val="14"/>
              </w:rPr>
            </w:pPr>
            <w:r>
              <w:rPr>
                <w:rFonts w:ascii="Trebuchet MS" w:hAnsi="Trebuchet MS"/>
                <w:sz w:val="14"/>
                <w:szCs w:val="14"/>
              </w:rPr>
              <w:t>4.1%</w:t>
            </w:r>
          </w:p>
        </w:tc>
        <w:tc>
          <w:tcPr>
            <w:tcW w:w="1051" w:type="dxa"/>
            <w:vAlign w:val="center"/>
          </w:tcPr>
          <w:p w14:paraId="3803E5F2" w14:textId="77777777" w:rsidR="00DA45D2" w:rsidRPr="00622680" w:rsidRDefault="00DA45D2" w:rsidP="00E04102">
            <w:pPr>
              <w:tabs>
                <w:tab w:val="num" w:pos="1260"/>
              </w:tabs>
              <w:jc w:val="center"/>
              <w:rPr>
                <w:rFonts w:ascii="Trebuchet MS" w:hAnsi="Trebuchet MS"/>
                <w:sz w:val="14"/>
                <w:szCs w:val="14"/>
              </w:rPr>
            </w:pPr>
            <w:r>
              <w:rPr>
                <w:rFonts w:ascii="Trebuchet MS" w:hAnsi="Trebuchet MS"/>
                <w:sz w:val="14"/>
                <w:szCs w:val="14"/>
              </w:rPr>
              <w:t>4.1%</w:t>
            </w:r>
          </w:p>
        </w:tc>
      </w:tr>
      <w:tr w:rsidR="00DA45D2" w:rsidRPr="00255BDA" w14:paraId="1E77553E" w14:textId="77777777" w:rsidTr="00A07503">
        <w:trPr>
          <w:cantSplit/>
          <w:trHeight w:val="416"/>
          <w:jc w:val="center"/>
        </w:trPr>
        <w:tc>
          <w:tcPr>
            <w:tcW w:w="2797" w:type="dxa"/>
            <w:vAlign w:val="center"/>
          </w:tcPr>
          <w:p w14:paraId="79DFB145" w14:textId="77777777" w:rsidR="00DA45D2" w:rsidRPr="00255BDA" w:rsidRDefault="00DA45D2" w:rsidP="00E04102">
            <w:pPr>
              <w:tabs>
                <w:tab w:val="num" w:pos="1260"/>
              </w:tabs>
              <w:rPr>
                <w:rFonts w:ascii="Trebuchet MS" w:hAnsi="Trebuchet MS"/>
                <w:sz w:val="14"/>
                <w:szCs w:val="14"/>
              </w:rPr>
            </w:pPr>
            <w:r w:rsidRPr="00255BDA">
              <w:rPr>
                <w:rFonts w:ascii="Trebuchet MS" w:hAnsi="Trebuchet MS"/>
                <w:b/>
                <w:bCs/>
                <w:sz w:val="14"/>
                <w:szCs w:val="14"/>
              </w:rPr>
              <w:t xml:space="preserve">Solvency: </w:t>
            </w:r>
            <w:r w:rsidRPr="00255BDA">
              <w:rPr>
                <w:rFonts w:ascii="Trebuchet MS" w:hAnsi="Trebuchet MS"/>
                <w:sz w:val="14"/>
                <w:szCs w:val="14"/>
              </w:rPr>
              <w:t>Ratio of Long-Term Debt to Total Capitalization (%)</w:t>
            </w:r>
          </w:p>
        </w:tc>
        <w:tc>
          <w:tcPr>
            <w:tcW w:w="1030" w:type="dxa"/>
          </w:tcPr>
          <w:p w14:paraId="15A09057" w14:textId="77777777" w:rsidR="00DA45D2" w:rsidRDefault="00DA45D2" w:rsidP="00E04102">
            <w:pPr>
              <w:tabs>
                <w:tab w:val="num" w:pos="1260"/>
              </w:tabs>
              <w:jc w:val="center"/>
              <w:rPr>
                <w:rFonts w:ascii="Trebuchet MS" w:hAnsi="Trebuchet MS"/>
                <w:sz w:val="14"/>
                <w:szCs w:val="14"/>
              </w:rPr>
            </w:pPr>
          </w:p>
          <w:p w14:paraId="4BCE1F37" w14:textId="77777777" w:rsidR="00DA45D2" w:rsidRPr="001C6A66" w:rsidRDefault="00DA45D2" w:rsidP="00E04102">
            <w:pPr>
              <w:tabs>
                <w:tab w:val="num" w:pos="1260"/>
              </w:tabs>
              <w:jc w:val="center"/>
              <w:rPr>
                <w:rFonts w:ascii="Trebuchet MS" w:hAnsi="Trebuchet MS"/>
                <w:sz w:val="14"/>
                <w:szCs w:val="14"/>
              </w:rPr>
            </w:pPr>
            <w:r w:rsidRPr="00965DDF">
              <w:rPr>
                <w:rFonts w:ascii="Trebuchet MS" w:hAnsi="Trebuchet MS"/>
                <w:sz w:val="14"/>
                <w:szCs w:val="14"/>
              </w:rPr>
              <w:t>32.7%</w:t>
            </w:r>
          </w:p>
        </w:tc>
        <w:tc>
          <w:tcPr>
            <w:tcW w:w="1030" w:type="dxa"/>
          </w:tcPr>
          <w:p w14:paraId="3D905101" w14:textId="77777777" w:rsidR="00DA45D2" w:rsidRDefault="00DA45D2" w:rsidP="00E04102">
            <w:pPr>
              <w:tabs>
                <w:tab w:val="num" w:pos="1260"/>
              </w:tabs>
              <w:jc w:val="center"/>
              <w:rPr>
                <w:rFonts w:ascii="Trebuchet MS" w:hAnsi="Trebuchet MS"/>
                <w:sz w:val="14"/>
                <w:szCs w:val="14"/>
              </w:rPr>
            </w:pPr>
          </w:p>
          <w:p w14:paraId="64806CE7" w14:textId="77777777" w:rsidR="00DA45D2" w:rsidRPr="001C6A66" w:rsidRDefault="00DA45D2" w:rsidP="00E04102">
            <w:pPr>
              <w:tabs>
                <w:tab w:val="num" w:pos="1260"/>
              </w:tabs>
              <w:jc w:val="center"/>
              <w:rPr>
                <w:rFonts w:ascii="Trebuchet MS" w:hAnsi="Trebuchet MS"/>
                <w:sz w:val="14"/>
                <w:szCs w:val="14"/>
              </w:rPr>
            </w:pPr>
            <w:r w:rsidRPr="00965DDF">
              <w:rPr>
                <w:rFonts w:ascii="Trebuchet MS" w:hAnsi="Trebuchet MS"/>
                <w:sz w:val="14"/>
                <w:szCs w:val="14"/>
              </w:rPr>
              <w:t>30.3%</w:t>
            </w:r>
          </w:p>
        </w:tc>
        <w:tc>
          <w:tcPr>
            <w:tcW w:w="1030" w:type="dxa"/>
          </w:tcPr>
          <w:p w14:paraId="2DDEB615" w14:textId="77777777" w:rsidR="00DA45D2" w:rsidRDefault="00DA45D2" w:rsidP="00E04102">
            <w:pPr>
              <w:tabs>
                <w:tab w:val="num" w:pos="1260"/>
              </w:tabs>
              <w:jc w:val="center"/>
              <w:rPr>
                <w:rFonts w:ascii="Trebuchet MS" w:hAnsi="Trebuchet MS"/>
                <w:sz w:val="14"/>
                <w:szCs w:val="14"/>
              </w:rPr>
            </w:pPr>
          </w:p>
          <w:p w14:paraId="53FC0723" w14:textId="77777777" w:rsidR="00DA45D2" w:rsidRPr="001C6A66" w:rsidRDefault="00DA45D2" w:rsidP="00E04102">
            <w:pPr>
              <w:tabs>
                <w:tab w:val="num" w:pos="1260"/>
              </w:tabs>
              <w:jc w:val="center"/>
              <w:rPr>
                <w:rFonts w:ascii="Trebuchet MS" w:hAnsi="Trebuchet MS"/>
                <w:sz w:val="14"/>
                <w:szCs w:val="14"/>
              </w:rPr>
            </w:pPr>
            <w:r w:rsidRPr="00965DDF">
              <w:rPr>
                <w:rFonts w:ascii="Trebuchet MS" w:hAnsi="Trebuchet MS"/>
                <w:sz w:val="14"/>
                <w:szCs w:val="14"/>
              </w:rPr>
              <w:t>27.6%</w:t>
            </w:r>
          </w:p>
        </w:tc>
        <w:tc>
          <w:tcPr>
            <w:tcW w:w="1030" w:type="dxa"/>
          </w:tcPr>
          <w:p w14:paraId="06AABCCF" w14:textId="77777777" w:rsidR="00DA45D2" w:rsidRDefault="00DA45D2" w:rsidP="00E04102">
            <w:pPr>
              <w:tabs>
                <w:tab w:val="num" w:pos="1260"/>
              </w:tabs>
              <w:jc w:val="center"/>
              <w:rPr>
                <w:rFonts w:ascii="Trebuchet MS" w:hAnsi="Trebuchet MS"/>
                <w:sz w:val="14"/>
                <w:szCs w:val="14"/>
              </w:rPr>
            </w:pPr>
          </w:p>
          <w:p w14:paraId="5F1A04AC" w14:textId="77777777" w:rsidR="00DA45D2" w:rsidRPr="001C6A66" w:rsidRDefault="00DA45D2" w:rsidP="00E04102">
            <w:pPr>
              <w:tabs>
                <w:tab w:val="num" w:pos="1260"/>
              </w:tabs>
              <w:jc w:val="center"/>
              <w:rPr>
                <w:rFonts w:ascii="Trebuchet MS" w:hAnsi="Trebuchet MS"/>
                <w:sz w:val="14"/>
                <w:szCs w:val="14"/>
              </w:rPr>
            </w:pPr>
            <w:r w:rsidRPr="00965DDF">
              <w:rPr>
                <w:rFonts w:ascii="Trebuchet MS" w:hAnsi="Trebuchet MS"/>
                <w:sz w:val="14"/>
                <w:szCs w:val="14"/>
              </w:rPr>
              <w:t>25.2%</w:t>
            </w:r>
          </w:p>
        </w:tc>
        <w:tc>
          <w:tcPr>
            <w:tcW w:w="1012" w:type="dxa"/>
          </w:tcPr>
          <w:p w14:paraId="04323286" w14:textId="77777777" w:rsidR="00DA45D2" w:rsidRDefault="00DA45D2" w:rsidP="00E04102">
            <w:pPr>
              <w:tabs>
                <w:tab w:val="num" w:pos="1260"/>
              </w:tabs>
              <w:jc w:val="center"/>
              <w:rPr>
                <w:rFonts w:ascii="Trebuchet MS" w:hAnsi="Trebuchet MS"/>
                <w:sz w:val="14"/>
                <w:szCs w:val="14"/>
              </w:rPr>
            </w:pPr>
          </w:p>
          <w:p w14:paraId="14C8F1B5" w14:textId="77777777" w:rsidR="00DA45D2" w:rsidRPr="001C6A66" w:rsidRDefault="00DA45D2" w:rsidP="00E04102">
            <w:pPr>
              <w:tabs>
                <w:tab w:val="num" w:pos="1260"/>
              </w:tabs>
              <w:jc w:val="center"/>
              <w:rPr>
                <w:rFonts w:ascii="Trebuchet MS" w:hAnsi="Trebuchet MS"/>
                <w:sz w:val="14"/>
                <w:szCs w:val="14"/>
              </w:rPr>
            </w:pPr>
            <w:r w:rsidRPr="00965DDF">
              <w:rPr>
                <w:rFonts w:ascii="Trebuchet MS" w:hAnsi="Trebuchet MS"/>
                <w:sz w:val="14"/>
                <w:szCs w:val="14"/>
              </w:rPr>
              <w:t>23.0%</w:t>
            </w:r>
          </w:p>
        </w:tc>
        <w:tc>
          <w:tcPr>
            <w:tcW w:w="1051" w:type="dxa"/>
          </w:tcPr>
          <w:p w14:paraId="7BED7AFA" w14:textId="77777777" w:rsidR="00DA45D2" w:rsidRDefault="00DA45D2" w:rsidP="00E04102">
            <w:pPr>
              <w:tabs>
                <w:tab w:val="num" w:pos="1260"/>
              </w:tabs>
              <w:jc w:val="center"/>
              <w:rPr>
                <w:rFonts w:ascii="Trebuchet MS" w:hAnsi="Trebuchet MS"/>
                <w:sz w:val="14"/>
                <w:szCs w:val="14"/>
              </w:rPr>
            </w:pPr>
          </w:p>
          <w:p w14:paraId="6093BAEF" w14:textId="77777777" w:rsidR="00DA45D2" w:rsidRPr="001C6A66" w:rsidRDefault="00DA45D2" w:rsidP="00E04102">
            <w:pPr>
              <w:tabs>
                <w:tab w:val="num" w:pos="1260"/>
              </w:tabs>
              <w:jc w:val="center"/>
              <w:rPr>
                <w:rFonts w:ascii="Trebuchet MS" w:hAnsi="Trebuchet MS"/>
                <w:sz w:val="14"/>
                <w:szCs w:val="14"/>
              </w:rPr>
            </w:pPr>
            <w:r w:rsidRPr="00965DDF">
              <w:rPr>
                <w:rFonts w:ascii="Trebuchet MS" w:hAnsi="Trebuchet MS"/>
                <w:sz w:val="14"/>
                <w:szCs w:val="14"/>
              </w:rPr>
              <w:t>20.9%</w:t>
            </w:r>
          </w:p>
        </w:tc>
      </w:tr>
      <w:tr w:rsidR="00DA45D2" w:rsidRPr="00255BDA" w14:paraId="1657C907" w14:textId="77777777" w:rsidTr="00A07503">
        <w:trPr>
          <w:cantSplit/>
          <w:trHeight w:val="416"/>
          <w:jc w:val="center"/>
        </w:trPr>
        <w:tc>
          <w:tcPr>
            <w:tcW w:w="2797" w:type="dxa"/>
            <w:vAlign w:val="center"/>
          </w:tcPr>
          <w:p w14:paraId="630DED02" w14:textId="77777777" w:rsidR="00DA45D2" w:rsidRPr="00255BDA" w:rsidRDefault="00DA45D2" w:rsidP="00E04102">
            <w:pPr>
              <w:tabs>
                <w:tab w:val="num" w:pos="1260"/>
              </w:tabs>
              <w:rPr>
                <w:rFonts w:ascii="Trebuchet MS" w:hAnsi="Trebuchet MS"/>
                <w:sz w:val="14"/>
                <w:szCs w:val="14"/>
              </w:rPr>
            </w:pPr>
            <w:r w:rsidRPr="00255BDA">
              <w:rPr>
                <w:rFonts w:ascii="Trebuchet MS" w:hAnsi="Trebuchet MS"/>
                <w:b/>
                <w:bCs/>
                <w:sz w:val="14"/>
                <w:szCs w:val="14"/>
              </w:rPr>
              <w:t>Solvency:</w:t>
            </w:r>
            <w:r w:rsidRPr="00255BDA">
              <w:rPr>
                <w:rFonts w:ascii="Trebuchet MS" w:hAnsi="Trebuchet MS"/>
                <w:sz w:val="14"/>
                <w:szCs w:val="14"/>
              </w:rPr>
              <w:t xml:space="preserve"> Ratio of Cash Flow to Long Term Debt (%)</w:t>
            </w:r>
          </w:p>
        </w:tc>
        <w:tc>
          <w:tcPr>
            <w:tcW w:w="1030" w:type="dxa"/>
            <w:vAlign w:val="center"/>
          </w:tcPr>
          <w:p w14:paraId="284A5C7D" w14:textId="77777777" w:rsidR="00DA45D2" w:rsidRPr="00622680" w:rsidRDefault="00DA45D2" w:rsidP="00E04102">
            <w:pPr>
              <w:tabs>
                <w:tab w:val="num" w:pos="1260"/>
              </w:tabs>
              <w:jc w:val="center"/>
              <w:rPr>
                <w:rFonts w:ascii="Trebuchet MS" w:hAnsi="Trebuchet MS"/>
                <w:sz w:val="14"/>
                <w:szCs w:val="14"/>
              </w:rPr>
            </w:pPr>
            <w:r>
              <w:rPr>
                <w:rFonts w:ascii="Trebuchet MS" w:hAnsi="Trebuchet MS"/>
                <w:sz w:val="14"/>
                <w:szCs w:val="14"/>
              </w:rPr>
              <w:t>12.3%</w:t>
            </w:r>
          </w:p>
        </w:tc>
        <w:tc>
          <w:tcPr>
            <w:tcW w:w="1030" w:type="dxa"/>
            <w:vAlign w:val="center"/>
          </w:tcPr>
          <w:p w14:paraId="47CAFD6D" w14:textId="77777777" w:rsidR="00DA45D2" w:rsidRPr="00622680" w:rsidRDefault="00DA45D2" w:rsidP="00E04102">
            <w:pPr>
              <w:tabs>
                <w:tab w:val="num" w:pos="1260"/>
              </w:tabs>
              <w:jc w:val="center"/>
              <w:rPr>
                <w:rFonts w:ascii="Trebuchet MS" w:hAnsi="Trebuchet MS"/>
                <w:sz w:val="14"/>
                <w:szCs w:val="14"/>
              </w:rPr>
            </w:pPr>
            <w:r>
              <w:rPr>
                <w:rFonts w:ascii="Trebuchet MS" w:hAnsi="Trebuchet MS"/>
                <w:sz w:val="14"/>
                <w:szCs w:val="14"/>
              </w:rPr>
              <w:t>18.3%</w:t>
            </w:r>
          </w:p>
        </w:tc>
        <w:tc>
          <w:tcPr>
            <w:tcW w:w="1030" w:type="dxa"/>
            <w:vAlign w:val="center"/>
          </w:tcPr>
          <w:p w14:paraId="51692C84" w14:textId="77777777" w:rsidR="00DA45D2" w:rsidRPr="00622680" w:rsidRDefault="00DA45D2" w:rsidP="00E04102">
            <w:pPr>
              <w:tabs>
                <w:tab w:val="num" w:pos="1260"/>
              </w:tabs>
              <w:jc w:val="center"/>
              <w:rPr>
                <w:rFonts w:ascii="Trebuchet MS" w:hAnsi="Trebuchet MS"/>
                <w:sz w:val="14"/>
                <w:szCs w:val="14"/>
              </w:rPr>
            </w:pPr>
            <w:r>
              <w:rPr>
                <w:rFonts w:ascii="Trebuchet MS" w:hAnsi="Trebuchet MS"/>
                <w:sz w:val="14"/>
                <w:szCs w:val="14"/>
              </w:rPr>
              <w:t>20.5%</w:t>
            </w:r>
          </w:p>
        </w:tc>
        <w:tc>
          <w:tcPr>
            <w:tcW w:w="1030" w:type="dxa"/>
            <w:vAlign w:val="center"/>
          </w:tcPr>
          <w:p w14:paraId="4ADDAFB3" w14:textId="77777777" w:rsidR="00DA45D2" w:rsidRPr="00622680" w:rsidRDefault="00DA45D2" w:rsidP="00E04102">
            <w:pPr>
              <w:tabs>
                <w:tab w:val="num" w:pos="1260"/>
              </w:tabs>
              <w:jc w:val="center"/>
              <w:rPr>
                <w:rFonts w:ascii="Trebuchet MS" w:hAnsi="Trebuchet MS"/>
                <w:sz w:val="14"/>
                <w:szCs w:val="14"/>
              </w:rPr>
            </w:pPr>
            <w:r>
              <w:rPr>
                <w:rFonts w:ascii="Trebuchet MS" w:hAnsi="Trebuchet MS"/>
                <w:sz w:val="14"/>
                <w:szCs w:val="14"/>
              </w:rPr>
              <w:t>23.0%</w:t>
            </w:r>
          </w:p>
        </w:tc>
        <w:tc>
          <w:tcPr>
            <w:tcW w:w="1012" w:type="dxa"/>
            <w:vAlign w:val="center"/>
          </w:tcPr>
          <w:p w14:paraId="35AA4783" w14:textId="77777777" w:rsidR="00DA45D2" w:rsidRPr="00622680" w:rsidRDefault="00DA45D2" w:rsidP="00E04102">
            <w:pPr>
              <w:tabs>
                <w:tab w:val="num" w:pos="1260"/>
              </w:tabs>
              <w:jc w:val="center"/>
              <w:rPr>
                <w:rFonts w:ascii="Trebuchet MS" w:hAnsi="Trebuchet MS"/>
                <w:sz w:val="14"/>
                <w:szCs w:val="14"/>
              </w:rPr>
            </w:pPr>
            <w:r>
              <w:rPr>
                <w:rFonts w:ascii="Trebuchet MS" w:hAnsi="Trebuchet MS"/>
                <w:sz w:val="14"/>
                <w:szCs w:val="14"/>
              </w:rPr>
              <w:t>24.7%</w:t>
            </w:r>
          </w:p>
        </w:tc>
        <w:tc>
          <w:tcPr>
            <w:tcW w:w="1051" w:type="dxa"/>
            <w:vAlign w:val="center"/>
          </w:tcPr>
          <w:p w14:paraId="60862C21" w14:textId="77777777" w:rsidR="00DA45D2" w:rsidRPr="00622680" w:rsidRDefault="00DA45D2" w:rsidP="00E04102">
            <w:pPr>
              <w:tabs>
                <w:tab w:val="num" w:pos="1260"/>
              </w:tabs>
              <w:jc w:val="center"/>
              <w:rPr>
                <w:rFonts w:ascii="Trebuchet MS" w:hAnsi="Trebuchet MS"/>
                <w:sz w:val="14"/>
                <w:szCs w:val="14"/>
              </w:rPr>
            </w:pPr>
            <w:r>
              <w:rPr>
                <w:rFonts w:ascii="Trebuchet MS" w:hAnsi="Trebuchet MS"/>
                <w:sz w:val="14"/>
                <w:szCs w:val="14"/>
              </w:rPr>
              <w:t>26.8%</w:t>
            </w:r>
          </w:p>
        </w:tc>
      </w:tr>
      <w:tr w:rsidR="00DA45D2" w:rsidRPr="00255BDA" w14:paraId="365CAD85" w14:textId="77777777" w:rsidTr="00A07503">
        <w:trPr>
          <w:cantSplit/>
          <w:trHeight w:val="416"/>
          <w:jc w:val="center"/>
        </w:trPr>
        <w:tc>
          <w:tcPr>
            <w:tcW w:w="2797" w:type="dxa"/>
            <w:vAlign w:val="center"/>
          </w:tcPr>
          <w:p w14:paraId="40C7DF9E" w14:textId="77777777" w:rsidR="00DA45D2" w:rsidRPr="00255BDA" w:rsidRDefault="00DA45D2" w:rsidP="00E04102">
            <w:pPr>
              <w:tabs>
                <w:tab w:val="num" w:pos="1260"/>
              </w:tabs>
              <w:rPr>
                <w:rFonts w:ascii="Trebuchet MS" w:hAnsi="Trebuchet MS"/>
                <w:b/>
                <w:bCs/>
                <w:sz w:val="14"/>
                <w:szCs w:val="14"/>
              </w:rPr>
            </w:pPr>
            <w:r w:rsidRPr="00255BDA">
              <w:rPr>
                <w:rFonts w:ascii="Trebuchet MS" w:hAnsi="Trebuchet MS"/>
                <w:b/>
                <w:bCs/>
                <w:sz w:val="14"/>
                <w:szCs w:val="14"/>
              </w:rPr>
              <w:t xml:space="preserve">Solvency: </w:t>
            </w:r>
            <w:r w:rsidRPr="00255BDA">
              <w:rPr>
                <w:rFonts w:ascii="Trebuchet MS" w:hAnsi="Trebuchet MS"/>
                <w:sz w:val="14"/>
                <w:szCs w:val="14"/>
              </w:rPr>
              <w:t>Unrestricted Net Assets ($ in million)</w:t>
            </w:r>
          </w:p>
        </w:tc>
        <w:tc>
          <w:tcPr>
            <w:tcW w:w="1030" w:type="dxa"/>
            <w:vAlign w:val="center"/>
          </w:tcPr>
          <w:p w14:paraId="4EDA9494" w14:textId="77777777" w:rsidR="00DA45D2" w:rsidRPr="001C6A66" w:rsidRDefault="00DA45D2" w:rsidP="00E04102">
            <w:pPr>
              <w:tabs>
                <w:tab w:val="num" w:pos="1260"/>
              </w:tabs>
              <w:jc w:val="center"/>
              <w:rPr>
                <w:rFonts w:ascii="Trebuchet MS" w:hAnsi="Trebuchet MS"/>
                <w:sz w:val="14"/>
                <w:szCs w:val="14"/>
              </w:rPr>
            </w:pPr>
            <w:r>
              <w:rPr>
                <w:rFonts w:ascii="Trebuchet MS" w:hAnsi="Trebuchet MS"/>
                <w:sz w:val="14"/>
                <w:szCs w:val="14"/>
              </w:rPr>
              <w:t>$1,753</w:t>
            </w:r>
          </w:p>
        </w:tc>
        <w:tc>
          <w:tcPr>
            <w:tcW w:w="1030" w:type="dxa"/>
            <w:vAlign w:val="center"/>
          </w:tcPr>
          <w:p w14:paraId="3282C5FC" w14:textId="77777777" w:rsidR="00DA45D2" w:rsidRPr="001C6A66" w:rsidRDefault="00DA45D2" w:rsidP="00E04102">
            <w:pPr>
              <w:tabs>
                <w:tab w:val="num" w:pos="1260"/>
              </w:tabs>
              <w:jc w:val="center"/>
              <w:rPr>
                <w:rFonts w:ascii="Trebuchet MS" w:hAnsi="Trebuchet MS"/>
                <w:sz w:val="14"/>
                <w:szCs w:val="14"/>
              </w:rPr>
            </w:pPr>
            <w:r>
              <w:rPr>
                <w:rFonts w:ascii="Trebuchet MS" w:hAnsi="Trebuchet MS"/>
                <w:sz w:val="14"/>
                <w:szCs w:val="14"/>
              </w:rPr>
              <w:t>$1,881</w:t>
            </w:r>
          </w:p>
        </w:tc>
        <w:tc>
          <w:tcPr>
            <w:tcW w:w="1030" w:type="dxa"/>
            <w:vAlign w:val="center"/>
          </w:tcPr>
          <w:p w14:paraId="5DF234AE" w14:textId="77777777" w:rsidR="00DA45D2" w:rsidRPr="001C6A66" w:rsidRDefault="00DA45D2" w:rsidP="00E04102">
            <w:pPr>
              <w:tabs>
                <w:tab w:val="num" w:pos="1260"/>
              </w:tabs>
              <w:jc w:val="center"/>
              <w:rPr>
                <w:rFonts w:ascii="Trebuchet MS" w:hAnsi="Trebuchet MS"/>
                <w:sz w:val="14"/>
                <w:szCs w:val="14"/>
              </w:rPr>
            </w:pPr>
            <w:r>
              <w:rPr>
                <w:rFonts w:ascii="Trebuchet MS" w:hAnsi="Trebuchet MS"/>
                <w:sz w:val="14"/>
                <w:szCs w:val="14"/>
              </w:rPr>
              <w:t>$2,015</w:t>
            </w:r>
          </w:p>
        </w:tc>
        <w:tc>
          <w:tcPr>
            <w:tcW w:w="1030" w:type="dxa"/>
            <w:vAlign w:val="center"/>
          </w:tcPr>
          <w:p w14:paraId="2FDBD2C6" w14:textId="77777777" w:rsidR="00DA45D2" w:rsidRPr="001C6A66" w:rsidRDefault="00DA45D2" w:rsidP="00E04102">
            <w:pPr>
              <w:tabs>
                <w:tab w:val="num" w:pos="1260"/>
              </w:tabs>
              <w:jc w:val="center"/>
              <w:rPr>
                <w:rFonts w:ascii="Trebuchet MS" w:hAnsi="Trebuchet MS"/>
                <w:sz w:val="14"/>
                <w:szCs w:val="14"/>
              </w:rPr>
            </w:pPr>
            <w:r>
              <w:rPr>
                <w:rFonts w:ascii="Trebuchet MS" w:hAnsi="Trebuchet MS"/>
                <w:sz w:val="14"/>
                <w:szCs w:val="14"/>
              </w:rPr>
              <w:t>$2,156</w:t>
            </w:r>
          </w:p>
        </w:tc>
        <w:tc>
          <w:tcPr>
            <w:tcW w:w="1012" w:type="dxa"/>
            <w:vAlign w:val="center"/>
          </w:tcPr>
          <w:p w14:paraId="1F31CE6C" w14:textId="77777777" w:rsidR="00DA45D2" w:rsidRPr="001C6A66" w:rsidRDefault="00DA45D2" w:rsidP="00E04102">
            <w:pPr>
              <w:tabs>
                <w:tab w:val="num" w:pos="1260"/>
              </w:tabs>
              <w:jc w:val="center"/>
              <w:rPr>
                <w:rFonts w:ascii="Trebuchet MS" w:hAnsi="Trebuchet MS"/>
                <w:sz w:val="14"/>
                <w:szCs w:val="14"/>
              </w:rPr>
            </w:pPr>
            <w:r>
              <w:rPr>
                <w:rFonts w:ascii="Trebuchet MS" w:hAnsi="Trebuchet MS"/>
                <w:sz w:val="14"/>
                <w:szCs w:val="14"/>
              </w:rPr>
              <w:t>$2,295</w:t>
            </w:r>
          </w:p>
        </w:tc>
        <w:tc>
          <w:tcPr>
            <w:tcW w:w="1051" w:type="dxa"/>
            <w:vAlign w:val="center"/>
          </w:tcPr>
          <w:p w14:paraId="54C8CC91" w14:textId="77777777" w:rsidR="00DA45D2" w:rsidRPr="001C6A66" w:rsidRDefault="00DA45D2" w:rsidP="00E04102">
            <w:pPr>
              <w:tabs>
                <w:tab w:val="num" w:pos="1260"/>
              </w:tabs>
              <w:jc w:val="center"/>
              <w:rPr>
                <w:rFonts w:ascii="Trebuchet MS" w:hAnsi="Trebuchet MS"/>
                <w:sz w:val="14"/>
                <w:szCs w:val="14"/>
              </w:rPr>
            </w:pPr>
            <w:r>
              <w:rPr>
                <w:rFonts w:ascii="Trebuchet MS" w:hAnsi="Trebuchet MS"/>
                <w:sz w:val="14"/>
                <w:szCs w:val="14"/>
              </w:rPr>
              <w:t>$2,437</w:t>
            </w:r>
          </w:p>
        </w:tc>
      </w:tr>
      <w:tr w:rsidR="00DA45D2" w:rsidRPr="00255BDA" w14:paraId="503AD991" w14:textId="77777777" w:rsidTr="00A07503">
        <w:trPr>
          <w:cantSplit/>
          <w:trHeight w:val="416"/>
          <w:jc w:val="center"/>
        </w:trPr>
        <w:tc>
          <w:tcPr>
            <w:tcW w:w="2797" w:type="dxa"/>
            <w:vAlign w:val="center"/>
          </w:tcPr>
          <w:p w14:paraId="1C798ECD" w14:textId="77777777" w:rsidR="00DA45D2" w:rsidRPr="00255BDA" w:rsidRDefault="00DA45D2" w:rsidP="00E04102">
            <w:pPr>
              <w:tabs>
                <w:tab w:val="num" w:pos="1260"/>
              </w:tabs>
              <w:rPr>
                <w:rFonts w:ascii="Trebuchet MS" w:hAnsi="Trebuchet MS"/>
                <w:b/>
                <w:bCs/>
                <w:sz w:val="14"/>
                <w:szCs w:val="14"/>
              </w:rPr>
            </w:pPr>
            <w:r w:rsidRPr="00255BDA">
              <w:rPr>
                <w:rFonts w:ascii="Trebuchet MS" w:hAnsi="Trebuchet MS"/>
                <w:b/>
                <w:bCs/>
                <w:sz w:val="14"/>
                <w:szCs w:val="14"/>
              </w:rPr>
              <w:t xml:space="preserve">Solvency: </w:t>
            </w:r>
            <w:r w:rsidRPr="00255BDA">
              <w:rPr>
                <w:rFonts w:ascii="Trebuchet MS" w:hAnsi="Trebuchet MS"/>
                <w:sz w:val="14"/>
                <w:szCs w:val="14"/>
              </w:rPr>
              <w:t>Total Net Assets</w:t>
            </w:r>
            <w:r w:rsidRPr="00255BDA">
              <w:rPr>
                <w:rFonts w:ascii="Trebuchet MS" w:hAnsi="Trebuchet MS"/>
                <w:b/>
                <w:bCs/>
                <w:sz w:val="14"/>
                <w:szCs w:val="14"/>
              </w:rPr>
              <w:t xml:space="preserve"> </w:t>
            </w:r>
            <w:r w:rsidRPr="00255BDA">
              <w:rPr>
                <w:rFonts w:ascii="Trebuchet MS" w:hAnsi="Trebuchet MS"/>
                <w:sz w:val="14"/>
                <w:szCs w:val="14"/>
              </w:rPr>
              <w:t>($ in million)</w:t>
            </w:r>
          </w:p>
        </w:tc>
        <w:tc>
          <w:tcPr>
            <w:tcW w:w="1030" w:type="dxa"/>
            <w:vAlign w:val="center"/>
          </w:tcPr>
          <w:p w14:paraId="7E680CE2" w14:textId="77777777" w:rsidR="00DA45D2" w:rsidRPr="001C6A66" w:rsidRDefault="00DA45D2" w:rsidP="00E04102">
            <w:pPr>
              <w:tabs>
                <w:tab w:val="num" w:pos="1260"/>
              </w:tabs>
              <w:jc w:val="center"/>
              <w:rPr>
                <w:rFonts w:ascii="Trebuchet MS" w:hAnsi="Trebuchet MS"/>
                <w:sz w:val="14"/>
                <w:szCs w:val="14"/>
              </w:rPr>
            </w:pPr>
            <w:r>
              <w:rPr>
                <w:rFonts w:ascii="Trebuchet MS" w:hAnsi="Trebuchet MS"/>
                <w:sz w:val="14"/>
                <w:szCs w:val="14"/>
              </w:rPr>
              <w:t>$1,867</w:t>
            </w:r>
          </w:p>
        </w:tc>
        <w:tc>
          <w:tcPr>
            <w:tcW w:w="1030" w:type="dxa"/>
            <w:vAlign w:val="center"/>
          </w:tcPr>
          <w:p w14:paraId="78C34611" w14:textId="77777777" w:rsidR="00DA45D2" w:rsidRPr="001C6A66" w:rsidRDefault="00DA45D2" w:rsidP="00E04102">
            <w:pPr>
              <w:tabs>
                <w:tab w:val="num" w:pos="1260"/>
              </w:tabs>
              <w:jc w:val="center"/>
              <w:rPr>
                <w:rFonts w:ascii="Trebuchet MS" w:hAnsi="Trebuchet MS"/>
                <w:sz w:val="14"/>
                <w:szCs w:val="14"/>
              </w:rPr>
            </w:pPr>
            <w:r>
              <w:rPr>
                <w:rFonts w:ascii="Trebuchet MS" w:hAnsi="Trebuchet MS"/>
                <w:sz w:val="14"/>
                <w:szCs w:val="14"/>
              </w:rPr>
              <w:t>$1,997</w:t>
            </w:r>
          </w:p>
        </w:tc>
        <w:tc>
          <w:tcPr>
            <w:tcW w:w="1030" w:type="dxa"/>
            <w:vAlign w:val="center"/>
          </w:tcPr>
          <w:p w14:paraId="7663DFB3" w14:textId="77777777" w:rsidR="00DA45D2" w:rsidRPr="001C6A66" w:rsidRDefault="00DA45D2" w:rsidP="00E04102">
            <w:pPr>
              <w:tabs>
                <w:tab w:val="num" w:pos="1260"/>
              </w:tabs>
              <w:jc w:val="center"/>
              <w:rPr>
                <w:rFonts w:ascii="Trebuchet MS" w:hAnsi="Trebuchet MS"/>
                <w:sz w:val="14"/>
                <w:szCs w:val="14"/>
              </w:rPr>
            </w:pPr>
            <w:r>
              <w:rPr>
                <w:rFonts w:ascii="Trebuchet MS" w:hAnsi="Trebuchet MS"/>
                <w:sz w:val="14"/>
                <w:szCs w:val="14"/>
              </w:rPr>
              <w:t>$2,133</w:t>
            </w:r>
          </w:p>
        </w:tc>
        <w:tc>
          <w:tcPr>
            <w:tcW w:w="1030" w:type="dxa"/>
            <w:vAlign w:val="center"/>
          </w:tcPr>
          <w:p w14:paraId="7089DB06" w14:textId="77777777" w:rsidR="00DA45D2" w:rsidRPr="001C6A66" w:rsidRDefault="00DA45D2" w:rsidP="00E04102">
            <w:pPr>
              <w:tabs>
                <w:tab w:val="num" w:pos="1260"/>
              </w:tabs>
              <w:jc w:val="center"/>
              <w:rPr>
                <w:rFonts w:ascii="Trebuchet MS" w:hAnsi="Trebuchet MS"/>
                <w:sz w:val="14"/>
                <w:szCs w:val="14"/>
              </w:rPr>
            </w:pPr>
            <w:r>
              <w:rPr>
                <w:rFonts w:ascii="Trebuchet MS" w:hAnsi="Trebuchet MS"/>
                <w:sz w:val="14"/>
                <w:szCs w:val="14"/>
              </w:rPr>
              <w:t>$2,276</w:t>
            </w:r>
          </w:p>
        </w:tc>
        <w:tc>
          <w:tcPr>
            <w:tcW w:w="1012" w:type="dxa"/>
            <w:vAlign w:val="center"/>
          </w:tcPr>
          <w:p w14:paraId="73A45EE7" w14:textId="77777777" w:rsidR="00DA45D2" w:rsidRPr="001C6A66" w:rsidRDefault="00DA45D2" w:rsidP="00E04102">
            <w:pPr>
              <w:tabs>
                <w:tab w:val="num" w:pos="1260"/>
              </w:tabs>
              <w:jc w:val="center"/>
              <w:rPr>
                <w:rFonts w:ascii="Trebuchet MS" w:hAnsi="Trebuchet MS"/>
                <w:sz w:val="14"/>
                <w:szCs w:val="14"/>
              </w:rPr>
            </w:pPr>
            <w:r>
              <w:rPr>
                <w:rFonts w:ascii="Trebuchet MS" w:hAnsi="Trebuchet MS"/>
                <w:sz w:val="14"/>
                <w:szCs w:val="14"/>
              </w:rPr>
              <w:t>$2,417</w:t>
            </w:r>
          </w:p>
        </w:tc>
        <w:tc>
          <w:tcPr>
            <w:tcW w:w="1051" w:type="dxa"/>
            <w:vAlign w:val="center"/>
          </w:tcPr>
          <w:p w14:paraId="03D9A926" w14:textId="77777777" w:rsidR="00DA45D2" w:rsidRPr="001C6A66" w:rsidRDefault="00DA45D2" w:rsidP="00E04102">
            <w:pPr>
              <w:tabs>
                <w:tab w:val="num" w:pos="1260"/>
              </w:tabs>
              <w:jc w:val="center"/>
              <w:rPr>
                <w:rFonts w:ascii="Trebuchet MS" w:hAnsi="Trebuchet MS"/>
                <w:sz w:val="14"/>
                <w:szCs w:val="14"/>
              </w:rPr>
            </w:pPr>
            <w:r>
              <w:rPr>
                <w:rFonts w:ascii="Trebuchet MS" w:hAnsi="Trebuchet MS"/>
                <w:sz w:val="14"/>
                <w:szCs w:val="14"/>
              </w:rPr>
              <w:t>$2,561</w:t>
            </w:r>
          </w:p>
        </w:tc>
      </w:tr>
      <w:bookmarkEnd w:id="7"/>
    </w:tbl>
    <w:p w14:paraId="7CB96371" w14:textId="77777777" w:rsidR="00DA45D2" w:rsidRPr="00A22182" w:rsidRDefault="00DA45D2" w:rsidP="00DA45D2">
      <w:pPr>
        <w:tabs>
          <w:tab w:val="num" w:pos="1260"/>
        </w:tabs>
        <w:spacing w:line="480" w:lineRule="auto"/>
        <w:jc w:val="both"/>
        <w:rPr>
          <w:rFonts w:ascii="Trebuchet MS" w:hAnsi="Trebuchet MS"/>
          <w:sz w:val="22"/>
        </w:rPr>
      </w:pPr>
    </w:p>
    <w:p w14:paraId="6F28E919" w14:textId="77777777" w:rsidR="00DA45D2" w:rsidRPr="00B616AF" w:rsidRDefault="00DA45D2" w:rsidP="00DA45D2">
      <w:pPr>
        <w:tabs>
          <w:tab w:val="num" w:pos="1260"/>
        </w:tabs>
        <w:jc w:val="both"/>
        <w:rPr>
          <w:rFonts w:ascii="Trebuchet MS" w:hAnsi="Trebuchet MS"/>
          <w:b/>
          <w:bCs/>
          <w:sz w:val="22"/>
        </w:rPr>
      </w:pPr>
      <w:r>
        <w:rPr>
          <w:rFonts w:ascii="Trebuchet MS" w:hAnsi="Trebuchet MS"/>
          <w:b/>
          <w:bCs/>
          <w:sz w:val="22"/>
        </w:rPr>
        <w:t xml:space="preserve">Historical Data and </w:t>
      </w:r>
      <w:r w:rsidRPr="00C34204">
        <w:rPr>
          <w:rFonts w:ascii="Trebuchet MS" w:hAnsi="Trebuchet MS"/>
          <w:b/>
          <w:bCs/>
          <w:sz w:val="22"/>
        </w:rPr>
        <w:t>Industry Data Key Financial Metrics and Ratios</w:t>
      </w:r>
    </w:p>
    <w:tbl>
      <w:tblPr>
        <w:tblStyle w:val="TableGrid"/>
        <w:tblW w:w="0" w:type="auto"/>
        <w:tblInd w:w="0" w:type="dxa"/>
        <w:tblLayout w:type="fixed"/>
        <w:tblLook w:val="04A0" w:firstRow="1" w:lastRow="0" w:firstColumn="1" w:lastColumn="0" w:noHBand="0" w:noVBand="1"/>
        <w:tblCaption w:val="CMCC and Franciscan Combined Historical Data and Industry Data Key Financial Metrics and Ratios"/>
      </w:tblPr>
      <w:tblGrid>
        <w:gridCol w:w="1795"/>
        <w:gridCol w:w="647"/>
        <w:gridCol w:w="647"/>
        <w:gridCol w:w="647"/>
        <w:gridCol w:w="1465"/>
        <w:gridCol w:w="1440"/>
        <w:gridCol w:w="1440"/>
      </w:tblGrid>
      <w:tr w:rsidR="00DA45D2" w14:paraId="02654734" w14:textId="77777777" w:rsidTr="007C5953">
        <w:trPr>
          <w:cantSplit/>
          <w:trHeight w:val="418"/>
          <w:tblHeader/>
        </w:trPr>
        <w:tc>
          <w:tcPr>
            <w:tcW w:w="1795" w:type="dxa"/>
            <w:vAlign w:val="center"/>
          </w:tcPr>
          <w:p w14:paraId="0F835873" w14:textId="77777777" w:rsidR="00DA45D2" w:rsidRPr="007560FB" w:rsidRDefault="00DA45D2" w:rsidP="00E04102">
            <w:pPr>
              <w:tabs>
                <w:tab w:val="num" w:pos="1260"/>
              </w:tabs>
              <w:rPr>
                <w:rFonts w:ascii="Trebuchet MS" w:hAnsi="Trebuchet MS"/>
                <w:sz w:val="15"/>
                <w:szCs w:val="15"/>
              </w:rPr>
            </w:pPr>
            <w:r>
              <w:rPr>
                <w:rFonts w:ascii="Trebuchet MS" w:hAnsi="Trebuchet MS"/>
                <w:sz w:val="15"/>
                <w:szCs w:val="15"/>
              </w:rPr>
              <w:t xml:space="preserve">UMMH </w:t>
            </w:r>
          </w:p>
        </w:tc>
        <w:tc>
          <w:tcPr>
            <w:tcW w:w="647" w:type="dxa"/>
            <w:vAlign w:val="center"/>
          </w:tcPr>
          <w:p w14:paraId="3CE4EAB3" w14:textId="77777777" w:rsidR="00DA45D2" w:rsidRPr="00622680" w:rsidRDefault="00DA45D2" w:rsidP="00E04102">
            <w:pPr>
              <w:tabs>
                <w:tab w:val="num" w:pos="1260"/>
              </w:tabs>
              <w:jc w:val="center"/>
              <w:rPr>
                <w:rFonts w:ascii="Trebuchet MS" w:hAnsi="Trebuchet MS"/>
                <w:sz w:val="15"/>
                <w:szCs w:val="15"/>
              </w:rPr>
            </w:pPr>
            <w:r w:rsidRPr="00622680">
              <w:rPr>
                <w:rFonts w:ascii="Trebuchet MS" w:hAnsi="Trebuchet MS"/>
                <w:sz w:val="15"/>
                <w:szCs w:val="15"/>
              </w:rPr>
              <w:t>202</w:t>
            </w:r>
            <w:r>
              <w:rPr>
                <w:rFonts w:ascii="Trebuchet MS" w:hAnsi="Trebuchet MS"/>
                <w:sz w:val="15"/>
                <w:szCs w:val="15"/>
              </w:rPr>
              <w:t>1</w:t>
            </w:r>
          </w:p>
        </w:tc>
        <w:tc>
          <w:tcPr>
            <w:tcW w:w="647" w:type="dxa"/>
            <w:vAlign w:val="center"/>
          </w:tcPr>
          <w:p w14:paraId="350CB456" w14:textId="77777777" w:rsidR="00DA45D2" w:rsidRPr="00622680" w:rsidRDefault="00DA45D2" w:rsidP="00E04102">
            <w:pPr>
              <w:tabs>
                <w:tab w:val="num" w:pos="1260"/>
              </w:tabs>
              <w:jc w:val="center"/>
              <w:rPr>
                <w:rFonts w:ascii="Trebuchet MS" w:hAnsi="Trebuchet MS"/>
                <w:sz w:val="15"/>
                <w:szCs w:val="15"/>
              </w:rPr>
            </w:pPr>
            <w:r w:rsidRPr="00622680">
              <w:rPr>
                <w:rFonts w:ascii="Trebuchet MS" w:hAnsi="Trebuchet MS"/>
                <w:sz w:val="15"/>
                <w:szCs w:val="15"/>
              </w:rPr>
              <w:t>202</w:t>
            </w:r>
            <w:r>
              <w:rPr>
                <w:rFonts w:ascii="Trebuchet MS" w:hAnsi="Trebuchet MS"/>
                <w:sz w:val="15"/>
                <w:szCs w:val="15"/>
              </w:rPr>
              <w:t>2</w:t>
            </w:r>
          </w:p>
        </w:tc>
        <w:tc>
          <w:tcPr>
            <w:tcW w:w="647" w:type="dxa"/>
            <w:vAlign w:val="center"/>
          </w:tcPr>
          <w:p w14:paraId="436F22E1" w14:textId="77777777" w:rsidR="00DA45D2" w:rsidRPr="00622680" w:rsidRDefault="00DA45D2" w:rsidP="00E04102">
            <w:pPr>
              <w:tabs>
                <w:tab w:val="num" w:pos="1260"/>
              </w:tabs>
              <w:jc w:val="center"/>
              <w:rPr>
                <w:rFonts w:ascii="Trebuchet MS" w:hAnsi="Trebuchet MS"/>
                <w:sz w:val="15"/>
                <w:szCs w:val="15"/>
              </w:rPr>
            </w:pPr>
            <w:r w:rsidRPr="00622680">
              <w:rPr>
                <w:rFonts w:ascii="Trebuchet MS" w:hAnsi="Trebuchet MS"/>
                <w:sz w:val="15"/>
                <w:szCs w:val="15"/>
              </w:rPr>
              <w:t>202</w:t>
            </w:r>
            <w:r>
              <w:rPr>
                <w:rFonts w:ascii="Trebuchet MS" w:hAnsi="Trebuchet MS"/>
                <w:sz w:val="15"/>
                <w:szCs w:val="15"/>
              </w:rPr>
              <w:t>3</w:t>
            </w:r>
          </w:p>
        </w:tc>
        <w:tc>
          <w:tcPr>
            <w:tcW w:w="1465" w:type="dxa"/>
            <w:vAlign w:val="center"/>
          </w:tcPr>
          <w:p w14:paraId="1999F133" w14:textId="77777777" w:rsidR="00DA45D2" w:rsidRPr="007560FB" w:rsidRDefault="00DA45D2" w:rsidP="00E04102">
            <w:pPr>
              <w:tabs>
                <w:tab w:val="num" w:pos="1260"/>
              </w:tabs>
              <w:jc w:val="center"/>
              <w:rPr>
                <w:rFonts w:ascii="Trebuchet MS" w:hAnsi="Trebuchet MS"/>
                <w:sz w:val="15"/>
                <w:szCs w:val="15"/>
              </w:rPr>
            </w:pPr>
            <w:r w:rsidRPr="009D19C3">
              <w:rPr>
                <w:rFonts w:ascii="Trebuchet MS" w:hAnsi="Trebuchet MS"/>
                <w:sz w:val="15"/>
                <w:szCs w:val="15"/>
              </w:rPr>
              <w:t>Integra - General Medical and Surgical Hospitals</w:t>
            </w:r>
          </w:p>
        </w:tc>
        <w:tc>
          <w:tcPr>
            <w:tcW w:w="1440" w:type="dxa"/>
            <w:vAlign w:val="center"/>
          </w:tcPr>
          <w:p w14:paraId="41C6F4BD" w14:textId="77777777" w:rsidR="00DA45D2" w:rsidRPr="00B161CD" w:rsidRDefault="00DA45D2" w:rsidP="00E04102">
            <w:pPr>
              <w:tabs>
                <w:tab w:val="num" w:pos="1260"/>
              </w:tabs>
              <w:jc w:val="center"/>
              <w:rPr>
                <w:rFonts w:ascii="Trebuchet MS" w:hAnsi="Trebuchet MS"/>
                <w:sz w:val="15"/>
                <w:szCs w:val="15"/>
              </w:rPr>
            </w:pPr>
            <w:r w:rsidRPr="00B161CD">
              <w:rPr>
                <w:rFonts w:ascii="Trebuchet MS" w:hAnsi="Trebuchet MS"/>
                <w:sz w:val="15"/>
                <w:szCs w:val="15"/>
              </w:rPr>
              <w:t xml:space="preserve">IBIS - Hospitals </w:t>
            </w:r>
          </w:p>
          <w:p w14:paraId="08A7CDE1" w14:textId="77777777" w:rsidR="00DA45D2" w:rsidRPr="007560FB" w:rsidRDefault="00DA45D2" w:rsidP="00E04102">
            <w:pPr>
              <w:tabs>
                <w:tab w:val="num" w:pos="1260"/>
              </w:tabs>
              <w:jc w:val="center"/>
              <w:rPr>
                <w:rFonts w:ascii="Trebuchet MS" w:hAnsi="Trebuchet MS"/>
                <w:sz w:val="15"/>
                <w:szCs w:val="15"/>
              </w:rPr>
            </w:pPr>
            <w:r w:rsidRPr="00B161CD">
              <w:rPr>
                <w:rFonts w:ascii="Trebuchet MS" w:hAnsi="Trebuchet MS"/>
                <w:sz w:val="15"/>
                <w:szCs w:val="15"/>
              </w:rPr>
              <w:t>in the US</w:t>
            </w:r>
            <w:r>
              <w:rPr>
                <w:rFonts w:ascii="Trebuchet MS" w:hAnsi="Trebuchet MS"/>
                <w:sz w:val="15"/>
                <w:szCs w:val="15"/>
              </w:rPr>
              <w:t xml:space="preserve"> (3-year)</w:t>
            </w:r>
          </w:p>
        </w:tc>
        <w:tc>
          <w:tcPr>
            <w:tcW w:w="1440" w:type="dxa"/>
            <w:vAlign w:val="center"/>
          </w:tcPr>
          <w:p w14:paraId="2891F4B3" w14:textId="77777777" w:rsidR="00DA45D2" w:rsidRPr="00E6299B" w:rsidRDefault="00DA45D2" w:rsidP="00E04102">
            <w:pPr>
              <w:tabs>
                <w:tab w:val="num" w:pos="1260"/>
              </w:tabs>
              <w:jc w:val="center"/>
              <w:rPr>
                <w:rFonts w:ascii="Trebuchet MS" w:hAnsi="Trebuchet MS"/>
                <w:sz w:val="15"/>
                <w:szCs w:val="15"/>
              </w:rPr>
            </w:pPr>
            <w:r w:rsidRPr="00E6299B">
              <w:rPr>
                <w:rFonts w:ascii="Trebuchet MS" w:hAnsi="Trebuchet MS"/>
                <w:sz w:val="15"/>
                <w:szCs w:val="15"/>
              </w:rPr>
              <w:t>Definitive Healthcare</w:t>
            </w:r>
          </w:p>
        </w:tc>
      </w:tr>
      <w:tr w:rsidR="00DA45D2" w14:paraId="1486240B" w14:textId="77777777" w:rsidTr="007C5953">
        <w:trPr>
          <w:cantSplit/>
          <w:trHeight w:val="418"/>
        </w:trPr>
        <w:tc>
          <w:tcPr>
            <w:tcW w:w="1795" w:type="dxa"/>
            <w:vAlign w:val="center"/>
          </w:tcPr>
          <w:p w14:paraId="02695702" w14:textId="77777777" w:rsidR="00DA45D2" w:rsidRPr="00E56196" w:rsidRDefault="00DA45D2" w:rsidP="00E04102">
            <w:pPr>
              <w:tabs>
                <w:tab w:val="num" w:pos="1260"/>
              </w:tabs>
              <w:rPr>
                <w:rFonts w:ascii="Trebuchet MS" w:hAnsi="Trebuchet MS"/>
                <w:sz w:val="14"/>
                <w:szCs w:val="14"/>
              </w:rPr>
            </w:pPr>
            <w:r w:rsidRPr="00E56196">
              <w:rPr>
                <w:rFonts w:ascii="Trebuchet MS" w:hAnsi="Trebuchet MS"/>
                <w:b/>
                <w:bCs/>
                <w:sz w:val="14"/>
                <w:szCs w:val="14"/>
              </w:rPr>
              <w:t>Profitability</w:t>
            </w:r>
            <w:r w:rsidRPr="00E56196">
              <w:rPr>
                <w:rFonts w:ascii="Trebuchet MS" w:hAnsi="Trebuchet MS"/>
                <w:sz w:val="14"/>
                <w:szCs w:val="14"/>
              </w:rPr>
              <w:t>: Operating Margin (%)</w:t>
            </w:r>
          </w:p>
        </w:tc>
        <w:tc>
          <w:tcPr>
            <w:tcW w:w="647" w:type="dxa"/>
            <w:shd w:val="clear" w:color="auto" w:fill="auto"/>
            <w:vAlign w:val="center"/>
          </w:tcPr>
          <w:p w14:paraId="1E3B954A" w14:textId="77777777" w:rsidR="00DA45D2" w:rsidRPr="00622680" w:rsidRDefault="00DA45D2" w:rsidP="00E04102">
            <w:pPr>
              <w:tabs>
                <w:tab w:val="num" w:pos="1260"/>
              </w:tabs>
              <w:jc w:val="center"/>
              <w:rPr>
                <w:rFonts w:ascii="Trebuchet MS" w:hAnsi="Trebuchet MS"/>
                <w:sz w:val="14"/>
                <w:szCs w:val="14"/>
              </w:rPr>
            </w:pPr>
            <w:r>
              <w:rPr>
                <w:rFonts w:ascii="Trebuchet MS" w:hAnsi="Trebuchet MS"/>
                <w:sz w:val="14"/>
                <w:szCs w:val="14"/>
              </w:rPr>
              <w:t>2.0%</w:t>
            </w:r>
          </w:p>
        </w:tc>
        <w:tc>
          <w:tcPr>
            <w:tcW w:w="647" w:type="dxa"/>
            <w:shd w:val="clear" w:color="auto" w:fill="auto"/>
            <w:vAlign w:val="center"/>
          </w:tcPr>
          <w:p w14:paraId="6EDAECC6" w14:textId="77777777" w:rsidR="00DA45D2" w:rsidRPr="00622680" w:rsidRDefault="00DA45D2" w:rsidP="00E04102">
            <w:pPr>
              <w:tabs>
                <w:tab w:val="num" w:pos="1260"/>
              </w:tabs>
              <w:jc w:val="center"/>
              <w:rPr>
                <w:rFonts w:ascii="Trebuchet MS" w:hAnsi="Trebuchet MS"/>
                <w:sz w:val="14"/>
                <w:szCs w:val="14"/>
              </w:rPr>
            </w:pPr>
            <w:r>
              <w:rPr>
                <w:rFonts w:ascii="Trebuchet MS" w:hAnsi="Trebuchet MS"/>
                <w:sz w:val="14"/>
                <w:szCs w:val="14"/>
              </w:rPr>
              <w:t>-1.1%</w:t>
            </w:r>
          </w:p>
        </w:tc>
        <w:tc>
          <w:tcPr>
            <w:tcW w:w="647" w:type="dxa"/>
            <w:shd w:val="clear" w:color="auto" w:fill="auto"/>
            <w:vAlign w:val="center"/>
          </w:tcPr>
          <w:p w14:paraId="5FBA69A1" w14:textId="77777777" w:rsidR="00DA45D2" w:rsidRPr="00622680" w:rsidRDefault="00DA45D2" w:rsidP="00E04102">
            <w:pPr>
              <w:tabs>
                <w:tab w:val="num" w:pos="1260"/>
              </w:tabs>
              <w:jc w:val="center"/>
              <w:rPr>
                <w:rFonts w:ascii="Trebuchet MS" w:hAnsi="Trebuchet MS"/>
                <w:sz w:val="14"/>
                <w:szCs w:val="14"/>
              </w:rPr>
            </w:pPr>
            <w:r>
              <w:rPr>
                <w:rFonts w:ascii="Trebuchet MS" w:hAnsi="Trebuchet MS"/>
                <w:sz w:val="14"/>
                <w:szCs w:val="14"/>
              </w:rPr>
              <w:t>3.9%</w:t>
            </w:r>
          </w:p>
        </w:tc>
        <w:tc>
          <w:tcPr>
            <w:tcW w:w="1465" w:type="dxa"/>
            <w:vAlign w:val="center"/>
          </w:tcPr>
          <w:p w14:paraId="0D732F84" w14:textId="77777777" w:rsidR="00DA45D2" w:rsidRPr="00E56196" w:rsidRDefault="00DA45D2" w:rsidP="00E04102">
            <w:pPr>
              <w:tabs>
                <w:tab w:val="num" w:pos="1260"/>
              </w:tabs>
              <w:jc w:val="center"/>
              <w:rPr>
                <w:rFonts w:ascii="Trebuchet MS" w:hAnsi="Trebuchet MS"/>
                <w:sz w:val="14"/>
                <w:szCs w:val="14"/>
              </w:rPr>
            </w:pPr>
            <w:r>
              <w:rPr>
                <w:rFonts w:ascii="Trebuchet MS" w:hAnsi="Trebuchet MS"/>
                <w:sz w:val="14"/>
                <w:szCs w:val="14"/>
              </w:rPr>
              <w:t>1.6%</w:t>
            </w:r>
          </w:p>
        </w:tc>
        <w:tc>
          <w:tcPr>
            <w:tcW w:w="1440" w:type="dxa"/>
            <w:vAlign w:val="center"/>
          </w:tcPr>
          <w:p w14:paraId="16F28F42" w14:textId="77777777" w:rsidR="00DA45D2" w:rsidRPr="00E56196" w:rsidRDefault="00DA45D2" w:rsidP="00E04102">
            <w:pPr>
              <w:tabs>
                <w:tab w:val="num" w:pos="1260"/>
              </w:tabs>
              <w:jc w:val="center"/>
              <w:rPr>
                <w:rFonts w:ascii="Trebuchet MS" w:hAnsi="Trebuchet MS"/>
                <w:sz w:val="14"/>
                <w:szCs w:val="14"/>
              </w:rPr>
            </w:pPr>
            <w:r>
              <w:rPr>
                <w:rFonts w:ascii="Trebuchet MS" w:hAnsi="Trebuchet MS"/>
                <w:sz w:val="14"/>
                <w:szCs w:val="14"/>
              </w:rPr>
              <w:t>21.0%</w:t>
            </w:r>
          </w:p>
        </w:tc>
        <w:tc>
          <w:tcPr>
            <w:tcW w:w="1440" w:type="dxa"/>
            <w:vAlign w:val="center"/>
          </w:tcPr>
          <w:p w14:paraId="726E8235" w14:textId="77777777" w:rsidR="00DA45D2" w:rsidRPr="00E6299B" w:rsidRDefault="00DA45D2" w:rsidP="00E04102">
            <w:pPr>
              <w:tabs>
                <w:tab w:val="num" w:pos="1260"/>
              </w:tabs>
              <w:jc w:val="center"/>
              <w:rPr>
                <w:rFonts w:ascii="Trebuchet MS" w:hAnsi="Trebuchet MS"/>
                <w:sz w:val="14"/>
                <w:szCs w:val="14"/>
              </w:rPr>
            </w:pPr>
            <w:r w:rsidRPr="00E6299B">
              <w:rPr>
                <w:rFonts w:ascii="Trebuchet MS" w:hAnsi="Trebuchet MS"/>
                <w:sz w:val="14"/>
                <w:szCs w:val="14"/>
              </w:rPr>
              <w:t>-</w:t>
            </w:r>
            <w:r>
              <w:rPr>
                <w:rFonts w:ascii="Trebuchet MS" w:hAnsi="Trebuchet MS"/>
                <w:sz w:val="14"/>
                <w:szCs w:val="14"/>
              </w:rPr>
              <w:t>10.7</w:t>
            </w:r>
            <w:r w:rsidRPr="00E6299B">
              <w:rPr>
                <w:rFonts w:ascii="Trebuchet MS" w:hAnsi="Trebuchet MS"/>
                <w:sz w:val="14"/>
                <w:szCs w:val="14"/>
              </w:rPr>
              <w:t>%</w:t>
            </w:r>
          </w:p>
        </w:tc>
      </w:tr>
      <w:tr w:rsidR="00DA45D2" w14:paraId="64E9EE43" w14:textId="77777777" w:rsidTr="007C5953">
        <w:trPr>
          <w:cantSplit/>
          <w:trHeight w:val="418"/>
        </w:trPr>
        <w:tc>
          <w:tcPr>
            <w:tcW w:w="1795" w:type="dxa"/>
            <w:vAlign w:val="center"/>
          </w:tcPr>
          <w:p w14:paraId="792165FA" w14:textId="77777777" w:rsidR="00DA45D2" w:rsidRPr="00E56196" w:rsidRDefault="00DA45D2" w:rsidP="00E04102">
            <w:pPr>
              <w:tabs>
                <w:tab w:val="num" w:pos="1260"/>
              </w:tabs>
              <w:rPr>
                <w:rFonts w:ascii="Trebuchet MS" w:hAnsi="Trebuchet MS"/>
                <w:b/>
                <w:bCs/>
                <w:sz w:val="14"/>
                <w:szCs w:val="14"/>
              </w:rPr>
            </w:pPr>
            <w:r w:rsidRPr="00E56196">
              <w:rPr>
                <w:rFonts w:ascii="Trebuchet MS" w:hAnsi="Trebuchet MS"/>
                <w:b/>
                <w:bCs/>
                <w:sz w:val="14"/>
                <w:szCs w:val="14"/>
              </w:rPr>
              <w:t>Profitability</w:t>
            </w:r>
            <w:r w:rsidRPr="00E56196">
              <w:rPr>
                <w:rFonts w:ascii="Trebuchet MS" w:hAnsi="Trebuchet MS"/>
                <w:sz w:val="14"/>
                <w:szCs w:val="14"/>
              </w:rPr>
              <w:t>: Excess Margin (%)</w:t>
            </w:r>
          </w:p>
        </w:tc>
        <w:tc>
          <w:tcPr>
            <w:tcW w:w="647" w:type="dxa"/>
            <w:vAlign w:val="center"/>
          </w:tcPr>
          <w:p w14:paraId="11521991" w14:textId="77777777" w:rsidR="00DA45D2" w:rsidRPr="00622680" w:rsidRDefault="00DA45D2" w:rsidP="00E04102">
            <w:pPr>
              <w:tabs>
                <w:tab w:val="num" w:pos="1260"/>
              </w:tabs>
              <w:jc w:val="center"/>
              <w:rPr>
                <w:rFonts w:ascii="Trebuchet MS" w:hAnsi="Trebuchet MS"/>
                <w:sz w:val="14"/>
                <w:szCs w:val="14"/>
              </w:rPr>
            </w:pPr>
            <w:r>
              <w:rPr>
                <w:rFonts w:ascii="Trebuchet MS" w:hAnsi="Trebuchet MS"/>
                <w:sz w:val="14"/>
                <w:szCs w:val="14"/>
              </w:rPr>
              <w:t>6.6%</w:t>
            </w:r>
          </w:p>
        </w:tc>
        <w:tc>
          <w:tcPr>
            <w:tcW w:w="647" w:type="dxa"/>
            <w:vAlign w:val="center"/>
          </w:tcPr>
          <w:p w14:paraId="15AB78F7" w14:textId="77777777" w:rsidR="00DA45D2" w:rsidRPr="00622680" w:rsidRDefault="00DA45D2" w:rsidP="00E04102">
            <w:pPr>
              <w:tabs>
                <w:tab w:val="num" w:pos="1260"/>
              </w:tabs>
              <w:jc w:val="center"/>
              <w:rPr>
                <w:rFonts w:ascii="Trebuchet MS" w:hAnsi="Trebuchet MS"/>
                <w:sz w:val="14"/>
                <w:szCs w:val="14"/>
              </w:rPr>
            </w:pPr>
            <w:r>
              <w:rPr>
                <w:rFonts w:ascii="Trebuchet MS" w:hAnsi="Trebuchet MS"/>
                <w:sz w:val="14"/>
                <w:szCs w:val="14"/>
              </w:rPr>
              <w:t>-4.7%</w:t>
            </w:r>
          </w:p>
        </w:tc>
        <w:tc>
          <w:tcPr>
            <w:tcW w:w="647" w:type="dxa"/>
            <w:vAlign w:val="center"/>
          </w:tcPr>
          <w:p w14:paraId="6E4C526D" w14:textId="77777777" w:rsidR="00DA45D2" w:rsidRPr="00622680" w:rsidRDefault="00DA45D2" w:rsidP="00E04102">
            <w:pPr>
              <w:tabs>
                <w:tab w:val="num" w:pos="1260"/>
              </w:tabs>
              <w:jc w:val="center"/>
              <w:rPr>
                <w:rFonts w:ascii="Trebuchet MS" w:hAnsi="Trebuchet MS"/>
                <w:sz w:val="14"/>
                <w:szCs w:val="14"/>
              </w:rPr>
            </w:pPr>
            <w:r>
              <w:rPr>
                <w:rFonts w:ascii="Trebuchet MS" w:hAnsi="Trebuchet MS"/>
                <w:sz w:val="14"/>
                <w:szCs w:val="14"/>
              </w:rPr>
              <w:t>5.7%</w:t>
            </w:r>
          </w:p>
        </w:tc>
        <w:tc>
          <w:tcPr>
            <w:tcW w:w="1465" w:type="dxa"/>
            <w:vAlign w:val="center"/>
          </w:tcPr>
          <w:p w14:paraId="0103105E" w14:textId="77777777" w:rsidR="00DA45D2" w:rsidRPr="00E56196" w:rsidRDefault="00DA45D2" w:rsidP="00E04102">
            <w:pPr>
              <w:tabs>
                <w:tab w:val="num" w:pos="1260"/>
              </w:tabs>
              <w:jc w:val="center"/>
              <w:rPr>
                <w:rFonts w:ascii="Trebuchet MS" w:hAnsi="Trebuchet MS"/>
                <w:sz w:val="14"/>
                <w:szCs w:val="14"/>
              </w:rPr>
            </w:pPr>
            <w:r>
              <w:rPr>
                <w:rFonts w:ascii="Trebuchet MS" w:hAnsi="Trebuchet MS"/>
                <w:sz w:val="14"/>
                <w:szCs w:val="14"/>
              </w:rPr>
              <w:t>0.2%</w:t>
            </w:r>
          </w:p>
        </w:tc>
        <w:tc>
          <w:tcPr>
            <w:tcW w:w="1440" w:type="dxa"/>
            <w:vAlign w:val="center"/>
          </w:tcPr>
          <w:p w14:paraId="6D97A7DC" w14:textId="77777777" w:rsidR="00DA45D2" w:rsidRPr="00E56196" w:rsidRDefault="00DA45D2" w:rsidP="00E04102">
            <w:pPr>
              <w:tabs>
                <w:tab w:val="num" w:pos="1260"/>
              </w:tabs>
              <w:jc w:val="center"/>
              <w:rPr>
                <w:rFonts w:ascii="Trebuchet MS" w:hAnsi="Trebuchet MS"/>
                <w:sz w:val="14"/>
                <w:szCs w:val="14"/>
              </w:rPr>
            </w:pPr>
            <w:r>
              <w:rPr>
                <w:rFonts w:ascii="Trebuchet MS" w:hAnsi="Trebuchet MS"/>
                <w:sz w:val="14"/>
                <w:szCs w:val="14"/>
              </w:rPr>
              <w:t>NA</w:t>
            </w:r>
          </w:p>
        </w:tc>
        <w:tc>
          <w:tcPr>
            <w:tcW w:w="1440" w:type="dxa"/>
            <w:vAlign w:val="center"/>
          </w:tcPr>
          <w:p w14:paraId="6E0F8839" w14:textId="77777777" w:rsidR="00DA45D2" w:rsidRPr="00E6299B" w:rsidRDefault="00DA45D2" w:rsidP="00E04102">
            <w:pPr>
              <w:tabs>
                <w:tab w:val="num" w:pos="1260"/>
              </w:tabs>
              <w:jc w:val="center"/>
              <w:rPr>
                <w:rFonts w:ascii="Trebuchet MS" w:hAnsi="Trebuchet MS"/>
                <w:sz w:val="14"/>
                <w:szCs w:val="14"/>
              </w:rPr>
            </w:pPr>
            <w:r>
              <w:rPr>
                <w:rFonts w:ascii="Trebuchet MS" w:hAnsi="Trebuchet MS"/>
                <w:sz w:val="14"/>
                <w:szCs w:val="14"/>
              </w:rPr>
              <w:t>-3.7</w:t>
            </w:r>
            <w:r w:rsidRPr="00E6299B">
              <w:rPr>
                <w:rFonts w:ascii="Trebuchet MS" w:hAnsi="Trebuchet MS"/>
                <w:sz w:val="14"/>
                <w:szCs w:val="14"/>
              </w:rPr>
              <w:t>%</w:t>
            </w:r>
          </w:p>
        </w:tc>
      </w:tr>
      <w:tr w:rsidR="00DA45D2" w14:paraId="58B2267E" w14:textId="77777777" w:rsidTr="007C5953">
        <w:trPr>
          <w:cantSplit/>
          <w:trHeight w:val="418"/>
        </w:trPr>
        <w:tc>
          <w:tcPr>
            <w:tcW w:w="1795" w:type="dxa"/>
            <w:vAlign w:val="center"/>
          </w:tcPr>
          <w:p w14:paraId="7D666E68" w14:textId="77777777" w:rsidR="00DA45D2" w:rsidRPr="00E56196" w:rsidRDefault="00DA45D2" w:rsidP="00E04102">
            <w:pPr>
              <w:tabs>
                <w:tab w:val="num" w:pos="1260"/>
              </w:tabs>
              <w:rPr>
                <w:rFonts w:ascii="Trebuchet MS" w:hAnsi="Trebuchet MS"/>
                <w:sz w:val="14"/>
                <w:szCs w:val="14"/>
              </w:rPr>
            </w:pPr>
            <w:r w:rsidRPr="00E56196">
              <w:rPr>
                <w:rFonts w:ascii="Trebuchet MS" w:hAnsi="Trebuchet MS"/>
                <w:b/>
                <w:bCs/>
                <w:sz w:val="14"/>
                <w:szCs w:val="14"/>
              </w:rPr>
              <w:t>Profitability</w:t>
            </w:r>
            <w:r w:rsidRPr="00E56196">
              <w:rPr>
                <w:rFonts w:ascii="Trebuchet MS" w:hAnsi="Trebuchet MS"/>
                <w:sz w:val="14"/>
                <w:szCs w:val="14"/>
              </w:rPr>
              <w:t xml:space="preserve">: Debt Service Coverage Ratio (x) </w:t>
            </w:r>
          </w:p>
        </w:tc>
        <w:tc>
          <w:tcPr>
            <w:tcW w:w="647" w:type="dxa"/>
            <w:vAlign w:val="center"/>
          </w:tcPr>
          <w:p w14:paraId="5DA68577" w14:textId="77777777" w:rsidR="00DA45D2" w:rsidRPr="00622680" w:rsidRDefault="00DA45D2" w:rsidP="00E04102">
            <w:pPr>
              <w:tabs>
                <w:tab w:val="num" w:pos="1260"/>
              </w:tabs>
              <w:jc w:val="center"/>
              <w:rPr>
                <w:rFonts w:ascii="Trebuchet MS" w:hAnsi="Trebuchet MS"/>
                <w:sz w:val="14"/>
                <w:szCs w:val="14"/>
              </w:rPr>
            </w:pPr>
            <w:r>
              <w:rPr>
                <w:rFonts w:ascii="Trebuchet MS" w:hAnsi="Trebuchet MS"/>
                <w:sz w:val="14"/>
                <w:szCs w:val="14"/>
              </w:rPr>
              <w:t>3.96x</w:t>
            </w:r>
          </w:p>
        </w:tc>
        <w:tc>
          <w:tcPr>
            <w:tcW w:w="647" w:type="dxa"/>
            <w:vAlign w:val="center"/>
          </w:tcPr>
          <w:p w14:paraId="585AFF78" w14:textId="77777777" w:rsidR="00DA45D2" w:rsidRPr="00622680" w:rsidRDefault="00DA45D2" w:rsidP="00E04102">
            <w:pPr>
              <w:tabs>
                <w:tab w:val="num" w:pos="1260"/>
              </w:tabs>
              <w:jc w:val="center"/>
              <w:rPr>
                <w:rFonts w:ascii="Trebuchet MS" w:hAnsi="Trebuchet MS"/>
                <w:sz w:val="14"/>
                <w:szCs w:val="14"/>
              </w:rPr>
            </w:pPr>
            <w:r>
              <w:rPr>
                <w:rFonts w:ascii="Trebuchet MS" w:hAnsi="Trebuchet MS"/>
                <w:sz w:val="14"/>
                <w:szCs w:val="14"/>
              </w:rPr>
              <w:t>-.03x</w:t>
            </w:r>
          </w:p>
        </w:tc>
        <w:tc>
          <w:tcPr>
            <w:tcW w:w="647" w:type="dxa"/>
            <w:vAlign w:val="center"/>
          </w:tcPr>
          <w:p w14:paraId="3607853F" w14:textId="77777777" w:rsidR="00DA45D2" w:rsidRPr="00622680" w:rsidRDefault="00DA45D2" w:rsidP="00E04102">
            <w:pPr>
              <w:tabs>
                <w:tab w:val="num" w:pos="1260"/>
              </w:tabs>
              <w:jc w:val="center"/>
              <w:rPr>
                <w:rFonts w:ascii="Trebuchet MS" w:hAnsi="Trebuchet MS"/>
                <w:sz w:val="14"/>
                <w:szCs w:val="14"/>
              </w:rPr>
            </w:pPr>
            <w:r>
              <w:rPr>
                <w:rFonts w:ascii="Trebuchet MS" w:hAnsi="Trebuchet MS"/>
                <w:sz w:val="14"/>
                <w:szCs w:val="14"/>
              </w:rPr>
              <w:t>6.52x</w:t>
            </w:r>
          </w:p>
        </w:tc>
        <w:tc>
          <w:tcPr>
            <w:tcW w:w="1465" w:type="dxa"/>
            <w:vAlign w:val="center"/>
          </w:tcPr>
          <w:p w14:paraId="598F95E1" w14:textId="77777777" w:rsidR="00DA45D2" w:rsidRPr="00E56196" w:rsidRDefault="00DA45D2" w:rsidP="00E04102">
            <w:pPr>
              <w:tabs>
                <w:tab w:val="num" w:pos="1260"/>
              </w:tabs>
              <w:jc w:val="center"/>
              <w:rPr>
                <w:rFonts w:ascii="Trebuchet MS" w:hAnsi="Trebuchet MS"/>
                <w:sz w:val="14"/>
                <w:szCs w:val="14"/>
              </w:rPr>
            </w:pPr>
            <w:r>
              <w:rPr>
                <w:rFonts w:ascii="Trebuchet MS" w:hAnsi="Trebuchet MS"/>
                <w:sz w:val="14"/>
                <w:szCs w:val="14"/>
              </w:rPr>
              <w:t>1.4x</w:t>
            </w:r>
          </w:p>
        </w:tc>
        <w:tc>
          <w:tcPr>
            <w:tcW w:w="1440" w:type="dxa"/>
            <w:vAlign w:val="center"/>
          </w:tcPr>
          <w:p w14:paraId="7475CA54" w14:textId="77777777" w:rsidR="00DA45D2" w:rsidRPr="00E56196" w:rsidRDefault="00DA45D2" w:rsidP="00E04102">
            <w:pPr>
              <w:tabs>
                <w:tab w:val="num" w:pos="1260"/>
              </w:tabs>
              <w:jc w:val="center"/>
              <w:rPr>
                <w:rFonts w:ascii="Trebuchet MS" w:hAnsi="Trebuchet MS"/>
                <w:sz w:val="14"/>
                <w:szCs w:val="14"/>
              </w:rPr>
            </w:pPr>
            <w:r>
              <w:rPr>
                <w:rFonts w:ascii="Trebuchet MS" w:hAnsi="Trebuchet MS"/>
                <w:sz w:val="14"/>
                <w:szCs w:val="14"/>
              </w:rPr>
              <w:t>3.8x</w:t>
            </w:r>
          </w:p>
        </w:tc>
        <w:tc>
          <w:tcPr>
            <w:tcW w:w="1440" w:type="dxa"/>
            <w:vAlign w:val="center"/>
          </w:tcPr>
          <w:p w14:paraId="65DFE070" w14:textId="77777777" w:rsidR="00DA45D2" w:rsidRPr="00E6299B" w:rsidRDefault="00DA45D2" w:rsidP="00E04102">
            <w:pPr>
              <w:tabs>
                <w:tab w:val="num" w:pos="1260"/>
              </w:tabs>
              <w:jc w:val="center"/>
              <w:rPr>
                <w:rFonts w:ascii="Trebuchet MS" w:hAnsi="Trebuchet MS"/>
                <w:sz w:val="14"/>
                <w:szCs w:val="14"/>
              </w:rPr>
            </w:pPr>
            <w:r w:rsidRPr="00E6299B">
              <w:rPr>
                <w:rFonts w:ascii="Trebuchet MS" w:hAnsi="Trebuchet MS"/>
                <w:sz w:val="14"/>
                <w:szCs w:val="14"/>
              </w:rPr>
              <w:t>NA</w:t>
            </w:r>
          </w:p>
        </w:tc>
      </w:tr>
      <w:tr w:rsidR="00DA45D2" w:rsidRPr="00E56196" w14:paraId="50410228" w14:textId="77777777" w:rsidTr="007C5953">
        <w:trPr>
          <w:cantSplit/>
          <w:trHeight w:val="418"/>
        </w:trPr>
        <w:tc>
          <w:tcPr>
            <w:tcW w:w="1795" w:type="dxa"/>
            <w:vAlign w:val="center"/>
          </w:tcPr>
          <w:p w14:paraId="457B88A3" w14:textId="77777777" w:rsidR="00DA45D2" w:rsidRPr="00E56196" w:rsidRDefault="00DA45D2" w:rsidP="00E04102">
            <w:pPr>
              <w:tabs>
                <w:tab w:val="num" w:pos="1260"/>
              </w:tabs>
              <w:rPr>
                <w:rFonts w:ascii="Trebuchet MS" w:hAnsi="Trebuchet MS"/>
                <w:sz w:val="14"/>
                <w:szCs w:val="14"/>
              </w:rPr>
            </w:pPr>
            <w:r w:rsidRPr="00E56196">
              <w:rPr>
                <w:rFonts w:ascii="Trebuchet MS" w:hAnsi="Trebuchet MS"/>
                <w:b/>
                <w:bCs/>
                <w:sz w:val="14"/>
                <w:szCs w:val="14"/>
              </w:rPr>
              <w:t>Liquidity</w:t>
            </w:r>
            <w:r w:rsidRPr="00E56196">
              <w:rPr>
                <w:rFonts w:ascii="Trebuchet MS" w:hAnsi="Trebuchet MS"/>
                <w:sz w:val="14"/>
                <w:szCs w:val="14"/>
              </w:rPr>
              <w:t>: Days Available Cash and Investments on Hand (#)</w:t>
            </w:r>
          </w:p>
        </w:tc>
        <w:tc>
          <w:tcPr>
            <w:tcW w:w="647" w:type="dxa"/>
            <w:vAlign w:val="center"/>
          </w:tcPr>
          <w:p w14:paraId="2F35BF64" w14:textId="77777777" w:rsidR="00DA45D2" w:rsidRPr="00622680" w:rsidRDefault="00DA45D2" w:rsidP="00E04102">
            <w:pPr>
              <w:tabs>
                <w:tab w:val="num" w:pos="1260"/>
              </w:tabs>
              <w:jc w:val="center"/>
              <w:rPr>
                <w:rFonts w:ascii="Trebuchet MS" w:hAnsi="Trebuchet MS"/>
                <w:sz w:val="14"/>
                <w:szCs w:val="14"/>
              </w:rPr>
            </w:pPr>
            <w:r>
              <w:rPr>
                <w:rFonts w:ascii="Trebuchet MS" w:hAnsi="Trebuchet MS"/>
                <w:sz w:val="14"/>
                <w:szCs w:val="14"/>
              </w:rPr>
              <w:t>187</w:t>
            </w:r>
          </w:p>
        </w:tc>
        <w:tc>
          <w:tcPr>
            <w:tcW w:w="647" w:type="dxa"/>
            <w:vAlign w:val="center"/>
          </w:tcPr>
          <w:p w14:paraId="3BFC2191" w14:textId="77777777" w:rsidR="00DA45D2" w:rsidRPr="00622680" w:rsidRDefault="00DA45D2" w:rsidP="00E04102">
            <w:pPr>
              <w:tabs>
                <w:tab w:val="num" w:pos="1260"/>
              </w:tabs>
              <w:jc w:val="center"/>
              <w:rPr>
                <w:rFonts w:ascii="Trebuchet MS" w:hAnsi="Trebuchet MS"/>
                <w:sz w:val="14"/>
                <w:szCs w:val="14"/>
              </w:rPr>
            </w:pPr>
            <w:r>
              <w:rPr>
                <w:rFonts w:ascii="Trebuchet MS" w:hAnsi="Trebuchet MS"/>
                <w:sz w:val="14"/>
                <w:szCs w:val="14"/>
              </w:rPr>
              <w:t>135</w:t>
            </w:r>
          </w:p>
        </w:tc>
        <w:tc>
          <w:tcPr>
            <w:tcW w:w="647" w:type="dxa"/>
            <w:vAlign w:val="center"/>
          </w:tcPr>
          <w:p w14:paraId="52A08108" w14:textId="77777777" w:rsidR="00DA45D2" w:rsidRPr="00622680" w:rsidRDefault="00DA45D2" w:rsidP="00E04102">
            <w:pPr>
              <w:tabs>
                <w:tab w:val="num" w:pos="1260"/>
              </w:tabs>
              <w:jc w:val="center"/>
              <w:rPr>
                <w:rFonts w:ascii="Trebuchet MS" w:hAnsi="Trebuchet MS"/>
                <w:sz w:val="14"/>
                <w:szCs w:val="14"/>
              </w:rPr>
            </w:pPr>
            <w:r>
              <w:rPr>
                <w:rFonts w:ascii="Trebuchet MS" w:hAnsi="Trebuchet MS"/>
                <w:sz w:val="14"/>
                <w:szCs w:val="14"/>
              </w:rPr>
              <w:t>149</w:t>
            </w:r>
          </w:p>
        </w:tc>
        <w:tc>
          <w:tcPr>
            <w:tcW w:w="1465" w:type="dxa"/>
            <w:vAlign w:val="center"/>
          </w:tcPr>
          <w:p w14:paraId="7282E313" w14:textId="77777777" w:rsidR="00DA45D2" w:rsidRPr="00E56196" w:rsidRDefault="00DA45D2" w:rsidP="00E04102">
            <w:pPr>
              <w:tabs>
                <w:tab w:val="num" w:pos="1260"/>
              </w:tabs>
              <w:jc w:val="center"/>
              <w:rPr>
                <w:rFonts w:ascii="Trebuchet MS" w:hAnsi="Trebuchet MS"/>
                <w:sz w:val="14"/>
                <w:szCs w:val="14"/>
              </w:rPr>
            </w:pPr>
            <w:r>
              <w:rPr>
                <w:rFonts w:ascii="Trebuchet MS" w:hAnsi="Trebuchet MS"/>
                <w:sz w:val="14"/>
                <w:szCs w:val="14"/>
              </w:rPr>
              <w:t>NA</w:t>
            </w:r>
          </w:p>
        </w:tc>
        <w:tc>
          <w:tcPr>
            <w:tcW w:w="1440" w:type="dxa"/>
            <w:vAlign w:val="center"/>
          </w:tcPr>
          <w:p w14:paraId="224E4192" w14:textId="77777777" w:rsidR="00DA45D2" w:rsidRPr="00E56196" w:rsidRDefault="00DA45D2" w:rsidP="00E04102">
            <w:pPr>
              <w:tabs>
                <w:tab w:val="num" w:pos="1260"/>
              </w:tabs>
              <w:jc w:val="center"/>
              <w:rPr>
                <w:rFonts w:ascii="Trebuchet MS" w:hAnsi="Trebuchet MS"/>
                <w:sz w:val="14"/>
                <w:szCs w:val="14"/>
              </w:rPr>
            </w:pPr>
            <w:r>
              <w:rPr>
                <w:rFonts w:ascii="Trebuchet MS" w:hAnsi="Trebuchet MS"/>
                <w:sz w:val="14"/>
                <w:szCs w:val="14"/>
              </w:rPr>
              <w:t>NA</w:t>
            </w:r>
          </w:p>
        </w:tc>
        <w:tc>
          <w:tcPr>
            <w:tcW w:w="1440" w:type="dxa"/>
            <w:vAlign w:val="center"/>
          </w:tcPr>
          <w:p w14:paraId="2F3646A5" w14:textId="77777777" w:rsidR="00DA45D2" w:rsidRPr="00E6299B" w:rsidRDefault="00DA45D2" w:rsidP="00E04102">
            <w:pPr>
              <w:tabs>
                <w:tab w:val="num" w:pos="1260"/>
              </w:tabs>
              <w:jc w:val="center"/>
              <w:rPr>
                <w:rFonts w:ascii="Trebuchet MS" w:hAnsi="Trebuchet MS"/>
                <w:sz w:val="14"/>
                <w:szCs w:val="14"/>
              </w:rPr>
            </w:pPr>
            <w:r>
              <w:rPr>
                <w:rFonts w:ascii="Trebuchet MS" w:hAnsi="Trebuchet MS"/>
                <w:sz w:val="14"/>
                <w:szCs w:val="14"/>
              </w:rPr>
              <w:t>NA</w:t>
            </w:r>
          </w:p>
        </w:tc>
      </w:tr>
      <w:tr w:rsidR="00DA45D2" w14:paraId="10C62033" w14:textId="77777777" w:rsidTr="007C5953">
        <w:trPr>
          <w:cantSplit/>
          <w:trHeight w:val="418"/>
        </w:trPr>
        <w:tc>
          <w:tcPr>
            <w:tcW w:w="1795" w:type="dxa"/>
            <w:vAlign w:val="center"/>
          </w:tcPr>
          <w:p w14:paraId="68FC86AE" w14:textId="77777777" w:rsidR="00DA45D2" w:rsidRPr="00E56196" w:rsidRDefault="00DA45D2" w:rsidP="00E04102">
            <w:pPr>
              <w:tabs>
                <w:tab w:val="num" w:pos="1260"/>
              </w:tabs>
              <w:rPr>
                <w:rFonts w:ascii="Trebuchet MS" w:hAnsi="Trebuchet MS"/>
                <w:sz w:val="14"/>
                <w:szCs w:val="14"/>
              </w:rPr>
            </w:pPr>
            <w:r w:rsidRPr="00E56196">
              <w:rPr>
                <w:rFonts w:ascii="Trebuchet MS" w:hAnsi="Trebuchet MS"/>
                <w:b/>
                <w:bCs/>
                <w:sz w:val="14"/>
                <w:szCs w:val="14"/>
              </w:rPr>
              <w:t>Liquidity</w:t>
            </w:r>
            <w:r w:rsidRPr="00E56196">
              <w:rPr>
                <w:rFonts w:ascii="Trebuchet MS" w:hAnsi="Trebuchet MS"/>
                <w:sz w:val="14"/>
                <w:szCs w:val="14"/>
              </w:rPr>
              <w:t>: Operating Cash Flow (%)</w:t>
            </w:r>
          </w:p>
        </w:tc>
        <w:tc>
          <w:tcPr>
            <w:tcW w:w="647" w:type="dxa"/>
            <w:vAlign w:val="center"/>
          </w:tcPr>
          <w:p w14:paraId="3AC7AC5C" w14:textId="77777777" w:rsidR="00DA45D2" w:rsidRPr="00622680" w:rsidRDefault="00DA45D2" w:rsidP="00E04102">
            <w:pPr>
              <w:tabs>
                <w:tab w:val="num" w:pos="1260"/>
              </w:tabs>
              <w:jc w:val="center"/>
              <w:rPr>
                <w:rFonts w:ascii="Trebuchet MS" w:hAnsi="Trebuchet MS"/>
                <w:sz w:val="14"/>
                <w:szCs w:val="14"/>
              </w:rPr>
            </w:pPr>
            <w:r>
              <w:rPr>
                <w:rFonts w:ascii="Trebuchet MS" w:hAnsi="Trebuchet MS"/>
                <w:sz w:val="14"/>
                <w:szCs w:val="14"/>
              </w:rPr>
              <w:t>4.7%</w:t>
            </w:r>
          </w:p>
        </w:tc>
        <w:tc>
          <w:tcPr>
            <w:tcW w:w="647" w:type="dxa"/>
            <w:vAlign w:val="center"/>
          </w:tcPr>
          <w:p w14:paraId="192C1586" w14:textId="77777777" w:rsidR="00DA45D2" w:rsidRPr="00622680" w:rsidRDefault="00DA45D2" w:rsidP="00E04102">
            <w:pPr>
              <w:tabs>
                <w:tab w:val="num" w:pos="1260"/>
              </w:tabs>
              <w:jc w:val="center"/>
              <w:rPr>
                <w:rFonts w:ascii="Trebuchet MS" w:hAnsi="Trebuchet MS"/>
                <w:sz w:val="14"/>
                <w:szCs w:val="14"/>
              </w:rPr>
            </w:pPr>
            <w:r>
              <w:rPr>
                <w:rFonts w:ascii="Trebuchet MS" w:hAnsi="Trebuchet MS"/>
                <w:sz w:val="14"/>
                <w:szCs w:val="14"/>
              </w:rPr>
              <w:t>3.1%</w:t>
            </w:r>
          </w:p>
        </w:tc>
        <w:tc>
          <w:tcPr>
            <w:tcW w:w="647" w:type="dxa"/>
            <w:vAlign w:val="center"/>
          </w:tcPr>
          <w:p w14:paraId="4B426FD3" w14:textId="77777777" w:rsidR="00DA45D2" w:rsidRPr="00622680" w:rsidRDefault="00DA45D2" w:rsidP="00E04102">
            <w:pPr>
              <w:tabs>
                <w:tab w:val="num" w:pos="1260"/>
              </w:tabs>
              <w:jc w:val="center"/>
              <w:rPr>
                <w:rFonts w:ascii="Trebuchet MS" w:hAnsi="Trebuchet MS"/>
                <w:sz w:val="14"/>
                <w:szCs w:val="14"/>
              </w:rPr>
            </w:pPr>
            <w:r>
              <w:rPr>
                <w:rFonts w:ascii="Trebuchet MS" w:hAnsi="Trebuchet MS"/>
                <w:sz w:val="14"/>
                <w:szCs w:val="14"/>
              </w:rPr>
              <w:t>8.7%</w:t>
            </w:r>
          </w:p>
        </w:tc>
        <w:tc>
          <w:tcPr>
            <w:tcW w:w="1465" w:type="dxa"/>
            <w:vAlign w:val="center"/>
          </w:tcPr>
          <w:p w14:paraId="4EC8C9B1" w14:textId="77777777" w:rsidR="00DA45D2" w:rsidRPr="00E56196" w:rsidRDefault="00DA45D2" w:rsidP="00E04102">
            <w:pPr>
              <w:tabs>
                <w:tab w:val="num" w:pos="1260"/>
              </w:tabs>
              <w:jc w:val="center"/>
              <w:rPr>
                <w:rFonts w:ascii="Trebuchet MS" w:hAnsi="Trebuchet MS"/>
                <w:sz w:val="14"/>
                <w:szCs w:val="14"/>
              </w:rPr>
            </w:pPr>
            <w:r>
              <w:rPr>
                <w:rFonts w:ascii="Trebuchet MS" w:hAnsi="Trebuchet MS"/>
                <w:sz w:val="14"/>
                <w:szCs w:val="14"/>
              </w:rPr>
              <w:t>3.6%</w:t>
            </w:r>
          </w:p>
        </w:tc>
        <w:tc>
          <w:tcPr>
            <w:tcW w:w="1440" w:type="dxa"/>
            <w:vAlign w:val="center"/>
          </w:tcPr>
          <w:p w14:paraId="07EE758E" w14:textId="77777777" w:rsidR="00DA45D2" w:rsidRPr="00E56196" w:rsidRDefault="00DA45D2" w:rsidP="00E04102">
            <w:pPr>
              <w:tabs>
                <w:tab w:val="num" w:pos="1260"/>
              </w:tabs>
              <w:jc w:val="center"/>
              <w:rPr>
                <w:rFonts w:ascii="Trebuchet MS" w:hAnsi="Trebuchet MS"/>
                <w:sz w:val="14"/>
                <w:szCs w:val="14"/>
              </w:rPr>
            </w:pPr>
            <w:r>
              <w:rPr>
                <w:rFonts w:ascii="Trebuchet MS" w:hAnsi="Trebuchet MS"/>
                <w:sz w:val="14"/>
                <w:szCs w:val="14"/>
              </w:rPr>
              <w:t>25.9%</w:t>
            </w:r>
          </w:p>
        </w:tc>
        <w:tc>
          <w:tcPr>
            <w:tcW w:w="1440" w:type="dxa"/>
            <w:vAlign w:val="center"/>
          </w:tcPr>
          <w:p w14:paraId="62206B6D" w14:textId="77777777" w:rsidR="00DA45D2" w:rsidRPr="00E6299B" w:rsidRDefault="00DA45D2" w:rsidP="00E04102">
            <w:pPr>
              <w:tabs>
                <w:tab w:val="num" w:pos="1260"/>
              </w:tabs>
              <w:jc w:val="center"/>
              <w:rPr>
                <w:rFonts w:ascii="Trebuchet MS" w:hAnsi="Trebuchet MS"/>
                <w:sz w:val="14"/>
                <w:szCs w:val="14"/>
              </w:rPr>
            </w:pPr>
            <w:r w:rsidRPr="00E6299B">
              <w:rPr>
                <w:rFonts w:ascii="Trebuchet MS" w:hAnsi="Trebuchet MS"/>
                <w:sz w:val="14"/>
                <w:szCs w:val="14"/>
              </w:rPr>
              <w:t>NA</w:t>
            </w:r>
          </w:p>
        </w:tc>
      </w:tr>
      <w:tr w:rsidR="00DA45D2" w14:paraId="39B91706" w14:textId="77777777" w:rsidTr="007C5953">
        <w:trPr>
          <w:cantSplit/>
          <w:trHeight w:val="418"/>
        </w:trPr>
        <w:tc>
          <w:tcPr>
            <w:tcW w:w="1795" w:type="dxa"/>
            <w:vAlign w:val="center"/>
          </w:tcPr>
          <w:p w14:paraId="1BCDF1B6" w14:textId="77777777" w:rsidR="00DA45D2" w:rsidRPr="00E56196" w:rsidRDefault="00DA45D2" w:rsidP="00E04102">
            <w:pPr>
              <w:tabs>
                <w:tab w:val="num" w:pos="1260"/>
              </w:tabs>
              <w:rPr>
                <w:rFonts w:ascii="Trebuchet MS" w:hAnsi="Trebuchet MS"/>
                <w:sz w:val="14"/>
                <w:szCs w:val="14"/>
              </w:rPr>
            </w:pPr>
            <w:r w:rsidRPr="00E56196">
              <w:rPr>
                <w:rFonts w:ascii="Trebuchet MS" w:hAnsi="Trebuchet MS"/>
                <w:b/>
                <w:bCs/>
                <w:sz w:val="14"/>
                <w:szCs w:val="14"/>
              </w:rPr>
              <w:t xml:space="preserve">Solvency: </w:t>
            </w:r>
            <w:r w:rsidRPr="00E56196">
              <w:rPr>
                <w:rFonts w:ascii="Trebuchet MS" w:hAnsi="Trebuchet MS"/>
                <w:sz w:val="14"/>
                <w:szCs w:val="14"/>
              </w:rPr>
              <w:t>Ratio of Long-Term Debt to Total Capitalization (%)</w:t>
            </w:r>
          </w:p>
        </w:tc>
        <w:tc>
          <w:tcPr>
            <w:tcW w:w="647" w:type="dxa"/>
            <w:vAlign w:val="center"/>
          </w:tcPr>
          <w:p w14:paraId="46BE9AE6" w14:textId="77777777" w:rsidR="00DA45D2" w:rsidRPr="00622680" w:rsidRDefault="00DA45D2" w:rsidP="00E04102">
            <w:pPr>
              <w:tabs>
                <w:tab w:val="num" w:pos="1260"/>
              </w:tabs>
              <w:jc w:val="center"/>
              <w:rPr>
                <w:rFonts w:ascii="Trebuchet MS" w:hAnsi="Trebuchet MS"/>
                <w:sz w:val="14"/>
                <w:szCs w:val="14"/>
              </w:rPr>
            </w:pPr>
            <w:r>
              <w:rPr>
                <w:rFonts w:ascii="Trebuchet MS" w:hAnsi="Trebuchet MS"/>
                <w:sz w:val="14"/>
                <w:szCs w:val="14"/>
              </w:rPr>
              <w:t>31.2%</w:t>
            </w:r>
          </w:p>
        </w:tc>
        <w:tc>
          <w:tcPr>
            <w:tcW w:w="647" w:type="dxa"/>
            <w:vAlign w:val="center"/>
          </w:tcPr>
          <w:p w14:paraId="194943D9" w14:textId="77777777" w:rsidR="00DA45D2" w:rsidRPr="00622680" w:rsidRDefault="00DA45D2" w:rsidP="00E04102">
            <w:pPr>
              <w:tabs>
                <w:tab w:val="num" w:pos="1260"/>
              </w:tabs>
              <w:jc w:val="center"/>
              <w:rPr>
                <w:rFonts w:ascii="Trebuchet MS" w:hAnsi="Trebuchet MS"/>
                <w:sz w:val="14"/>
                <w:szCs w:val="14"/>
              </w:rPr>
            </w:pPr>
            <w:r>
              <w:rPr>
                <w:rFonts w:ascii="Trebuchet MS" w:hAnsi="Trebuchet MS"/>
                <w:sz w:val="14"/>
                <w:szCs w:val="14"/>
              </w:rPr>
              <w:t>39.4%</w:t>
            </w:r>
          </w:p>
        </w:tc>
        <w:tc>
          <w:tcPr>
            <w:tcW w:w="647" w:type="dxa"/>
            <w:vAlign w:val="center"/>
          </w:tcPr>
          <w:p w14:paraId="2ABC8A97" w14:textId="77777777" w:rsidR="00DA45D2" w:rsidRPr="00622680" w:rsidRDefault="00DA45D2" w:rsidP="00E04102">
            <w:pPr>
              <w:tabs>
                <w:tab w:val="num" w:pos="1260"/>
              </w:tabs>
              <w:jc w:val="center"/>
              <w:rPr>
                <w:rFonts w:ascii="Trebuchet MS" w:hAnsi="Trebuchet MS"/>
                <w:sz w:val="14"/>
                <w:szCs w:val="14"/>
              </w:rPr>
            </w:pPr>
            <w:r>
              <w:rPr>
                <w:rFonts w:ascii="Trebuchet MS" w:hAnsi="Trebuchet MS"/>
                <w:sz w:val="14"/>
                <w:szCs w:val="14"/>
              </w:rPr>
              <w:t>33.0%</w:t>
            </w:r>
          </w:p>
        </w:tc>
        <w:tc>
          <w:tcPr>
            <w:tcW w:w="1465" w:type="dxa"/>
            <w:vAlign w:val="center"/>
          </w:tcPr>
          <w:p w14:paraId="1E1D8385" w14:textId="77777777" w:rsidR="00DA45D2" w:rsidRPr="00E56196" w:rsidRDefault="00DA45D2" w:rsidP="00E04102">
            <w:pPr>
              <w:tabs>
                <w:tab w:val="num" w:pos="1260"/>
              </w:tabs>
              <w:jc w:val="center"/>
              <w:rPr>
                <w:rFonts w:ascii="Trebuchet MS" w:hAnsi="Trebuchet MS"/>
                <w:sz w:val="14"/>
                <w:szCs w:val="14"/>
              </w:rPr>
            </w:pPr>
            <w:r>
              <w:rPr>
                <w:rFonts w:ascii="Trebuchet MS" w:hAnsi="Trebuchet MS"/>
                <w:sz w:val="14"/>
                <w:szCs w:val="14"/>
              </w:rPr>
              <w:t>43.3%</w:t>
            </w:r>
          </w:p>
        </w:tc>
        <w:tc>
          <w:tcPr>
            <w:tcW w:w="1440" w:type="dxa"/>
            <w:vAlign w:val="center"/>
          </w:tcPr>
          <w:p w14:paraId="6D4B55C9" w14:textId="77777777" w:rsidR="00DA45D2" w:rsidRPr="00E56196" w:rsidRDefault="00DA45D2" w:rsidP="00E04102">
            <w:pPr>
              <w:tabs>
                <w:tab w:val="num" w:pos="1260"/>
              </w:tabs>
              <w:jc w:val="center"/>
              <w:rPr>
                <w:rFonts w:ascii="Trebuchet MS" w:hAnsi="Trebuchet MS"/>
                <w:sz w:val="14"/>
                <w:szCs w:val="14"/>
              </w:rPr>
            </w:pPr>
            <w:r>
              <w:rPr>
                <w:rFonts w:ascii="Trebuchet MS" w:hAnsi="Trebuchet MS"/>
                <w:sz w:val="14"/>
                <w:szCs w:val="14"/>
              </w:rPr>
              <w:t>NA</w:t>
            </w:r>
          </w:p>
        </w:tc>
        <w:tc>
          <w:tcPr>
            <w:tcW w:w="1440" w:type="dxa"/>
            <w:vAlign w:val="center"/>
          </w:tcPr>
          <w:p w14:paraId="7E27035E" w14:textId="77777777" w:rsidR="00DA45D2" w:rsidRPr="00E6299B" w:rsidRDefault="00DA45D2" w:rsidP="00E04102">
            <w:pPr>
              <w:tabs>
                <w:tab w:val="num" w:pos="1260"/>
              </w:tabs>
              <w:jc w:val="center"/>
              <w:rPr>
                <w:rFonts w:ascii="Trebuchet MS" w:hAnsi="Trebuchet MS"/>
                <w:sz w:val="14"/>
                <w:szCs w:val="14"/>
              </w:rPr>
            </w:pPr>
            <w:r>
              <w:rPr>
                <w:rFonts w:ascii="Trebuchet MS" w:hAnsi="Trebuchet MS"/>
                <w:sz w:val="14"/>
                <w:szCs w:val="14"/>
              </w:rPr>
              <w:t>NA</w:t>
            </w:r>
          </w:p>
        </w:tc>
      </w:tr>
      <w:tr w:rsidR="00DA45D2" w14:paraId="12FA6733" w14:textId="77777777" w:rsidTr="007C5953">
        <w:trPr>
          <w:cantSplit/>
          <w:trHeight w:val="418"/>
        </w:trPr>
        <w:tc>
          <w:tcPr>
            <w:tcW w:w="1795" w:type="dxa"/>
            <w:vAlign w:val="center"/>
          </w:tcPr>
          <w:p w14:paraId="0CB50DFC" w14:textId="77777777" w:rsidR="00DA45D2" w:rsidRPr="00E56196" w:rsidRDefault="00DA45D2" w:rsidP="00E04102">
            <w:pPr>
              <w:tabs>
                <w:tab w:val="num" w:pos="1260"/>
              </w:tabs>
              <w:rPr>
                <w:rFonts w:ascii="Trebuchet MS" w:hAnsi="Trebuchet MS"/>
                <w:sz w:val="14"/>
                <w:szCs w:val="14"/>
              </w:rPr>
            </w:pPr>
            <w:r w:rsidRPr="00E56196">
              <w:rPr>
                <w:rFonts w:ascii="Trebuchet MS" w:hAnsi="Trebuchet MS"/>
                <w:b/>
                <w:bCs/>
                <w:sz w:val="14"/>
                <w:szCs w:val="14"/>
              </w:rPr>
              <w:t>Solvency:</w:t>
            </w:r>
            <w:r w:rsidRPr="00E56196">
              <w:rPr>
                <w:rFonts w:ascii="Trebuchet MS" w:hAnsi="Trebuchet MS"/>
                <w:sz w:val="14"/>
                <w:szCs w:val="14"/>
              </w:rPr>
              <w:t xml:space="preserve"> Ratio of Cash Flow to Long Term Debt (%)</w:t>
            </w:r>
          </w:p>
        </w:tc>
        <w:tc>
          <w:tcPr>
            <w:tcW w:w="647" w:type="dxa"/>
            <w:vAlign w:val="center"/>
          </w:tcPr>
          <w:p w14:paraId="18E636FE" w14:textId="77777777" w:rsidR="00DA45D2" w:rsidRPr="00622680" w:rsidRDefault="00DA45D2" w:rsidP="00E04102">
            <w:pPr>
              <w:tabs>
                <w:tab w:val="num" w:pos="1260"/>
              </w:tabs>
              <w:jc w:val="center"/>
              <w:rPr>
                <w:rFonts w:ascii="Trebuchet MS" w:hAnsi="Trebuchet MS"/>
                <w:sz w:val="14"/>
                <w:szCs w:val="14"/>
              </w:rPr>
            </w:pPr>
            <w:r>
              <w:rPr>
                <w:rFonts w:ascii="Trebuchet MS" w:hAnsi="Trebuchet MS"/>
                <w:sz w:val="14"/>
                <w:szCs w:val="14"/>
              </w:rPr>
              <w:t>22.3%</w:t>
            </w:r>
          </w:p>
        </w:tc>
        <w:tc>
          <w:tcPr>
            <w:tcW w:w="647" w:type="dxa"/>
            <w:vAlign w:val="center"/>
          </w:tcPr>
          <w:p w14:paraId="52D87BD3" w14:textId="77777777" w:rsidR="00DA45D2" w:rsidRPr="00622680" w:rsidRDefault="00DA45D2" w:rsidP="00E04102">
            <w:pPr>
              <w:tabs>
                <w:tab w:val="num" w:pos="1260"/>
              </w:tabs>
              <w:jc w:val="center"/>
              <w:rPr>
                <w:rFonts w:ascii="Trebuchet MS" w:hAnsi="Trebuchet MS"/>
                <w:sz w:val="14"/>
                <w:szCs w:val="14"/>
              </w:rPr>
            </w:pPr>
            <w:r>
              <w:rPr>
                <w:rFonts w:ascii="Trebuchet MS" w:hAnsi="Trebuchet MS"/>
                <w:sz w:val="14"/>
                <w:szCs w:val="14"/>
              </w:rPr>
              <w:t>12.7%</w:t>
            </w:r>
          </w:p>
        </w:tc>
        <w:tc>
          <w:tcPr>
            <w:tcW w:w="647" w:type="dxa"/>
            <w:vAlign w:val="center"/>
          </w:tcPr>
          <w:p w14:paraId="5613276A" w14:textId="77777777" w:rsidR="00DA45D2" w:rsidRPr="00622680" w:rsidRDefault="00DA45D2" w:rsidP="00E04102">
            <w:pPr>
              <w:tabs>
                <w:tab w:val="num" w:pos="1260"/>
              </w:tabs>
              <w:jc w:val="center"/>
              <w:rPr>
                <w:rFonts w:ascii="Trebuchet MS" w:hAnsi="Trebuchet MS"/>
                <w:sz w:val="14"/>
                <w:szCs w:val="14"/>
              </w:rPr>
            </w:pPr>
            <w:r>
              <w:rPr>
                <w:rFonts w:ascii="Trebuchet MS" w:hAnsi="Trebuchet MS"/>
                <w:sz w:val="14"/>
                <w:szCs w:val="14"/>
              </w:rPr>
              <w:t>40.7%</w:t>
            </w:r>
          </w:p>
        </w:tc>
        <w:tc>
          <w:tcPr>
            <w:tcW w:w="1465" w:type="dxa"/>
            <w:vAlign w:val="center"/>
          </w:tcPr>
          <w:p w14:paraId="37DBFE93" w14:textId="77777777" w:rsidR="00DA45D2" w:rsidRPr="00E56196" w:rsidRDefault="00DA45D2" w:rsidP="00E04102">
            <w:pPr>
              <w:tabs>
                <w:tab w:val="num" w:pos="1260"/>
              </w:tabs>
              <w:jc w:val="center"/>
              <w:rPr>
                <w:rFonts w:ascii="Trebuchet MS" w:hAnsi="Trebuchet MS"/>
                <w:sz w:val="14"/>
                <w:szCs w:val="14"/>
              </w:rPr>
            </w:pPr>
            <w:r>
              <w:rPr>
                <w:rFonts w:ascii="Trebuchet MS" w:hAnsi="Trebuchet MS"/>
                <w:sz w:val="14"/>
                <w:szCs w:val="14"/>
              </w:rPr>
              <w:t>13.1%</w:t>
            </w:r>
          </w:p>
        </w:tc>
        <w:tc>
          <w:tcPr>
            <w:tcW w:w="1440" w:type="dxa"/>
            <w:vAlign w:val="center"/>
          </w:tcPr>
          <w:p w14:paraId="0DC22AEB" w14:textId="77777777" w:rsidR="00DA45D2" w:rsidRPr="00E56196" w:rsidRDefault="00DA45D2" w:rsidP="00E04102">
            <w:pPr>
              <w:tabs>
                <w:tab w:val="num" w:pos="1260"/>
              </w:tabs>
              <w:jc w:val="center"/>
              <w:rPr>
                <w:rFonts w:ascii="Trebuchet MS" w:hAnsi="Trebuchet MS"/>
                <w:sz w:val="14"/>
                <w:szCs w:val="14"/>
              </w:rPr>
            </w:pPr>
            <w:r>
              <w:rPr>
                <w:rFonts w:ascii="Trebuchet MS" w:hAnsi="Trebuchet MS"/>
                <w:sz w:val="14"/>
                <w:szCs w:val="14"/>
              </w:rPr>
              <w:t>NA</w:t>
            </w:r>
          </w:p>
        </w:tc>
        <w:tc>
          <w:tcPr>
            <w:tcW w:w="1440" w:type="dxa"/>
            <w:vAlign w:val="center"/>
          </w:tcPr>
          <w:p w14:paraId="6CF520DB" w14:textId="77777777" w:rsidR="00DA45D2" w:rsidRPr="00E6299B" w:rsidRDefault="00DA45D2" w:rsidP="00E04102">
            <w:pPr>
              <w:tabs>
                <w:tab w:val="num" w:pos="1260"/>
              </w:tabs>
              <w:jc w:val="center"/>
              <w:rPr>
                <w:rFonts w:ascii="Trebuchet MS" w:hAnsi="Trebuchet MS"/>
                <w:sz w:val="14"/>
                <w:szCs w:val="14"/>
              </w:rPr>
            </w:pPr>
            <w:r>
              <w:rPr>
                <w:rFonts w:ascii="Trebuchet MS" w:hAnsi="Trebuchet MS"/>
                <w:sz w:val="14"/>
                <w:szCs w:val="14"/>
              </w:rPr>
              <w:t>NA</w:t>
            </w:r>
          </w:p>
        </w:tc>
      </w:tr>
      <w:tr w:rsidR="00DA45D2" w14:paraId="0248A06B" w14:textId="77777777" w:rsidTr="007C5953">
        <w:trPr>
          <w:cantSplit/>
          <w:trHeight w:val="418"/>
        </w:trPr>
        <w:tc>
          <w:tcPr>
            <w:tcW w:w="1795" w:type="dxa"/>
            <w:vAlign w:val="center"/>
          </w:tcPr>
          <w:p w14:paraId="2B55C9E6" w14:textId="77777777" w:rsidR="00DA45D2" w:rsidRPr="00E56196" w:rsidRDefault="00DA45D2" w:rsidP="00E04102">
            <w:pPr>
              <w:tabs>
                <w:tab w:val="num" w:pos="1260"/>
              </w:tabs>
              <w:rPr>
                <w:rFonts w:ascii="Trebuchet MS" w:hAnsi="Trebuchet MS"/>
                <w:b/>
                <w:bCs/>
                <w:sz w:val="14"/>
                <w:szCs w:val="14"/>
              </w:rPr>
            </w:pPr>
            <w:r w:rsidRPr="00E56196">
              <w:rPr>
                <w:rFonts w:ascii="Trebuchet MS" w:hAnsi="Trebuchet MS"/>
                <w:b/>
                <w:bCs/>
                <w:sz w:val="14"/>
                <w:szCs w:val="14"/>
              </w:rPr>
              <w:t xml:space="preserve">Solvency: </w:t>
            </w:r>
            <w:r w:rsidRPr="00E56196">
              <w:rPr>
                <w:rFonts w:ascii="Trebuchet MS" w:hAnsi="Trebuchet MS"/>
                <w:sz w:val="14"/>
                <w:szCs w:val="14"/>
              </w:rPr>
              <w:t>Unrestricted Net Assets ($ in million)</w:t>
            </w:r>
          </w:p>
        </w:tc>
        <w:tc>
          <w:tcPr>
            <w:tcW w:w="647" w:type="dxa"/>
            <w:vAlign w:val="center"/>
          </w:tcPr>
          <w:p w14:paraId="152F4324" w14:textId="77777777" w:rsidR="00DA45D2" w:rsidRPr="00622680" w:rsidRDefault="00DA45D2" w:rsidP="00E04102">
            <w:pPr>
              <w:tabs>
                <w:tab w:val="num" w:pos="1260"/>
              </w:tabs>
              <w:jc w:val="center"/>
              <w:rPr>
                <w:rFonts w:ascii="Trebuchet MS" w:hAnsi="Trebuchet MS"/>
                <w:sz w:val="14"/>
                <w:szCs w:val="14"/>
              </w:rPr>
            </w:pPr>
            <w:r>
              <w:rPr>
                <w:rFonts w:ascii="Trebuchet MS" w:hAnsi="Trebuchet MS"/>
                <w:sz w:val="14"/>
                <w:szCs w:val="14"/>
              </w:rPr>
              <w:t>$1,337</w:t>
            </w:r>
          </w:p>
        </w:tc>
        <w:tc>
          <w:tcPr>
            <w:tcW w:w="647" w:type="dxa"/>
            <w:vAlign w:val="center"/>
          </w:tcPr>
          <w:p w14:paraId="512F7399" w14:textId="77777777" w:rsidR="00DA45D2" w:rsidRPr="00622680" w:rsidRDefault="00DA45D2" w:rsidP="00E04102">
            <w:pPr>
              <w:tabs>
                <w:tab w:val="num" w:pos="1260"/>
              </w:tabs>
              <w:jc w:val="center"/>
              <w:rPr>
                <w:rFonts w:ascii="Trebuchet MS" w:hAnsi="Trebuchet MS"/>
                <w:sz w:val="14"/>
                <w:szCs w:val="14"/>
              </w:rPr>
            </w:pPr>
            <w:r>
              <w:rPr>
                <w:rFonts w:ascii="Trebuchet MS" w:hAnsi="Trebuchet MS"/>
                <w:sz w:val="14"/>
                <w:szCs w:val="14"/>
              </w:rPr>
              <w:t>$1,239</w:t>
            </w:r>
          </w:p>
        </w:tc>
        <w:tc>
          <w:tcPr>
            <w:tcW w:w="647" w:type="dxa"/>
            <w:vAlign w:val="center"/>
          </w:tcPr>
          <w:p w14:paraId="2472A547" w14:textId="77777777" w:rsidR="00DA45D2" w:rsidRPr="00622680" w:rsidRDefault="00DA45D2" w:rsidP="00E04102">
            <w:pPr>
              <w:tabs>
                <w:tab w:val="num" w:pos="1260"/>
              </w:tabs>
              <w:jc w:val="center"/>
              <w:rPr>
                <w:rFonts w:ascii="Trebuchet MS" w:hAnsi="Trebuchet MS"/>
                <w:sz w:val="14"/>
                <w:szCs w:val="14"/>
              </w:rPr>
            </w:pPr>
            <w:r>
              <w:rPr>
                <w:rFonts w:ascii="Trebuchet MS" w:hAnsi="Trebuchet MS"/>
                <w:sz w:val="14"/>
                <w:szCs w:val="14"/>
              </w:rPr>
              <w:t>$1,544</w:t>
            </w:r>
          </w:p>
        </w:tc>
        <w:tc>
          <w:tcPr>
            <w:tcW w:w="1465" w:type="dxa"/>
            <w:vAlign w:val="center"/>
          </w:tcPr>
          <w:p w14:paraId="5D3B4F76" w14:textId="77777777" w:rsidR="00DA45D2" w:rsidRPr="00E56196" w:rsidRDefault="00DA45D2" w:rsidP="00E04102">
            <w:pPr>
              <w:tabs>
                <w:tab w:val="num" w:pos="1260"/>
              </w:tabs>
              <w:jc w:val="center"/>
              <w:rPr>
                <w:rFonts w:ascii="Trebuchet MS" w:hAnsi="Trebuchet MS"/>
                <w:sz w:val="14"/>
                <w:szCs w:val="14"/>
              </w:rPr>
            </w:pPr>
            <w:r>
              <w:rPr>
                <w:rFonts w:ascii="Trebuchet MS" w:hAnsi="Trebuchet MS"/>
                <w:sz w:val="14"/>
                <w:szCs w:val="14"/>
              </w:rPr>
              <w:t>NA</w:t>
            </w:r>
          </w:p>
        </w:tc>
        <w:tc>
          <w:tcPr>
            <w:tcW w:w="1440" w:type="dxa"/>
            <w:vAlign w:val="center"/>
          </w:tcPr>
          <w:p w14:paraId="47644453" w14:textId="77777777" w:rsidR="00DA45D2" w:rsidRPr="00E56196" w:rsidRDefault="00DA45D2" w:rsidP="00E04102">
            <w:pPr>
              <w:tabs>
                <w:tab w:val="num" w:pos="1260"/>
              </w:tabs>
              <w:jc w:val="center"/>
              <w:rPr>
                <w:rFonts w:ascii="Trebuchet MS" w:hAnsi="Trebuchet MS"/>
                <w:sz w:val="14"/>
                <w:szCs w:val="14"/>
              </w:rPr>
            </w:pPr>
            <w:r>
              <w:rPr>
                <w:rFonts w:ascii="Trebuchet MS" w:hAnsi="Trebuchet MS"/>
                <w:sz w:val="14"/>
                <w:szCs w:val="14"/>
              </w:rPr>
              <w:t>NA</w:t>
            </w:r>
          </w:p>
        </w:tc>
        <w:tc>
          <w:tcPr>
            <w:tcW w:w="1440" w:type="dxa"/>
            <w:vAlign w:val="center"/>
          </w:tcPr>
          <w:p w14:paraId="6C9DF18D" w14:textId="77777777" w:rsidR="00DA45D2" w:rsidRPr="00E6299B" w:rsidRDefault="00DA45D2" w:rsidP="00E04102">
            <w:pPr>
              <w:tabs>
                <w:tab w:val="num" w:pos="1260"/>
              </w:tabs>
              <w:jc w:val="center"/>
              <w:rPr>
                <w:rFonts w:ascii="Trebuchet MS" w:hAnsi="Trebuchet MS"/>
                <w:sz w:val="14"/>
                <w:szCs w:val="14"/>
              </w:rPr>
            </w:pPr>
            <w:r w:rsidRPr="00E6299B">
              <w:rPr>
                <w:rFonts w:ascii="Trebuchet MS" w:hAnsi="Trebuchet MS"/>
                <w:sz w:val="14"/>
                <w:szCs w:val="14"/>
              </w:rPr>
              <w:t>NA</w:t>
            </w:r>
          </w:p>
        </w:tc>
      </w:tr>
      <w:tr w:rsidR="00DA45D2" w14:paraId="48DE3610" w14:textId="77777777" w:rsidTr="007C5953">
        <w:trPr>
          <w:cantSplit/>
          <w:trHeight w:val="418"/>
        </w:trPr>
        <w:tc>
          <w:tcPr>
            <w:tcW w:w="1795" w:type="dxa"/>
            <w:vAlign w:val="center"/>
          </w:tcPr>
          <w:p w14:paraId="373ED574" w14:textId="77777777" w:rsidR="00DA45D2" w:rsidRPr="00E56196" w:rsidRDefault="00DA45D2" w:rsidP="00E04102">
            <w:pPr>
              <w:tabs>
                <w:tab w:val="num" w:pos="1260"/>
              </w:tabs>
              <w:rPr>
                <w:rFonts w:ascii="Trebuchet MS" w:hAnsi="Trebuchet MS"/>
                <w:b/>
                <w:bCs/>
                <w:sz w:val="14"/>
                <w:szCs w:val="14"/>
              </w:rPr>
            </w:pPr>
            <w:r w:rsidRPr="00E56196">
              <w:rPr>
                <w:rFonts w:ascii="Trebuchet MS" w:hAnsi="Trebuchet MS"/>
                <w:b/>
                <w:bCs/>
                <w:sz w:val="14"/>
                <w:szCs w:val="14"/>
              </w:rPr>
              <w:t>Solvency:</w:t>
            </w:r>
            <w:r>
              <w:rPr>
                <w:rFonts w:ascii="Trebuchet MS" w:hAnsi="Trebuchet MS"/>
                <w:b/>
                <w:bCs/>
                <w:sz w:val="14"/>
                <w:szCs w:val="14"/>
              </w:rPr>
              <w:t xml:space="preserve"> </w:t>
            </w:r>
            <w:r w:rsidRPr="007560FB">
              <w:rPr>
                <w:rFonts w:ascii="Trebuchet MS" w:hAnsi="Trebuchet MS"/>
                <w:sz w:val="14"/>
                <w:szCs w:val="14"/>
              </w:rPr>
              <w:t>Total</w:t>
            </w:r>
            <w:r>
              <w:rPr>
                <w:rFonts w:ascii="Trebuchet MS" w:hAnsi="Trebuchet MS"/>
                <w:sz w:val="14"/>
                <w:szCs w:val="14"/>
              </w:rPr>
              <w:t xml:space="preserve"> </w:t>
            </w:r>
            <w:r w:rsidRPr="007560FB">
              <w:rPr>
                <w:rFonts w:ascii="Trebuchet MS" w:hAnsi="Trebuchet MS"/>
                <w:sz w:val="14"/>
                <w:szCs w:val="14"/>
              </w:rPr>
              <w:t>Net Assets</w:t>
            </w:r>
            <w:r w:rsidRPr="00E56196">
              <w:rPr>
                <w:rFonts w:ascii="Trebuchet MS" w:hAnsi="Trebuchet MS"/>
                <w:b/>
                <w:bCs/>
                <w:sz w:val="14"/>
                <w:szCs w:val="14"/>
              </w:rPr>
              <w:t xml:space="preserve"> </w:t>
            </w:r>
            <w:r w:rsidRPr="00E56196">
              <w:rPr>
                <w:rFonts w:ascii="Trebuchet MS" w:hAnsi="Trebuchet MS"/>
                <w:sz w:val="14"/>
                <w:szCs w:val="14"/>
              </w:rPr>
              <w:t>($ in million)</w:t>
            </w:r>
          </w:p>
        </w:tc>
        <w:tc>
          <w:tcPr>
            <w:tcW w:w="647" w:type="dxa"/>
            <w:vAlign w:val="center"/>
          </w:tcPr>
          <w:p w14:paraId="008F9FE9" w14:textId="77777777" w:rsidR="00DA45D2" w:rsidRPr="00622680" w:rsidRDefault="00DA45D2" w:rsidP="00E04102">
            <w:pPr>
              <w:tabs>
                <w:tab w:val="num" w:pos="1260"/>
              </w:tabs>
              <w:jc w:val="center"/>
              <w:rPr>
                <w:rFonts w:ascii="Trebuchet MS" w:hAnsi="Trebuchet MS"/>
                <w:sz w:val="14"/>
                <w:szCs w:val="14"/>
              </w:rPr>
            </w:pPr>
            <w:r>
              <w:rPr>
                <w:rFonts w:ascii="Trebuchet MS" w:hAnsi="Trebuchet MS"/>
                <w:sz w:val="14"/>
                <w:szCs w:val="14"/>
              </w:rPr>
              <w:t>$1,458</w:t>
            </w:r>
          </w:p>
        </w:tc>
        <w:tc>
          <w:tcPr>
            <w:tcW w:w="647" w:type="dxa"/>
            <w:vAlign w:val="center"/>
          </w:tcPr>
          <w:p w14:paraId="20F64CD1" w14:textId="77777777" w:rsidR="00DA45D2" w:rsidRPr="00622680" w:rsidRDefault="00DA45D2" w:rsidP="00E04102">
            <w:pPr>
              <w:tabs>
                <w:tab w:val="num" w:pos="1260"/>
              </w:tabs>
              <w:jc w:val="center"/>
              <w:rPr>
                <w:rFonts w:ascii="Trebuchet MS" w:hAnsi="Trebuchet MS"/>
                <w:sz w:val="14"/>
                <w:szCs w:val="14"/>
              </w:rPr>
            </w:pPr>
            <w:r>
              <w:rPr>
                <w:rFonts w:ascii="Trebuchet MS" w:hAnsi="Trebuchet MS"/>
                <w:sz w:val="14"/>
                <w:szCs w:val="14"/>
              </w:rPr>
              <w:t>$1,340</w:t>
            </w:r>
          </w:p>
        </w:tc>
        <w:tc>
          <w:tcPr>
            <w:tcW w:w="647" w:type="dxa"/>
            <w:vAlign w:val="center"/>
          </w:tcPr>
          <w:p w14:paraId="23EDB6FC" w14:textId="77777777" w:rsidR="00DA45D2" w:rsidRPr="00622680" w:rsidRDefault="00DA45D2" w:rsidP="00E04102">
            <w:pPr>
              <w:tabs>
                <w:tab w:val="num" w:pos="1260"/>
              </w:tabs>
              <w:jc w:val="center"/>
              <w:rPr>
                <w:rFonts w:ascii="Trebuchet MS" w:hAnsi="Trebuchet MS"/>
                <w:sz w:val="14"/>
                <w:szCs w:val="14"/>
              </w:rPr>
            </w:pPr>
            <w:r>
              <w:rPr>
                <w:rFonts w:ascii="Trebuchet MS" w:hAnsi="Trebuchet MS"/>
                <w:sz w:val="14"/>
                <w:szCs w:val="14"/>
              </w:rPr>
              <w:t>$1,650</w:t>
            </w:r>
          </w:p>
        </w:tc>
        <w:tc>
          <w:tcPr>
            <w:tcW w:w="1465" w:type="dxa"/>
            <w:vAlign w:val="center"/>
          </w:tcPr>
          <w:p w14:paraId="7191A458" w14:textId="77777777" w:rsidR="00DA45D2" w:rsidRPr="00E56196" w:rsidRDefault="00DA45D2" w:rsidP="00E04102">
            <w:pPr>
              <w:tabs>
                <w:tab w:val="num" w:pos="1260"/>
              </w:tabs>
              <w:jc w:val="center"/>
              <w:rPr>
                <w:rFonts w:ascii="Trebuchet MS" w:hAnsi="Trebuchet MS"/>
                <w:sz w:val="14"/>
                <w:szCs w:val="14"/>
              </w:rPr>
            </w:pPr>
            <w:r>
              <w:rPr>
                <w:rFonts w:ascii="Trebuchet MS" w:hAnsi="Trebuchet MS"/>
                <w:sz w:val="14"/>
                <w:szCs w:val="14"/>
              </w:rPr>
              <w:t>NA</w:t>
            </w:r>
          </w:p>
        </w:tc>
        <w:tc>
          <w:tcPr>
            <w:tcW w:w="1440" w:type="dxa"/>
            <w:vAlign w:val="center"/>
          </w:tcPr>
          <w:p w14:paraId="7B5AAE67" w14:textId="77777777" w:rsidR="00DA45D2" w:rsidRPr="00E56196" w:rsidRDefault="00DA45D2" w:rsidP="00E04102">
            <w:pPr>
              <w:tabs>
                <w:tab w:val="num" w:pos="1260"/>
              </w:tabs>
              <w:jc w:val="center"/>
              <w:rPr>
                <w:rFonts w:ascii="Trebuchet MS" w:hAnsi="Trebuchet MS"/>
                <w:sz w:val="14"/>
                <w:szCs w:val="14"/>
              </w:rPr>
            </w:pPr>
            <w:r>
              <w:rPr>
                <w:rFonts w:ascii="Trebuchet MS" w:hAnsi="Trebuchet MS"/>
                <w:sz w:val="14"/>
                <w:szCs w:val="14"/>
              </w:rPr>
              <w:t>NA</w:t>
            </w:r>
          </w:p>
        </w:tc>
        <w:tc>
          <w:tcPr>
            <w:tcW w:w="1440" w:type="dxa"/>
            <w:vAlign w:val="center"/>
          </w:tcPr>
          <w:p w14:paraId="60E19356" w14:textId="77777777" w:rsidR="00DA45D2" w:rsidRPr="00650761" w:rsidRDefault="00DA45D2" w:rsidP="00E04102">
            <w:pPr>
              <w:tabs>
                <w:tab w:val="num" w:pos="1260"/>
              </w:tabs>
              <w:jc w:val="center"/>
              <w:rPr>
                <w:rFonts w:ascii="Trebuchet MS" w:hAnsi="Trebuchet MS"/>
                <w:sz w:val="14"/>
                <w:szCs w:val="14"/>
                <w:highlight w:val="yellow"/>
              </w:rPr>
            </w:pPr>
            <w:r w:rsidRPr="00E6299B">
              <w:rPr>
                <w:rFonts w:ascii="Trebuchet MS" w:hAnsi="Trebuchet MS"/>
                <w:sz w:val="14"/>
                <w:szCs w:val="14"/>
              </w:rPr>
              <w:t>NA</w:t>
            </w:r>
          </w:p>
        </w:tc>
      </w:tr>
    </w:tbl>
    <w:p w14:paraId="0FCCEC44" w14:textId="77777777" w:rsidR="00DA45D2" w:rsidRDefault="00DA45D2" w:rsidP="00DA45D2">
      <w:pPr>
        <w:autoSpaceDE w:val="0"/>
        <w:autoSpaceDN w:val="0"/>
        <w:adjustRightInd w:val="0"/>
        <w:ind w:left="270"/>
        <w:rPr>
          <w:rFonts w:ascii="Trebuchet MS" w:hAnsi="Trebuchet MS"/>
          <w:sz w:val="14"/>
          <w:szCs w:val="14"/>
        </w:rPr>
      </w:pPr>
      <w:r w:rsidRPr="00AB2998">
        <w:rPr>
          <w:rFonts w:ascii="Trebuchet MS" w:hAnsi="Trebuchet MS"/>
          <w:sz w:val="14"/>
          <w:szCs w:val="14"/>
        </w:rPr>
        <w:t xml:space="preserve">Footnote: </w:t>
      </w:r>
    </w:p>
    <w:p w14:paraId="4390A81F" w14:textId="77777777" w:rsidR="00DA45D2" w:rsidRPr="00F90A08" w:rsidRDefault="00DA45D2" w:rsidP="00DA45D2">
      <w:pPr>
        <w:pStyle w:val="ListParagraph"/>
        <w:numPr>
          <w:ilvl w:val="0"/>
          <w:numId w:val="4"/>
        </w:numPr>
        <w:autoSpaceDE w:val="0"/>
        <w:autoSpaceDN w:val="0"/>
        <w:adjustRightInd w:val="0"/>
        <w:rPr>
          <w:rFonts w:ascii="Trebuchet MS" w:hAnsi="Trebuchet MS"/>
          <w:sz w:val="14"/>
          <w:szCs w:val="14"/>
        </w:rPr>
      </w:pPr>
      <w:r w:rsidRPr="00F90A08">
        <w:rPr>
          <w:rFonts w:ascii="Trebuchet MS" w:hAnsi="Trebuchet MS"/>
          <w:sz w:val="14"/>
          <w:szCs w:val="14"/>
        </w:rPr>
        <w:t>Industry data ratios based on each data source's respective definitions and may differ from the ratio definitions listed below.</w:t>
      </w:r>
    </w:p>
    <w:p w14:paraId="1F8E88AD" w14:textId="77777777" w:rsidR="00DA45D2" w:rsidRDefault="00DA45D2" w:rsidP="00DA45D2">
      <w:pPr>
        <w:pStyle w:val="ListParagraph"/>
        <w:numPr>
          <w:ilvl w:val="0"/>
          <w:numId w:val="4"/>
        </w:numPr>
        <w:autoSpaceDE w:val="0"/>
        <w:autoSpaceDN w:val="0"/>
        <w:adjustRightInd w:val="0"/>
        <w:rPr>
          <w:rFonts w:ascii="Trebuchet MS" w:hAnsi="Trebuchet MS"/>
          <w:sz w:val="14"/>
          <w:szCs w:val="14"/>
        </w:rPr>
      </w:pPr>
      <w:r w:rsidRPr="00F90A08">
        <w:rPr>
          <w:rFonts w:ascii="Trebuchet MS" w:hAnsi="Trebuchet MS"/>
          <w:sz w:val="14"/>
          <w:szCs w:val="14"/>
        </w:rPr>
        <w:t>Net income margin from Integra and Definitive Healthcare data treated as an equivalent to excess margin.</w:t>
      </w:r>
    </w:p>
    <w:p w14:paraId="3A1E1F67" w14:textId="77777777" w:rsidR="00DA45D2" w:rsidRPr="00A22182" w:rsidRDefault="00DA45D2" w:rsidP="00DA45D2">
      <w:pPr>
        <w:tabs>
          <w:tab w:val="num" w:pos="1260"/>
        </w:tabs>
        <w:spacing w:line="480" w:lineRule="auto"/>
        <w:jc w:val="both"/>
        <w:rPr>
          <w:rFonts w:ascii="Trebuchet MS" w:hAnsi="Trebuchet MS"/>
          <w:sz w:val="22"/>
        </w:rPr>
      </w:pPr>
      <w:r w:rsidRPr="00A22182">
        <w:rPr>
          <w:rFonts w:ascii="Trebuchet MS" w:hAnsi="Trebuchet MS"/>
          <w:sz w:val="22"/>
        </w:rPr>
        <w:t xml:space="preserve"> </w:t>
      </w:r>
    </w:p>
    <w:p w14:paraId="30A781FE" w14:textId="77777777" w:rsidR="00DA45D2" w:rsidRPr="00A22182" w:rsidRDefault="00DA45D2" w:rsidP="00DA45D2">
      <w:pPr>
        <w:tabs>
          <w:tab w:val="num" w:pos="1260"/>
        </w:tabs>
        <w:spacing w:line="480" w:lineRule="auto"/>
        <w:jc w:val="both"/>
        <w:rPr>
          <w:rFonts w:ascii="Trebuchet MS" w:hAnsi="Trebuchet MS"/>
          <w:sz w:val="22"/>
        </w:rPr>
      </w:pPr>
      <w:r w:rsidRPr="00A22182">
        <w:rPr>
          <w:rFonts w:ascii="Trebuchet MS" w:hAnsi="Trebuchet MS"/>
          <w:sz w:val="22"/>
        </w:rPr>
        <w:t>The Key Metrics fall into three primary categories: profitability, liquidity, and solvency. Profitability metrics are used in the evaluation of management performance in how efficiently resources are utilized. Liquidity metrics, including common ratios such as “days of available cash and investments on hand”, measure the quality and adequacy of assets to meet current obligations as they come due. Solvency metrics measure the company’s ability to take on and service debt obligations. Additionally, certain metrics can be applicable to multiple categories. The table below shows how each of the Key Metrics is calculated.</w:t>
      </w:r>
    </w:p>
    <w:p w14:paraId="2532C35E" w14:textId="77777777" w:rsidR="00DA45D2" w:rsidRDefault="00DA45D2" w:rsidP="00DA45D2">
      <w:pPr>
        <w:tabs>
          <w:tab w:val="num" w:pos="1260"/>
        </w:tabs>
        <w:jc w:val="both"/>
        <w:rPr>
          <w:rFonts w:ascii="Trebuchet MS" w:hAnsi="Trebuchet MS"/>
          <w:b/>
          <w:bCs/>
          <w:sz w:val="22"/>
        </w:rPr>
      </w:pPr>
      <w:bookmarkStart w:id="8" w:name="_Hlk148443002"/>
    </w:p>
    <w:p w14:paraId="277DBBAD" w14:textId="77777777" w:rsidR="00DA45D2" w:rsidRPr="00B616AF" w:rsidRDefault="00DA45D2" w:rsidP="00DA45D2">
      <w:pPr>
        <w:tabs>
          <w:tab w:val="num" w:pos="1260"/>
        </w:tabs>
        <w:jc w:val="both"/>
        <w:rPr>
          <w:rFonts w:ascii="Trebuchet MS" w:hAnsi="Trebuchet MS"/>
          <w:b/>
          <w:bCs/>
          <w:sz w:val="22"/>
        </w:rPr>
      </w:pPr>
      <w:r w:rsidRPr="00E57336">
        <w:rPr>
          <w:rFonts w:ascii="Trebuchet MS" w:hAnsi="Trebuchet MS"/>
          <w:b/>
          <w:bCs/>
          <w:sz w:val="22"/>
        </w:rPr>
        <w:lastRenderedPageBreak/>
        <w:t xml:space="preserve"> </w:t>
      </w:r>
      <w:r w:rsidRPr="00F47CA6">
        <w:rPr>
          <w:rFonts w:ascii="Trebuchet MS" w:hAnsi="Trebuchet MS"/>
          <w:b/>
          <w:bCs/>
          <w:sz w:val="22"/>
        </w:rPr>
        <w:t>Ratio Definitions for</w:t>
      </w:r>
      <w:r>
        <w:rPr>
          <w:rFonts w:ascii="Trebuchet MS" w:hAnsi="Trebuchet MS"/>
          <w:b/>
          <w:bCs/>
          <w:sz w:val="22"/>
        </w:rPr>
        <w:t xml:space="preserve"> </w:t>
      </w:r>
      <w:r w:rsidRPr="00F47CA6">
        <w:rPr>
          <w:rFonts w:ascii="Trebuchet MS" w:hAnsi="Trebuchet MS"/>
          <w:b/>
          <w:bCs/>
          <w:sz w:val="22"/>
        </w:rPr>
        <w:t xml:space="preserve">Key Financial Metrics and Ratios </w:t>
      </w:r>
    </w:p>
    <w:tbl>
      <w:tblPr>
        <w:tblStyle w:val="TableGrid"/>
        <w:tblW w:w="0" w:type="auto"/>
        <w:tblInd w:w="0" w:type="dxa"/>
        <w:tblLook w:val="04A0" w:firstRow="1" w:lastRow="0" w:firstColumn="1" w:lastColumn="0" w:noHBand="0" w:noVBand="1"/>
        <w:tblCaption w:val="Ratio Definitions for Key Financial Metrics and Ratios"/>
      </w:tblPr>
      <w:tblGrid>
        <w:gridCol w:w="4567"/>
        <w:gridCol w:w="4567"/>
      </w:tblGrid>
      <w:tr w:rsidR="00DA45D2" w14:paraId="4B9B77EC" w14:textId="77777777" w:rsidTr="0012163E">
        <w:trPr>
          <w:cantSplit/>
          <w:tblHeader/>
        </w:trPr>
        <w:tc>
          <w:tcPr>
            <w:tcW w:w="4567" w:type="dxa"/>
            <w:vAlign w:val="center"/>
          </w:tcPr>
          <w:bookmarkEnd w:id="8"/>
          <w:p w14:paraId="1D959D1D" w14:textId="77777777" w:rsidR="00DA45D2" w:rsidRPr="009D19C3" w:rsidRDefault="00DA45D2" w:rsidP="00E04102">
            <w:pPr>
              <w:tabs>
                <w:tab w:val="num" w:pos="1260"/>
              </w:tabs>
              <w:jc w:val="center"/>
              <w:rPr>
                <w:rFonts w:ascii="Trebuchet MS" w:hAnsi="Trebuchet MS"/>
                <w:sz w:val="18"/>
                <w:szCs w:val="18"/>
              </w:rPr>
            </w:pPr>
            <w:r w:rsidRPr="009D19C3">
              <w:rPr>
                <w:rFonts w:ascii="Trebuchet MS" w:hAnsi="Trebuchet MS"/>
                <w:sz w:val="18"/>
                <w:szCs w:val="18"/>
              </w:rPr>
              <w:t>Ratio</w:t>
            </w:r>
          </w:p>
        </w:tc>
        <w:tc>
          <w:tcPr>
            <w:tcW w:w="4567" w:type="dxa"/>
            <w:vAlign w:val="center"/>
          </w:tcPr>
          <w:p w14:paraId="0FB91D08" w14:textId="77777777" w:rsidR="00DA45D2" w:rsidRPr="009D19C3" w:rsidRDefault="00DA45D2" w:rsidP="00E04102">
            <w:pPr>
              <w:tabs>
                <w:tab w:val="num" w:pos="1260"/>
              </w:tabs>
              <w:jc w:val="center"/>
              <w:rPr>
                <w:rFonts w:ascii="Trebuchet MS" w:hAnsi="Trebuchet MS"/>
                <w:sz w:val="18"/>
                <w:szCs w:val="18"/>
              </w:rPr>
            </w:pPr>
            <w:r w:rsidRPr="009D19C3">
              <w:rPr>
                <w:rFonts w:ascii="Trebuchet MS" w:hAnsi="Trebuchet MS"/>
                <w:sz w:val="18"/>
                <w:szCs w:val="18"/>
              </w:rPr>
              <w:t>Definitions</w:t>
            </w:r>
          </w:p>
        </w:tc>
      </w:tr>
      <w:tr w:rsidR="00DA45D2" w14:paraId="1CFCAFA2" w14:textId="77777777" w:rsidTr="0012163E">
        <w:trPr>
          <w:cantSplit/>
        </w:trPr>
        <w:tc>
          <w:tcPr>
            <w:tcW w:w="4567" w:type="dxa"/>
            <w:vAlign w:val="center"/>
          </w:tcPr>
          <w:p w14:paraId="26548588" w14:textId="77777777" w:rsidR="00DA45D2" w:rsidRPr="009D19C3" w:rsidRDefault="00DA45D2" w:rsidP="00E04102">
            <w:pPr>
              <w:tabs>
                <w:tab w:val="num" w:pos="1260"/>
              </w:tabs>
              <w:jc w:val="both"/>
              <w:rPr>
                <w:rFonts w:ascii="Trebuchet MS" w:hAnsi="Trebuchet MS"/>
                <w:sz w:val="16"/>
                <w:szCs w:val="16"/>
              </w:rPr>
            </w:pPr>
            <w:r w:rsidRPr="009D19C3">
              <w:rPr>
                <w:rFonts w:ascii="Trebuchet MS" w:hAnsi="Trebuchet MS"/>
                <w:b/>
                <w:bCs/>
                <w:sz w:val="16"/>
                <w:szCs w:val="16"/>
              </w:rPr>
              <w:t>Profitability</w:t>
            </w:r>
            <w:r w:rsidRPr="009D19C3">
              <w:rPr>
                <w:rFonts w:ascii="Trebuchet MS" w:hAnsi="Trebuchet MS"/>
                <w:sz w:val="16"/>
                <w:szCs w:val="16"/>
              </w:rPr>
              <w:t>: Operating Margin (%)</w:t>
            </w:r>
          </w:p>
        </w:tc>
        <w:tc>
          <w:tcPr>
            <w:tcW w:w="4567" w:type="dxa"/>
          </w:tcPr>
          <w:p w14:paraId="1393825C" w14:textId="77777777" w:rsidR="00DA45D2" w:rsidRPr="009D19C3" w:rsidRDefault="00DA45D2" w:rsidP="00E04102">
            <w:pPr>
              <w:tabs>
                <w:tab w:val="num" w:pos="1260"/>
              </w:tabs>
              <w:jc w:val="both"/>
              <w:rPr>
                <w:rFonts w:ascii="Trebuchet MS" w:hAnsi="Trebuchet MS"/>
                <w:sz w:val="16"/>
                <w:szCs w:val="16"/>
              </w:rPr>
            </w:pPr>
            <w:r>
              <w:rPr>
                <w:rFonts w:ascii="Trebuchet MS" w:hAnsi="Trebuchet MS"/>
                <w:sz w:val="16"/>
                <w:szCs w:val="16"/>
              </w:rPr>
              <w:t>Operating Profit (Loss)</w:t>
            </w:r>
            <w:r w:rsidRPr="009D19C3">
              <w:rPr>
                <w:rFonts w:ascii="Trebuchet MS" w:hAnsi="Trebuchet MS"/>
                <w:sz w:val="16"/>
                <w:szCs w:val="16"/>
              </w:rPr>
              <w:t xml:space="preserve"> Divided by Total</w:t>
            </w:r>
            <w:r>
              <w:rPr>
                <w:rFonts w:ascii="Trebuchet MS" w:hAnsi="Trebuchet MS"/>
                <w:sz w:val="16"/>
                <w:szCs w:val="16"/>
              </w:rPr>
              <w:t xml:space="preserve"> </w:t>
            </w:r>
            <w:r w:rsidRPr="009D19C3">
              <w:rPr>
                <w:rFonts w:ascii="Trebuchet MS" w:hAnsi="Trebuchet MS"/>
                <w:sz w:val="16"/>
                <w:szCs w:val="16"/>
              </w:rPr>
              <w:t xml:space="preserve"> Operating Revenue</w:t>
            </w:r>
          </w:p>
        </w:tc>
      </w:tr>
      <w:tr w:rsidR="00DA45D2" w14:paraId="1DA81A6D" w14:textId="77777777" w:rsidTr="0012163E">
        <w:trPr>
          <w:cantSplit/>
        </w:trPr>
        <w:tc>
          <w:tcPr>
            <w:tcW w:w="4567" w:type="dxa"/>
            <w:vAlign w:val="center"/>
          </w:tcPr>
          <w:p w14:paraId="24EA93C6" w14:textId="77777777" w:rsidR="00DA45D2" w:rsidRPr="009D19C3" w:rsidRDefault="00DA45D2" w:rsidP="00E04102">
            <w:pPr>
              <w:tabs>
                <w:tab w:val="num" w:pos="1260"/>
              </w:tabs>
              <w:jc w:val="both"/>
              <w:rPr>
                <w:rFonts w:ascii="Trebuchet MS" w:hAnsi="Trebuchet MS"/>
                <w:sz w:val="16"/>
                <w:szCs w:val="16"/>
              </w:rPr>
            </w:pPr>
            <w:r w:rsidRPr="009D19C3">
              <w:rPr>
                <w:rFonts w:ascii="Trebuchet MS" w:hAnsi="Trebuchet MS"/>
                <w:b/>
                <w:bCs/>
                <w:sz w:val="16"/>
                <w:szCs w:val="16"/>
              </w:rPr>
              <w:t>Profitability</w:t>
            </w:r>
            <w:r w:rsidRPr="009D19C3">
              <w:rPr>
                <w:rFonts w:ascii="Trebuchet MS" w:hAnsi="Trebuchet MS"/>
                <w:sz w:val="16"/>
                <w:szCs w:val="16"/>
              </w:rPr>
              <w:t>: Excess Margin (%)</w:t>
            </w:r>
          </w:p>
        </w:tc>
        <w:tc>
          <w:tcPr>
            <w:tcW w:w="4567" w:type="dxa"/>
          </w:tcPr>
          <w:p w14:paraId="5633D610" w14:textId="77777777" w:rsidR="00DA45D2" w:rsidRPr="009D19C3" w:rsidRDefault="00DA45D2" w:rsidP="00E04102">
            <w:pPr>
              <w:tabs>
                <w:tab w:val="num" w:pos="1260"/>
              </w:tabs>
              <w:jc w:val="both"/>
              <w:rPr>
                <w:rFonts w:ascii="Trebuchet MS" w:hAnsi="Trebuchet MS"/>
                <w:sz w:val="16"/>
                <w:szCs w:val="16"/>
              </w:rPr>
            </w:pPr>
            <w:r w:rsidRPr="009D19C3">
              <w:rPr>
                <w:rFonts w:ascii="Trebuchet MS" w:hAnsi="Trebuchet MS"/>
                <w:sz w:val="16"/>
                <w:szCs w:val="16"/>
              </w:rPr>
              <w:t>Excess of Revenue Divided by (Total Operating Revenue + Total Nonoperating Gains)</w:t>
            </w:r>
          </w:p>
        </w:tc>
      </w:tr>
      <w:tr w:rsidR="00DA45D2" w14:paraId="7FBCF5B8" w14:textId="77777777" w:rsidTr="0012163E">
        <w:trPr>
          <w:cantSplit/>
        </w:trPr>
        <w:tc>
          <w:tcPr>
            <w:tcW w:w="4567" w:type="dxa"/>
            <w:vAlign w:val="center"/>
          </w:tcPr>
          <w:p w14:paraId="550A8FAD" w14:textId="77777777" w:rsidR="00DA45D2" w:rsidRPr="009D19C3" w:rsidRDefault="00DA45D2" w:rsidP="00E04102">
            <w:pPr>
              <w:tabs>
                <w:tab w:val="num" w:pos="1260"/>
              </w:tabs>
              <w:jc w:val="both"/>
              <w:rPr>
                <w:rFonts w:ascii="Trebuchet MS" w:hAnsi="Trebuchet MS"/>
                <w:sz w:val="16"/>
                <w:szCs w:val="16"/>
              </w:rPr>
            </w:pPr>
            <w:r w:rsidRPr="009D19C3">
              <w:rPr>
                <w:rFonts w:ascii="Trebuchet MS" w:hAnsi="Trebuchet MS"/>
                <w:b/>
                <w:bCs/>
                <w:sz w:val="16"/>
                <w:szCs w:val="16"/>
              </w:rPr>
              <w:t>Profitability</w:t>
            </w:r>
            <w:r w:rsidRPr="009D19C3">
              <w:rPr>
                <w:rFonts w:ascii="Trebuchet MS" w:hAnsi="Trebuchet MS"/>
                <w:sz w:val="16"/>
                <w:szCs w:val="16"/>
              </w:rPr>
              <w:t xml:space="preserve">: Debt Service Coverage Ratio (x) </w:t>
            </w:r>
          </w:p>
        </w:tc>
        <w:tc>
          <w:tcPr>
            <w:tcW w:w="4567" w:type="dxa"/>
          </w:tcPr>
          <w:p w14:paraId="1136D603" w14:textId="77777777" w:rsidR="00DA45D2" w:rsidRPr="009D19C3" w:rsidRDefault="00DA45D2" w:rsidP="00E04102">
            <w:pPr>
              <w:tabs>
                <w:tab w:val="num" w:pos="1260"/>
              </w:tabs>
              <w:jc w:val="both"/>
              <w:rPr>
                <w:rFonts w:ascii="Trebuchet MS" w:hAnsi="Trebuchet MS"/>
                <w:sz w:val="16"/>
                <w:szCs w:val="16"/>
              </w:rPr>
            </w:pPr>
            <w:r w:rsidRPr="009D19C3">
              <w:rPr>
                <w:rFonts w:ascii="Trebuchet MS" w:hAnsi="Trebuchet MS"/>
                <w:sz w:val="16"/>
                <w:szCs w:val="16"/>
              </w:rPr>
              <w:t>(Excess of Revenue</w:t>
            </w:r>
            <w:r>
              <w:rPr>
                <w:rFonts w:ascii="Trebuchet MS" w:hAnsi="Trebuchet MS"/>
                <w:sz w:val="16"/>
                <w:szCs w:val="16"/>
              </w:rPr>
              <w:t xml:space="preserve"> </w:t>
            </w:r>
            <w:r w:rsidRPr="009D19C3">
              <w:rPr>
                <w:rFonts w:ascii="Trebuchet MS" w:hAnsi="Trebuchet MS"/>
                <w:sz w:val="16"/>
                <w:szCs w:val="16"/>
              </w:rPr>
              <w:t xml:space="preserve">+ Depreciation and Amortization + Interest) Divided by </w:t>
            </w:r>
            <w:r>
              <w:rPr>
                <w:rFonts w:ascii="Trebuchet MS" w:hAnsi="Trebuchet MS"/>
                <w:sz w:val="16"/>
                <w:szCs w:val="16"/>
              </w:rPr>
              <w:t>(</w:t>
            </w:r>
            <w:r w:rsidRPr="009D19C3">
              <w:rPr>
                <w:rFonts w:ascii="Trebuchet MS" w:hAnsi="Trebuchet MS"/>
                <w:sz w:val="16"/>
                <w:szCs w:val="16"/>
              </w:rPr>
              <w:t>Interest</w:t>
            </w:r>
            <w:r>
              <w:rPr>
                <w:rFonts w:ascii="Trebuchet MS" w:hAnsi="Trebuchet MS"/>
                <w:sz w:val="16"/>
                <w:szCs w:val="16"/>
              </w:rPr>
              <w:t xml:space="preserve"> + Scheduled Debt Repayment)</w:t>
            </w:r>
          </w:p>
        </w:tc>
      </w:tr>
      <w:tr w:rsidR="00DA45D2" w14:paraId="0A3898BD" w14:textId="77777777" w:rsidTr="0012163E">
        <w:trPr>
          <w:cantSplit/>
        </w:trPr>
        <w:tc>
          <w:tcPr>
            <w:tcW w:w="4567" w:type="dxa"/>
            <w:vAlign w:val="center"/>
          </w:tcPr>
          <w:p w14:paraId="0F2BA2BC" w14:textId="77777777" w:rsidR="00DA45D2" w:rsidRPr="009D19C3" w:rsidRDefault="00DA45D2" w:rsidP="00E04102">
            <w:pPr>
              <w:tabs>
                <w:tab w:val="num" w:pos="1260"/>
              </w:tabs>
              <w:jc w:val="both"/>
              <w:rPr>
                <w:rFonts w:ascii="Trebuchet MS" w:hAnsi="Trebuchet MS"/>
                <w:sz w:val="16"/>
                <w:szCs w:val="16"/>
              </w:rPr>
            </w:pPr>
            <w:r w:rsidRPr="009D19C3">
              <w:rPr>
                <w:rFonts w:ascii="Trebuchet MS" w:hAnsi="Trebuchet MS"/>
                <w:b/>
                <w:bCs/>
                <w:sz w:val="16"/>
                <w:szCs w:val="16"/>
              </w:rPr>
              <w:t>Liquidity</w:t>
            </w:r>
            <w:r w:rsidRPr="009D19C3">
              <w:rPr>
                <w:rFonts w:ascii="Trebuchet MS" w:hAnsi="Trebuchet MS"/>
                <w:sz w:val="16"/>
                <w:szCs w:val="16"/>
              </w:rPr>
              <w:t>: Days Available Cash and Investments on Hand (#)</w:t>
            </w:r>
          </w:p>
        </w:tc>
        <w:tc>
          <w:tcPr>
            <w:tcW w:w="4567" w:type="dxa"/>
          </w:tcPr>
          <w:p w14:paraId="180EC8C3" w14:textId="77777777" w:rsidR="00DA45D2" w:rsidRPr="00E44297" w:rsidRDefault="00DA45D2" w:rsidP="00E04102">
            <w:pPr>
              <w:tabs>
                <w:tab w:val="num" w:pos="1260"/>
              </w:tabs>
              <w:jc w:val="both"/>
              <w:rPr>
                <w:rFonts w:ascii="Trebuchet MS" w:hAnsi="Trebuchet MS"/>
                <w:sz w:val="16"/>
                <w:szCs w:val="16"/>
              </w:rPr>
            </w:pPr>
            <w:r w:rsidRPr="00E44297">
              <w:rPr>
                <w:rFonts w:ascii="Trebuchet MS" w:hAnsi="Trebuchet MS"/>
                <w:sz w:val="16"/>
                <w:szCs w:val="16"/>
              </w:rPr>
              <w:t>(Cash and Cash Equivalents) Multiplied by 365 Divided by (Total Operating Expenses Less Depreciation and Amortization)</w:t>
            </w:r>
          </w:p>
        </w:tc>
      </w:tr>
      <w:tr w:rsidR="00DA45D2" w14:paraId="0A80E526" w14:textId="77777777" w:rsidTr="0012163E">
        <w:trPr>
          <w:cantSplit/>
        </w:trPr>
        <w:tc>
          <w:tcPr>
            <w:tcW w:w="4567" w:type="dxa"/>
            <w:vAlign w:val="center"/>
          </w:tcPr>
          <w:p w14:paraId="38485178" w14:textId="77777777" w:rsidR="00DA45D2" w:rsidRPr="009D19C3" w:rsidRDefault="00DA45D2" w:rsidP="00E04102">
            <w:pPr>
              <w:tabs>
                <w:tab w:val="num" w:pos="1260"/>
              </w:tabs>
              <w:jc w:val="both"/>
              <w:rPr>
                <w:rFonts w:ascii="Trebuchet MS" w:hAnsi="Trebuchet MS"/>
                <w:sz w:val="16"/>
                <w:szCs w:val="16"/>
              </w:rPr>
            </w:pPr>
            <w:r w:rsidRPr="009D19C3">
              <w:rPr>
                <w:rFonts w:ascii="Trebuchet MS" w:hAnsi="Trebuchet MS"/>
                <w:b/>
                <w:bCs/>
                <w:sz w:val="16"/>
                <w:szCs w:val="16"/>
              </w:rPr>
              <w:t>Liquidity</w:t>
            </w:r>
            <w:r w:rsidRPr="009D19C3">
              <w:rPr>
                <w:rFonts w:ascii="Trebuchet MS" w:hAnsi="Trebuchet MS"/>
                <w:sz w:val="16"/>
                <w:szCs w:val="16"/>
              </w:rPr>
              <w:t>: Operating Cash Flow (%)</w:t>
            </w:r>
          </w:p>
        </w:tc>
        <w:tc>
          <w:tcPr>
            <w:tcW w:w="4567" w:type="dxa"/>
          </w:tcPr>
          <w:p w14:paraId="496A3505" w14:textId="77777777" w:rsidR="00DA45D2" w:rsidRPr="00E6299B" w:rsidRDefault="00DA45D2" w:rsidP="00E04102">
            <w:pPr>
              <w:tabs>
                <w:tab w:val="num" w:pos="1260"/>
              </w:tabs>
              <w:jc w:val="both"/>
              <w:rPr>
                <w:rFonts w:ascii="Trebuchet MS" w:hAnsi="Trebuchet MS"/>
                <w:sz w:val="16"/>
                <w:szCs w:val="16"/>
                <w:highlight w:val="yellow"/>
              </w:rPr>
            </w:pPr>
            <w:r w:rsidRPr="00D602C8">
              <w:rPr>
                <w:rFonts w:ascii="Trebuchet MS" w:hAnsi="Trebuchet MS"/>
                <w:sz w:val="16"/>
                <w:szCs w:val="16"/>
              </w:rPr>
              <w:t>(</w:t>
            </w:r>
            <w:r>
              <w:rPr>
                <w:rFonts w:ascii="Trebuchet MS" w:hAnsi="Trebuchet MS"/>
                <w:sz w:val="16"/>
                <w:szCs w:val="16"/>
              </w:rPr>
              <w:t xml:space="preserve">Operating Profit (Loss) + </w:t>
            </w:r>
            <w:r w:rsidRPr="00D602C8">
              <w:rPr>
                <w:rFonts w:ascii="Trebuchet MS" w:hAnsi="Trebuchet MS"/>
                <w:sz w:val="16"/>
                <w:szCs w:val="16"/>
              </w:rPr>
              <w:t>Depreciation and Amortization</w:t>
            </w:r>
            <w:r>
              <w:rPr>
                <w:rFonts w:ascii="Trebuchet MS" w:hAnsi="Trebuchet MS"/>
                <w:sz w:val="16"/>
                <w:szCs w:val="16"/>
              </w:rPr>
              <w:t xml:space="preserve"> + Changes in working capital</w:t>
            </w:r>
            <w:r w:rsidRPr="00D602C8">
              <w:rPr>
                <w:rFonts w:ascii="Trebuchet MS" w:hAnsi="Trebuchet MS"/>
                <w:sz w:val="16"/>
                <w:szCs w:val="16"/>
              </w:rPr>
              <w:t>) Divided by Total Operating Revenue</w:t>
            </w:r>
          </w:p>
        </w:tc>
      </w:tr>
      <w:tr w:rsidR="00DA45D2" w14:paraId="1BB89D45" w14:textId="77777777" w:rsidTr="0012163E">
        <w:trPr>
          <w:cantSplit/>
        </w:trPr>
        <w:tc>
          <w:tcPr>
            <w:tcW w:w="4567" w:type="dxa"/>
            <w:vAlign w:val="center"/>
          </w:tcPr>
          <w:p w14:paraId="0DE39E9A" w14:textId="77777777" w:rsidR="00DA45D2" w:rsidRPr="009D19C3" w:rsidRDefault="00DA45D2" w:rsidP="00E04102">
            <w:pPr>
              <w:tabs>
                <w:tab w:val="num" w:pos="1260"/>
              </w:tabs>
              <w:jc w:val="both"/>
              <w:rPr>
                <w:rFonts w:ascii="Trebuchet MS" w:hAnsi="Trebuchet MS"/>
                <w:sz w:val="16"/>
                <w:szCs w:val="16"/>
              </w:rPr>
            </w:pPr>
            <w:r w:rsidRPr="009D19C3">
              <w:rPr>
                <w:rFonts w:ascii="Trebuchet MS" w:hAnsi="Trebuchet MS"/>
                <w:b/>
                <w:bCs/>
                <w:sz w:val="16"/>
                <w:szCs w:val="16"/>
              </w:rPr>
              <w:t xml:space="preserve">Solvency: </w:t>
            </w:r>
            <w:r w:rsidRPr="009D19C3">
              <w:rPr>
                <w:rFonts w:ascii="Trebuchet MS" w:hAnsi="Trebuchet MS"/>
                <w:sz w:val="16"/>
                <w:szCs w:val="16"/>
              </w:rPr>
              <w:t>Ratio of Long-Term Debt to Total Capitalization (%)</w:t>
            </w:r>
          </w:p>
        </w:tc>
        <w:tc>
          <w:tcPr>
            <w:tcW w:w="4567" w:type="dxa"/>
          </w:tcPr>
          <w:p w14:paraId="70482B78" w14:textId="77777777" w:rsidR="00DA45D2" w:rsidRPr="009D19C3" w:rsidRDefault="00DA45D2" w:rsidP="00E04102">
            <w:pPr>
              <w:tabs>
                <w:tab w:val="num" w:pos="1260"/>
              </w:tabs>
              <w:jc w:val="both"/>
              <w:rPr>
                <w:rFonts w:ascii="Trebuchet MS" w:hAnsi="Trebuchet MS"/>
                <w:sz w:val="16"/>
                <w:szCs w:val="16"/>
              </w:rPr>
            </w:pPr>
            <w:r>
              <w:rPr>
                <w:rFonts w:ascii="Trebuchet MS" w:hAnsi="Trebuchet MS"/>
                <w:sz w:val="16"/>
                <w:szCs w:val="16"/>
              </w:rPr>
              <w:t>(</w:t>
            </w:r>
            <w:r w:rsidRPr="00750625">
              <w:rPr>
                <w:rFonts w:ascii="Trebuchet MS" w:hAnsi="Trebuchet MS"/>
                <w:sz w:val="16"/>
                <w:szCs w:val="16"/>
              </w:rPr>
              <w:t>Long Term Debt</w:t>
            </w:r>
            <w:r>
              <w:rPr>
                <w:rFonts w:ascii="Trebuchet MS" w:hAnsi="Trebuchet MS"/>
                <w:sz w:val="16"/>
                <w:szCs w:val="16"/>
              </w:rPr>
              <w:t xml:space="preserve"> + Long Term Lease Obligations) </w:t>
            </w:r>
            <w:r w:rsidRPr="009D19C3">
              <w:rPr>
                <w:rFonts w:ascii="Trebuchet MS" w:hAnsi="Trebuchet MS"/>
                <w:sz w:val="16"/>
                <w:szCs w:val="16"/>
              </w:rPr>
              <w:t>Divided by Total Capitalization (Long Term Debt</w:t>
            </w:r>
            <w:r>
              <w:rPr>
                <w:rFonts w:ascii="Trebuchet MS" w:hAnsi="Trebuchet MS"/>
                <w:sz w:val="16"/>
                <w:szCs w:val="16"/>
              </w:rPr>
              <w:t xml:space="preserve"> + Long Term Lease Obligations</w:t>
            </w:r>
            <w:r w:rsidRPr="009D19C3">
              <w:rPr>
                <w:rFonts w:ascii="Trebuchet MS" w:hAnsi="Trebuchet MS"/>
                <w:sz w:val="16"/>
                <w:szCs w:val="16"/>
              </w:rPr>
              <w:t xml:space="preserve"> </w:t>
            </w:r>
            <w:r>
              <w:rPr>
                <w:rFonts w:ascii="Trebuchet MS" w:hAnsi="Trebuchet MS"/>
                <w:sz w:val="16"/>
                <w:szCs w:val="16"/>
              </w:rPr>
              <w:t>+</w:t>
            </w:r>
            <w:r w:rsidRPr="009D19C3">
              <w:rPr>
                <w:rFonts w:ascii="Trebuchet MS" w:hAnsi="Trebuchet MS"/>
                <w:sz w:val="16"/>
                <w:szCs w:val="16"/>
              </w:rPr>
              <w:t xml:space="preserve"> Total Net Assets)</w:t>
            </w:r>
          </w:p>
        </w:tc>
      </w:tr>
      <w:tr w:rsidR="00DA45D2" w14:paraId="2CB1F847" w14:textId="77777777" w:rsidTr="0012163E">
        <w:trPr>
          <w:cantSplit/>
        </w:trPr>
        <w:tc>
          <w:tcPr>
            <w:tcW w:w="4567" w:type="dxa"/>
            <w:vAlign w:val="center"/>
          </w:tcPr>
          <w:p w14:paraId="14763184" w14:textId="77777777" w:rsidR="00DA45D2" w:rsidRPr="00750625" w:rsidRDefault="00DA45D2" w:rsidP="00E04102">
            <w:pPr>
              <w:tabs>
                <w:tab w:val="num" w:pos="1260"/>
              </w:tabs>
              <w:jc w:val="both"/>
              <w:rPr>
                <w:rFonts w:ascii="Trebuchet MS" w:hAnsi="Trebuchet MS"/>
                <w:sz w:val="16"/>
                <w:szCs w:val="16"/>
              </w:rPr>
            </w:pPr>
            <w:r w:rsidRPr="00750625">
              <w:rPr>
                <w:rFonts w:ascii="Trebuchet MS" w:hAnsi="Trebuchet MS"/>
                <w:b/>
                <w:bCs/>
                <w:sz w:val="16"/>
                <w:szCs w:val="16"/>
              </w:rPr>
              <w:t>Solvency:</w:t>
            </w:r>
            <w:r w:rsidRPr="00750625">
              <w:rPr>
                <w:rFonts w:ascii="Trebuchet MS" w:hAnsi="Trebuchet MS"/>
                <w:sz w:val="16"/>
                <w:szCs w:val="16"/>
              </w:rPr>
              <w:t xml:space="preserve"> Ratio of Cash Flow to Long Term Debt (%)</w:t>
            </w:r>
          </w:p>
        </w:tc>
        <w:tc>
          <w:tcPr>
            <w:tcW w:w="4567" w:type="dxa"/>
          </w:tcPr>
          <w:p w14:paraId="15565971" w14:textId="77777777" w:rsidR="00DA45D2" w:rsidRPr="00750625" w:rsidRDefault="00DA45D2" w:rsidP="00E04102">
            <w:pPr>
              <w:tabs>
                <w:tab w:val="num" w:pos="1260"/>
              </w:tabs>
              <w:jc w:val="both"/>
              <w:rPr>
                <w:rFonts w:ascii="Trebuchet MS" w:hAnsi="Trebuchet MS"/>
                <w:sz w:val="16"/>
                <w:szCs w:val="16"/>
              </w:rPr>
            </w:pPr>
            <w:r w:rsidRPr="00750625">
              <w:rPr>
                <w:rFonts w:ascii="Trebuchet MS" w:hAnsi="Trebuchet MS"/>
                <w:sz w:val="16"/>
                <w:szCs w:val="16"/>
              </w:rPr>
              <w:t>(</w:t>
            </w:r>
            <w:r>
              <w:rPr>
                <w:rFonts w:ascii="Trebuchet MS" w:hAnsi="Trebuchet MS"/>
                <w:sz w:val="16"/>
                <w:szCs w:val="16"/>
              </w:rPr>
              <w:t>Operating Profit (Loss)</w:t>
            </w:r>
            <w:r w:rsidRPr="00750625">
              <w:rPr>
                <w:rFonts w:ascii="Trebuchet MS" w:hAnsi="Trebuchet MS"/>
                <w:sz w:val="16"/>
                <w:szCs w:val="16"/>
              </w:rPr>
              <w:t xml:space="preserve"> </w:t>
            </w:r>
            <w:r>
              <w:rPr>
                <w:rFonts w:ascii="Trebuchet MS" w:hAnsi="Trebuchet MS"/>
                <w:sz w:val="16"/>
                <w:szCs w:val="16"/>
              </w:rPr>
              <w:t xml:space="preserve">+ </w:t>
            </w:r>
            <w:r w:rsidRPr="00750625">
              <w:rPr>
                <w:rFonts w:ascii="Trebuchet MS" w:hAnsi="Trebuchet MS"/>
                <w:sz w:val="16"/>
                <w:szCs w:val="16"/>
              </w:rPr>
              <w:t>Depreciation and Amortization</w:t>
            </w:r>
            <w:r>
              <w:rPr>
                <w:rFonts w:ascii="Trebuchet MS" w:hAnsi="Trebuchet MS"/>
                <w:sz w:val="16"/>
                <w:szCs w:val="16"/>
              </w:rPr>
              <w:t xml:space="preserve"> + changes in working capital</w:t>
            </w:r>
            <w:r w:rsidRPr="00750625">
              <w:rPr>
                <w:rFonts w:ascii="Trebuchet MS" w:hAnsi="Trebuchet MS"/>
                <w:sz w:val="16"/>
                <w:szCs w:val="16"/>
              </w:rPr>
              <w:t xml:space="preserve">) Divided by </w:t>
            </w:r>
            <w:r>
              <w:rPr>
                <w:rFonts w:ascii="Trebuchet MS" w:hAnsi="Trebuchet MS"/>
                <w:sz w:val="16"/>
                <w:szCs w:val="16"/>
              </w:rPr>
              <w:t>(</w:t>
            </w:r>
            <w:r w:rsidRPr="00750625">
              <w:rPr>
                <w:rFonts w:ascii="Trebuchet MS" w:hAnsi="Trebuchet MS"/>
                <w:sz w:val="16"/>
                <w:szCs w:val="16"/>
              </w:rPr>
              <w:t>Long Term Debt</w:t>
            </w:r>
            <w:r>
              <w:rPr>
                <w:rFonts w:ascii="Trebuchet MS" w:hAnsi="Trebuchet MS"/>
                <w:sz w:val="16"/>
                <w:szCs w:val="16"/>
              </w:rPr>
              <w:t xml:space="preserve"> + Long Term Lease Obligations)</w:t>
            </w:r>
          </w:p>
        </w:tc>
      </w:tr>
      <w:tr w:rsidR="00DA45D2" w14:paraId="3848AB44" w14:textId="77777777" w:rsidTr="0012163E">
        <w:trPr>
          <w:cantSplit/>
        </w:trPr>
        <w:tc>
          <w:tcPr>
            <w:tcW w:w="4567" w:type="dxa"/>
            <w:vAlign w:val="center"/>
          </w:tcPr>
          <w:p w14:paraId="428E866C" w14:textId="77777777" w:rsidR="00DA45D2" w:rsidRPr="009D19C3" w:rsidRDefault="00DA45D2" w:rsidP="00E04102">
            <w:pPr>
              <w:tabs>
                <w:tab w:val="num" w:pos="1260"/>
              </w:tabs>
              <w:jc w:val="both"/>
              <w:rPr>
                <w:rFonts w:ascii="Trebuchet MS" w:hAnsi="Trebuchet MS"/>
                <w:sz w:val="16"/>
                <w:szCs w:val="16"/>
              </w:rPr>
            </w:pPr>
            <w:r w:rsidRPr="009D19C3">
              <w:rPr>
                <w:rFonts w:ascii="Trebuchet MS" w:hAnsi="Trebuchet MS"/>
                <w:b/>
                <w:bCs/>
                <w:sz w:val="16"/>
                <w:szCs w:val="16"/>
              </w:rPr>
              <w:t xml:space="preserve">Solvency: </w:t>
            </w:r>
            <w:r w:rsidRPr="009D19C3">
              <w:rPr>
                <w:rFonts w:ascii="Trebuchet MS" w:hAnsi="Trebuchet MS"/>
                <w:sz w:val="16"/>
                <w:szCs w:val="16"/>
              </w:rPr>
              <w:t>Unrestricted Net Assets ($ in million)</w:t>
            </w:r>
          </w:p>
        </w:tc>
        <w:tc>
          <w:tcPr>
            <w:tcW w:w="4567" w:type="dxa"/>
          </w:tcPr>
          <w:p w14:paraId="70C7B3C6" w14:textId="77777777" w:rsidR="00DA45D2" w:rsidRPr="009D19C3" w:rsidRDefault="00DA45D2" w:rsidP="00E04102">
            <w:pPr>
              <w:tabs>
                <w:tab w:val="num" w:pos="1260"/>
              </w:tabs>
              <w:jc w:val="both"/>
              <w:rPr>
                <w:rFonts w:ascii="Trebuchet MS" w:hAnsi="Trebuchet MS"/>
                <w:sz w:val="16"/>
                <w:szCs w:val="16"/>
              </w:rPr>
            </w:pPr>
            <w:r w:rsidRPr="009D19C3">
              <w:rPr>
                <w:rFonts w:ascii="Trebuchet MS" w:hAnsi="Trebuchet MS"/>
                <w:sz w:val="16"/>
                <w:szCs w:val="16"/>
              </w:rPr>
              <w:t>Total Unrestricted Net Assets</w:t>
            </w:r>
          </w:p>
        </w:tc>
      </w:tr>
      <w:tr w:rsidR="00DA45D2" w14:paraId="7AD139C0" w14:textId="77777777" w:rsidTr="0012163E">
        <w:trPr>
          <w:cantSplit/>
        </w:trPr>
        <w:tc>
          <w:tcPr>
            <w:tcW w:w="4567" w:type="dxa"/>
            <w:vAlign w:val="center"/>
          </w:tcPr>
          <w:p w14:paraId="56DF1EC0" w14:textId="77777777" w:rsidR="00DA45D2" w:rsidRPr="009D19C3" w:rsidRDefault="00DA45D2" w:rsidP="00E04102">
            <w:pPr>
              <w:tabs>
                <w:tab w:val="num" w:pos="1260"/>
              </w:tabs>
              <w:jc w:val="both"/>
              <w:rPr>
                <w:rFonts w:ascii="Trebuchet MS" w:hAnsi="Trebuchet MS"/>
                <w:sz w:val="16"/>
                <w:szCs w:val="16"/>
              </w:rPr>
            </w:pPr>
            <w:r w:rsidRPr="009D19C3">
              <w:rPr>
                <w:rFonts w:ascii="Trebuchet MS" w:hAnsi="Trebuchet MS"/>
                <w:b/>
                <w:bCs/>
                <w:sz w:val="16"/>
                <w:szCs w:val="16"/>
              </w:rPr>
              <w:t xml:space="preserve">Solvency: Total Net Assets </w:t>
            </w:r>
            <w:r w:rsidRPr="009D19C3">
              <w:rPr>
                <w:rFonts w:ascii="Trebuchet MS" w:hAnsi="Trebuchet MS"/>
                <w:sz w:val="16"/>
                <w:szCs w:val="16"/>
              </w:rPr>
              <w:t>($ in million)</w:t>
            </w:r>
          </w:p>
        </w:tc>
        <w:tc>
          <w:tcPr>
            <w:tcW w:w="4567" w:type="dxa"/>
          </w:tcPr>
          <w:p w14:paraId="48AB9DCA" w14:textId="77777777" w:rsidR="00DA45D2" w:rsidRPr="009D19C3" w:rsidRDefault="00DA45D2" w:rsidP="00E04102">
            <w:pPr>
              <w:tabs>
                <w:tab w:val="num" w:pos="1260"/>
              </w:tabs>
              <w:jc w:val="both"/>
              <w:rPr>
                <w:rFonts w:ascii="Trebuchet MS" w:hAnsi="Trebuchet MS"/>
                <w:sz w:val="16"/>
                <w:szCs w:val="16"/>
              </w:rPr>
            </w:pPr>
            <w:r w:rsidRPr="009D19C3">
              <w:rPr>
                <w:rFonts w:ascii="Trebuchet MS" w:hAnsi="Trebuchet MS"/>
                <w:sz w:val="16"/>
                <w:szCs w:val="16"/>
              </w:rPr>
              <w:t>Total Net Assets</w:t>
            </w:r>
          </w:p>
        </w:tc>
      </w:tr>
    </w:tbl>
    <w:p w14:paraId="47A1861E" w14:textId="77777777" w:rsidR="00DA45D2" w:rsidRPr="00A22182" w:rsidRDefault="00DA45D2" w:rsidP="00DA45D2">
      <w:pPr>
        <w:tabs>
          <w:tab w:val="num" w:pos="1260"/>
        </w:tabs>
        <w:spacing w:line="480" w:lineRule="auto"/>
        <w:jc w:val="both"/>
        <w:rPr>
          <w:rFonts w:ascii="Trebuchet MS" w:hAnsi="Trebuchet MS"/>
          <w:sz w:val="22"/>
        </w:rPr>
      </w:pPr>
    </w:p>
    <w:p w14:paraId="1AA3010C" w14:textId="77777777" w:rsidR="00DA45D2" w:rsidRPr="00A22182" w:rsidRDefault="00DA45D2" w:rsidP="00DA45D2">
      <w:pPr>
        <w:pStyle w:val="ListParagraph"/>
        <w:numPr>
          <w:ilvl w:val="0"/>
          <w:numId w:val="3"/>
        </w:numPr>
        <w:tabs>
          <w:tab w:val="num" w:pos="1260"/>
        </w:tabs>
        <w:spacing w:line="480" w:lineRule="auto"/>
        <w:jc w:val="both"/>
        <w:rPr>
          <w:rFonts w:ascii="Trebuchet MS" w:hAnsi="Trebuchet MS"/>
          <w:b/>
          <w:sz w:val="22"/>
          <w:szCs w:val="22"/>
        </w:rPr>
      </w:pPr>
      <w:r w:rsidRPr="00A22182">
        <w:rPr>
          <w:rFonts w:ascii="Trebuchet MS" w:hAnsi="Trebuchet MS"/>
          <w:b/>
          <w:sz w:val="22"/>
          <w:szCs w:val="22"/>
        </w:rPr>
        <w:t>Revenue</w:t>
      </w:r>
    </w:p>
    <w:p w14:paraId="7A6BDC28" w14:textId="77777777" w:rsidR="00DA45D2" w:rsidRPr="00A22182" w:rsidRDefault="00DA45D2" w:rsidP="00DA45D2">
      <w:pPr>
        <w:tabs>
          <w:tab w:val="num" w:pos="1260"/>
        </w:tabs>
        <w:jc w:val="both"/>
        <w:rPr>
          <w:rFonts w:ascii="Trebuchet MS" w:hAnsi="Trebuchet MS"/>
          <w:sz w:val="22"/>
        </w:rPr>
      </w:pPr>
    </w:p>
    <w:p w14:paraId="16E9F095" w14:textId="77777777" w:rsidR="00DA45D2" w:rsidRPr="00A22182" w:rsidRDefault="00DA45D2" w:rsidP="00DA45D2">
      <w:pPr>
        <w:tabs>
          <w:tab w:val="num" w:pos="1260"/>
        </w:tabs>
        <w:spacing w:line="480" w:lineRule="auto"/>
        <w:jc w:val="both"/>
        <w:rPr>
          <w:rFonts w:ascii="Trebuchet MS" w:hAnsi="Trebuchet MS"/>
          <w:sz w:val="22"/>
        </w:rPr>
      </w:pPr>
      <w:r w:rsidRPr="00A22182">
        <w:rPr>
          <w:rFonts w:ascii="Trebuchet MS" w:hAnsi="Trebuchet MS"/>
          <w:sz w:val="22"/>
        </w:rPr>
        <w:t xml:space="preserve">We analyzed the projected revenue within the Projections. Revenue for the Applicant includes patient service revenue and other operating revenue. We note that the cumulative patient </w:t>
      </w:r>
      <w:r>
        <w:rPr>
          <w:rFonts w:ascii="Trebuchet MS" w:hAnsi="Trebuchet MS"/>
          <w:sz w:val="22"/>
        </w:rPr>
        <w:t xml:space="preserve">service </w:t>
      </w:r>
      <w:r w:rsidRPr="00A22182">
        <w:rPr>
          <w:rFonts w:ascii="Trebuchet MS" w:hAnsi="Trebuchet MS"/>
          <w:sz w:val="22"/>
        </w:rPr>
        <w:t xml:space="preserve">revenue comprises </w:t>
      </w:r>
      <w:r>
        <w:rPr>
          <w:rFonts w:ascii="Trebuchet MS" w:hAnsi="Trebuchet MS"/>
          <w:sz w:val="22"/>
        </w:rPr>
        <w:t>93.3</w:t>
      </w:r>
      <w:r w:rsidRPr="00A22182">
        <w:rPr>
          <w:rFonts w:ascii="Trebuchet MS" w:hAnsi="Trebuchet MS"/>
          <w:sz w:val="22"/>
        </w:rPr>
        <w:t xml:space="preserve"> percent of the cumulative total</w:t>
      </w:r>
      <w:r>
        <w:rPr>
          <w:rFonts w:ascii="Trebuchet MS" w:hAnsi="Trebuchet MS"/>
          <w:sz w:val="22"/>
        </w:rPr>
        <w:t xml:space="preserve"> operating</w:t>
      </w:r>
      <w:r w:rsidRPr="00A22182">
        <w:rPr>
          <w:rFonts w:ascii="Trebuchet MS" w:hAnsi="Trebuchet MS"/>
          <w:sz w:val="22"/>
        </w:rPr>
        <w:t xml:space="preserve"> revenue from FY 202</w:t>
      </w:r>
      <w:r>
        <w:rPr>
          <w:rFonts w:ascii="Trebuchet MS" w:hAnsi="Trebuchet MS"/>
          <w:sz w:val="22"/>
        </w:rPr>
        <w:t>4</w:t>
      </w:r>
      <w:r w:rsidRPr="00A22182">
        <w:rPr>
          <w:rFonts w:ascii="Trebuchet MS" w:hAnsi="Trebuchet MS"/>
          <w:sz w:val="22"/>
        </w:rPr>
        <w:t xml:space="preserve"> through FY 202</w:t>
      </w:r>
      <w:r>
        <w:rPr>
          <w:rFonts w:ascii="Trebuchet MS" w:hAnsi="Trebuchet MS"/>
          <w:sz w:val="22"/>
        </w:rPr>
        <w:t>9</w:t>
      </w:r>
      <w:r w:rsidRPr="00A22182">
        <w:rPr>
          <w:rFonts w:ascii="Trebuchet MS" w:hAnsi="Trebuchet MS"/>
          <w:sz w:val="22"/>
        </w:rPr>
        <w:t xml:space="preserve">. </w:t>
      </w:r>
    </w:p>
    <w:p w14:paraId="27BF35F5" w14:textId="77777777" w:rsidR="00DA45D2" w:rsidRPr="00A22182" w:rsidRDefault="00DA45D2" w:rsidP="00DA45D2">
      <w:pPr>
        <w:tabs>
          <w:tab w:val="num" w:pos="1260"/>
        </w:tabs>
        <w:spacing w:line="480" w:lineRule="auto"/>
        <w:jc w:val="both"/>
        <w:rPr>
          <w:rFonts w:ascii="Trebuchet MS" w:hAnsi="Trebuchet MS"/>
          <w:sz w:val="22"/>
        </w:rPr>
      </w:pPr>
    </w:p>
    <w:p w14:paraId="6D85C9D3" w14:textId="77777777" w:rsidR="00DA45D2" w:rsidRDefault="00DA45D2" w:rsidP="00DA45D2">
      <w:pPr>
        <w:tabs>
          <w:tab w:val="num" w:pos="1260"/>
        </w:tabs>
        <w:spacing w:line="480" w:lineRule="auto"/>
        <w:jc w:val="both"/>
        <w:rPr>
          <w:rFonts w:ascii="Trebuchet MS" w:hAnsi="Trebuchet MS"/>
          <w:sz w:val="22"/>
        </w:rPr>
      </w:pPr>
      <w:r>
        <w:rPr>
          <w:rFonts w:ascii="Trebuchet MS" w:hAnsi="Trebuchet MS"/>
          <w:sz w:val="22"/>
        </w:rPr>
        <w:t xml:space="preserve">Projected patient service revenue </w:t>
      </w:r>
      <w:r w:rsidRPr="00A22182">
        <w:rPr>
          <w:rFonts w:ascii="Trebuchet MS" w:hAnsi="Trebuchet MS"/>
          <w:sz w:val="22"/>
        </w:rPr>
        <w:t xml:space="preserve">for </w:t>
      </w:r>
      <w:r>
        <w:rPr>
          <w:rFonts w:ascii="Trebuchet MS" w:hAnsi="Trebuchet MS"/>
          <w:sz w:val="22"/>
        </w:rPr>
        <w:t>UMMHC</w:t>
      </w:r>
      <w:r w:rsidRPr="00A22182">
        <w:rPr>
          <w:rFonts w:ascii="Trebuchet MS" w:hAnsi="Trebuchet MS"/>
          <w:sz w:val="22"/>
        </w:rPr>
        <w:t xml:space="preserve"> </w:t>
      </w:r>
      <w:r>
        <w:rPr>
          <w:rFonts w:ascii="Trebuchet MS" w:hAnsi="Trebuchet MS"/>
          <w:sz w:val="22"/>
        </w:rPr>
        <w:t>is</w:t>
      </w:r>
      <w:r w:rsidRPr="00A22182">
        <w:rPr>
          <w:rFonts w:ascii="Trebuchet MS" w:hAnsi="Trebuchet MS"/>
          <w:sz w:val="22"/>
        </w:rPr>
        <w:t xml:space="preserve"> expected to grow by </w:t>
      </w:r>
      <w:r>
        <w:rPr>
          <w:rFonts w:ascii="Trebuchet MS" w:hAnsi="Trebuchet MS"/>
          <w:sz w:val="22"/>
        </w:rPr>
        <w:t>12.9</w:t>
      </w:r>
      <w:r w:rsidRPr="00A22182">
        <w:rPr>
          <w:rFonts w:ascii="Trebuchet MS" w:hAnsi="Trebuchet MS"/>
          <w:sz w:val="22"/>
        </w:rPr>
        <w:t xml:space="preserve"> percent in FY 202</w:t>
      </w:r>
      <w:r>
        <w:rPr>
          <w:rFonts w:ascii="Trebuchet MS" w:hAnsi="Trebuchet MS"/>
          <w:sz w:val="22"/>
        </w:rPr>
        <w:t>4</w:t>
      </w:r>
      <w:r w:rsidRPr="00A22182">
        <w:rPr>
          <w:rFonts w:ascii="Trebuchet MS" w:hAnsi="Trebuchet MS"/>
          <w:sz w:val="22"/>
        </w:rPr>
        <w:t xml:space="preserve"> when compared to FY 202</w:t>
      </w:r>
      <w:r>
        <w:rPr>
          <w:rFonts w:ascii="Trebuchet MS" w:hAnsi="Trebuchet MS"/>
          <w:sz w:val="22"/>
        </w:rPr>
        <w:t>3</w:t>
      </w:r>
      <w:r w:rsidRPr="00A22182">
        <w:rPr>
          <w:rFonts w:ascii="Trebuchet MS" w:hAnsi="Trebuchet MS"/>
          <w:sz w:val="22"/>
        </w:rPr>
        <w:t xml:space="preserve">. </w:t>
      </w:r>
      <w:r>
        <w:rPr>
          <w:rFonts w:ascii="Trebuchet MS" w:hAnsi="Trebuchet MS"/>
          <w:sz w:val="22"/>
        </w:rPr>
        <w:t xml:space="preserve">We note that patient service revenue growth for FY 2025 and FY 2026 was projected to be 3.3 percent and 0.2 percent, respectively. </w:t>
      </w:r>
      <w:r w:rsidRPr="00A22182">
        <w:rPr>
          <w:rFonts w:ascii="Trebuchet MS" w:hAnsi="Trebuchet MS"/>
          <w:sz w:val="22"/>
        </w:rPr>
        <w:t>For the remainder of the Projection Period (FY 202</w:t>
      </w:r>
      <w:r>
        <w:rPr>
          <w:rFonts w:ascii="Trebuchet MS" w:hAnsi="Trebuchet MS"/>
          <w:sz w:val="22"/>
        </w:rPr>
        <w:t>7</w:t>
      </w:r>
      <w:r w:rsidRPr="00A22182">
        <w:rPr>
          <w:rFonts w:ascii="Trebuchet MS" w:hAnsi="Trebuchet MS"/>
          <w:sz w:val="22"/>
        </w:rPr>
        <w:t xml:space="preserve"> through FY 202</w:t>
      </w:r>
      <w:r>
        <w:rPr>
          <w:rFonts w:ascii="Trebuchet MS" w:hAnsi="Trebuchet MS"/>
          <w:sz w:val="22"/>
        </w:rPr>
        <w:t>9</w:t>
      </w:r>
      <w:r w:rsidRPr="00A22182">
        <w:rPr>
          <w:rFonts w:ascii="Trebuchet MS" w:hAnsi="Trebuchet MS"/>
          <w:sz w:val="22"/>
        </w:rPr>
        <w:t xml:space="preserve">), </w:t>
      </w:r>
      <w:bookmarkStart w:id="9" w:name="_Hlk58239445"/>
      <w:r w:rsidRPr="00A22182">
        <w:rPr>
          <w:rFonts w:ascii="Trebuchet MS" w:hAnsi="Trebuchet MS"/>
          <w:sz w:val="22"/>
        </w:rPr>
        <w:t xml:space="preserve">Management </w:t>
      </w:r>
      <w:r w:rsidRPr="00F462A8">
        <w:rPr>
          <w:rFonts w:ascii="Trebuchet MS" w:hAnsi="Trebuchet MS"/>
          <w:sz w:val="22"/>
        </w:rPr>
        <w:t xml:space="preserve">projected </w:t>
      </w:r>
      <w:r>
        <w:rPr>
          <w:rFonts w:ascii="Trebuchet MS" w:hAnsi="Trebuchet MS"/>
          <w:sz w:val="22"/>
        </w:rPr>
        <w:t xml:space="preserve">nominal patient service revenue </w:t>
      </w:r>
      <w:r w:rsidRPr="00F462A8">
        <w:rPr>
          <w:rFonts w:ascii="Trebuchet MS" w:hAnsi="Trebuchet MS"/>
          <w:sz w:val="22"/>
        </w:rPr>
        <w:t>growth.</w:t>
      </w:r>
      <w:bookmarkStart w:id="10" w:name="_Hlk58008295"/>
      <w:r w:rsidRPr="00F462A8">
        <w:rPr>
          <w:rFonts w:ascii="Trebuchet MS" w:hAnsi="Trebuchet MS"/>
          <w:sz w:val="22"/>
        </w:rPr>
        <w:t xml:space="preserve"> </w:t>
      </w:r>
      <w:bookmarkEnd w:id="9"/>
      <w:bookmarkEnd w:id="10"/>
      <w:r w:rsidRPr="00F462A8">
        <w:rPr>
          <w:rFonts w:ascii="Trebuchet MS" w:hAnsi="Trebuchet MS"/>
          <w:sz w:val="22"/>
        </w:rPr>
        <w:t>Total operating revenue in FY 2024 for UMMHC, which represents 90.8 percent of the total combined operating revenue within the Projections, reflects the budget presented to and approved</w:t>
      </w:r>
      <w:r w:rsidRPr="005F710E">
        <w:rPr>
          <w:rFonts w:ascii="Trebuchet MS" w:hAnsi="Trebuchet MS"/>
          <w:sz w:val="22"/>
        </w:rPr>
        <w:t xml:space="preserve"> by the UMMHC Finance Committee.</w:t>
      </w:r>
      <w:r w:rsidRPr="00A22182">
        <w:rPr>
          <w:rFonts w:ascii="Trebuchet MS" w:hAnsi="Trebuchet MS"/>
          <w:sz w:val="22"/>
        </w:rPr>
        <w:t xml:space="preserve"> </w:t>
      </w:r>
      <w:r w:rsidRPr="009D707C">
        <w:rPr>
          <w:rFonts w:ascii="Trebuchet MS" w:hAnsi="Trebuchet MS"/>
          <w:sz w:val="22"/>
        </w:rPr>
        <w:t xml:space="preserve">Based on the budget presentation and discussions with Management, the projected revenue growth in FY 2024 can be attributed to several factors. </w:t>
      </w:r>
      <w:r w:rsidRPr="00965DDF">
        <w:rPr>
          <w:rFonts w:ascii="Trebuchet MS" w:hAnsi="Trebuchet MS"/>
          <w:sz w:val="22"/>
        </w:rPr>
        <w:t xml:space="preserve">UMMHC's new computed tomography ("CT") project is </w:t>
      </w:r>
      <w:r>
        <w:rPr>
          <w:rFonts w:ascii="Trebuchet MS" w:hAnsi="Trebuchet MS"/>
          <w:sz w:val="22"/>
        </w:rPr>
        <w:t xml:space="preserve">also </w:t>
      </w:r>
      <w:r w:rsidRPr="00965DDF">
        <w:rPr>
          <w:rFonts w:ascii="Trebuchet MS" w:hAnsi="Trebuchet MS"/>
          <w:sz w:val="22"/>
        </w:rPr>
        <w:t xml:space="preserve">expected to contribute to this growth. </w:t>
      </w:r>
      <w:r>
        <w:rPr>
          <w:rFonts w:ascii="Trebuchet MS" w:hAnsi="Trebuchet MS"/>
          <w:sz w:val="22"/>
        </w:rPr>
        <w:t>F</w:t>
      </w:r>
      <w:r w:rsidRPr="00965DDF">
        <w:rPr>
          <w:rFonts w:ascii="Trebuchet MS" w:hAnsi="Trebuchet MS"/>
          <w:sz w:val="22"/>
        </w:rPr>
        <w:t xml:space="preserve">urthermore, the higher retention of higher acuity patients, coupled </w:t>
      </w:r>
      <w:r w:rsidRPr="00965DDF">
        <w:rPr>
          <w:rFonts w:ascii="Trebuchet MS" w:hAnsi="Trebuchet MS"/>
          <w:sz w:val="22"/>
        </w:rPr>
        <w:lastRenderedPageBreak/>
        <w:t>with a strategic combination of volume and charge rate increases</w:t>
      </w:r>
      <w:r>
        <w:rPr>
          <w:rFonts w:ascii="Trebuchet MS" w:hAnsi="Trebuchet MS"/>
          <w:sz w:val="22"/>
        </w:rPr>
        <w:t xml:space="preserve"> between 4.0 percent to 6.0 percent</w:t>
      </w:r>
      <w:r w:rsidRPr="00965DDF">
        <w:rPr>
          <w:rFonts w:ascii="Trebuchet MS" w:hAnsi="Trebuchet MS"/>
          <w:sz w:val="22"/>
        </w:rPr>
        <w:t>, are also anticipated to contribute positively to the overall revenue growth.</w:t>
      </w:r>
      <w:r w:rsidRPr="00A22182">
        <w:rPr>
          <w:rFonts w:ascii="Trebuchet MS" w:hAnsi="Trebuchet MS"/>
          <w:sz w:val="22"/>
        </w:rPr>
        <w:t xml:space="preserve"> </w:t>
      </w:r>
      <w:r w:rsidRPr="00A91825">
        <w:rPr>
          <w:rFonts w:ascii="Trebuchet MS" w:hAnsi="Trebuchet MS"/>
          <w:sz w:val="22"/>
        </w:rPr>
        <w:t xml:space="preserve">Management indicated that revenue growth </w:t>
      </w:r>
      <w:r>
        <w:rPr>
          <w:rFonts w:ascii="Trebuchet MS" w:hAnsi="Trebuchet MS"/>
          <w:sz w:val="22"/>
        </w:rPr>
        <w:t xml:space="preserve">in the recent and near term also </w:t>
      </w:r>
      <w:r w:rsidRPr="00A91825">
        <w:rPr>
          <w:rFonts w:ascii="Trebuchet MS" w:hAnsi="Trebuchet MS"/>
          <w:sz w:val="22"/>
        </w:rPr>
        <w:t>relates to several initiatives that UMMHC has implemented since FY 2018 which will enable the Applicant to operate more efficiently. One such initiative is UMMHC’s ambulatory transformation which has helped the Applicant more efficiently utilize its existing clinical network and staff. Another example is UMMHC’s implementation of a new comprehensive electronic health record (“</w:t>
      </w:r>
      <w:r>
        <w:rPr>
          <w:rFonts w:ascii="Trebuchet MS" w:hAnsi="Trebuchet MS"/>
          <w:sz w:val="22"/>
        </w:rPr>
        <w:t>EHR</w:t>
      </w:r>
      <w:r w:rsidRPr="00A91825">
        <w:rPr>
          <w:rFonts w:ascii="Trebuchet MS" w:hAnsi="Trebuchet MS"/>
          <w:sz w:val="22"/>
        </w:rPr>
        <w:t xml:space="preserve">”) system in FYs 2018 and 2019. As a result of UMMHC’s various operating improvement initiatives, the Applicant expects to be able to allocate patients with low acuity cases more efficiently and enable senior physicians to focus more on providing care to an expanded patient group with higher acuity levels. As a result, accepting higher level acuity cases will help increase UMMHC’s volume and value per unit metrics. </w:t>
      </w:r>
    </w:p>
    <w:p w14:paraId="409C8AFB" w14:textId="77777777" w:rsidR="00DA45D2" w:rsidRDefault="00DA45D2" w:rsidP="00DA45D2">
      <w:pPr>
        <w:tabs>
          <w:tab w:val="num" w:pos="1260"/>
        </w:tabs>
        <w:spacing w:line="480" w:lineRule="auto"/>
        <w:jc w:val="both"/>
        <w:rPr>
          <w:rFonts w:ascii="Trebuchet MS" w:hAnsi="Trebuchet MS"/>
          <w:sz w:val="22"/>
        </w:rPr>
      </w:pPr>
    </w:p>
    <w:p w14:paraId="508C853E" w14:textId="77777777" w:rsidR="00DA45D2" w:rsidRPr="00A22182" w:rsidRDefault="00DA45D2" w:rsidP="00DA45D2">
      <w:pPr>
        <w:tabs>
          <w:tab w:val="num" w:pos="1260"/>
        </w:tabs>
        <w:spacing w:line="480" w:lineRule="auto"/>
        <w:jc w:val="both"/>
        <w:rPr>
          <w:rFonts w:ascii="Trebuchet MS" w:hAnsi="Trebuchet MS"/>
          <w:sz w:val="22"/>
        </w:rPr>
      </w:pPr>
      <w:r>
        <w:rPr>
          <w:rFonts w:ascii="Trebuchet MS" w:hAnsi="Trebuchet MS"/>
          <w:sz w:val="22"/>
        </w:rPr>
        <w:t xml:space="preserve">Projected patient service revenue for MRMC was expected to grow by 3.1 percent </w:t>
      </w:r>
      <w:r w:rsidRPr="00A22182">
        <w:rPr>
          <w:rFonts w:ascii="Trebuchet MS" w:hAnsi="Trebuchet MS"/>
          <w:sz w:val="22"/>
        </w:rPr>
        <w:t>in FY 202</w:t>
      </w:r>
      <w:r>
        <w:rPr>
          <w:rFonts w:ascii="Trebuchet MS" w:hAnsi="Trebuchet MS"/>
          <w:sz w:val="22"/>
        </w:rPr>
        <w:t>4</w:t>
      </w:r>
      <w:r w:rsidRPr="00A22182">
        <w:rPr>
          <w:rFonts w:ascii="Trebuchet MS" w:hAnsi="Trebuchet MS"/>
          <w:sz w:val="22"/>
        </w:rPr>
        <w:t xml:space="preserve"> </w:t>
      </w:r>
      <w:r>
        <w:rPr>
          <w:rFonts w:ascii="Trebuchet MS" w:hAnsi="Trebuchet MS"/>
          <w:sz w:val="22"/>
        </w:rPr>
        <w:t>and 0.5 percent in FY 2025.</w:t>
      </w:r>
      <w:r w:rsidRPr="007E31AC">
        <w:rPr>
          <w:rFonts w:ascii="Trebuchet MS" w:hAnsi="Trebuchet MS"/>
          <w:sz w:val="22"/>
        </w:rPr>
        <w:t xml:space="preserve"> </w:t>
      </w:r>
      <w:r>
        <w:rPr>
          <w:rFonts w:ascii="Trebuchet MS" w:hAnsi="Trebuchet MS"/>
          <w:sz w:val="22"/>
        </w:rPr>
        <w:t xml:space="preserve">We note that patient service revenue growth for </w:t>
      </w:r>
      <w:r w:rsidRPr="00A22182">
        <w:rPr>
          <w:rFonts w:ascii="Trebuchet MS" w:hAnsi="Trebuchet MS"/>
          <w:sz w:val="22"/>
        </w:rPr>
        <w:t>the remainder of the Projection Period (FY 202</w:t>
      </w:r>
      <w:r>
        <w:rPr>
          <w:rFonts w:ascii="Trebuchet MS" w:hAnsi="Trebuchet MS"/>
          <w:sz w:val="22"/>
        </w:rPr>
        <w:t>6</w:t>
      </w:r>
      <w:r w:rsidRPr="00A22182">
        <w:rPr>
          <w:rFonts w:ascii="Trebuchet MS" w:hAnsi="Trebuchet MS"/>
          <w:sz w:val="22"/>
        </w:rPr>
        <w:t xml:space="preserve"> through FY 202</w:t>
      </w:r>
      <w:r>
        <w:rPr>
          <w:rFonts w:ascii="Trebuchet MS" w:hAnsi="Trebuchet MS"/>
          <w:sz w:val="22"/>
        </w:rPr>
        <w:t>9</w:t>
      </w:r>
      <w:r w:rsidRPr="00A22182">
        <w:rPr>
          <w:rFonts w:ascii="Trebuchet MS" w:hAnsi="Trebuchet MS"/>
          <w:sz w:val="22"/>
        </w:rPr>
        <w:t xml:space="preserve">), Management projected </w:t>
      </w:r>
      <w:r>
        <w:rPr>
          <w:rFonts w:ascii="Trebuchet MS" w:hAnsi="Trebuchet MS"/>
          <w:sz w:val="22"/>
        </w:rPr>
        <w:t>nominal patient service revenue</w:t>
      </w:r>
      <w:r w:rsidRPr="00A22182">
        <w:rPr>
          <w:rFonts w:ascii="Trebuchet MS" w:hAnsi="Trebuchet MS"/>
          <w:sz w:val="22"/>
        </w:rPr>
        <w:t xml:space="preserve"> growth</w:t>
      </w:r>
      <w:r>
        <w:rPr>
          <w:rFonts w:ascii="Trebuchet MS" w:hAnsi="Trebuchet MS"/>
          <w:sz w:val="22"/>
        </w:rPr>
        <w:t xml:space="preserve">. </w:t>
      </w:r>
    </w:p>
    <w:p w14:paraId="39E06EFF" w14:textId="77777777" w:rsidR="00DA45D2" w:rsidRPr="00A22182" w:rsidRDefault="00DA45D2" w:rsidP="00DA45D2">
      <w:pPr>
        <w:tabs>
          <w:tab w:val="num" w:pos="1260"/>
        </w:tabs>
        <w:spacing w:line="480" w:lineRule="auto"/>
        <w:jc w:val="both"/>
        <w:rPr>
          <w:rFonts w:ascii="Trebuchet MS" w:hAnsi="Trebuchet MS"/>
          <w:sz w:val="22"/>
        </w:rPr>
      </w:pPr>
    </w:p>
    <w:p w14:paraId="720EED72" w14:textId="77777777" w:rsidR="00DA45D2" w:rsidRDefault="00DA45D2" w:rsidP="00DA45D2">
      <w:pPr>
        <w:tabs>
          <w:tab w:val="num" w:pos="1260"/>
        </w:tabs>
        <w:spacing w:line="480" w:lineRule="auto"/>
        <w:jc w:val="both"/>
        <w:rPr>
          <w:rFonts w:ascii="Trebuchet MS" w:hAnsi="Trebuchet MS"/>
          <w:sz w:val="22"/>
        </w:rPr>
      </w:pPr>
      <w:proofErr w:type="gramStart"/>
      <w:r w:rsidRPr="00A22182">
        <w:rPr>
          <w:rFonts w:ascii="Trebuchet MS" w:hAnsi="Trebuchet MS"/>
          <w:sz w:val="22"/>
        </w:rPr>
        <w:t>In order to</w:t>
      </w:r>
      <w:proofErr w:type="gramEnd"/>
      <w:r w:rsidRPr="00A22182">
        <w:rPr>
          <w:rFonts w:ascii="Trebuchet MS" w:hAnsi="Trebuchet MS"/>
          <w:sz w:val="22"/>
        </w:rPr>
        <w:t xml:space="preserve"> determine the reasonableness of the projected revenue, we reviewed the underlying assumptions upon which Management relied. Based upon our review </w:t>
      </w:r>
      <w:r>
        <w:rPr>
          <w:rFonts w:ascii="Trebuchet MS" w:hAnsi="Trebuchet MS"/>
          <w:sz w:val="22"/>
        </w:rPr>
        <w:t xml:space="preserve">of the information provided </w:t>
      </w:r>
      <w:r w:rsidRPr="00A22182">
        <w:rPr>
          <w:rFonts w:ascii="Trebuchet MS" w:hAnsi="Trebuchet MS"/>
          <w:sz w:val="22"/>
        </w:rPr>
        <w:t xml:space="preserve">and the discussions noted above, </w:t>
      </w:r>
      <w:r>
        <w:rPr>
          <w:rFonts w:ascii="Trebuchet MS" w:hAnsi="Trebuchet MS"/>
          <w:sz w:val="22"/>
        </w:rPr>
        <w:t xml:space="preserve">we understand </w:t>
      </w:r>
      <w:r w:rsidRPr="00A22182">
        <w:rPr>
          <w:rFonts w:ascii="Trebuchet MS" w:hAnsi="Trebuchet MS"/>
          <w:sz w:val="22"/>
        </w:rPr>
        <w:t>Management relied upon historical operat</w:t>
      </w:r>
      <w:r>
        <w:rPr>
          <w:rFonts w:ascii="Trebuchet MS" w:hAnsi="Trebuchet MS"/>
          <w:sz w:val="22"/>
        </w:rPr>
        <w:t>ing result</w:t>
      </w:r>
      <w:r w:rsidRPr="00A22182">
        <w:rPr>
          <w:rFonts w:ascii="Trebuchet MS" w:hAnsi="Trebuchet MS"/>
          <w:sz w:val="22"/>
        </w:rPr>
        <w:t xml:space="preserve">s and anticipated </w:t>
      </w:r>
      <w:r>
        <w:rPr>
          <w:rFonts w:ascii="Trebuchet MS" w:hAnsi="Trebuchet MS"/>
          <w:sz w:val="22"/>
        </w:rPr>
        <w:t>demographic trends in the UMMHC service area</w:t>
      </w:r>
      <w:r w:rsidRPr="00A22182">
        <w:rPr>
          <w:rFonts w:ascii="Trebuchet MS" w:hAnsi="Trebuchet MS"/>
          <w:sz w:val="22"/>
        </w:rPr>
        <w:t xml:space="preserve">. The </w:t>
      </w:r>
      <w:r>
        <w:rPr>
          <w:rFonts w:ascii="Trebuchet MS" w:hAnsi="Trebuchet MS"/>
          <w:sz w:val="22"/>
        </w:rPr>
        <w:t xml:space="preserve">combined total operating </w:t>
      </w:r>
      <w:r w:rsidRPr="00A22182">
        <w:rPr>
          <w:rFonts w:ascii="Trebuchet MS" w:hAnsi="Trebuchet MS"/>
          <w:sz w:val="22"/>
        </w:rPr>
        <w:t>revenue growth</w:t>
      </w:r>
      <w:r>
        <w:rPr>
          <w:rFonts w:ascii="Trebuchet MS" w:hAnsi="Trebuchet MS"/>
          <w:sz w:val="22"/>
        </w:rPr>
        <w:t xml:space="preserve"> for UMMHC and MRMC </w:t>
      </w:r>
      <w:r w:rsidRPr="00A22182">
        <w:rPr>
          <w:rFonts w:ascii="Trebuchet MS" w:hAnsi="Trebuchet MS"/>
          <w:sz w:val="22"/>
        </w:rPr>
        <w:t>anticipated for FY 202</w:t>
      </w:r>
      <w:r>
        <w:rPr>
          <w:rFonts w:ascii="Trebuchet MS" w:hAnsi="Trebuchet MS"/>
          <w:sz w:val="22"/>
        </w:rPr>
        <w:t>4</w:t>
      </w:r>
      <w:r w:rsidRPr="00A22182">
        <w:rPr>
          <w:rFonts w:ascii="Trebuchet MS" w:hAnsi="Trebuchet MS"/>
          <w:sz w:val="22"/>
        </w:rPr>
        <w:t xml:space="preserve"> is </w:t>
      </w:r>
      <w:r>
        <w:rPr>
          <w:rFonts w:ascii="Trebuchet MS" w:hAnsi="Trebuchet MS"/>
          <w:sz w:val="22"/>
        </w:rPr>
        <w:t>slightly above</w:t>
      </w:r>
      <w:r w:rsidRPr="00A22182">
        <w:rPr>
          <w:rFonts w:ascii="Trebuchet MS" w:hAnsi="Trebuchet MS"/>
          <w:sz w:val="22"/>
        </w:rPr>
        <w:t xml:space="preserve"> the</w:t>
      </w:r>
      <w:r>
        <w:rPr>
          <w:rFonts w:ascii="Trebuchet MS" w:hAnsi="Trebuchet MS"/>
          <w:sz w:val="22"/>
        </w:rPr>
        <w:t xml:space="preserve"> two-</w:t>
      </w:r>
      <w:r w:rsidRPr="00A22182">
        <w:rPr>
          <w:rFonts w:ascii="Trebuchet MS" w:hAnsi="Trebuchet MS"/>
          <w:sz w:val="22"/>
        </w:rPr>
        <w:t>year compound</w:t>
      </w:r>
      <w:r>
        <w:rPr>
          <w:rFonts w:ascii="Trebuchet MS" w:hAnsi="Trebuchet MS"/>
          <w:sz w:val="22"/>
        </w:rPr>
        <w:t>ed</w:t>
      </w:r>
      <w:r w:rsidRPr="00A22182">
        <w:rPr>
          <w:rFonts w:ascii="Trebuchet MS" w:hAnsi="Trebuchet MS"/>
          <w:sz w:val="22"/>
        </w:rPr>
        <w:t xml:space="preserve"> annual growth rate (“CAGR”) </w:t>
      </w:r>
      <w:proofErr w:type="gramStart"/>
      <w:r w:rsidRPr="00A22182">
        <w:rPr>
          <w:rFonts w:ascii="Trebuchet MS" w:hAnsi="Trebuchet MS"/>
          <w:sz w:val="22"/>
        </w:rPr>
        <w:t>and also</w:t>
      </w:r>
      <w:proofErr w:type="gramEnd"/>
      <w:r w:rsidRPr="00A22182">
        <w:rPr>
          <w:rFonts w:ascii="Trebuchet MS" w:hAnsi="Trebuchet MS"/>
          <w:sz w:val="22"/>
        </w:rPr>
        <w:t xml:space="preserve"> </w:t>
      </w:r>
      <w:r>
        <w:rPr>
          <w:rFonts w:ascii="Trebuchet MS" w:hAnsi="Trebuchet MS"/>
          <w:sz w:val="22"/>
        </w:rPr>
        <w:t>slightly above</w:t>
      </w:r>
      <w:r w:rsidRPr="00A22182">
        <w:rPr>
          <w:rFonts w:ascii="Trebuchet MS" w:hAnsi="Trebuchet MS"/>
          <w:sz w:val="22"/>
        </w:rPr>
        <w:t xml:space="preserve"> the </w:t>
      </w:r>
      <w:r>
        <w:rPr>
          <w:rFonts w:ascii="Trebuchet MS" w:hAnsi="Trebuchet MS"/>
          <w:sz w:val="22"/>
        </w:rPr>
        <w:t xml:space="preserve">range of </w:t>
      </w:r>
      <w:r w:rsidRPr="00A22182">
        <w:rPr>
          <w:rFonts w:ascii="Trebuchet MS" w:hAnsi="Trebuchet MS"/>
          <w:sz w:val="22"/>
        </w:rPr>
        <w:t xml:space="preserve">annual </w:t>
      </w:r>
      <w:r w:rsidRPr="00A22182">
        <w:rPr>
          <w:rFonts w:ascii="Trebuchet MS" w:hAnsi="Trebuchet MS"/>
          <w:sz w:val="22"/>
        </w:rPr>
        <w:lastRenderedPageBreak/>
        <w:t>revenue growth rate</w:t>
      </w:r>
      <w:r>
        <w:rPr>
          <w:rFonts w:ascii="Trebuchet MS" w:hAnsi="Trebuchet MS"/>
          <w:sz w:val="22"/>
        </w:rPr>
        <w:t>s for the Applicant</w:t>
      </w:r>
      <w:r w:rsidRPr="00A22182">
        <w:rPr>
          <w:rFonts w:ascii="Trebuchet MS" w:hAnsi="Trebuchet MS"/>
          <w:sz w:val="22"/>
        </w:rPr>
        <w:t xml:space="preserve"> between FY 20</w:t>
      </w:r>
      <w:r>
        <w:rPr>
          <w:rFonts w:ascii="Trebuchet MS" w:hAnsi="Trebuchet MS"/>
          <w:sz w:val="22"/>
        </w:rPr>
        <w:t>21</w:t>
      </w:r>
      <w:r w:rsidRPr="00A22182">
        <w:rPr>
          <w:rFonts w:ascii="Trebuchet MS" w:hAnsi="Trebuchet MS"/>
          <w:sz w:val="22"/>
        </w:rPr>
        <w:t xml:space="preserve"> and FY 202</w:t>
      </w:r>
      <w:r>
        <w:rPr>
          <w:rFonts w:ascii="Trebuchet MS" w:hAnsi="Trebuchet MS"/>
          <w:sz w:val="22"/>
        </w:rPr>
        <w:t>3</w:t>
      </w:r>
      <w:r w:rsidRPr="00A22182">
        <w:rPr>
          <w:rFonts w:ascii="Trebuchet MS" w:hAnsi="Trebuchet MS"/>
          <w:sz w:val="22"/>
        </w:rPr>
        <w:t xml:space="preserve"> as indicated in the table below.</w:t>
      </w:r>
    </w:p>
    <w:p w14:paraId="41B83330" w14:textId="77777777" w:rsidR="00DA45D2" w:rsidRDefault="00DA45D2" w:rsidP="00DA45D2">
      <w:pPr>
        <w:spacing w:line="480" w:lineRule="auto"/>
        <w:jc w:val="both"/>
        <w:rPr>
          <w:rFonts w:ascii="Trebuchet MS" w:hAnsi="Trebuchet MS"/>
          <w:sz w:val="22"/>
        </w:rPr>
      </w:pPr>
    </w:p>
    <w:tbl>
      <w:tblPr>
        <w:tblW w:w="8611" w:type="dxa"/>
        <w:tblInd w:w="720" w:type="dxa"/>
        <w:tblBorders>
          <w:bottom w:val="single" w:sz="4" w:space="0" w:color="ED7D31" w:themeColor="accent2"/>
          <w:insideH w:val="single" w:sz="4" w:space="0" w:color="E2EFD9" w:themeColor="accent6" w:themeTint="33"/>
        </w:tblBorders>
        <w:tblCellMar>
          <w:top w:w="14" w:type="dxa"/>
          <w:left w:w="14" w:type="dxa"/>
          <w:bottom w:w="14" w:type="dxa"/>
          <w:right w:w="14" w:type="dxa"/>
        </w:tblCellMar>
        <w:tblLook w:val="04A0" w:firstRow="1" w:lastRow="0" w:firstColumn="1" w:lastColumn="0" w:noHBand="0" w:noVBand="1"/>
      </w:tblPr>
      <w:tblGrid>
        <w:gridCol w:w="1222"/>
        <w:gridCol w:w="229"/>
        <w:gridCol w:w="1790"/>
        <w:gridCol w:w="1790"/>
        <w:gridCol w:w="1790"/>
        <w:gridCol w:w="1790"/>
      </w:tblGrid>
      <w:tr w:rsidR="00DA45D2" w:rsidRPr="00A22182" w14:paraId="4F462775" w14:textId="77777777" w:rsidTr="007E104E">
        <w:trPr>
          <w:cantSplit/>
          <w:trHeight w:val="288"/>
        </w:trPr>
        <w:tc>
          <w:tcPr>
            <w:tcW w:w="1222" w:type="dxa"/>
            <w:tcBorders>
              <w:bottom w:val="single" w:sz="4" w:space="0" w:color="E2EFD9" w:themeColor="accent6" w:themeTint="33"/>
            </w:tcBorders>
            <w:shd w:val="clear" w:color="auto" w:fill="005D7E"/>
            <w:vAlign w:val="center"/>
          </w:tcPr>
          <w:p w14:paraId="52908D2E" w14:textId="77777777" w:rsidR="00DA45D2" w:rsidRPr="00A22182" w:rsidRDefault="00DA45D2" w:rsidP="00E04102">
            <w:pPr>
              <w:pStyle w:val="VBABODY"/>
              <w:keepNext/>
              <w:spacing w:after="0" w:line="240" w:lineRule="auto"/>
              <w:jc w:val="center"/>
              <w:rPr>
                <w:color w:val="FFFFFF" w:themeColor="background1"/>
                <w:sz w:val="22"/>
                <w:szCs w:val="22"/>
              </w:rPr>
            </w:pPr>
          </w:p>
        </w:tc>
        <w:tc>
          <w:tcPr>
            <w:tcW w:w="229" w:type="dxa"/>
            <w:tcBorders>
              <w:bottom w:val="single" w:sz="4" w:space="0" w:color="E2EFD9" w:themeColor="accent6" w:themeTint="33"/>
            </w:tcBorders>
            <w:shd w:val="clear" w:color="auto" w:fill="005D7E"/>
            <w:vAlign w:val="center"/>
          </w:tcPr>
          <w:p w14:paraId="0E850843" w14:textId="77777777" w:rsidR="00DA45D2" w:rsidRPr="00A22182" w:rsidRDefault="00DA45D2" w:rsidP="00E04102">
            <w:pPr>
              <w:pStyle w:val="VBABODY"/>
              <w:keepNext/>
              <w:spacing w:after="0" w:line="240" w:lineRule="auto"/>
              <w:jc w:val="center"/>
              <w:rPr>
                <w:color w:val="FFFFFF" w:themeColor="background1"/>
                <w:sz w:val="22"/>
                <w:szCs w:val="22"/>
              </w:rPr>
            </w:pPr>
          </w:p>
        </w:tc>
        <w:tc>
          <w:tcPr>
            <w:tcW w:w="1790" w:type="dxa"/>
            <w:tcBorders>
              <w:bottom w:val="single" w:sz="4" w:space="0" w:color="E2EFD9" w:themeColor="accent6" w:themeTint="33"/>
            </w:tcBorders>
            <w:shd w:val="clear" w:color="auto" w:fill="005D7E"/>
          </w:tcPr>
          <w:p w14:paraId="209AB10F" w14:textId="77777777" w:rsidR="00DA45D2" w:rsidRDefault="00DA45D2" w:rsidP="00E04102">
            <w:pPr>
              <w:pStyle w:val="VBABODY"/>
              <w:keepNext/>
              <w:spacing w:after="0" w:line="240" w:lineRule="auto"/>
              <w:jc w:val="center"/>
              <w:rPr>
                <w:color w:val="FFFFFF" w:themeColor="background1"/>
                <w:sz w:val="22"/>
                <w:szCs w:val="22"/>
              </w:rPr>
            </w:pPr>
            <w:r>
              <w:rPr>
                <w:color w:val="FFFFFF" w:themeColor="background1"/>
                <w:sz w:val="22"/>
                <w:szCs w:val="22"/>
              </w:rPr>
              <w:t>Annual Growth Range (2021 – 2023)</w:t>
            </w:r>
          </w:p>
        </w:tc>
        <w:tc>
          <w:tcPr>
            <w:tcW w:w="1790" w:type="dxa"/>
            <w:tcBorders>
              <w:bottom w:val="single" w:sz="4" w:space="0" w:color="E2EFD9" w:themeColor="accent6" w:themeTint="33"/>
            </w:tcBorders>
            <w:shd w:val="clear" w:color="auto" w:fill="005D7E"/>
            <w:vAlign w:val="center"/>
          </w:tcPr>
          <w:p w14:paraId="69874132" w14:textId="77777777" w:rsidR="00DA45D2" w:rsidRPr="00A22182" w:rsidRDefault="00DA45D2" w:rsidP="00E04102">
            <w:pPr>
              <w:tabs>
                <w:tab w:val="num" w:pos="1260"/>
              </w:tabs>
              <w:jc w:val="center"/>
              <w:rPr>
                <w:rFonts w:ascii="Trebuchet MS" w:hAnsi="Trebuchet MS"/>
                <w:color w:val="FFFFFF" w:themeColor="background1"/>
                <w:sz w:val="22"/>
              </w:rPr>
            </w:pPr>
            <w:r w:rsidRPr="00A22182">
              <w:rPr>
                <w:rFonts w:ascii="Trebuchet MS" w:hAnsi="Trebuchet MS"/>
                <w:color w:val="FFFFFF" w:themeColor="background1"/>
                <w:sz w:val="22"/>
              </w:rPr>
              <w:t xml:space="preserve">CAGR </w:t>
            </w:r>
          </w:p>
          <w:p w14:paraId="04DD1693" w14:textId="77777777" w:rsidR="00DA45D2" w:rsidRDefault="00DA45D2" w:rsidP="00E04102">
            <w:pPr>
              <w:pStyle w:val="VBABODY"/>
              <w:keepNext/>
              <w:spacing w:after="0" w:line="240" w:lineRule="auto"/>
              <w:jc w:val="center"/>
              <w:rPr>
                <w:color w:val="FFFFFF" w:themeColor="background1"/>
                <w:sz w:val="22"/>
                <w:szCs w:val="22"/>
              </w:rPr>
            </w:pPr>
            <w:r w:rsidRPr="00A22182">
              <w:rPr>
                <w:color w:val="FFFFFF" w:themeColor="background1"/>
                <w:sz w:val="22"/>
                <w:szCs w:val="22"/>
              </w:rPr>
              <w:t>(20</w:t>
            </w:r>
            <w:r>
              <w:rPr>
                <w:color w:val="FFFFFF" w:themeColor="background1"/>
                <w:sz w:val="22"/>
                <w:szCs w:val="22"/>
              </w:rPr>
              <w:t>2</w:t>
            </w:r>
            <w:r w:rsidRPr="00A22182">
              <w:rPr>
                <w:color w:val="FFFFFF" w:themeColor="background1"/>
                <w:sz w:val="22"/>
                <w:szCs w:val="22"/>
              </w:rPr>
              <w:t>1 – 202</w:t>
            </w:r>
            <w:r>
              <w:rPr>
                <w:color w:val="FFFFFF" w:themeColor="background1"/>
                <w:sz w:val="22"/>
                <w:szCs w:val="22"/>
              </w:rPr>
              <w:t>3</w:t>
            </w:r>
            <w:r w:rsidRPr="00A22182">
              <w:rPr>
                <w:color w:val="FFFFFF" w:themeColor="background1"/>
                <w:sz w:val="22"/>
                <w:szCs w:val="22"/>
              </w:rPr>
              <w:t>)</w:t>
            </w:r>
          </w:p>
        </w:tc>
        <w:tc>
          <w:tcPr>
            <w:tcW w:w="1790" w:type="dxa"/>
            <w:tcBorders>
              <w:bottom w:val="single" w:sz="4" w:space="0" w:color="E2EFD9" w:themeColor="accent6" w:themeTint="33"/>
            </w:tcBorders>
            <w:shd w:val="clear" w:color="auto" w:fill="005D7E"/>
          </w:tcPr>
          <w:p w14:paraId="30B7BF19" w14:textId="77777777" w:rsidR="00DA45D2" w:rsidRDefault="00DA45D2" w:rsidP="00E04102">
            <w:pPr>
              <w:pStyle w:val="VBABODY"/>
              <w:keepNext/>
              <w:spacing w:after="0" w:line="240" w:lineRule="auto"/>
              <w:jc w:val="center"/>
              <w:rPr>
                <w:color w:val="FFFFFF" w:themeColor="background1"/>
                <w:sz w:val="22"/>
                <w:szCs w:val="22"/>
              </w:rPr>
            </w:pPr>
            <w:r>
              <w:rPr>
                <w:color w:val="FFFFFF" w:themeColor="background1"/>
                <w:sz w:val="22"/>
                <w:szCs w:val="22"/>
              </w:rPr>
              <w:t>2024 Growth</w:t>
            </w:r>
          </w:p>
        </w:tc>
        <w:tc>
          <w:tcPr>
            <w:tcW w:w="1790" w:type="dxa"/>
            <w:tcBorders>
              <w:bottom w:val="single" w:sz="4" w:space="0" w:color="E2EFD9" w:themeColor="accent6" w:themeTint="33"/>
            </w:tcBorders>
            <w:shd w:val="clear" w:color="auto" w:fill="005D7E"/>
            <w:vAlign w:val="center"/>
          </w:tcPr>
          <w:p w14:paraId="142AF6AE" w14:textId="77777777" w:rsidR="00DA45D2" w:rsidRDefault="00DA45D2" w:rsidP="00E04102">
            <w:pPr>
              <w:pStyle w:val="VBABODY"/>
              <w:keepNext/>
              <w:spacing w:after="0" w:line="240" w:lineRule="auto"/>
              <w:jc w:val="center"/>
              <w:rPr>
                <w:color w:val="FFFFFF" w:themeColor="background1"/>
                <w:sz w:val="22"/>
                <w:szCs w:val="22"/>
              </w:rPr>
            </w:pPr>
            <w:r w:rsidRPr="00A22182">
              <w:rPr>
                <w:color w:val="FFFFFF" w:themeColor="background1"/>
                <w:sz w:val="22"/>
                <w:szCs w:val="22"/>
              </w:rPr>
              <w:t>Annual Growth Range (20</w:t>
            </w:r>
            <w:r>
              <w:rPr>
                <w:color w:val="FFFFFF" w:themeColor="background1"/>
                <w:sz w:val="22"/>
                <w:szCs w:val="22"/>
              </w:rPr>
              <w:t>25-2029</w:t>
            </w:r>
            <w:r w:rsidRPr="00A22182">
              <w:rPr>
                <w:color w:val="FFFFFF" w:themeColor="background1"/>
                <w:sz w:val="22"/>
                <w:szCs w:val="22"/>
              </w:rPr>
              <w:t>)</w:t>
            </w:r>
          </w:p>
        </w:tc>
      </w:tr>
      <w:tr w:rsidR="00DA45D2" w:rsidRPr="00A22182" w14:paraId="614A5DDE" w14:textId="77777777" w:rsidTr="00E04102">
        <w:trPr>
          <w:cantSplit/>
          <w:trHeight w:val="56"/>
        </w:trPr>
        <w:tc>
          <w:tcPr>
            <w:tcW w:w="1222" w:type="dxa"/>
            <w:tcBorders>
              <w:top w:val="single" w:sz="4" w:space="0" w:color="E2EFD9" w:themeColor="accent6" w:themeTint="33"/>
              <w:bottom w:val="single" w:sz="4" w:space="0" w:color="00B0F0"/>
            </w:tcBorders>
            <w:vAlign w:val="center"/>
          </w:tcPr>
          <w:p w14:paraId="5164A0D3" w14:textId="77777777" w:rsidR="00DA45D2" w:rsidRPr="00A22182" w:rsidRDefault="00DA45D2" w:rsidP="00E04102">
            <w:pPr>
              <w:keepNext/>
              <w:jc w:val="center"/>
              <w:rPr>
                <w:rFonts w:ascii="Trebuchet MS" w:hAnsi="Trebuchet MS" w:cs="Arial"/>
                <w:kern w:val="24"/>
                <w:sz w:val="22"/>
              </w:rPr>
            </w:pPr>
            <w:r>
              <w:rPr>
                <w:rFonts w:ascii="Trebuchet MS" w:hAnsi="Trebuchet MS"/>
                <w:sz w:val="22"/>
              </w:rPr>
              <w:t xml:space="preserve">Revenue </w:t>
            </w:r>
            <w:r w:rsidRPr="00A22182">
              <w:rPr>
                <w:rFonts w:ascii="Trebuchet MS" w:hAnsi="Trebuchet MS"/>
                <w:sz w:val="22"/>
              </w:rPr>
              <w:t>Projection</w:t>
            </w:r>
          </w:p>
        </w:tc>
        <w:tc>
          <w:tcPr>
            <w:tcW w:w="229" w:type="dxa"/>
            <w:tcBorders>
              <w:top w:val="single" w:sz="4" w:space="0" w:color="E2EFD9" w:themeColor="accent6" w:themeTint="33"/>
              <w:bottom w:val="single" w:sz="4" w:space="0" w:color="00B0F0"/>
            </w:tcBorders>
          </w:tcPr>
          <w:p w14:paraId="1C7A9905" w14:textId="77777777" w:rsidR="00DA45D2" w:rsidRPr="00A22182" w:rsidRDefault="00DA45D2" w:rsidP="00E04102">
            <w:pPr>
              <w:keepNext/>
              <w:jc w:val="center"/>
              <w:rPr>
                <w:rFonts w:ascii="Trebuchet MS" w:hAnsi="Trebuchet MS" w:cs="Arial"/>
                <w:kern w:val="24"/>
                <w:sz w:val="22"/>
              </w:rPr>
            </w:pPr>
          </w:p>
        </w:tc>
        <w:tc>
          <w:tcPr>
            <w:tcW w:w="1790" w:type="dxa"/>
            <w:tcBorders>
              <w:top w:val="single" w:sz="4" w:space="0" w:color="E2EFD9" w:themeColor="accent6" w:themeTint="33"/>
              <w:bottom w:val="single" w:sz="4" w:space="0" w:color="00B0F0"/>
            </w:tcBorders>
          </w:tcPr>
          <w:p w14:paraId="264D0A8B" w14:textId="77777777" w:rsidR="00DA45D2" w:rsidRPr="00C8337F" w:rsidRDefault="00DA45D2" w:rsidP="00E04102">
            <w:pPr>
              <w:keepNext/>
              <w:jc w:val="center"/>
              <w:rPr>
                <w:rFonts w:ascii="Trebuchet MS" w:hAnsi="Trebuchet MS"/>
                <w:sz w:val="22"/>
                <w:highlight w:val="yellow"/>
              </w:rPr>
            </w:pPr>
            <w:r>
              <w:rPr>
                <w:rFonts w:ascii="Trebuchet MS" w:hAnsi="Trebuchet MS"/>
                <w:sz w:val="22"/>
              </w:rPr>
              <w:t>7.9% – 11.4</w:t>
            </w:r>
            <w:r w:rsidRPr="00A22182">
              <w:rPr>
                <w:rFonts w:ascii="Trebuchet MS" w:hAnsi="Trebuchet MS"/>
                <w:sz w:val="22"/>
              </w:rPr>
              <w:t>%</w:t>
            </w:r>
          </w:p>
        </w:tc>
        <w:tc>
          <w:tcPr>
            <w:tcW w:w="1790" w:type="dxa"/>
            <w:tcBorders>
              <w:top w:val="single" w:sz="4" w:space="0" w:color="E2EFD9" w:themeColor="accent6" w:themeTint="33"/>
              <w:bottom w:val="single" w:sz="4" w:space="0" w:color="00B0F0"/>
            </w:tcBorders>
          </w:tcPr>
          <w:p w14:paraId="749A3309" w14:textId="77777777" w:rsidR="00DA45D2" w:rsidRPr="00C8337F" w:rsidRDefault="00DA45D2" w:rsidP="00E04102">
            <w:pPr>
              <w:keepNext/>
              <w:jc w:val="center"/>
              <w:rPr>
                <w:rFonts w:ascii="Trebuchet MS" w:hAnsi="Trebuchet MS"/>
                <w:sz w:val="22"/>
                <w:highlight w:val="yellow"/>
              </w:rPr>
            </w:pPr>
            <w:r>
              <w:rPr>
                <w:rFonts w:ascii="Trebuchet MS" w:hAnsi="Trebuchet MS"/>
                <w:sz w:val="22"/>
              </w:rPr>
              <w:t>9</w:t>
            </w:r>
            <w:r w:rsidRPr="00A22182">
              <w:rPr>
                <w:rFonts w:ascii="Trebuchet MS" w:hAnsi="Trebuchet MS"/>
                <w:sz w:val="22"/>
              </w:rPr>
              <w:t>.7%</w:t>
            </w:r>
          </w:p>
        </w:tc>
        <w:tc>
          <w:tcPr>
            <w:tcW w:w="1790" w:type="dxa"/>
            <w:tcBorders>
              <w:top w:val="single" w:sz="4" w:space="0" w:color="E2EFD9" w:themeColor="accent6" w:themeTint="33"/>
              <w:bottom w:val="single" w:sz="4" w:space="0" w:color="00B0F0"/>
            </w:tcBorders>
          </w:tcPr>
          <w:p w14:paraId="5AA4D77B" w14:textId="77777777" w:rsidR="00DA45D2" w:rsidRPr="00C8337F" w:rsidRDefault="00DA45D2" w:rsidP="00E04102">
            <w:pPr>
              <w:keepNext/>
              <w:jc w:val="center"/>
              <w:rPr>
                <w:rFonts w:ascii="Trebuchet MS" w:hAnsi="Trebuchet MS"/>
                <w:sz w:val="22"/>
                <w:highlight w:val="yellow"/>
              </w:rPr>
            </w:pPr>
            <w:r>
              <w:rPr>
                <w:rFonts w:ascii="Trebuchet MS" w:hAnsi="Trebuchet MS"/>
                <w:sz w:val="22"/>
              </w:rPr>
              <w:t>11.8%</w:t>
            </w:r>
          </w:p>
        </w:tc>
        <w:tc>
          <w:tcPr>
            <w:tcW w:w="1790" w:type="dxa"/>
            <w:tcBorders>
              <w:top w:val="single" w:sz="4" w:space="0" w:color="E2EFD9" w:themeColor="accent6" w:themeTint="33"/>
              <w:bottom w:val="single" w:sz="4" w:space="0" w:color="00B0F0"/>
            </w:tcBorders>
          </w:tcPr>
          <w:p w14:paraId="00EB633A" w14:textId="77777777" w:rsidR="00DA45D2" w:rsidRPr="00C8337F" w:rsidRDefault="00DA45D2" w:rsidP="00E04102">
            <w:pPr>
              <w:keepNext/>
              <w:jc w:val="center"/>
              <w:rPr>
                <w:rFonts w:ascii="Trebuchet MS" w:hAnsi="Trebuchet MS"/>
                <w:sz w:val="22"/>
                <w:highlight w:val="yellow"/>
              </w:rPr>
            </w:pPr>
            <w:r>
              <w:rPr>
                <w:rFonts w:ascii="Trebuchet MS" w:hAnsi="Trebuchet MS"/>
                <w:sz w:val="22"/>
              </w:rPr>
              <w:t>0.0% – 2.9</w:t>
            </w:r>
            <w:r w:rsidRPr="00A22182">
              <w:rPr>
                <w:rFonts w:ascii="Trebuchet MS" w:hAnsi="Trebuchet MS"/>
                <w:sz w:val="22"/>
              </w:rPr>
              <w:t>%</w:t>
            </w:r>
          </w:p>
        </w:tc>
      </w:tr>
    </w:tbl>
    <w:p w14:paraId="7CFFF785" w14:textId="77777777" w:rsidR="00DA45D2" w:rsidRDefault="00DA45D2" w:rsidP="00DA45D2">
      <w:pPr>
        <w:tabs>
          <w:tab w:val="num" w:pos="1260"/>
        </w:tabs>
        <w:spacing w:line="480" w:lineRule="auto"/>
        <w:jc w:val="both"/>
        <w:rPr>
          <w:rFonts w:ascii="Trebuchet MS" w:hAnsi="Trebuchet MS"/>
          <w:sz w:val="22"/>
        </w:rPr>
      </w:pPr>
    </w:p>
    <w:p w14:paraId="02C7A7E0" w14:textId="77777777" w:rsidR="00DA45D2" w:rsidRPr="00A22182" w:rsidRDefault="00DA45D2" w:rsidP="00DA45D2">
      <w:pPr>
        <w:spacing w:line="480" w:lineRule="auto"/>
        <w:jc w:val="both"/>
        <w:rPr>
          <w:rFonts w:ascii="Trebuchet MS" w:hAnsi="Trebuchet MS"/>
          <w:sz w:val="22"/>
        </w:rPr>
      </w:pPr>
      <w:r w:rsidRPr="00A22182">
        <w:rPr>
          <w:rFonts w:ascii="Trebuchet MS" w:hAnsi="Trebuchet MS"/>
          <w:sz w:val="22"/>
        </w:rPr>
        <w:t>Based upon the foregoing, it is our opinion that the revenue growth projected by Management reflects a reasonable estimation of future revenue of UMMHC.</w:t>
      </w:r>
      <w:r>
        <w:rPr>
          <w:rFonts w:ascii="Trebuchet MS" w:hAnsi="Trebuchet MS"/>
          <w:sz w:val="22"/>
        </w:rPr>
        <w:t xml:space="preserve"> We note that the assumed nominal revenue growth beyond FY 2025 is based solely on Management’s consideration of </w:t>
      </w:r>
      <w:r w:rsidRPr="00F940AF">
        <w:rPr>
          <w:rFonts w:ascii="Trebuchet MS" w:hAnsi="Trebuchet MS"/>
          <w:sz w:val="22"/>
        </w:rPr>
        <w:t>changes in volume only, not the impact of inflation or price increases</w:t>
      </w:r>
      <w:r>
        <w:rPr>
          <w:rFonts w:ascii="Trebuchet MS" w:hAnsi="Trebuchet MS"/>
          <w:sz w:val="22"/>
        </w:rPr>
        <w:t xml:space="preserve"> beyond FY 2025. </w:t>
      </w:r>
    </w:p>
    <w:p w14:paraId="407FE7E9" w14:textId="77777777" w:rsidR="00DA45D2" w:rsidRPr="00A22182" w:rsidRDefault="00DA45D2" w:rsidP="00DA45D2">
      <w:pPr>
        <w:tabs>
          <w:tab w:val="left" w:pos="2136"/>
        </w:tabs>
        <w:spacing w:line="480" w:lineRule="auto"/>
        <w:jc w:val="both"/>
        <w:rPr>
          <w:rFonts w:ascii="Trebuchet MS" w:hAnsi="Trebuchet MS"/>
          <w:sz w:val="22"/>
          <w:highlight w:val="yellow"/>
        </w:rPr>
      </w:pPr>
    </w:p>
    <w:p w14:paraId="05F09D95" w14:textId="77777777" w:rsidR="00DA45D2" w:rsidRPr="00A22182" w:rsidRDefault="00DA45D2" w:rsidP="00DA45D2">
      <w:pPr>
        <w:pStyle w:val="ListParagraph"/>
        <w:numPr>
          <w:ilvl w:val="0"/>
          <w:numId w:val="3"/>
        </w:numPr>
        <w:tabs>
          <w:tab w:val="num" w:pos="1260"/>
        </w:tabs>
        <w:spacing w:line="480" w:lineRule="auto"/>
        <w:jc w:val="both"/>
        <w:rPr>
          <w:rFonts w:ascii="Trebuchet MS" w:hAnsi="Trebuchet MS"/>
          <w:b/>
          <w:sz w:val="22"/>
          <w:szCs w:val="22"/>
        </w:rPr>
      </w:pPr>
      <w:r w:rsidRPr="00A22182">
        <w:rPr>
          <w:rFonts w:ascii="Trebuchet MS" w:hAnsi="Trebuchet MS"/>
          <w:b/>
          <w:sz w:val="22"/>
          <w:szCs w:val="22"/>
        </w:rPr>
        <w:t>Operating Expenses</w:t>
      </w:r>
    </w:p>
    <w:p w14:paraId="7ADA0FA1" w14:textId="77777777" w:rsidR="00DA45D2" w:rsidRPr="00A22182" w:rsidRDefault="00DA45D2" w:rsidP="00DA45D2">
      <w:pPr>
        <w:spacing w:line="480" w:lineRule="auto"/>
        <w:ind w:left="360"/>
        <w:jc w:val="both"/>
        <w:rPr>
          <w:rFonts w:ascii="Trebuchet MS" w:hAnsi="Trebuchet MS"/>
          <w:sz w:val="22"/>
        </w:rPr>
      </w:pPr>
    </w:p>
    <w:p w14:paraId="1A967DAA" w14:textId="77777777" w:rsidR="00DA45D2" w:rsidRPr="00A22182" w:rsidRDefault="00DA45D2" w:rsidP="00DA45D2">
      <w:pPr>
        <w:spacing w:line="480" w:lineRule="auto"/>
        <w:jc w:val="both"/>
        <w:rPr>
          <w:rFonts w:ascii="Trebuchet MS" w:hAnsi="Trebuchet MS"/>
          <w:sz w:val="22"/>
        </w:rPr>
      </w:pPr>
      <w:r w:rsidRPr="00A22182">
        <w:rPr>
          <w:rFonts w:ascii="Trebuchet MS" w:hAnsi="Trebuchet MS"/>
          <w:sz w:val="22"/>
        </w:rPr>
        <w:t xml:space="preserve">We analyzed each of the categorized operating expenses for reasonableness and feasibility related to the Projections. The operating expenses in the analysis include salaries and wages, employee benefits, professional fees, purchased services, pharmacy, medical supplies, non-medical supplies, utilities, insurance, rental leases, other direct expenses, system allocation expenses, depreciation and amortization, and interest expenses. Total </w:t>
      </w:r>
      <w:r>
        <w:rPr>
          <w:rFonts w:ascii="Trebuchet MS" w:hAnsi="Trebuchet MS"/>
          <w:sz w:val="22"/>
        </w:rPr>
        <w:t xml:space="preserve">combined </w:t>
      </w:r>
      <w:r w:rsidRPr="00A22182">
        <w:rPr>
          <w:rFonts w:ascii="Trebuchet MS" w:hAnsi="Trebuchet MS"/>
          <w:sz w:val="22"/>
        </w:rPr>
        <w:t xml:space="preserve">expenses within the Projections are projected to grow by </w:t>
      </w:r>
      <w:r>
        <w:rPr>
          <w:rFonts w:ascii="Trebuchet MS" w:hAnsi="Trebuchet MS"/>
          <w:sz w:val="22"/>
        </w:rPr>
        <w:t>16.6</w:t>
      </w:r>
      <w:r w:rsidRPr="00A22182">
        <w:rPr>
          <w:rFonts w:ascii="Trebuchet MS" w:hAnsi="Trebuchet MS"/>
          <w:sz w:val="22"/>
        </w:rPr>
        <w:t xml:space="preserve"> percent and </w:t>
      </w:r>
      <w:r>
        <w:rPr>
          <w:rFonts w:ascii="Trebuchet MS" w:hAnsi="Trebuchet MS"/>
          <w:sz w:val="22"/>
        </w:rPr>
        <w:t>2.7</w:t>
      </w:r>
      <w:r w:rsidRPr="00A22182">
        <w:rPr>
          <w:rFonts w:ascii="Trebuchet MS" w:hAnsi="Trebuchet MS"/>
          <w:sz w:val="22"/>
        </w:rPr>
        <w:t xml:space="preserve"> percent in FY 202</w:t>
      </w:r>
      <w:r>
        <w:rPr>
          <w:rFonts w:ascii="Trebuchet MS" w:hAnsi="Trebuchet MS"/>
          <w:sz w:val="22"/>
        </w:rPr>
        <w:t>4 and FY 2025</w:t>
      </w:r>
      <w:r w:rsidRPr="00A22182">
        <w:rPr>
          <w:rFonts w:ascii="Trebuchet MS" w:hAnsi="Trebuchet MS"/>
          <w:sz w:val="22"/>
        </w:rPr>
        <w:t>, respectively</w:t>
      </w:r>
      <w:r>
        <w:rPr>
          <w:rFonts w:ascii="Trebuchet MS" w:hAnsi="Trebuchet MS"/>
          <w:sz w:val="22"/>
        </w:rPr>
        <w:t>, which is in-line with projected revenue growth</w:t>
      </w:r>
      <w:r w:rsidRPr="00A22182">
        <w:rPr>
          <w:rFonts w:ascii="Trebuchet MS" w:hAnsi="Trebuchet MS"/>
          <w:sz w:val="22"/>
        </w:rPr>
        <w:t xml:space="preserve">. Thereafter, </w:t>
      </w:r>
      <w:r>
        <w:rPr>
          <w:rFonts w:ascii="Trebuchet MS" w:hAnsi="Trebuchet MS"/>
          <w:sz w:val="22"/>
        </w:rPr>
        <w:t>starting in FY 2026</w:t>
      </w:r>
      <w:r w:rsidRPr="00A22182">
        <w:rPr>
          <w:rFonts w:ascii="Trebuchet MS" w:hAnsi="Trebuchet MS"/>
          <w:sz w:val="22"/>
        </w:rPr>
        <w:t xml:space="preserve">, Management held operating expenses </w:t>
      </w:r>
      <w:r>
        <w:rPr>
          <w:rFonts w:ascii="Trebuchet MS" w:hAnsi="Trebuchet MS"/>
          <w:sz w:val="22"/>
        </w:rPr>
        <w:t>relatively flat, assuming nominal</w:t>
      </w:r>
      <w:r w:rsidRPr="00A22182">
        <w:rPr>
          <w:rFonts w:ascii="Trebuchet MS" w:hAnsi="Trebuchet MS"/>
          <w:sz w:val="22"/>
        </w:rPr>
        <w:t xml:space="preserve"> growth </w:t>
      </w:r>
      <w:r>
        <w:rPr>
          <w:rFonts w:ascii="Trebuchet MS" w:hAnsi="Trebuchet MS"/>
          <w:sz w:val="22"/>
        </w:rPr>
        <w:t xml:space="preserve">for </w:t>
      </w:r>
      <w:r w:rsidRPr="00A22182">
        <w:rPr>
          <w:rFonts w:ascii="Trebuchet MS" w:hAnsi="Trebuchet MS"/>
          <w:sz w:val="22"/>
        </w:rPr>
        <w:t>FY 202</w:t>
      </w:r>
      <w:r>
        <w:rPr>
          <w:rFonts w:ascii="Trebuchet MS" w:hAnsi="Trebuchet MS"/>
          <w:sz w:val="22"/>
        </w:rPr>
        <w:t>6</w:t>
      </w:r>
      <w:r w:rsidRPr="00A22182">
        <w:rPr>
          <w:rFonts w:ascii="Trebuchet MS" w:hAnsi="Trebuchet MS"/>
          <w:sz w:val="22"/>
        </w:rPr>
        <w:t xml:space="preserve"> through FY 202</w:t>
      </w:r>
      <w:r>
        <w:rPr>
          <w:rFonts w:ascii="Trebuchet MS" w:hAnsi="Trebuchet MS"/>
          <w:sz w:val="22"/>
        </w:rPr>
        <w:t>9</w:t>
      </w:r>
      <w:r w:rsidRPr="00A22182">
        <w:rPr>
          <w:rFonts w:ascii="Trebuchet MS" w:hAnsi="Trebuchet MS"/>
          <w:sz w:val="22"/>
        </w:rPr>
        <w:t xml:space="preserve">, except for interest expense which </w:t>
      </w:r>
      <w:r>
        <w:rPr>
          <w:rFonts w:ascii="Trebuchet MS" w:hAnsi="Trebuchet MS"/>
          <w:sz w:val="22"/>
        </w:rPr>
        <w:t xml:space="preserve">is </w:t>
      </w:r>
      <w:r w:rsidRPr="00A22182">
        <w:rPr>
          <w:rFonts w:ascii="Trebuchet MS" w:hAnsi="Trebuchet MS"/>
          <w:sz w:val="22"/>
        </w:rPr>
        <w:t xml:space="preserve">projected based on UMMHC’s </w:t>
      </w:r>
      <w:r>
        <w:rPr>
          <w:rFonts w:ascii="Trebuchet MS" w:hAnsi="Trebuchet MS"/>
          <w:sz w:val="22"/>
        </w:rPr>
        <w:t xml:space="preserve">projected level of </w:t>
      </w:r>
      <w:r w:rsidRPr="00A22182">
        <w:rPr>
          <w:rFonts w:ascii="Trebuchet MS" w:hAnsi="Trebuchet MS"/>
          <w:sz w:val="22"/>
        </w:rPr>
        <w:t xml:space="preserve">debt </w:t>
      </w:r>
      <w:r>
        <w:rPr>
          <w:rFonts w:ascii="Trebuchet MS" w:hAnsi="Trebuchet MS"/>
          <w:sz w:val="22"/>
        </w:rPr>
        <w:t xml:space="preserve">and current </w:t>
      </w:r>
      <w:r w:rsidRPr="00A22182">
        <w:rPr>
          <w:rFonts w:ascii="Trebuchet MS" w:hAnsi="Trebuchet MS"/>
          <w:sz w:val="22"/>
        </w:rPr>
        <w:t>terms</w:t>
      </w:r>
      <w:r>
        <w:rPr>
          <w:rFonts w:ascii="Trebuchet MS" w:hAnsi="Trebuchet MS"/>
          <w:sz w:val="22"/>
        </w:rPr>
        <w:t>, depreciation and amortization, and other direct expenses</w:t>
      </w:r>
      <w:r w:rsidRPr="00A22182">
        <w:rPr>
          <w:rFonts w:ascii="Trebuchet MS" w:hAnsi="Trebuchet MS"/>
          <w:sz w:val="22"/>
        </w:rPr>
        <w:t>.</w:t>
      </w:r>
      <w:r>
        <w:rPr>
          <w:rFonts w:ascii="Trebuchet MS" w:hAnsi="Trebuchet MS"/>
          <w:sz w:val="22"/>
        </w:rPr>
        <w:t xml:space="preserve"> Management indicated that the main factors driving the growth in operating expenses </w:t>
      </w:r>
      <w:r>
        <w:rPr>
          <w:rFonts w:ascii="Trebuchet MS" w:hAnsi="Trebuchet MS"/>
          <w:sz w:val="22"/>
        </w:rPr>
        <w:lastRenderedPageBreak/>
        <w:t xml:space="preserve">in the earlier years of the projections are related to increase in salaries and benefits due to a competitive labor market and an increase in pharmaceutical costs. </w:t>
      </w:r>
    </w:p>
    <w:p w14:paraId="1A5FA512" w14:textId="77777777" w:rsidR="00DA45D2" w:rsidRPr="00C8337F" w:rsidRDefault="00DA45D2" w:rsidP="00DA45D2">
      <w:pPr>
        <w:spacing w:line="480" w:lineRule="auto"/>
        <w:jc w:val="both"/>
        <w:rPr>
          <w:rFonts w:ascii="Trebuchet MS" w:hAnsi="Trebuchet MS"/>
          <w:sz w:val="22"/>
        </w:rPr>
      </w:pPr>
    </w:p>
    <w:p w14:paraId="624C73DC" w14:textId="77777777" w:rsidR="00DA45D2" w:rsidRPr="00A22182" w:rsidRDefault="00DA45D2" w:rsidP="00DA45D2">
      <w:pPr>
        <w:spacing w:line="480" w:lineRule="auto"/>
        <w:jc w:val="both"/>
        <w:rPr>
          <w:rFonts w:ascii="Trebuchet MS" w:hAnsi="Trebuchet MS"/>
          <w:sz w:val="22"/>
        </w:rPr>
      </w:pPr>
      <w:r w:rsidRPr="00953674">
        <w:rPr>
          <w:rFonts w:ascii="Trebuchet MS" w:hAnsi="Trebuchet MS"/>
          <w:sz w:val="22"/>
        </w:rPr>
        <w:t xml:space="preserve">The following table indicates the range of growth in FY 2024 through FY 2029 is above the </w:t>
      </w:r>
      <w:r>
        <w:rPr>
          <w:rFonts w:ascii="Trebuchet MS" w:hAnsi="Trebuchet MS"/>
          <w:sz w:val="22"/>
        </w:rPr>
        <w:t>two</w:t>
      </w:r>
      <w:r w:rsidRPr="00953674">
        <w:rPr>
          <w:rFonts w:ascii="Trebuchet MS" w:hAnsi="Trebuchet MS"/>
          <w:sz w:val="22"/>
        </w:rPr>
        <w:t>-year CAGR and slightly above the annual revenue growth rate between FY 2021 and FY 2023. The main drivers of the change in expense growth are operational improvement plan</w:t>
      </w:r>
      <w:r>
        <w:rPr>
          <w:rFonts w:ascii="Trebuchet MS" w:hAnsi="Trebuchet MS"/>
          <w:sz w:val="22"/>
        </w:rPr>
        <w:t xml:space="preserve">s and </w:t>
      </w:r>
      <w:r w:rsidRPr="00953674">
        <w:rPr>
          <w:rFonts w:ascii="Trebuchet MS" w:hAnsi="Trebuchet MS"/>
          <w:sz w:val="22"/>
        </w:rPr>
        <w:t>transformation initiatives</w:t>
      </w:r>
      <w:r>
        <w:rPr>
          <w:rFonts w:ascii="Trebuchet MS" w:hAnsi="Trebuchet MS"/>
          <w:sz w:val="22"/>
        </w:rPr>
        <w:t xml:space="preserve"> which c</w:t>
      </w:r>
      <w:r w:rsidRPr="00953674">
        <w:rPr>
          <w:rFonts w:ascii="Trebuchet MS" w:hAnsi="Trebuchet MS"/>
          <w:sz w:val="22"/>
        </w:rPr>
        <w:t>ollectively, are expected to enable UMMHC to operate more efficient</w:t>
      </w:r>
      <w:r>
        <w:rPr>
          <w:rFonts w:ascii="Trebuchet MS" w:hAnsi="Trebuchet MS"/>
          <w:sz w:val="22"/>
        </w:rPr>
        <w:t>ly</w:t>
      </w:r>
      <w:r w:rsidRPr="00953674">
        <w:rPr>
          <w:rFonts w:ascii="Trebuchet MS" w:hAnsi="Trebuchet MS"/>
          <w:sz w:val="22"/>
        </w:rPr>
        <w:t xml:space="preserve"> and cut down on administrative costs. </w:t>
      </w:r>
      <w:r>
        <w:rPr>
          <w:rFonts w:ascii="Trebuchet MS" w:hAnsi="Trebuchet MS"/>
          <w:sz w:val="22"/>
        </w:rPr>
        <w:t>This includes an expected reduction in</w:t>
      </w:r>
      <w:r w:rsidRPr="00953674">
        <w:rPr>
          <w:rFonts w:ascii="Trebuchet MS" w:hAnsi="Trebuchet MS"/>
          <w:sz w:val="22"/>
        </w:rPr>
        <w:t xml:space="preserve"> consulting and other professional services expenses</w:t>
      </w:r>
      <w:r>
        <w:rPr>
          <w:rFonts w:ascii="Trebuchet MS" w:hAnsi="Trebuchet MS"/>
          <w:sz w:val="22"/>
        </w:rPr>
        <w:t xml:space="preserve">, a decrease in contractor rates, a focus to replace travel nurses with full time employees, and lower IT costs resulting from UMMHC’s transition to a new enterprise resource planning (“ERP”) system and Harrington to UMMHC’s electronic medical record (“EMR”) system. </w:t>
      </w:r>
    </w:p>
    <w:p w14:paraId="2A05B456" w14:textId="77777777" w:rsidR="00DA45D2" w:rsidRPr="00A22182" w:rsidRDefault="00DA45D2" w:rsidP="00DA45D2">
      <w:pPr>
        <w:ind w:left="720"/>
        <w:jc w:val="both"/>
        <w:rPr>
          <w:rFonts w:ascii="Trebuchet MS" w:hAnsi="Trebuchet MS"/>
          <w:sz w:val="22"/>
          <w:u w:val="single"/>
        </w:rPr>
      </w:pPr>
    </w:p>
    <w:p w14:paraId="37E412EC" w14:textId="77777777" w:rsidR="00DA45D2" w:rsidRDefault="00DA45D2" w:rsidP="00DA45D2">
      <w:pPr>
        <w:spacing w:line="480" w:lineRule="auto"/>
        <w:jc w:val="both"/>
        <w:rPr>
          <w:rFonts w:ascii="Trebuchet MS" w:hAnsi="Trebuchet MS"/>
          <w:sz w:val="22"/>
        </w:rPr>
      </w:pPr>
      <w:r w:rsidRPr="00A22182">
        <w:rPr>
          <w:rFonts w:ascii="Trebuchet MS" w:hAnsi="Trebuchet MS"/>
          <w:sz w:val="22"/>
        </w:rPr>
        <w:tab/>
      </w:r>
    </w:p>
    <w:tbl>
      <w:tblPr>
        <w:tblW w:w="8611" w:type="dxa"/>
        <w:tblInd w:w="720" w:type="dxa"/>
        <w:tblBorders>
          <w:bottom w:val="single" w:sz="4" w:space="0" w:color="ED7D31" w:themeColor="accent2"/>
          <w:insideH w:val="single" w:sz="4" w:space="0" w:color="E2EFD9" w:themeColor="accent6" w:themeTint="33"/>
        </w:tblBorders>
        <w:tblCellMar>
          <w:top w:w="14" w:type="dxa"/>
          <w:left w:w="14" w:type="dxa"/>
          <w:bottom w:w="14" w:type="dxa"/>
          <w:right w:w="14" w:type="dxa"/>
        </w:tblCellMar>
        <w:tblLook w:val="04A0" w:firstRow="1" w:lastRow="0" w:firstColumn="1" w:lastColumn="0" w:noHBand="0" w:noVBand="1"/>
      </w:tblPr>
      <w:tblGrid>
        <w:gridCol w:w="1222"/>
        <w:gridCol w:w="229"/>
        <w:gridCol w:w="1790"/>
        <w:gridCol w:w="1790"/>
        <w:gridCol w:w="1790"/>
        <w:gridCol w:w="1790"/>
      </w:tblGrid>
      <w:tr w:rsidR="00DA45D2" w:rsidRPr="00A22182" w14:paraId="25BD4EC0" w14:textId="77777777" w:rsidTr="007E104E">
        <w:trPr>
          <w:cantSplit/>
          <w:trHeight w:val="288"/>
        </w:trPr>
        <w:tc>
          <w:tcPr>
            <w:tcW w:w="1222" w:type="dxa"/>
            <w:tcBorders>
              <w:bottom w:val="single" w:sz="4" w:space="0" w:color="E2EFD9" w:themeColor="accent6" w:themeTint="33"/>
            </w:tcBorders>
            <w:shd w:val="clear" w:color="auto" w:fill="005D7E"/>
            <w:vAlign w:val="center"/>
          </w:tcPr>
          <w:p w14:paraId="43B6ACBE" w14:textId="77777777" w:rsidR="00DA45D2" w:rsidRPr="00A22182" w:rsidRDefault="00DA45D2" w:rsidP="00E04102">
            <w:pPr>
              <w:pStyle w:val="VBABODY"/>
              <w:keepNext/>
              <w:spacing w:after="0" w:line="240" w:lineRule="auto"/>
              <w:jc w:val="center"/>
              <w:rPr>
                <w:color w:val="FFFFFF" w:themeColor="background1"/>
                <w:sz w:val="22"/>
                <w:szCs w:val="22"/>
              </w:rPr>
            </w:pPr>
          </w:p>
        </w:tc>
        <w:tc>
          <w:tcPr>
            <w:tcW w:w="229" w:type="dxa"/>
            <w:tcBorders>
              <w:bottom w:val="single" w:sz="4" w:space="0" w:color="E2EFD9" w:themeColor="accent6" w:themeTint="33"/>
            </w:tcBorders>
            <w:shd w:val="clear" w:color="auto" w:fill="005D7E"/>
            <w:vAlign w:val="center"/>
          </w:tcPr>
          <w:p w14:paraId="520DDA07" w14:textId="77777777" w:rsidR="00DA45D2" w:rsidRPr="00A22182" w:rsidRDefault="00DA45D2" w:rsidP="00E04102">
            <w:pPr>
              <w:pStyle w:val="VBABODY"/>
              <w:keepNext/>
              <w:spacing w:after="0" w:line="240" w:lineRule="auto"/>
              <w:jc w:val="center"/>
              <w:rPr>
                <w:color w:val="FFFFFF" w:themeColor="background1"/>
                <w:sz w:val="22"/>
                <w:szCs w:val="22"/>
              </w:rPr>
            </w:pPr>
          </w:p>
        </w:tc>
        <w:tc>
          <w:tcPr>
            <w:tcW w:w="1790" w:type="dxa"/>
            <w:tcBorders>
              <w:bottom w:val="single" w:sz="4" w:space="0" w:color="E2EFD9" w:themeColor="accent6" w:themeTint="33"/>
            </w:tcBorders>
            <w:shd w:val="clear" w:color="auto" w:fill="005D7E"/>
          </w:tcPr>
          <w:p w14:paraId="787212AF" w14:textId="77777777" w:rsidR="00DA45D2" w:rsidRDefault="00DA45D2" w:rsidP="00E04102">
            <w:pPr>
              <w:pStyle w:val="VBABODY"/>
              <w:keepNext/>
              <w:spacing w:after="0" w:line="240" w:lineRule="auto"/>
              <w:jc w:val="center"/>
              <w:rPr>
                <w:color w:val="FFFFFF" w:themeColor="background1"/>
                <w:sz w:val="22"/>
                <w:szCs w:val="22"/>
              </w:rPr>
            </w:pPr>
            <w:r>
              <w:rPr>
                <w:color w:val="FFFFFF" w:themeColor="background1"/>
                <w:sz w:val="22"/>
                <w:szCs w:val="22"/>
              </w:rPr>
              <w:t>Annual Growth Range (2021 – 2023)</w:t>
            </w:r>
          </w:p>
        </w:tc>
        <w:tc>
          <w:tcPr>
            <w:tcW w:w="1790" w:type="dxa"/>
            <w:tcBorders>
              <w:bottom w:val="single" w:sz="4" w:space="0" w:color="E2EFD9" w:themeColor="accent6" w:themeTint="33"/>
            </w:tcBorders>
            <w:shd w:val="clear" w:color="auto" w:fill="005D7E"/>
            <w:vAlign w:val="center"/>
          </w:tcPr>
          <w:p w14:paraId="4B43C31A" w14:textId="77777777" w:rsidR="00DA45D2" w:rsidRPr="00A22182" w:rsidRDefault="00DA45D2" w:rsidP="00E04102">
            <w:pPr>
              <w:tabs>
                <w:tab w:val="num" w:pos="1260"/>
              </w:tabs>
              <w:jc w:val="center"/>
              <w:rPr>
                <w:rFonts w:ascii="Trebuchet MS" w:hAnsi="Trebuchet MS"/>
                <w:color w:val="FFFFFF" w:themeColor="background1"/>
                <w:sz w:val="22"/>
              </w:rPr>
            </w:pPr>
            <w:r w:rsidRPr="00A22182">
              <w:rPr>
                <w:rFonts w:ascii="Trebuchet MS" w:hAnsi="Trebuchet MS"/>
                <w:color w:val="FFFFFF" w:themeColor="background1"/>
                <w:sz w:val="22"/>
              </w:rPr>
              <w:t xml:space="preserve">CAGR </w:t>
            </w:r>
          </w:p>
          <w:p w14:paraId="01A09C48" w14:textId="77777777" w:rsidR="00DA45D2" w:rsidRDefault="00DA45D2" w:rsidP="00E04102">
            <w:pPr>
              <w:pStyle w:val="VBABODY"/>
              <w:keepNext/>
              <w:spacing w:after="0" w:line="240" w:lineRule="auto"/>
              <w:jc w:val="center"/>
              <w:rPr>
                <w:color w:val="FFFFFF" w:themeColor="background1"/>
                <w:sz w:val="22"/>
                <w:szCs w:val="22"/>
              </w:rPr>
            </w:pPr>
            <w:r w:rsidRPr="00A22182">
              <w:rPr>
                <w:color w:val="FFFFFF" w:themeColor="background1"/>
                <w:sz w:val="22"/>
                <w:szCs w:val="22"/>
              </w:rPr>
              <w:t>(20</w:t>
            </w:r>
            <w:r>
              <w:rPr>
                <w:color w:val="FFFFFF" w:themeColor="background1"/>
                <w:sz w:val="22"/>
                <w:szCs w:val="22"/>
              </w:rPr>
              <w:t>2</w:t>
            </w:r>
            <w:r w:rsidRPr="00A22182">
              <w:rPr>
                <w:color w:val="FFFFFF" w:themeColor="background1"/>
                <w:sz w:val="22"/>
                <w:szCs w:val="22"/>
              </w:rPr>
              <w:t>1 – 202</w:t>
            </w:r>
            <w:r>
              <w:rPr>
                <w:color w:val="FFFFFF" w:themeColor="background1"/>
                <w:sz w:val="22"/>
                <w:szCs w:val="22"/>
              </w:rPr>
              <w:t>3</w:t>
            </w:r>
            <w:r w:rsidRPr="00A22182">
              <w:rPr>
                <w:color w:val="FFFFFF" w:themeColor="background1"/>
                <w:sz w:val="22"/>
                <w:szCs w:val="22"/>
              </w:rPr>
              <w:t>)</w:t>
            </w:r>
          </w:p>
        </w:tc>
        <w:tc>
          <w:tcPr>
            <w:tcW w:w="1790" w:type="dxa"/>
            <w:tcBorders>
              <w:bottom w:val="single" w:sz="4" w:space="0" w:color="E2EFD9" w:themeColor="accent6" w:themeTint="33"/>
            </w:tcBorders>
            <w:shd w:val="clear" w:color="auto" w:fill="005D7E"/>
          </w:tcPr>
          <w:p w14:paraId="099835D9" w14:textId="77777777" w:rsidR="00DA45D2" w:rsidRDefault="00DA45D2" w:rsidP="00E04102">
            <w:pPr>
              <w:pStyle w:val="VBABODY"/>
              <w:keepNext/>
              <w:spacing w:after="0" w:line="240" w:lineRule="auto"/>
              <w:jc w:val="center"/>
              <w:rPr>
                <w:color w:val="FFFFFF" w:themeColor="background1"/>
                <w:sz w:val="22"/>
                <w:szCs w:val="22"/>
              </w:rPr>
            </w:pPr>
            <w:r>
              <w:rPr>
                <w:color w:val="FFFFFF" w:themeColor="background1"/>
                <w:sz w:val="22"/>
                <w:szCs w:val="22"/>
              </w:rPr>
              <w:t>2024 Growth</w:t>
            </w:r>
          </w:p>
        </w:tc>
        <w:tc>
          <w:tcPr>
            <w:tcW w:w="1790" w:type="dxa"/>
            <w:tcBorders>
              <w:bottom w:val="single" w:sz="4" w:space="0" w:color="E2EFD9" w:themeColor="accent6" w:themeTint="33"/>
            </w:tcBorders>
            <w:shd w:val="clear" w:color="auto" w:fill="005D7E"/>
            <w:vAlign w:val="center"/>
          </w:tcPr>
          <w:p w14:paraId="2F568872" w14:textId="77777777" w:rsidR="00DA45D2" w:rsidRDefault="00DA45D2" w:rsidP="00E04102">
            <w:pPr>
              <w:pStyle w:val="VBABODY"/>
              <w:keepNext/>
              <w:spacing w:after="0" w:line="240" w:lineRule="auto"/>
              <w:jc w:val="center"/>
              <w:rPr>
                <w:color w:val="FFFFFF" w:themeColor="background1"/>
                <w:sz w:val="22"/>
                <w:szCs w:val="22"/>
              </w:rPr>
            </w:pPr>
            <w:r w:rsidRPr="00A22182">
              <w:rPr>
                <w:color w:val="FFFFFF" w:themeColor="background1"/>
                <w:sz w:val="22"/>
                <w:szCs w:val="22"/>
              </w:rPr>
              <w:t>Annual Growth Range (20</w:t>
            </w:r>
            <w:r>
              <w:rPr>
                <w:color w:val="FFFFFF" w:themeColor="background1"/>
                <w:sz w:val="22"/>
                <w:szCs w:val="22"/>
              </w:rPr>
              <w:t>25-2029</w:t>
            </w:r>
            <w:r w:rsidRPr="00A22182">
              <w:rPr>
                <w:color w:val="FFFFFF" w:themeColor="background1"/>
                <w:sz w:val="22"/>
                <w:szCs w:val="22"/>
              </w:rPr>
              <w:t>)</w:t>
            </w:r>
          </w:p>
        </w:tc>
      </w:tr>
      <w:tr w:rsidR="00DA45D2" w:rsidRPr="00F462A8" w14:paraId="5F21CE48" w14:textId="77777777" w:rsidTr="00E04102">
        <w:trPr>
          <w:cantSplit/>
          <w:trHeight w:val="56"/>
        </w:trPr>
        <w:tc>
          <w:tcPr>
            <w:tcW w:w="1222" w:type="dxa"/>
            <w:tcBorders>
              <w:top w:val="single" w:sz="4" w:space="0" w:color="E2EFD9" w:themeColor="accent6" w:themeTint="33"/>
              <w:bottom w:val="single" w:sz="4" w:space="0" w:color="00B0F0"/>
            </w:tcBorders>
            <w:vAlign w:val="center"/>
          </w:tcPr>
          <w:p w14:paraId="6A82E8F6" w14:textId="77777777" w:rsidR="00DA45D2" w:rsidRPr="00F462A8" w:rsidRDefault="00DA45D2" w:rsidP="00E04102">
            <w:pPr>
              <w:keepNext/>
              <w:jc w:val="center"/>
              <w:rPr>
                <w:rFonts w:ascii="Trebuchet MS" w:hAnsi="Trebuchet MS" w:cs="Arial"/>
                <w:kern w:val="24"/>
                <w:sz w:val="22"/>
              </w:rPr>
            </w:pPr>
            <w:r w:rsidRPr="00F462A8">
              <w:rPr>
                <w:rFonts w:ascii="Trebuchet MS" w:hAnsi="Trebuchet MS"/>
                <w:sz w:val="22"/>
              </w:rPr>
              <w:t>Expense Projection</w:t>
            </w:r>
          </w:p>
        </w:tc>
        <w:tc>
          <w:tcPr>
            <w:tcW w:w="229" w:type="dxa"/>
            <w:tcBorders>
              <w:top w:val="single" w:sz="4" w:space="0" w:color="E2EFD9" w:themeColor="accent6" w:themeTint="33"/>
              <w:bottom w:val="single" w:sz="4" w:space="0" w:color="00B0F0"/>
            </w:tcBorders>
          </w:tcPr>
          <w:p w14:paraId="3B301952" w14:textId="77777777" w:rsidR="00DA45D2" w:rsidRPr="00F462A8" w:rsidRDefault="00DA45D2" w:rsidP="00E04102">
            <w:pPr>
              <w:keepNext/>
              <w:jc w:val="center"/>
              <w:rPr>
                <w:rFonts w:ascii="Trebuchet MS" w:hAnsi="Trebuchet MS" w:cs="Arial"/>
                <w:kern w:val="24"/>
                <w:sz w:val="22"/>
              </w:rPr>
            </w:pPr>
          </w:p>
        </w:tc>
        <w:tc>
          <w:tcPr>
            <w:tcW w:w="1790" w:type="dxa"/>
            <w:tcBorders>
              <w:top w:val="single" w:sz="4" w:space="0" w:color="E2EFD9" w:themeColor="accent6" w:themeTint="33"/>
              <w:bottom w:val="single" w:sz="4" w:space="0" w:color="00B0F0"/>
            </w:tcBorders>
          </w:tcPr>
          <w:p w14:paraId="3F4828D2" w14:textId="77777777" w:rsidR="00DA45D2" w:rsidRPr="00F462A8" w:rsidRDefault="00DA45D2" w:rsidP="00E04102">
            <w:pPr>
              <w:keepNext/>
              <w:jc w:val="center"/>
              <w:rPr>
                <w:rFonts w:ascii="Trebuchet MS" w:hAnsi="Trebuchet MS"/>
                <w:sz w:val="22"/>
              </w:rPr>
            </w:pPr>
            <w:r w:rsidRPr="00F462A8">
              <w:rPr>
                <w:rFonts w:ascii="Trebuchet MS" w:hAnsi="Trebuchet MS"/>
                <w:sz w:val="22"/>
              </w:rPr>
              <w:t>2.6% - 15.0%</w:t>
            </w:r>
          </w:p>
        </w:tc>
        <w:tc>
          <w:tcPr>
            <w:tcW w:w="1790" w:type="dxa"/>
            <w:tcBorders>
              <w:top w:val="single" w:sz="4" w:space="0" w:color="E2EFD9" w:themeColor="accent6" w:themeTint="33"/>
              <w:bottom w:val="single" w:sz="4" w:space="0" w:color="00B0F0"/>
            </w:tcBorders>
          </w:tcPr>
          <w:p w14:paraId="4E52C573" w14:textId="77777777" w:rsidR="00DA45D2" w:rsidRPr="00F462A8" w:rsidRDefault="00DA45D2" w:rsidP="00E04102">
            <w:pPr>
              <w:keepNext/>
              <w:jc w:val="center"/>
              <w:rPr>
                <w:rFonts w:ascii="Trebuchet MS" w:hAnsi="Trebuchet MS"/>
                <w:sz w:val="22"/>
              </w:rPr>
            </w:pPr>
            <w:r w:rsidRPr="00F462A8">
              <w:rPr>
                <w:rFonts w:ascii="Trebuchet MS" w:hAnsi="Trebuchet MS"/>
                <w:sz w:val="22"/>
              </w:rPr>
              <w:t>8.6%</w:t>
            </w:r>
          </w:p>
        </w:tc>
        <w:tc>
          <w:tcPr>
            <w:tcW w:w="1790" w:type="dxa"/>
            <w:tcBorders>
              <w:top w:val="single" w:sz="4" w:space="0" w:color="E2EFD9" w:themeColor="accent6" w:themeTint="33"/>
              <w:bottom w:val="single" w:sz="4" w:space="0" w:color="00B0F0"/>
            </w:tcBorders>
          </w:tcPr>
          <w:p w14:paraId="586D995A" w14:textId="77777777" w:rsidR="00DA45D2" w:rsidRPr="00F462A8" w:rsidRDefault="00DA45D2" w:rsidP="00E04102">
            <w:pPr>
              <w:keepNext/>
              <w:jc w:val="center"/>
              <w:rPr>
                <w:rFonts w:ascii="Trebuchet MS" w:hAnsi="Trebuchet MS"/>
                <w:sz w:val="22"/>
              </w:rPr>
            </w:pPr>
            <w:r w:rsidRPr="00F462A8">
              <w:rPr>
                <w:rFonts w:ascii="Trebuchet MS" w:hAnsi="Trebuchet MS"/>
                <w:sz w:val="22"/>
              </w:rPr>
              <w:t>16.6%</w:t>
            </w:r>
          </w:p>
        </w:tc>
        <w:tc>
          <w:tcPr>
            <w:tcW w:w="1790" w:type="dxa"/>
            <w:tcBorders>
              <w:top w:val="single" w:sz="4" w:space="0" w:color="E2EFD9" w:themeColor="accent6" w:themeTint="33"/>
              <w:bottom w:val="single" w:sz="4" w:space="0" w:color="00B0F0"/>
            </w:tcBorders>
          </w:tcPr>
          <w:p w14:paraId="7FA103F5" w14:textId="77777777" w:rsidR="00DA45D2" w:rsidRPr="00F462A8" w:rsidRDefault="00DA45D2" w:rsidP="00E04102">
            <w:pPr>
              <w:keepNext/>
              <w:jc w:val="center"/>
              <w:rPr>
                <w:rFonts w:ascii="Trebuchet MS" w:hAnsi="Trebuchet MS"/>
                <w:sz w:val="22"/>
              </w:rPr>
            </w:pPr>
            <w:r w:rsidRPr="00F462A8">
              <w:rPr>
                <w:rFonts w:ascii="Trebuchet MS" w:hAnsi="Trebuchet MS"/>
                <w:sz w:val="22"/>
              </w:rPr>
              <w:t>0.0% - 2.7%</w:t>
            </w:r>
          </w:p>
        </w:tc>
      </w:tr>
    </w:tbl>
    <w:p w14:paraId="2EF378CC" w14:textId="77777777" w:rsidR="00DA45D2" w:rsidRPr="00F462A8" w:rsidRDefault="00DA45D2" w:rsidP="00DA45D2">
      <w:pPr>
        <w:spacing w:line="480" w:lineRule="auto"/>
        <w:jc w:val="both"/>
        <w:rPr>
          <w:rFonts w:ascii="Trebuchet MS" w:hAnsi="Trebuchet MS"/>
          <w:sz w:val="22"/>
        </w:rPr>
      </w:pPr>
    </w:p>
    <w:p w14:paraId="4D6DFF61" w14:textId="77777777" w:rsidR="00DA45D2" w:rsidRPr="00A22182" w:rsidRDefault="00DA45D2" w:rsidP="00DA45D2">
      <w:pPr>
        <w:tabs>
          <w:tab w:val="num" w:pos="1260"/>
        </w:tabs>
        <w:spacing w:line="480" w:lineRule="auto"/>
        <w:jc w:val="both"/>
        <w:rPr>
          <w:rFonts w:ascii="Trebuchet MS" w:hAnsi="Trebuchet MS"/>
          <w:sz w:val="22"/>
        </w:rPr>
      </w:pPr>
      <w:r w:rsidRPr="00F462A8">
        <w:rPr>
          <w:rFonts w:ascii="Trebuchet MS" w:hAnsi="Trebuchet MS"/>
          <w:sz w:val="22"/>
        </w:rPr>
        <w:t xml:space="preserve">Based upon the foregoing, it is our opinion that the operating expenses within the Projections reflect reasonable estimation of future expenses of the Applicant. We note that the projected total expenses for UMMHC as a percentage of total revenue range from 99.8 percent to 100.3 </w:t>
      </w:r>
      <w:r>
        <w:rPr>
          <w:rFonts w:ascii="Trebuchet MS" w:hAnsi="Trebuchet MS"/>
          <w:sz w:val="22"/>
        </w:rPr>
        <w:t xml:space="preserve">percent from FY 2024 to FY 2029. We further note that this level of total expenses is consistent with the combined historical total expenses as a percentage of total revenue which ranged from 96.1 percent to 101.1 percent from FY 2021 to FY 2023. </w:t>
      </w:r>
    </w:p>
    <w:p w14:paraId="0FEAFAD7" w14:textId="77777777" w:rsidR="00DA45D2" w:rsidRDefault="00DA45D2" w:rsidP="00DA45D2">
      <w:pPr>
        <w:tabs>
          <w:tab w:val="num" w:pos="1260"/>
        </w:tabs>
        <w:spacing w:line="480" w:lineRule="auto"/>
        <w:jc w:val="both"/>
        <w:rPr>
          <w:rFonts w:ascii="Trebuchet MS" w:hAnsi="Trebuchet MS"/>
          <w:sz w:val="22"/>
        </w:rPr>
      </w:pPr>
    </w:p>
    <w:p w14:paraId="44A5D256" w14:textId="77777777" w:rsidR="00DA45D2" w:rsidRPr="00A22182" w:rsidRDefault="00DA45D2" w:rsidP="00DA45D2">
      <w:pPr>
        <w:tabs>
          <w:tab w:val="num" w:pos="1260"/>
        </w:tabs>
        <w:spacing w:line="480" w:lineRule="auto"/>
        <w:jc w:val="both"/>
        <w:rPr>
          <w:rFonts w:ascii="Trebuchet MS" w:hAnsi="Trebuchet MS"/>
          <w:sz w:val="22"/>
        </w:rPr>
      </w:pPr>
    </w:p>
    <w:p w14:paraId="28830AFB" w14:textId="77777777" w:rsidR="00DA45D2" w:rsidRPr="00A22182" w:rsidRDefault="00DA45D2" w:rsidP="00DA45D2">
      <w:pPr>
        <w:pStyle w:val="ListParagraph"/>
        <w:numPr>
          <w:ilvl w:val="0"/>
          <w:numId w:val="3"/>
        </w:numPr>
        <w:tabs>
          <w:tab w:val="num" w:pos="1260"/>
        </w:tabs>
        <w:spacing w:line="480" w:lineRule="auto"/>
        <w:jc w:val="both"/>
        <w:rPr>
          <w:rFonts w:ascii="Trebuchet MS" w:hAnsi="Trebuchet MS"/>
          <w:b/>
          <w:sz w:val="22"/>
          <w:szCs w:val="22"/>
        </w:rPr>
      </w:pPr>
      <w:r w:rsidRPr="00A22182">
        <w:rPr>
          <w:rFonts w:ascii="Trebuchet MS" w:hAnsi="Trebuchet MS"/>
          <w:b/>
          <w:sz w:val="22"/>
          <w:szCs w:val="22"/>
        </w:rPr>
        <w:lastRenderedPageBreak/>
        <w:t xml:space="preserve">Capital Expenditures </w:t>
      </w:r>
    </w:p>
    <w:p w14:paraId="4648FB93" w14:textId="77777777" w:rsidR="00DA45D2" w:rsidRPr="00A22182" w:rsidRDefault="00DA45D2" w:rsidP="00DA45D2">
      <w:pPr>
        <w:pStyle w:val="ListParagraph"/>
        <w:spacing w:line="480" w:lineRule="auto"/>
        <w:ind w:left="360"/>
        <w:jc w:val="both"/>
        <w:rPr>
          <w:rFonts w:ascii="Trebuchet MS" w:hAnsi="Trebuchet MS"/>
          <w:b/>
          <w:sz w:val="22"/>
          <w:szCs w:val="22"/>
          <w:highlight w:val="yellow"/>
        </w:rPr>
      </w:pPr>
    </w:p>
    <w:p w14:paraId="78E81FAC" w14:textId="77777777" w:rsidR="00DA45D2" w:rsidRPr="00A22182" w:rsidRDefault="00DA45D2" w:rsidP="00DA45D2">
      <w:pPr>
        <w:pStyle w:val="ListParagraph"/>
        <w:tabs>
          <w:tab w:val="num" w:pos="1260"/>
        </w:tabs>
        <w:spacing w:line="480" w:lineRule="auto"/>
        <w:ind w:left="0"/>
        <w:jc w:val="both"/>
        <w:rPr>
          <w:rFonts w:ascii="Trebuchet MS" w:hAnsi="Trebuchet MS"/>
          <w:sz w:val="22"/>
          <w:szCs w:val="22"/>
        </w:rPr>
      </w:pPr>
      <w:r w:rsidRPr="00A22182">
        <w:rPr>
          <w:rFonts w:ascii="Trebuchet MS" w:hAnsi="Trebuchet MS"/>
          <w:sz w:val="22"/>
          <w:szCs w:val="22"/>
        </w:rPr>
        <w:t xml:space="preserve">Management indicated there is no significant investment or </w:t>
      </w:r>
      <w:r>
        <w:rPr>
          <w:rFonts w:ascii="Trebuchet MS" w:hAnsi="Trebuchet MS"/>
          <w:sz w:val="22"/>
          <w:szCs w:val="22"/>
        </w:rPr>
        <w:t xml:space="preserve">growth </w:t>
      </w:r>
      <w:r w:rsidRPr="00A22182">
        <w:rPr>
          <w:rFonts w:ascii="Trebuchet MS" w:hAnsi="Trebuchet MS"/>
          <w:sz w:val="22"/>
          <w:szCs w:val="22"/>
        </w:rPr>
        <w:t xml:space="preserve">capital expenditures in the </w:t>
      </w:r>
      <w:r>
        <w:rPr>
          <w:rFonts w:ascii="Trebuchet MS" w:hAnsi="Trebuchet MS"/>
          <w:sz w:val="22"/>
          <w:szCs w:val="22"/>
        </w:rPr>
        <w:t>Projections</w:t>
      </w:r>
      <w:r w:rsidRPr="00A22182">
        <w:rPr>
          <w:rFonts w:ascii="Trebuchet MS" w:hAnsi="Trebuchet MS"/>
          <w:sz w:val="22"/>
          <w:szCs w:val="22"/>
        </w:rPr>
        <w:t xml:space="preserve">, except </w:t>
      </w:r>
      <w:r>
        <w:rPr>
          <w:rFonts w:ascii="Trebuchet MS" w:hAnsi="Trebuchet MS"/>
          <w:sz w:val="22"/>
          <w:szCs w:val="22"/>
        </w:rPr>
        <w:t>the plan to transition MRMC to EPIC and workday which is expected to require a total capital expenditure of approximately $55.0 million from FY 2025 to FY 2026</w:t>
      </w:r>
      <w:r w:rsidRPr="00A22182">
        <w:rPr>
          <w:rFonts w:ascii="Trebuchet MS" w:hAnsi="Trebuchet MS"/>
          <w:sz w:val="22"/>
          <w:szCs w:val="22"/>
        </w:rPr>
        <w:t xml:space="preserve">. Our understanding is the </w:t>
      </w:r>
      <w:r>
        <w:rPr>
          <w:rFonts w:ascii="Trebuchet MS" w:hAnsi="Trebuchet MS"/>
          <w:sz w:val="22"/>
          <w:szCs w:val="22"/>
        </w:rPr>
        <w:t xml:space="preserve">forecasted </w:t>
      </w:r>
      <w:r w:rsidRPr="00A22182">
        <w:rPr>
          <w:rFonts w:ascii="Trebuchet MS" w:hAnsi="Trebuchet MS"/>
          <w:sz w:val="22"/>
          <w:szCs w:val="22"/>
        </w:rPr>
        <w:t>capital expenditures budget was approved by UMMHC’s finance committee</w:t>
      </w:r>
      <w:r>
        <w:rPr>
          <w:rFonts w:ascii="Trebuchet MS" w:hAnsi="Trebuchet MS"/>
          <w:sz w:val="22"/>
          <w:szCs w:val="22"/>
        </w:rPr>
        <w:t xml:space="preserve"> and that the Company plans to fund the capital expenditure through their current operations and unrestricted fundings</w:t>
      </w:r>
      <w:r w:rsidRPr="00A22182">
        <w:rPr>
          <w:rFonts w:ascii="Trebuchet MS" w:hAnsi="Trebuchet MS"/>
          <w:sz w:val="22"/>
          <w:szCs w:val="22"/>
        </w:rPr>
        <w:t>. For FY 202</w:t>
      </w:r>
      <w:r>
        <w:rPr>
          <w:rFonts w:ascii="Trebuchet MS" w:hAnsi="Trebuchet MS"/>
          <w:sz w:val="22"/>
          <w:szCs w:val="22"/>
        </w:rPr>
        <w:t>7</w:t>
      </w:r>
      <w:r w:rsidRPr="00A22182">
        <w:rPr>
          <w:rFonts w:ascii="Trebuchet MS" w:hAnsi="Trebuchet MS"/>
          <w:sz w:val="22"/>
          <w:szCs w:val="22"/>
        </w:rPr>
        <w:t xml:space="preserve"> through FY 202</w:t>
      </w:r>
      <w:r>
        <w:rPr>
          <w:rFonts w:ascii="Trebuchet MS" w:hAnsi="Trebuchet MS"/>
          <w:sz w:val="22"/>
          <w:szCs w:val="22"/>
        </w:rPr>
        <w:t>9</w:t>
      </w:r>
      <w:r w:rsidRPr="00A22182">
        <w:rPr>
          <w:rFonts w:ascii="Trebuchet MS" w:hAnsi="Trebuchet MS"/>
          <w:sz w:val="22"/>
          <w:szCs w:val="22"/>
        </w:rPr>
        <w:t>, the capital expenditures were projected to be consistent with the forecasted depreciation and amortization.</w:t>
      </w:r>
      <w:r>
        <w:rPr>
          <w:rFonts w:ascii="Trebuchet MS" w:hAnsi="Trebuchet MS"/>
          <w:sz w:val="22"/>
          <w:szCs w:val="22"/>
        </w:rPr>
        <w:t xml:space="preserve"> </w:t>
      </w:r>
      <w:r w:rsidRPr="00A22182">
        <w:rPr>
          <w:rFonts w:ascii="Trebuchet MS" w:hAnsi="Trebuchet MS"/>
          <w:sz w:val="22"/>
          <w:szCs w:val="22"/>
        </w:rPr>
        <w:t>Based upon the foregoing, it is our opinion that the capital expenditures projected by Management reflect reasonable estimation of future capital outlay of UMMHC.</w:t>
      </w:r>
    </w:p>
    <w:p w14:paraId="7C14118D" w14:textId="77777777" w:rsidR="00DA45D2" w:rsidRPr="00A22182" w:rsidRDefault="00DA45D2" w:rsidP="00DA45D2">
      <w:pPr>
        <w:tabs>
          <w:tab w:val="num" w:pos="1260"/>
        </w:tabs>
        <w:spacing w:line="480" w:lineRule="auto"/>
        <w:jc w:val="both"/>
        <w:rPr>
          <w:rFonts w:ascii="Trebuchet MS" w:hAnsi="Trebuchet MS"/>
          <w:sz w:val="22"/>
        </w:rPr>
      </w:pPr>
    </w:p>
    <w:p w14:paraId="28F24908" w14:textId="77777777" w:rsidR="00DA45D2" w:rsidRPr="00A22182" w:rsidRDefault="00DA45D2" w:rsidP="00DA45D2">
      <w:pPr>
        <w:pStyle w:val="Heading1"/>
        <w:keepNext w:val="0"/>
        <w:numPr>
          <w:ilvl w:val="0"/>
          <w:numId w:val="1"/>
        </w:numPr>
        <w:tabs>
          <w:tab w:val="left" w:pos="144"/>
          <w:tab w:val="num" w:pos="360"/>
          <w:tab w:val="left" w:pos="1224"/>
          <w:tab w:val="left" w:pos="1674"/>
          <w:tab w:val="left" w:pos="5364"/>
          <w:tab w:val="left" w:pos="5994"/>
          <w:tab w:val="left" w:pos="8244"/>
        </w:tabs>
        <w:spacing w:before="0" w:after="0" w:line="480" w:lineRule="auto"/>
        <w:ind w:left="0" w:hanging="720"/>
        <w:rPr>
          <w:rFonts w:ascii="Trebuchet MS" w:hAnsi="Trebuchet MS"/>
          <w:sz w:val="22"/>
          <w:szCs w:val="22"/>
        </w:rPr>
      </w:pPr>
      <w:r w:rsidRPr="00A22182">
        <w:rPr>
          <w:rFonts w:ascii="Trebuchet MS" w:hAnsi="Trebuchet MS"/>
          <w:sz w:val="22"/>
          <w:szCs w:val="22"/>
        </w:rPr>
        <w:t>FEASIBILITY</w:t>
      </w:r>
    </w:p>
    <w:p w14:paraId="71E886A7" w14:textId="77777777" w:rsidR="00DA45D2" w:rsidRPr="00A22182" w:rsidRDefault="00DA45D2" w:rsidP="00DA45D2">
      <w:pPr>
        <w:tabs>
          <w:tab w:val="num" w:pos="1260"/>
        </w:tabs>
        <w:spacing w:line="480" w:lineRule="auto"/>
        <w:jc w:val="both"/>
        <w:rPr>
          <w:rFonts w:ascii="Trebuchet MS" w:hAnsi="Trebuchet MS"/>
          <w:sz w:val="22"/>
        </w:rPr>
      </w:pPr>
    </w:p>
    <w:p w14:paraId="0082B134" w14:textId="77777777" w:rsidR="00DA45D2" w:rsidRPr="00A22182" w:rsidRDefault="00DA45D2" w:rsidP="00DA45D2">
      <w:pPr>
        <w:tabs>
          <w:tab w:val="num" w:pos="1260"/>
        </w:tabs>
        <w:spacing w:line="480" w:lineRule="auto"/>
        <w:jc w:val="both"/>
        <w:rPr>
          <w:rFonts w:ascii="Trebuchet MS" w:hAnsi="Trebuchet MS"/>
          <w:sz w:val="22"/>
        </w:rPr>
      </w:pPr>
      <w:r w:rsidRPr="00A22182">
        <w:rPr>
          <w:rFonts w:ascii="Trebuchet MS" w:hAnsi="Trebuchet MS"/>
          <w:sz w:val="22"/>
        </w:rPr>
        <w:t xml:space="preserve">We analyzed the Projections and Key Metrics for the Proposed Project. In preparing our analysis we considered multiple sources of information including industry metrics, historical results, and Management expectations. It is important to note that the Projections do not account for any anticipated changes in accounting standards. These standards, which may have a material impact on individual future years, are not anticipated to have a material impact on the aggregate Projections. </w:t>
      </w:r>
    </w:p>
    <w:p w14:paraId="30D4C72C" w14:textId="77777777" w:rsidR="00DA45D2" w:rsidRPr="00A22182" w:rsidRDefault="00DA45D2" w:rsidP="00DA45D2">
      <w:pPr>
        <w:tabs>
          <w:tab w:val="num" w:pos="1260"/>
        </w:tabs>
        <w:spacing w:line="480" w:lineRule="auto"/>
        <w:jc w:val="both"/>
        <w:rPr>
          <w:rFonts w:ascii="Trebuchet MS" w:hAnsi="Trebuchet MS"/>
          <w:sz w:val="22"/>
          <w:highlight w:val="yellow"/>
        </w:rPr>
      </w:pPr>
    </w:p>
    <w:p w14:paraId="6DE9AE10" w14:textId="77777777" w:rsidR="00DA45D2" w:rsidRPr="00A22182" w:rsidRDefault="00DA45D2" w:rsidP="00DA45D2">
      <w:pPr>
        <w:pStyle w:val="ListParagraph"/>
        <w:tabs>
          <w:tab w:val="num" w:pos="1260"/>
        </w:tabs>
        <w:spacing w:line="480" w:lineRule="auto"/>
        <w:ind w:left="0"/>
        <w:jc w:val="both"/>
        <w:rPr>
          <w:rFonts w:ascii="Trebuchet MS" w:hAnsi="Trebuchet MS"/>
          <w:sz w:val="22"/>
          <w:szCs w:val="22"/>
        </w:rPr>
      </w:pPr>
      <w:r w:rsidRPr="00F462A8">
        <w:rPr>
          <w:rFonts w:ascii="Trebuchet MS" w:hAnsi="Trebuchet MS"/>
          <w:sz w:val="22"/>
          <w:szCs w:val="22"/>
        </w:rPr>
        <w:t>Within the projected financial information, the Projections exhibit a cumulative operating EBIDA surplus of approximately 4</w:t>
      </w:r>
      <w:r>
        <w:rPr>
          <w:rFonts w:ascii="Trebuchet MS" w:hAnsi="Trebuchet MS"/>
          <w:sz w:val="22"/>
          <w:szCs w:val="22"/>
        </w:rPr>
        <w:t>.7</w:t>
      </w:r>
      <w:r w:rsidRPr="00A22182">
        <w:rPr>
          <w:rFonts w:ascii="Trebuchet MS" w:hAnsi="Trebuchet MS"/>
          <w:sz w:val="22"/>
          <w:szCs w:val="22"/>
        </w:rPr>
        <w:t xml:space="preserve"> percent of cumulative projected operating revenue for the </w:t>
      </w:r>
      <w:r>
        <w:rPr>
          <w:rFonts w:ascii="Trebuchet MS" w:hAnsi="Trebuchet MS"/>
          <w:sz w:val="22"/>
          <w:szCs w:val="22"/>
        </w:rPr>
        <w:t xml:space="preserve">six </w:t>
      </w:r>
      <w:r w:rsidRPr="00A22182">
        <w:rPr>
          <w:rFonts w:ascii="Trebuchet MS" w:hAnsi="Trebuchet MS"/>
          <w:sz w:val="22"/>
          <w:szCs w:val="22"/>
        </w:rPr>
        <w:t>years from FY 202</w:t>
      </w:r>
      <w:r>
        <w:rPr>
          <w:rFonts w:ascii="Trebuchet MS" w:hAnsi="Trebuchet MS"/>
          <w:sz w:val="22"/>
          <w:szCs w:val="22"/>
        </w:rPr>
        <w:t>4</w:t>
      </w:r>
      <w:r w:rsidRPr="00A22182">
        <w:rPr>
          <w:rFonts w:ascii="Trebuchet MS" w:hAnsi="Trebuchet MS"/>
          <w:sz w:val="22"/>
          <w:szCs w:val="22"/>
        </w:rPr>
        <w:t xml:space="preserve"> through FY 202</w:t>
      </w:r>
      <w:r>
        <w:rPr>
          <w:rFonts w:ascii="Trebuchet MS" w:hAnsi="Trebuchet MS"/>
          <w:sz w:val="22"/>
          <w:szCs w:val="22"/>
        </w:rPr>
        <w:t>9</w:t>
      </w:r>
      <w:r w:rsidRPr="00A22182">
        <w:rPr>
          <w:rFonts w:ascii="Trebuchet MS" w:hAnsi="Trebuchet MS"/>
          <w:sz w:val="22"/>
          <w:szCs w:val="22"/>
        </w:rPr>
        <w:t xml:space="preserve">. Based upon our review of the relevant documents and analysis of the Projections, we determined the anticipated EBIDA surplus is a reasonable </w:t>
      </w:r>
      <w:r w:rsidRPr="00A22182">
        <w:rPr>
          <w:rFonts w:ascii="Trebuchet MS" w:hAnsi="Trebuchet MS"/>
          <w:sz w:val="22"/>
          <w:szCs w:val="22"/>
        </w:rPr>
        <w:lastRenderedPageBreak/>
        <w:t>expectation and based upon feasible financial assumptions. Accordingly, we determined that the Projections are reasonable and feasible, and not likely to have a negative impact on the patient panel or result in a liquidation of assets of UMMHC.</w:t>
      </w:r>
    </w:p>
    <w:p w14:paraId="38C7814E" w14:textId="77777777" w:rsidR="00DA45D2" w:rsidRPr="00A22182" w:rsidRDefault="00DA45D2" w:rsidP="00DA45D2">
      <w:pPr>
        <w:rPr>
          <w:rFonts w:ascii="Trebuchet MS" w:hAnsi="Trebuchet MS"/>
          <w:sz w:val="22"/>
          <w:highlight w:val="yellow"/>
        </w:rPr>
      </w:pPr>
    </w:p>
    <w:p w14:paraId="58B85557" w14:textId="77777777" w:rsidR="00DA45D2" w:rsidRPr="00A22182" w:rsidRDefault="00DA45D2" w:rsidP="00DA45D2">
      <w:pPr>
        <w:rPr>
          <w:rFonts w:ascii="Trebuchet MS" w:hAnsi="Trebuchet MS"/>
          <w:sz w:val="22"/>
          <w:highlight w:val="yellow"/>
        </w:rPr>
      </w:pPr>
    </w:p>
    <w:p w14:paraId="32AED9CD" w14:textId="77777777" w:rsidR="00DA45D2" w:rsidRPr="00A22182" w:rsidRDefault="00DA45D2" w:rsidP="00DA45D2">
      <w:pPr>
        <w:rPr>
          <w:rFonts w:ascii="Trebuchet MS" w:hAnsi="Trebuchet MS"/>
          <w:sz w:val="22"/>
        </w:rPr>
      </w:pPr>
      <w:r w:rsidRPr="00A22182">
        <w:rPr>
          <w:rFonts w:ascii="Trebuchet MS" w:hAnsi="Trebuchet MS"/>
          <w:sz w:val="22"/>
        </w:rPr>
        <w:t>Respectively submitted,</w:t>
      </w:r>
    </w:p>
    <w:p w14:paraId="78E6563A" w14:textId="77777777" w:rsidR="00DA45D2" w:rsidRPr="00A22182" w:rsidRDefault="00DA45D2" w:rsidP="00DA45D2">
      <w:pPr>
        <w:jc w:val="both"/>
        <w:rPr>
          <w:rFonts w:ascii="Trebuchet MS" w:hAnsi="Trebuchet MS"/>
          <w:noProof/>
          <w:sz w:val="22"/>
        </w:rPr>
      </w:pPr>
    </w:p>
    <w:p w14:paraId="3786D739" w14:textId="77777777" w:rsidR="00DA45D2" w:rsidRPr="00A22182" w:rsidRDefault="00DA45D2" w:rsidP="00DA45D2">
      <w:pPr>
        <w:tabs>
          <w:tab w:val="left" w:pos="1190"/>
        </w:tabs>
        <w:jc w:val="both"/>
        <w:rPr>
          <w:rFonts w:ascii="Trebuchet MS" w:hAnsi="Trebuchet MS"/>
          <w:noProof/>
          <w:sz w:val="22"/>
        </w:rPr>
      </w:pPr>
      <w:r w:rsidRPr="00A22182">
        <w:rPr>
          <w:rFonts w:ascii="Trebuchet MS" w:hAnsi="Trebuchet MS"/>
          <w:noProof/>
          <w:sz w:val="22"/>
        </w:rPr>
        <w:tab/>
      </w:r>
    </w:p>
    <w:p w14:paraId="4AFB6BC4" w14:textId="77777777" w:rsidR="00DA45D2" w:rsidRPr="00A22182" w:rsidRDefault="00DA45D2" w:rsidP="00DA45D2">
      <w:pPr>
        <w:tabs>
          <w:tab w:val="left" w:pos="1190"/>
        </w:tabs>
        <w:jc w:val="both"/>
        <w:rPr>
          <w:rFonts w:ascii="Trebuchet MS" w:hAnsi="Trebuchet MS"/>
          <w:noProof/>
          <w:sz w:val="22"/>
        </w:rPr>
      </w:pPr>
    </w:p>
    <w:p w14:paraId="2A6211AD" w14:textId="77777777" w:rsidR="00DA45D2" w:rsidRPr="00A22182" w:rsidRDefault="00DA45D2" w:rsidP="00DA45D2">
      <w:pPr>
        <w:jc w:val="both"/>
        <w:rPr>
          <w:rFonts w:ascii="Trebuchet MS" w:hAnsi="Trebuchet MS"/>
          <w:sz w:val="22"/>
        </w:rPr>
      </w:pPr>
    </w:p>
    <w:p w14:paraId="0F4CDAAA" w14:textId="77777777" w:rsidR="00DA45D2" w:rsidRPr="00A22182" w:rsidRDefault="00DA45D2" w:rsidP="00DA45D2">
      <w:pPr>
        <w:spacing w:line="480" w:lineRule="auto"/>
        <w:jc w:val="both"/>
        <w:rPr>
          <w:rFonts w:ascii="Trebuchet MS" w:hAnsi="Trebuchet MS"/>
          <w:sz w:val="22"/>
        </w:rPr>
      </w:pPr>
      <w:r w:rsidRPr="00A22182">
        <w:rPr>
          <w:rFonts w:ascii="Trebuchet MS" w:hAnsi="Trebuchet MS"/>
          <w:spacing w:val="-3"/>
          <w:sz w:val="22"/>
        </w:rPr>
        <w:t xml:space="preserve">BDO USA </w:t>
      </w:r>
      <w:r>
        <w:rPr>
          <w:rFonts w:ascii="Trebuchet MS" w:hAnsi="Trebuchet MS"/>
          <w:spacing w:val="-3"/>
          <w:sz w:val="22"/>
        </w:rPr>
        <w:t>P.C.</w:t>
      </w:r>
    </w:p>
    <w:p w14:paraId="126D63CF" w14:textId="77777777" w:rsidR="00DA45D2" w:rsidRDefault="00DA45D2" w:rsidP="00DA45D2">
      <w:pPr>
        <w:spacing w:after="160" w:line="259" w:lineRule="auto"/>
        <w:rPr>
          <w:b/>
          <w:bCs/>
          <w:sz w:val="36"/>
          <w:szCs w:val="36"/>
        </w:rPr>
      </w:pPr>
    </w:p>
    <w:p w14:paraId="099AAA95" w14:textId="77777777" w:rsidR="00661BC4" w:rsidRPr="00DA45D2" w:rsidRDefault="00661BC4" w:rsidP="00DA45D2">
      <w:pPr>
        <w:spacing w:after="160" w:line="259" w:lineRule="auto"/>
        <w:rPr>
          <w:b/>
          <w:bCs/>
          <w:sz w:val="36"/>
          <w:szCs w:val="36"/>
        </w:rPr>
      </w:pPr>
    </w:p>
    <w:sectPr w:rsidR="00661BC4" w:rsidRPr="00DA45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84564" w14:textId="77777777" w:rsidR="00B57D65" w:rsidRDefault="00B57D65" w:rsidP="00DA45D2">
      <w:r>
        <w:separator/>
      </w:r>
    </w:p>
  </w:endnote>
  <w:endnote w:type="continuationSeparator" w:id="0">
    <w:p w14:paraId="46B98652" w14:textId="77777777" w:rsidR="00B57D65" w:rsidRDefault="00B57D65" w:rsidP="00DA4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AF26B" w14:textId="77777777" w:rsidR="00DA45D2" w:rsidRDefault="00DA45D2">
    <w:pPr>
      <w:pStyle w:val="A-PageNumber"/>
    </w:pPr>
    <w:r>
      <w:rPr>
        <w:rStyle w:val="PageNumber"/>
        <w:noProof/>
      </w:rPr>
      <mc:AlternateContent>
        <mc:Choice Requires="wps">
          <w:drawing>
            <wp:anchor distT="0" distB="0" distL="114300" distR="114300" simplePos="0" relativeHeight="251659264" behindDoc="0" locked="0" layoutInCell="1" allowOverlap="1" wp14:anchorId="0850E14B" wp14:editId="21DFBCC9">
              <wp:simplePos x="0" y="0"/>
              <wp:positionH relativeFrom="column">
                <wp:posOffset>-121351</wp:posOffset>
              </wp:positionH>
              <wp:positionV relativeFrom="paragraph">
                <wp:posOffset>-211760</wp:posOffset>
              </wp:positionV>
              <wp:extent cx="5697855" cy="416560"/>
              <wp:effectExtent l="0" t="635" r="0" b="19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7855" cy="41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C2DFE" w14:textId="77777777" w:rsidR="00DA45D2" w:rsidRDefault="00DA45D2">
                          <w:pPr>
                            <w:pStyle w:val="BDOFooter"/>
                            <w:ind w:right="-86"/>
                            <w:rPr>
                              <w:rFonts w:ascii="Trebuchet MS" w:hAnsi="Trebuchet MS"/>
                              <w:color w:val="auto"/>
                              <w:szCs w:val="12"/>
                              <w:lang w:val="it-IT"/>
                            </w:rPr>
                          </w:pPr>
                          <w:r>
                            <w:rPr>
                              <w:rFonts w:ascii="Trebuchet MS" w:hAnsi="Trebuchet MS"/>
                              <w:color w:val="auto"/>
                              <w:szCs w:val="12"/>
                              <w:lang w:val="it-IT"/>
                            </w:rPr>
                            <w:t>BDO USA, P.C., a Virginia professional Corporation, is the U.S. member of BDO International Limited, a UK company limited by guarantee, and forms part of the international BDO network of independent member firms.</w:t>
                          </w:r>
                        </w:p>
                        <w:p w14:paraId="601D5BB0" w14:textId="77777777" w:rsidR="00DA45D2" w:rsidRDefault="00DA45D2">
                          <w:pPr>
                            <w:pStyle w:val="BDOFooter"/>
                            <w:spacing w:line="80" w:lineRule="exact"/>
                            <w:ind w:right="-86"/>
                            <w:rPr>
                              <w:rFonts w:ascii="Trebuchet MS" w:hAnsi="Trebuchet MS"/>
                              <w:color w:val="auto"/>
                              <w:szCs w:val="12"/>
                              <w:lang w:val="it-IT"/>
                            </w:rPr>
                          </w:pPr>
                        </w:p>
                        <w:p w14:paraId="615356DD" w14:textId="77777777" w:rsidR="00DA45D2" w:rsidRDefault="00DA45D2">
                          <w:pPr>
                            <w:pStyle w:val="BDOFooter"/>
                            <w:ind w:right="-86"/>
                            <w:rPr>
                              <w:rFonts w:ascii="Trebuchet MS" w:hAnsi="Trebuchet MS"/>
                              <w:color w:val="auto"/>
                              <w:szCs w:val="12"/>
                              <w:lang w:val="it-IT"/>
                            </w:rPr>
                          </w:pPr>
                          <w:r>
                            <w:rPr>
                              <w:rFonts w:ascii="Trebuchet MS" w:hAnsi="Trebuchet MS"/>
                              <w:color w:val="auto"/>
                              <w:szCs w:val="12"/>
                              <w:lang w:val="it-IT"/>
                            </w:rPr>
                            <w:t>BDO is the brand name for the BDO network and for each of the BDO Member Firms.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850E14B" id="_x0000_t202" coordsize="21600,21600" o:spt="202" path="m,l,21600r21600,l21600,xe">
              <v:stroke joinstyle="miter"/>
              <v:path gradientshapeok="t" o:connecttype="rect"/>
            </v:shapetype>
            <v:shape id="Text Box 29" o:spid="_x0000_s1028" type="#_x0000_t202" style="position:absolute;left:0;text-align:left;margin-left:-9.55pt;margin-top:-16.65pt;width:448.65pt;height:32.8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" filled="f" stroked="f">
              <v:textbox style="mso-fit-shape-to-text:t">
                <w:txbxContent>
                  <w:p w:rsidR="00DA45D2" w:rsidRDefault="00DA45D2">
                    <w:pPr>
                      <w:pStyle w:val="BDOFooter"/>
                      <w:ind w:right="-86"/>
                      <w:rPr>
                        <w:rFonts w:ascii="Trebuchet MS" w:hAnsi="Trebuchet MS"/>
                        <w:color w:val="auto"/>
                        <w:szCs w:val="12"/>
                        <w:lang w:val="it-IT"/>
                      </w:rPr>
                    </w:pPr>
                    <w:r>
                      <w:rPr>
                        <w:rFonts w:ascii="Trebuchet MS" w:hAnsi="Trebuchet MS"/>
                        <w:color w:val="auto"/>
                        <w:szCs w:val="12"/>
                        <w:lang w:val="it-IT"/>
                      </w:rPr>
                      <w:t>BDO USA, P.C., a Virginia professional Corporation, is the U.S. member of BDO International Limited, a UK company limited by guarantee, and forms part of the international BDO network of independent member firms.</w:t>
                    </w:r>
                  </w:p>
                  <w:p w:rsidR="00DA45D2" w:rsidRDefault="00DA45D2">
                    <w:pPr>
                      <w:pStyle w:val="BDOFooter"/>
                      <w:spacing w:line="80" w:lineRule="exact"/>
                      <w:ind w:right="-86"/>
                      <w:rPr>
                        <w:rFonts w:ascii="Trebuchet MS" w:hAnsi="Trebuchet MS"/>
                        <w:color w:val="auto"/>
                        <w:szCs w:val="12"/>
                        <w:lang w:val="it-IT"/>
                      </w:rPr>
                    </w:pPr>
                  </w:p>
                  <w:p w:rsidR="00DA45D2" w:rsidRDefault="00DA45D2">
                    <w:pPr>
                      <w:pStyle w:val="BDOFooter"/>
                      <w:ind w:right="-86"/>
                      <w:rPr>
                        <w:rFonts w:ascii="Trebuchet MS" w:hAnsi="Trebuchet MS"/>
                        <w:color w:val="auto"/>
                        <w:szCs w:val="12"/>
                        <w:lang w:val="it-IT"/>
                      </w:rPr>
                    </w:pPr>
                    <w:r>
                      <w:rPr>
                        <w:rFonts w:ascii="Trebuchet MS" w:hAnsi="Trebuchet MS"/>
                        <w:color w:val="auto"/>
                        <w:szCs w:val="12"/>
                        <w:lang w:val="it-IT"/>
                      </w:rPr>
                      <w:t>BDO is the brand name for the BDO network and for each of the BDO Member Firms.</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93F37" w14:textId="77777777" w:rsidR="00DA45D2" w:rsidRDefault="00DA45D2">
    <w:pPr>
      <w:pStyle w:val="A-PageNumb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C7ADC" w14:textId="77777777" w:rsidR="00B57D65" w:rsidRDefault="00B57D65" w:rsidP="00DA45D2">
      <w:r>
        <w:separator/>
      </w:r>
    </w:p>
  </w:footnote>
  <w:footnote w:type="continuationSeparator" w:id="0">
    <w:p w14:paraId="00FDB424" w14:textId="77777777" w:rsidR="00B57D65" w:rsidRDefault="00B57D65" w:rsidP="00DA45D2">
      <w:r>
        <w:continuationSeparator/>
      </w:r>
    </w:p>
  </w:footnote>
  <w:footnote w:id="1">
    <w:p w14:paraId="66C38430" w14:textId="77777777" w:rsidR="00DA45D2" w:rsidRPr="00070E4D" w:rsidRDefault="00DA45D2" w:rsidP="00DA45D2">
      <w:pPr>
        <w:pStyle w:val="FootnoteText"/>
      </w:pPr>
      <w:r>
        <w:rPr>
          <w:rStyle w:val="FootnoteReference"/>
        </w:rPr>
        <w:footnoteRef/>
      </w:r>
      <w:r>
        <w:t xml:space="preserve"> </w:t>
      </w:r>
      <w:r w:rsidRPr="00A05D8D">
        <w:rPr>
          <w:rFonts w:ascii="Trebuchet MS" w:hAnsi="Trebuchet MS"/>
          <w:sz w:val="18"/>
          <w:szCs w:val="18"/>
        </w:rPr>
        <w:t>The Projections represent the combined pro forma financial projections of UMass Memorial Healthcare, Inc. and Milford Regional Medical Center, Inc. for the years ending September 30, 2024 through September 30, 2029.</w:t>
      </w:r>
    </w:p>
  </w:footnote>
  <w:footnote w:id="2">
    <w:p w14:paraId="75B320D7" w14:textId="77777777" w:rsidR="00DA45D2" w:rsidRDefault="00DA45D2" w:rsidP="00DA45D2">
      <w:pPr>
        <w:pStyle w:val="FootnoteText"/>
      </w:pPr>
      <w:r>
        <w:rPr>
          <w:rStyle w:val="FootnoteReference"/>
        </w:rPr>
        <w:footnoteRef/>
      </w:r>
      <w:r>
        <w:t xml:space="preserve"> </w:t>
      </w:r>
      <w:r w:rsidRPr="005B632D">
        <w:rPr>
          <w:rFonts w:ascii="Trebuchet MS" w:hAnsi="Trebuchet MS"/>
          <w:sz w:val="18"/>
          <w:szCs w:val="18"/>
        </w:rPr>
        <w:t>Portions of this section of the report were adapted directly from the Project Description section of the Draft UMMH</w:t>
      </w:r>
      <w:r>
        <w:rPr>
          <w:rFonts w:ascii="Trebuchet MS" w:hAnsi="Trebuchet MS"/>
          <w:sz w:val="18"/>
          <w:szCs w:val="18"/>
        </w:rPr>
        <w:t>C</w:t>
      </w:r>
      <w:r w:rsidRPr="005B632D">
        <w:rPr>
          <w:rFonts w:ascii="Trebuchet MS" w:hAnsi="Trebuchet MS"/>
          <w:sz w:val="18"/>
          <w:szCs w:val="18"/>
        </w:rPr>
        <w:t xml:space="preserve"> DON </w:t>
      </w:r>
      <w:r>
        <w:rPr>
          <w:rFonts w:ascii="Trebuchet MS" w:hAnsi="Trebuchet MS"/>
          <w:sz w:val="18"/>
          <w:szCs w:val="18"/>
        </w:rPr>
        <w:t>Narrative</w:t>
      </w:r>
      <w:r w:rsidRPr="005B632D">
        <w:rPr>
          <w:rFonts w:ascii="Trebuchet MS" w:hAnsi="Trebuchet MS"/>
          <w:sz w:val="18"/>
          <w:szCs w:val="18"/>
        </w:rPr>
        <w:t xml:space="preserve"> </w:t>
      </w:r>
      <w:r>
        <w:rPr>
          <w:rFonts w:ascii="Trebuchet MS" w:hAnsi="Trebuchet MS"/>
          <w:sz w:val="18"/>
          <w:szCs w:val="18"/>
        </w:rPr>
        <w:t xml:space="preserve">as of February 2, 2024, provided </w:t>
      </w:r>
      <w:r w:rsidRPr="005B632D">
        <w:rPr>
          <w:rFonts w:ascii="Trebuchet MS" w:hAnsi="Trebuchet MS"/>
          <w:sz w:val="18"/>
          <w:szCs w:val="18"/>
        </w:rPr>
        <w:t>by the Applicant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7D378" w14:textId="77777777" w:rsidR="00DA45D2" w:rsidRDefault="00DA45D2" w:rsidP="00666C4E">
    <w:pPr>
      <w:pStyle w:val="Header"/>
    </w:pPr>
    <w:r>
      <w:rPr>
        <w:noProof/>
      </w:rPr>
      <mc:AlternateContent>
        <mc:Choice Requires="wps">
          <w:drawing>
            <wp:anchor distT="0" distB="0" distL="114300" distR="114300" simplePos="0" relativeHeight="251661312" behindDoc="1" locked="1" layoutInCell="1" allowOverlap="1" wp14:anchorId="73EE743E" wp14:editId="1DEE65F6">
              <wp:simplePos x="0" y="0"/>
              <wp:positionH relativeFrom="page">
                <wp:posOffset>1039495</wp:posOffset>
              </wp:positionH>
              <wp:positionV relativeFrom="page">
                <wp:posOffset>503555</wp:posOffset>
              </wp:positionV>
              <wp:extent cx="6506845" cy="720090"/>
              <wp:effectExtent l="127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6845"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1386" w:type="dxa"/>
                            <w:tblLayout w:type="fixed"/>
                            <w:tblCellMar>
                              <w:left w:w="0" w:type="dxa"/>
                              <w:right w:w="0" w:type="dxa"/>
                            </w:tblCellMar>
                            <w:tblLook w:val="0000" w:firstRow="0" w:lastRow="0" w:firstColumn="0" w:lastColumn="0" w:noHBand="0" w:noVBand="0"/>
                          </w:tblPr>
                          <w:tblGrid>
                            <w:gridCol w:w="4186"/>
                            <w:gridCol w:w="3014"/>
                            <w:gridCol w:w="4186"/>
                          </w:tblGrid>
                          <w:tr w:rsidR="00DA45D2" w14:paraId="2AA1FDA2" w14:textId="77777777">
                            <w:tc>
                              <w:tcPr>
                                <w:tcW w:w="4186" w:type="dxa"/>
                              </w:tcPr>
                              <w:p w14:paraId="366B842B" w14:textId="77777777" w:rsidR="00DA45D2" w:rsidRDefault="00DA45D2">
                                <w:pPr>
                                  <w:pStyle w:val="BDONormal"/>
                                </w:pPr>
                              </w:p>
                            </w:tc>
                            <w:tc>
                              <w:tcPr>
                                <w:tcW w:w="3014" w:type="dxa"/>
                              </w:tcPr>
                              <w:p w14:paraId="55BA3771" w14:textId="77777777" w:rsidR="00DA45D2" w:rsidRDefault="00DA45D2">
                                <w:pPr>
                                  <w:tabs>
                                    <w:tab w:val="left" w:pos="360"/>
                                  </w:tabs>
                                  <w:rPr>
                                    <w:rFonts w:ascii="Trebuchet MS" w:hAnsi="Trebuchet MS"/>
                                    <w:color w:val="000000" w:themeColor="text1"/>
                                    <w:sz w:val="16"/>
                                    <w:szCs w:val="16"/>
                                  </w:rPr>
                                </w:pPr>
                                <w:r>
                                  <w:rPr>
                                    <w:rFonts w:ascii="Trebuchet MS" w:hAnsi="Trebuchet MS"/>
                                    <w:color w:val="000000" w:themeColor="text1"/>
                                    <w:sz w:val="16"/>
                                    <w:szCs w:val="16"/>
                                  </w:rPr>
                                  <w:t>Tel:</w:t>
                                </w:r>
                                <w:r>
                                  <w:rPr>
                                    <w:rFonts w:ascii="Trebuchet MS" w:hAnsi="Trebuchet MS"/>
                                    <w:color w:val="000000" w:themeColor="text1"/>
                                    <w:sz w:val="16"/>
                                    <w:szCs w:val="16"/>
                                  </w:rPr>
                                  <w:tab/>
                                  <w:t xml:space="preserve"> 617-422-0700</w:t>
                                </w:r>
                              </w:p>
                              <w:p w14:paraId="63EDD160" w14:textId="77777777" w:rsidR="00DA45D2" w:rsidRDefault="00DA45D2">
                                <w:pPr>
                                  <w:tabs>
                                    <w:tab w:val="left" w:pos="360"/>
                                  </w:tabs>
                                  <w:rPr>
                                    <w:rFonts w:ascii="Trebuchet MS" w:hAnsi="Trebuchet MS"/>
                                    <w:color w:val="000000" w:themeColor="text1"/>
                                    <w:sz w:val="16"/>
                                    <w:szCs w:val="16"/>
                                  </w:rPr>
                                </w:pPr>
                                <w:r>
                                  <w:rPr>
                                    <w:rFonts w:ascii="Trebuchet MS" w:hAnsi="Trebuchet MS"/>
                                    <w:color w:val="000000" w:themeColor="text1"/>
                                    <w:sz w:val="16"/>
                                    <w:szCs w:val="16"/>
                                  </w:rPr>
                                  <w:t>Fax:</w:t>
                                </w:r>
                                <w:r>
                                  <w:rPr>
                                    <w:rFonts w:ascii="Trebuchet MS" w:hAnsi="Trebuchet MS"/>
                                    <w:color w:val="000000" w:themeColor="text1"/>
                                    <w:sz w:val="16"/>
                                    <w:szCs w:val="16"/>
                                  </w:rPr>
                                  <w:tab/>
                                  <w:t xml:space="preserve"> 617-422-0909</w:t>
                                </w:r>
                              </w:p>
                              <w:p w14:paraId="35863C39" w14:textId="77777777" w:rsidR="00DA45D2" w:rsidRDefault="00DA45D2">
                                <w:pPr>
                                  <w:rPr>
                                    <w:rFonts w:ascii="Trebuchet MS" w:hAnsi="Trebuchet MS"/>
                                    <w:b/>
                                    <w:color w:val="000000" w:themeColor="text1"/>
                                    <w:sz w:val="16"/>
                                    <w:szCs w:val="16"/>
                                  </w:rPr>
                                </w:pPr>
                                <w:r>
                                  <w:rPr>
                                    <w:rFonts w:ascii="Trebuchet MS" w:hAnsi="Trebuchet MS"/>
                                    <w:b/>
                                    <w:color w:val="000000" w:themeColor="text1"/>
                                    <w:sz w:val="16"/>
                                    <w:szCs w:val="16"/>
                                  </w:rPr>
                                  <w:t>www.bdo.com</w:t>
                                </w:r>
                              </w:p>
                              <w:p w14:paraId="79C12335" w14:textId="77777777" w:rsidR="00DA45D2" w:rsidRDefault="00DA45D2">
                                <w:pPr>
                                  <w:pStyle w:val="BDONormal"/>
                                  <w:rPr>
                                    <w:noProof/>
                                    <w:color w:val="000000" w:themeColor="text1"/>
                                    <w:lang w:eastAsia="en-US"/>
                                  </w:rPr>
                                </w:pPr>
                              </w:p>
                            </w:tc>
                            <w:tc>
                              <w:tcPr>
                                <w:tcW w:w="4186" w:type="dxa"/>
                              </w:tcPr>
                              <w:p w14:paraId="0170938E" w14:textId="77777777" w:rsidR="00DA45D2" w:rsidRDefault="00DA45D2">
                                <w:pPr>
                                  <w:rPr>
                                    <w:rFonts w:ascii="Trebuchet MS" w:hAnsi="Trebuchet MS"/>
                                    <w:color w:val="000000" w:themeColor="text1"/>
                                    <w:sz w:val="16"/>
                                    <w:szCs w:val="16"/>
                                  </w:rPr>
                                </w:pPr>
                                <w:r>
                                  <w:rPr>
                                    <w:rFonts w:ascii="Trebuchet MS" w:hAnsi="Trebuchet MS"/>
                                    <w:color w:val="000000" w:themeColor="text1"/>
                                    <w:sz w:val="16"/>
                                    <w:szCs w:val="16"/>
                                  </w:rPr>
                                  <w:t>One International Place</w:t>
                                </w:r>
                              </w:p>
                              <w:p w14:paraId="56D96642" w14:textId="77777777" w:rsidR="00DA45D2" w:rsidRDefault="00DA45D2">
                                <w:pPr>
                                  <w:rPr>
                                    <w:rFonts w:ascii="Trebuchet MS" w:hAnsi="Trebuchet MS"/>
                                    <w:color w:val="000000" w:themeColor="text1"/>
                                    <w:sz w:val="16"/>
                                    <w:szCs w:val="16"/>
                                  </w:rPr>
                                </w:pPr>
                                <w:r>
                                  <w:rPr>
                                    <w:rFonts w:ascii="Trebuchet MS" w:hAnsi="Trebuchet MS"/>
                                    <w:color w:val="000000" w:themeColor="text1"/>
                                    <w:sz w:val="16"/>
                                    <w:szCs w:val="16"/>
                                  </w:rPr>
                                  <w:t>Boston, MA 02110-1745</w:t>
                                </w:r>
                              </w:p>
                              <w:p w14:paraId="6D34CA3E" w14:textId="77777777" w:rsidR="00DA45D2" w:rsidRDefault="00DA45D2">
                                <w:pPr>
                                  <w:rPr>
                                    <w:rFonts w:ascii="Trebuchet MS" w:hAnsi="Trebuchet MS"/>
                                    <w:color w:val="000000" w:themeColor="text1"/>
                                    <w:sz w:val="16"/>
                                    <w:szCs w:val="16"/>
                                  </w:rPr>
                                </w:pPr>
                              </w:p>
                              <w:p w14:paraId="1D3F90C8" w14:textId="77777777" w:rsidR="00DA45D2" w:rsidRDefault="00DA45D2">
                                <w:pPr>
                                  <w:pStyle w:val="BDONormal"/>
                                  <w:rPr>
                                    <w:noProof/>
                                    <w:color w:val="000000" w:themeColor="text1"/>
                                    <w:lang w:eastAsia="en-US"/>
                                  </w:rPr>
                                </w:pPr>
                              </w:p>
                            </w:tc>
                          </w:tr>
                        </w:tbl>
                        <w:p w14:paraId="238BF370" w14:textId="77777777" w:rsidR="00DA45D2" w:rsidRDefault="00DA45D2" w:rsidP="00666C4E">
                          <w:pPr>
                            <w:pStyle w:val="BDONormal"/>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EE743E" id="_x0000_t202" coordsize="21600,21600" o:spt="202" path="m,l,21600r21600,l21600,xe">
              <v:stroke joinstyle="miter"/>
              <v:path gradientshapeok="t" o:connecttype="rect"/>
            </v:shapetype>
            <v:shape id="Text Box 27" o:spid="_x0000_s1026" type="#_x0000_t202" style="position:absolute;margin-left:81.85pt;margin-top:39.65pt;width:512.35pt;height:56.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" filled="f" stroked="f">
              <v:textbox inset="0,0,0,0">
                <w:txbxContent>
                  <w:tbl>
                    <w:tblPr>
                      <w:tblW w:w="11386" w:type="dxa"/>
                      <w:tblLayout w:type="fixed"/>
                      <w:tblCellMar>
                        <w:left w:w="0" w:type="dxa"/>
                        <w:right w:w="0" w:type="dxa"/>
                      </w:tblCellMar>
                      <w:tblLook w:val="0000" w:firstRow="0" w:lastRow="0" w:firstColumn="0" w:lastColumn="0" w:noHBand="0" w:noVBand="0"/>
                    </w:tblPr>
                    <w:tblGrid>
                      <w:gridCol w:w="4186"/>
                      <w:gridCol w:w="3014"/>
                      <w:gridCol w:w="4186"/>
                    </w:tblGrid>
                    <w:tr w:rsidR="00DA45D2">
                      <w:tc>
                        <w:tcPr>
                          <w:tcW w:w="4186" w:type="dxa"/>
                        </w:tcPr>
                        <w:p w:rsidR="00DA45D2" w:rsidRDefault="00DA45D2">
                          <w:pPr>
                            <w:pStyle w:val="BDONormal"/>
                          </w:pPr>
                        </w:p>
                      </w:tc>
                      <w:tc>
                        <w:tcPr>
                          <w:tcW w:w="3014" w:type="dxa"/>
                        </w:tcPr>
                        <w:p w:rsidR="00DA45D2" w:rsidRDefault="00DA45D2">
                          <w:pPr>
                            <w:tabs>
                              <w:tab w:val="left" w:pos="360"/>
                            </w:tabs>
                            <w:rPr>
                              <w:rFonts w:ascii="Trebuchet MS" w:hAnsi="Trebuchet MS"/>
                              <w:color w:val="000000" w:themeColor="text1"/>
                              <w:sz w:val="16"/>
                              <w:szCs w:val="16"/>
                            </w:rPr>
                          </w:pPr>
                          <w:r>
                            <w:rPr>
                              <w:rFonts w:ascii="Trebuchet MS" w:hAnsi="Trebuchet MS"/>
                              <w:color w:val="000000" w:themeColor="text1"/>
                              <w:sz w:val="16"/>
                              <w:szCs w:val="16"/>
                            </w:rPr>
                            <w:t>Tel:</w:t>
                          </w:r>
                          <w:r>
                            <w:rPr>
                              <w:rFonts w:ascii="Trebuchet MS" w:hAnsi="Trebuchet MS"/>
                              <w:color w:val="000000" w:themeColor="text1"/>
                              <w:sz w:val="16"/>
                              <w:szCs w:val="16"/>
                            </w:rPr>
                            <w:tab/>
                            <w:t xml:space="preserve"> 617-422-0700</w:t>
                          </w:r>
                        </w:p>
                        <w:p w:rsidR="00DA45D2" w:rsidRDefault="00DA45D2">
                          <w:pPr>
                            <w:tabs>
                              <w:tab w:val="left" w:pos="360"/>
                            </w:tabs>
                            <w:rPr>
                              <w:rFonts w:ascii="Trebuchet MS" w:hAnsi="Trebuchet MS"/>
                              <w:color w:val="000000" w:themeColor="text1"/>
                              <w:sz w:val="16"/>
                              <w:szCs w:val="16"/>
                            </w:rPr>
                          </w:pPr>
                          <w:r>
                            <w:rPr>
                              <w:rFonts w:ascii="Trebuchet MS" w:hAnsi="Trebuchet MS"/>
                              <w:color w:val="000000" w:themeColor="text1"/>
                              <w:sz w:val="16"/>
                              <w:szCs w:val="16"/>
                            </w:rPr>
                            <w:t>Fax:</w:t>
                          </w:r>
                          <w:r>
                            <w:rPr>
                              <w:rFonts w:ascii="Trebuchet MS" w:hAnsi="Trebuchet MS"/>
                              <w:color w:val="000000" w:themeColor="text1"/>
                              <w:sz w:val="16"/>
                              <w:szCs w:val="16"/>
                            </w:rPr>
                            <w:tab/>
                            <w:t xml:space="preserve"> 617-422-0909</w:t>
                          </w:r>
                        </w:p>
                        <w:p w:rsidR="00DA45D2" w:rsidRDefault="00DA45D2">
                          <w:pPr>
                            <w:rPr>
                              <w:rFonts w:ascii="Trebuchet MS" w:hAnsi="Trebuchet MS"/>
                              <w:b/>
                              <w:color w:val="000000" w:themeColor="text1"/>
                              <w:sz w:val="16"/>
                              <w:szCs w:val="16"/>
                            </w:rPr>
                          </w:pPr>
                          <w:r>
                            <w:rPr>
                              <w:rFonts w:ascii="Trebuchet MS" w:hAnsi="Trebuchet MS"/>
                              <w:b/>
                              <w:color w:val="000000" w:themeColor="text1"/>
                              <w:sz w:val="16"/>
                              <w:szCs w:val="16"/>
                            </w:rPr>
                            <w:t>www.bdo.com</w:t>
                          </w:r>
                        </w:p>
                        <w:p w:rsidR="00DA45D2" w:rsidRDefault="00DA45D2">
                          <w:pPr>
                            <w:pStyle w:val="BDONormal"/>
                            <w:rPr>
                              <w:noProof/>
                              <w:color w:val="000000" w:themeColor="text1"/>
                              <w:lang w:eastAsia="en-US"/>
                            </w:rPr>
                          </w:pPr>
                        </w:p>
                      </w:tc>
                      <w:tc>
                        <w:tcPr>
                          <w:tcW w:w="4186" w:type="dxa"/>
                        </w:tcPr>
                        <w:p w:rsidR="00DA45D2" w:rsidRDefault="00DA45D2">
                          <w:pPr>
                            <w:rPr>
                              <w:rFonts w:ascii="Trebuchet MS" w:hAnsi="Trebuchet MS"/>
                              <w:color w:val="000000" w:themeColor="text1"/>
                              <w:sz w:val="16"/>
                              <w:szCs w:val="16"/>
                            </w:rPr>
                          </w:pPr>
                          <w:r>
                            <w:rPr>
                              <w:rFonts w:ascii="Trebuchet MS" w:hAnsi="Trebuchet MS"/>
                              <w:color w:val="000000" w:themeColor="text1"/>
                              <w:sz w:val="16"/>
                              <w:szCs w:val="16"/>
                            </w:rPr>
                            <w:t>One International Place</w:t>
                          </w:r>
                        </w:p>
                        <w:p w:rsidR="00DA45D2" w:rsidRDefault="00DA45D2">
                          <w:pPr>
                            <w:rPr>
                              <w:rFonts w:ascii="Trebuchet MS" w:hAnsi="Trebuchet MS"/>
                              <w:color w:val="000000" w:themeColor="text1"/>
                              <w:sz w:val="16"/>
                              <w:szCs w:val="16"/>
                            </w:rPr>
                          </w:pPr>
                          <w:r>
                            <w:rPr>
                              <w:rFonts w:ascii="Trebuchet MS" w:hAnsi="Trebuchet MS"/>
                              <w:color w:val="000000" w:themeColor="text1"/>
                              <w:sz w:val="16"/>
                              <w:szCs w:val="16"/>
                            </w:rPr>
                            <w:t>Boston, MA 02110-1745</w:t>
                          </w:r>
                        </w:p>
                        <w:p w:rsidR="00DA45D2" w:rsidRDefault="00DA45D2">
                          <w:pPr>
                            <w:rPr>
                              <w:rFonts w:ascii="Trebuchet MS" w:hAnsi="Trebuchet MS"/>
                              <w:color w:val="000000" w:themeColor="text1"/>
                              <w:sz w:val="16"/>
                              <w:szCs w:val="16"/>
                            </w:rPr>
                          </w:pPr>
                        </w:p>
                        <w:p w:rsidR="00DA45D2" w:rsidRDefault="00DA45D2">
                          <w:pPr>
                            <w:pStyle w:val="BDONormal"/>
                            <w:rPr>
                              <w:noProof/>
                              <w:color w:val="000000" w:themeColor="text1"/>
                              <w:lang w:eastAsia="en-US"/>
                            </w:rPr>
                          </w:pPr>
                        </w:p>
                      </w:tc>
                    </w:tr>
                  </w:tbl>
                  <w:p w:rsidR="00DA45D2" w:rsidRDefault="00DA45D2" w:rsidP="00666C4E">
                    <w:pPr>
                      <w:pStyle w:val="BDONormal"/>
                    </w:pPr>
                  </w:p>
                </w:txbxContent>
              </v:textbox>
              <w10:wrap anchorx="page" anchory="page"/>
              <w10:anchorlock/>
            </v:shape>
          </w:pict>
        </mc:Fallback>
      </mc:AlternateContent>
    </w:r>
  </w:p>
  <w:p w14:paraId="4B06E362" w14:textId="77777777" w:rsidR="00DA45D2" w:rsidRDefault="00DA45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46B30" w14:textId="77777777" w:rsidR="00DA45D2" w:rsidRDefault="00DA45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69AC0" w14:textId="77777777" w:rsidR="00DA45D2" w:rsidRDefault="00DA45D2">
    <w:pPr>
      <w:pStyle w:val="Header"/>
    </w:pPr>
    <w:r>
      <w:rPr>
        <w:noProof/>
      </w:rPr>
      <mc:AlternateContent>
        <mc:Choice Requires="wps">
          <w:drawing>
            <wp:anchor distT="0" distB="0" distL="114300" distR="114300" simplePos="0" relativeHeight="251660288" behindDoc="1" locked="1" layoutInCell="1" allowOverlap="1" wp14:anchorId="5DCA5686" wp14:editId="36662973">
              <wp:simplePos x="0" y="0"/>
              <wp:positionH relativeFrom="page">
                <wp:posOffset>1039495</wp:posOffset>
              </wp:positionH>
              <wp:positionV relativeFrom="page">
                <wp:posOffset>503555</wp:posOffset>
              </wp:positionV>
              <wp:extent cx="6506845" cy="720090"/>
              <wp:effectExtent l="127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6845"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1386" w:type="dxa"/>
                            <w:tblLayout w:type="fixed"/>
                            <w:tblCellMar>
                              <w:left w:w="0" w:type="dxa"/>
                              <w:right w:w="0" w:type="dxa"/>
                            </w:tblCellMar>
                            <w:tblLook w:val="0000" w:firstRow="0" w:lastRow="0" w:firstColumn="0" w:lastColumn="0" w:noHBand="0" w:noVBand="0"/>
                          </w:tblPr>
                          <w:tblGrid>
                            <w:gridCol w:w="4186"/>
                            <w:gridCol w:w="3014"/>
                            <w:gridCol w:w="4186"/>
                          </w:tblGrid>
                          <w:tr w:rsidR="00DA45D2" w14:paraId="582ACD5A" w14:textId="77777777">
                            <w:tc>
                              <w:tcPr>
                                <w:tcW w:w="4186" w:type="dxa"/>
                              </w:tcPr>
                              <w:p w14:paraId="7DF3C772" w14:textId="77777777" w:rsidR="00DA45D2" w:rsidRDefault="00DA45D2">
                                <w:pPr>
                                  <w:pStyle w:val="BDONormal"/>
                                </w:pPr>
                              </w:p>
                            </w:tc>
                            <w:tc>
                              <w:tcPr>
                                <w:tcW w:w="3014" w:type="dxa"/>
                              </w:tcPr>
                              <w:p w14:paraId="0C376C02" w14:textId="77777777" w:rsidR="00DA45D2" w:rsidRDefault="00DA45D2">
                                <w:pPr>
                                  <w:tabs>
                                    <w:tab w:val="left" w:pos="360"/>
                                  </w:tabs>
                                  <w:rPr>
                                    <w:rFonts w:ascii="Trebuchet MS" w:hAnsi="Trebuchet MS"/>
                                    <w:color w:val="000000" w:themeColor="text1"/>
                                    <w:sz w:val="16"/>
                                    <w:szCs w:val="16"/>
                                  </w:rPr>
                                </w:pPr>
                                <w:r>
                                  <w:rPr>
                                    <w:rFonts w:ascii="Trebuchet MS" w:hAnsi="Trebuchet MS"/>
                                    <w:color w:val="000000" w:themeColor="text1"/>
                                    <w:sz w:val="16"/>
                                    <w:szCs w:val="16"/>
                                  </w:rPr>
                                  <w:t>Tel:</w:t>
                                </w:r>
                                <w:r>
                                  <w:rPr>
                                    <w:rFonts w:ascii="Trebuchet MS" w:hAnsi="Trebuchet MS"/>
                                    <w:color w:val="000000" w:themeColor="text1"/>
                                    <w:sz w:val="16"/>
                                    <w:szCs w:val="16"/>
                                  </w:rPr>
                                  <w:tab/>
                                  <w:t xml:space="preserve"> 617-422-0700</w:t>
                                </w:r>
                              </w:p>
                              <w:p w14:paraId="45374B7D" w14:textId="77777777" w:rsidR="00DA45D2" w:rsidRDefault="00DA45D2">
                                <w:pPr>
                                  <w:tabs>
                                    <w:tab w:val="left" w:pos="360"/>
                                  </w:tabs>
                                  <w:rPr>
                                    <w:rFonts w:ascii="Trebuchet MS" w:hAnsi="Trebuchet MS"/>
                                    <w:color w:val="000000" w:themeColor="text1"/>
                                    <w:sz w:val="16"/>
                                    <w:szCs w:val="16"/>
                                  </w:rPr>
                                </w:pPr>
                                <w:r>
                                  <w:rPr>
                                    <w:rFonts w:ascii="Trebuchet MS" w:hAnsi="Trebuchet MS"/>
                                    <w:color w:val="000000" w:themeColor="text1"/>
                                    <w:sz w:val="16"/>
                                    <w:szCs w:val="16"/>
                                  </w:rPr>
                                  <w:t>Fax:</w:t>
                                </w:r>
                                <w:r>
                                  <w:rPr>
                                    <w:rFonts w:ascii="Trebuchet MS" w:hAnsi="Trebuchet MS"/>
                                    <w:color w:val="000000" w:themeColor="text1"/>
                                    <w:sz w:val="16"/>
                                    <w:szCs w:val="16"/>
                                  </w:rPr>
                                  <w:tab/>
                                  <w:t xml:space="preserve"> 617-422-0909</w:t>
                                </w:r>
                              </w:p>
                              <w:p w14:paraId="7557CE2D" w14:textId="77777777" w:rsidR="00DA45D2" w:rsidRDefault="00DA45D2">
                                <w:pPr>
                                  <w:rPr>
                                    <w:rFonts w:ascii="Trebuchet MS" w:hAnsi="Trebuchet MS"/>
                                    <w:b/>
                                    <w:color w:val="000000" w:themeColor="text1"/>
                                    <w:sz w:val="16"/>
                                    <w:szCs w:val="16"/>
                                  </w:rPr>
                                </w:pPr>
                                <w:r>
                                  <w:rPr>
                                    <w:rFonts w:ascii="Trebuchet MS" w:hAnsi="Trebuchet MS"/>
                                    <w:b/>
                                    <w:color w:val="000000" w:themeColor="text1"/>
                                    <w:sz w:val="16"/>
                                    <w:szCs w:val="16"/>
                                  </w:rPr>
                                  <w:t>www.bdo.com</w:t>
                                </w:r>
                              </w:p>
                              <w:p w14:paraId="448D9766" w14:textId="77777777" w:rsidR="00DA45D2" w:rsidRDefault="00DA45D2">
                                <w:pPr>
                                  <w:pStyle w:val="BDONormal"/>
                                  <w:rPr>
                                    <w:noProof/>
                                    <w:color w:val="000000" w:themeColor="text1"/>
                                    <w:lang w:eastAsia="en-US"/>
                                  </w:rPr>
                                </w:pPr>
                              </w:p>
                            </w:tc>
                            <w:tc>
                              <w:tcPr>
                                <w:tcW w:w="4186" w:type="dxa"/>
                              </w:tcPr>
                              <w:p w14:paraId="06F5F20F" w14:textId="77777777" w:rsidR="00DA45D2" w:rsidRDefault="00DA45D2">
                                <w:pPr>
                                  <w:rPr>
                                    <w:rFonts w:ascii="Trebuchet MS" w:hAnsi="Trebuchet MS"/>
                                    <w:color w:val="000000" w:themeColor="text1"/>
                                    <w:sz w:val="16"/>
                                    <w:szCs w:val="16"/>
                                  </w:rPr>
                                </w:pPr>
                                <w:r>
                                  <w:rPr>
                                    <w:rFonts w:ascii="Trebuchet MS" w:hAnsi="Trebuchet MS"/>
                                    <w:color w:val="000000" w:themeColor="text1"/>
                                    <w:sz w:val="16"/>
                                    <w:szCs w:val="16"/>
                                  </w:rPr>
                                  <w:t>One International Place</w:t>
                                </w:r>
                              </w:p>
                              <w:p w14:paraId="2453E04C" w14:textId="77777777" w:rsidR="00DA45D2" w:rsidRDefault="00DA45D2">
                                <w:pPr>
                                  <w:rPr>
                                    <w:rFonts w:ascii="Trebuchet MS" w:hAnsi="Trebuchet MS"/>
                                    <w:color w:val="000000" w:themeColor="text1"/>
                                    <w:sz w:val="16"/>
                                    <w:szCs w:val="16"/>
                                  </w:rPr>
                                </w:pPr>
                                <w:r>
                                  <w:rPr>
                                    <w:rFonts w:ascii="Trebuchet MS" w:hAnsi="Trebuchet MS"/>
                                    <w:color w:val="000000" w:themeColor="text1"/>
                                    <w:sz w:val="16"/>
                                    <w:szCs w:val="16"/>
                                  </w:rPr>
                                  <w:t>Boston, MA 02110-1745</w:t>
                                </w:r>
                              </w:p>
                              <w:p w14:paraId="40D09BF3" w14:textId="77777777" w:rsidR="00DA45D2" w:rsidRDefault="00DA45D2">
                                <w:pPr>
                                  <w:rPr>
                                    <w:rFonts w:ascii="Trebuchet MS" w:hAnsi="Trebuchet MS"/>
                                    <w:color w:val="000000" w:themeColor="text1"/>
                                    <w:sz w:val="16"/>
                                    <w:szCs w:val="16"/>
                                  </w:rPr>
                                </w:pPr>
                              </w:p>
                              <w:p w14:paraId="1DFB990A" w14:textId="77777777" w:rsidR="00DA45D2" w:rsidRDefault="00DA45D2">
                                <w:pPr>
                                  <w:pStyle w:val="BDONormal"/>
                                  <w:rPr>
                                    <w:noProof/>
                                    <w:color w:val="000000" w:themeColor="text1"/>
                                    <w:lang w:eastAsia="en-US"/>
                                  </w:rPr>
                                </w:pPr>
                              </w:p>
                            </w:tc>
                          </w:tr>
                        </w:tbl>
                        <w:p w14:paraId="7D14E2CA" w14:textId="77777777" w:rsidR="00DA45D2" w:rsidRDefault="00DA45D2">
                          <w:pPr>
                            <w:pStyle w:val="BDONormal"/>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CA5686" id="_x0000_t202" coordsize="21600,21600" o:spt="202" path="m,l,21600r21600,l21600,xe">
              <v:stroke joinstyle="miter"/>
              <v:path gradientshapeok="t" o:connecttype="rect"/>
            </v:shapetype>
            <v:shape id="Text Box 28" o:spid="_x0000_s1027" type="#_x0000_t202" style="position:absolute;margin-left:81.85pt;margin-top:39.65pt;width:512.35pt;height:56.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" filled="f" stroked="f">
              <v:textbox inset="0,0,0,0">
                <w:txbxContent>
                  <w:tbl>
                    <w:tblPr>
                      <w:tblW w:w="11386" w:type="dxa"/>
                      <w:tblLayout w:type="fixed"/>
                      <w:tblCellMar>
                        <w:left w:w="0" w:type="dxa"/>
                        <w:right w:w="0" w:type="dxa"/>
                      </w:tblCellMar>
                      <w:tblLook w:val="0000" w:firstRow="0" w:lastRow="0" w:firstColumn="0" w:lastColumn="0" w:noHBand="0" w:noVBand="0"/>
                    </w:tblPr>
                    <w:tblGrid>
                      <w:gridCol w:w="4186"/>
                      <w:gridCol w:w="3014"/>
                      <w:gridCol w:w="4186"/>
                    </w:tblGrid>
                    <w:tr w:rsidR="00DA45D2" w14:paraId="582ACD5A" w14:textId="77777777">
                      <w:tc>
                        <w:tcPr>
                          <w:tcW w:w="4186" w:type="dxa"/>
                        </w:tcPr>
                        <w:p w14:paraId="7DF3C772" w14:textId="77777777" w:rsidR="00DA45D2" w:rsidRDefault="00DA45D2">
                          <w:pPr>
                            <w:pStyle w:val="BDONormal"/>
                          </w:pPr>
                        </w:p>
                      </w:tc>
                      <w:tc>
                        <w:tcPr>
                          <w:tcW w:w="3014" w:type="dxa"/>
                        </w:tcPr>
                        <w:p w14:paraId="0C376C02" w14:textId="77777777" w:rsidR="00DA45D2" w:rsidRDefault="00DA45D2">
                          <w:pPr>
                            <w:tabs>
                              <w:tab w:val="left" w:pos="360"/>
                            </w:tabs>
                            <w:rPr>
                              <w:rFonts w:ascii="Trebuchet MS" w:hAnsi="Trebuchet MS"/>
                              <w:color w:val="000000" w:themeColor="text1"/>
                              <w:sz w:val="16"/>
                              <w:szCs w:val="16"/>
                            </w:rPr>
                          </w:pPr>
                          <w:r>
                            <w:rPr>
                              <w:rFonts w:ascii="Trebuchet MS" w:hAnsi="Trebuchet MS"/>
                              <w:color w:val="000000" w:themeColor="text1"/>
                              <w:sz w:val="16"/>
                              <w:szCs w:val="16"/>
                            </w:rPr>
                            <w:t>Tel:</w:t>
                          </w:r>
                          <w:r>
                            <w:rPr>
                              <w:rFonts w:ascii="Trebuchet MS" w:hAnsi="Trebuchet MS"/>
                              <w:color w:val="000000" w:themeColor="text1"/>
                              <w:sz w:val="16"/>
                              <w:szCs w:val="16"/>
                            </w:rPr>
                            <w:tab/>
                            <w:t xml:space="preserve"> 617-422-0700</w:t>
                          </w:r>
                        </w:p>
                        <w:p w14:paraId="45374B7D" w14:textId="77777777" w:rsidR="00DA45D2" w:rsidRDefault="00DA45D2">
                          <w:pPr>
                            <w:tabs>
                              <w:tab w:val="left" w:pos="360"/>
                            </w:tabs>
                            <w:rPr>
                              <w:rFonts w:ascii="Trebuchet MS" w:hAnsi="Trebuchet MS"/>
                              <w:color w:val="000000" w:themeColor="text1"/>
                              <w:sz w:val="16"/>
                              <w:szCs w:val="16"/>
                            </w:rPr>
                          </w:pPr>
                          <w:r>
                            <w:rPr>
                              <w:rFonts w:ascii="Trebuchet MS" w:hAnsi="Trebuchet MS"/>
                              <w:color w:val="000000" w:themeColor="text1"/>
                              <w:sz w:val="16"/>
                              <w:szCs w:val="16"/>
                            </w:rPr>
                            <w:t>Fax:</w:t>
                          </w:r>
                          <w:r>
                            <w:rPr>
                              <w:rFonts w:ascii="Trebuchet MS" w:hAnsi="Trebuchet MS"/>
                              <w:color w:val="000000" w:themeColor="text1"/>
                              <w:sz w:val="16"/>
                              <w:szCs w:val="16"/>
                            </w:rPr>
                            <w:tab/>
                            <w:t xml:space="preserve"> 617-422-0909</w:t>
                          </w:r>
                        </w:p>
                        <w:p w14:paraId="7557CE2D" w14:textId="77777777" w:rsidR="00DA45D2" w:rsidRDefault="00DA45D2">
                          <w:pPr>
                            <w:rPr>
                              <w:rFonts w:ascii="Trebuchet MS" w:hAnsi="Trebuchet MS"/>
                              <w:b/>
                              <w:color w:val="000000" w:themeColor="text1"/>
                              <w:sz w:val="16"/>
                              <w:szCs w:val="16"/>
                            </w:rPr>
                          </w:pPr>
                          <w:r>
                            <w:rPr>
                              <w:rFonts w:ascii="Trebuchet MS" w:hAnsi="Trebuchet MS"/>
                              <w:b/>
                              <w:color w:val="000000" w:themeColor="text1"/>
                              <w:sz w:val="16"/>
                              <w:szCs w:val="16"/>
                            </w:rPr>
                            <w:t>www.bdo.com</w:t>
                          </w:r>
                        </w:p>
                        <w:p w14:paraId="448D9766" w14:textId="77777777" w:rsidR="00DA45D2" w:rsidRDefault="00DA45D2">
                          <w:pPr>
                            <w:pStyle w:val="BDONormal"/>
                            <w:rPr>
                              <w:noProof/>
                              <w:color w:val="000000" w:themeColor="text1"/>
                              <w:lang w:eastAsia="en-US"/>
                            </w:rPr>
                          </w:pPr>
                        </w:p>
                      </w:tc>
                      <w:tc>
                        <w:tcPr>
                          <w:tcW w:w="4186" w:type="dxa"/>
                        </w:tcPr>
                        <w:p w14:paraId="06F5F20F" w14:textId="77777777" w:rsidR="00DA45D2" w:rsidRDefault="00DA45D2">
                          <w:pPr>
                            <w:rPr>
                              <w:rFonts w:ascii="Trebuchet MS" w:hAnsi="Trebuchet MS"/>
                              <w:color w:val="000000" w:themeColor="text1"/>
                              <w:sz w:val="16"/>
                              <w:szCs w:val="16"/>
                            </w:rPr>
                          </w:pPr>
                          <w:r>
                            <w:rPr>
                              <w:rFonts w:ascii="Trebuchet MS" w:hAnsi="Trebuchet MS"/>
                              <w:color w:val="000000" w:themeColor="text1"/>
                              <w:sz w:val="16"/>
                              <w:szCs w:val="16"/>
                            </w:rPr>
                            <w:t>One International Place</w:t>
                          </w:r>
                        </w:p>
                        <w:p w14:paraId="2453E04C" w14:textId="77777777" w:rsidR="00DA45D2" w:rsidRDefault="00DA45D2">
                          <w:pPr>
                            <w:rPr>
                              <w:rFonts w:ascii="Trebuchet MS" w:hAnsi="Trebuchet MS"/>
                              <w:color w:val="000000" w:themeColor="text1"/>
                              <w:sz w:val="16"/>
                              <w:szCs w:val="16"/>
                            </w:rPr>
                          </w:pPr>
                          <w:r>
                            <w:rPr>
                              <w:rFonts w:ascii="Trebuchet MS" w:hAnsi="Trebuchet MS"/>
                              <w:color w:val="000000" w:themeColor="text1"/>
                              <w:sz w:val="16"/>
                              <w:szCs w:val="16"/>
                            </w:rPr>
                            <w:t>Boston, MA 02110-1745</w:t>
                          </w:r>
                        </w:p>
                        <w:p w14:paraId="40D09BF3" w14:textId="77777777" w:rsidR="00DA45D2" w:rsidRDefault="00DA45D2">
                          <w:pPr>
                            <w:rPr>
                              <w:rFonts w:ascii="Trebuchet MS" w:hAnsi="Trebuchet MS"/>
                              <w:color w:val="000000" w:themeColor="text1"/>
                              <w:sz w:val="16"/>
                              <w:szCs w:val="16"/>
                            </w:rPr>
                          </w:pPr>
                        </w:p>
                        <w:p w14:paraId="1DFB990A" w14:textId="77777777" w:rsidR="00DA45D2" w:rsidRDefault="00DA45D2">
                          <w:pPr>
                            <w:pStyle w:val="BDONormal"/>
                            <w:rPr>
                              <w:noProof/>
                              <w:color w:val="000000" w:themeColor="text1"/>
                              <w:lang w:eastAsia="en-US"/>
                            </w:rPr>
                          </w:pPr>
                        </w:p>
                      </w:tc>
                    </w:tr>
                  </w:tbl>
                  <w:p w14:paraId="7D14E2CA" w14:textId="77777777" w:rsidR="00DA45D2" w:rsidRDefault="00DA45D2">
                    <w:pPr>
                      <w:pStyle w:val="BDONormal"/>
                    </w:pPr>
                  </w:p>
                </w:txbxContent>
              </v:textbox>
              <w10:wrap anchorx="page" anchory="page"/>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25F90" w14:textId="77777777" w:rsidR="00DA45D2" w:rsidRDefault="00DA45D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1B34F" w14:textId="77777777" w:rsidR="00DA45D2" w:rsidRDefault="00DA45D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FFAC0" w14:textId="77777777" w:rsidR="00DA45D2" w:rsidRDefault="00DA45D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8A9DF" w14:textId="77777777" w:rsidR="00DA45D2" w:rsidRDefault="00DA45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C617E"/>
    <w:multiLevelType w:val="hybridMultilevel"/>
    <w:tmpl w:val="7A6ACF7A"/>
    <w:lvl w:ilvl="0" w:tplc="0409000F">
      <w:start w:val="1"/>
      <w:numFmt w:val="decimal"/>
      <w:lvlText w:val="%1."/>
      <w:lvlJc w:val="left"/>
      <w:pPr>
        <w:ind w:left="360" w:hanging="360"/>
      </w:pPr>
    </w:lvl>
    <w:lvl w:ilvl="1" w:tplc="04090017">
      <w:start w:val="1"/>
      <w:numFmt w:val="lowerLetter"/>
      <w:lvlText w:val="%2)"/>
      <w:lvlJc w:val="left"/>
      <w:pPr>
        <w:ind w:left="1080" w:hanging="360"/>
      </w:pPr>
      <w:rPr>
        <w:rFonts w:hint="default"/>
      </w:rPr>
    </w:lvl>
    <w:lvl w:ilvl="2" w:tplc="0409000F">
      <w:start w:val="1"/>
      <w:numFmt w:val="decimal"/>
      <w:lvlText w:val="%3."/>
      <w:lvlJc w:val="lef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44B5C7D"/>
    <w:multiLevelType w:val="hybridMultilevel"/>
    <w:tmpl w:val="C7CEBAD8"/>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522CEB14">
      <w:start w:val="3"/>
      <w:numFmt w:val="upp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AAB7670"/>
    <w:multiLevelType w:val="hybridMultilevel"/>
    <w:tmpl w:val="48100680"/>
    <w:lvl w:ilvl="0" w:tplc="CFA204EC">
      <w:start w:val="17"/>
      <w:numFmt w:val="bullet"/>
      <w:lvlText w:val="-"/>
      <w:lvlJc w:val="left"/>
      <w:pPr>
        <w:ind w:left="630" w:hanging="360"/>
      </w:pPr>
      <w:rPr>
        <w:rFonts w:ascii="Trebuchet MS" w:eastAsia="Times New Roman" w:hAnsi="Trebuchet MS" w:cs="Times New Roman" w:hint="default"/>
        <w:sz w:val="14"/>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5A537381"/>
    <w:multiLevelType w:val="hybridMultilevel"/>
    <w:tmpl w:val="5DE20DEC"/>
    <w:lvl w:ilvl="0" w:tplc="B4B41410">
      <w:start w:val="1"/>
      <w:numFmt w:val="upperRoman"/>
      <w:lvlText w:val="%1."/>
      <w:lvlJc w:val="left"/>
      <w:pPr>
        <w:ind w:left="720" w:hanging="360"/>
      </w:pPr>
      <w:rPr>
        <w:rFonts w:hint="default"/>
        <w:b/>
      </w:rPr>
    </w:lvl>
    <w:lvl w:ilvl="1" w:tplc="3CD63722">
      <w:start w:val="1"/>
      <w:numFmt w:val="upperLetter"/>
      <w:lvlText w:val="%2."/>
      <w:lvlJc w:val="left"/>
      <w:pPr>
        <w:ind w:left="1440" w:hanging="360"/>
      </w:pPr>
      <w:rPr>
        <w:rFonts w:hint="default"/>
      </w:rPr>
    </w:lvl>
    <w:lvl w:ilvl="2" w:tplc="A75C20A2">
      <w:start w:val="3"/>
      <w:numFmt w:val="decimal"/>
      <w:lvlText w:val="%3."/>
      <w:lvlJc w:val="right"/>
      <w:pPr>
        <w:ind w:left="2160" w:hanging="180"/>
      </w:pPr>
      <w:rPr>
        <w:rFonts w:hint="default"/>
      </w:rPr>
    </w:lvl>
    <w:lvl w:ilvl="3" w:tplc="353C8606">
      <w:start w:val="1"/>
      <w:numFmt w:val="lowerLetter"/>
      <w:lvlText w:val="%4."/>
      <w:lvlJc w:val="left"/>
      <w:pPr>
        <w:ind w:left="2880" w:hanging="360"/>
      </w:pPr>
      <w:rPr>
        <w:rFonts w:hint="default"/>
      </w:rPr>
    </w:lvl>
    <w:lvl w:ilvl="4" w:tplc="894EE0C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4085151">
    <w:abstractNumId w:val="3"/>
  </w:num>
  <w:num w:numId="2" w16cid:durableId="180633768">
    <w:abstractNumId w:val="1"/>
  </w:num>
  <w:num w:numId="3" w16cid:durableId="1063941769">
    <w:abstractNumId w:val="0"/>
  </w:num>
  <w:num w:numId="4" w16cid:durableId="995381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_Work10" w:val="0~RCDMS||1~29010298||2~1||3~UMMHC 24021420-TO - Attachment 3 - CPA Report||5~1381||6~1381||7~WORDX||8~Documents-General||10~1/1/0001 12:00:00 AM||11~1/1/0001 12:00:00 AM||13~66855||17~public||25~36374||26~0004||53~BT||54~FINIT||60~UMass Memorial Health Care||61~Milford Regional Healthcare System, Inc. Transaction||72~BU-BT - Business Transactions||73~Financial Institutions and Transactions||74~Greenberg, Yelena||77~Documents-General||82~docx||85~1/1/0001 12:00:00 AM||99~1/1/0001 12:00:00 AM||107~1/1/0001 12:00:00 AM||109~1/1/0001 12:00:00 AM||113~3/1/2024 3:38:25 PM||114~3/1/2024 3:38:25 PM||"/>
  </w:docVars>
  <w:rsids>
    <w:rsidRoot w:val="00DA45D2"/>
    <w:rsid w:val="0006132F"/>
    <w:rsid w:val="0012163E"/>
    <w:rsid w:val="00121FAA"/>
    <w:rsid w:val="001F4F2F"/>
    <w:rsid w:val="00500451"/>
    <w:rsid w:val="00661BC4"/>
    <w:rsid w:val="007C5953"/>
    <w:rsid w:val="007E104E"/>
    <w:rsid w:val="00841077"/>
    <w:rsid w:val="008868C5"/>
    <w:rsid w:val="00A07503"/>
    <w:rsid w:val="00B57D65"/>
    <w:rsid w:val="00D55E96"/>
    <w:rsid w:val="00DA45D2"/>
    <w:rsid w:val="00E238A0"/>
    <w:rsid w:val="00FE1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E68B1"/>
  <w15:chartTrackingRefBased/>
  <w15:docId w15:val="{D04E04E6-2124-4264-A07B-EFFCDF8B7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5D2"/>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121FAA"/>
    <w:pPr>
      <w:keepNext/>
      <w:spacing w:before="240" w:after="60"/>
      <w:outlineLvl w:val="0"/>
    </w:pPr>
    <w:rPr>
      <w:rFonts w:eastAsiaTheme="majorEastAsia" w:cstheme="majorBidi"/>
      <w:b/>
      <w:bCs/>
      <w:kern w:val="32"/>
      <w:sz w:val="32"/>
      <w:szCs w:val="28"/>
    </w:rPr>
  </w:style>
  <w:style w:type="paragraph" w:styleId="Heading2">
    <w:name w:val="heading 2"/>
    <w:basedOn w:val="Normal"/>
    <w:next w:val="Normal"/>
    <w:link w:val="Heading2Char"/>
    <w:uiPriority w:val="2"/>
    <w:qFormat/>
    <w:rsid w:val="00121FAA"/>
    <w:pPr>
      <w:keepNext/>
      <w:spacing w:before="240" w:after="60"/>
      <w:outlineLvl w:val="1"/>
    </w:pPr>
    <w:rPr>
      <w:rFonts w:eastAsiaTheme="majorEastAsia" w:cstheme="majorBidi"/>
      <w:b/>
      <w:bCs/>
      <w:i/>
      <w:sz w:val="28"/>
      <w:szCs w:val="26"/>
    </w:rPr>
  </w:style>
  <w:style w:type="paragraph" w:styleId="Heading3">
    <w:name w:val="heading 3"/>
    <w:basedOn w:val="Normal"/>
    <w:next w:val="Normal"/>
    <w:link w:val="Heading3Char"/>
    <w:uiPriority w:val="3"/>
    <w:qFormat/>
    <w:rsid w:val="00121FAA"/>
    <w:pPr>
      <w:keepNext/>
      <w:spacing w:before="240" w:after="60"/>
      <w:outlineLvl w:val="2"/>
    </w:pPr>
    <w:rPr>
      <w:rFonts w:eastAsiaTheme="majorEastAsia" w:cstheme="majorBidi"/>
      <w:b/>
      <w:bCs/>
      <w:sz w:val="26"/>
      <w:szCs w:val="24"/>
    </w:rPr>
  </w:style>
  <w:style w:type="paragraph" w:styleId="Heading4">
    <w:name w:val="heading 4"/>
    <w:basedOn w:val="Normal"/>
    <w:next w:val="Normal"/>
    <w:link w:val="Heading4Char"/>
    <w:uiPriority w:val="4"/>
    <w:qFormat/>
    <w:rsid w:val="00121FAA"/>
    <w:pPr>
      <w:keepNext/>
      <w:keepLines/>
      <w:spacing w:before="240" w:after="60"/>
      <w:outlineLvl w:val="3"/>
    </w:pPr>
    <w:rPr>
      <w:rFonts w:ascii="Times New Roman Bold" w:eastAsiaTheme="majorEastAsia" w:hAnsi="Times New Roman Bold" w:cstheme="majorBidi"/>
      <w:b/>
      <w:bCs/>
      <w:iCs/>
      <w:sz w:val="28"/>
      <w:szCs w:val="24"/>
    </w:rPr>
  </w:style>
  <w:style w:type="paragraph" w:styleId="Heading5">
    <w:name w:val="heading 5"/>
    <w:basedOn w:val="Normal"/>
    <w:next w:val="Normal"/>
    <w:link w:val="Heading5Char"/>
    <w:uiPriority w:val="5"/>
    <w:qFormat/>
    <w:rsid w:val="00121FAA"/>
    <w:pPr>
      <w:keepNext/>
      <w:spacing w:before="240" w:after="60"/>
      <w:outlineLvl w:val="4"/>
    </w:pPr>
    <w:rPr>
      <w:rFonts w:ascii="Times New Roman Bold" w:eastAsiaTheme="majorEastAsia" w:hAnsi="Times New Roman Bold" w:cstheme="majorBidi"/>
      <w:b/>
      <w:i/>
      <w:sz w:val="26"/>
      <w:szCs w:val="24"/>
    </w:rPr>
  </w:style>
  <w:style w:type="paragraph" w:styleId="Heading6">
    <w:name w:val="heading 6"/>
    <w:basedOn w:val="Normal"/>
    <w:next w:val="Normal"/>
    <w:link w:val="Heading6Char"/>
    <w:uiPriority w:val="9"/>
    <w:qFormat/>
    <w:rsid w:val="00121FAA"/>
    <w:pPr>
      <w:keepNext/>
      <w:spacing w:before="240" w:after="60"/>
      <w:outlineLvl w:val="5"/>
    </w:pPr>
    <w:rPr>
      <w:rFonts w:ascii="Times New Roman Bold" w:eastAsiaTheme="majorEastAsia" w:hAnsi="Times New Roman Bold" w:cstheme="majorBidi"/>
      <w:b/>
      <w:iCs/>
      <w:sz w:val="22"/>
      <w:szCs w:val="24"/>
    </w:rPr>
  </w:style>
  <w:style w:type="paragraph" w:styleId="Heading7">
    <w:name w:val="heading 7"/>
    <w:basedOn w:val="Normal"/>
    <w:next w:val="Normal"/>
    <w:link w:val="Heading7Char"/>
    <w:uiPriority w:val="9"/>
    <w:qFormat/>
    <w:rsid w:val="00121FAA"/>
    <w:pPr>
      <w:keepNext/>
      <w:spacing w:before="240" w:after="60"/>
      <w:outlineLvl w:val="6"/>
    </w:pPr>
    <w:rPr>
      <w:rFonts w:eastAsiaTheme="majorEastAsia" w:cstheme="majorBidi"/>
      <w:iCs/>
      <w:szCs w:val="24"/>
    </w:rPr>
  </w:style>
  <w:style w:type="paragraph" w:styleId="Heading8">
    <w:name w:val="heading 8"/>
    <w:basedOn w:val="Normal"/>
    <w:next w:val="Normal"/>
    <w:link w:val="Heading8Char"/>
    <w:uiPriority w:val="9"/>
    <w:qFormat/>
    <w:rsid w:val="00121FAA"/>
    <w:pPr>
      <w:keepNext/>
      <w:spacing w:before="240" w:after="60"/>
      <w:outlineLvl w:val="7"/>
    </w:pPr>
    <w:rPr>
      <w:rFonts w:eastAsiaTheme="majorEastAsia" w:cstheme="majorBidi"/>
      <w:i/>
      <w:szCs w:val="20"/>
    </w:rPr>
  </w:style>
  <w:style w:type="paragraph" w:styleId="Heading9">
    <w:name w:val="heading 9"/>
    <w:basedOn w:val="Normal"/>
    <w:next w:val="Normal"/>
    <w:link w:val="Heading9Char"/>
    <w:uiPriority w:val="9"/>
    <w:qFormat/>
    <w:rsid w:val="00121FAA"/>
    <w:pPr>
      <w:keepNext/>
      <w:spacing w:before="240" w:after="6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FAA"/>
    <w:rPr>
      <w:rFonts w:ascii="Times New Roman" w:eastAsiaTheme="majorEastAsia" w:hAnsi="Times New Roman" w:cstheme="majorBidi"/>
      <w:b/>
      <w:bCs/>
      <w:kern w:val="32"/>
      <w:sz w:val="32"/>
      <w:szCs w:val="28"/>
    </w:rPr>
  </w:style>
  <w:style w:type="character" w:customStyle="1" w:styleId="Heading2Char">
    <w:name w:val="Heading 2 Char"/>
    <w:basedOn w:val="DefaultParagraphFont"/>
    <w:link w:val="Heading2"/>
    <w:uiPriority w:val="2"/>
    <w:rsid w:val="00121FAA"/>
    <w:rPr>
      <w:rFonts w:ascii="Times New Roman" w:eastAsiaTheme="majorEastAsia" w:hAnsi="Times New Roman" w:cstheme="majorBidi"/>
      <w:b/>
      <w:bCs/>
      <w:i/>
      <w:sz w:val="28"/>
      <w:szCs w:val="26"/>
    </w:rPr>
  </w:style>
  <w:style w:type="paragraph" w:styleId="BodyText">
    <w:name w:val="Body Text"/>
    <w:basedOn w:val="Normal"/>
    <w:link w:val="BodyTextChar"/>
    <w:uiPriority w:val="1"/>
    <w:unhideWhenUsed/>
    <w:qFormat/>
    <w:rsid w:val="00121FAA"/>
    <w:pPr>
      <w:spacing w:after="120"/>
    </w:pPr>
    <w:rPr>
      <w:szCs w:val="24"/>
    </w:rPr>
  </w:style>
  <w:style w:type="character" w:customStyle="1" w:styleId="BodyTextChar">
    <w:name w:val="Body Text Char"/>
    <w:basedOn w:val="DefaultParagraphFont"/>
    <w:link w:val="BodyText"/>
    <w:uiPriority w:val="1"/>
    <w:rsid w:val="00121FAA"/>
    <w:rPr>
      <w:rFonts w:ascii="Times New Roman" w:hAnsi="Times New Roman"/>
      <w:sz w:val="24"/>
      <w:szCs w:val="24"/>
    </w:rPr>
  </w:style>
  <w:style w:type="character" w:customStyle="1" w:styleId="Heading3Char">
    <w:name w:val="Heading 3 Char"/>
    <w:basedOn w:val="DefaultParagraphFont"/>
    <w:link w:val="Heading3"/>
    <w:uiPriority w:val="3"/>
    <w:rsid w:val="00121FAA"/>
    <w:rPr>
      <w:rFonts w:ascii="Times New Roman" w:eastAsiaTheme="majorEastAsia" w:hAnsi="Times New Roman" w:cstheme="majorBidi"/>
      <w:b/>
      <w:bCs/>
      <w:sz w:val="26"/>
      <w:szCs w:val="24"/>
    </w:rPr>
  </w:style>
  <w:style w:type="character" w:customStyle="1" w:styleId="Heading4Char">
    <w:name w:val="Heading 4 Char"/>
    <w:basedOn w:val="DefaultParagraphFont"/>
    <w:link w:val="Heading4"/>
    <w:uiPriority w:val="4"/>
    <w:rsid w:val="00121FAA"/>
    <w:rPr>
      <w:rFonts w:ascii="Times New Roman Bold" w:eastAsiaTheme="majorEastAsia" w:hAnsi="Times New Roman Bold" w:cstheme="majorBidi"/>
      <w:b/>
      <w:bCs/>
      <w:iCs/>
      <w:sz w:val="28"/>
      <w:szCs w:val="24"/>
    </w:rPr>
  </w:style>
  <w:style w:type="character" w:customStyle="1" w:styleId="Heading5Char">
    <w:name w:val="Heading 5 Char"/>
    <w:basedOn w:val="DefaultParagraphFont"/>
    <w:link w:val="Heading5"/>
    <w:uiPriority w:val="5"/>
    <w:rsid w:val="00121FAA"/>
    <w:rPr>
      <w:rFonts w:ascii="Times New Roman Bold" w:eastAsiaTheme="majorEastAsia" w:hAnsi="Times New Roman Bold" w:cstheme="majorBidi"/>
      <w:b/>
      <w:i/>
      <w:sz w:val="26"/>
      <w:szCs w:val="24"/>
    </w:rPr>
  </w:style>
  <w:style w:type="character" w:customStyle="1" w:styleId="Heading6Char">
    <w:name w:val="Heading 6 Char"/>
    <w:basedOn w:val="DefaultParagraphFont"/>
    <w:link w:val="Heading6"/>
    <w:uiPriority w:val="9"/>
    <w:rsid w:val="00121FAA"/>
    <w:rPr>
      <w:rFonts w:ascii="Times New Roman Bold" w:eastAsiaTheme="majorEastAsia" w:hAnsi="Times New Roman Bold" w:cstheme="majorBidi"/>
      <w:b/>
      <w:iCs/>
      <w:szCs w:val="24"/>
    </w:rPr>
  </w:style>
  <w:style w:type="character" w:customStyle="1" w:styleId="Heading7Char">
    <w:name w:val="Heading 7 Char"/>
    <w:basedOn w:val="DefaultParagraphFont"/>
    <w:link w:val="Heading7"/>
    <w:uiPriority w:val="9"/>
    <w:rsid w:val="00121FAA"/>
    <w:rPr>
      <w:rFonts w:ascii="Times New Roman" w:eastAsiaTheme="majorEastAsia" w:hAnsi="Times New Roman" w:cstheme="majorBidi"/>
      <w:iCs/>
      <w:sz w:val="24"/>
      <w:szCs w:val="24"/>
    </w:rPr>
  </w:style>
  <w:style w:type="character" w:customStyle="1" w:styleId="Heading8Char">
    <w:name w:val="Heading 8 Char"/>
    <w:basedOn w:val="DefaultParagraphFont"/>
    <w:link w:val="Heading8"/>
    <w:uiPriority w:val="9"/>
    <w:rsid w:val="00121FAA"/>
    <w:rPr>
      <w:rFonts w:ascii="Times New Roman" w:eastAsiaTheme="majorEastAsia" w:hAnsi="Times New Roman" w:cstheme="majorBidi"/>
      <w:i/>
      <w:sz w:val="24"/>
      <w:szCs w:val="20"/>
    </w:rPr>
  </w:style>
  <w:style w:type="character" w:customStyle="1" w:styleId="Heading9Char">
    <w:name w:val="Heading 9 Char"/>
    <w:basedOn w:val="DefaultParagraphFont"/>
    <w:link w:val="Heading9"/>
    <w:uiPriority w:val="9"/>
    <w:rsid w:val="00121FAA"/>
    <w:rPr>
      <w:rFonts w:ascii="Times New Roman" w:eastAsiaTheme="majorEastAsia" w:hAnsi="Times New Roman" w:cstheme="majorBidi"/>
      <w:iCs/>
      <w:sz w:val="24"/>
      <w:szCs w:val="20"/>
    </w:rPr>
  </w:style>
  <w:style w:type="paragraph" w:styleId="ListParagraph">
    <w:name w:val="List Paragraph"/>
    <w:basedOn w:val="Normal"/>
    <w:link w:val="ListParagraphChar"/>
    <w:uiPriority w:val="34"/>
    <w:qFormat/>
    <w:rsid w:val="00DA45D2"/>
    <w:pPr>
      <w:ind w:left="720"/>
      <w:contextualSpacing/>
    </w:pPr>
    <w:rPr>
      <w:rFonts w:eastAsiaTheme="minorEastAsia" w:cs="Times New Roman"/>
      <w:szCs w:val="24"/>
    </w:rPr>
  </w:style>
  <w:style w:type="paragraph" w:styleId="Header">
    <w:name w:val="header"/>
    <w:basedOn w:val="Normal"/>
    <w:link w:val="HeaderChar"/>
    <w:uiPriority w:val="99"/>
    <w:unhideWhenUsed/>
    <w:rsid w:val="00DA45D2"/>
    <w:pPr>
      <w:tabs>
        <w:tab w:val="center" w:pos="4680"/>
        <w:tab w:val="right" w:pos="9360"/>
      </w:tabs>
    </w:pPr>
    <w:rPr>
      <w:rFonts w:eastAsia="PMingLiU" w:cs="Times New Roman"/>
      <w:sz w:val="22"/>
    </w:rPr>
  </w:style>
  <w:style w:type="character" w:customStyle="1" w:styleId="HeaderChar">
    <w:name w:val="Header Char"/>
    <w:basedOn w:val="DefaultParagraphFont"/>
    <w:link w:val="Header"/>
    <w:uiPriority w:val="99"/>
    <w:rsid w:val="00DA45D2"/>
    <w:rPr>
      <w:rFonts w:ascii="Times New Roman" w:eastAsia="PMingLiU" w:hAnsi="Times New Roman" w:cs="Times New Roman"/>
    </w:rPr>
  </w:style>
  <w:style w:type="table" w:styleId="TableGrid">
    <w:name w:val="Table Grid"/>
    <w:basedOn w:val="TableNormal"/>
    <w:uiPriority w:val="39"/>
    <w:rsid w:val="00DA45D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DA45D2"/>
    <w:rPr>
      <w:vertAlign w:val="superscript"/>
    </w:rPr>
  </w:style>
  <w:style w:type="character" w:customStyle="1" w:styleId="ListParagraphChar">
    <w:name w:val="List Paragraph Char"/>
    <w:basedOn w:val="DefaultParagraphFont"/>
    <w:link w:val="ListParagraph"/>
    <w:uiPriority w:val="34"/>
    <w:locked/>
    <w:rsid w:val="00DA45D2"/>
    <w:rPr>
      <w:rFonts w:ascii="Times New Roman" w:eastAsiaTheme="minorEastAsia" w:hAnsi="Times New Roman" w:cs="Times New Roman"/>
      <w:sz w:val="24"/>
      <w:szCs w:val="24"/>
    </w:rPr>
  </w:style>
  <w:style w:type="paragraph" w:styleId="FootnoteText">
    <w:name w:val="footnote text"/>
    <w:basedOn w:val="Normal"/>
    <w:link w:val="FootnoteTextChar"/>
    <w:uiPriority w:val="99"/>
    <w:unhideWhenUsed/>
    <w:rsid w:val="00DA45D2"/>
    <w:pPr>
      <w:jc w:val="both"/>
    </w:pPr>
    <w:rPr>
      <w:rFonts w:ascii="Calibri" w:eastAsia="PMingLiU" w:hAnsi="Calibri" w:cs="Times New Roman"/>
      <w:sz w:val="20"/>
      <w:szCs w:val="20"/>
    </w:rPr>
  </w:style>
  <w:style w:type="character" w:customStyle="1" w:styleId="FootnoteTextChar">
    <w:name w:val="Footnote Text Char"/>
    <w:basedOn w:val="DefaultParagraphFont"/>
    <w:link w:val="FootnoteText"/>
    <w:uiPriority w:val="99"/>
    <w:rsid w:val="00DA45D2"/>
    <w:rPr>
      <w:rFonts w:ascii="Calibri" w:eastAsia="PMingLiU" w:hAnsi="Calibri" w:cs="Times New Roman"/>
      <w:sz w:val="20"/>
      <w:szCs w:val="20"/>
    </w:rPr>
  </w:style>
  <w:style w:type="paragraph" w:customStyle="1" w:styleId="A-CoverYearEnd">
    <w:name w:val="A - Cover Year End"/>
    <w:rsid w:val="00DA45D2"/>
    <w:pPr>
      <w:spacing w:after="0" w:line="240" w:lineRule="auto"/>
    </w:pPr>
    <w:rPr>
      <w:rFonts w:ascii="Trebuchet MS" w:hAnsi="Trebuchet MS"/>
      <w:sz w:val="24"/>
    </w:rPr>
  </w:style>
  <w:style w:type="paragraph" w:customStyle="1" w:styleId="A-CoverDescription">
    <w:name w:val="A - Cover Description"/>
    <w:next w:val="A-CoverYearEnd"/>
    <w:rsid w:val="00DA45D2"/>
    <w:pPr>
      <w:spacing w:after="0" w:line="240" w:lineRule="auto"/>
    </w:pPr>
    <w:rPr>
      <w:rFonts w:ascii="Trebuchet MS" w:hAnsi="Trebuchet MS"/>
      <w:sz w:val="28"/>
    </w:rPr>
  </w:style>
  <w:style w:type="paragraph" w:customStyle="1" w:styleId="A-CoverTitle">
    <w:name w:val="A - Cover Title"/>
    <w:rsid w:val="00DA45D2"/>
    <w:pPr>
      <w:spacing w:after="0" w:line="240" w:lineRule="auto"/>
    </w:pPr>
    <w:rPr>
      <w:rFonts w:ascii="Trebuchet MS" w:hAnsi="Trebuchet MS"/>
      <w:b/>
      <w:sz w:val="32"/>
    </w:rPr>
  </w:style>
  <w:style w:type="paragraph" w:customStyle="1" w:styleId="A-PageNumber">
    <w:name w:val="A - Page Number"/>
    <w:rsid w:val="00DA45D2"/>
    <w:pPr>
      <w:spacing w:after="0" w:line="240" w:lineRule="auto"/>
      <w:jc w:val="center"/>
    </w:pPr>
    <w:rPr>
      <w:rFonts w:ascii="Trebuchet MS" w:hAnsi="Trebuchet MS"/>
      <w:b/>
      <w:sz w:val="21"/>
    </w:rPr>
  </w:style>
  <w:style w:type="paragraph" w:customStyle="1" w:styleId="BDOFooter">
    <w:name w:val="BDO_Footer"/>
    <w:basedOn w:val="Normal"/>
    <w:rsid w:val="00DA45D2"/>
    <w:pPr>
      <w:spacing w:line="144" w:lineRule="exact"/>
    </w:pPr>
    <w:rPr>
      <w:rFonts w:eastAsia="Times New Roman" w:cs="Times New Roman"/>
      <w:color w:val="786860"/>
      <w:sz w:val="12"/>
      <w:szCs w:val="24"/>
      <w:lang w:eastAsia="en-GB"/>
    </w:rPr>
  </w:style>
  <w:style w:type="character" w:styleId="PageNumber">
    <w:name w:val="page number"/>
    <w:basedOn w:val="DefaultParagraphFont"/>
    <w:rsid w:val="00DA45D2"/>
  </w:style>
  <w:style w:type="paragraph" w:customStyle="1" w:styleId="BDONormal">
    <w:name w:val="BDO_Normal"/>
    <w:link w:val="BDONormalChar"/>
    <w:rsid w:val="00DA45D2"/>
    <w:pPr>
      <w:spacing w:after="0" w:line="240" w:lineRule="auto"/>
    </w:pPr>
    <w:rPr>
      <w:rFonts w:ascii="Trebuchet MS" w:eastAsia="Times New Roman" w:hAnsi="Trebuchet MS" w:cs="Times New Roman"/>
      <w:sz w:val="20"/>
      <w:szCs w:val="24"/>
      <w:lang w:eastAsia="en-GB"/>
    </w:rPr>
  </w:style>
  <w:style w:type="character" w:customStyle="1" w:styleId="BDONormalChar">
    <w:name w:val="BDO_Normal Char"/>
    <w:basedOn w:val="DefaultParagraphFont"/>
    <w:link w:val="BDONormal"/>
    <w:rsid w:val="00DA45D2"/>
    <w:rPr>
      <w:rFonts w:ascii="Trebuchet MS" w:eastAsia="Times New Roman" w:hAnsi="Trebuchet MS" w:cs="Times New Roman"/>
      <w:sz w:val="20"/>
      <w:szCs w:val="24"/>
      <w:lang w:eastAsia="en-GB"/>
    </w:rPr>
  </w:style>
  <w:style w:type="paragraph" w:customStyle="1" w:styleId="BDOBODY14ptleading">
    <w:name w:val="BDO BODY 14 pt leading"/>
    <w:basedOn w:val="Normal"/>
    <w:link w:val="BDOBODY14ptleadingChar"/>
    <w:qFormat/>
    <w:rsid w:val="00DA45D2"/>
    <w:pPr>
      <w:spacing w:after="240" w:line="280" w:lineRule="exact"/>
    </w:pPr>
    <w:rPr>
      <w:rFonts w:ascii="Trebuchet MS" w:eastAsia="Times New Roman" w:hAnsi="Trebuchet MS" w:cs="Times New Roman"/>
      <w:sz w:val="20"/>
      <w:szCs w:val="20"/>
      <w:lang w:eastAsia="en-GB"/>
    </w:rPr>
  </w:style>
  <w:style w:type="character" w:customStyle="1" w:styleId="BDOBODY14ptleadingChar">
    <w:name w:val="BDO BODY 14 pt leading Char"/>
    <w:basedOn w:val="DefaultParagraphFont"/>
    <w:link w:val="BDOBODY14ptleading"/>
    <w:rsid w:val="00DA45D2"/>
    <w:rPr>
      <w:rFonts w:ascii="Trebuchet MS" w:eastAsia="Times New Roman" w:hAnsi="Trebuchet MS" w:cs="Times New Roman"/>
      <w:sz w:val="20"/>
      <w:szCs w:val="20"/>
      <w:lang w:eastAsia="en-GB"/>
    </w:rPr>
  </w:style>
  <w:style w:type="paragraph" w:customStyle="1" w:styleId="VBABODY">
    <w:name w:val="VBA BODY"/>
    <w:basedOn w:val="Normal"/>
    <w:link w:val="VBABODYChar"/>
    <w:qFormat/>
    <w:rsid w:val="00DA45D2"/>
    <w:pPr>
      <w:spacing w:after="240" w:line="280" w:lineRule="exact"/>
    </w:pPr>
    <w:rPr>
      <w:rFonts w:ascii="Trebuchet MS" w:eastAsia="Times New Roman" w:hAnsi="Trebuchet MS" w:cs="Times New Roman"/>
      <w:color w:val="44546A" w:themeColor="text2"/>
      <w:sz w:val="18"/>
      <w:szCs w:val="20"/>
      <w:lang w:eastAsia="en-GB"/>
    </w:rPr>
  </w:style>
  <w:style w:type="character" w:customStyle="1" w:styleId="VBABODYChar">
    <w:name w:val="VBA BODY Char"/>
    <w:basedOn w:val="DefaultParagraphFont"/>
    <w:link w:val="VBABODY"/>
    <w:rsid w:val="00DA45D2"/>
    <w:rPr>
      <w:rFonts w:ascii="Trebuchet MS" w:eastAsia="Times New Roman" w:hAnsi="Trebuchet MS" w:cs="Times New Roman"/>
      <w:color w:val="44546A" w:themeColor="text2"/>
      <w:sz w:val="18"/>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00571DA55B4C1FB38EBE08F184DB07"/>
        <w:category>
          <w:name w:val="General"/>
          <w:gallery w:val="placeholder"/>
        </w:category>
        <w:types>
          <w:type w:val="bbPlcHdr"/>
        </w:types>
        <w:behaviors>
          <w:behavior w:val="content"/>
        </w:behaviors>
        <w:guid w:val="{9E212AA9-8B2D-46EE-BE0D-3C9D4430322C}"/>
      </w:docPartPr>
      <w:docPartBody>
        <w:p w:rsidR="0094789F" w:rsidRDefault="00EA0BCA" w:rsidP="00EA0BCA">
          <w:pPr>
            <w:pStyle w:val="1000571DA55B4C1FB38EBE08F184DB07"/>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BCA"/>
    <w:rsid w:val="0094789F"/>
    <w:rsid w:val="00B073A8"/>
    <w:rsid w:val="00EA0BCA"/>
    <w:rsid w:val="00F17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0BCA"/>
    <w:rPr>
      <w:color w:val="808080"/>
    </w:rPr>
  </w:style>
  <w:style w:type="paragraph" w:customStyle="1" w:styleId="1000571DA55B4C1FB38EBE08F184DB07">
    <w:name w:val="1000571DA55B4C1FB38EBE08F184DB07"/>
    <w:rsid w:val="00EA0B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 R C D M S ! 2 9 0 1 0 2 9 8 . 1 < / d o c u m e n t i d >  
     < s e n d e r i d > 1 3 8 1 < / s e n d e r i d >  
     < s e n d e r e m a i l > Y G R E E N B E R G @ R C . C O M < / s e n d e r e m a i l >  
     < l a s t m o d i f i e d > 2 0 2 4 - 0 3 - 0 1 T 1 0 : 3 8 : 0 0 . 0 0 0 0 0 0 0 - 0 5 : 0 0 < / l a s t m o d i f i e d >  
     < d a t a b a s e > R C D M S < / 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3DF02-FE6C-46C6-B17D-E9810843A2DB}">
  <ds:schemaRefs>
    <ds:schemaRef ds:uri="http://www.imanage.com/work/xmlschema"/>
  </ds:schemaRefs>
</ds:datastoreItem>
</file>

<file path=customXml/itemProps2.xml><?xml version="1.0" encoding="utf-8"?>
<ds:datastoreItem xmlns:ds="http://schemas.openxmlformats.org/officeDocument/2006/customXml" ds:itemID="{42A302D0-2FFF-43EC-8CA8-47E8B211E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18</Pages>
  <Words>3732</Words>
  <Characters>21274</Characters>
  <Application>Microsoft Office Word</Application>
  <DocSecurity>0</DocSecurity>
  <Lines>177</Lines>
  <Paragraphs>49</Paragraphs>
  <ScaleCrop>false</ScaleCrop>
  <Company/>
  <LinksUpToDate>false</LinksUpToDate>
  <CharactersWithSpaces>24957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 C</dc:creator>
  <cp:keywords/>
  <dc:description/>
  <cp:lastModifiedBy>Marks, Brett (DPH)</cp:lastModifiedBy>
  <cp:revision>6</cp:revision>
  <dcterms:created xsi:type="dcterms:W3CDTF">2024-03-01T15:37:00Z</dcterms:created>
  <dcterms:modified xsi:type="dcterms:W3CDTF">2024-03-04T19:44:00Z</dcterms:modified>
</cp:coreProperties>
</file>