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9220F" w14:textId="3514CF99" w:rsidR="00701342" w:rsidRDefault="004A6D8E" w:rsidP="004A6D8E">
      <w:pPr>
        <w:pStyle w:val="BodyText"/>
        <w:jc w:val="center"/>
        <w:rPr>
          <w:b/>
          <w:sz w:val="9"/>
        </w:rPr>
      </w:pPr>
      <w:r w:rsidRPr="004A6D8E">
        <w:rPr>
          <w:noProof/>
          <w:sz w:val="39"/>
          <w:szCs w:val="39"/>
        </w:rPr>
        <w:drawing>
          <wp:inline distT="0" distB="0" distL="0" distR="0" wp14:anchorId="027AB291" wp14:editId="56EE3DD0">
            <wp:extent cx="2369820" cy="803939"/>
            <wp:effectExtent l="0" t="0" r="0" b="0"/>
            <wp:docPr id="1458078710" name="Picture 20" descr="Fopiano &amp; Sullivan, LLC. &#10;Certified Public Accountants &amp; Business Consult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78710" name="Picture 20" descr="Fopiano &amp; Sullivan, LLC. &#10;Certified Public Accountants &amp; Business Consultan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6146" cy="806085"/>
                    </a:xfrm>
                    <a:prstGeom prst="rect">
                      <a:avLst/>
                    </a:prstGeom>
                    <a:noFill/>
                    <a:ln>
                      <a:noFill/>
                    </a:ln>
                  </pic:spPr>
                </pic:pic>
              </a:graphicData>
            </a:graphic>
          </wp:inline>
        </w:drawing>
      </w:r>
    </w:p>
    <w:p w14:paraId="5B592210" w14:textId="77777777" w:rsidR="00701342" w:rsidRDefault="00701342">
      <w:pPr>
        <w:pStyle w:val="BodyText"/>
        <w:rPr>
          <w:b/>
          <w:sz w:val="9"/>
        </w:rPr>
      </w:pPr>
    </w:p>
    <w:p w14:paraId="5B592211" w14:textId="77777777" w:rsidR="00701342" w:rsidRDefault="00701342">
      <w:pPr>
        <w:pStyle w:val="BodyText"/>
        <w:rPr>
          <w:b/>
          <w:sz w:val="9"/>
        </w:rPr>
      </w:pPr>
    </w:p>
    <w:p w14:paraId="5B592212" w14:textId="77777777" w:rsidR="00701342" w:rsidRDefault="00701342">
      <w:pPr>
        <w:pStyle w:val="BodyText"/>
        <w:rPr>
          <w:b/>
          <w:sz w:val="9"/>
        </w:rPr>
      </w:pPr>
    </w:p>
    <w:p w14:paraId="5B592213" w14:textId="77777777" w:rsidR="00701342" w:rsidRDefault="00701342">
      <w:pPr>
        <w:pStyle w:val="BodyText"/>
        <w:rPr>
          <w:b/>
          <w:sz w:val="9"/>
        </w:rPr>
      </w:pPr>
    </w:p>
    <w:p w14:paraId="5B592214" w14:textId="77777777" w:rsidR="00701342" w:rsidRDefault="00701342">
      <w:pPr>
        <w:pStyle w:val="BodyText"/>
        <w:rPr>
          <w:b/>
          <w:sz w:val="9"/>
        </w:rPr>
      </w:pPr>
    </w:p>
    <w:p w14:paraId="5B592215" w14:textId="77777777" w:rsidR="00701342" w:rsidRDefault="00701342">
      <w:pPr>
        <w:pStyle w:val="BodyText"/>
        <w:rPr>
          <w:b/>
          <w:sz w:val="9"/>
        </w:rPr>
      </w:pPr>
    </w:p>
    <w:p w14:paraId="5B592216" w14:textId="77777777" w:rsidR="00701342" w:rsidRDefault="00701342">
      <w:pPr>
        <w:pStyle w:val="BodyText"/>
        <w:rPr>
          <w:b/>
          <w:sz w:val="9"/>
        </w:rPr>
      </w:pPr>
    </w:p>
    <w:p w14:paraId="5B592217" w14:textId="77777777" w:rsidR="00701342" w:rsidRDefault="00701342">
      <w:pPr>
        <w:pStyle w:val="BodyText"/>
        <w:spacing w:before="35"/>
        <w:rPr>
          <w:b/>
          <w:sz w:val="9"/>
        </w:rPr>
      </w:pPr>
    </w:p>
    <w:p w14:paraId="3C8D6420" w14:textId="77777777" w:rsidR="00D82401" w:rsidRDefault="00D82401" w:rsidP="00D82401">
      <w:pPr>
        <w:pStyle w:val="NoSpacing"/>
        <w:ind w:left="5040" w:firstLine="720"/>
      </w:pPr>
      <w:r>
        <w:t>June 21, 2024</w:t>
      </w:r>
    </w:p>
    <w:p w14:paraId="17470049" w14:textId="77777777" w:rsidR="00D82401" w:rsidRDefault="00D82401" w:rsidP="00D82401">
      <w:pPr>
        <w:pStyle w:val="NoSpacing"/>
      </w:pPr>
    </w:p>
    <w:p w14:paraId="19E2B023" w14:textId="77777777" w:rsidR="00D82401" w:rsidRDefault="00D82401" w:rsidP="00D82401">
      <w:pPr>
        <w:pStyle w:val="NoSpacing"/>
      </w:pPr>
    </w:p>
    <w:p w14:paraId="288BEA5C" w14:textId="77777777" w:rsidR="00D82401" w:rsidRDefault="00D82401" w:rsidP="00D82401">
      <w:pPr>
        <w:pStyle w:val="NoSpacing"/>
      </w:pPr>
      <w:r>
        <w:t>Dr. Bradford Sampson</w:t>
      </w:r>
    </w:p>
    <w:p w14:paraId="1AAA9561" w14:textId="77777777" w:rsidR="00D82401" w:rsidRDefault="00D82401" w:rsidP="00D82401">
      <w:pPr>
        <w:pStyle w:val="NoSpacing"/>
      </w:pPr>
      <w:r>
        <w:t>Managing Member</w:t>
      </w:r>
    </w:p>
    <w:p w14:paraId="1D31686E" w14:textId="77777777" w:rsidR="00D82401" w:rsidRDefault="00D82401" w:rsidP="00D82401">
      <w:pPr>
        <w:pStyle w:val="NoSpacing"/>
      </w:pPr>
      <w:r>
        <w:t>Weymouth Endoscopy, LLC</w:t>
      </w:r>
    </w:p>
    <w:p w14:paraId="0B8014AA" w14:textId="77777777" w:rsidR="00D82401" w:rsidRDefault="00D82401" w:rsidP="00D82401">
      <w:pPr>
        <w:pStyle w:val="NoSpacing"/>
      </w:pPr>
      <w:r>
        <w:t>1085 Main Street</w:t>
      </w:r>
    </w:p>
    <w:p w14:paraId="4BA562EC" w14:textId="77777777" w:rsidR="00D82401" w:rsidRDefault="00D82401" w:rsidP="00D82401">
      <w:pPr>
        <w:pStyle w:val="NoSpacing"/>
      </w:pPr>
      <w:r>
        <w:t>South Weymouth, MA 02190</w:t>
      </w:r>
    </w:p>
    <w:p w14:paraId="22D0D52C" w14:textId="77777777" w:rsidR="00D82401" w:rsidRDefault="00D82401" w:rsidP="00D82401">
      <w:pPr>
        <w:pStyle w:val="NoSpacing"/>
      </w:pPr>
    </w:p>
    <w:p w14:paraId="408EBFDE" w14:textId="77777777" w:rsidR="00D82401" w:rsidRDefault="00D82401" w:rsidP="00D82401">
      <w:pPr>
        <w:pStyle w:val="NoSpacing"/>
      </w:pPr>
      <w:r>
        <w:t>Dear Dr. Sampson,</w:t>
      </w:r>
    </w:p>
    <w:p w14:paraId="3F637B0B" w14:textId="77777777" w:rsidR="00D82401" w:rsidRDefault="00D82401" w:rsidP="00D82401">
      <w:pPr>
        <w:pStyle w:val="NoSpacing"/>
      </w:pPr>
    </w:p>
    <w:p w14:paraId="66743534" w14:textId="77777777" w:rsidR="00D82401" w:rsidRDefault="00D82401" w:rsidP="00D82401">
      <w:pPr>
        <w:pStyle w:val="NoSpacing"/>
      </w:pPr>
      <w:r>
        <w:t>We have performed an analysis of the financial projections prepared by Weymouth Endoscopy, LLC (“WELLC” or “the Company”) detailing the projected operations of WELLC Expansion Project, consisting of moving the Endoscopy Center to 97 Libbey Parkway, Weymouth, MA 02189 and expanding it from three to six procedure rooms to aide in handling the increased patient volume in the service area. This report details our analysis and findings with regards to the reasonableness of assumptions used in the preparation and feasibility of the projected financial information of WELLC as prepared by the management of WELLC (“Management”). This report is to be included by WELLC in its Determination of Need (“</w:t>
      </w:r>
      <w:proofErr w:type="spellStart"/>
      <w:r>
        <w:t>DoN</w:t>
      </w:r>
      <w:proofErr w:type="spellEnd"/>
      <w:r>
        <w:t>”) Application – Factor 4(a) and should not be distributed or relied upon for any other purpose.</w:t>
      </w:r>
    </w:p>
    <w:p w14:paraId="1329EE6D" w14:textId="77777777" w:rsidR="00D82401" w:rsidRDefault="00D82401" w:rsidP="00D82401">
      <w:pPr>
        <w:pStyle w:val="NoSpacing"/>
      </w:pPr>
    </w:p>
    <w:p w14:paraId="4AAC799A" w14:textId="77777777" w:rsidR="00D82401" w:rsidRDefault="00D82401" w:rsidP="00D82401">
      <w:pPr>
        <w:pStyle w:val="NoSpacing"/>
        <w:rPr>
          <w:b/>
          <w:bCs/>
        </w:rPr>
      </w:pPr>
      <w:r>
        <w:rPr>
          <w:b/>
          <w:bCs/>
        </w:rPr>
        <w:t>I.</w:t>
      </w:r>
      <w:r>
        <w:rPr>
          <w:b/>
          <w:bCs/>
        </w:rPr>
        <w:tab/>
      </w:r>
      <w:r>
        <w:rPr>
          <w:b/>
          <w:bCs/>
          <w:u w:val="single"/>
        </w:rPr>
        <w:t>EXECUTIVE SUMMARY</w:t>
      </w:r>
      <w:r>
        <w:rPr>
          <w:b/>
          <w:bCs/>
        </w:rPr>
        <w:t xml:space="preserve"> </w:t>
      </w:r>
    </w:p>
    <w:p w14:paraId="55C1F704" w14:textId="77777777" w:rsidR="00D82401" w:rsidRDefault="00D82401" w:rsidP="00D82401">
      <w:pPr>
        <w:pStyle w:val="NoSpacing"/>
        <w:rPr>
          <w:b/>
          <w:bCs/>
        </w:rPr>
      </w:pPr>
    </w:p>
    <w:p w14:paraId="0D2E27C7" w14:textId="77777777" w:rsidR="00D82401" w:rsidRDefault="00D82401" w:rsidP="00D82401">
      <w:pPr>
        <w:pStyle w:val="NoSpacing"/>
      </w:pPr>
      <w:r>
        <w:t>The scope of our analysis was limited to the five-year financial projections (the “Projections”) prepared by Management, as well as the analysis of existing results of WELLC for the 12 months ended December 31, 2023, and the twelve months ended March 31, 2024, and the related support documentation provided by WELLC. The purpose is to assess the reasonableness of assumptions used in the preparation and feasibility of the Projections with regards to the impact of the change in location and expansion of WELLC.</w:t>
      </w:r>
    </w:p>
    <w:p w14:paraId="3EB8B02B" w14:textId="77777777" w:rsidR="00D82401" w:rsidRDefault="00D82401" w:rsidP="00D82401">
      <w:pPr>
        <w:pStyle w:val="NoSpacing"/>
      </w:pPr>
    </w:p>
    <w:p w14:paraId="4E4B4846" w14:textId="77777777" w:rsidR="00D82401" w:rsidRDefault="00D82401" w:rsidP="00D82401">
      <w:pPr>
        <w:pStyle w:val="NoSpacing"/>
      </w:pPr>
      <w:r>
        <w:t xml:space="preserve">The new location and the increase in procedure rooms is projected to improve overall access to care for </w:t>
      </w:r>
      <w:proofErr w:type="gramStart"/>
      <w:r w:rsidRPr="002B5C45">
        <w:t>all of</w:t>
      </w:r>
      <w:proofErr w:type="gramEnd"/>
      <w:r w:rsidRPr="002B5C45">
        <w:t xml:space="preserve"> the patient population</w:t>
      </w:r>
      <w:r>
        <w:t>. WELLC can now recruit new doctors as they will have access to more procedure rooms. We determined that the Projections were not likely to result in a scenario where there are insufficient funds available for the ongoing operating costs required to support the new endoscopy center. WELLC will require approximately a $3.21 million loan for leasehold improvements and additional endoscopy equipment. It is our conclusion that the Projections are financially feasible within the financial capability of the Company as detailed below.</w:t>
      </w:r>
    </w:p>
    <w:p w14:paraId="5B592224" w14:textId="77777777" w:rsidR="00701342" w:rsidRDefault="00701342">
      <w:pPr>
        <w:pStyle w:val="BodyText"/>
      </w:pPr>
    </w:p>
    <w:p w14:paraId="5B592225" w14:textId="77777777" w:rsidR="00701342" w:rsidRDefault="00701342">
      <w:pPr>
        <w:pStyle w:val="BodyText"/>
      </w:pPr>
    </w:p>
    <w:p w14:paraId="5B592226" w14:textId="77777777" w:rsidR="00701342" w:rsidRDefault="00701342">
      <w:pPr>
        <w:pStyle w:val="BodyText"/>
      </w:pPr>
    </w:p>
    <w:p w14:paraId="5B592227" w14:textId="77777777" w:rsidR="00701342" w:rsidRDefault="00701342">
      <w:pPr>
        <w:pStyle w:val="BodyText"/>
      </w:pPr>
    </w:p>
    <w:p w14:paraId="5B592228" w14:textId="77777777" w:rsidR="00701342" w:rsidRDefault="00701342">
      <w:pPr>
        <w:pStyle w:val="BodyText"/>
      </w:pPr>
    </w:p>
    <w:p w14:paraId="5B592229" w14:textId="77777777" w:rsidR="00701342" w:rsidRDefault="00701342">
      <w:pPr>
        <w:pStyle w:val="BodyText"/>
      </w:pPr>
    </w:p>
    <w:p w14:paraId="5B59222A" w14:textId="77777777" w:rsidR="00701342" w:rsidRDefault="00701342">
      <w:pPr>
        <w:pStyle w:val="BodyText"/>
        <w:spacing w:before="73"/>
      </w:pPr>
    </w:p>
    <w:p w14:paraId="5B59222F" w14:textId="77777777" w:rsidR="00701342" w:rsidRDefault="00701342">
      <w:pPr>
        <w:spacing w:line="226" w:lineRule="exact"/>
        <w:jc w:val="center"/>
        <w:sectPr w:rsidR="00701342">
          <w:footerReference w:type="default" r:id="rId8"/>
          <w:type w:val="continuous"/>
          <w:pgSz w:w="12060" w:h="15780"/>
          <w:pgMar w:top="560" w:right="1200" w:bottom="280" w:left="1260" w:header="720" w:footer="720" w:gutter="0"/>
          <w:cols w:space="720"/>
        </w:sectPr>
      </w:pPr>
    </w:p>
    <w:p w14:paraId="0B28C8D5" w14:textId="77777777" w:rsidR="00E83A56" w:rsidRDefault="00E83A56" w:rsidP="00E83A56">
      <w:pPr>
        <w:pStyle w:val="NoSpacing"/>
        <w:rPr>
          <w:b/>
          <w:bCs/>
          <w:u w:val="single"/>
        </w:rPr>
      </w:pPr>
      <w:r>
        <w:rPr>
          <w:b/>
          <w:bCs/>
        </w:rPr>
        <w:lastRenderedPageBreak/>
        <w:t>II</w:t>
      </w:r>
      <w:r w:rsidRPr="00CC1072">
        <w:rPr>
          <w:b/>
          <w:bCs/>
        </w:rPr>
        <w:t xml:space="preserve">.        </w:t>
      </w:r>
      <w:r w:rsidRPr="00CC1072">
        <w:rPr>
          <w:b/>
          <w:bCs/>
          <w:u w:val="single"/>
        </w:rPr>
        <w:t xml:space="preserve"> RELEVENT BACKGROUND INFORMATION</w:t>
      </w:r>
    </w:p>
    <w:p w14:paraId="36AD39E5" w14:textId="77777777" w:rsidR="00E83A56" w:rsidRDefault="00E83A56" w:rsidP="00E83A56">
      <w:pPr>
        <w:pStyle w:val="NoSpacing"/>
      </w:pPr>
    </w:p>
    <w:p w14:paraId="2E92C79B" w14:textId="77777777" w:rsidR="00E83A56" w:rsidRDefault="00E83A56" w:rsidP="00E83A56">
      <w:pPr>
        <w:pStyle w:val="NoSpacing"/>
      </w:pPr>
      <w:r w:rsidRPr="00A175B0">
        <w:t xml:space="preserve">Refer to </w:t>
      </w:r>
      <w:r>
        <w:t>F</w:t>
      </w:r>
      <w:r w:rsidRPr="00A175B0">
        <w:t xml:space="preserve">actor </w:t>
      </w:r>
      <w:r>
        <w:t>1</w:t>
      </w:r>
      <w:r w:rsidRPr="00A175B0">
        <w:t xml:space="preserve"> of the </w:t>
      </w:r>
      <w:proofErr w:type="spellStart"/>
      <w:r w:rsidRPr="00A175B0">
        <w:t>D</w:t>
      </w:r>
      <w:r>
        <w:t>oN</w:t>
      </w:r>
      <w:proofErr w:type="spellEnd"/>
      <w:r w:rsidRPr="00A175B0">
        <w:t xml:space="preserve"> application for a description of the scope of the </w:t>
      </w:r>
      <w:r>
        <w:t>application</w:t>
      </w:r>
      <w:r w:rsidRPr="00A175B0">
        <w:t>, as well as the overall description and rationale of the need to change</w:t>
      </w:r>
      <w:r>
        <w:t xml:space="preserve"> the</w:t>
      </w:r>
      <w:r w:rsidRPr="00A175B0">
        <w:t xml:space="preserve"> location.</w:t>
      </w:r>
    </w:p>
    <w:p w14:paraId="50004EBD" w14:textId="77777777" w:rsidR="00E83A56" w:rsidRDefault="00E83A56" w:rsidP="00E83A56">
      <w:pPr>
        <w:pStyle w:val="NoSpacing"/>
      </w:pPr>
    </w:p>
    <w:p w14:paraId="36D982CD" w14:textId="77777777" w:rsidR="00E83A56" w:rsidRDefault="00E83A56" w:rsidP="00E83A56">
      <w:pPr>
        <w:pStyle w:val="NoSpacing"/>
        <w:rPr>
          <w:b/>
          <w:bCs/>
          <w:u w:val="single"/>
        </w:rPr>
      </w:pPr>
      <w:r>
        <w:rPr>
          <w:b/>
          <w:bCs/>
        </w:rPr>
        <w:t xml:space="preserve">III.       </w:t>
      </w:r>
      <w:r>
        <w:rPr>
          <w:b/>
          <w:bCs/>
          <w:u w:val="single"/>
        </w:rPr>
        <w:t>SCOPE OF REPORT</w:t>
      </w:r>
    </w:p>
    <w:p w14:paraId="517BB9A7" w14:textId="77777777" w:rsidR="00E83A56" w:rsidRDefault="00E83A56" w:rsidP="00E83A56">
      <w:pPr>
        <w:pStyle w:val="NoSpacing"/>
        <w:rPr>
          <w:b/>
          <w:bCs/>
          <w:u w:val="single"/>
        </w:rPr>
      </w:pPr>
    </w:p>
    <w:p w14:paraId="128E2AF1" w14:textId="77777777" w:rsidR="00E83A56" w:rsidRDefault="00E83A56" w:rsidP="00E83A56">
      <w:pPr>
        <w:pStyle w:val="NoSpacing"/>
      </w:pPr>
      <w:r>
        <w:t xml:space="preserve">The scope of this report is limited to an analysis of the Projections prepared by Management and supporting documents </w:t>
      </w:r>
      <w:proofErr w:type="gramStart"/>
      <w:r>
        <w:t>in order to</w:t>
      </w:r>
      <w:proofErr w:type="gramEnd"/>
      <w:r>
        <w:t xml:space="preserve"> assess the reasonableness of the assumptions used in the preparation and feasibility of the Projections with regard to the proposed project. Our analysis of the Projections and conclusions contained within this report are based upon our detailed review of all relevant information (see section IV of this report). We have gained an understanding through a review of the information provided by Management, including results of the existing WELLC practice, as well as the review of the internal financial statements of WELLC for the year ended December 31, 2023, the twelve months ended March 31, </w:t>
      </w:r>
      <w:proofErr w:type="gramStart"/>
      <w:r>
        <w:t>2024</w:t>
      </w:r>
      <w:proofErr w:type="gramEnd"/>
      <w:r>
        <w:t xml:space="preserve"> and the </w:t>
      </w:r>
      <w:proofErr w:type="spellStart"/>
      <w:r>
        <w:t>DoN</w:t>
      </w:r>
      <w:proofErr w:type="spellEnd"/>
      <w:r>
        <w:t xml:space="preserve"> application.</w:t>
      </w:r>
    </w:p>
    <w:p w14:paraId="731208E9" w14:textId="77777777" w:rsidR="00E83A56" w:rsidRDefault="00E83A56" w:rsidP="00E83A56">
      <w:pPr>
        <w:pStyle w:val="NoSpacing"/>
      </w:pPr>
    </w:p>
    <w:p w14:paraId="15ECB6AD" w14:textId="77777777" w:rsidR="00E83A56" w:rsidRDefault="00E83A56" w:rsidP="00E83A56">
      <w:pPr>
        <w:pStyle w:val="NoSpacing"/>
      </w:pPr>
      <w:r>
        <w:t>Reasonableness is defined within the context of this report as supportable and proper, given the underlying information. Feasibility is defined as based on the assumptions used, the plan is not likely to result in insufficient funds available for capital and ongoing operating costs necessary to support the proposed project without negative impact or consequences to the Company, its parties, or the patient panel.</w:t>
      </w:r>
    </w:p>
    <w:p w14:paraId="3528D135" w14:textId="77777777" w:rsidR="00E83A56" w:rsidRDefault="00E83A56" w:rsidP="00E83A56">
      <w:pPr>
        <w:pStyle w:val="NoSpacing"/>
      </w:pPr>
    </w:p>
    <w:p w14:paraId="79EEA73B" w14:textId="77777777" w:rsidR="00E83A56" w:rsidRDefault="00E83A56" w:rsidP="00E83A56">
      <w:pPr>
        <w:pStyle w:val="NoSpacing"/>
      </w:pPr>
      <w:r>
        <w:t>This report is based upon historical and prospective financial information provided to us by Management. If Fopiano and Sullivan, LLC had audited the underlying data, matters may have come to our attention that would have resulted in using amounts that differ from those provided. Accordingly, we do not express an opinion or any other assurances on the underlying data presented or relied upon in this report. We do not provide assurances on the achievability of the results forecasted by Management because events and circumstances frequently do not occur as expected, and the achievement of the forecasted results is dependent on the actions, plans, and assumptions of Management. We reserve the right to update our analysis if we are provided with additional information.</w:t>
      </w:r>
    </w:p>
    <w:p w14:paraId="53927F7D" w14:textId="77777777" w:rsidR="00E83A56" w:rsidRDefault="00E83A56" w:rsidP="00E83A56">
      <w:pPr>
        <w:pStyle w:val="NoSpacing"/>
      </w:pPr>
    </w:p>
    <w:p w14:paraId="3631BE65" w14:textId="77777777" w:rsidR="00E83A56" w:rsidRDefault="00E83A56" w:rsidP="00E83A56">
      <w:pPr>
        <w:pStyle w:val="NoSpacing"/>
        <w:rPr>
          <w:b/>
          <w:bCs/>
          <w:u w:val="single"/>
        </w:rPr>
      </w:pPr>
      <w:r>
        <w:rPr>
          <w:b/>
          <w:bCs/>
        </w:rPr>
        <w:t>IV.</w:t>
      </w:r>
      <w:r>
        <w:rPr>
          <w:b/>
          <w:bCs/>
        </w:rPr>
        <w:tab/>
      </w:r>
      <w:r>
        <w:rPr>
          <w:b/>
          <w:bCs/>
          <w:u w:val="single"/>
        </w:rPr>
        <w:t>PRIMARY SOURCES OF INFORMATION UTILIZED</w:t>
      </w:r>
    </w:p>
    <w:p w14:paraId="2D61F652" w14:textId="77777777" w:rsidR="00E83A56" w:rsidRDefault="00E83A56" w:rsidP="00E83A56">
      <w:pPr>
        <w:pStyle w:val="NoSpacing"/>
        <w:rPr>
          <w:b/>
          <w:bCs/>
          <w:u w:val="single"/>
        </w:rPr>
      </w:pPr>
    </w:p>
    <w:p w14:paraId="22336229" w14:textId="77777777" w:rsidR="00E83A56" w:rsidRDefault="00E83A56" w:rsidP="00E83A56">
      <w:pPr>
        <w:pStyle w:val="NoSpacing"/>
      </w:pPr>
      <w:r w:rsidRPr="00D456E2">
        <w:t>Formulating our opinions and conclusions contained in this report, we obtained and reviewed various documents obtained f</w:t>
      </w:r>
      <w:r>
        <w:t>rom</w:t>
      </w:r>
      <w:r w:rsidRPr="00D456E2">
        <w:t xml:space="preserve"> </w:t>
      </w:r>
      <w:r>
        <w:t>M</w:t>
      </w:r>
      <w:r w:rsidRPr="00D456E2">
        <w:t xml:space="preserve">anagement. The documents and information we used </w:t>
      </w:r>
      <w:r>
        <w:t>and</w:t>
      </w:r>
      <w:r w:rsidRPr="00D456E2">
        <w:t xml:space="preserve"> relied on are noted below and/or referred to in this report:</w:t>
      </w:r>
    </w:p>
    <w:p w14:paraId="2849857B" w14:textId="77777777" w:rsidR="00E83A56" w:rsidRDefault="00E83A56" w:rsidP="00E83A56">
      <w:pPr>
        <w:pStyle w:val="NoSpacing"/>
      </w:pPr>
    </w:p>
    <w:p w14:paraId="27927735" w14:textId="77777777" w:rsidR="00E83A56" w:rsidRDefault="00E83A56" w:rsidP="00E83A56">
      <w:pPr>
        <w:pStyle w:val="NoSpacing"/>
        <w:numPr>
          <w:ilvl w:val="0"/>
          <w:numId w:val="7"/>
        </w:numPr>
      </w:pPr>
      <w:r>
        <w:t>Operating revenue and expenses for existing results of WELLC for the 12 months ended December 31, 2023.</w:t>
      </w:r>
    </w:p>
    <w:p w14:paraId="38F3F695" w14:textId="77777777" w:rsidR="00E83A56" w:rsidRDefault="00E83A56" w:rsidP="00E83A56">
      <w:pPr>
        <w:pStyle w:val="NoSpacing"/>
        <w:ind w:left="360"/>
      </w:pPr>
    </w:p>
    <w:p w14:paraId="0247932A" w14:textId="77777777" w:rsidR="00E83A56" w:rsidRDefault="00E83A56" w:rsidP="00E83A56">
      <w:pPr>
        <w:pStyle w:val="NoSpacing"/>
        <w:numPr>
          <w:ilvl w:val="0"/>
          <w:numId w:val="7"/>
        </w:numPr>
      </w:pPr>
      <w:r>
        <w:t>WELLC internal financial statements as of and for the years ended December 31, 2020, 2021, 2022, and 2023.</w:t>
      </w:r>
    </w:p>
    <w:p w14:paraId="5B592243" w14:textId="77777777" w:rsidR="00701342" w:rsidRDefault="00701342">
      <w:pPr>
        <w:spacing w:line="280" w:lineRule="auto"/>
        <w:rPr>
          <w:sz w:val="20"/>
        </w:rPr>
        <w:sectPr w:rsidR="00701342">
          <w:footerReference w:type="default" r:id="rId9"/>
          <w:pgSz w:w="12150" w:h="15810"/>
          <w:pgMar w:top="1340" w:right="1340" w:bottom="1340" w:left="1320" w:header="0" w:footer="1159" w:gutter="0"/>
          <w:pgNumType w:start="2"/>
          <w:cols w:space="720"/>
        </w:sectPr>
      </w:pPr>
    </w:p>
    <w:p w14:paraId="522D18F7" w14:textId="77777777" w:rsidR="00E87BB3" w:rsidRDefault="00E87BB3" w:rsidP="00E87BB3">
      <w:pPr>
        <w:pStyle w:val="NoSpacing"/>
        <w:rPr>
          <w:b/>
          <w:bCs/>
          <w:u w:val="single"/>
        </w:rPr>
      </w:pPr>
      <w:r>
        <w:rPr>
          <w:b/>
          <w:bCs/>
        </w:rPr>
        <w:lastRenderedPageBreak/>
        <w:t>IV.</w:t>
      </w:r>
      <w:r>
        <w:rPr>
          <w:b/>
          <w:bCs/>
        </w:rPr>
        <w:tab/>
      </w:r>
      <w:r>
        <w:rPr>
          <w:b/>
          <w:bCs/>
          <w:u w:val="single"/>
        </w:rPr>
        <w:t>PRIMARY SOURCES OF INFORMATION UTILIZED</w:t>
      </w:r>
      <w:r w:rsidRPr="007F59F6">
        <w:rPr>
          <w:b/>
          <w:bCs/>
        </w:rPr>
        <w:t xml:space="preserve"> (continued)</w:t>
      </w:r>
    </w:p>
    <w:p w14:paraId="27238CF4" w14:textId="77777777" w:rsidR="00E87BB3" w:rsidRDefault="00E87BB3" w:rsidP="00E87BB3">
      <w:pPr>
        <w:pStyle w:val="NoSpacing"/>
        <w:ind w:left="720"/>
      </w:pPr>
    </w:p>
    <w:p w14:paraId="19E34296" w14:textId="77777777" w:rsidR="00E87BB3" w:rsidRDefault="00E87BB3" w:rsidP="00E87BB3">
      <w:pPr>
        <w:pStyle w:val="NoSpacing"/>
        <w:numPr>
          <w:ilvl w:val="0"/>
          <w:numId w:val="7"/>
        </w:numPr>
      </w:pPr>
      <w:r>
        <w:t>Projected pro-forma revenue and expenses for the five years ended December 31, 2024, 2025, 2026, 2027, 2028 and 2029.</w:t>
      </w:r>
    </w:p>
    <w:p w14:paraId="3E7E3515" w14:textId="77777777" w:rsidR="00E87BB3" w:rsidRDefault="00E87BB3" w:rsidP="00E87BB3">
      <w:pPr>
        <w:pStyle w:val="ListParagraph"/>
      </w:pPr>
    </w:p>
    <w:p w14:paraId="0AC73023" w14:textId="77777777" w:rsidR="00E87BB3" w:rsidRDefault="00E87BB3" w:rsidP="00E87BB3">
      <w:pPr>
        <w:pStyle w:val="NoSpacing"/>
        <w:numPr>
          <w:ilvl w:val="0"/>
          <w:numId w:val="7"/>
        </w:numPr>
      </w:pPr>
      <w:r>
        <w:t>WELLC internal financial and statistical reporting procedures performed for the 12 months ended March 31, 2024.</w:t>
      </w:r>
    </w:p>
    <w:p w14:paraId="168E6976" w14:textId="77777777" w:rsidR="00E87BB3" w:rsidRDefault="00E87BB3" w:rsidP="00E87BB3">
      <w:pPr>
        <w:pStyle w:val="ListParagraph"/>
      </w:pPr>
    </w:p>
    <w:p w14:paraId="707096ED" w14:textId="77777777" w:rsidR="00E87BB3" w:rsidRDefault="00E87BB3" w:rsidP="00E87BB3">
      <w:pPr>
        <w:pStyle w:val="NoSpacing"/>
        <w:numPr>
          <w:ilvl w:val="0"/>
          <w:numId w:val="7"/>
        </w:numPr>
      </w:pPr>
      <w:r>
        <w:t xml:space="preserve">Historical volume of WELLC procedures performed by physicians for the years ended December 31, </w:t>
      </w:r>
      <w:r w:rsidRPr="008D1BAE">
        <w:t>20</w:t>
      </w:r>
      <w:r>
        <w:t>21, 2022, 2023</w:t>
      </w:r>
      <w:r w:rsidRPr="008D1BAE">
        <w:t>.</w:t>
      </w:r>
    </w:p>
    <w:p w14:paraId="2A5AF1BE" w14:textId="77777777" w:rsidR="00E87BB3" w:rsidRDefault="00E87BB3" w:rsidP="00E87BB3">
      <w:pPr>
        <w:pStyle w:val="ListParagraph"/>
      </w:pPr>
    </w:p>
    <w:p w14:paraId="7DF8D25F" w14:textId="77777777" w:rsidR="00E87BB3" w:rsidRDefault="00E87BB3" w:rsidP="00E87BB3">
      <w:pPr>
        <w:pStyle w:val="NoSpacing"/>
        <w:numPr>
          <w:ilvl w:val="0"/>
          <w:numId w:val="7"/>
        </w:numPr>
      </w:pPr>
      <w:r>
        <w:t xml:space="preserve">WELLC’s </w:t>
      </w:r>
      <w:r w:rsidRPr="002B5C45">
        <w:t xml:space="preserve">projected financial position </w:t>
      </w:r>
      <w:r>
        <w:t>when tenant improvements are complete.</w:t>
      </w:r>
    </w:p>
    <w:p w14:paraId="4DAB8A3C" w14:textId="77777777" w:rsidR="00E87BB3" w:rsidRDefault="00E87BB3" w:rsidP="00E87BB3">
      <w:pPr>
        <w:pStyle w:val="ListParagraph"/>
      </w:pPr>
    </w:p>
    <w:p w14:paraId="48E30639" w14:textId="77777777" w:rsidR="00E87BB3" w:rsidRDefault="00E87BB3" w:rsidP="00E87BB3">
      <w:pPr>
        <w:pStyle w:val="NoSpacing"/>
        <w:numPr>
          <w:ilvl w:val="0"/>
          <w:numId w:val="7"/>
        </w:numPr>
      </w:pPr>
      <w:r>
        <w:t>Determination of need application instructions dated March 2017</w:t>
      </w:r>
    </w:p>
    <w:p w14:paraId="48729E29" w14:textId="77777777" w:rsidR="00E87BB3" w:rsidRDefault="00E87BB3" w:rsidP="00E87BB3">
      <w:pPr>
        <w:pStyle w:val="ListParagraph"/>
      </w:pPr>
    </w:p>
    <w:p w14:paraId="702A627C" w14:textId="77777777" w:rsidR="00E87BB3" w:rsidRDefault="00E87BB3" w:rsidP="00E87BB3">
      <w:pPr>
        <w:pStyle w:val="NoSpacing"/>
        <w:numPr>
          <w:ilvl w:val="0"/>
          <w:numId w:val="7"/>
        </w:numPr>
      </w:pPr>
      <w:r>
        <w:t xml:space="preserve">Draft </w:t>
      </w:r>
      <w:proofErr w:type="spellStart"/>
      <w:r>
        <w:t>DoN</w:t>
      </w:r>
      <w:proofErr w:type="spellEnd"/>
      <w:r>
        <w:t xml:space="preserve"> provided June 5, 2024.</w:t>
      </w:r>
    </w:p>
    <w:p w14:paraId="251115DA" w14:textId="77777777" w:rsidR="00E87BB3" w:rsidRDefault="00E87BB3" w:rsidP="00E87BB3">
      <w:pPr>
        <w:pStyle w:val="ListParagraph"/>
      </w:pPr>
    </w:p>
    <w:p w14:paraId="1B8007C4" w14:textId="77777777" w:rsidR="00E87BB3" w:rsidRDefault="00E87BB3" w:rsidP="00E87BB3">
      <w:pPr>
        <w:pStyle w:val="NoSpacing"/>
        <w:rPr>
          <w:b/>
          <w:bCs/>
          <w:u w:val="single"/>
        </w:rPr>
      </w:pPr>
      <w:r>
        <w:rPr>
          <w:b/>
          <w:bCs/>
        </w:rPr>
        <w:t>V.</w:t>
      </w:r>
      <w:r>
        <w:rPr>
          <w:b/>
          <w:bCs/>
        </w:rPr>
        <w:tab/>
        <w:t xml:space="preserve"> </w:t>
      </w:r>
      <w:r>
        <w:rPr>
          <w:b/>
          <w:bCs/>
          <w:u w:val="single"/>
        </w:rPr>
        <w:t>REVIEW OF THE PROJECTIONS</w:t>
      </w:r>
    </w:p>
    <w:p w14:paraId="19B6AD31" w14:textId="77777777" w:rsidR="00E87BB3" w:rsidRDefault="00E87BB3" w:rsidP="00E87BB3">
      <w:pPr>
        <w:pStyle w:val="NoSpacing"/>
        <w:rPr>
          <w:b/>
          <w:bCs/>
          <w:u w:val="single"/>
        </w:rPr>
      </w:pPr>
    </w:p>
    <w:p w14:paraId="101EF31E" w14:textId="77777777" w:rsidR="00E87BB3" w:rsidRDefault="00E87BB3" w:rsidP="00E87BB3">
      <w:pPr>
        <w:pStyle w:val="NoSpacing"/>
      </w:pPr>
      <w:r>
        <w:t>This section of the report summarizes our review of reasonableness of the assumptions used in feasibility of the Projections. The Projections are delineated between five categories of revenue and six categories of operating expenses of WELLC as well as other nonoperative gains and losses for the Company. The following table presents the Key Metrics, as defined below, of WELLC which compares the results of the Projections for fiscal years ending 2025 through 2029 to WELLC historical results for the fiscal year ended December 31, 2023.</w:t>
      </w:r>
    </w:p>
    <w:p w14:paraId="5B59225B" w14:textId="77777777" w:rsidR="00701342" w:rsidRDefault="00701342">
      <w:pPr>
        <w:pStyle w:val="BodyText"/>
        <w:spacing w:before="87"/>
      </w:pPr>
    </w:p>
    <w:p w14:paraId="5B59225D" w14:textId="05A44ECB" w:rsidR="00701342" w:rsidRPr="007B27FF" w:rsidRDefault="007B27FF" w:rsidP="007B27FF">
      <w:pPr>
        <w:tabs>
          <w:tab w:val="left" w:pos="3870"/>
        </w:tabs>
        <w:spacing w:before="35" w:after="25"/>
        <w:ind w:left="2940"/>
        <w:rPr>
          <w:b/>
          <w:sz w:val="18"/>
          <w:u w:val="single"/>
        </w:rPr>
      </w:pPr>
      <w:r>
        <w:rPr>
          <w:b/>
          <w:w w:val="90"/>
          <w:sz w:val="18"/>
        </w:rPr>
        <w:tab/>
      </w:r>
      <w:r w:rsidR="00854FB2" w:rsidRPr="007B27FF">
        <w:rPr>
          <w:b/>
          <w:w w:val="90"/>
          <w:sz w:val="18"/>
          <w:u w:val="single"/>
        </w:rPr>
        <w:t xml:space="preserve">Change in </w:t>
      </w:r>
      <w:r w:rsidRPr="007B27FF">
        <w:rPr>
          <w:b/>
          <w:w w:val="90"/>
          <w:sz w:val="18"/>
          <w:u w:val="single"/>
        </w:rPr>
        <w:t>Key Metric of pro-forma results compared to prior year</w:t>
      </w:r>
    </w:p>
    <w:tbl>
      <w:tblPr>
        <w:tblW w:w="0" w:type="auto"/>
        <w:tblInd w:w="124" w:type="dxa"/>
        <w:tblLayout w:type="fixed"/>
        <w:tblCellMar>
          <w:left w:w="0" w:type="dxa"/>
          <w:right w:w="0" w:type="dxa"/>
        </w:tblCellMar>
        <w:tblLook w:val="01E0" w:firstRow="1" w:lastRow="1" w:firstColumn="1" w:lastColumn="1" w:noHBand="0" w:noVBand="0"/>
      </w:tblPr>
      <w:tblGrid>
        <w:gridCol w:w="2391"/>
        <w:gridCol w:w="1351"/>
        <w:gridCol w:w="1049"/>
        <w:gridCol w:w="1049"/>
        <w:gridCol w:w="1050"/>
        <w:gridCol w:w="1056"/>
        <w:gridCol w:w="972"/>
      </w:tblGrid>
      <w:tr w:rsidR="00290D7C" w14:paraId="12E7DBCE" w14:textId="77777777" w:rsidTr="0021500B">
        <w:trPr>
          <w:cantSplit/>
          <w:trHeight w:val="320"/>
          <w:tblHeader/>
        </w:trPr>
        <w:tc>
          <w:tcPr>
            <w:tcW w:w="2391" w:type="dxa"/>
          </w:tcPr>
          <w:p w14:paraId="24E9851C" w14:textId="77777777" w:rsidR="00290D7C" w:rsidRPr="00290D7C" w:rsidRDefault="00290D7C" w:rsidP="00290D7C">
            <w:pPr>
              <w:rPr>
                <w:sz w:val="16"/>
                <w:szCs w:val="16"/>
              </w:rPr>
            </w:pPr>
          </w:p>
        </w:tc>
        <w:tc>
          <w:tcPr>
            <w:tcW w:w="1351" w:type="dxa"/>
            <w:tcBorders>
              <w:bottom w:val="single" w:sz="4" w:space="0" w:color="auto"/>
            </w:tcBorders>
          </w:tcPr>
          <w:p w14:paraId="2DA444E3" w14:textId="6BBE6147" w:rsidR="00290D7C" w:rsidRPr="00290D7C" w:rsidRDefault="00290D7C" w:rsidP="00290D7C">
            <w:pPr>
              <w:jc w:val="center"/>
              <w:rPr>
                <w:b/>
                <w:bCs/>
                <w:sz w:val="16"/>
                <w:szCs w:val="16"/>
              </w:rPr>
            </w:pPr>
            <w:r w:rsidRPr="00290D7C">
              <w:rPr>
                <w:b/>
                <w:bCs/>
                <w:sz w:val="16"/>
                <w:szCs w:val="16"/>
              </w:rPr>
              <w:t>WELLC, as reported</w:t>
            </w:r>
          </w:p>
        </w:tc>
        <w:tc>
          <w:tcPr>
            <w:tcW w:w="1049" w:type="dxa"/>
            <w:tcBorders>
              <w:bottom w:val="single" w:sz="4" w:space="0" w:color="auto"/>
            </w:tcBorders>
          </w:tcPr>
          <w:p w14:paraId="11F37768" w14:textId="3AA50AB0" w:rsidR="00290D7C" w:rsidRPr="00290D7C" w:rsidRDefault="00290D7C" w:rsidP="00290D7C">
            <w:pPr>
              <w:rPr>
                <w:sz w:val="16"/>
                <w:szCs w:val="16"/>
              </w:rPr>
            </w:pPr>
          </w:p>
        </w:tc>
        <w:tc>
          <w:tcPr>
            <w:tcW w:w="1049" w:type="dxa"/>
            <w:tcBorders>
              <w:bottom w:val="single" w:sz="4" w:space="0" w:color="auto"/>
            </w:tcBorders>
          </w:tcPr>
          <w:p w14:paraId="44389A70" w14:textId="77777777" w:rsidR="00290D7C" w:rsidRPr="00290D7C" w:rsidRDefault="00290D7C" w:rsidP="00290D7C">
            <w:pPr>
              <w:rPr>
                <w:sz w:val="16"/>
                <w:szCs w:val="16"/>
              </w:rPr>
            </w:pPr>
          </w:p>
        </w:tc>
        <w:tc>
          <w:tcPr>
            <w:tcW w:w="1050" w:type="dxa"/>
            <w:tcBorders>
              <w:bottom w:val="single" w:sz="4" w:space="0" w:color="auto"/>
            </w:tcBorders>
          </w:tcPr>
          <w:p w14:paraId="4A89835E" w14:textId="77777777" w:rsidR="00290D7C" w:rsidRPr="00290D7C" w:rsidRDefault="00290D7C" w:rsidP="00290D7C">
            <w:pPr>
              <w:rPr>
                <w:sz w:val="16"/>
                <w:szCs w:val="16"/>
              </w:rPr>
            </w:pPr>
          </w:p>
        </w:tc>
        <w:tc>
          <w:tcPr>
            <w:tcW w:w="1056" w:type="dxa"/>
            <w:tcBorders>
              <w:bottom w:val="single" w:sz="4" w:space="0" w:color="auto"/>
            </w:tcBorders>
          </w:tcPr>
          <w:p w14:paraId="18818E55" w14:textId="77777777" w:rsidR="00290D7C" w:rsidRPr="00290D7C" w:rsidRDefault="00290D7C" w:rsidP="00290D7C">
            <w:pPr>
              <w:rPr>
                <w:sz w:val="16"/>
                <w:szCs w:val="16"/>
              </w:rPr>
            </w:pPr>
          </w:p>
        </w:tc>
        <w:tc>
          <w:tcPr>
            <w:tcW w:w="972" w:type="dxa"/>
            <w:tcBorders>
              <w:bottom w:val="single" w:sz="4" w:space="0" w:color="auto"/>
            </w:tcBorders>
          </w:tcPr>
          <w:p w14:paraId="3D3E1CE9" w14:textId="77777777" w:rsidR="00290D7C" w:rsidRPr="00290D7C" w:rsidRDefault="00290D7C" w:rsidP="00290D7C">
            <w:pPr>
              <w:rPr>
                <w:sz w:val="16"/>
                <w:szCs w:val="16"/>
              </w:rPr>
            </w:pPr>
          </w:p>
        </w:tc>
      </w:tr>
      <w:tr w:rsidR="00DE239B" w14:paraId="5B592264" w14:textId="77777777" w:rsidTr="0021500B">
        <w:trPr>
          <w:cantSplit/>
          <w:trHeight w:val="320"/>
          <w:tblHeader/>
        </w:trPr>
        <w:tc>
          <w:tcPr>
            <w:tcW w:w="2391" w:type="dxa"/>
          </w:tcPr>
          <w:p w14:paraId="7A847BE0" w14:textId="4E07E7DF" w:rsidR="00DE239B" w:rsidRPr="00290D7C" w:rsidRDefault="00DE239B" w:rsidP="00290D7C">
            <w:pPr>
              <w:rPr>
                <w:sz w:val="16"/>
                <w:szCs w:val="16"/>
              </w:rPr>
            </w:pPr>
          </w:p>
        </w:tc>
        <w:tc>
          <w:tcPr>
            <w:tcW w:w="1351" w:type="dxa"/>
            <w:tcBorders>
              <w:top w:val="single" w:sz="4" w:space="0" w:color="auto"/>
            </w:tcBorders>
          </w:tcPr>
          <w:p w14:paraId="5B59225E" w14:textId="20573DA4" w:rsidR="00DE239B" w:rsidRPr="00F32AF1" w:rsidRDefault="00DE239B" w:rsidP="00F32AF1">
            <w:pPr>
              <w:jc w:val="center"/>
              <w:rPr>
                <w:b/>
                <w:bCs/>
                <w:sz w:val="16"/>
                <w:szCs w:val="16"/>
              </w:rPr>
            </w:pPr>
            <w:r w:rsidRPr="00F32AF1">
              <w:rPr>
                <w:b/>
                <w:bCs/>
                <w:sz w:val="16"/>
                <w:szCs w:val="16"/>
              </w:rPr>
              <w:t>2023</w:t>
            </w:r>
          </w:p>
        </w:tc>
        <w:tc>
          <w:tcPr>
            <w:tcW w:w="1049" w:type="dxa"/>
            <w:tcBorders>
              <w:top w:val="single" w:sz="4" w:space="0" w:color="auto"/>
            </w:tcBorders>
          </w:tcPr>
          <w:p w14:paraId="5B59225F" w14:textId="77777777" w:rsidR="00DE239B" w:rsidRPr="00F32AF1" w:rsidRDefault="00DE239B" w:rsidP="00F32AF1">
            <w:pPr>
              <w:jc w:val="center"/>
              <w:rPr>
                <w:b/>
                <w:bCs/>
                <w:sz w:val="16"/>
                <w:szCs w:val="16"/>
              </w:rPr>
            </w:pPr>
            <w:r w:rsidRPr="00F32AF1">
              <w:rPr>
                <w:b/>
                <w:bCs/>
                <w:sz w:val="16"/>
                <w:szCs w:val="16"/>
              </w:rPr>
              <w:t>2025</w:t>
            </w:r>
          </w:p>
        </w:tc>
        <w:tc>
          <w:tcPr>
            <w:tcW w:w="1049" w:type="dxa"/>
            <w:tcBorders>
              <w:top w:val="single" w:sz="4" w:space="0" w:color="auto"/>
            </w:tcBorders>
          </w:tcPr>
          <w:p w14:paraId="5B592260" w14:textId="77777777" w:rsidR="00DE239B" w:rsidRPr="00F32AF1" w:rsidRDefault="00DE239B" w:rsidP="00F32AF1">
            <w:pPr>
              <w:jc w:val="center"/>
              <w:rPr>
                <w:b/>
                <w:bCs/>
                <w:sz w:val="16"/>
                <w:szCs w:val="16"/>
              </w:rPr>
            </w:pPr>
            <w:r w:rsidRPr="00F32AF1">
              <w:rPr>
                <w:b/>
                <w:bCs/>
                <w:sz w:val="16"/>
                <w:szCs w:val="16"/>
              </w:rPr>
              <w:t>2026</w:t>
            </w:r>
          </w:p>
        </w:tc>
        <w:tc>
          <w:tcPr>
            <w:tcW w:w="1050" w:type="dxa"/>
            <w:tcBorders>
              <w:top w:val="single" w:sz="4" w:space="0" w:color="auto"/>
            </w:tcBorders>
          </w:tcPr>
          <w:p w14:paraId="5B592261" w14:textId="77777777" w:rsidR="00DE239B" w:rsidRPr="00F32AF1" w:rsidRDefault="00DE239B" w:rsidP="00F32AF1">
            <w:pPr>
              <w:jc w:val="center"/>
              <w:rPr>
                <w:b/>
                <w:bCs/>
                <w:sz w:val="16"/>
                <w:szCs w:val="16"/>
              </w:rPr>
            </w:pPr>
            <w:r w:rsidRPr="00F32AF1">
              <w:rPr>
                <w:b/>
                <w:bCs/>
                <w:sz w:val="16"/>
                <w:szCs w:val="16"/>
              </w:rPr>
              <w:t>2027</w:t>
            </w:r>
          </w:p>
        </w:tc>
        <w:tc>
          <w:tcPr>
            <w:tcW w:w="1056" w:type="dxa"/>
            <w:tcBorders>
              <w:top w:val="single" w:sz="4" w:space="0" w:color="auto"/>
            </w:tcBorders>
          </w:tcPr>
          <w:p w14:paraId="5B592262" w14:textId="77777777" w:rsidR="00DE239B" w:rsidRPr="00F32AF1" w:rsidRDefault="00DE239B" w:rsidP="00F32AF1">
            <w:pPr>
              <w:jc w:val="center"/>
              <w:rPr>
                <w:b/>
                <w:bCs/>
                <w:sz w:val="16"/>
                <w:szCs w:val="16"/>
              </w:rPr>
            </w:pPr>
            <w:r w:rsidRPr="00F32AF1">
              <w:rPr>
                <w:b/>
                <w:bCs/>
                <w:sz w:val="16"/>
                <w:szCs w:val="16"/>
              </w:rPr>
              <w:t>2028</w:t>
            </w:r>
          </w:p>
        </w:tc>
        <w:tc>
          <w:tcPr>
            <w:tcW w:w="972" w:type="dxa"/>
            <w:tcBorders>
              <w:top w:val="single" w:sz="4" w:space="0" w:color="auto"/>
            </w:tcBorders>
          </w:tcPr>
          <w:p w14:paraId="5B592263" w14:textId="77777777" w:rsidR="00DE239B" w:rsidRPr="00F32AF1" w:rsidRDefault="00DE239B" w:rsidP="00F32AF1">
            <w:pPr>
              <w:jc w:val="center"/>
              <w:rPr>
                <w:b/>
                <w:bCs/>
                <w:sz w:val="16"/>
                <w:szCs w:val="16"/>
              </w:rPr>
            </w:pPr>
            <w:r w:rsidRPr="00F32AF1">
              <w:rPr>
                <w:b/>
                <w:bCs/>
                <w:sz w:val="16"/>
                <w:szCs w:val="16"/>
              </w:rPr>
              <w:t>2029</w:t>
            </w:r>
          </w:p>
        </w:tc>
      </w:tr>
      <w:tr w:rsidR="00DE239B" w14:paraId="5B59226B" w14:textId="77777777" w:rsidTr="0021500B">
        <w:trPr>
          <w:cantSplit/>
          <w:trHeight w:val="233"/>
        </w:trPr>
        <w:tc>
          <w:tcPr>
            <w:tcW w:w="2391" w:type="dxa"/>
          </w:tcPr>
          <w:p w14:paraId="2A8832D8" w14:textId="370A9FE2" w:rsidR="00DE239B" w:rsidRPr="00290D7C" w:rsidRDefault="00FE06D3" w:rsidP="00290D7C">
            <w:pPr>
              <w:rPr>
                <w:sz w:val="16"/>
                <w:szCs w:val="16"/>
              </w:rPr>
            </w:pPr>
            <w:r>
              <w:rPr>
                <w:sz w:val="16"/>
                <w:szCs w:val="16"/>
              </w:rPr>
              <w:t>EBITDA</w:t>
            </w:r>
            <w:r w:rsidR="00E7245E">
              <w:rPr>
                <w:sz w:val="16"/>
                <w:szCs w:val="16"/>
              </w:rPr>
              <w:t xml:space="preserve"> </w:t>
            </w:r>
            <w:r w:rsidR="00DE239B" w:rsidRPr="00290D7C">
              <w:rPr>
                <w:sz w:val="16"/>
                <w:szCs w:val="16"/>
              </w:rPr>
              <w:t>($)</w:t>
            </w:r>
            <w:r w:rsidR="00DE239B" w:rsidRPr="00290D7C">
              <w:rPr>
                <w:sz w:val="16"/>
                <w:szCs w:val="16"/>
              </w:rPr>
              <w:tab/>
            </w:r>
          </w:p>
        </w:tc>
        <w:tc>
          <w:tcPr>
            <w:tcW w:w="1351" w:type="dxa"/>
            <w:vAlign w:val="bottom"/>
          </w:tcPr>
          <w:p w14:paraId="5B592265" w14:textId="42B830FB" w:rsidR="00DE239B" w:rsidRPr="00290D7C" w:rsidRDefault="00DE239B" w:rsidP="00F32AF1">
            <w:pPr>
              <w:jc w:val="right"/>
              <w:rPr>
                <w:sz w:val="16"/>
                <w:szCs w:val="16"/>
              </w:rPr>
            </w:pPr>
            <w:r w:rsidRPr="00290D7C">
              <w:rPr>
                <w:sz w:val="16"/>
                <w:szCs w:val="16"/>
              </w:rPr>
              <w:t>2</w:t>
            </w:r>
            <w:r w:rsidR="0089623B">
              <w:rPr>
                <w:sz w:val="16"/>
                <w:szCs w:val="16"/>
              </w:rPr>
              <w:t>,</w:t>
            </w:r>
            <w:r w:rsidRPr="00290D7C">
              <w:rPr>
                <w:sz w:val="16"/>
                <w:szCs w:val="16"/>
              </w:rPr>
              <w:t>498,184</w:t>
            </w:r>
          </w:p>
        </w:tc>
        <w:tc>
          <w:tcPr>
            <w:tcW w:w="1049" w:type="dxa"/>
            <w:vAlign w:val="bottom"/>
          </w:tcPr>
          <w:p w14:paraId="5B592266" w14:textId="265A3707" w:rsidR="00DE239B" w:rsidRPr="00290D7C" w:rsidRDefault="00DE239B" w:rsidP="00F32AF1">
            <w:pPr>
              <w:jc w:val="right"/>
              <w:rPr>
                <w:sz w:val="16"/>
                <w:szCs w:val="16"/>
              </w:rPr>
            </w:pPr>
            <w:r w:rsidRPr="00290D7C">
              <w:rPr>
                <w:sz w:val="16"/>
                <w:szCs w:val="16"/>
              </w:rPr>
              <w:t>2,241</w:t>
            </w:r>
            <w:r w:rsidR="0089623B">
              <w:rPr>
                <w:sz w:val="16"/>
                <w:szCs w:val="16"/>
              </w:rPr>
              <w:t>,</w:t>
            </w:r>
            <w:r w:rsidRPr="00290D7C">
              <w:rPr>
                <w:sz w:val="16"/>
                <w:szCs w:val="16"/>
              </w:rPr>
              <w:t>604</w:t>
            </w:r>
          </w:p>
        </w:tc>
        <w:tc>
          <w:tcPr>
            <w:tcW w:w="1049" w:type="dxa"/>
            <w:vAlign w:val="bottom"/>
          </w:tcPr>
          <w:p w14:paraId="5B592267" w14:textId="3E468F16" w:rsidR="00DE239B" w:rsidRPr="00290D7C" w:rsidRDefault="00DE239B" w:rsidP="00F32AF1">
            <w:pPr>
              <w:jc w:val="right"/>
              <w:rPr>
                <w:sz w:val="16"/>
                <w:szCs w:val="16"/>
              </w:rPr>
            </w:pPr>
            <w:r w:rsidRPr="00290D7C">
              <w:rPr>
                <w:sz w:val="16"/>
                <w:szCs w:val="16"/>
              </w:rPr>
              <w:t>2,697</w:t>
            </w:r>
            <w:r w:rsidR="0089623B">
              <w:rPr>
                <w:sz w:val="16"/>
                <w:szCs w:val="16"/>
              </w:rPr>
              <w:t>,</w:t>
            </w:r>
            <w:r w:rsidRPr="00290D7C">
              <w:rPr>
                <w:sz w:val="16"/>
                <w:szCs w:val="16"/>
              </w:rPr>
              <w:t>768</w:t>
            </w:r>
          </w:p>
        </w:tc>
        <w:tc>
          <w:tcPr>
            <w:tcW w:w="1050" w:type="dxa"/>
            <w:vAlign w:val="bottom"/>
          </w:tcPr>
          <w:p w14:paraId="5B592268" w14:textId="0ECDB6C4" w:rsidR="00DE239B" w:rsidRPr="00290D7C" w:rsidRDefault="00DE239B" w:rsidP="00F32AF1">
            <w:pPr>
              <w:jc w:val="right"/>
              <w:rPr>
                <w:sz w:val="16"/>
                <w:szCs w:val="16"/>
              </w:rPr>
            </w:pPr>
            <w:r w:rsidRPr="00290D7C">
              <w:rPr>
                <w:sz w:val="16"/>
                <w:szCs w:val="16"/>
              </w:rPr>
              <w:t>3,202</w:t>
            </w:r>
            <w:r w:rsidR="00C438A8">
              <w:rPr>
                <w:sz w:val="16"/>
                <w:szCs w:val="16"/>
              </w:rPr>
              <w:t>,</w:t>
            </w:r>
            <w:r w:rsidRPr="00290D7C">
              <w:rPr>
                <w:sz w:val="16"/>
                <w:szCs w:val="16"/>
              </w:rPr>
              <w:t>508</w:t>
            </w:r>
          </w:p>
        </w:tc>
        <w:tc>
          <w:tcPr>
            <w:tcW w:w="1056" w:type="dxa"/>
            <w:vAlign w:val="bottom"/>
          </w:tcPr>
          <w:p w14:paraId="5B592269" w14:textId="77777777" w:rsidR="00DE239B" w:rsidRPr="00290D7C" w:rsidRDefault="00DE239B" w:rsidP="00F32AF1">
            <w:pPr>
              <w:jc w:val="right"/>
              <w:rPr>
                <w:sz w:val="16"/>
                <w:szCs w:val="16"/>
              </w:rPr>
            </w:pPr>
            <w:r w:rsidRPr="00290D7C">
              <w:rPr>
                <w:sz w:val="16"/>
                <w:szCs w:val="16"/>
              </w:rPr>
              <w:t>3,747,184</w:t>
            </w:r>
          </w:p>
        </w:tc>
        <w:tc>
          <w:tcPr>
            <w:tcW w:w="972" w:type="dxa"/>
            <w:vAlign w:val="bottom"/>
          </w:tcPr>
          <w:p w14:paraId="5B59226A" w14:textId="77777777" w:rsidR="00DE239B" w:rsidRPr="00290D7C" w:rsidRDefault="00DE239B" w:rsidP="00F32AF1">
            <w:pPr>
              <w:jc w:val="right"/>
              <w:rPr>
                <w:sz w:val="16"/>
                <w:szCs w:val="16"/>
              </w:rPr>
            </w:pPr>
            <w:r w:rsidRPr="00290D7C">
              <w:rPr>
                <w:sz w:val="16"/>
                <w:szCs w:val="16"/>
              </w:rPr>
              <w:t>4,369,121</w:t>
            </w:r>
          </w:p>
        </w:tc>
      </w:tr>
      <w:tr w:rsidR="00701342" w14:paraId="5B592273" w14:textId="77777777" w:rsidTr="0021500B">
        <w:trPr>
          <w:cantSplit/>
          <w:trHeight w:val="356"/>
        </w:trPr>
        <w:tc>
          <w:tcPr>
            <w:tcW w:w="2391" w:type="dxa"/>
          </w:tcPr>
          <w:p w14:paraId="5B59226C" w14:textId="28CF62B6" w:rsidR="00701342" w:rsidRPr="00290D7C" w:rsidRDefault="00536157" w:rsidP="00290D7C">
            <w:pPr>
              <w:rPr>
                <w:sz w:val="16"/>
                <w:szCs w:val="16"/>
              </w:rPr>
            </w:pPr>
            <w:r>
              <w:rPr>
                <w:sz w:val="16"/>
                <w:szCs w:val="16"/>
              </w:rPr>
              <w:t>EBITDA Margin</w:t>
            </w:r>
            <w:r w:rsidRPr="00290D7C">
              <w:rPr>
                <w:sz w:val="16"/>
                <w:szCs w:val="16"/>
              </w:rPr>
              <w:t xml:space="preserve"> (%)</w:t>
            </w:r>
          </w:p>
        </w:tc>
        <w:tc>
          <w:tcPr>
            <w:tcW w:w="1351" w:type="dxa"/>
            <w:vAlign w:val="bottom"/>
          </w:tcPr>
          <w:p w14:paraId="5B59226D" w14:textId="77777777" w:rsidR="00701342" w:rsidRPr="00290D7C" w:rsidRDefault="00134B9D" w:rsidP="00F32AF1">
            <w:pPr>
              <w:jc w:val="right"/>
              <w:rPr>
                <w:sz w:val="16"/>
                <w:szCs w:val="16"/>
              </w:rPr>
            </w:pPr>
            <w:r w:rsidRPr="00290D7C">
              <w:rPr>
                <w:sz w:val="16"/>
                <w:szCs w:val="16"/>
              </w:rPr>
              <w:t>46.66%</w:t>
            </w:r>
          </w:p>
        </w:tc>
        <w:tc>
          <w:tcPr>
            <w:tcW w:w="1049" w:type="dxa"/>
            <w:vAlign w:val="bottom"/>
          </w:tcPr>
          <w:p w14:paraId="5B59226E" w14:textId="77777777" w:rsidR="00701342" w:rsidRPr="00290D7C" w:rsidRDefault="00134B9D" w:rsidP="00F32AF1">
            <w:pPr>
              <w:jc w:val="right"/>
              <w:rPr>
                <w:sz w:val="16"/>
                <w:szCs w:val="16"/>
              </w:rPr>
            </w:pPr>
            <w:r w:rsidRPr="00290D7C">
              <w:rPr>
                <w:sz w:val="16"/>
                <w:szCs w:val="16"/>
              </w:rPr>
              <w:t>38.06%</w:t>
            </w:r>
          </w:p>
        </w:tc>
        <w:tc>
          <w:tcPr>
            <w:tcW w:w="1049" w:type="dxa"/>
            <w:vAlign w:val="bottom"/>
          </w:tcPr>
          <w:p w14:paraId="5B59226F" w14:textId="77777777" w:rsidR="00701342" w:rsidRPr="00290D7C" w:rsidRDefault="00134B9D" w:rsidP="00F32AF1">
            <w:pPr>
              <w:jc w:val="right"/>
              <w:rPr>
                <w:sz w:val="16"/>
                <w:szCs w:val="16"/>
              </w:rPr>
            </w:pPr>
            <w:r w:rsidRPr="00290D7C">
              <w:rPr>
                <w:sz w:val="16"/>
                <w:szCs w:val="16"/>
              </w:rPr>
              <w:t>41.64%</w:t>
            </w:r>
          </w:p>
        </w:tc>
        <w:tc>
          <w:tcPr>
            <w:tcW w:w="1050" w:type="dxa"/>
            <w:vAlign w:val="bottom"/>
          </w:tcPr>
          <w:p w14:paraId="5B592270" w14:textId="77777777" w:rsidR="00701342" w:rsidRPr="00290D7C" w:rsidRDefault="00134B9D" w:rsidP="00F32AF1">
            <w:pPr>
              <w:jc w:val="right"/>
              <w:rPr>
                <w:sz w:val="16"/>
                <w:szCs w:val="16"/>
              </w:rPr>
            </w:pPr>
            <w:r w:rsidRPr="00290D7C">
              <w:rPr>
                <w:sz w:val="16"/>
                <w:szCs w:val="16"/>
              </w:rPr>
              <w:t>44.94%</w:t>
            </w:r>
          </w:p>
        </w:tc>
        <w:tc>
          <w:tcPr>
            <w:tcW w:w="1056" w:type="dxa"/>
            <w:vAlign w:val="bottom"/>
          </w:tcPr>
          <w:p w14:paraId="5B592271" w14:textId="77777777" w:rsidR="00701342" w:rsidRPr="00290D7C" w:rsidRDefault="00134B9D" w:rsidP="00F32AF1">
            <w:pPr>
              <w:jc w:val="right"/>
              <w:rPr>
                <w:sz w:val="16"/>
                <w:szCs w:val="16"/>
              </w:rPr>
            </w:pPr>
            <w:r w:rsidRPr="00290D7C">
              <w:rPr>
                <w:sz w:val="16"/>
                <w:szCs w:val="16"/>
              </w:rPr>
              <w:t>47.80%</w:t>
            </w:r>
          </w:p>
        </w:tc>
        <w:tc>
          <w:tcPr>
            <w:tcW w:w="972" w:type="dxa"/>
            <w:vAlign w:val="bottom"/>
          </w:tcPr>
          <w:p w14:paraId="5B592272" w14:textId="77777777" w:rsidR="00701342" w:rsidRPr="00290D7C" w:rsidRDefault="00134B9D" w:rsidP="00F32AF1">
            <w:pPr>
              <w:jc w:val="right"/>
              <w:rPr>
                <w:sz w:val="16"/>
                <w:szCs w:val="16"/>
              </w:rPr>
            </w:pPr>
            <w:r w:rsidRPr="00290D7C">
              <w:rPr>
                <w:sz w:val="16"/>
                <w:szCs w:val="16"/>
              </w:rPr>
              <w:t>45.64%</w:t>
            </w:r>
          </w:p>
        </w:tc>
      </w:tr>
      <w:tr w:rsidR="00701342" w14:paraId="5B59227B" w14:textId="77777777" w:rsidTr="0021500B">
        <w:trPr>
          <w:cantSplit/>
          <w:trHeight w:val="302"/>
        </w:trPr>
        <w:tc>
          <w:tcPr>
            <w:tcW w:w="2391" w:type="dxa"/>
          </w:tcPr>
          <w:p w14:paraId="5B592274" w14:textId="5AB9CA68" w:rsidR="00701342" w:rsidRPr="00290D7C" w:rsidRDefault="000256C4" w:rsidP="00290D7C">
            <w:pPr>
              <w:rPr>
                <w:sz w:val="16"/>
                <w:szCs w:val="16"/>
              </w:rPr>
            </w:pPr>
            <w:r>
              <w:rPr>
                <w:sz w:val="16"/>
                <w:szCs w:val="16"/>
              </w:rPr>
              <w:t>Operating Margin</w:t>
            </w:r>
            <w:r w:rsidRPr="00290D7C">
              <w:rPr>
                <w:sz w:val="16"/>
                <w:szCs w:val="16"/>
              </w:rPr>
              <w:t xml:space="preserve"> (%)</w:t>
            </w:r>
          </w:p>
        </w:tc>
        <w:tc>
          <w:tcPr>
            <w:tcW w:w="1351" w:type="dxa"/>
            <w:vAlign w:val="bottom"/>
          </w:tcPr>
          <w:p w14:paraId="5B592275" w14:textId="77777777" w:rsidR="00701342" w:rsidRPr="00290D7C" w:rsidRDefault="00134B9D" w:rsidP="00F32AF1">
            <w:pPr>
              <w:jc w:val="right"/>
              <w:rPr>
                <w:sz w:val="16"/>
                <w:szCs w:val="16"/>
              </w:rPr>
            </w:pPr>
            <w:r w:rsidRPr="00290D7C">
              <w:rPr>
                <w:sz w:val="16"/>
                <w:szCs w:val="16"/>
              </w:rPr>
              <w:t>46.65%</w:t>
            </w:r>
          </w:p>
        </w:tc>
        <w:tc>
          <w:tcPr>
            <w:tcW w:w="1049" w:type="dxa"/>
            <w:vAlign w:val="bottom"/>
          </w:tcPr>
          <w:p w14:paraId="5B592276" w14:textId="77777777" w:rsidR="00701342" w:rsidRPr="00290D7C" w:rsidRDefault="00134B9D" w:rsidP="00F32AF1">
            <w:pPr>
              <w:jc w:val="right"/>
              <w:rPr>
                <w:sz w:val="16"/>
                <w:szCs w:val="16"/>
              </w:rPr>
            </w:pPr>
            <w:r w:rsidRPr="00290D7C">
              <w:rPr>
                <w:sz w:val="16"/>
                <w:szCs w:val="16"/>
              </w:rPr>
              <w:t>28.37%</w:t>
            </w:r>
          </w:p>
        </w:tc>
        <w:tc>
          <w:tcPr>
            <w:tcW w:w="1049" w:type="dxa"/>
            <w:vAlign w:val="bottom"/>
          </w:tcPr>
          <w:p w14:paraId="5B592277" w14:textId="77777777" w:rsidR="00701342" w:rsidRPr="00290D7C" w:rsidRDefault="00134B9D" w:rsidP="00F32AF1">
            <w:pPr>
              <w:jc w:val="right"/>
              <w:rPr>
                <w:sz w:val="16"/>
                <w:szCs w:val="16"/>
              </w:rPr>
            </w:pPr>
            <w:r w:rsidRPr="00290D7C">
              <w:rPr>
                <w:sz w:val="16"/>
                <w:szCs w:val="16"/>
              </w:rPr>
              <w:t>30.66%</w:t>
            </w:r>
          </w:p>
        </w:tc>
        <w:tc>
          <w:tcPr>
            <w:tcW w:w="1050" w:type="dxa"/>
            <w:vAlign w:val="bottom"/>
          </w:tcPr>
          <w:p w14:paraId="5B592278" w14:textId="77777777" w:rsidR="00701342" w:rsidRPr="00290D7C" w:rsidRDefault="00134B9D" w:rsidP="00F32AF1">
            <w:pPr>
              <w:jc w:val="right"/>
              <w:rPr>
                <w:sz w:val="16"/>
                <w:szCs w:val="16"/>
              </w:rPr>
            </w:pPr>
            <w:r w:rsidRPr="00290D7C">
              <w:rPr>
                <w:sz w:val="16"/>
                <w:szCs w:val="16"/>
              </w:rPr>
              <w:t>37.22%</w:t>
            </w:r>
          </w:p>
        </w:tc>
        <w:tc>
          <w:tcPr>
            <w:tcW w:w="1056" w:type="dxa"/>
            <w:vAlign w:val="bottom"/>
          </w:tcPr>
          <w:p w14:paraId="5B592279" w14:textId="77777777" w:rsidR="00701342" w:rsidRPr="00290D7C" w:rsidRDefault="00134B9D" w:rsidP="00F32AF1">
            <w:pPr>
              <w:jc w:val="right"/>
              <w:rPr>
                <w:sz w:val="16"/>
                <w:szCs w:val="16"/>
              </w:rPr>
            </w:pPr>
            <w:r w:rsidRPr="00290D7C">
              <w:rPr>
                <w:sz w:val="16"/>
                <w:szCs w:val="16"/>
              </w:rPr>
              <w:t>42.16%</w:t>
            </w:r>
          </w:p>
        </w:tc>
        <w:tc>
          <w:tcPr>
            <w:tcW w:w="972" w:type="dxa"/>
            <w:vAlign w:val="bottom"/>
          </w:tcPr>
          <w:p w14:paraId="5B59227A" w14:textId="77777777" w:rsidR="00701342" w:rsidRPr="00290D7C" w:rsidRDefault="00134B9D" w:rsidP="00F32AF1">
            <w:pPr>
              <w:jc w:val="right"/>
              <w:rPr>
                <w:sz w:val="16"/>
                <w:szCs w:val="16"/>
              </w:rPr>
            </w:pPr>
            <w:r w:rsidRPr="00290D7C">
              <w:rPr>
                <w:sz w:val="16"/>
                <w:szCs w:val="16"/>
              </w:rPr>
              <w:t>45.64%</w:t>
            </w:r>
          </w:p>
        </w:tc>
      </w:tr>
      <w:tr w:rsidR="00701342" w14:paraId="5B592283" w14:textId="77777777" w:rsidTr="0021500B">
        <w:trPr>
          <w:cantSplit/>
          <w:trHeight w:val="300"/>
        </w:trPr>
        <w:tc>
          <w:tcPr>
            <w:tcW w:w="2391" w:type="dxa"/>
          </w:tcPr>
          <w:p w14:paraId="5B59227C" w14:textId="54FCF2A5" w:rsidR="00701342" w:rsidRPr="00290D7C" w:rsidRDefault="000256C4" w:rsidP="00290D7C">
            <w:pPr>
              <w:rPr>
                <w:sz w:val="16"/>
                <w:szCs w:val="16"/>
              </w:rPr>
            </w:pPr>
            <w:r>
              <w:rPr>
                <w:sz w:val="16"/>
                <w:szCs w:val="16"/>
              </w:rPr>
              <w:t>Total Margin</w:t>
            </w:r>
            <w:r w:rsidRPr="00290D7C">
              <w:rPr>
                <w:sz w:val="16"/>
                <w:szCs w:val="16"/>
              </w:rPr>
              <w:t xml:space="preserve"> (%)</w:t>
            </w:r>
          </w:p>
        </w:tc>
        <w:tc>
          <w:tcPr>
            <w:tcW w:w="1351" w:type="dxa"/>
            <w:vAlign w:val="bottom"/>
          </w:tcPr>
          <w:p w14:paraId="5B59227D" w14:textId="77777777" w:rsidR="00701342" w:rsidRPr="00290D7C" w:rsidRDefault="00134B9D" w:rsidP="00F32AF1">
            <w:pPr>
              <w:jc w:val="right"/>
              <w:rPr>
                <w:sz w:val="16"/>
                <w:szCs w:val="16"/>
              </w:rPr>
            </w:pPr>
            <w:r w:rsidRPr="00290D7C">
              <w:rPr>
                <w:sz w:val="16"/>
                <w:szCs w:val="16"/>
              </w:rPr>
              <w:t>43.47%</w:t>
            </w:r>
          </w:p>
        </w:tc>
        <w:tc>
          <w:tcPr>
            <w:tcW w:w="1049" w:type="dxa"/>
            <w:vAlign w:val="bottom"/>
          </w:tcPr>
          <w:p w14:paraId="5B59227E" w14:textId="77777777" w:rsidR="00701342" w:rsidRPr="00290D7C" w:rsidRDefault="00134B9D" w:rsidP="00F32AF1">
            <w:pPr>
              <w:jc w:val="right"/>
              <w:rPr>
                <w:sz w:val="16"/>
                <w:szCs w:val="16"/>
              </w:rPr>
            </w:pPr>
            <w:r w:rsidRPr="00290D7C">
              <w:rPr>
                <w:sz w:val="16"/>
                <w:szCs w:val="16"/>
              </w:rPr>
              <w:t>26.20%</w:t>
            </w:r>
          </w:p>
        </w:tc>
        <w:tc>
          <w:tcPr>
            <w:tcW w:w="1049" w:type="dxa"/>
            <w:vAlign w:val="bottom"/>
          </w:tcPr>
          <w:p w14:paraId="5B59227F" w14:textId="77777777" w:rsidR="00701342" w:rsidRPr="00290D7C" w:rsidRDefault="00134B9D" w:rsidP="00F32AF1">
            <w:pPr>
              <w:jc w:val="right"/>
              <w:rPr>
                <w:sz w:val="16"/>
                <w:szCs w:val="16"/>
              </w:rPr>
            </w:pPr>
            <w:r w:rsidRPr="00290D7C">
              <w:rPr>
                <w:sz w:val="16"/>
                <w:szCs w:val="16"/>
              </w:rPr>
              <w:t>27.98%</w:t>
            </w:r>
          </w:p>
        </w:tc>
        <w:tc>
          <w:tcPr>
            <w:tcW w:w="1050" w:type="dxa"/>
            <w:vAlign w:val="bottom"/>
          </w:tcPr>
          <w:p w14:paraId="5B592280" w14:textId="77777777" w:rsidR="00701342" w:rsidRPr="00290D7C" w:rsidRDefault="00134B9D" w:rsidP="00F32AF1">
            <w:pPr>
              <w:jc w:val="right"/>
              <w:rPr>
                <w:sz w:val="16"/>
                <w:szCs w:val="16"/>
              </w:rPr>
            </w:pPr>
            <w:r w:rsidRPr="00290D7C">
              <w:rPr>
                <w:sz w:val="16"/>
                <w:szCs w:val="16"/>
              </w:rPr>
              <w:t>34.34%</w:t>
            </w:r>
          </w:p>
        </w:tc>
        <w:tc>
          <w:tcPr>
            <w:tcW w:w="1056" w:type="dxa"/>
            <w:vAlign w:val="bottom"/>
          </w:tcPr>
          <w:p w14:paraId="5B592281" w14:textId="77777777" w:rsidR="00701342" w:rsidRPr="00290D7C" w:rsidRDefault="00134B9D" w:rsidP="00F32AF1">
            <w:pPr>
              <w:jc w:val="right"/>
              <w:rPr>
                <w:sz w:val="16"/>
                <w:szCs w:val="16"/>
              </w:rPr>
            </w:pPr>
            <w:r w:rsidRPr="00290D7C">
              <w:rPr>
                <w:sz w:val="16"/>
                <w:szCs w:val="16"/>
              </w:rPr>
              <w:t>39.19%</w:t>
            </w:r>
          </w:p>
        </w:tc>
        <w:tc>
          <w:tcPr>
            <w:tcW w:w="972" w:type="dxa"/>
            <w:vAlign w:val="bottom"/>
          </w:tcPr>
          <w:p w14:paraId="5B592282" w14:textId="77777777" w:rsidR="00701342" w:rsidRPr="00290D7C" w:rsidRDefault="00134B9D" w:rsidP="00F32AF1">
            <w:pPr>
              <w:jc w:val="right"/>
              <w:rPr>
                <w:sz w:val="16"/>
                <w:szCs w:val="16"/>
              </w:rPr>
            </w:pPr>
            <w:r w:rsidRPr="00290D7C">
              <w:rPr>
                <w:sz w:val="16"/>
                <w:szCs w:val="16"/>
              </w:rPr>
              <w:t>42.63%</w:t>
            </w:r>
          </w:p>
        </w:tc>
      </w:tr>
      <w:tr w:rsidR="00701342" w14:paraId="5B59228B" w14:textId="77777777" w:rsidTr="0021500B">
        <w:trPr>
          <w:cantSplit/>
          <w:trHeight w:val="295"/>
        </w:trPr>
        <w:tc>
          <w:tcPr>
            <w:tcW w:w="2391" w:type="dxa"/>
          </w:tcPr>
          <w:p w14:paraId="5B592284" w14:textId="3F722A7D" w:rsidR="00701342" w:rsidRPr="00290D7C" w:rsidRDefault="000256C4" w:rsidP="00290D7C">
            <w:pPr>
              <w:rPr>
                <w:sz w:val="16"/>
                <w:szCs w:val="16"/>
              </w:rPr>
            </w:pPr>
            <w:r>
              <w:rPr>
                <w:sz w:val="16"/>
                <w:szCs w:val="16"/>
              </w:rPr>
              <w:t>Total Assets ($)</w:t>
            </w:r>
          </w:p>
        </w:tc>
        <w:tc>
          <w:tcPr>
            <w:tcW w:w="1351" w:type="dxa"/>
            <w:vAlign w:val="bottom"/>
          </w:tcPr>
          <w:p w14:paraId="5B592285" w14:textId="77777777" w:rsidR="00701342" w:rsidRPr="00290D7C" w:rsidRDefault="00134B9D" w:rsidP="00F32AF1">
            <w:pPr>
              <w:jc w:val="right"/>
              <w:rPr>
                <w:sz w:val="16"/>
                <w:szCs w:val="16"/>
              </w:rPr>
            </w:pPr>
            <w:r w:rsidRPr="00290D7C">
              <w:rPr>
                <w:sz w:val="16"/>
                <w:szCs w:val="16"/>
              </w:rPr>
              <w:t>352,801</w:t>
            </w:r>
          </w:p>
        </w:tc>
        <w:tc>
          <w:tcPr>
            <w:tcW w:w="1049" w:type="dxa"/>
            <w:vAlign w:val="bottom"/>
          </w:tcPr>
          <w:p w14:paraId="5B592286" w14:textId="77777777" w:rsidR="00701342" w:rsidRPr="00290D7C" w:rsidRDefault="00134B9D" w:rsidP="00F32AF1">
            <w:pPr>
              <w:jc w:val="right"/>
              <w:rPr>
                <w:sz w:val="16"/>
                <w:szCs w:val="16"/>
              </w:rPr>
            </w:pPr>
            <w:r w:rsidRPr="00290D7C">
              <w:rPr>
                <w:sz w:val="16"/>
                <w:szCs w:val="16"/>
              </w:rPr>
              <w:t>4,440,910</w:t>
            </w:r>
          </w:p>
        </w:tc>
        <w:tc>
          <w:tcPr>
            <w:tcW w:w="1049" w:type="dxa"/>
            <w:vAlign w:val="bottom"/>
          </w:tcPr>
          <w:p w14:paraId="5B592287" w14:textId="77777777" w:rsidR="00701342" w:rsidRPr="00290D7C" w:rsidRDefault="00134B9D" w:rsidP="00F32AF1">
            <w:pPr>
              <w:jc w:val="right"/>
              <w:rPr>
                <w:sz w:val="16"/>
                <w:szCs w:val="16"/>
              </w:rPr>
            </w:pPr>
            <w:r w:rsidRPr="00290D7C">
              <w:rPr>
                <w:sz w:val="16"/>
                <w:szCs w:val="16"/>
              </w:rPr>
              <w:t>4,384,930</w:t>
            </w:r>
          </w:p>
        </w:tc>
        <w:tc>
          <w:tcPr>
            <w:tcW w:w="1050" w:type="dxa"/>
            <w:vAlign w:val="bottom"/>
          </w:tcPr>
          <w:p w14:paraId="5B592288" w14:textId="77777777" w:rsidR="00701342" w:rsidRPr="00290D7C" w:rsidRDefault="00134B9D" w:rsidP="00F32AF1">
            <w:pPr>
              <w:jc w:val="right"/>
              <w:rPr>
                <w:sz w:val="16"/>
                <w:szCs w:val="16"/>
              </w:rPr>
            </w:pPr>
            <w:r w:rsidRPr="00290D7C">
              <w:rPr>
                <w:sz w:val="16"/>
                <w:szCs w:val="16"/>
              </w:rPr>
              <w:t>4,082,549</w:t>
            </w:r>
          </w:p>
        </w:tc>
        <w:tc>
          <w:tcPr>
            <w:tcW w:w="1056" w:type="dxa"/>
            <w:vAlign w:val="bottom"/>
          </w:tcPr>
          <w:p w14:paraId="5B592289" w14:textId="77777777" w:rsidR="00701342" w:rsidRPr="00290D7C" w:rsidRDefault="00134B9D" w:rsidP="00F32AF1">
            <w:pPr>
              <w:jc w:val="right"/>
              <w:rPr>
                <w:sz w:val="16"/>
                <w:szCs w:val="16"/>
              </w:rPr>
            </w:pPr>
            <w:r w:rsidRPr="00290D7C">
              <w:rPr>
                <w:sz w:val="16"/>
                <w:szCs w:val="16"/>
              </w:rPr>
              <w:t>3,872,327</w:t>
            </w:r>
          </w:p>
        </w:tc>
        <w:tc>
          <w:tcPr>
            <w:tcW w:w="972" w:type="dxa"/>
            <w:vAlign w:val="bottom"/>
          </w:tcPr>
          <w:p w14:paraId="5B59228A" w14:textId="77777777" w:rsidR="00701342" w:rsidRPr="00290D7C" w:rsidRDefault="00134B9D" w:rsidP="00F32AF1">
            <w:pPr>
              <w:jc w:val="right"/>
              <w:rPr>
                <w:sz w:val="16"/>
                <w:szCs w:val="16"/>
              </w:rPr>
            </w:pPr>
            <w:r w:rsidRPr="00290D7C">
              <w:rPr>
                <w:sz w:val="16"/>
                <w:szCs w:val="16"/>
              </w:rPr>
              <w:t>3,662,106</w:t>
            </w:r>
          </w:p>
        </w:tc>
      </w:tr>
      <w:tr w:rsidR="00701342" w14:paraId="5B592293" w14:textId="77777777" w:rsidTr="0021500B">
        <w:trPr>
          <w:cantSplit/>
          <w:trHeight w:val="256"/>
        </w:trPr>
        <w:tc>
          <w:tcPr>
            <w:tcW w:w="2391" w:type="dxa"/>
          </w:tcPr>
          <w:p w14:paraId="5B59228C" w14:textId="1042601B" w:rsidR="00701342" w:rsidRPr="00290D7C" w:rsidRDefault="000256C4" w:rsidP="00290D7C">
            <w:pPr>
              <w:rPr>
                <w:sz w:val="16"/>
                <w:szCs w:val="16"/>
              </w:rPr>
            </w:pPr>
            <w:r>
              <w:rPr>
                <w:sz w:val="16"/>
                <w:szCs w:val="16"/>
              </w:rPr>
              <w:t>Total Net Assets ($)</w:t>
            </w:r>
          </w:p>
        </w:tc>
        <w:tc>
          <w:tcPr>
            <w:tcW w:w="1351" w:type="dxa"/>
            <w:vAlign w:val="bottom"/>
          </w:tcPr>
          <w:p w14:paraId="5B59228D" w14:textId="77777777" w:rsidR="00701342" w:rsidRPr="00290D7C" w:rsidRDefault="00134B9D" w:rsidP="00F32AF1">
            <w:pPr>
              <w:jc w:val="right"/>
              <w:rPr>
                <w:sz w:val="16"/>
                <w:szCs w:val="16"/>
              </w:rPr>
            </w:pPr>
            <w:r w:rsidRPr="00290D7C">
              <w:rPr>
                <w:sz w:val="16"/>
                <w:szCs w:val="16"/>
              </w:rPr>
              <w:t>352,801</w:t>
            </w:r>
          </w:p>
        </w:tc>
        <w:tc>
          <w:tcPr>
            <w:tcW w:w="1049" w:type="dxa"/>
            <w:vAlign w:val="bottom"/>
          </w:tcPr>
          <w:p w14:paraId="5B59228E" w14:textId="77777777" w:rsidR="00701342" w:rsidRPr="00290D7C" w:rsidRDefault="00134B9D" w:rsidP="00F32AF1">
            <w:pPr>
              <w:jc w:val="right"/>
              <w:rPr>
                <w:sz w:val="16"/>
                <w:szCs w:val="16"/>
              </w:rPr>
            </w:pPr>
            <w:r w:rsidRPr="00290D7C">
              <w:rPr>
                <w:sz w:val="16"/>
                <w:szCs w:val="16"/>
              </w:rPr>
              <w:t>542,042</w:t>
            </w:r>
          </w:p>
        </w:tc>
        <w:tc>
          <w:tcPr>
            <w:tcW w:w="1049" w:type="dxa"/>
            <w:vAlign w:val="bottom"/>
          </w:tcPr>
          <w:p w14:paraId="5B59228F" w14:textId="77777777" w:rsidR="00701342" w:rsidRPr="00290D7C" w:rsidRDefault="00134B9D" w:rsidP="00F32AF1">
            <w:pPr>
              <w:jc w:val="right"/>
              <w:rPr>
                <w:sz w:val="16"/>
                <w:szCs w:val="16"/>
              </w:rPr>
            </w:pPr>
            <w:r w:rsidRPr="00290D7C">
              <w:rPr>
                <w:sz w:val="16"/>
                <w:szCs w:val="16"/>
              </w:rPr>
              <w:t>593,652</w:t>
            </w:r>
          </w:p>
        </w:tc>
        <w:tc>
          <w:tcPr>
            <w:tcW w:w="1050" w:type="dxa"/>
            <w:vAlign w:val="bottom"/>
          </w:tcPr>
          <w:p w14:paraId="5B592290" w14:textId="77777777" w:rsidR="00701342" w:rsidRPr="00290D7C" w:rsidRDefault="00134B9D" w:rsidP="00F32AF1">
            <w:pPr>
              <w:jc w:val="right"/>
              <w:rPr>
                <w:sz w:val="16"/>
                <w:szCs w:val="16"/>
              </w:rPr>
            </w:pPr>
            <w:r w:rsidRPr="00290D7C">
              <w:rPr>
                <w:sz w:val="16"/>
                <w:szCs w:val="16"/>
              </w:rPr>
              <w:t>406,067</w:t>
            </w:r>
          </w:p>
        </w:tc>
        <w:tc>
          <w:tcPr>
            <w:tcW w:w="1056" w:type="dxa"/>
            <w:vAlign w:val="bottom"/>
          </w:tcPr>
          <w:p w14:paraId="5B592291" w14:textId="77777777" w:rsidR="00701342" w:rsidRPr="00290D7C" w:rsidRDefault="00134B9D" w:rsidP="00F32AF1">
            <w:pPr>
              <w:jc w:val="right"/>
              <w:rPr>
                <w:sz w:val="16"/>
                <w:szCs w:val="16"/>
              </w:rPr>
            </w:pPr>
            <w:r w:rsidRPr="00290D7C">
              <w:rPr>
                <w:sz w:val="16"/>
                <w:szCs w:val="16"/>
              </w:rPr>
              <w:t>326.532</w:t>
            </w:r>
          </w:p>
        </w:tc>
        <w:tc>
          <w:tcPr>
            <w:tcW w:w="972" w:type="dxa"/>
            <w:vAlign w:val="bottom"/>
          </w:tcPr>
          <w:p w14:paraId="5B592292" w14:textId="77777777" w:rsidR="00701342" w:rsidRPr="00290D7C" w:rsidRDefault="00134B9D" w:rsidP="00F32AF1">
            <w:pPr>
              <w:jc w:val="right"/>
              <w:rPr>
                <w:sz w:val="16"/>
                <w:szCs w:val="16"/>
              </w:rPr>
            </w:pPr>
            <w:r w:rsidRPr="00290D7C">
              <w:rPr>
                <w:sz w:val="16"/>
                <w:szCs w:val="16"/>
              </w:rPr>
              <w:t>255,750</w:t>
            </w:r>
          </w:p>
        </w:tc>
      </w:tr>
      <w:tr w:rsidR="00701342" w14:paraId="5B59229B" w14:textId="77777777" w:rsidTr="0021500B">
        <w:trPr>
          <w:cantSplit/>
          <w:trHeight w:val="350"/>
        </w:trPr>
        <w:tc>
          <w:tcPr>
            <w:tcW w:w="2391" w:type="dxa"/>
          </w:tcPr>
          <w:p w14:paraId="5B592294" w14:textId="77777777" w:rsidR="00701342" w:rsidRPr="00290D7C" w:rsidRDefault="00134B9D" w:rsidP="00290D7C">
            <w:pPr>
              <w:rPr>
                <w:sz w:val="16"/>
                <w:szCs w:val="16"/>
              </w:rPr>
            </w:pPr>
            <w:r w:rsidRPr="00290D7C">
              <w:rPr>
                <w:sz w:val="16"/>
                <w:szCs w:val="16"/>
              </w:rPr>
              <w:t>Cash Days on Hand (days)</w:t>
            </w:r>
          </w:p>
        </w:tc>
        <w:tc>
          <w:tcPr>
            <w:tcW w:w="1351" w:type="dxa"/>
            <w:vAlign w:val="bottom"/>
          </w:tcPr>
          <w:p w14:paraId="5B592295" w14:textId="77777777" w:rsidR="00701342" w:rsidRPr="00290D7C" w:rsidRDefault="00134B9D" w:rsidP="00F32AF1">
            <w:pPr>
              <w:jc w:val="right"/>
              <w:rPr>
                <w:sz w:val="16"/>
                <w:szCs w:val="16"/>
              </w:rPr>
            </w:pPr>
            <w:r w:rsidRPr="00290D7C">
              <w:rPr>
                <w:sz w:val="16"/>
                <w:szCs w:val="16"/>
              </w:rPr>
              <w:t>40</w:t>
            </w:r>
          </w:p>
        </w:tc>
        <w:tc>
          <w:tcPr>
            <w:tcW w:w="1049" w:type="dxa"/>
            <w:vAlign w:val="bottom"/>
          </w:tcPr>
          <w:p w14:paraId="5B592296" w14:textId="77777777" w:rsidR="00701342" w:rsidRPr="00290D7C" w:rsidRDefault="00134B9D" w:rsidP="00F32AF1">
            <w:pPr>
              <w:jc w:val="right"/>
              <w:rPr>
                <w:sz w:val="16"/>
                <w:szCs w:val="16"/>
              </w:rPr>
            </w:pPr>
            <w:r w:rsidRPr="00290D7C">
              <w:rPr>
                <w:sz w:val="16"/>
                <w:szCs w:val="16"/>
              </w:rPr>
              <w:t>59</w:t>
            </w:r>
          </w:p>
        </w:tc>
        <w:tc>
          <w:tcPr>
            <w:tcW w:w="1049" w:type="dxa"/>
            <w:vAlign w:val="bottom"/>
          </w:tcPr>
          <w:p w14:paraId="5B592297" w14:textId="77777777" w:rsidR="00701342" w:rsidRPr="00290D7C" w:rsidRDefault="00134B9D" w:rsidP="00F32AF1">
            <w:pPr>
              <w:jc w:val="right"/>
              <w:rPr>
                <w:sz w:val="16"/>
                <w:szCs w:val="16"/>
              </w:rPr>
            </w:pPr>
            <w:r w:rsidRPr="00290D7C">
              <w:rPr>
                <w:sz w:val="16"/>
                <w:szCs w:val="16"/>
              </w:rPr>
              <w:t>81</w:t>
            </w:r>
          </w:p>
        </w:tc>
        <w:tc>
          <w:tcPr>
            <w:tcW w:w="1050" w:type="dxa"/>
            <w:vAlign w:val="bottom"/>
          </w:tcPr>
          <w:p w14:paraId="5B592298" w14:textId="77777777" w:rsidR="00701342" w:rsidRPr="00290D7C" w:rsidRDefault="00134B9D" w:rsidP="00F32AF1">
            <w:pPr>
              <w:jc w:val="right"/>
              <w:rPr>
                <w:sz w:val="16"/>
                <w:szCs w:val="16"/>
              </w:rPr>
            </w:pPr>
            <w:r w:rsidRPr="00290D7C">
              <w:rPr>
                <w:sz w:val="16"/>
                <w:szCs w:val="16"/>
              </w:rPr>
              <w:t>79</w:t>
            </w:r>
          </w:p>
        </w:tc>
        <w:tc>
          <w:tcPr>
            <w:tcW w:w="1056" w:type="dxa"/>
            <w:vAlign w:val="bottom"/>
          </w:tcPr>
          <w:p w14:paraId="5B592299" w14:textId="0382B215" w:rsidR="00701342" w:rsidRPr="00290D7C" w:rsidRDefault="00CB4EB4" w:rsidP="00F32AF1">
            <w:pPr>
              <w:jc w:val="right"/>
              <w:rPr>
                <w:sz w:val="16"/>
                <w:szCs w:val="16"/>
              </w:rPr>
            </w:pPr>
            <w:r>
              <w:rPr>
                <w:sz w:val="16"/>
                <w:szCs w:val="16"/>
              </w:rPr>
              <w:t>77</w:t>
            </w:r>
          </w:p>
        </w:tc>
        <w:tc>
          <w:tcPr>
            <w:tcW w:w="972" w:type="dxa"/>
            <w:vAlign w:val="bottom"/>
          </w:tcPr>
          <w:p w14:paraId="5B59229A" w14:textId="77777777" w:rsidR="00701342" w:rsidRPr="00290D7C" w:rsidRDefault="00134B9D" w:rsidP="00F32AF1">
            <w:pPr>
              <w:jc w:val="right"/>
              <w:rPr>
                <w:sz w:val="16"/>
                <w:szCs w:val="16"/>
              </w:rPr>
            </w:pPr>
            <w:r w:rsidRPr="00290D7C">
              <w:rPr>
                <w:sz w:val="16"/>
                <w:szCs w:val="16"/>
              </w:rPr>
              <w:t>75</w:t>
            </w:r>
          </w:p>
        </w:tc>
      </w:tr>
      <w:tr w:rsidR="00701342" w14:paraId="5B5922A3" w14:textId="77777777" w:rsidTr="0021500B">
        <w:trPr>
          <w:cantSplit/>
          <w:trHeight w:val="289"/>
        </w:trPr>
        <w:tc>
          <w:tcPr>
            <w:tcW w:w="2391" w:type="dxa"/>
          </w:tcPr>
          <w:p w14:paraId="5B59229C" w14:textId="5D6DA25B" w:rsidR="00701342" w:rsidRPr="00290D7C" w:rsidRDefault="00134B9D" w:rsidP="00290D7C">
            <w:pPr>
              <w:rPr>
                <w:sz w:val="16"/>
                <w:szCs w:val="16"/>
              </w:rPr>
            </w:pPr>
            <w:r w:rsidRPr="00290D7C">
              <w:rPr>
                <w:sz w:val="16"/>
                <w:szCs w:val="16"/>
              </w:rPr>
              <w:t>Cash to Debt</w:t>
            </w:r>
            <w:r w:rsidR="000256C4">
              <w:rPr>
                <w:sz w:val="16"/>
                <w:szCs w:val="16"/>
              </w:rPr>
              <w:t xml:space="preserve"> </w:t>
            </w:r>
            <w:r w:rsidRPr="00290D7C">
              <w:rPr>
                <w:sz w:val="16"/>
                <w:szCs w:val="16"/>
              </w:rPr>
              <w:t>(%)</w:t>
            </w:r>
          </w:p>
        </w:tc>
        <w:tc>
          <w:tcPr>
            <w:tcW w:w="1351" w:type="dxa"/>
            <w:vAlign w:val="bottom"/>
          </w:tcPr>
          <w:p w14:paraId="5B59229D" w14:textId="77777777" w:rsidR="00701342" w:rsidRPr="00290D7C" w:rsidRDefault="00134B9D" w:rsidP="00F32AF1">
            <w:pPr>
              <w:jc w:val="right"/>
              <w:rPr>
                <w:sz w:val="16"/>
                <w:szCs w:val="16"/>
              </w:rPr>
            </w:pPr>
            <w:r w:rsidRPr="00290D7C">
              <w:rPr>
                <w:sz w:val="16"/>
                <w:szCs w:val="16"/>
              </w:rPr>
              <w:t>0.00%</w:t>
            </w:r>
          </w:p>
        </w:tc>
        <w:tc>
          <w:tcPr>
            <w:tcW w:w="1049" w:type="dxa"/>
            <w:vAlign w:val="bottom"/>
          </w:tcPr>
          <w:p w14:paraId="5B59229E" w14:textId="77777777" w:rsidR="00701342" w:rsidRPr="00290D7C" w:rsidRDefault="00134B9D" w:rsidP="00F32AF1">
            <w:pPr>
              <w:jc w:val="right"/>
              <w:rPr>
                <w:sz w:val="16"/>
                <w:szCs w:val="16"/>
              </w:rPr>
            </w:pPr>
            <w:r w:rsidRPr="00290D7C">
              <w:rPr>
                <w:sz w:val="16"/>
                <w:szCs w:val="16"/>
              </w:rPr>
              <w:t>19.24%</w:t>
            </w:r>
          </w:p>
        </w:tc>
        <w:tc>
          <w:tcPr>
            <w:tcW w:w="1049" w:type="dxa"/>
            <w:vAlign w:val="bottom"/>
          </w:tcPr>
          <w:p w14:paraId="5B59229F" w14:textId="77777777" w:rsidR="00701342" w:rsidRPr="00290D7C" w:rsidRDefault="00134B9D" w:rsidP="00F32AF1">
            <w:pPr>
              <w:jc w:val="right"/>
              <w:rPr>
                <w:sz w:val="16"/>
                <w:szCs w:val="16"/>
              </w:rPr>
            </w:pPr>
            <w:r w:rsidRPr="00290D7C">
              <w:rPr>
                <w:sz w:val="16"/>
                <w:szCs w:val="16"/>
              </w:rPr>
              <w:t>30.33%</w:t>
            </w:r>
          </w:p>
        </w:tc>
        <w:tc>
          <w:tcPr>
            <w:tcW w:w="1050" w:type="dxa"/>
            <w:vAlign w:val="bottom"/>
          </w:tcPr>
          <w:p w14:paraId="5B5922A0" w14:textId="77777777" w:rsidR="00701342" w:rsidRPr="00290D7C" w:rsidRDefault="00134B9D" w:rsidP="00F32AF1">
            <w:pPr>
              <w:jc w:val="right"/>
              <w:rPr>
                <w:sz w:val="16"/>
                <w:szCs w:val="16"/>
              </w:rPr>
            </w:pPr>
            <w:r w:rsidRPr="00290D7C">
              <w:rPr>
                <w:sz w:val="16"/>
                <w:szCs w:val="16"/>
              </w:rPr>
              <w:t>31.28%</w:t>
            </w:r>
          </w:p>
        </w:tc>
        <w:tc>
          <w:tcPr>
            <w:tcW w:w="1056" w:type="dxa"/>
            <w:vAlign w:val="bottom"/>
          </w:tcPr>
          <w:p w14:paraId="5B5922A1" w14:textId="77777777" w:rsidR="00701342" w:rsidRPr="00290D7C" w:rsidRDefault="00134B9D" w:rsidP="00F32AF1">
            <w:pPr>
              <w:jc w:val="right"/>
              <w:rPr>
                <w:sz w:val="16"/>
                <w:szCs w:val="16"/>
              </w:rPr>
            </w:pPr>
            <w:r w:rsidRPr="00290D7C">
              <w:rPr>
                <w:sz w:val="16"/>
                <w:szCs w:val="16"/>
              </w:rPr>
              <w:t>32.43%</w:t>
            </w:r>
          </w:p>
        </w:tc>
        <w:tc>
          <w:tcPr>
            <w:tcW w:w="972" w:type="dxa"/>
            <w:vAlign w:val="bottom"/>
          </w:tcPr>
          <w:p w14:paraId="5B5922A2" w14:textId="77777777" w:rsidR="00701342" w:rsidRPr="00290D7C" w:rsidRDefault="00134B9D" w:rsidP="00F32AF1">
            <w:pPr>
              <w:jc w:val="right"/>
              <w:rPr>
                <w:sz w:val="16"/>
                <w:szCs w:val="16"/>
              </w:rPr>
            </w:pPr>
            <w:r w:rsidRPr="00290D7C">
              <w:rPr>
                <w:sz w:val="16"/>
                <w:szCs w:val="16"/>
              </w:rPr>
              <w:t>33.76%</w:t>
            </w:r>
          </w:p>
        </w:tc>
      </w:tr>
      <w:tr w:rsidR="00701342" w14:paraId="5B5922AB" w14:textId="77777777" w:rsidTr="0021500B">
        <w:trPr>
          <w:cantSplit/>
          <w:trHeight w:val="302"/>
        </w:trPr>
        <w:tc>
          <w:tcPr>
            <w:tcW w:w="2391" w:type="dxa"/>
          </w:tcPr>
          <w:p w14:paraId="5B5922A4" w14:textId="48C09112" w:rsidR="00701342" w:rsidRPr="00290D7C" w:rsidRDefault="000256C4" w:rsidP="00290D7C">
            <w:pPr>
              <w:rPr>
                <w:sz w:val="16"/>
                <w:szCs w:val="16"/>
              </w:rPr>
            </w:pPr>
            <w:r>
              <w:rPr>
                <w:sz w:val="16"/>
                <w:szCs w:val="16"/>
              </w:rPr>
              <w:t>Debt Service Coverage (ratio)</w:t>
            </w:r>
          </w:p>
        </w:tc>
        <w:tc>
          <w:tcPr>
            <w:tcW w:w="1351" w:type="dxa"/>
            <w:vAlign w:val="bottom"/>
          </w:tcPr>
          <w:p w14:paraId="5B5922A5" w14:textId="77777777" w:rsidR="00701342" w:rsidRPr="00290D7C" w:rsidRDefault="00134B9D" w:rsidP="00F32AF1">
            <w:pPr>
              <w:jc w:val="right"/>
              <w:rPr>
                <w:sz w:val="16"/>
                <w:szCs w:val="16"/>
              </w:rPr>
            </w:pPr>
            <w:r w:rsidRPr="00290D7C">
              <w:rPr>
                <w:sz w:val="16"/>
                <w:szCs w:val="16"/>
              </w:rPr>
              <w:t>6.50</w:t>
            </w:r>
          </w:p>
        </w:tc>
        <w:tc>
          <w:tcPr>
            <w:tcW w:w="1049" w:type="dxa"/>
            <w:vAlign w:val="bottom"/>
          </w:tcPr>
          <w:p w14:paraId="5B5922A6" w14:textId="77777777" w:rsidR="00701342" w:rsidRPr="00290D7C" w:rsidRDefault="00134B9D" w:rsidP="00F32AF1">
            <w:pPr>
              <w:jc w:val="right"/>
              <w:rPr>
                <w:sz w:val="16"/>
                <w:szCs w:val="16"/>
              </w:rPr>
            </w:pPr>
            <w:r w:rsidRPr="00290D7C">
              <w:rPr>
                <w:sz w:val="16"/>
                <w:szCs w:val="16"/>
              </w:rPr>
              <w:t>5.89</w:t>
            </w:r>
          </w:p>
        </w:tc>
        <w:tc>
          <w:tcPr>
            <w:tcW w:w="1049" w:type="dxa"/>
            <w:vAlign w:val="bottom"/>
          </w:tcPr>
          <w:p w14:paraId="5B5922A7" w14:textId="77777777" w:rsidR="00701342" w:rsidRPr="00290D7C" w:rsidRDefault="00134B9D" w:rsidP="00F32AF1">
            <w:pPr>
              <w:jc w:val="right"/>
              <w:rPr>
                <w:sz w:val="16"/>
                <w:szCs w:val="16"/>
              </w:rPr>
            </w:pPr>
            <w:r w:rsidRPr="00290D7C">
              <w:rPr>
                <w:sz w:val="16"/>
                <w:szCs w:val="16"/>
              </w:rPr>
              <w:t>7.04</w:t>
            </w:r>
          </w:p>
        </w:tc>
        <w:tc>
          <w:tcPr>
            <w:tcW w:w="1050" w:type="dxa"/>
            <w:vAlign w:val="bottom"/>
          </w:tcPr>
          <w:p w14:paraId="5B5922A8" w14:textId="77777777" w:rsidR="00701342" w:rsidRPr="00290D7C" w:rsidRDefault="00134B9D" w:rsidP="00F32AF1">
            <w:pPr>
              <w:jc w:val="right"/>
              <w:rPr>
                <w:sz w:val="16"/>
                <w:szCs w:val="16"/>
              </w:rPr>
            </w:pPr>
            <w:r w:rsidRPr="00290D7C">
              <w:rPr>
                <w:sz w:val="16"/>
                <w:szCs w:val="16"/>
              </w:rPr>
              <w:t>8.36</w:t>
            </w:r>
          </w:p>
        </w:tc>
        <w:tc>
          <w:tcPr>
            <w:tcW w:w="1056" w:type="dxa"/>
            <w:vAlign w:val="bottom"/>
          </w:tcPr>
          <w:p w14:paraId="5B5922A9" w14:textId="77777777" w:rsidR="00701342" w:rsidRPr="00290D7C" w:rsidRDefault="00134B9D" w:rsidP="00F32AF1">
            <w:pPr>
              <w:jc w:val="right"/>
              <w:rPr>
                <w:sz w:val="16"/>
                <w:szCs w:val="16"/>
              </w:rPr>
            </w:pPr>
            <w:r w:rsidRPr="00290D7C">
              <w:rPr>
                <w:sz w:val="16"/>
                <w:szCs w:val="16"/>
              </w:rPr>
              <w:t>9.81</w:t>
            </w:r>
          </w:p>
        </w:tc>
        <w:tc>
          <w:tcPr>
            <w:tcW w:w="972" w:type="dxa"/>
            <w:vAlign w:val="bottom"/>
          </w:tcPr>
          <w:p w14:paraId="5B5922AA" w14:textId="77777777" w:rsidR="00701342" w:rsidRPr="00290D7C" w:rsidRDefault="00134B9D" w:rsidP="00F32AF1">
            <w:pPr>
              <w:jc w:val="right"/>
              <w:rPr>
                <w:sz w:val="16"/>
                <w:szCs w:val="16"/>
              </w:rPr>
            </w:pPr>
            <w:r w:rsidRPr="00290D7C">
              <w:rPr>
                <w:sz w:val="16"/>
                <w:szCs w:val="16"/>
              </w:rPr>
              <w:t>11.47</w:t>
            </w:r>
          </w:p>
        </w:tc>
      </w:tr>
      <w:tr w:rsidR="00701342" w14:paraId="5B5922B3" w14:textId="77777777" w:rsidTr="0021500B">
        <w:trPr>
          <w:cantSplit/>
          <w:trHeight w:val="246"/>
        </w:trPr>
        <w:tc>
          <w:tcPr>
            <w:tcW w:w="2391" w:type="dxa"/>
          </w:tcPr>
          <w:p w14:paraId="5B5922AC" w14:textId="493A5CA1" w:rsidR="00701342" w:rsidRPr="00290D7C" w:rsidRDefault="000256C4" w:rsidP="00290D7C">
            <w:pPr>
              <w:rPr>
                <w:sz w:val="16"/>
                <w:szCs w:val="16"/>
              </w:rPr>
            </w:pPr>
            <w:r>
              <w:rPr>
                <w:sz w:val="16"/>
                <w:szCs w:val="16"/>
              </w:rPr>
              <w:t>Debt to Capitalization (%)</w:t>
            </w:r>
          </w:p>
        </w:tc>
        <w:tc>
          <w:tcPr>
            <w:tcW w:w="1351" w:type="dxa"/>
            <w:vAlign w:val="bottom"/>
          </w:tcPr>
          <w:p w14:paraId="5B5922AD" w14:textId="77777777" w:rsidR="00701342" w:rsidRPr="00290D7C" w:rsidRDefault="00134B9D" w:rsidP="00F32AF1">
            <w:pPr>
              <w:jc w:val="right"/>
              <w:rPr>
                <w:sz w:val="16"/>
                <w:szCs w:val="16"/>
              </w:rPr>
            </w:pPr>
            <w:r w:rsidRPr="00290D7C">
              <w:rPr>
                <w:sz w:val="16"/>
                <w:szCs w:val="16"/>
              </w:rPr>
              <w:t>0.00%</w:t>
            </w:r>
          </w:p>
        </w:tc>
        <w:tc>
          <w:tcPr>
            <w:tcW w:w="1049" w:type="dxa"/>
            <w:vAlign w:val="bottom"/>
          </w:tcPr>
          <w:p w14:paraId="5B5922AE" w14:textId="77777777" w:rsidR="00701342" w:rsidRPr="00290D7C" w:rsidRDefault="00134B9D" w:rsidP="00F32AF1">
            <w:pPr>
              <w:jc w:val="right"/>
              <w:rPr>
                <w:sz w:val="16"/>
                <w:szCs w:val="16"/>
              </w:rPr>
            </w:pPr>
            <w:r w:rsidRPr="00290D7C">
              <w:rPr>
                <w:sz w:val="16"/>
                <w:szCs w:val="16"/>
              </w:rPr>
              <w:t>46.75%</w:t>
            </w:r>
          </w:p>
        </w:tc>
        <w:tc>
          <w:tcPr>
            <w:tcW w:w="1049" w:type="dxa"/>
            <w:vAlign w:val="bottom"/>
          </w:tcPr>
          <w:p w14:paraId="5B5922AF" w14:textId="77777777" w:rsidR="00701342" w:rsidRPr="00290D7C" w:rsidRDefault="00134B9D" w:rsidP="00F32AF1">
            <w:pPr>
              <w:jc w:val="right"/>
              <w:rPr>
                <w:sz w:val="16"/>
                <w:szCs w:val="16"/>
              </w:rPr>
            </w:pPr>
            <w:r w:rsidRPr="00290D7C">
              <w:rPr>
                <w:sz w:val="16"/>
                <w:szCs w:val="16"/>
              </w:rPr>
              <w:t>46.37%</w:t>
            </w:r>
          </w:p>
        </w:tc>
        <w:tc>
          <w:tcPr>
            <w:tcW w:w="1050" w:type="dxa"/>
            <w:vAlign w:val="bottom"/>
          </w:tcPr>
          <w:p w14:paraId="5B5922B0" w14:textId="77777777" w:rsidR="00701342" w:rsidRPr="00290D7C" w:rsidRDefault="00134B9D" w:rsidP="00F32AF1">
            <w:pPr>
              <w:jc w:val="right"/>
              <w:rPr>
                <w:sz w:val="16"/>
                <w:szCs w:val="16"/>
              </w:rPr>
            </w:pPr>
            <w:r w:rsidRPr="00290D7C">
              <w:rPr>
                <w:sz w:val="16"/>
                <w:szCs w:val="16"/>
              </w:rPr>
              <w:t>47.38%</w:t>
            </w:r>
          </w:p>
        </w:tc>
        <w:tc>
          <w:tcPr>
            <w:tcW w:w="1056" w:type="dxa"/>
            <w:vAlign w:val="bottom"/>
          </w:tcPr>
          <w:p w14:paraId="5B5922B1" w14:textId="77777777" w:rsidR="00701342" w:rsidRPr="00290D7C" w:rsidRDefault="00134B9D" w:rsidP="00F32AF1">
            <w:pPr>
              <w:jc w:val="right"/>
              <w:rPr>
                <w:sz w:val="16"/>
                <w:szCs w:val="16"/>
              </w:rPr>
            </w:pPr>
            <w:r w:rsidRPr="00290D7C">
              <w:rPr>
                <w:sz w:val="16"/>
                <w:szCs w:val="16"/>
              </w:rPr>
              <w:t>47.80%</w:t>
            </w:r>
          </w:p>
        </w:tc>
        <w:tc>
          <w:tcPr>
            <w:tcW w:w="972" w:type="dxa"/>
            <w:vAlign w:val="bottom"/>
          </w:tcPr>
          <w:p w14:paraId="5B5922B2" w14:textId="77777777" w:rsidR="00701342" w:rsidRPr="00290D7C" w:rsidRDefault="00134B9D" w:rsidP="00F32AF1">
            <w:pPr>
              <w:jc w:val="right"/>
              <w:rPr>
                <w:sz w:val="16"/>
                <w:szCs w:val="16"/>
              </w:rPr>
            </w:pPr>
            <w:r w:rsidRPr="00290D7C">
              <w:rPr>
                <w:sz w:val="16"/>
                <w:szCs w:val="16"/>
              </w:rPr>
              <w:t>48.19%</w:t>
            </w:r>
          </w:p>
        </w:tc>
      </w:tr>
    </w:tbl>
    <w:p w14:paraId="5B5922B4" w14:textId="77777777" w:rsidR="00701342" w:rsidRDefault="00701342">
      <w:pPr>
        <w:spacing w:line="180" w:lineRule="exact"/>
        <w:jc w:val="right"/>
        <w:rPr>
          <w:sz w:val="17"/>
        </w:rPr>
        <w:sectPr w:rsidR="00701342">
          <w:pgSz w:w="12150" w:h="15830"/>
          <w:pgMar w:top="1340" w:right="1260" w:bottom="1360" w:left="1320" w:header="0" w:footer="1159" w:gutter="0"/>
          <w:cols w:space="720"/>
        </w:sectPr>
      </w:pPr>
    </w:p>
    <w:p w14:paraId="2ACE7AB6" w14:textId="77777777" w:rsidR="000047F7" w:rsidRDefault="000047F7" w:rsidP="000047F7">
      <w:pPr>
        <w:pStyle w:val="NoSpacing"/>
        <w:rPr>
          <w:b/>
          <w:bCs/>
        </w:rPr>
      </w:pPr>
      <w:r>
        <w:rPr>
          <w:b/>
          <w:bCs/>
        </w:rPr>
        <w:lastRenderedPageBreak/>
        <w:t>V.</w:t>
      </w:r>
      <w:r>
        <w:rPr>
          <w:b/>
          <w:bCs/>
        </w:rPr>
        <w:tab/>
        <w:t xml:space="preserve"> </w:t>
      </w:r>
      <w:r>
        <w:rPr>
          <w:b/>
          <w:bCs/>
          <w:u w:val="single"/>
        </w:rPr>
        <w:t>REVIEW OF THE PROJECTIONS</w:t>
      </w:r>
      <w:r>
        <w:t xml:space="preserve"> </w:t>
      </w:r>
      <w:r w:rsidRPr="000A08F0">
        <w:rPr>
          <w:b/>
          <w:bCs/>
        </w:rPr>
        <w:t>(continued)</w:t>
      </w:r>
    </w:p>
    <w:p w14:paraId="4E466C7C" w14:textId="77777777" w:rsidR="000047F7" w:rsidRDefault="000047F7" w:rsidP="000047F7">
      <w:pPr>
        <w:pStyle w:val="NoSpacing"/>
        <w:rPr>
          <w:b/>
          <w:bCs/>
        </w:rPr>
      </w:pPr>
    </w:p>
    <w:p w14:paraId="7EBCBF1D" w14:textId="77777777" w:rsidR="000047F7" w:rsidRDefault="000047F7" w:rsidP="000047F7">
      <w:pPr>
        <w:pStyle w:val="NoSpacing"/>
      </w:pPr>
      <w:r w:rsidRPr="0021653A">
        <w:t xml:space="preserve">The </w:t>
      </w:r>
      <w:r>
        <w:t>K</w:t>
      </w:r>
      <w:r w:rsidRPr="0021653A">
        <w:t xml:space="preserve">ey </w:t>
      </w:r>
      <w:r>
        <w:t>M</w:t>
      </w:r>
      <w:r w:rsidRPr="0021653A">
        <w:t>etrics fall into three primary categories: profitability, liquidity, and solvency. Profitability metrics such as E</w:t>
      </w:r>
      <w:r>
        <w:t>BITDA, EBITDA Margin, Operating Margin, Total Margin, and Debt Service Coverage Ratio are used to assist in the evaluation of management performance and how efficiently resources are utilized. Liquidity metrics, such as Cash Days on Hand and Cash to Debt, measure the quality and adequacy of assets to meet current obligations as they come due. Solvency metrics, such as Debt to Capitalization and Total Net Assets, measure the Company’s ability to service debt obligations. Additionally, certain metrics can be applicable in multiple categories.</w:t>
      </w:r>
    </w:p>
    <w:p w14:paraId="29FCB538" w14:textId="77777777" w:rsidR="000047F7" w:rsidRDefault="000047F7" w:rsidP="000047F7">
      <w:pPr>
        <w:pStyle w:val="NoSpacing"/>
      </w:pPr>
    </w:p>
    <w:p w14:paraId="5EC0FE95" w14:textId="77777777" w:rsidR="000047F7" w:rsidRDefault="000047F7" w:rsidP="000047F7">
      <w:pPr>
        <w:pStyle w:val="NoSpacing"/>
      </w:pPr>
      <w:r>
        <w:t>The following table shows how each of the Key Metrics is calculated.</w:t>
      </w:r>
    </w:p>
    <w:p w14:paraId="032A7C18" w14:textId="77777777" w:rsidR="00287900" w:rsidRDefault="00287900" w:rsidP="000047F7">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1"/>
        <w:gridCol w:w="5629"/>
      </w:tblGrid>
      <w:tr w:rsidR="00DB337E" w14:paraId="5B743E85" w14:textId="77777777" w:rsidTr="0021500B">
        <w:trPr>
          <w:cantSplit/>
          <w:tblHeader/>
        </w:trPr>
        <w:tc>
          <w:tcPr>
            <w:tcW w:w="3921" w:type="dxa"/>
          </w:tcPr>
          <w:p w14:paraId="0A5611A5" w14:textId="3C2840BD" w:rsidR="00DB337E" w:rsidRDefault="00DB337E" w:rsidP="000047F7">
            <w:pPr>
              <w:pStyle w:val="NoSpacing"/>
            </w:pPr>
            <w:r w:rsidRPr="00242572">
              <w:rPr>
                <w:u w:val="single"/>
              </w:rPr>
              <w:t>Key Metric</w:t>
            </w:r>
          </w:p>
        </w:tc>
        <w:tc>
          <w:tcPr>
            <w:tcW w:w="5629" w:type="dxa"/>
          </w:tcPr>
          <w:p w14:paraId="22EF9001" w14:textId="08850836" w:rsidR="00DB337E" w:rsidRDefault="00DB337E" w:rsidP="000047F7">
            <w:pPr>
              <w:pStyle w:val="NoSpacing"/>
            </w:pPr>
            <w:r w:rsidRPr="00242572">
              <w:rPr>
                <w:u w:val="single"/>
              </w:rPr>
              <w:t>Definition</w:t>
            </w:r>
          </w:p>
        </w:tc>
      </w:tr>
      <w:tr w:rsidR="00DB337E" w14:paraId="388B6E9A" w14:textId="77777777" w:rsidTr="0021500B">
        <w:trPr>
          <w:cantSplit/>
        </w:trPr>
        <w:tc>
          <w:tcPr>
            <w:tcW w:w="3921" w:type="dxa"/>
          </w:tcPr>
          <w:p w14:paraId="03347EA1" w14:textId="6D8E8A75" w:rsidR="00DB337E" w:rsidRPr="00242572" w:rsidRDefault="00DB337E" w:rsidP="000047F7">
            <w:pPr>
              <w:pStyle w:val="NoSpacing"/>
              <w:rPr>
                <w:u w:val="single"/>
              </w:rPr>
            </w:pPr>
            <w:r>
              <w:t>EBITDA ($)</w:t>
            </w:r>
          </w:p>
        </w:tc>
        <w:tc>
          <w:tcPr>
            <w:tcW w:w="5629" w:type="dxa"/>
          </w:tcPr>
          <w:p w14:paraId="0FEAAA14" w14:textId="13C9C9E9" w:rsidR="00DB337E" w:rsidRPr="00242572" w:rsidRDefault="00DB337E" w:rsidP="000047F7">
            <w:pPr>
              <w:pStyle w:val="NoSpacing"/>
              <w:rPr>
                <w:u w:val="single"/>
              </w:rPr>
            </w:pPr>
            <w:r>
              <w:t>(Earnings before interest, depreciation and amortization expense) – Income (loss) from operations + interest expense + depreciation expense + amortization expense</w:t>
            </w:r>
          </w:p>
        </w:tc>
      </w:tr>
      <w:tr w:rsidR="00DB337E" w14:paraId="797768DA" w14:textId="77777777" w:rsidTr="0021500B">
        <w:trPr>
          <w:cantSplit/>
        </w:trPr>
        <w:tc>
          <w:tcPr>
            <w:tcW w:w="3921" w:type="dxa"/>
          </w:tcPr>
          <w:p w14:paraId="34B43F1E" w14:textId="01DE6EC8" w:rsidR="00DB337E" w:rsidRPr="00242572" w:rsidRDefault="00DB337E" w:rsidP="000047F7">
            <w:pPr>
              <w:pStyle w:val="NoSpacing"/>
              <w:rPr>
                <w:u w:val="single"/>
              </w:rPr>
            </w:pPr>
            <w:r>
              <w:t>EBITDA Margin (%)</w:t>
            </w:r>
          </w:p>
        </w:tc>
        <w:tc>
          <w:tcPr>
            <w:tcW w:w="5629" w:type="dxa"/>
          </w:tcPr>
          <w:p w14:paraId="01E641D0" w14:textId="5DDCE2C3" w:rsidR="00DB337E" w:rsidRPr="00242572" w:rsidRDefault="00DB337E" w:rsidP="000047F7">
            <w:pPr>
              <w:pStyle w:val="NoSpacing"/>
              <w:rPr>
                <w:u w:val="single"/>
              </w:rPr>
            </w:pPr>
            <w:r>
              <w:t xml:space="preserve">EBITDA </w:t>
            </w:r>
            <w:proofErr w:type="gramStart"/>
            <w:r>
              <w:t>expressed</w:t>
            </w:r>
            <w:proofErr w:type="gramEnd"/>
            <w:r>
              <w:t xml:space="preserve"> as a % of the total operating revenues.  EBITDA / total operating revenues.</w:t>
            </w:r>
          </w:p>
        </w:tc>
      </w:tr>
      <w:tr w:rsidR="00DB337E" w14:paraId="68B1228E" w14:textId="77777777" w:rsidTr="0021500B">
        <w:trPr>
          <w:cantSplit/>
        </w:trPr>
        <w:tc>
          <w:tcPr>
            <w:tcW w:w="3921" w:type="dxa"/>
          </w:tcPr>
          <w:p w14:paraId="79CD9C20" w14:textId="47452CB7" w:rsidR="00DB337E" w:rsidRPr="00242572" w:rsidRDefault="00DB337E" w:rsidP="000047F7">
            <w:pPr>
              <w:pStyle w:val="NoSpacing"/>
              <w:rPr>
                <w:u w:val="single"/>
              </w:rPr>
            </w:pPr>
            <w:r>
              <w:t>Operating Margin (%)</w:t>
            </w:r>
          </w:p>
        </w:tc>
        <w:tc>
          <w:tcPr>
            <w:tcW w:w="5629" w:type="dxa"/>
          </w:tcPr>
          <w:p w14:paraId="5FEB8098" w14:textId="2FEEECC2" w:rsidR="00DB337E" w:rsidRPr="00242572" w:rsidRDefault="00DB337E" w:rsidP="000047F7">
            <w:pPr>
              <w:pStyle w:val="NoSpacing"/>
              <w:rPr>
                <w:u w:val="single"/>
              </w:rPr>
            </w:pPr>
            <w:r>
              <w:t>Income (loss) operations / total operating revenues</w:t>
            </w:r>
          </w:p>
        </w:tc>
      </w:tr>
      <w:tr w:rsidR="00DB337E" w14:paraId="3B1437E9" w14:textId="77777777" w:rsidTr="0021500B">
        <w:trPr>
          <w:cantSplit/>
        </w:trPr>
        <w:tc>
          <w:tcPr>
            <w:tcW w:w="3921" w:type="dxa"/>
          </w:tcPr>
          <w:p w14:paraId="78C9DD05" w14:textId="3C2415C5" w:rsidR="00DB337E" w:rsidRPr="00242572" w:rsidRDefault="00BB7AF1" w:rsidP="000047F7">
            <w:pPr>
              <w:pStyle w:val="NoSpacing"/>
              <w:rPr>
                <w:u w:val="single"/>
              </w:rPr>
            </w:pPr>
            <w:r>
              <w:t>Total Margin (%)</w:t>
            </w:r>
          </w:p>
        </w:tc>
        <w:tc>
          <w:tcPr>
            <w:tcW w:w="5629" w:type="dxa"/>
          </w:tcPr>
          <w:p w14:paraId="73310831" w14:textId="4DF7D1E9" w:rsidR="00DB337E" w:rsidRPr="00242572" w:rsidRDefault="00BB7AF1" w:rsidP="000047F7">
            <w:pPr>
              <w:pStyle w:val="NoSpacing"/>
              <w:rPr>
                <w:u w:val="single"/>
              </w:rPr>
            </w:pPr>
            <w:r>
              <w:t>Excess (deficit) of revenues over expenses / total operating revenues</w:t>
            </w:r>
          </w:p>
        </w:tc>
      </w:tr>
      <w:tr w:rsidR="00DB337E" w14:paraId="2B496F47" w14:textId="77777777" w:rsidTr="0021500B">
        <w:trPr>
          <w:cantSplit/>
        </w:trPr>
        <w:tc>
          <w:tcPr>
            <w:tcW w:w="3921" w:type="dxa"/>
          </w:tcPr>
          <w:p w14:paraId="267AD79D" w14:textId="42C464CD" w:rsidR="00DB337E" w:rsidRPr="00242572" w:rsidRDefault="00BB7AF1" w:rsidP="000047F7">
            <w:pPr>
              <w:pStyle w:val="NoSpacing"/>
              <w:rPr>
                <w:u w:val="single"/>
              </w:rPr>
            </w:pPr>
            <w:r>
              <w:t>Total Assets ($)</w:t>
            </w:r>
          </w:p>
        </w:tc>
        <w:tc>
          <w:tcPr>
            <w:tcW w:w="5629" w:type="dxa"/>
          </w:tcPr>
          <w:p w14:paraId="51AE6AF1" w14:textId="6E3EC133" w:rsidR="00DB337E" w:rsidRPr="00242572" w:rsidRDefault="00BB7AF1" w:rsidP="000047F7">
            <w:pPr>
              <w:pStyle w:val="NoSpacing"/>
              <w:rPr>
                <w:u w:val="single"/>
              </w:rPr>
            </w:pPr>
            <w:r>
              <w:t>Total assets of the organization</w:t>
            </w:r>
          </w:p>
        </w:tc>
      </w:tr>
      <w:tr w:rsidR="00DB337E" w14:paraId="1D945E16" w14:textId="77777777" w:rsidTr="0021500B">
        <w:trPr>
          <w:cantSplit/>
        </w:trPr>
        <w:tc>
          <w:tcPr>
            <w:tcW w:w="3921" w:type="dxa"/>
          </w:tcPr>
          <w:p w14:paraId="15A06F2F" w14:textId="16B461E7" w:rsidR="00DB337E" w:rsidRPr="00242572" w:rsidRDefault="00BB7AF1" w:rsidP="000047F7">
            <w:pPr>
              <w:pStyle w:val="NoSpacing"/>
              <w:rPr>
                <w:u w:val="single"/>
              </w:rPr>
            </w:pPr>
            <w:r>
              <w:t>Total Net Assets ($)</w:t>
            </w:r>
          </w:p>
        </w:tc>
        <w:tc>
          <w:tcPr>
            <w:tcW w:w="5629" w:type="dxa"/>
          </w:tcPr>
          <w:p w14:paraId="46D61299" w14:textId="5C1F017A" w:rsidR="00DB337E" w:rsidRPr="00242572" w:rsidRDefault="00BB7AF1" w:rsidP="000047F7">
            <w:pPr>
              <w:pStyle w:val="NoSpacing"/>
              <w:rPr>
                <w:u w:val="single"/>
              </w:rPr>
            </w:pPr>
            <w:r>
              <w:t>Total net assets of the organization</w:t>
            </w:r>
          </w:p>
        </w:tc>
      </w:tr>
      <w:tr w:rsidR="00DB337E" w14:paraId="3A60D12E" w14:textId="77777777" w:rsidTr="0021500B">
        <w:trPr>
          <w:cantSplit/>
        </w:trPr>
        <w:tc>
          <w:tcPr>
            <w:tcW w:w="3921" w:type="dxa"/>
          </w:tcPr>
          <w:p w14:paraId="231424FB" w14:textId="3AE7CB24" w:rsidR="00DB337E" w:rsidRPr="00242572" w:rsidRDefault="00BB7AF1" w:rsidP="000047F7">
            <w:pPr>
              <w:pStyle w:val="NoSpacing"/>
              <w:rPr>
                <w:u w:val="single"/>
              </w:rPr>
            </w:pPr>
            <w:r>
              <w:t>Cash Days on Hand (days)</w:t>
            </w:r>
          </w:p>
        </w:tc>
        <w:tc>
          <w:tcPr>
            <w:tcW w:w="5629" w:type="dxa"/>
          </w:tcPr>
          <w:p w14:paraId="630AF609" w14:textId="77777777" w:rsidR="00BB7AF1" w:rsidRPr="004D1C8E" w:rsidRDefault="00BB7AF1" w:rsidP="00BB7AF1">
            <w:pPr>
              <w:pStyle w:val="NoSpacing"/>
              <w:tabs>
                <w:tab w:val="left" w:pos="4752"/>
              </w:tabs>
              <w:ind w:left="4320" w:hanging="4320"/>
            </w:pPr>
            <w:r>
              <w:t>(C</w:t>
            </w:r>
            <w:r w:rsidRPr="004D1C8E">
              <w:t>ash and equivalents) / ((</w:t>
            </w:r>
            <w:r>
              <w:t>T</w:t>
            </w:r>
            <w:r w:rsidRPr="004D1C8E">
              <w:t>otal operating expenses</w:t>
            </w:r>
            <w:r>
              <w:t xml:space="preserve"> </w:t>
            </w:r>
            <w:r w:rsidRPr="004D1C8E">
              <w:t xml:space="preserve">-           </w:t>
            </w:r>
          </w:p>
          <w:p w14:paraId="56DB693B" w14:textId="47BE5B84" w:rsidR="00DB337E" w:rsidRPr="00BB7AF1" w:rsidRDefault="00BB7AF1" w:rsidP="00BB7AF1">
            <w:pPr>
              <w:pStyle w:val="NoSpacing"/>
              <w:tabs>
                <w:tab w:val="left" w:pos="4752"/>
              </w:tabs>
            </w:pPr>
            <w:r w:rsidRPr="004D1C8E">
              <w:t>depreciation &amp; amortization)</w:t>
            </w:r>
            <w:r>
              <w:t xml:space="preserve"> </w:t>
            </w:r>
            <w:r w:rsidRPr="004D1C8E">
              <w:t>/ YTD days)</w:t>
            </w:r>
          </w:p>
        </w:tc>
      </w:tr>
      <w:tr w:rsidR="00DB337E" w14:paraId="34C7F62C" w14:textId="77777777" w:rsidTr="0021500B">
        <w:trPr>
          <w:cantSplit/>
        </w:trPr>
        <w:tc>
          <w:tcPr>
            <w:tcW w:w="3921" w:type="dxa"/>
          </w:tcPr>
          <w:p w14:paraId="24E4CD2E" w14:textId="4BE72895" w:rsidR="00DB337E" w:rsidRPr="00242572" w:rsidRDefault="00BB7AF1" w:rsidP="000047F7">
            <w:pPr>
              <w:pStyle w:val="NoSpacing"/>
              <w:rPr>
                <w:u w:val="single"/>
              </w:rPr>
            </w:pPr>
            <w:r>
              <w:t>Cash to Debt (%)</w:t>
            </w:r>
          </w:p>
        </w:tc>
        <w:tc>
          <w:tcPr>
            <w:tcW w:w="5629" w:type="dxa"/>
          </w:tcPr>
          <w:p w14:paraId="78A032C0" w14:textId="2BDD2D10" w:rsidR="00DB337E" w:rsidRPr="00242572" w:rsidRDefault="00BB7AF1" w:rsidP="000047F7">
            <w:pPr>
              <w:pStyle w:val="NoSpacing"/>
              <w:rPr>
                <w:u w:val="single"/>
              </w:rPr>
            </w:pPr>
            <w:r w:rsidRPr="004D1C8E">
              <w:t>(</w:t>
            </w:r>
            <w:r>
              <w:t>C</w:t>
            </w:r>
            <w:r w:rsidRPr="004D1C8E">
              <w:t>ash equivalents) / (</w:t>
            </w:r>
            <w:r>
              <w:t>Current</w:t>
            </w:r>
            <w:r w:rsidRPr="004D1C8E">
              <w:t xml:space="preserve"> portion of long-term                                                                                          obligations + long-term obligations)</w:t>
            </w:r>
          </w:p>
        </w:tc>
      </w:tr>
      <w:tr w:rsidR="00DB337E" w14:paraId="7D7D5D84" w14:textId="77777777" w:rsidTr="0021500B">
        <w:trPr>
          <w:cantSplit/>
        </w:trPr>
        <w:tc>
          <w:tcPr>
            <w:tcW w:w="3921" w:type="dxa"/>
          </w:tcPr>
          <w:p w14:paraId="35F26021" w14:textId="6AFCC5B5" w:rsidR="00DB337E" w:rsidRPr="00242572" w:rsidRDefault="00BB7AF1" w:rsidP="000047F7">
            <w:pPr>
              <w:pStyle w:val="NoSpacing"/>
              <w:rPr>
                <w:u w:val="single"/>
              </w:rPr>
            </w:pPr>
            <w:r w:rsidRPr="004D1C8E">
              <w:t>Debt Service Coverage (ratio)</w:t>
            </w:r>
          </w:p>
        </w:tc>
        <w:tc>
          <w:tcPr>
            <w:tcW w:w="5629" w:type="dxa"/>
          </w:tcPr>
          <w:p w14:paraId="2E5E94C0" w14:textId="40DDADEF" w:rsidR="00DB337E" w:rsidRPr="00242572" w:rsidRDefault="00BB7AF1" w:rsidP="000047F7">
            <w:pPr>
              <w:pStyle w:val="NoSpacing"/>
              <w:rPr>
                <w:u w:val="single"/>
              </w:rPr>
            </w:pPr>
            <w:r w:rsidRPr="004D1C8E">
              <w:t>(</w:t>
            </w:r>
            <w:r>
              <w:t>E</w:t>
            </w:r>
            <w:r w:rsidRPr="004D1C8E">
              <w:t>xcess (deficit) of revenue over expenses + depreciation expense + amortization expense + interest expense) / (</w:t>
            </w:r>
            <w:r>
              <w:t>P</w:t>
            </w:r>
            <w:r w:rsidRPr="004D1C8E">
              <w:t>rincipal payments + interest expense)</w:t>
            </w:r>
          </w:p>
        </w:tc>
      </w:tr>
      <w:tr w:rsidR="00DB337E" w14:paraId="42273094" w14:textId="77777777" w:rsidTr="0021500B">
        <w:trPr>
          <w:cantSplit/>
        </w:trPr>
        <w:tc>
          <w:tcPr>
            <w:tcW w:w="3921" w:type="dxa"/>
          </w:tcPr>
          <w:p w14:paraId="5DC0A4FF" w14:textId="42E19631" w:rsidR="00DB337E" w:rsidRPr="00242572" w:rsidRDefault="00BB7AF1" w:rsidP="000047F7">
            <w:pPr>
              <w:pStyle w:val="NoSpacing"/>
              <w:rPr>
                <w:u w:val="single"/>
              </w:rPr>
            </w:pPr>
            <w:r w:rsidRPr="004D1C8E">
              <w:t>Debt to Capitalization (%)</w:t>
            </w:r>
          </w:p>
        </w:tc>
        <w:tc>
          <w:tcPr>
            <w:tcW w:w="5629" w:type="dxa"/>
          </w:tcPr>
          <w:p w14:paraId="4286A2FA" w14:textId="13BAD691" w:rsidR="00DB337E" w:rsidRPr="00242572" w:rsidRDefault="00BB7AF1" w:rsidP="000047F7">
            <w:pPr>
              <w:pStyle w:val="NoSpacing"/>
              <w:rPr>
                <w:u w:val="single"/>
              </w:rPr>
            </w:pPr>
            <w:r w:rsidRPr="004D1C8E">
              <w:t>(</w:t>
            </w:r>
            <w:r>
              <w:t>Current</w:t>
            </w:r>
            <w:r w:rsidRPr="004D1C8E">
              <w:t xml:space="preserve"> portion of long-term debt obligations + long-term debt obligations) / (</w:t>
            </w:r>
            <w:r>
              <w:t>C</w:t>
            </w:r>
            <w:r w:rsidRPr="004D1C8E">
              <w:t>urrent portion of long-term debt</w:t>
            </w:r>
            <w:r>
              <w:t xml:space="preserve"> </w:t>
            </w:r>
            <w:r w:rsidRPr="004D1C8E">
              <w:t xml:space="preserve">obligations </w:t>
            </w:r>
            <w:r>
              <w:t>+</w:t>
            </w:r>
            <w:r w:rsidRPr="004D1C8E">
              <w:t xml:space="preserve"> long-term obligations)</w:t>
            </w:r>
          </w:p>
        </w:tc>
      </w:tr>
    </w:tbl>
    <w:p w14:paraId="2F7F82A1" w14:textId="77777777" w:rsidR="00287900" w:rsidRDefault="00287900" w:rsidP="000047F7">
      <w:pPr>
        <w:pStyle w:val="NoSpacing"/>
      </w:pPr>
    </w:p>
    <w:p w14:paraId="4D4C9864" w14:textId="77777777" w:rsidR="00DB337E" w:rsidRDefault="00DB337E" w:rsidP="000047F7">
      <w:pPr>
        <w:pStyle w:val="NoSpacing"/>
        <w:sectPr w:rsidR="00DB337E" w:rsidSect="000047F7">
          <w:pgSz w:w="12180" w:h="15820"/>
          <w:pgMar w:top="560" w:right="1300" w:bottom="280" w:left="1320" w:header="0" w:footer="1139" w:gutter="0"/>
          <w:cols w:space="1423"/>
        </w:sectPr>
      </w:pPr>
    </w:p>
    <w:p w14:paraId="438BCFF9" w14:textId="77777777" w:rsidR="000047F7" w:rsidRDefault="000047F7" w:rsidP="000047F7">
      <w:pPr>
        <w:pStyle w:val="NoSpacing"/>
        <w:tabs>
          <w:tab w:val="left" w:pos="4752"/>
        </w:tabs>
        <w:ind w:left="4320" w:hanging="4320"/>
      </w:pPr>
    </w:p>
    <w:p w14:paraId="65B65101" w14:textId="4977CB30" w:rsidR="000047F7" w:rsidRPr="004D1C8E" w:rsidRDefault="000047F7" w:rsidP="000047F7">
      <w:pPr>
        <w:pStyle w:val="NoSpacing"/>
        <w:tabs>
          <w:tab w:val="left" w:pos="4752"/>
        </w:tabs>
        <w:ind w:left="4320" w:hanging="4320"/>
      </w:pPr>
      <w:r w:rsidRPr="004D1C8E">
        <w:tab/>
      </w:r>
    </w:p>
    <w:p w14:paraId="5B5922E2" w14:textId="77777777" w:rsidR="00701342" w:rsidRDefault="00701342">
      <w:pPr>
        <w:spacing w:line="266" w:lineRule="auto"/>
        <w:jc w:val="both"/>
        <w:rPr>
          <w:sz w:val="21"/>
        </w:rPr>
        <w:sectPr w:rsidR="00701342" w:rsidSect="00DB337E">
          <w:type w:val="continuous"/>
          <w:pgSz w:w="12180" w:h="15820"/>
          <w:pgMar w:top="560" w:right="1300" w:bottom="280" w:left="1320" w:header="0" w:footer="1139" w:gutter="0"/>
          <w:cols w:space="720"/>
        </w:sectPr>
      </w:pPr>
    </w:p>
    <w:p w14:paraId="76103FE4" w14:textId="77777777" w:rsidR="007C7BCB" w:rsidRDefault="007C7BCB" w:rsidP="007C7BCB">
      <w:pPr>
        <w:pStyle w:val="NoSpacing"/>
        <w:rPr>
          <w:b/>
          <w:bCs/>
        </w:rPr>
      </w:pPr>
      <w:r>
        <w:rPr>
          <w:b/>
          <w:bCs/>
        </w:rPr>
        <w:lastRenderedPageBreak/>
        <w:t>V.</w:t>
      </w:r>
      <w:r>
        <w:rPr>
          <w:b/>
          <w:bCs/>
        </w:rPr>
        <w:tab/>
        <w:t xml:space="preserve"> </w:t>
      </w:r>
      <w:r>
        <w:rPr>
          <w:b/>
          <w:bCs/>
          <w:u w:val="single"/>
        </w:rPr>
        <w:t>REVIEW OF THE PROJECTIONS</w:t>
      </w:r>
      <w:r>
        <w:t xml:space="preserve"> </w:t>
      </w:r>
      <w:r w:rsidRPr="000A08F0">
        <w:rPr>
          <w:b/>
          <w:bCs/>
        </w:rPr>
        <w:t>(continued)</w:t>
      </w:r>
    </w:p>
    <w:p w14:paraId="68701718" w14:textId="77777777" w:rsidR="007C7BCB" w:rsidRDefault="007C7BCB" w:rsidP="007C7BCB">
      <w:pPr>
        <w:pStyle w:val="NoSpacing"/>
        <w:rPr>
          <w:b/>
          <w:bCs/>
          <w:u w:val="single"/>
        </w:rPr>
      </w:pPr>
    </w:p>
    <w:p w14:paraId="2F32EAEE" w14:textId="77777777" w:rsidR="007C7BCB" w:rsidRPr="008D1BAE" w:rsidRDefault="007C7BCB" w:rsidP="007C7BCB">
      <w:pPr>
        <w:pStyle w:val="NoSpacing"/>
        <w:numPr>
          <w:ilvl w:val="0"/>
          <w:numId w:val="8"/>
        </w:numPr>
        <w:rPr>
          <w:b/>
          <w:bCs/>
          <w:u w:val="single"/>
        </w:rPr>
      </w:pPr>
      <w:r w:rsidRPr="008D1BAE">
        <w:rPr>
          <w:b/>
          <w:bCs/>
          <w:u w:val="single"/>
        </w:rPr>
        <w:t>Revenues</w:t>
      </w:r>
    </w:p>
    <w:p w14:paraId="4F6B85ED" w14:textId="77777777" w:rsidR="007C7BCB" w:rsidRDefault="007C7BCB" w:rsidP="007C7BCB">
      <w:pPr>
        <w:pStyle w:val="NoSpacing"/>
        <w:rPr>
          <w:b/>
          <w:bCs/>
        </w:rPr>
      </w:pPr>
    </w:p>
    <w:p w14:paraId="6AFDAA4A" w14:textId="77777777" w:rsidR="007C7BCB" w:rsidRDefault="007C7BCB" w:rsidP="007C7BCB">
      <w:pPr>
        <w:pStyle w:val="NoSpacing"/>
      </w:pPr>
      <w:r>
        <w:t>W</w:t>
      </w:r>
      <w:r w:rsidRPr="00E1464D">
        <w:t>e reviewed and analyzed the net operating revenues in the historical</w:t>
      </w:r>
      <w:r>
        <w:t xml:space="preserve"> and projected financial information. We reviewed the actual historical results of WELLC. The overall results were reviewed in relation to the profit and loss reporting based on the number of procedures currently being performed. Based on discussions with Management and a review of the information, there is an overall improvement in the net earnings of WELLC following the change in location.</w:t>
      </w:r>
    </w:p>
    <w:p w14:paraId="207AC6E1" w14:textId="77777777" w:rsidR="007C7BCB" w:rsidRDefault="007C7BCB" w:rsidP="007C7BCB">
      <w:pPr>
        <w:pStyle w:val="NoSpacing"/>
      </w:pPr>
    </w:p>
    <w:p w14:paraId="212C7218" w14:textId="77777777" w:rsidR="007C7BCB" w:rsidRDefault="007C7BCB" w:rsidP="007C7BCB">
      <w:pPr>
        <w:pStyle w:val="NoSpacing"/>
      </w:pPr>
      <w:r>
        <w:t>The table below summarizes some of the key information for the historical and projected volume and revenue by year:</w:t>
      </w:r>
    </w:p>
    <w:p w14:paraId="5B5922E9" w14:textId="77777777" w:rsidR="00701342" w:rsidRDefault="00701342">
      <w:pPr>
        <w:pStyle w:val="BodyText"/>
        <w:spacing w:before="1" w:after="1"/>
        <w:rPr>
          <w:sz w:val="17"/>
        </w:rPr>
      </w:pPr>
    </w:p>
    <w:tbl>
      <w:tblPr>
        <w:tblW w:w="0" w:type="auto"/>
        <w:tblInd w:w="143" w:type="dxa"/>
        <w:tblLayout w:type="fixed"/>
        <w:tblCellMar>
          <w:left w:w="0" w:type="dxa"/>
          <w:right w:w="0" w:type="dxa"/>
        </w:tblCellMar>
        <w:tblLook w:val="01E0" w:firstRow="1" w:lastRow="1" w:firstColumn="1" w:lastColumn="1" w:noHBand="0" w:noVBand="0"/>
      </w:tblPr>
      <w:tblGrid>
        <w:gridCol w:w="2069"/>
        <w:gridCol w:w="1205"/>
        <w:gridCol w:w="1205"/>
        <w:gridCol w:w="971"/>
        <w:gridCol w:w="945"/>
        <w:gridCol w:w="930"/>
        <w:gridCol w:w="944"/>
        <w:gridCol w:w="839"/>
      </w:tblGrid>
      <w:tr w:rsidR="009E496E" w14:paraId="5B5922F9" w14:textId="77777777" w:rsidTr="0021500B">
        <w:trPr>
          <w:cantSplit/>
          <w:trHeight w:val="892"/>
          <w:tblHeader/>
        </w:trPr>
        <w:tc>
          <w:tcPr>
            <w:tcW w:w="2069" w:type="dxa"/>
          </w:tcPr>
          <w:p w14:paraId="5B5922EA" w14:textId="77777777" w:rsidR="009E496E" w:rsidRPr="00C307E0" w:rsidRDefault="009E496E" w:rsidP="009E496E">
            <w:pPr>
              <w:rPr>
                <w:sz w:val="18"/>
                <w:szCs w:val="18"/>
              </w:rPr>
            </w:pPr>
          </w:p>
        </w:tc>
        <w:tc>
          <w:tcPr>
            <w:tcW w:w="1205" w:type="dxa"/>
          </w:tcPr>
          <w:p w14:paraId="5B5922EB" w14:textId="4EBA032E" w:rsidR="009E496E" w:rsidRPr="00C307E0" w:rsidRDefault="009E496E" w:rsidP="009E496E">
            <w:pPr>
              <w:rPr>
                <w:sz w:val="18"/>
                <w:szCs w:val="18"/>
              </w:rPr>
            </w:pPr>
            <w:r>
              <w:rPr>
                <w:sz w:val="18"/>
                <w:szCs w:val="18"/>
              </w:rPr>
              <w:t>As reported by WELLC</w:t>
            </w:r>
            <w:r w:rsidRPr="00C307E0">
              <w:rPr>
                <w:sz w:val="18"/>
                <w:szCs w:val="18"/>
              </w:rPr>
              <w:t xml:space="preserve"> for the year ended</w:t>
            </w:r>
          </w:p>
          <w:p w14:paraId="5B5922EC" w14:textId="4F0E495A" w:rsidR="009E496E" w:rsidRPr="00C307E0" w:rsidRDefault="009E496E" w:rsidP="009E496E">
            <w:pPr>
              <w:rPr>
                <w:sz w:val="18"/>
                <w:szCs w:val="18"/>
              </w:rPr>
            </w:pPr>
            <w:r>
              <w:rPr>
                <w:sz w:val="18"/>
                <w:szCs w:val="18"/>
              </w:rPr>
              <w:t>December 31</w:t>
            </w:r>
            <w:r w:rsidRPr="00C307E0">
              <w:rPr>
                <w:sz w:val="18"/>
                <w:szCs w:val="18"/>
              </w:rPr>
              <w:t>, 2023</w:t>
            </w:r>
          </w:p>
        </w:tc>
        <w:tc>
          <w:tcPr>
            <w:tcW w:w="1205" w:type="dxa"/>
          </w:tcPr>
          <w:p w14:paraId="1E5C404C" w14:textId="056E0BCC" w:rsidR="009E496E" w:rsidRPr="00C307E0" w:rsidRDefault="009E496E" w:rsidP="009E496E">
            <w:pPr>
              <w:rPr>
                <w:sz w:val="18"/>
                <w:szCs w:val="18"/>
              </w:rPr>
            </w:pPr>
            <w:r>
              <w:rPr>
                <w:sz w:val="18"/>
                <w:szCs w:val="18"/>
              </w:rPr>
              <w:t>As reported by WELLC</w:t>
            </w:r>
            <w:r w:rsidRPr="00C307E0">
              <w:rPr>
                <w:sz w:val="18"/>
                <w:szCs w:val="18"/>
              </w:rPr>
              <w:t xml:space="preserve"> for the </w:t>
            </w:r>
            <w:r>
              <w:rPr>
                <w:sz w:val="18"/>
                <w:szCs w:val="18"/>
              </w:rPr>
              <w:t>12 months</w:t>
            </w:r>
            <w:r w:rsidRPr="00C307E0">
              <w:rPr>
                <w:sz w:val="18"/>
                <w:szCs w:val="18"/>
              </w:rPr>
              <w:t xml:space="preserve"> </w:t>
            </w:r>
          </w:p>
          <w:p w14:paraId="5B5922EE" w14:textId="1A2F3C3B" w:rsidR="009E496E" w:rsidRPr="00C307E0" w:rsidRDefault="009E496E" w:rsidP="009E496E">
            <w:pPr>
              <w:rPr>
                <w:sz w:val="18"/>
                <w:szCs w:val="18"/>
              </w:rPr>
            </w:pPr>
            <w:r w:rsidRPr="00C307E0">
              <w:rPr>
                <w:sz w:val="18"/>
                <w:szCs w:val="18"/>
              </w:rPr>
              <w:t xml:space="preserve">ended </w:t>
            </w:r>
            <w:proofErr w:type="gramStart"/>
            <w:r w:rsidRPr="00C307E0">
              <w:rPr>
                <w:sz w:val="18"/>
                <w:szCs w:val="18"/>
              </w:rPr>
              <w:t>March</w:t>
            </w:r>
            <w:r>
              <w:rPr>
                <w:sz w:val="18"/>
                <w:szCs w:val="18"/>
              </w:rPr>
              <w:t>,</w:t>
            </w:r>
            <w:proofErr w:type="gramEnd"/>
            <w:r w:rsidRPr="00C307E0">
              <w:rPr>
                <w:sz w:val="18"/>
                <w:szCs w:val="18"/>
              </w:rPr>
              <w:t xml:space="preserve"> 31, 2024</w:t>
            </w:r>
          </w:p>
        </w:tc>
        <w:tc>
          <w:tcPr>
            <w:tcW w:w="971" w:type="dxa"/>
          </w:tcPr>
          <w:p w14:paraId="5B5922F0" w14:textId="0ED52980" w:rsidR="009E496E" w:rsidRPr="00C307E0" w:rsidRDefault="009E496E" w:rsidP="009E496E">
            <w:pPr>
              <w:rPr>
                <w:sz w:val="18"/>
                <w:szCs w:val="18"/>
              </w:rPr>
            </w:pPr>
            <w:r>
              <w:rPr>
                <w:sz w:val="18"/>
                <w:szCs w:val="18"/>
              </w:rPr>
              <w:t>Projected pro-forma new b</w:t>
            </w:r>
            <w:r w:rsidRPr="00C307E0">
              <w:rPr>
                <w:sz w:val="18"/>
                <w:szCs w:val="18"/>
              </w:rPr>
              <w:t>uilding</w:t>
            </w:r>
            <w:r>
              <w:rPr>
                <w:sz w:val="18"/>
                <w:szCs w:val="18"/>
              </w:rPr>
              <w:t xml:space="preserve"> </w:t>
            </w:r>
            <w:r w:rsidRPr="00C307E0">
              <w:rPr>
                <w:sz w:val="18"/>
                <w:szCs w:val="18"/>
              </w:rPr>
              <w:t>2025</w:t>
            </w:r>
          </w:p>
        </w:tc>
        <w:tc>
          <w:tcPr>
            <w:tcW w:w="945" w:type="dxa"/>
          </w:tcPr>
          <w:p w14:paraId="5B5922F2" w14:textId="1B0616C5" w:rsidR="009E496E" w:rsidRPr="00C307E0" w:rsidRDefault="009E496E" w:rsidP="009E496E">
            <w:pPr>
              <w:rPr>
                <w:sz w:val="18"/>
                <w:szCs w:val="18"/>
              </w:rPr>
            </w:pPr>
            <w:r w:rsidRPr="00B10C51">
              <w:rPr>
                <w:sz w:val="18"/>
                <w:szCs w:val="18"/>
              </w:rPr>
              <w:t>Projected pro-forma new building 202</w:t>
            </w:r>
            <w:r>
              <w:rPr>
                <w:sz w:val="18"/>
                <w:szCs w:val="18"/>
              </w:rPr>
              <w:t>6</w:t>
            </w:r>
          </w:p>
        </w:tc>
        <w:tc>
          <w:tcPr>
            <w:tcW w:w="930" w:type="dxa"/>
          </w:tcPr>
          <w:p w14:paraId="5B5922F4" w14:textId="5FA0DE7E" w:rsidR="009E496E" w:rsidRPr="00C307E0" w:rsidRDefault="009E496E" w:rsidP="009E496E">
            <w:pPr>
              <w:rPr>
                <w:sz w:val="18"/>
                <w:szCs w:val="18"/>
              </w:rPr>
            </w:pPr>
            <w:r w:rsidRPr="00B10C51">
              <w:rPr>
                <w:sz w:val="18"/>
                <w:szCs w:val="18"/>
              </w:rPr>
              <w:t>Projected pro-forma new building 202</w:t>
            </w:r>
            <w:r>
              <w:rPr>
                <w:sz w:val="18"/>
                <w:szCs w:val="18"/>
              </w:rPr>
              <w:t>7</w:t>
            </w:r>
          </w:p>
        </w:tc>
        <w:tc>
          <w:tcPr>
            <w:tcW w:w="944" w:type="dxa"/>
          </w:tcPr>
          <w:p w14:paraId="5B5922F6" w14:textId="27F4C673" w:rsidR="009E496E" w:rsidRPr="00C307E0" w:rsidRDefault="009E496E" w:rsidP="009E496E">
            <w:pPr>
              <w:rPr>
                <w:sz w:val="18"/>
                <w:szCs w:val="18"/>
              </w:rPr>
            </w:pPr>
            <w:r w:rsidRPr="00B10C51">
              <w:rPr>
                <w:sz w:val="18"/>
                <w:szCs w:val="18"/>
              </w:rPr>
              <w:t>Projected pro-forma new building 202</w:t>
            </w:r>
            <w:r>
              <w:rPr>
                <w:sz w:val="18"/>
                <w:szCs w:val="18"/>
              </w:rPr>
              <w:t>8</w:t>
            </w:r>
          </w:p>
        </w:tc>
        <w:tc>
          <w:tcPr>
            <w:tcW w:w="839" w:type="dxa"/>
          </w:tcPr>
          <w:p w14:paraId="5B5922F8" w14:textId="3799C398" w:rsidR="009E496E" w:rsidRPr="00C307E0" w:rsidRDefault="009E496E" w:rsidP="009E496E">
            <w:pPr>
              <w:rPr>
                <w:sz w:val="18"/>
                <w:szCs w:val="18"/>
              </w:rPr>
            </w:pPr>
            <w:r w:rsidRPr="00B10C51">
              <w:rPr>
                <w:sz w:val="18"/>
                <w:szCs w:val="18"/>
              </w:rPr>
              <w:t>Projected pro-forma new building 202</w:t>
            </w:r>
            <w:r>
              <w:rPr>
                <w:sz w:val="18"/>
                <w:szCs w:val="18"/>
              </w:rPr>
              <w:t>9</w:t>
            </w:r>
          </w:p>
        </w:tc>
      </w:tr>
      <w:tr w:rsidR="00701342" w14:paraId="5B59230B" w14:textId="77777777" w:rsidTr="00F46394">
        <w:trPr>
          <w:cantSplit/>
          <w:trHeight w:val="305"/>
        </w:trPr>
        <w:tc>
          <w:tcPr>
            <w:tcW w:w="2069" w:type="dxa"/>
          </w:tcPr>
          <w:p w14:paraId="5B592303" w14:textId="4E6FEE9F" w:rsidR="00701342" w:rsidRPr="00C307E0" w:rsidRDefault="00C307E0" w:rsidP="00C307E0">
            <w:pPr>
              <w:rPr>
                <w:b/>
                <w:bCs/>
                <w:sz w:val="18"/>
                <w:szCs w:val="18"/>
              </w:rPr>
            </w:pPr>
            <w:r w:rsidRPr="00C307E0">
              <w:rPr>
                <w:b/>
                <w:bCs/>
                <w:sz w:val="18"/>
                <w:szCs w:val="18"/>
              </w:rPr>
              <w:t>Volume</w:t>
            </w:r>
          </w:p>
        </w:tc>
        <w:tc>
          <w:tcPr>
            <w:tcW w:w="1205" w:type="dxa"/>
          </w:tcPr>
          <w:p w14:paraId="5B592304" w14:textId="77777777" w:rsidR="00701342" w:rsidRPr="00C307E0" w:rsidRDefault="00701342" w:rsidP="00C307E0">
            <w:pPr>
              <w:rPr>
                <w:sz w:val="18"/>
                <w:szCs w:val="18"/>
              </w:rPr>
            </w:pPr>
          </w:p>
        </w:tc>
        <w:tc>
          <w:tcPr>
            <w:tcW w:w="1205" w:type="dxa"/>
          </w:tcPr>
          <w:p w14:paraId="5B592305" w14:textId="77777777" w:rsidR="00701342" w:rsidRPr="00C307E0" w:rsidRDefault="00701342" w:rsidP="00C307E0">
            <w:pPr>
              <w:rPr>
                <w:sz w:val="18"/>
                <w:szCs w:val="18"/>
              </w:rPr>
            </w:pPr>
          </w:p>
        </w:tc>
        <w:tc>
          <w:tcPr>
            <w:tcW w:w="971" w:type="dxa"/>
          </w:tcPr>
          <w:p w14:paraId="5B592306" w14:textId="77777777" w:rsidR="00701342" w:rsidRPr="00C307E0" w:rsidRDefault="00701342" w:rsidP="00C307E0">
            <w:pPr>
              <w:rPr>
                <w:sz w:val="18"/>
                <w:szCs w:val="18"/>
              </w:rPr>
            </w:pPr>
          </w:p>
        </w:tc>
        <w:tc>
          <w:tcPr>
            <w:tcW w:w="945" w:type="dxa"/>
          </w:tcPr>
          <w:p w14:paraId="5B592307" w14:textId="77777777" w:rsidR="00701342" w:rsidRPr="00C307E0" w:rsidRDefault="00701342" w:rsidP="00C307E0">
            <w:pPr>
              <w:rPr>
                <w:sz w:val="18"/>
                <w:szCs w:val="18"/>
              </w:rPr>
            </w:pPr>
          </w:p>
        </w:tc>
        <w:tc>
          <w:tcPr>
            <w:tcW w:w="930" w:type="dxa"/>
          </w:tcPr>
          <w:p w14:paraId="5B592308" w14:textId="77777777" w:rsidR="00701342" w:rsidRPr="00C307E0" w:rsidRDefault="00701342" w:rsidP="00C307E0">
            <w:pPr>
              <w:rPr>
                <w:sz w:val="18"/>
                <w:szCs w:val="18"/>
              </w:rPr>
            </w:pPr>
          </w:p>
        </w:tc>
        <w:tc>
          <w:tcPr>
            <w:tcW w:w="944" w:type="dxa"/>
          </w:tcPr>
          <w:p w14:paraId="5B592309" w14:textId="77777777" w:rsidR="00701342" w:rsidRPr="00C307E0" w:rsidRDefault="00701342" w:rsidP="00C307E0">
            <w:pPr>
              <w:rPr>
                <w:sz w:val="18"/>
                <w:szCs w:val="18"/>
              </w:rPr>
            </w:pPr>
          </w:p>
        </w:tc>
        <w:tc>
          <w:tcPr>
            <w:tcW w:w="839" w:type="dxa"/>
          </w:tcPr>
          <w:p w14:paraId="5B59230A" w14:textId="77777777" w:rsidR="00701342" w:rsidRPr="00C307E0" w:rsidRDefault="00701342" w:rsidP="00C307E0">
            <w:pPr>
              <w:rPr>
                <w:sz w:val="18"/>
                <w:szCs w:val="18"/>
              </w:rPr>
            </w:pPr>
          </w:p>
        </w:tc>
      </w:tr>
      <w:tr w:rsidR="00701342" w14:paraId="5B592314" w14:textId="77777777" w:rsidTr="00F46394">
        <w:trPr>
          <w:cantSplit/>
          <w:trHeight w:val="264"/>
        </w:trPr>
        <w:tc>
          <w:tcPr>
            <w:tcW w:w="2069" w:type="dxa"/>
          </w:tcPr>
          <w:p w14:paraId="5B59230C" w14:textId="6F27C752" w:rsidR="00701342" w:rsidRPr="00C307E0" w:rsidRDefault="00134B9D" w:rsidP="00C307E0">
            <w:pPr>
              <w:rPr>
                <w:sz w:val="18"/>
                <w:szCs w:val="18"/>
              </w:rPr>
            </w:pPr>
            <w:r w:rsidRPr="00C307E0">
              <w:rPr>
                <w:sz w:val="18"/>
                <w:szCs w:val="18"/>
              </w:rPr>
              <w:t xml:space="preserve">Total procedures </w:t>
            </w:r>
            <w:r w:rsidR="00C13F10" w:rsidRPr="00C307E0">
              <w:rPr>
                <w:sz w:val="18"/>
                <w:szCs w:val="18"/>
              </w:rPr>
              <w:t>performed</w:t>
            </w:r>
          </w:p>
        </w:tc>
        <w:tc>
          <w:tcPr>
            <w:tcW w:w="1205" w:type="dxa"/>
            <w:tcBorders>
              <w:bottom w:val="double" w:sz="4" w:space="0" w:color="auto"/>
            </w:tcBorders>
            <w:vAlign w:val="center"/>
          </w:tcPr>
          <w:p w14:paraId="5B59230D" w14:textId="77777777" w:rsidR="00701342" w:rsidRPr="00C307E0" w:rsidRDefault="00134B9D" w:rsidP="005A7FBA">
            <w:pPr>
              <w:rPr>
                <w:sz w:val="18"/>
                <w:szCs w:val="18"/>
              </w:rPr>
            </w:pPr>
            <w:r w:rsidRPr="00C307E0">
              <w:rPr>
                <w:sz w:val="18"/>
                <w:szCs w:val="18"/>
              </w:rPr>
              <w:t>8,083</w:t>
            </w:r>
          </w:p>
        </w:tc>
        <w:tc>
          <w:tcPr>
            <w:tcW w:w="1205" w:type="dxa"/>
            <w:tcBorders>
              <w:bottom w:val="double" w:sz="4" w:space="0" w:color="auto"/>
            </w:tcBorders>
            <w:vAlign w:val="center"/>
          </w:tcPr>
          <w:p w14:paraId="5B59230E" w14:textId="77777777" w:rsidR="00701342" w:rsidRPr="00C307E0" w:rsidRDefault="00134B9D" w:rsidP="005A7FBA">
            <w:pPr>
              <w:rPr>
                <w:sz w:val="18"/>
                <w:szCs w:val="18"/>
              </w:rPr>
            </w:pPr>
            <w:r w:rsidRPr="00C307E0">
              <w:rPr>
                <w:sz w:val="18"/>
                <w:szCs w:val="18"/>
              </w:rPr>
              <w:t>8,257</w:t>
            </w:r>
          </w:p>
        </w:tc>
        <w:tc>
          <w:tcPr>
            <w:tcW w:w="971" w:type="dxa"/>
            <w:tcBorders>
              <w:bottom w:val="double" w:sz="4" w:space="0" w:color="auto"/>
            </w:tcBorders>
            <w:vAlign w:val="center"/>
          </w:tcPr>
          <w:p w14:paraId="5B59230F" w14:textId="77777777" w:rsidR="00701342" w:rsidRPr="00C307E0" w:rsidRDefault="00134B9D" w:rsidP="005A7FBA">
            <w:pPr>
              <w:rPr>
                <w:sz w:val="18"/>
                <w:szCs w:val="18"/>
              </w:rPr>
            </w:pPr>
            <w:r w:rsidRPr="00C307E0">
              <w:rPr>
                <w:sz w:val="18"/>
                <w:szCs w:val="18"/>
              </w:rPr>
              <w:t>10,805</w:t>
            </w:r>
          </w:p>
        </w:tc>
        <w:tc>
          <w:tcPr>
            <w:tcW w:w="945" w:type="dxa"/>
            <w:tcBorders>
              <w:bottom w:val="double" w:sz="4" w:space="0" w:color="auto"/>
            </w:tcBorders>
            <w:vAlign w:val="center"/>
          </w:tcPr>
          <w:p w14:paraId="5B592310" w14:textId="77777777" w:rsidR="00701342" w:rsidRPr="00C307E0" w:rsidRDefault="00134B9D" w:rsidP="005A7FBA">
            <w:pPr>
              <w:rPr>
                <w:sz w:val="18"/>
                <w:szCs w:val="18"/>
              </w:rPr>
            </w:pPr>
            <w:r w:rsidRPr="00C307E0">
              <w:rPr>
                <w:sz w:val="18"/>
                <w:szCs w:val="18"/>
              </w:rPr>
              <w:t>11,886</w:t>
            </w:r>
          </w:p>
        </w:tc>
        <w:tc>
          <w:tcPr>
            <w:tcW w:w="930" w:type="dxa"/>
            <w:tcBorders>
              <w:bottom w:val="double" w:sz="4" w:space="0" w:color="auto"/>
            </w:tcBorders>
            <w:vAlign w:val="center"/>
          </w:tcPr>
          <w:p w14:paraId="5B592311" w14:textId="77777777" w:rsidR="00701342" w:rsidRPr="00C307E0" w:rsidRDefault="00134B9D" w:rsidP="005A7FBA">
            <w:pPr>
              <w:rPr>
                <w:sz w:val="18"/>
                <w:szCs w:val="18"/>
              </w:rPr>
            </w:pPr>
            <w:r w:rsidRPr="00C307E0">
              <w:rPr>
                <w:sz w:val="18"/>
                <w:szCs w:val="18"/>
              </w:rPr>
              <w:t>13,074</w:t>
            </w:r>
          </w:p>
        </w:tc>
        <w:tc>
          <w:tcPr>
            <w:tcW w:w="944" w:type="dxa"/>
            <w:tcBorders>
              <w:bottom w:val="double" w:sz="4" w:space="0" w:color="auto"/>
            </w:tcBorders>
            <w:vAlign w:val="center"/>
          </w:tcPr>
          <w:p w14:paraId="5B592312" w14:textId="77777777" w:rsidR="00701342" w:rsidRPr="00C307E0" w:rsidRDefault="00134B9D" w:rsidP="005A7FBA">
            <w:pPr>
              <w:rPr>
                <w:sz w:val="18"/>
                <w:szCs w:val="18"/>
              </w:rPr>
            </w:pPr>
            <w:r w:rsidRPr="00C307E0">
              <w:rPr>
                <w:sz w:val="18"/>
                <w:szCs w:val="18"/>
              </w:rPr>
              <w:t>14,381</w:t>
            </w:r>
          </w:p>
        </w:tc>
        <w:tc>
          <w:tcPr>
            <w:tcW w:w="839" w:type="dxa"/>
            <w:tcBorders>
              <w:bottom w:val="double" w:sz="4" w:space="0" w:color="auto"/>
            </w:tcBorders>
            <w:vAlign w:val="center"/>
          </w:tcPr>
          <w:p w14:paraId="5B592313" w14:textId="77777777" w:rsidR="00701342" w:rsidRPr="00C307E0" w:rsidRDefault="00134B9D" w:rsidP="005A7FBA">
            <w:pPr>
              <w:rPr>
                <w:sz w:val="18"/>
                <w:szCs w:val="18"/>
              </w:rPr>
            </w:pPr>
            <w:r w:rsidRPr="00C307E0">
              <w:rPr>
                <w:sz w:val="18"/>
                <w:szCs w:val="18"/>
              </w:rPr>
              <w:t>15,820</w:t>
            </w:r>
          </w:p>
        </w:tc>
      </w:tr>
      <w:tr w:rsidR="00701342" w14:paraId="5B59231D" w14:textId="77777777" w:rsidTr="00F46394">
        <w:trPr>
          <w:cantSplit/>
          <w:trHeight w:val="291"/>
        </w:trPr>
        <w:tc>
          <w:tcPr>
            <w:tcW w:w="2069" w:type="dxa"/>
          </w:tcPr>
          <w:p w14:paraId="5B592315" w14:textId="77777777" w:rsidR="00701342" w:rsidRPr="00C307E0" w:rsidRDefault="00134B9D" w:rsidP="00C307E0">
            <w:pPr>
              <w:rPr>
                <w:sz w:val="18"/>
                <w:szCs w:val="18"/>
              </w:rPr>
            </w:pPr>
            <w:r w:rsidRPr="00C307E0">
              <w:rPr>
                <w:sz w:val="18"/>
                <w:szCs w:val="18"/>
              </w:rPr>
              <w:t>Total cases</w:t>
            </w:r>
          </w:p>
        </w:tc>
        <w:tc>
          <w:tcPr>
            <w:tcW w:w="1205" w:type="dxa"/>
            <w:tcBorders>
              <w:top w:val="double" w:sz="4" w:space="0" w:color="auto"/>
              <w:bottom w:val="double" w:sz="4" w:space="0" w:color="auto"/>
            </w:tcBorders>
            <w:vAlign w:val="center"/>
          </w:tcPr>
          <w:p w14:paraId="5B592316" w14:textId="77777777" w:rsidR="00701342" w:rsidRPr="00C307E0" w:rsidRDefault="00134B9D" w:rsidP="005A7FBA">
            <w:pPr>
              <w:rPr>
                <w:sz w:val="18"/>
                <w:szCs w:val="18"/>
              </w:rPr>
            </w:pPr>
            <w:r w:rsidRPr="00C307E0">
              <w:rPr>
                <w:sz w:val="18"/>
                <w:szCs w:val="18"/>
              </w:rPr>
              <w:t>7,364</w:t>
            </w:r>
          </w:p>
        </w:tc>
        <w:tc>
          <w:tcPr>
            <w:tcW w:w="1205" w:type="dxa"/>
            <w:tcBorders>
              <w:top w:val="double" w:sz="4" w:space="0" w:color="auto"/>
              <w:bottom w:val="double" w:sz="4" w:space="0" w:color="auto"/>
            </w:tcBorders>
            <w:vAlign w:val="center"/>
          </w:tcPr>
          <w:p w14:paraId="5B592317" w14:textId="77777777" w:rsidR="00701342" w:rsidRPr="00C307E0" w:rsidRDefault="00134B9D" w:rsidP="005A7FBA">
            <w:pPr>
              <w:rPr>
                <w:sz w:val="18"/>
                <w:szCs w:val="18"/>
              </w:rPr>
            </w:pPr>
            <w:r w:rsidRPr="00C307E0">
              <w:rPr>
                <w:sz w:val="18"/>
                <w:szCs w:val="18"/>
              </w:rPr>
              <w:t>7,520</w:t>
            </w:r>
          </w:p>
        </w:tc>
        <w:tc>
          <w:tcPr>
            <w:tcW w:w="971" w:type="dxa"/>
            <w:tcBorders>
              <w:top w:val="double" w:sz="4" w:space="0" w:color="auto"/>
              <w:bottom w:val="double" w:sz="4" w:space="0" w:color="auto"/>
            </w:tcBorders>
            <w:vAlign w:val="center"/>
          </w:tcPr>
          <w:p w14:paraId="5B592318" w14:textId="77777777" w:rsidR="00701342" w:rsidRPr="00C307E0" w:rsidRDefault="00134B9D" w:rsidP="005A7FBA">
            <w:pPr>
              <w:rPr>
                <w:sz w:val="18"/>
                <w:szCs w:val="18"/>
              </w:rPr>
            </w:pPr>
            <w:r w:rsidRPr="00C307E0">
              <w:rPr>
                <w:sz w:val="18"/>
                <w:szCs w:val="18"/>
              </w:rPr>
              <w:t>8,272</w:t>
            </w:r>
          </w:p>
        </w:tc>
        <w:tc>
          <w:tcPr>
            <w:tcW w:w="945" w:type="dxa"/>
            <w:tcBorders>
              <w:top w:val="double" w:sz="4" w:space="0" w:color="auto"/>
              <w:bottom w:val="double" w:sz="4" w:space="0" w:color="auto"/>
            </w:tcBorders>
            <w:vAlign w:val="center"/>
          </w:tcPr>
          <w:p w14:paraId="5B592319" w14:textId="77777777" w:rsidR="00701342" w:rsidRPr="00C307E0" w:rsidRDefault="00134B9D" w:rsidP="005A7FBA">
            <w:pPr>
              <w:rPr>
                <w:sz w:val="18"/>
                <w:szCs w:val="18"/>
              </w:rPr>
            </w:pPr>
            <w:r w:rsidRPr="00C307E0">
              <w:rPr>
                <w:sz w:val="18"/>
                <w:szCs w:val="18"/>
              </w:rPr>
              <w:t>9,099</w:t>
            </w:r>
          </w:p>
        </w:tc>
        <w:tc>
          <w:tcPr>
            <w:tcW w:w="930" w:type="dxa"/>
            <w:tcBorders>
              <w:top w:val="double" w:sz="4" w:space="0" w:color="auto"/>
              <w:bottom w:val="double" w:sz="4" w:space="0" w:color="auto"/>
            </w:tcBorders>
            <w:vAlign w:val="center"/>
          </w:tcPr>
          <w:p w14:paraId="5B59231A" w14:textId="77777777" w:rsidR="00701342" w:rsidRPr="00C307E0" w:rsidRDefault="00134B9D" w:rsidP="005A7FBA">
            <w:pPr>
              <w:rPr>
                <w:sz w:val="18"/>
                <w:szCs w:val="18"/>
              </w:rPr>
            </w:pPr>
            <w:r w:rsidRPr="00C307E0">
              <w:rPr>
                <w:sz w:val="18"/>
                <w:szCs w:val="18"/>
              </w:rPr>
              <w:t>10,009</w:t>
            </w:r>
          </w:p>
        </w:tc>
        <w:tc>
          <w:tcPr>
            <w:tcW w:w="944" w:type="dxa"/>
            <w:tcBorders>
              <w:top w:val="double" w:sz="4" w:space="0" w:color="auto"/>
              <w:bottom w:val="double" w:sz="4" w:space="0" w:color="auto"/>
            </w:tcBorders>
            <w:vAlign w:val="center"/>
          </w:tcPr>
          <w:p w14:paraId="5B59231B" w14:textId="77777777" w:rsidR="00701342" w:rsidRPr="00C307E0" w:rsidRDefault="00134B9D" w:rsidP="005A7FBA">
            <w:pPr>
              <w:rPr>
                <w:sz w:val="18"/>
                <w:szCs w:val="18"/>
              </w:rPr>
            </w:pPr>
            <w:r w:rsidRPr="00C307E0">
              <w:rPr>
                <w:sz w:val="18"/>
                <w:szCs w:val="18"/>
              </w:rPr>
              <w:t>11,010</w:t>
            </w:r>
          </w:p>
        </w:tc>
        <w:tc>
          <w:tcPr>
            <w:tcW w:w="839" w:type="dxa"/>
            <w:tcBorders>
              <w:top w:val="double" w:sz="4" w:space="0" w:color="auto"/>
              <w:bottom w:val="double" w:sz="4" w:space="0" w:color="auto"/>
            </w:tcBorders>
            <w:vAlign w:val="center"/>
          </w:tcPr>
          <w:p w14:paraId="5B59231C" w14:textId="77777777" w:rsidR="00701342" w:rsidRPr="00C307E0" w:rsidRDefault="00134B9D" w:rsidP="005A7FBA">
            <w:pPr>
              <w:rPr>
                <w:sz w:val="18"/>
                <w:szCs w:val="18"/>
              </w:rPr>
            </w:pPr>
            <w:r w:rsidRPr="00C307E0">
              <w:rPr>
                <w:sz w:val="18"/>
                <w:szCs w:val="18"/>
              </w:rPr>
              <w:t>12,111</w:t>
            </w:r>
          </w:p>
        </w:tc>
      </w:tr>
    </w:tbl>
    <w:p w14:paraId="5B59231E" w14:textId="077E1965" w:rsidR="00701342" w:rsidRPr="00614A5C" w:rsidRDefault="00D4476F" w:rsidP="00D4476F">
      <w:pPr>
        <w:pStyle w:val="BodyText"/>
        <w:spacing w:before="144" w:after="1"/>
        <w:jc w:val="center"/>
        <w:rPr>
          <w:u w:val="single"/>
        </w:rPr>
      </w:pPr>
      <w:r w:rsidRPr="00614A5C">
        <w:rPr>
          <w:sz w:val="18"/>
          <w:szCs w:val="18"/>
          <w:u w:val="single"/>
        </w:rPr>
        <w:t>%change in revenue results compared to prior period</w:t>
      </w:r>
    </w:p>
    <w:tbl>
      <w:tblPr>
        <w:tblW w:w="0" w:type="auto"/>
        <w:tblInd w:w="134" w:type="dxa"/>
        <w:tblLayout w:type="fixed"/>
        <w:tblCellMar>
          <w:left w:w="0" w:type="dxa"/>
          <w:right w:w="0" w:type="dxa"/>
        </w:tblCellMar>
        <w:tblLook w:val="01E0" w:firstRow="1" w:lastRow="1" w:firstColumn="1" w:lastColumn="1" w:noHBand="0" w:noVBand="0"/>
      </w:tblPr>
      <w:tblGrid>
        <w:gridCol w:w="1677"/>
        <w:gridCol w:w="1602"/>
        <w:gridCol w:w="1168"/>
        <w:gridCol w:w="3922"/>
        <w:gridCol w:w="742"/>
      </w:tblGrid>
      <w:tr w:rsidR="00701342" w14:paraId="5B592324" w14:textId="77777777" w:rsidTr="00390761">
        <w:trPr>
          <w:trHeight w:val="210"/>
        </w:trPr>
        <w:tc>
          <w:tcPr>
            <w:tcW w:w="1677" w:type="dxa"/>
          </w:tcPr>
          <w:p w14:paraId="5B59231F" w14:textId="482ED48A" w:rsidR="00701342" w:rsidRPr="00C307E0" w:rsidRDefault="00DC2626" w:rsidP="00C307E0">
            <w:r>
              <w:rPr>
                <w:b/>
                <w:bCs/>
                <w:sz w:val="18"/>
                <w:szCs w:val="18"/>
              </w:rPr>
              <w:t>Revenues</w:t>
            </w:r>
          </w:p>
        </w:tc>
        <w:tc>
          <w:tcPr>
            <w:tcW w:w="1602" w:type="dxa"/>
          </w:tcPr>
          <w:p w14:paraId="5B592320" w14:textId="77777777" w:rsidR="00701342" w:rsidRPr="00DC2626" w:rsidRDefault="00701342" w:rsidP="00C307E0">
            <w:pPr>
              <w:rPr>
                <w:sz w:val="18"/>
                <w:szCs w:val="18"/>
              </w:rPr>
            </w:pPr>
          </w:p>
        </w:tc>
        <w:tc>
          <w:tcPr>
            <w:tcW w:w="1168" w:type="dxa"/>
          </w:tcPr>
          <w:p w14:paraId="5B592321" w14:textId="77777777" w:rsidR="00701342" w:rsidRPr="00DC2626" w:rsidRDefault="00701342" w:rsidP="00C307E0">
            <w:pPr>
              <w:rPr>
                <w:sz w:val="18"/>
                <w:szCs w:val="18"/>
              </w:rPr>
            </w:pPr>
          </w:p>
        </w:tc>
        <w:tc>
          <w:tcPr>
            <w:tcW w:w="3922" w:type="dxa"/>
          </w:tcPr>
          <w:p w14:paraId="5B592322" w14:textId="64FA2811" w:rsidR="00701342" w:rsidRPr="00DC2626" w:rsidRDefault="00701342" w:rsidP="00C307E0">
            <w:pPr>
              <w:rPr>
                <w:sz w:val="18"/>
                <w:szCs w:val="18"/>
              </w:rPr>
            </w:pPr>
          </w:p>
        </w:tc>
        <w:tc>
          <w:tcPr>
            <w:tcW w:w="742" w:type="dxa"/>
          </w:tcPr>
          <w:p w14:paraId="5B592323" w14:textId="77777777" w:rsidR="00701342" w:rsidRPr="00DC2626" w:rsidRDefault="00701342" w:rsidP="00C307E0">
            <w:pPr>
              <w:rPr>
                <w:sz w:val="18"/>
                <w:szCs w:val="18"/>
              </w:rPr>
            </w:pPr>
          </w:p>
        </w:tc>
      </w:tr>
      <w:tr w:rsidR="00701342" w14:paraId="5B59232A" w14:textId="77777777" w:rsidTr="00390761">
        <w:trPr>
          <w:trHeight w:val="261"/>
        </w:trPr>
        <w:tc>
          <w:tcPr>
            <w:tcW w:w="1677" w:type="dxa"/>
          </w:tcPr>
          <w:p w14:paraId="5B592325" w14:textId="5BD4443B" w:rsidR="00701342" w:rsidRPr="00DC2626" w:rsidRDefault="00134B9D" w:rsidP="00C307E0">
            <w:pPr>
              <w:rPr>
                <w:sz w:val="18"/>
                <w:szCs w:val="18"/>
              </w:rPr>
            </w:pPr>
            <w:r w:rsidRPr="00DC2626">
              <w:rPr>
                <w:sz w:val="18"/>
                <w:szCs w:val="18"/>
              </w:rPr>
              <w:t xml:space="preserve">Total </w:t>
            </w:r>
            <w:r w:rsidR="00390761" w:rsidRPr="00DC2626">
              <w:rPr>
                <w:sz w:val="18"/>
                <w:szCs w:val="18"/>
              </w:rPr>
              <w:t>re</w:t>
            </w:r>
            <w:r w:rsidR="00390761">
              <w:rPr>
                <w:sz w:val="18"/>
                <w:szCs w:val="18"/>
              </w:rPr>
              <w:t>v</w:t>
            </w:r>
            <w:r w:rsidR="00390761" w:rsidRPr="00DC2626">
              <w:rPr>
                <w:sz w:val="18"/>
                <w:szCs w:val="18"/>
              </w:rPr>
              <w:t>enues</w:t>
            </w:r>
          </w:p>
        </w:tc>
        <w:tc>
          <w:tcPr>
            <w:tcW w:w="1602" w:type="dxa"/>
          </w:tcPr>
          <w:p w14:paraId="5B592326" w14:textId="77777777" w:rsidR="00701342" w:rsidRPr="00DC2626" w:rsidRDefault="00134B9D" w:rsidP="00C307E0">
            <w:pPr>
              <w:rPr>
                <w:sz w:val="18"/>
                <w:szCs w:val="18"/>
              </w:rPr>
            </w:pPr>
            <w:r w:rsidRPr="00DC2626">
              <w:rPr>
                <w:sz w:val="18"/>
                <w:szCs w:val="18"/>
              </w:rPr>
              <w:t>$5,353,900</w:t>
            </w:r>
          </w:p>
        </w:tc>
        <w:tc>
          <w:tcPr>
            <w:tcW w:w="1168" w:type="dxa"/>
          </w:tcPr>
          <w:p w14:paraId="5B592327" w14:textId="77777777" w:rsidR="00701342" w:rsidRPr="00DC2626" w:rsidRDefault="00134B9D" w:rsidP="00C307E0">
            <w:pPr>
              <w:rPr>
                <w:sz w:val="18"/>
                <w:szCs w:val="18"/>
              </w:rPr>
            </w:pPr>
            <w:r w:rsidRPr="00DC2626">
              <w:rPr>
                <w:sz w:val="18"/>
                <w:szCs w:val="18"/>
              </w:rPr>
              <w:t>-0.83%</w:t>
            </w:r>
          </w:p>
        </w:tc>
        <w:tc>
          <w:tcPr>
            <w:tcW w:w="3922" w:type="dxa"/>
          </w:tcPr>
          <w:p w14:paraId="5B592328" w14:textId="77777777" w:rsidR="00701342" w:rsidRPr="00DC2626" w:rsidRDefault="00134B9D" w:rsidP="00C307E0">
            <w:pPr>
              <w:rPr>
                <w:sz w:val="18"/>
                <w:szCs w:val="18"/>
              </w:rPr>
            </w:pPr>
            <w:r w:rsidRPr="00DC2626">
              <w:rPr>
                <w:sz w:val="18"/>
                <w:szCs w:val="18"/>
              </w:rPr>
              <w:t>9.09%</w:t>
            </w:r>
            <w:r w:rsidRPr="00DC2626">
              <w:rPr>
                <w:sz w:val="18"/>
                <w:szCs w:val="18"/>
              </w:rPr>
              <w:tab/>
              <w:t>10.00%</w:t>
            </w:r>
            <w:r w:rsidRPr="00DC2626">
              <w:rPr>
                <w:sz w:val="18"/>
                <w:szCs w:val="18"/>
              </w:rPr>
              <w:tab/>
              <w:t>10.00%</w:t>
            </w:r>
            <w:r w:rsidRPr="00DC2626">
              <w:rPr>
                <w:sz w:val="18"/>
                <w:szCs w:val="18"/>
              </w:rPr>
              <w:tab/>
              <w:t>10.00%</w:t>
            </w:r>
          </w:p>
        </w:tc>
        <w:tc>
          <w:tcPr>
            <w:tcW w:w="742" w:type="dxa"/>
          </w:tcPr>
          <w:p w14:paraId="5B592329" w14:textId="77777777" w:rsidR="00701342" w:rsidRPr="00DC2626" w:rsidRDefault="00134B9D" w:rsidP="00C307E0">
            <w:pPr>
              <w:rPr>
                <w:sz w:val="18"/>
                <w:szCs w:val="18"/>
              </w:rPr>
            </w:pPr>
            <w:r w:rsidRPr="00DC2626">
              <w:rPr>
                <w:sz w:val="18"/>
                <w:szCs w:val="18"/>
              </w:rPr>
              <w:t>10.00%</w:t>
            </w:r>
          </w:p>
        </w:tc>
      </w:tr>
    </w:tbl>
    <w:p w14:paraId="5B59232B" w14:textId="77777777" w:rsidR="00701342" w:rsidRDefault="00701342">
      <w:pPr>
        <w:pStyle w:val="BodyText"/>
        <w:spacing w:before="138"/>
      </w:pPr>
    </w:p>
    <w:p w14:paraId="3FBEF7C7" w14:textId="77777777" w:rsidR="007F0D8B" w:rsidRDefault="007F0D8B" w:rsidP="007F0D8B">
      <w:pPr>
        <w:pStyle w:val="NoSpacing"/>
      </w:pPr>
      <w:r w:rsidRPr="00BE7700">
        <w:t>We analyze</w:t>
      </w:r>
      <w:r>
        <w:t>d the</w:t>
      </w:r>
      <w:r w:rsidRPr="00BE7700">
        <w:t xml:space="preserve"> </w:t>
      </w:r>
      <w:r>
        <w:t>projected</w:t>
      </w:r>
      <w:r w:rsidRPr="00BE7700">
        <w:t>/pro</w:t>
      </w:r>
      <w:r>
        <w:t>-</w:t>
      </w:r>
      <w:r w:rsidRPr="00BE7700">
        <w:t>forma revenue for fiscal years 202</w:t>
      </w:r>
      <w:r>
        <w:t xml:space="preserve">5 through 2029 in relation to the historical results for the 12 months ended March 31, 2024, </w:t>
      </w:r>
      <w:proofErr w:type="gramStart"/>
      <w:r>
        <w:t>in order to</w:t>
      </w:r>
      <w:proofErr w:type="gramEnd"/>
      <w:r>
        <w:t xml:space="preserve"> assess the reasonableness of the pro-forma statements of the proposed project. Based on our analysis, the pro-forma operating revenues are reasonable. Per discussions with Management, the estimated maximum capacity of procedures to be performed at the facility is approximately 15,820 per year. The volume increase of approximately 7,563 procedures from the 12-month rolling figure of 8,257 as of March 31, 2024</w:t>
      </w:r>
      <w:r w:rsidRPr="004E701F">
        <w:t>, to the year 2024 volume was specifically discussed with Management and we reviewed the procedures currently being provided by WELLC. We noted the historical volume of approximate capacity. Management has estimated that 1.</w:t>
      </w:r>
      <w:r>
        <w:t>30</w:t>
      </w:r>
      <w:r w:rsidRPr="004E701F">
        <w:t xml:space="preserve"> procedures will be performed for </w:t>
      </w:r>
      <w:r>
        <w:t>every individual case in the first full year of implementation. WELLC noted that pro-forma projected revenue is based on an average revenue per procedure performed for the 12 months ended March 31, 2024</w:t>
      </w:r>
    </w:p>
    <w:p w14:paraId="1C345B26" w14:textId="77777777" w:rsidR="007F0D8B" w:rsidRDefault="007F0D8B" w:rsidP="007F0D8B">
      <w:pPr>
        <w:pStyle w:val="NoSpacing"/>
      </w:pPr>
    </w:p>
    <w:p w14:paraId="1F99752F" w14:textId="77777777" w:rsidR="007F0D8B" w:rsidRDefault="007F0D8B" w:rsidP="007F0D8B">
      <w:pPr>
        <w:pStyle w:val="NoSpacing"/>
      </w:pPr>
      <w:r w:rsidRPr="001E793A">
        <w:t>The only revenue category on which the proposed capital projects would have an impact i</w:t>
      </w:r>
      <w:r>
        <w:t>s net</w:t>
      </w:r>
      <w:r w:rsidRPr="001E793A">
        <w:t xml:space="preserve"> patient service revenue. Therefore,</w:t>
      </w:r>
      <w:r>
        <w:t xml:space="preserve"> we</w:t>
      </w:r>
      <w:r w:rsidRPr="001E793A">
        <w:t xml:space="preserve"> have analyzed net patient revenue identified by WELLC in both their historical and projected financial information. Based on </w:t>
      </w:r>
      <w:r>
        <w:t>our</w:t>
      </w:r>
      <w:r w:rsidRPr="001E793A">
        <w:t xml:space="preserve"> analysis of the </w:t>
      </w:r>
      <w:r>
        <w:t>actual</w:t>
      </w:r>
      <w:r w:rsidRPr="001E793A">
        <w:t xml:space="preserve"> results from </w:t>
      </w:r>
      <w:r>
        <w:t>the year ended December 31, 2023, through projected fiscal years 2025 through 2029, the proposed capital project is going to cost WELLC approximately $1.96 million for leasehold improvements and $1.25 million for additional equipment that needs to be purchased for the larger facility. The amount will be financed and the principal and interest payments on the loan will be approximately 7% of the annual revenues.</w:t>
      </w:r>
    </w:p>
    <w:p w14:paraId="5D313E46" w14:textId="77777777" w:rsidR="007F0D8B" w:rsidRDefault="007F0D8B" w:rsidP="007F0D8B">
      <w:pPr>
        <w:pStyle w:val="NoSpacing"/>
      </w:pPr>
    </w:p>
    <w:p w14:paraId="452EF818" w14:textId="77777777" w:rsidR="007F0D8B" w:rsidRDefault="007F0D8B" w:rsidP="007F0D8B">
      <w:pPr>
        <w:pStyle w:val="NoSpacing"/>
      </w:pPr>
      <w:r>
        <w:t xml:space="preserve">It is our opinion that the revenue growth projected by Management reflects a reasonable estimation based upon the company’s historical operations. </w:t>
      </w:r>
    </w:p>
    <w:p w14:paraId="5B592331" w14:textId="77777777" w:rsidR="00701342" w:rsidRDefault="00701342">
      <w:pPr>
        <w:spacing w:line="276" w:lineRule="auto"/>
        <w:sectPr w:rsidR="00701342">
          <w:pgSz w:w="12190" w:h="15810"/>
          <w:pgMar w:top="1360" w:right="1320" w:bottom="1320" w:left="1300" w:header="0" w:footer="1139" w:gutter="0"/>
          <w:cols w:space="720"/>
        </w:sectPr>
      </w:pPr>
    </w:p>
    <w:p w14:paraId="76A43034" w14:textId="77777777" w:rsidR="003D3874" w:rsidRDefault="003D3874" w:rsidP="003D3874">
      <w:pPr>
        <w:pStyle w:val="NoSpacing"/>
      </w:pPr>
    </w:p>
    <w:p w14:paraId="13DA2FB5" w14:textId="77777777" w:rsidR="003D3874" w:rsidRDefault="003D3874" w:rsidP="003D3874">
      <w:pPr>
        <w:pStyle w:val="NoSpacing"/>
        <w:rPr>
          <w:b/>
          <w:bCs/>
        </w:rPr>
      </w:pPr>
      <w:r>
        <w:rPr>
          <w:b/>
          <w:bCs/>
        </w:rPr>
        <w:t>V.</w:t>
      </w:r>
      <w:r>
        <w:rPr>
          <w:b/>
          <w:bCs/>
        </w:rPr>
        <w:tab/>
        <w:t xml:space="preserve"> </w:t>
      </w:r>
      <w:r>
        <w:rPr>
          <w:b/>
          <w:bCs/>
          <w:u w:val="single"/>
        </w:rPr>
        <w:t>REVIEW OF THE PROJECTIONS</w:t>
      </w:r>
      <w:r>
        <w:t xml:space="preserve"> </w:t>
      </w:r>
      <w:r w:rsidRPr="000A08F0">
        <w:rPr>
          <w:b/>
          <w:bCs/>
        </w:rPr>
        <w:t>(continued)</w:t>
      </w:r>
    </w:p>
    <w:p w14:paraId="3464ED20" w14:textId="77777777" w:rsidR="003D3874" w:rsidRDefault="003D3874" w:rsidP="003D3874">
      <w:pPr>
        <w:pStyle w:val="NoSpacing"/>
      </w:pPr>
    </w:p>
    <w:p w14:paraId="1EE9AB36" w14:textId="77777777" w:rsidR="003D3874" w:rsidRPr="0088437D" w:rsidRDefault="003D3874" w:rsidP="008163A8">
      <w:pPr>
        <w:pStyle w:val="NoSpacing"/>
        <w:numPr>
          <w:ilvl w:val="0"/>
          <w:numId w:val="8"/>
        </w:numPr>
        <w:rPr>
          <w:b/>
          <w:bCs/>
          <w:u w:val="single"/>
        </w:rPr>
      </w:pPr>
      <w:r w:rsidRPr="0088437D">
        <w:rPr>
          <w:b/>
          <w:bCs/>
          <w:u w:val="single"/>
        </w:rPr>
        <w:t>Operating Expenses</w:t>
      </w:r>
    </w:p>
    <w:p w14:paraId="0559EE25" w14:textId="77777777" w:rsidR="003D3874" w:rsidRDefault="003D3874" w:rsidP="003D3874">
      <w:pPr>
        <w:pStyle w:val="NoSpacing"/>
        <w:rPr>
          <w:b/>
          <w:bCs/>
        </w:rPr>
      </w:pPr>
    </w:p>
    <w:p w14:paraId="6611A568" w14:textId="77777777" w:rsidR="003D3874" w:rsidRDefault="003D3874" w:rsidP="003D3874">
      <w:pPr>
        <w:pStyle w:val="NoSpacing"/>
      </w:pPr>
      <w:r>
        <w:t>We a</w:t>
      </w:r>
      <w:r w:rsidRPr="00850D70">
        <w:t>nalyze</w:t>
      </w:r>
      <w:r>
        <w:t>d</w:t>
      </w:r>
      <w:r w:rsidRPr="00850D70">
        <w:t xml:space="preserve"> each of the categorized expenses for reasonableness and feasibility as </w:t>
      </w:r>
      <w:r>
        <w:t xml:space="preserve">it </w:t>
      </w:r>
      <w:r w:rsidRPr="00850D70">
        <w:t xml:space="preserve">relates </w:t>
      </w:r>
      <w:r>
        <w:t xml:space="preserve">to </w:t>
      </w:r>
      <w:r w:rsidRPr="00850D70">
        <w:t>the projected revenue</w:t>
      </w:r>
      <w:r>
        <w:t>. W</w:t>
      </w:r>
      <w:r w:rsidRPr="00850D70">
        <w:t xml:space="preserve">e reviewed the historical actual results for the 12 months ended March 31, 2024. </w:t>
      </w:r>
    </w:p>
    <w:p w14:paraId="4E0367D0" w14:textId="77777777" w:rsidR="003D3874" w:rsidRDefault="003D3874" w:rsidP="003D3874">
      <w:pPr>
        <w:pStyle w:val="NoSpacing"/>
      </w:pPr>
    </w:p>
    <w:p w14:paraId="73B27904" w14:textId="77777777" w:rsidR="003D3874" w:rsidRDefault="003D3874" w:rsidP="003D3874">
      <w:pPr>
        <w:pStyle w:val="NoSpacing"/>
      </w:pPr>
      <w:r w:rsidRPr="00850D70">
        <w:t>The table below provides a summary of some key information for the historical and projected expenses by year:</w:t>
      </w:r>
    </w:p>
    <w:p w14:paraId="7AD8CED1" w14:textId="77777777" w:rsidR="003C6B45" w:rsidRDefault="003C6B45" w:rsidP="003D3874">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5"/>
        <w:gridCol w:w="900"/>
        <w:gridCol w:w="1080"/>
        <w:gridCol w:w="990"/>
        <w:gridCol w:w="990"/>
        <w:gridCol w:w="990"/>
        <w:gridCol w:w="990"/>
        <w:gridCol w:w="1005"/>
      </w:tblGrid>
      <w:tr w:rsidR="00FD4063" w14:paraId="3234B320" w14:textId="77777777" w:rsidTr="00F46394">
        <w:trPr>
          <w:cantSplit/>
          <w:tblHeader/>
        </w:trPr>
        <w:tc>
          <w:tcPr>
            <w:tcW w:w="2605" w:type="dxa"/>
          </w:tcPr>
          <w:p w14:paraId="4CBB1573" w14:textId="77777777" w:rsidR="00215EFE" w:rsidRPr="00750416" w:rsidRDefault="00215EFE" w:rsidP="00215EFE">
            <w:pPr>
              <w:pStyle w:val="NoSpacing"/>
              <w:rPr>
                <w:rFonts w:ascii="Arial" w:hAnsi="Arial" w:cs="Arial"/>
                <w:sz w:val="16"/>
                <w:szCs w:val="16"/>
              </w:rPr>
            </w:pPr>
          </w:p>
        </w:tc>
        <w:tc>
          <w:tcPr>
            <w:tcW w:w="900" w:type="dxa"/>
            <w:tcBorders>
              <w:bottom w:val="single" w:sz="4" w:space="0" w:color="auto"/>
            </w:tcBorders>
            <w:vAlign w:val="bottom"/>
          </w:tcPr>
          <w:p w14:paraId="4032CCCC" w14:textId="0873EA22" w:rsidR="00215EFE" w:rsidRPr="00750416" w:rsidRDefault="00215EFE" w:rsidP="00FD4063">
            <w:pPr>
              <w:pStyle w:val="NoSpacing"/>
              <w:rPr>
                <w:rFonts w:ascii="Arial" w:hAnsi="Arial" w:cs="Arial"/>
                <w:sz w:val="16"/>
                <w:szCs w:val="16"/>
              </w:rPr>
            </w:pPr>
            <w:r w:rsidRPr="00750416">
              <w:rPr>
                <w:rFonts w:ascii="Arial" w:hAnsi="Arial" w:cs="Arial"/>
                <w:sz w:val="16"/>
                <w:szCs w:val="16"/>
              </w:rPr>
              <w:t>WELLC ACTUAL 12/31/23</w:t>
            </w:r>
          </w:p>
        </w:tc>
        <w:tc>
          <w:tcPr>
            <w:tcW w:w="1080" w:type="dxa"/>
            <w:tcBorders>
              <w:bottom w:val="single" w:sz="4" w:space="0" w:color="auto"/>
            </w:tcBorders>
            <w:vAlign w:val="bottom"/>
          </w:tcPr>
          <w:p w14:paraId="77E776C9" w14:textId="49FF2C6F" w:rsidR="00215EFE" w:rsidRPr="00750416" w:rsidRDefault="00215EFE" w:rsidP="00FD4063">
            <w:pPr>
              <w:pStyle w:val="NoSpacing"/>
              <w:rPr>
                <w:rFonts w:ascii="Arial" w:hAnsi="Arial" w:cs="Arial"/>
                <w:sz w:val="16"/>
                <w:szCs w:val="16"/>
              </w:rPr>
            </w:pPr>
            <w:r w:rsidRPr="00750416">
              <w:rPr>
                <w:rFonts w:ascii="Arial" w:hAnsi="Arial" w:cs="Arial"/>
                <w:sz w:val="16"/>
                <w:szCs w:val="16"/>
              </w:rPr>
              <w:t xml:space="preserve">WELLC ACTUAL </w:t>
            </w:r>
            <w:r>
              <w:rPr>
                <w:rFonts w:ascii="Arial" w:hAnsi="Arial" w:cs="Arial"/>
                <w:sz w:val="16"/>
                <w:szCs w:val="16"/>
              </w:rPr>
              <w:t>12 MONTHS ENDED 3/31/2024</w:t>
            </w:r>
          </w:p>
        </w:tc>
        <w:tc>
          <w:tcPr>
            <w:tcW w:w="990" w:type="dxa"/>
            <w:tcBorders>
              <w:bottom w:val="single" w:sz="4" w:space="0" w:color="auto"/>
            </w:tcBorders>
            <w:vAlign w:val="bottom"/>
          </w:tcPr>
          <w:p w14:paraId="05C50492" w14:textId="285F8382" w:rsidR="00215EFE" w:rsidRPr="00750416" w:rsidRDefault="00215EFE" w:rsidP="00FD4063">
            <w:pPr>
              <w:pStyle w:val="NoSpacing"/>
              <w:rPr>
                <w:rFonts w:ascii="Arial" w:hAnsi="Arial" w:cs="Arial"/>
                <w:sz w:val="16"/>
                <w:szCs w:val="16"/>
              </w:rPr>
            </w:pPr>
            <w:r>
              <w:rPr>
                <w:rFonts w:ascii="Arial" w:hAnsi="Arial" w:cs="Arial"/>
                <w:sz w:val="16"/>
                <w:szCs w:val="16"/>
              </w:rPr>
              <w:t>Projected/Pro-forma new location 2025</w:t>
            </w:r>
          </w:p>
        </w:tc>
        <w:tc>
          <w:tcPr>
            <w:tcW w:w="990" w:type="dxa"/>
            <w:tcBorders>
              <w:bottom w:val="single" w:sz="4" w:space="0" w:color="auto"/>
            </w:tcBorders>
            <w:vAlign w:val="bottom"/>
          </w:tcPr>
          <w:p w14:paraId="724CF8C7" w14:textId="144247CA" w:rsidR="00215EFE" w:rsidRPr="00750416" w:rsidRDefault="00215EFE" w:rsidP="00FD4063">
            <w:pPr>
              <w:pStyle w:val="NoSpacing"/>
              <w:rPr>
                <w:rFonts w:ascii="Arial" w:hAnsi="Arial" w:cs="Arial"/>
                <w:sz w:val="16"/>
                <w:szCs w:val="16"/>
              </w:rPr>
            </w:pPr>
            <w:r w:rsidRPr="005B0AD3">
              <w:rPr>
                <w:rFonts w:ascii="Arial" w:hAnsi="Arial" w:cs="Arial"/>
                <w:sz w:val="16"/>
                <w:szCs w:val="16"/>
              </w:rPr>
              <w:t>Projected/Pro-forma new location 202</w:t>
            </w:r>
            <w:r>
              <w:rPr>
                <w:rFonts w:ascii="Arial" w:hAnsi="Arial" w:cs="Arial"/>
                <w:sz w:val="16"/>
                <w:szCs w:val="16"/>
              </w:rPr>
              <w:t>6</w:t>
            </w:r>
          </w:p>
        </w:tc>
        <w:tc>
          <w:tcPr>
            <w:tcW w:w="990" w:type="dxa"/>
            <w:tcBorders>
              <w:bottom w:val="single" w:sz="4" w:space="0" w:color="auto"/>
            </w:tcBorders>
            <w:vAlign w:val="bottom"/>
          </w:tcPr>
          <w:p w14:paraId="0DF0DCC9" w14:textId="2C112972" w:rsidR="00215EFE" w:rsidRPr="00750416" w:rsidRDefault="00215EFE" w:rsidP="00FD4063">
            <w:pPr>
              <w:pStyle w:val="NoSpacing"/>
              <w:rPr>
                <w:rFonts w:ascii="Arial" w:hAnsi="Arial" w:cs="Arial"/>
                <w:sz w:val="16"/>
                <w:szCs w:val="16"/>
              </w:rPr>
            </w:pPr>
            <w:r w:rsidRPr="005B0AD3">
              <w:rPr>
                <w:rFonts w:ascii="Arial" w:hAnsi="Arial" w:cs="Arial"/>
                <w:sz w:val="16"/>
                <w:szCs w:val="16"/>
              </w:rPr>
              <w:t>Projected/Pro-forma new location 202</w:t>
            </w:r>
            <w:r>
              <w:rPr>
                <w:rFonts w:ascii="Arial" w:hAnsi="Arial" w:cs="Arial"/>
                <w:sz w:val="16"/>
                <w:szCs w:val="16"/>
              </w:rPr>
              <w:t>7</w:t>
            </w:r>
          </w:p>
        </w:tc>
        <w:tc>
          <w:tcPr>
            <w:tcW w:w="990" w:type="dxa"/>
            <w:tcBorders>
              <w:bottom w:val="single" w:sz="4" w:space="0" w:color="auto"/>
            </w:tcBorders>
            <w:vAlign w:val="bottom"/>
          </w:tcPr>
          <w:p w14:paraId="6C52D379" w14:textId="40CD0331" w:rsidR="00215EFE" w:rsidRPr="00750416" w:rsidRDefault="00215EFE" w:rsidP="00FD4063">
            <w:pPr>
              <w:pStyle w:val="NoSpacing"/>
              <w:rPr>
                <w:rFonts w:ascii="Arial" w:hAnsi="Arial" w:cs="Arial"/>
                <w:sz w:val="16"/>
                <w:szCs w:val="16"/>
              </w:rPr>
            </w:pPr>
            <w:r w:rsidRPr="005B0AD3">
              <w:rPr>
                <w:rFonts w:ascii="Arial" w:hAnsi="Arial" w:cs="Arial"/>
                <w:sz w:val="16"/>
                <w:szCs w:val="16"/>
              </w:rPr>
              <w:t>Projected/Pro-forma new location 202</w:t>
            </w:r>
            <w:r>
              <w:rPr>
                <w:rFonts w:ascii="Arial" w:hAnsi="Arial" w:cs="Arial"/>
                <w:sz w:val="16"/>
                <w:szCs w:val="16"/>
              </w:rPr>
              <w:t>8</w:t>
            </w:r>
          </w:p>
        </w:tc>
        <w:tc>
          <w:tcPr>
            <w:tcW w:w="1005" w:type="dxa"/>
            <w:tcBorders>
              <w:bottom w:val="single" w:sz="4" w:space="0" w:color="auto"/>
            </w:tcBorders>
            <w:vAlign w:val="bottom"/>
          </w:tcPr>
          <w:p w14:paraId="4087BB99" w14:textId="6B179FED" w:rsidR="00215EFE" w:rsidRPr="00750416" w:rsidRDefault="00215EFE" w:rsidP="00FD4063">
            <w:pPr>
              <w:pStyle w:val="NoSpacing"/>
              <w:rPr>
                <w:rFonts w:ascii="Arial" w:hAnsi="Arial" w:cs="Arial"/>
                <w:sz w:val="16"/>
                <w:szCs w:val="16"/>
              </w:rPr>
            </w:pPr>
            <w:r w:rsidRPr="005B0AD3">
              <w:rPr>
                <w:rFonts w:ascii="Arial" w:hAnsi="Arial" w:cs="Arial"/>
                <w:sz w:val="16"/>
                <w:szCs w:val="16"/>
              </w:rPr>
              <w:t>Projected/Pro-forma new location 202</w:t>
            </w:r>
            <w:r>
              <w:rPr>
                <w:rFonts w:ascii="Arial" w:hAnsi="Arial" w:cs="Arial"/>
                <w:sz w:val="16"/>
                <w:szCs w:val="16"/>
              </w:rPr>
              <w:t>9</w:t>
            </w:r>
          </w:p>
        </w:tc>
      </w:tr>
      <w:tr w:rsidR="00FD4063" w14:paraId="0808627F" w14:textId="77777777" w:rsidTr="00F46394">
        <w:trPr>
          <w:cantSplit/>
        </w:trPr>
        <w:tc>
          <w:tcPr>
            <w:tcW w:w="2605" w:type="dxa"/>
          </w:tcPr>
          <w:p w14:paraId="2AC8A499" w14:textId="38401A5E" w:rsidR="00750416" w:rsidRPr="004A1EC3" w:rsidRDefault="004A1EC3" w:rsidP="003D3874">
            <w:pPr>
              <w:pStyle w:val="NoSpacing"/>
              <w:rPr>
                <w:rFonts w:ascii="Arial" w:hAnsi="Arial" w:cs="Arial"/>
                <w:b/>
                <w:bCs/>
                <w:sz w:val="16"/>
                <w:szCs w:val="16"/>
              </w:rPr>
            </w:pPr>
            <w:r>
              <w:rPr>
                <w:rFonts w:ascii="Arial" w:hAnsi="Arial" w:cs="Arial"/>
                <w:b/>
                <w:bCs/>
                <w:sz w:val="16"/>
                <w:szCs w:val="16"/>
              </w:rPr>
              <w:t>Expenses</w:t>
            </w:r>
          </w:p>
        </w:tc>
        <w:tc>
          <w:tcPr>
            <w:tcW w:w="900" w:type="dxa"/>
            <w:tcBorders>
              <w:top w:val="single" w:sz="4" w:space="0" w:color="auto"/>
            </w:tcBorders>
          </w:tcPr>
          <w:p w14:paraId="6E5F507B" w14:textId="77777777" w:rsidR="00750416" w:rsidRPr="00750416" w:rsidRDefault="00750416" w:rsidP="003D3874">
            <w:pPr>
              <w:pStyle w:val="NoSpacing"/>
              <w:rPr>
                <w:rFonts w:ascii="Arial" w:hAnsi="Arial" w:cs="Arial"/>
                <w:sz w:val="16"/>
                <w:szCs w:val="16"/>
              </w:rPr>
            </w:pPr>
          </w:p>
        </w:tc>
        <w:tc>
          <w:tcPr>
            <w:tcW w:w="1080" w:type="dxa"/>
            <w:tcBorders>
              <w:top w:val="single" w:sz="4" w:space="0" w:color="auto"/>
            </w:tcBorders>
          </w:tcPr>
          <w:p w14:paraId="599F62C9" w14:textId="77777777" w:rsidR="00750416" w:rsidRPr="00750416" w:rsidRDefault="00750416" w:rsidP="003D3874">
            <w:pPr>
              <w:pStyle w:val="NoSpacing"/>
              <w:rPr>
                <w:rFonts w:ascii="Arial" w:hAnsi="Arial" w:cs="Arial"/>
                <w:sz w:val="16"/>
                <w:szCs w:val="16"/>
              </w:rPr>
            </w:pPr>
          </w:p>
        </w:tc>
        <w:tc>
          <w:tcPr>
            <w:tcW w:w="990" w:type="dxa"/>
            <w:tcBorders>
              <w:top w:val="single" w:sz="4" w:space="0" w:color="auto"/>
            </w:tcBorders>
          </w:tcPr>
          <w:p w14:paraId="529DACA2" w14:textId="77777777" w:rsidR="00750416" w:rsidRPr="00750416" w:rsidRDefault="00750416" w:rsidP="003D3874">
            <w:pPr>
              <w:pStyle w:val="NoSpacing"/>
              <w:rPr>
                <w:rFonts w:ascii="Arial" w:hAnsi="Arial" w:cs="Arial"/>
                <w:sz w:val="16"/>
                <w:szCs w:val="16"/>
              </w:rPr>
            </w:pPr>
          </w:p>
        </w:tc>
        <w:tc>
          <w:tcPr>
            <w:tcW w:w="990" w:type="dxa"/>
            <w:tcBorders>
              <w:top w:val="single" w:sz="4" w:space="0" w:color="auto"/>
            </w:tcBorders>
          </w:tcPr>
          <w:p w14:paraId="05F4A71C" w14:textId="77777777" w:rsidR="00750416" w:rsidRPr="00750416" w:rsidRDefault="00750416" w:rsidP="003D3874">
            <w:pPr>
              <w:pStyle w:val="NoSpacing"/>
              <w:rPr>
                <w:rFonts w:ascii="Arial" w:hAnsi="Arial" w:cs="Arial"/>
                <w:sz w:val="16"/>
                <w:szCs w:val="16"/>
              </w:rPr>
            </w:pPr>
          </w:p>
        </w:tc>
        <w:tc>
          <w:tcPr>
            <w:tcW w:w="990" w:type="dxa"/>
            <w:tcBorders>
              <w:top w:val="single" w:sz="4" w:space="0" w:color="auto"/>
            </w:tcBorders>
          </w:tcPr>
          <w:p w14:paraId="15BB9200" w14:textId="77777777" w:rsidR="00750416" w:rsidRPr="00750416" w:rsidRDefault="00750416" w:rsidP="003D3874">
            <w:pPr>
              <w:pStyle w:val="NoSpacing"/>
              <w:rPr>
                <w:rFonts w:ascii="Arial" w:hAnsi="Arial" w:cs="Arial"/>
                <w:sz w:val="16"/>
                <w:szCs w:val="16"/>
              </w:rPr>
            </w:pPr>
          </w:p>
        </w:tc>
        <w:tc>
          <w:tcPr>
            <w:tcW w:w="990" w:type="dxa"/>
            <w:tcBorders>
              <w:top w:val="single" w:sz="4" w:space="0" w:color="auto"/>
            </w:tcBorders>
          </w:tcPr>
          <w:p w14:paraId="57DCBFA6" w14:textId="77777777" w:rsidR="00750416" w:rsidRPr="00750416" w:rsidRDefault="00750416" w:rsidP="003D3874">
            <w:pPr>
              <w:pStyle w:val="NoSpacing"/>
              <w:rPr>
                <w:rFonts w:ascii="Arial" w:hAnsi="Arial" w:cs="Arial"/>
                <w:sz w:val="16"/>
                <w:szCs w:val="16"/>
              </w:rPr>
            </w:pPr>
          </w:p>
        </w:tc>
        <w:tc>
          <w:tcPr>
            <w:tcW w:w="1005" w:type="dxa"/>
            <w:tcBorders>
              <w:top w:val="single" w:sz="4" w:space="0" w:color="auto"/>
            </w:tcBorders>
          </w:tcPr>
          <w:p w14:paraId="4AB11F3E" w14:textId="77777777" w:rsidR="00750416" w:rsidRPr="00750416" w:rsidRDefault="00750416" w:rsidP="003D3874">
            <w:pPr>
              <w:pStyle w:val="NoSpacing"/>
              <w:rPr>
                <w:rFonts w:ascii="Arial" w:hAnsi="Arial" w:cs="Arial"/>
                <w:sz w:val="16"/>
                <w:szCs w:val="16"/>
              </w:rPr>
            </w:pPr>
          </w:p>
        </w:tc>
      </w:tr>
      <w:tr w:rsidR="00FD4063" w14:paraId="28881A30" w14:textId="77777777" w:rsidTr="00F46394">
        <w:trPr>
          <w:cantSplit/>
        </w:trPr>
        <w:tc>
          <w:tcPr>
            <w:tcW w:w="2605" w:type="dxa"/>
          </w:tcPr>
          <w:p w14:paraId="44B754DD" w14:textId="405DC8F8" w:rsidR="00FD4063" w:rsidRPr="00750416" w:rsidRDefault="00FD4063" w:rsidP="00FD4063">
            <w:pPr>
              <w:pStyle w:val="NoSpacing"/>
              <w:rPr>
                <w:rFonts w:ascii="Arial" w:hAnsi="Arial" w:cs="Arial"/>
                <w:sz w:val="16"/>
                <w:szCs w:val="16"/>
              </w:rPr>
            </w:pPr>
            <w:r w:rsidRPr="00FD4063">
              <w:rPr>
                <w:rFonts w:ascii="Arial" w:hAnsi="Arial" w:cs="Arial"/>
                <w:sz w:val="16"/>
                <w:szCs w:val="16"/>
              </w:rPr>
              <w:t xml:space="preserve">Salaries, </w:t>
            </w:r>
            <w:r>
              <w:rPr>
                <w:rFonts w:ascii="Arial" w:hAnsi="Arial" w:cs="Arial"/>
                <w:sz w:val="16"/>
                <w:szCs w:val="16"/>
              </w:rPr>
              <w:t>Wages, and</w:t>
            </w:r>
            <w:r w:rsidRPr="00FD4063">
              <w:rPr>
                <w:rFonts w:ascii="Arial" w:hAnsi="Arial" w:cs="Arial"/>
                <w:sz w:val="16"/>
                <w:szCs w:val="16"/>
              </w:rPr>
              <w:t xml:space="preserve"> benefits (1)</w:t>
            </w:r>
          </w:p>
        </w:tc>
        <w:tc>
          <w:tcPr>
            <w:tcW w:w="900" w:type="dxa"/>
            <w:vAlign w:val="bottom"/>
          </w:tcPr>
          <w:p w14:paraId="483F7B00" w14:textId="22E1E5C3" w:rsidR="00FD4063" w:rsidRPr="00F46394" w:rsidRDefault="00FD4063" w:rsidP="00F46394">
            <w:pPr>
              <w:pStyle w:val="NoSpacing"/>
              <w:jc w:val="right"/>
              <w:rPr>
                <w:rFonts w:ascii="Arial" w:hAnsi="Arial" w:cs="Arial"/>
                <w:sz w:val="16"/>
                <w:szCs w:val="16"/>
              </w:rPr>
            </w:pPr>
            <w:r w:rsidRPr="00F46394">
              <w:rPr>
                <w:rFonts w:ascii="Arial" w:hAnsi="Arial" w:cs="Arial"/>
                <w:sz w:val="16"/>
                <w:szCs w:val="16"/>
              </w:rPr>
              <w:t>33.65%</w:t>
            </w:r>
          </w:p>
        </w:tc>
        <w:tc>
          <w:tcPr>
            <w:tcW w:w="1080" w:type="dxa"/>
            <w:vAlign w:val="bottom"/>
          </w:tcPr>
          <w:p w14:paraId="465E8B3D" w14:textId="4F382CE6" w:rsidR="00FD4063" w:rsidRPr="00F46394" w:rsidRDefault="00FD4063" w:rsidP="00F46394">
            <w:pPr>
              <w:pStyle w:val="NoSpacing"/>
              <w:jc w:val="right"/>
              <w:rPr>
                <w:rFonts w:ascii="Arial" w:hAnsi="Arial" w:cs="Arial"/>
                <w:sz w:val="16"/>
                <w:szCs w:val="16"/>
              </w:rPr>
            </w:pPr>
            <w:r w:rsidRPr="00F46394">
              <w:rPr>
                <w:rFonts w:ascii="Arial" w:hAnsi="Arial" w:cs="Arial"/>
                <w:sz w:val="16"/>
                <w:szCs w:val="16"/>
              </w:rPr>
              <w:t>33.36%</w:t>
            </w:r>
          </w:p>
        </w:tc>
        <w:tc>
          <w:tcPr>
            <w:tcW w:w="990" w:type="dxa"/>
            <w:vAlign w:val="bottom"/>
          </w:tcPr>
          <w:p w14:paraId="34106DA4" w14:textId="391F6333" w:rsidR="00FD4063" w:rsidRPr="00F46394" w:rsidRDefault="00FD4063" w:rsidP="00F46394">
            <w:pPr>
              <w:pStyle w:val="NoSpacing"/>
              <w:jc w:val="right"/>
              <w:rPr>
                <w:rFonts w:ascii="Arial" w:hAnsi="Arial" w:cs="Arial"/>
                <w:sz w:val="16"/>
                <w:szCs w:val="16"/>
              </w:rPr>
            </w:pPr>
            <w:r w:rsidRPr="00F46394">
              <w:rPr>
                <w:rFonts w:ascii="Arial" w:hAnsi="Arial" w:cs="Arial"/>
                <w:sz w:val="16"/>
                <w:szCs w:val="16"/>
              </w:rPr>
              <w:t>39.19%</w:t>
            </w:r>
          </w:p>
        </w:tc>
        <w:tc>
          <w:tcPr>
            <w:tcW w:w="990" w:type="dxa"/>
            <w:vAlign w:val="bottom"/>
          </w:tcPr>
          <w:p w14:paraId="754AF52E" w14:textId="042D67BC" w:rsidR="00FD4063" w:rsidRPr="00F46394" w:rsidRDefault="00FD4063" w:rsidP="00F46394">
            <w:pPr>
              <w:pStyle w:val="NoSpacing"/>
              <w:jc w:val="right"/>
              <w:rPr>
                <w:rFonts w:ascii="Arial" w:hAnsi="Arial" w:cs="Arial"/>
                <w:sz w:val="16"/>
                <w:szCs w:val="16"/>
              </w:rPr>
            </w:pPr>
            <w:r w:rsidRPr="00F46394">
              <w:rPr>
                <w:rFonts w:ascii="Arial" w:hAnsi="Arial" w:cs="Arial"/>
                <w:sz w:val="16"/>
                <w:szCs w:val="16"/>
              </w:rPr>
              <w:t>38.18%</w:t>
            </w:r>
          </w:p>
        </w:tc>
        <w:tc>
          <w:tcPr>
            <w:tcW w:w="990" w:type="dxa"/>
            <w:vAlign w:val="bottom"/>
          </w:tcPr>
          <w:p w14:paraId="57ACE649" w14:textId="5CF1405B" w:rsidR="00FD4063" w:rsidRPr="00F46394" w:rsidRDefault="00FD4063" w:rsidP="00F46394">
            <w:pPr>
              <w:pStyle w:val="NoSpacing"/>
              <w:jc w:val="right"/>
              <w:rPr>
                <w:rFonts w:ascii="Arial" w:hAnsi="Arial" w:cs="Arial"/>
                <w:sz w:val="16"/>
                <w:szCs w:val="16"/>
              </w:rPr>
            </w:pPr>
            <w:r w:rsidRPr="00F46394">
              <w:rPr>
                <w:rFonts w:ascii="Arial" w:hAnsi="Arial" w:cs="Arial"/>
                <w:sz w:val="16"/>
                <w:szCs w:val="16"/>
              </w:rPr>
              <w:t>36.48%</w:t>
            </w:r>
          </w:p>
        </w:tc>
        <w:tc>
          <w:tcPr>
            <w:tcW w:w="990" w:type="dxa"/>
            <w:vAlign w:val="bottom"/>
          </w:tcPr>
          <w:p w14:paraId="1F0B7309" w14:textId="2E3ED194" w:rsidR="00FD4063" w:rsidRPr="00F46394" w:rsidRDefault="00FD4063" w:rsidP="00F46394">
            <w:pPr>
              <w:pStyle w:val="NoSpacing"/>
              <w:jc w:val="right"/>
              <w:rPr>
                <w:rFonts w:ascii="Arial" w:hAnsi="Arial" w:cs="Arial"/>
                <w:sz w:val="16"/>
                <w:szCs w:val="16"/>
              </w:rPr>
            </w:pPr>
            <w:r w:rsidRPr="00F46394">
              <w:rPr>
                <w:rFonts w:ascii="Arial" w:hAnsi="Arial" w:cs="Arial"/>
                <w:sz w:val="16"/>
                <w:szCs w:val="16"/>
              </w:rPr>
              <w:t>35.03%</w:t>
            </w:r>
          </w:p>
        </w:tc>
        <w:tc>
          <w:tcPr>
            <w:tcW w:w="1005" w:type="dxa"/>
            <w:vAlign w:val="bottom"/>
          </w:tcPr>
          <w:p w14:paraId="1548E50E" w14:textId="3AFAF189" w:rsidR="00FD4063" w:rsidRPr="00F46394" w:rsidRDefault="00FD4063" w:rsidP="00F46394">
            <w:pPr>
              <w:pStyle w:val="NoSpacing"/>
              <w:jc w:val="right"/>
              <w:rPr>
                <w:rFonts w:ascii="Arial" w:hAnsi="Arial" w:cs="Arial"/>
                <w:sz w:val="16"/>
                <w:szCs w:val="16"/>
              </w:rPr>
            </w:pPr>
            <w:r w:rsidRPr="00F46394">
              <w:rPr>
                <w:rFonts w:ascii="Arial" w:hAnsi="Arial" w:cs="Arial"/>
                <w:sz w:val="16"/>
                <w:szCs w:val="16"/>
              </w:rPr>
              <w:t>33.45%</w:t>
            </w:r>
          </w:p>
        </w:tc>
      </w:tr>
      <w:tr w:rsidR="00F84D87" w14:paraId="5A3DC1AB" w14:textId="77777777" w:rsidTr="00F46394">
        <w:trPr>
          <w:cantSplit/>
        </w:trPr>
        <w:tc>
          <w:tcPr>
            <w:tcW w:w="2605" w:type="dxa"/>
          </w:tcPr>
          <w:p w14:paraId="08615D96" w14:textId="6C061861" w:rsidR="00F84D87" w:rsidRPr="00750416" w:rsidRDefault="00F84D87" w:rsidP="00F84D87">
            <w:pPr>
              <w:pStyle w:val="NoSpacing"/>
              <w:rPr>
                <w:rFonts w:ascii="Arial" w:hAnsi="Arial" w:cs="Arial"/>
                <w:sz w:val="16"/>
                <w:szCs w:val="16"/>
              </w:rPr>
            </w:pPr>
            <w:r w:rsidRPr="00F36A13">
              <w:rPr>
                <w:rFonts w:ascii="Arial" w:hAnsi="Arial" w:cs="Arial"/>
                <w:sz w:val="16"/>
                <w:szCs w:val="16"/>
              </w:rPr>
              <w:t>Supplies and drugs (1)</w:t>
            </w:r>
          </w:p>
        </w:tc>
        <w:tc>
          <w:tcPr>
            <w:tcW w:w="900" w:type="dxa"/>
            <w:vAlign w:val="bottom"/>
          </w:tcPr>
          <w:p w14:paraId="1A4FF52C" w14:textId="5E13AFC7"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10.41%</w:t>
            </w:r>
          </w:p>
        </w:tc>
        <w:tc>
          <w:tcPr>
            <w:tcW w:w="1080" w:type="dxa"/>
            <w:vAlign w:val="bottom"/>
          </w:tcPr>
          <w:p w14:paraId="087D5CE0" w14:textId="344B49D9"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10.36%</w:t>
            </w:r>
          </w:p>
        </w:tc>
        <w:tc>
          <w:tcPr>
            <w:tcW w:w="990" w:type="dxa"/>
            <w:vAlign w:val="bottom"/>
          </w:tcPr>
          <w:p w14:paraId="4C60A037" w14:textId="475CE5FE"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9.93%</w:t>
            </w:r>
          </w:p>
        </w:tc>
        <w:tc>
          <w:tcPr>
            <w:tcW w:w="990" w:type="dxa"/>
            <w:vAlign w:val="bottom"/>
          </w:tcPr>
          <w:p w14:paraId="31EF4994" w14:textId="51F02B25"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9.04%</w:t>
            </w:r>
          </w:p>
        </w:tc>
        <w:tc>
          <w:tcPr>
            <w:tcW w:w="990" w:type="dxa"/>
            <w:vAlign w:val="bottom"/>
          </w:tcPr>
          <w:p w14:paraId="43E68650" w14:textId="05B41D89"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8.29%</w:t>
            </w:r>
          </w:p>
        </w:tc>
        <w:tc>
          <w:tcPr>
            <w:tcW w:w="990" w:type="dxa"/>
            <w:vAlign w:val="bottom"/>
          </w:tcPr>
          <w:p w14:paraId="7DBB72D7" w14:textId="69DDC43E"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7.59%</w:t>
            </w:r>
          </w:p>
        </w:tc>
        <w:tc>
          <w:tcPr>
            <w:tcW w:w="1005" w:type="dxa"/>
            <w:vAlign w:val="bottom"/>
          </w:tcPr>
          <w:p w14:paraId="1B31A2C3" w14:textId="7BBE768E"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6.96%</w:t>
            </w:r>
          </w:p>
        </w:tc>
      </w:tr>
      <w:tr w:rsidR="00F84D87" w14:paraId="080D7C7F" w14:textId="77777777" w:rsidTr="00F46394">
        <w:trPr>
          <w:cantSplit/>
        </w:trPr>
        <w:tc>
          <w:tcPr>
            <w:tcW w:w="2605" w:type="dxa"/>
          </w:tcPr>
          <w:p w14:paraId="0E3BAB1F" w14:textId="2CA62AEA" w:rsidR="00F84D87" w:rsidRPr="00750416" w:rsidRDefault="00F84D87" w:rsidP="00F84D87">
            <w:pPr>
              <w:pStyle w:val="NoSpacing"/>
              <w:rPr>
                <w:rFonts w:ascii="Arial" w:hAnsi="Arial" w:cs="Arial"/>
                <w:sz w:val="16"/>
                <w:szCs w:val="16"/>
              </w:rPr>
            </w:pPr>
            <w:r w:rsidRPr="00F36A13">
              <w:rPr>
                <w:rFonts w:ascii="Arial" w:hAnsi="Arial" w:cs="Arial"/>
                <w:sz w:val="16"/>
                <w:szCs w:val="16"/>
              </w:rPr>
              <w:t>Other expenses (2)</w:t>
            </w:r>
          </w:p>
        </w:tc>
        <w:tc>
          <w:tcPr>
            <w:tcW w:w="900" w:type="dxa"/>
            <w:vAlign w:val="bottom"/>
          </w:tcPr>
          <w:p w14:paraId="22206A41" w14:textId="54D72556"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5.86%</w:t>
            </w:r>
          </w:p>
        </w:tc>
        <w:tc>
          <w:tcPr>
            <w:tcW w:w="1080" w:type="dxa"/>
            <w:vAlign w:val="bottom"/>
          </w:tcPr>
          <w:p w14:paraId="5098F69C" w14:textId="5CC048E7"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8.83%</w:t>
            </w:r>
          </w:p>
        </w:tc>
        <w:tc>
          <w:tcPr>
            <w:tcW w:w="990" w:type="dxa"/>
            <w:vAlign w:val="bottom"/>
          </w:tcPr>
          <w:p w14:paraId="1739A4F4" w14:textId="57B9BF00"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10.76%</w:t>
            </w:r>
          </w:p>
        </w:tc>
        <w:tc>
          <w:tcPr>
            <w:tcW w:w="990" w:type="dxa"/>
            <w:vAlign w:val="bottom"/>
          </w:tcPr>
          <w:p w14:paraId="1979D5CC" w14:textId="0BE15139"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8.39%</w:t>
            </w:r>
          </w:p>
        </w:tc>
        <w:tc>
          <w:tcPr>
            <w:tcW w:w="990" w:type="dxa"/>
            <w:vAlign w:val="bottom"/>
          </w:tcPr>
          <w:p w14:paraId="720BAC94" w14:textId="5DF5B299"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7.52%</w:t>
            </w:r>
          </w:p>
        </w:tc>
        <w:tc>
          <w:tcPr>
            <w:tcW w:w="990" w:type="dxa"/>
            <w:vAlign w:val="bottom"/>
          </w:tcPr>
          <w:p w14:paraId="44E88FD1" w14:textId="35D18EF2"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6.69%</w:t>
            </w:r>
          </w:p>
        </w:tc>
        <w:tc>
          <w:tcPr>
            <w:tcW w:w="1005" w:type="dxa"/>
            <w:vAlign w:val="bottom"/>
          </w:tcPr>
          <w:p w14:paraId="28E22E0D" w14:textId="43659AF4"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6.06%</w:t>
            </w:r>
          </w:p>
        </w:tc>
      </w:tr>
      <w:tr w:rsidR="00F84D87" w14:paraId="3AEF1A2B" w14:textId="77777777" w:rsidTr="00F46394">
        <w:trPr>
          <w:cantSplit/>
        </w:trPr>
        <w:tc>
          <w:tcPr>
            <w:tcW w:w="2605" w:type="dxa"/>
          </w:tcPr>
          <w:p w14:paraId="54B951D3" w14:textId="0228F8E0" w:rsidR="00F84D87" w:rsidRPr="00750416" w:rsidRDefault="00E5101F" w:rsidP="00F84D87">
            <w:pPr>
              <w:pStyle w:val="NoSpacing"/>
              <w:rPr>
                <w:rFonts w:ascii="Arial" w:hAnsi="Arial" w:cs="Arial"/>
                <w:sz w:val="16"/>
                <w:szCs w:val="16"/>
              </w:rPr>
            </w:pPr>
            <w:r w:rsidRPr="00F36A13">
              <w:rPr>
                <w:rFonts w:ascii="Arial" w:hAnsi="Arial" w:cs="Arial"/>
                <w:sz w:val="16"/>
                <w:szCs w:val="16"/>
              </w:rPr>
              <w:t xml:space="preserve">Facility expenses </w:t>
            </w:r>
            <w:r w:rsidR="00F84D87" w:rsidRPr="00F36A13">
              <w:rPr>
                <w:rFonts w:ascii="Arial" w:hAnsi="Arial" w:cs="Arial"/>
                <w:sz w:val="16"/>
                <w:szCs w:val="16"/>
              </w:rPr>
              <w:t xml:space="preserve">(3) </w:t>
            </w:r>
          </w:p>
        </w:tc>
        <w:tc>
          <w:tcPr>
            <w:tcW w:w="900" w:type="dxa"/>
            <w:vAlign w:val="bottom"/>
          </w:tcPr>
          <w:p w14:paraId="6484DE26" w14:textId="2BF64F98"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3.43%</w:t>
            </w:r>
          </w:p>
        </w:tc>
        <w:tc>
          <w:tcPr>
            <w:tcW w:w="1080" w:type="dxa"/>
            <w:vAlign w:val="bottom"/>
          </w:tcPr>
          <w:p w14:paraId="584B311E" w14:textId="2358429A"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3.33%</w:t>
            </w:r>
          </w:p>
        </w:tc>
        <w:tc>
          <w:tcPr>
            <w:tcW w:w="990" w:type="dxa"/>
            <w:vAlign w:val="bottom"/>
          </w:tcPr>
          <w:p w14:paraId="57A83984" w14:textId="0BFFD342"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6.50%</w:t>
            </w:r>
          </w:p>
        </w:tc>
        <w:tc>
          <w:tcPr>
            <w:tcW w:w="990" w:type="dxa"/>
            <w:vAlign w:val="bottom"/>
          </w:tcPr>
          <w:p w14:paraId="6BB37330" w14:textId="70583F20"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6.69%</w:t>
            </w:r>
          </w:p>
        </w:tc>
        <w:tc>
          <w:tcPr>
            <w:tcW w:w="990" w:type="dxa"/>
            <w:vAlign w:val="bottom"/>
          </w:tcPr>
          <w:p w14:paraId="5E56EA67" w14:textId="047A98A7"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6.25%</w:t>
            </w:r>
          </w:p>
        </w:tc>
        <w:tc>
          <w:tcPr>
            <w:tcW w:w="990" w:type="dxa"/>
            <w:vAlign w:val="bottom"/>
          </w:tcPr>
          <w:p w14:paraId="476B55E6" w14:textId="6E3EF30A"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5.84%</w:t>
            </w:r>
          </w:p>
        </w:tc>
        <w:tc>
          <w:tcPr>
            <w:tcW w:w="1005" w:type="dxa"/>
            <w:vAlign w:val="bottom"/>
          </w:tcPr>
          <w:p w14:paraId="7BCB2248" w14:textId="7FFEC58F"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5.46%</w:t>
            </w:r>
          </w:p>
        </w:tc>
      </w:tr>
      <w:tr w:rsidR="00F84D87" w14:paraId="05D232DB" w14:textId="77777777" w:rsidTr="00F46394">
        <w:trPr>
          <w:cantSplit/>
        </w:trPr>
        <w:tc>
          <w:tcPr>
            <w:tcW w:w="2605" w:type="dxa"/>
          </w:tcPr>
          <w:p w14:paraId="45C2F2FF" w14:textId="2CA06394" w:rsidR="00F84D87" w:rsidRPr="00750416" w:rsidRDefault="00F36A13" w:rsidP="00F84D87">
            <w:pPr>
              <w:pStyle w:val="NoSpacing"/>
              <w:rPr>
                <w:rFonts w:ascii="Arial" w:hAnsi="Arial" w:cs="Arial"/>
                <w:sz w:val="16"/>
                <w:szCs w:val="16"/>
              </w:rPr>
            </w:pPr>
            <w:r w:rsidRPr="00F36A13">
              <w:rPr>
                <w:rFonts w:ascii="Arial" w:hAnsi="Arial" w:cs="Arial"/>
                <w:sz w:val="16"/>
                <w:szCs w:val="16"/>
              </w:rPr>
              <w:t>Depreciation and amortization (4)</w:t>
            </w:r>
          </w:p>
        </w:tc>
        <w:tc>
          <w:tcPr>
            <w:tcW w:w="900" w:type="dxa"/>
            <w:tcBorders>
              <w:bottom w:val="single" w:sz="4" w:space="0" w:color="auto"/>
            </w:tcBorders>
            <w:vAlign w:val="bottom"/>
          </w:tcPr>
          <w:p w14:paraId="62F10676" w14:textId="6BEDF3C3"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0.00%</w:t>
            </w:r>
          </w:p>
        </w:tc>
        <w:tc>
          <w:tcPr>
            <w:tcW w:w="1080" w:type="dxa"/>
            <w:tcBorders>
              <w:bottom w:val="single" w:sz="4" w:space="0" w:color="auto"/>
            </w:tcBorders>
            <w:vAlign w:val="bottom"/>
          </w:tcPr>
          <w:p w14:paraId="5391D74D" w14:textId="22AD6093"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0.00%</w:t>
            </w:r>
          </w:p>
        </w:tc>
        <w:tc>
          <w:tcPr>
            <w:tcW w:w="990" w:type="dxa"/>
            <w:tcBorders>
              <w:bottom w:val="single" w:sz="4" w:space="0" w:color="auto"/>
            </w:tcBorders>
            <w:vAlign w:val="bottom"/>
          </w:tcPr>
          <w:p w14:paraId="1CFD772C" w14:textId="705EAE0F"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3.85%</w:t>
            </w:r>
          </w:p>
        </w:tc>
        <w:tc>
          <w:tcPr>
            <w:tcW w:w="990" w:type="dxa"/>
            <w:tcBorders>
              <w:bottom w:val="single" w:sz="4" w:space="0" w:color="auto"/>
            </w:tcBorders>
            <w:vAlign w:val="bottom"/>
          </w:tcPr>
          <w:p w14:paraId="42D1906D" w14:textId="7B485A4D"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3.53%</w:t>
            </w:r>
          </w:p>
        </w:tc>
        <w:tc>
          <w:tcPr>
            <w:tcW w:w="990" w:type="dxa"/>
            <w:tcBorders>
              <w:bottom w:val="single" w:sz="4" w:space="0" w:color="auto"/>
            </w:tcBorders>
            <w:vAlign w:val="bottom"/>
          </w:tcPr>
          <w:p w14:paraId="7C9E7D56" w14:textId="21BD28B2"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3.21%</w:t>
            </w:r>
          </w:p>
        </w:tc>
        <w:tc>
          <w:tcPr>
            <w:tcW w:w="990" w:type="dxa"/>
            <w:tcBorders>
              <w:bottom w:val="single" w:sz="4" w:space="0" w:color="auto"/>
            </w:tcBorders>
            <w:vAlign w:val="bottom"/>
          </w:tcPr>
          <w:p w14:paraId="673B40FA" w14:textId="70CEFDB7"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2.92%</w:t>
            </w:r>
          </w:p>
        </w:tc>
        <w:tc>
          <w:tcPr>
            <w:tcW w:w="1005" w:type="dxa"/>
            <w:tcBorders>
              <w:bottom w:val="single" w:sz="4" w:space="0" w:color="auto"/>
            </w:tcBorders>
            <w:vAlign w:val="bottom"/>
          </w:tcPr>
          <w:p w14:paraId="6738B705" w14:textId="4FE85981"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2.65%</w:t>
            </w:r>
          </w:p>
        </w:tc>
      </w:tr>
      <w:tr w:rsidR="00F84D87" w14:paraId="06C013ED" w14:textId="77777777" w:rsidTr="00F46394">
        <w:trPr>
          <w:cantSplit/>
        </w:trPr>
        <w:tc>
          <w:tcPr>
            <w:tcW w:w="2605" w:type="dxa"/>
          </w:tcPr>
          <w:p w14:paraId="017D5E81" w14:textId="10507D5A" w:rsidR="00F84D87" w:rsidRPr="002F185D" w:rsidRDefault="00F36A13" w:rsidP="002F185D">
            <w:pPr>
              <w:pStyle w:val="NoSpacing"/>
              <w:ind w:left="432"/>
              <w:rPr>
                <w:rFonts w:ascii="Arial" w:hAnsi="Arial" w:cs="Arial"/>
                <w:b/>
                <w:bCs/>
                <w:sz w:val="16"/>
                <w:szCs w:val="16"/>
              </w:rPr>
            </w:pPr>
            <w:r w:rsidRPr="002F185D">
              <w:rPr>
                <w:rFonts w:ascii="Arial" w:hAnsi="Arial" w:cs="Arial"/>
                <w:b/>
                <w:bCs/>
                <w:sz w:val="16"/>
                <w:szCs w:val="16"/>
              </w:rPr>
              <w:t>Total Expenses</w:t>
            </w:r>
          </w:p>
        </w:tc>
        <w:tc>
          <w:tcPr>
            <w:tcW w:w="900" w:type="dxa"/>
            <w:tcBorders>
              <w:top w:val="single" w:sz="4" w:space="0" w:color="auto"/>
              <w:bottom w:val="single" w:sz="4" w:space="0" w:color="auto"/>
            </w:tcBorders>
            <w:vAlign w:val="bottom"/>
          </w:tcPr>
          <w:p w14:paraId="419F3096" w14:textId="1FBE85CD"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53.35%</w:t>
            </w:r>
          </w:p>
        </w:tc>
        <w:tc>
          <w:tcPr>
            <w:tcW w:w="1080" w:type="dxa"/>
            <w:tcBorders>
              <w:top w:val="single" w:sz="4" w:space="0" w:color="auto"/>
              <w:bottom w:val="single" w:sz="4" w:space="0" w:color="auto"/>
            </w:tcBorders>
            <w:vAlign w:val="bottom"/>
          </w:tcPr>
          <w:p w14:paraId="1317CD67" w14:textId="6B1FDE70"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55.88%</w:t>
            </w:r>
          </w:p>
        </w:tc>
        <w:tc>
          <w:tcPr>
            <w:tcW w:w="990" w:type="dxa"/>
            <w:tcBorders>
              <w:top w:val="single" w:sz="4" w:space="0" w:color="auto"/>
              <w:bottom w:val="single" w:sz="4" w:space="0" w:color="auto"/>
            </w:tcBorders>
            <w:vAlign w:val="bottom"/>
          </w:tcPr>
          <w:p w14:paraId="132F9E5F" w14:textId="40A56E24"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70.24%</w:t>
            </w:r>
          </w:p>
        </w:tc>
        <w:tc>
          <w:tcPr>
            <w:tcW w:w="990" w:type="dxa"/>
            <w:tcBorders>
              <w:top w:val="single" w:sz="4" w:space="0" w:color="auto"/>
              <w:bottom w:val="single" w:sz="4" w:space="0" w:color="auto"/>
            </w:tcBorders>
            <w:vAlign w:val="bottom"/>
          </w:tcPr>
          <w:p w14:paraId="24DB4D99" w14:textId="257F33DF"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65.83%</w:t>
            </w:r>
          </w:p>
        </w:tc>
        <w:tc>
          <w:tcPr>
            <w:tcW w:w="990" w:type="dxa"/>
            <w:tcBorders>
              <w:top w:val="single" w:sz="4" w:space="0" w:color="auto"/>
              <w:bottom w:val="single" w:sz="4" w:space="0" w:color="auto"/>
            </w:tcBorders>
            <w:vAlign w:val="bottom"/>
          </w:tcPr>
          <w:p w14:paraId="0C3CAB12" w14:textId="1BF5AEDB"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61.75%</w:t>
            </w:r>
          </w:p>
        </w:tc>
        <w:tc>
          <w:tcPr>
            <w:tcW w:w="990" w:type="dxa"/>
            <w:tcBorders>
              <w:top w:val="single" w:sz="4" w:space="0" w:color="auto"/>
              <w:bottom w:val="single" w:sz="4" w:space="0" w:color="auto"/>
            </w:tcBorders>
            <w:vAlign w:val="bottom"/>
          </w:tcPr>
          <w:p w14:paraId="0E7B85C4" w14:textId="3B41CDEB"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58.07%</w:t>
            </w:r>
          </w:p>
        </w:tc>
        <w:tc>
          <w:tcPr>
            <w:tcW w:w="1005" w:type="dxa"/>
            <w:tcBorders>
              <w:top w:val="single" w:sz="4" w:space="0" w:color="auto"/>
              <w:bottom w:val="single" w:sz="4" w:space="0" w:color="auto"/>
            </w:tcBorders>
            <w:vAlign w:val="bottom"/>
          </w:tcPr>
          <w:p w14:paraId="33C77AD5" w14:textId="66857959" w:rsidR="00F84D87" w:rsidRPr="00F46394" w:rsidRDefault="00F84D87" w:rsidP="00F46394">
            <w:pPr>
              <w:pStyle w:val="NoSpacing"/>
              <w:jc w:val="right"/>
              <w:rPr>
                <w:rFonts w:ascii="Arial" w:hAnsi="Arial" w:cs="Arial"/>
                <w:sz w:val="16"/>
                <w:szCs w:val="16"/>
              </w:rPr>
            </w:pPr>
            <w:r w:rsidRPr="00F46394">
              <w:rPr>
                <w:rFonts w:ascii="Arial" w:hAnsi="Arial" w:cs="Arial"/>
                <w:sz w:val="16"/>
                <w:szCs w:val="16"/>
              </w:rPr>
              <w:t>54.58%</w:t>
            </w:r>
          </w:p>
        </w:tc>
      </w:tr>
    </w:tbl>
    <w:p w14:paraId="44E968D6" w14:textId="77777777" w:rsidR="003C6B45" w:rsidRDefault="003C6B45" w:rsidP="003D3874">
      <w:pPr>
        <w:pStyle w:val="NoSpacing"/>
      </w:pPr>
    </w:p>
    <w:p w14:paraId="5B59236F" w14:textId="76924390" w:rsidR="00701342" w:rsidRPr="00134B9D" w:rsidRDefault="00134B9D">
      <w:pPr>
        <w:ind w:left="5149"/>
        <w:rPr>
          <w:sz w:val="17"/>
          <w:u w:val="single"/>
        </w:rPr>
      </w:pPr>
      <w:r w:rsidRPr="00134B9D">
        <w:rPr>
          <w:b/>
          <w:spacing w:val="-2"/>
          <w:sz w:val="17"/>
          <w:u w:val="single"/>
        </w:rPr>
        <w:t>%</w:t>
      </w:r>
      <w:r w:rsidR="0065600D" w:rsidRPr="00134B9D">
        <w:rPr>
          <w:b/>
          <w:spacing w:val="-2"/>
          <w:sz w:val="17"/>
          <w:u w:val="single"/>
        </w:rPr>
        <w:t xml:space="preserve"> </w:t>
      </w:r>
      <w:proofErr w:type="gramStart"/>
      <w:r w:rsidR="0065600D" w:rsidRPr="00134B9D">
        <w:rPr>
          <w:b/>
          <w:spacing w:val="-2"/>
          <w:sz w:val="17"/>
          <w:u w:val="single"/>
        </w:rPr>
        <w:t xml:space="preserve">change </w:t>
      </w:r>
      <w:r w:rsidRPr="00134B9D">
        <w:rPr>
          <w:b/>
          <w:spacing w:val="-30"/>
          <w:sz w:val="17"/>
          <w:u w:val="single"/>
        </w:rPr>
        <w:t xml:space="preserve"> </w:t>
      </w:r>
      <w:r w:rsidRPr="00134B9D">
        <w:rPr>
          <w:spacing w:val="-2"/>
          <w:sz w:val="17"/>
          <w:u w:val="single"/>
        </w:rPr>
        <w:t>in</w:t>
      </w:r>
      <w:proofErr w:type="gramEnd"/>
      <w:r w:rsidRPr="00134B9D">
        <w:rPr>
          <w:spacing w:val="27"/>
          <w:sz w:val="17"/>
          <w:u w:val="single"/>
        </w:rPr>
        <w:t xml:space="preserve"> </w:t>
      </w:r>
      <w:r w:rsidR="0065600D" w:rsidRPr="00134B9D">
        <w:rPr>
          <w:spacing w:val="-2"/>
          <w:sz w:val="17"/>
          <w:u w:val="single"/>
        </w:rPr>
        <w:t xml:space="preserve">expense </w:t>
      </w:r>
      <w:r w:rsidRPr="00134B9D">
        <w:rPr>
          <w:spacing w:val="-2"/>
          <w:sz w:val="17"/>
          <w:u w:val="single"/>
        </w:rPr>
        <w:t>results</w:t>
      </w:r>
      <w:r w:rsidRPr="00134B9D">
        <w:rPr>
          <w:spacing w:val="-23"/>
          <w:sz w:val="17"/>
          <w:u w:val="single"/>
        </w:rPr>
        <w:t xml:space="preserve"> </w:t>
      </w:r>
      <w:r w:rsidR="0065600D" w:rsidRPr="00134B9D">
        <w:rPr>
          <w:spacing w:val="-2"/>
          <w:sz w:val="17"/>
          <w:u w:val="single"/>
        </w:rPr>
        <w:t>compared</w:t>
      </w:r>
      <w:r w:rsidRPr="00134B9D">
        <w:rPr>
          <w:spacing w:val="-10"/>
          <w:sz w:val="17"/>
          <w:u w:val="single"/>
        </w:rPr>
        <w:t xml:space="preserve"> </w:t>
      </w:r>
      <w:r w:rsidR="0065600D" w:rsidRPr="00134B9D">
        <w:rPr>
          <w:spacing w:val="-2"/>
          <w:sz w:val="17"/>
          <w:u w:val="single"/>
        </w:rPr>
        <w:t>to prior</w:t>
      </w:r>
      <w:r w:rsidRPr="00134B9D">
        <w:rPr>
          <w:spacing w:val="-31"/>
          <w:sz w:val="17"/>
          <w:u w:val="single"/>
        </w:rPr>
        <w:t xml:space="preserve"> </w:t>
      </w:r>
      <w:r w:rsidRPr="00134B9D">
        <w:rPr>
          <w:spacing w:val="-2"/>
          <w:sz w:val="17"/>
          <w:u w:val="single"/>
        </w:rPr>
        <w:t>period</w:t>
      </w:r>
    </w:p>
    <w:p w14:paraId="5B592370" w14:textId="65829671" w:rsidR="00701342" w:rsidRDefault="00134B9D">
      <w:pPr>
        <w:tabs>
          <w:tab w:val="left" w:pos="2439"/>
          <w:tab w:val="left" w:pos="4831"/>
          <w:tab w:val="left" w:pos="5871"/>
          <w:tab w:val="left" w:pos="6803"/>
          <w:tab w:val="left" w:pos="7736"/>
          <w:tab w:val="left" w:pos="8664"/>
        </w:tabs>
        <w:spacing w:before="63"/>
        <w:ind w:left="162"/>
        <w:rPr>
          <w:b/>
          <w:sz w:val="17"/>
        </w:rPr>
      </w:pPr>
      <w:r>
        <w:rPr>
          <w:spacing w:val="-2"/>
          <w:w w:val="85"/>
          <w:sz w:val="17"/>
        </w:rPr>
        <w:t>Total</w:t>
      </w:r>
      <w:r>
        <w:rPr>
          <w:spacing w:val="-8"/>
          <w:sz w:val="17"/>
        </w:rPr>
        <w:t xml:space="preserve"> </w:t>
      </w:r>
      <w:r>
        <w:rPr>
          <w:spacing w:val="-2"/>
          <w:sz w:val="17"/>
        </w:rPr>
        <w:t>E</w:t>
      </w:r>
      <w:r w:rsidR="0065600D">
        <w:rPr>
          <w:spacing w:val="-2"/>
          <w:sz w:val="17"/>
        </w:rPr>
        <w:t>x</w:t>
      </w:r>
      <w:r>
        <w:rPr>
          <w:spacing w:val="-2"/>
          <w:sz w:val="17"/>
        </w:rPr>
        <w:t>penses</w:t>
      </w:r>
      <w:r>
        <w:rPr>
          <w:sz w:val="17"/>
        </w:rPr>
        <w:tab/>
      </w:r>
      <w:r>
        <w:rPr>
          <w:position w:val="1"/>
          <w:sz w:val="16"/>
        </w:rPr>
        <w:t>$</w:t>
      </w:r>
      <w:r>
        <w:rPr>
          <w:spacing w:val="67"/>
          <w:position w:val="1"/>
          <w:sz w:val="16"/>
        </w:rPr>
        <w:t xml:space="preserve"> </w:t>
      </w:r>
      <w:r>
        <w:rPr>
          <w:b/>
          <w:spacing w:val="-2"/>
          <w:position w:val="1"/>
          <w:sz w:val="17"/>
        </w:rPr>
        <w:t>2,497,451</w:t>
      </w:r>
      <w:r>
        <w:rPr>
          <w:b/>
          <w:position w:val="1"/>
          <w:sz w:val="17"/>
        </w:rPr>
        <w:tab/>
      </w:r>
      <w:r>
        <w:rPr>
          <w:b/>
          <w:spacing w:val="-2"/>
          <w:position w:val="1"/>
          <w:sz w:val="17"/>
        </w:rPr>
        <w:t>51.24%</w:t>
      </w:r>
      <w:r>
        <w:rPr>
          <w:b/>
          <w:position w:val="1"/>
          <w:sz w:val="17"/>
        </w:rPr>
        <w:tab/>
      </w:r>
      <w:r>
        <w:rPr>
          <w:b/>
          <w:spacing w:val="-2"/>
          <w:position w:val="1"/>
          <w:sz w:val="17"/>
        </w:rPr>
        <w:t>3.10%</w:t>
      </w:r>
      <w:r>
        <w:rPr>
          <w:b/>
          <w:position w:val="1"/>
          <w:sz w:val="17"/>
        </w:rPr>
        <w:tab/>
      </w:r>
      <w:r>
        <w:rPr>
          <w:b/>
          <w:spacing w:val="-2"/>
          <w:position w:val="1"/>
          <w:sz w:val="17"/>
        </w:rPr>
        <w:t>3.19%</w:t>
      </w:r>
      <w:r>
        <w:rPr>
          <w:b/>
          <w:position w:val="1"/>
          <w:sz w:val="17"/>
        </w:rPr>
        <w:tab/>
      </w:r>
      <w:r>
        <w:rPr>
          <w:b/>
          <w:spacing w:val="-2"/>
          <w:position w:val="1"/>
          <w:sz w:val="17"/>
        </w:rPr>
        <w:t>3.46%</w:t>
      </w:r>
      <w:r>
        <w:rPr>
          <w:b/>
          <w:position w:val="1"/>
          <w:sz w:val="17"/>
        </w:rPr>
        <w:tab/>
      </w:r>
      <w:r>
        <w:rPr>
          <w:b/>
          <w:spacing w:val="-2"/>
          <w:position w:val="1"/>
          <w:sz w:val="17"/>
        </w:rPr>
        <w:t>3.37%</w:t>
      </w:r>
    </w:p>
    <w:p w14:paraId="5B592371" w14:textId="77777777" w:rsidR="00701342" w:rsidRDefault="00701342">
      <w:pPr>
        <w:pStyle w:val="BodyText"/>
        <w:rPr>
          <w:b/>
          <w:sz w:val="17"/>
        </w:rPr>
      </w:pPr>
    </w:p>
    <w:p w14:paraId="5B592372" w14:textId="77777777" w:rsidR="00701342" w:rsidRDefault="00701342">
      <w:pPr>
        <w:pStyle w:val="BodyText"/>
        <w:rPr>
          <w:b/>
          <w:sz w:val="17"/>
        </w:rPr>
      </w:pPr>
    </w:p>
    <w:p w14:paraId="5B592373" w14:textId="77777777" w:rsidR="00701342" w:rsidRDefault="00701342">
      <w:pPr>
        <w:pStyle w:val="BodyText"/>
        <w:rPr>
          <w:b/>
          <w:sz w:val="17"/>
        </w:rPr>
      </w:pPr>
    </w:p>
    <w:p w14:paraId="5B592374" w14:textId="77777777" w:rsidR="00701342" w:rsidRDefault="00701342">
      <w:pPr>
        <w:pStyle w:val="BodyText"/>
        <w:spacing w:before="134"/>
        <w:rPr>
          <w:b/>
          <w:sz w:val="17"/>
        </w:rPr>
      </w:pPr>
    </w:p>
    <w:p w14:paraId="4B7D3AD0" w14:textId="77777777" w:rsidR="007E6F6E" w:rsidRDefault="007E6F6E" w:rsidP="007E6F6E">
      <w:pPr>
        <w:pStyle w:val="NoSpacing"/>
      </w:pPr>
      <w:r>
        <w:t>(1)  Expenses are based on average cost per procedure for the 12 months ended March 31, 2024.                                                 Management anticipates these expenditures to increase in congruence with anticipated procedures performed. Salaries, wages and benefits are projected at a rate of approximately $222, supplies and drugs at a rate of approximately $69, and other expenses at a rate of approximately $62 per procedure performed.</w:t>
      </w:r>
    </w:p>
    <w:p w14:paraId="1E462138" w14:textId="77777777" w:rsidR="007E6F6E" w:rsidRDefault="007E6F6E" w:rsidP="007E6F6E">
      <w:pPr>
        <w:pStyle w:val="NoSpacing"/>
      </w:pPr>
    </w:p>
    <w:p w14:paraId="03752B27" w14:textId="77777777" w:rsidR="007E6F6E" w:rsidRDefault="007E6F6E" w:rsidP="007E6F6E">
      <w:pPr>
        <w:pStyle w:val="NoSpacing"/>
      </w:pPr>
      <w:r>
        <w:t>(2) We noted that all but one line item included in other expenses are based on average cost per procedure for the 12 months ended March 31, 2024. Billing service is based on 2.23% of total revenue for the 12 months ended March 31, 2024. Billing expenses for 2025 through 2029 are equal to 2.25% of facility revenues.</w:t>
      </w:r>
    </w:p>
    <w:p w14:paraId="4105276C" w14:textId="77777777" w:rsidR="007E6F6E" w:rsidRDefault="007E6F6E" w:rsidP="007E6F6E">
      <w:pPr>
        <w:pStyle w:val="NoSpacing"/>
      </w:pPr>
    </w:p>
    <w:p w14:paraId="7DC6332C" w14:textId="77777777" w:rsidR="007E6F6E" w:rsidRDefault="007E6F6E" w:rsidP="007E6F6E">
      <w:pPr>
        <w:pStyle w:val="NoSpacing"/>
      </w:pPr>
      <w:r>
        <w:t xml:space="preserve">(3)  Approximately 95% of the facility expenses represent rent, common area maintenance, utilities and property taxes being paid to the lessor. We noted that the total square footage of the building is approximately 9,064 Rentable Square Feet. Management anticipates there will be no changes in the total square footage. </w:t>
      </w:r>
      <w:r w:rsidRPr="00B800E2">
        <w:t>We reviewed the lease agreement and corresponding amendments and noted that the lease term is through February 28, 2035.</w:t>
      </w:r>
    </w:p>
    <w:p w14:paraId="5B59237B" w14:textId="77777777" w:rsidR="00701342" w:rsidRDefault="00701342">
      <w:pPr>
        <w:spacing w:line="280" w:lineRule="auto"/>
        <w:jc w:val="both"/>
        <w:rPr>
          <w:sz w:val="20"/>
        </w:rPr>
        <w:sectPr w:rsidR="00701342">
          <w:pgSz w:w="12140" w:h="15770"/>
          <w:pgMar w:top="1500" w:right="1280" w:bottom="1320" w:left="1300" w:header="0" w:footer="1135" w:gutter="0"/>
          <w:cols w:space="720"/>
        </w:sectPr>
      </w:pPr>
    </w:p>
    <w:p w14:paraId="0ACA4C90" w14:textId="77777777" w:rsidR="00B43F46" w:rsidRDefault="00B43F46" w:rsidP="00B43F46">
      <w:pPr>
        <w:pStyle w:val="NoSpacing"/>
        <w:rPr>
          <w:b/>
          <w:bCs/>
        </w:rPr>
      </w:pPr>
      <w:bookmarkStart w:id="0" w:name="_Hlk165298283"/>
      <w:r>
        <w:rPr>
          <w:b/>
          <w:bCs/>
        </w:rPr>
        <w:lastRenderedPageBreak/>
        <w:t>V.</w:t>
      </w:r>
      <w:r>
        <w:rPr>
          <w:b/>
          <w:bCs/>
        </w:rPr>
        <w:tab/>
        <w:t xml:space="preserve"> </w:t>
      </w:r>
      <w:r>
        <w:rPr>
          <w:b/>
          <w:bCs/>
          <w:u w:val="single"/>
        </w:rPr>
        <w:t>REVIEW OF THE PROJECTIONS</w:t>
      </w:r>
      <w:r>
        <w:t xml:space="preserve"> </w:t>
      </w:r>
      <w:r w:rsidRPr="000A08F0">
        <w:rPr>
          <w:b/>
          <w:bCs/>
        </w:rPr>
        <w:t>(continued)</w:t>
      </w:r>
    </w:p>
    <w:bookmarkEnd w:id="0"/>
    <w:p w14:paraId="0DE7E48A" w14:textId="77777777" w:rsidR="00B43F46" w:rsidRDefault="00B43F46" w:rsidP="00B43F46">
      <w:pPr>
        <w:pStyle w:val="NoSpacing"/>
      </w:pPr>
    </w:p>
    <w:p w14:paraId="14374CC4" w14:textId="77777777" w:rsidR="00B43F46" w:rsidRDefault="00B43F46" w:rsidP="00B43F46">
      <w:pPr>
        <w:pStyle w:val="NoSpacing"/>
      </w:pPr>
      <w:r>
        <w:t>(4) Depreciation consists of capital expenditures needed for leasehold improvements and new equipment being used by WELLC. Per discussion with Management there are no anticipated needs for additional capital expenditures, therefore the depreciation costs are anticipated to remain constant over the five-year pro-forma period ending December 31, 2029.</w:t>
      </w:r>
    </w:p>
    <w:p w14:paraId="2888AB62" w14:textId="77777777" w:rsidR="00B43F46" w:rsidRDefault="00B43F46" w:rsidP="00B43F46">
      <w:pPr>
        <w:pStyle w:val="NoSpacing"/>
        <w:rPr>
          <w:b/>
          <w:bCs/>
        </w:rPr>
      </w:pPr>
    </w:p>
    <w:p w14:paraId="1E23A093" w14:textId="77777777" w:rsidR="00B43F46" w:rsidRDefault="00B43F46" w:rsidP="00B43F46">
      <w:pPr>
        <w:pStyle w:val="NoSpacing"/>
      </w:pPr>
      <w:r>
        <w:t xml:space="preserve">We analyzed the projected/pro-forma expenses for fiscal years 2025 through 2029 in relation to historical volume for the years ended December 31, </w:t>
      </w:r>
      <w:r w:rsidRPr="008D1BAE">
        <w:t>2023, 2022 and 2021</w:t>
      </w:r>
      <w:r>
        <w:t>, as well as the rolling 12 months ended March 31, 2024, to assess the reasonableness of the pro-forma statements.</w:t>
      </w:r>
    </w:p>
    <w:p w14:paraId="57D3F64D" w14:textId="77777777" w:rsidR="00B43F46" w:rsidRDefault="00B43F46" w:rsidP="00B43F46">
      <w:pPr>
        <w:pStyle w:val="NoSpacing"/>
      </w:pPr>
    </w:p>
    <w:p w14:paraId="799CCC13" w14:textId="77777777" w:rsidR="00B43F46" w:rsidRDefault="00B43F46" w:rsidP="008163A8">
      <w:pPr>
        <w:pStyle w:val="NoSpacing"/>
        <w:numPr>
          <w:ilvl w:val="0"/>
          <w:numId w:val="8"/>
        </w:numPr>
        <w:rPr>
          <w:b/>
          <w:bCs/>
          <w:u w:val="single"/>
        </w:rPr>
      </w:pPr>
      <w:r>
        <w:rPr>
          <w:b/>
          <w:bCs/>
          <w:u w:val="single"/>
        </w:rPr>
        <w:t xml:space="preserve"> Net Income</w:t>
      </w:r>
    </w:p>
    <w:p w14:paraId="0F4DE885" w14:textId="77777777" w:rsidR="00B43F46" w:rsidRDefault="00B43F46" w:rsidP="00B43F46">
      <w:pPr>
        <w:pStyle w:val="NoSpacing"/>
        <w:rPr>
          <w:b/>
          <w:bCs/>
          <w:u w:val="single"/>
        </w:rPr>
      </w:pPr>
    </w:p>
    <w:p w14:paraId="3ADDF448" w14:textId="77777777" w:rsidR="00B43F46" w:rsidRDefault="00B43F46" w:rsidP="00B43F46">
      <w:pPr>
        <w:pStyle w:val="NoSpacing"/>
      </w:pPr>
      <w:r>
        <w:t>The table below provides a summary of net income by year as a percentage of net revenue:</w:t>
      </w:r>
    </w:p>
    <w:p w14:paraId="5B592384" w14:textId="77777777" w:rsidR="00701342" w:rsidRDefault="00701342">
      <w:pPr>
        <w:pStyle w:val="BodyText"/>
      </w:pPr>
    </w:p>
    <w:p w14:paraId="5B592385" w14:textId="77777777" w:rsidR="00701342" w:rsidRDefault="00701342">
      <w:pPr>
        <w:pStyle w:val="BodyText"/>
        <w:spacing w:before="50"/>
      </w:pPr>
    </w:p>
    <w:tbl>
      <w:tblPr>
        <w:tblW w:w="0" w:type="auto"/>
        <w:tblInd w:w="114" w:type="dxa"/>
        <w:tblLayout w:type="fixed"/>
        <w:tblCellMar>
          <w:left w:w="0" w:type="dxa"/>
          <w:right w:w="0" w:type="dxa"/>
        </w:tblCellMar>
        <w:tblLook w:val="01E0" w:firstRow="1" w:lastRow="1" w:firstColumn="1" w:lastColumn="1" w:noHBand="0" w:noVBand="0"/>
      </w:tblPr>
      <w:tblGrid>
        <w:gridCol w:w="2851"/>
        <w:gridCol w:w="1350"/>
        <w:gridCol w:w="990"/>
        <w:gridCol w:w="900"/>
        <w:gridCol w:w="900"/>
        <w:gridCol w:w="938"/>
        <w:gridCol w:w="891"/>
      </w:tblGrid>
      <w:tr w:rsidR="005703DE" w14:paraId="5B592394" w14:textId="77777777" w:rsidTr="00933B36">
        <w:trPr>
          <w:trHeight w:val="885"/>
        </w:trPr>
        <w:tc>
          <w:tcPr>
            <w:tcW w:w="2851" w:type="dxa"/>
          </w:tcPr>
          <w:p w14:paraId="5B592386" w14:textId="77777777" w:rsidR="005703DE" w:rsidRPr="005703DE" w:rsidRDefault="005703DE" w:rsidP="005703DE">
            <w:pPr>
              <w:pStyle w:val="TableParagraph"/>
              <w:rPr>
                <w:rFonts w:eastAsiaTheme="minorHAnsi"/>
                <w:kern w:val="2"/>
                <w:sz w:val="16"/>
                <w:szCs w:val="16"/>
                <w14:ligatures w14:val="standardContextual"/>
              </w:rPr>
            </w:pPr>
          </w:p>
        </w:tc>
        <w:tc>
          <w:tcPr>
            <w:tcW w:w="1350" w:type="dxa"/>
            <w:tcBorders>
              <w:bottom w:val="single" w:sz="4" w:space="0" w:color="auto"/>
            </w:tcBorders>
            <w:vAlign w:val="bottom"/>
          </w:tcPr>
          <w:p w14:paraId="5B592388" w14:textId="56616456" w:rsidR="005703DE" w:rsidRPr="005703DE" w:rsidRDefault="005703DE" w:rsidP="00BC7808">
            <w:pPr>
              <w:pStyle w:val="TableParagraph"/>
              <w:spacing w:before="8" w:line="189" w:lineRule="exact"/>
              <w:ind w:left="44" w:right="172"/>
              <w:rPr>
                <w:rFonts w:eastAsiaTheme="minorHAnsi"/>
                <w:kern w:val="2"/>
                <w:sz w:val="16"/>
                <w:szCs w:val="16"/>
                <w14:ligatures w14:val="standardContextual"/>
              </w:rPr>
            </w:pPr>
            <w:r w:rsidRPr="005703DE">
              <w:rPr>
                <w:rFonts w:eastAsiaTheme="minorHAnsi"/>
                <w:kern w:val="2"/>
                <w:sz w:val="16"/>
                <w:szCs w:val="16"/>
                <w14:ligatures w14:val="standardContextual"/>
              </w:rPr>
              <w:t>AS</w:t>
            </w:r>
            <w:r>
              <w:rPr>
                <w:rFonts w:eastAsiaTheme="minorHAnsi"/>
                <w:kern w:val="2"/>
                <w:sz w:val="16"/>
                <w:szCs w:val="16"/>
                <w14:ligatures w14:val="standardContextual"/>
              </w:rPr>
              <w:t xml:space="preserve"> reported by WELLC for the 12 months ended March 31, 2024</w:t>
            </w:r>
          </w:p>
        </w:tc>
        <w:tc>
          <w:tcPr>
            <w:tcW w:w="990" w:type="dxa"/>
            <w:tcBorders>
              <w:bottom w:val="single" w:sz="4" w:space="0" w:color="auto"/>
            </w:tcBorders>
            <w:vAlign w:val="bottom"/>
          </w:tcPr>
          <w:p w14:paraId="5B59238B" w14:textId="2B0A71BE" w:rsidR="005703DE" w:rsidRPr="005703DE" w:rsidRDefault="005703DE" w:rsidP="008873DB">
            <w:pPr>
              <w:pStyle w:val="TableParagraph"/>
              <w:spacing w:before="4" w:line="220" w:lineRule="atLeast"/>
              <w:ind w:right="82" w:hanging="12"/>
              <w:rPr>
                <w:rFonts w:eastAsiaTheme="minorHAnsi"/>
                <w:kern w:val="2"/>
                <w:sz w:val="16"/>
                <w:szCs w:val="16"/>
                <w14:ligatures w14:val="standardContextual"/>
              </w:rPr>
            </w:pPr>
            <w:r>
              <w:rPr>
                <w:rFonts w:eastAsiaTheme="minorHAnsi"/>
                <w:kern w:val="2"/>
                <w:sz w:val="16"/>
                <w:szCs w:val="16"/>
                <w14:ligatures w14:val="standardContextual"/>
              </w:rPr>
              <w:t>Projected/</w:t>
            </w:r>
            <w:r w:rsidR="00884F48">
              <w:rPr>
                <w:rFonts w:eastAsiaTheme="minorHAnsi"/>
                <w:kern w:val="2"/>
                <w:sz w:val="16"/>
                <w:szCs w:val="16"/>
                <w14:ligatures w14:val="standardContextual"/>
              </w:rPr>
              <w:t xml:space="preserve"> </w:t>
            </w:r>
            <w:r>
              <w:rPr>
                <w:rFonts w:eastAsiaTheme="minorHAnsi"/>
                <w:kern w:val="2"/>
                <w:sz w:val="16"/>
                <w:szCs w:val="16"/>
                <w14:ligatures w14:val="standardContextual"/>
              </w:rPr>
              <w:t>Pro-forma new location 2025</w:t>
            </w:r>
          </w:p>
        </w:tc>
        <w:tc>
          <w:tcPr>
            <w:tcW w:w="900" w:type="dxa"/>
            <w:tcBorders>
              <w:bottom w:val="single" w:sz="4" w:space="0" w:color="auto"/>
            </w:tcBorders>
            <w:vAlign w:val="bottom"/>
          </w:tcPr>
          <w:p w14:paraId="5B59238D" w14:textId="3B580CF9" w:rsidR="005703DE" w:rsidRPr="005703DE" w:rsidRDefault="005703DE" w:rsidP="008873DB">
            <w:pPr>
              <w:pStyle w:val="TableParagraph"/>
              <w:spacing w:line="185" w:lineRule="exact"/>
              <w:ind w:left="86"/>
              <w:rPr>
                <w:rFonts w:eastAsiaTheme="minorHAnsi"/>
                <w:kern w:val="2"/>
                <w:sz w:val="16"/>
                <w:szCs w:val="16"/>
                <w14:ligatures w14:val="standardContextual"/>
              </w:rPr>
            </w:pPr>
            <w:r w:rsidRPr="00F02661">
              <w:rPr>
                <w:rFonts w:eastAsiaTheme="minorHAnsi"/>
                <w:kern w:val="2"/>
                <w:sz w:val="16"/>
                <w:szCs w:val="16"/>
                <w14:ligatures w14:val="standardContextual"/>
              </w:rPr>
              <w:t>Projected/Pro-forma new location 202</w:t>
            </w:r>
            <w:r>
              <w:rPr>
                <w:rFonts w:eastAsiaTheme="minorHAnsi"/>
                <w:kern w:val="2"/>
                <w:sz w:val="16"/>
                <w:szCs w:val="16"/>
                <w14:ligatures w14:val="standardContextual"/>
              </w:rPr>
              <w:t>6</w:t>
            </w:r>
          </w:p>
        </w:tc>
        <w:tc>
          <w:tcPr>
            <w:tcW w:w="900" w:type="dxa"/>
            <w:tcBorders>
              <w:bottom w:val="single" w:sz="4" w:space="0" w:color="auto"/>
            </w:tcBorders>
            <w:vAlign w:val="bottom"/>
          </w:tcPr>
          <w:p w14:paraId="5B59238F" w14:textId="7D2BB087" w:rsidR="005703DE" w:rsidRPr="005703DE" w:rsidRDefault="005703DE" w:rsidP="00BC7808">
            <w:pPr>
              <w:pStyle w:val="TableParagraph"/>
              <w:spacing w:before="3" w:line="193" w:lineRule="exact"/>
              <w:ind w:left="116"/>
              <w:rPr>
                <w:rFonts w:eastAsiaTheme="minorHAnsi"/>
                <w:kern w:val="2"/>
                <w:sz w:val="16"/>
                <w:szCs w:val="16"/>
                <w14:ligatures w14:val="standardContextual"/>
              </w:rPr>
            </w:pPr>
            <w:r w:rsidRPr="00F02661">
              <w:rPr>
                <w:rFonts w:eastAsiaTheme="minorHAnsi"/>
                <w:kern w:val="2"/>
                <w:sz w:val="16"/>
                <w:szCs w:val="16"/>
                <w14:ligatures w14:val="standardContextual"/>
              </w:rPr>
              <w:t>Projected/Pro-forma new location 202</w:t>
            </w:r>
            <w:r>
              <w:rPr>
                <w:rFonts w:eastAsiaTheme="minorHAnsi"/>
                <w:kern w:val="2"/>
                <w:sz w:val="16"/>
                <w:szCs w:val="16"/>
                <w14:ligatures w14:val="standardContextual"/>
              </w:rPr>
              <w:t>7</w:t>
            </w:r>
          </w:p>
        </w:tc>
        <w:tc>
          <w:tcPr>
            <w:tcW w:w="938" w:type="dxa"/>
            <w:tcBorders>
              <w:bottom w:val="single" w:sz="4" w:space="0" w:color="auto"/>
            </w:tcBorders>
            <w:vAlign w:val="bottom"/>
          </w:tcPr>
          <w:p w14:paraId="5B592391" w14:textId="39C6A8A3" w:rsidR="005703DE" w:rsidRPr="005703DE" w:rsidRDefault="005703DE" w:rsidP="00BC7808">
            <w:pPr>
              <w:pStyle w:val="TableParagraph"/>
              <w:spacing w:before="3" w:line="193" w:lineRule="exact"/>
              <w:ind w:left="116"/>
              <w:rPr>
                <w:rFonts w:eastAsiaTheme="minorHAnsi"/>
                <w:kern w:val="2"/>
                <w:sz w:val="16"/>
                <w:szCs w:val="16"/>
                <w14:ligatures w14:val="standardContextual"/>
              </w:rPr>
            </w:pPr>
            <w:r w:rsidRPr="00F02661">
              <w:rPr>
                <w:rFonts w:eastAsiaTheme="minorHAnsi"/>
                <w:kern w:val="2"/>
                <w:sz w:val="16"/>
                <w:szCs w:val="16"/>
                <w14:ligatures w14:val="standardContextual"/>
              </w:rPr>
              <w:t>Projected/Pro-forma new location 202</w:t>
            </w:r>
            <w:r>
              <w:rPr>
                <w:rFonts w:eastAsiaTheme="minorHAnsi"/>
                <w:kern w:val="2"/>
                <w:sz w:val="16"/>
                <w:szCs w:val="16"/>
                <w14:ligatures w14:val="standardContextual"/>
              </w:rPr>
              <w:t>8</w:t>
            </w:r>
          </w:p>
        </w:tc>
        <w:tc>
          <w:tcPr>
            <w:tcW w:w="891" w:type="dxa"/>
            <w:tcBorders>
              <w:bottom w:val="single" w:sz="4" w:space="0" w:color="auto"/>
            </w:tcBorders>
            <w:vAlign w:val="bottom"/>
          </w:tcPr>
          <w:p w14:paraId="5B592393" w14:textId="5D56D294" w:rsidR="005703DE" w:rsidRPr="005703DE" w:rsidRDefault="005703DE" w:rsidP="00BC7808">
            <w:pPr>
              <w:pStyle w:val="TableParagraph"/>
              <w:spacing w:before="3" w:line="193" w:lineRule="exact"/>
              <w:ind w:left="118"/>
              <w:rPr>
                <w:rFonts w:eastAsiaTheme="minorHAnsi"/>
                <w:kern w:val="2"/>
                <w:sz w:val="16"/>
                <w:szCs w:val="16"/>
                <w14:ligatures w14:val="standardContextual"/>
              </w:rPr>
            </w:pPr>
            <w:r w:rsidRPr="00F02661">
              <w:rPr>
                <w:rFonts w:eastAsiaTheme="minorHAnsi"/>
                <w:kern w:val="2"/>
                <w:sz w:val="16"/>
                <w:szCs w:val="16"/>
                <w14:ligatures w14:val="standardContextual"/>
              </w:rPr>
              <w:t>Projected/Pro-forma new location 202</w:t>
            </w:r>
            <w:r>
              <w:rPr>
                <w:rFonts w:eastAsiaTheme="minorHAnsi"/>
                <w:kern w:val="2"/>
                <w:sz w:val="16"/>
                <w:szCs w:val="16"/>
                <w14:ligatures w14:val="standardContextual"/>
              </w:rPr>
              <w:t>9</w:t>
            </w:r>
          </w:p>
        </w:tc>
      </w:tr>
      <w:tr w:rsidR="00701342" w14:paraId="5B5923A4" w14:textId="77777777" w:rsidTr="00933B36">
        <w:trPr>
          <w:trHeight w:val="315"/>
        </w:trPr>
        <w:tc>
          <w:tcPr>
            <w:tcW w:w="2851" w:type="dxa"/>
          </w:tcPr>
          <w:p w14:paraId="5B59239D" w14:textId="77777777" w:rsidR="00701342" w:rsidRPr="005703DE" w:rsidRDefault="00134B9D">
            <w:pPr>
              <w:pStyle w:val="TableParagraph"/>
              <w:spacing w:before="66"/>
              <w:ind w:left="55"/>
              <w:rPr>
                <w:rFonts w:eastAsiaTheme="minorHAnsi"/>
                <w:kern w:val="2"/>
                <w:sz w:val="16"/>
                <w:szCs w:val="16"/>
                <w14:ligatures w14:val="standardContextual"/>
              </w:rPr>
            </w:pPr>
            <w:r w:rsidRPr="005703DE">
              <w:rPr>
                <w:rFonts w:eastAsiaTheme="minorHAnsi"/>
                <w:kern w:val="2"/>
                <w:sz w:val="16"/>
                <w:szCs w:val="16"/>
                <w14:ligatures w14:val="standardContextual"/>
              </w:rPr>
              <w:t>Procedural revenue, net</w:t>
            </w:r>
          </w:p>
        </w:tc>
        <w:tc>
          <w:tcPr>
            <w:tcW w:w="1350" w:type="dxa"/>
            <w:tcBorders>
              <w:top w:val="single" w:sz="4" w:space="0" w:color="auto"/>
            </w:tcBorders>
          </w:tcPr>
          <w:p w14:paraId="5B59239E" w14:textId="77777777" w:rsidR="00701342" w:rsidRPr="005703DE" w:rsidRDefault="00134B9D">
            <w:pPr>
              <w:pStyle w:val="TableParagraph"/>
              <w:spacing w:before="66"/>
              <w:ind w:right="115"/>
              <w:jc w:val="right"/>
              <w:rPr>
                <w:rFonts w:eastAsiaTheme="minorHAnsi"/>
                <w:kern w:val="2"/>
                <w:sz w:val="16"/>
                <w:szCs w:val="16"/>
                <w14:ligatures w14:val="standardContextual"/>
              </w:rPr>
            </w:pPr>
            <w:r w:rsidRPr="005703DE">
              <w:rPr>
                <w:rFonts w:eastAsiaTheme="minorHAnsi"/>
                <w:kern w:val="2"/>
                <w:sz w:val="16"/>
                <w:szCs w:val="16"/>
                <w14:ligatures w14:val="standardContextual"/>
              </w:rPr>
              <w:t>100.00%</w:t>
            </w:r>
          </w:p>
        </w:tc>
        <w:tc>
          <w:tcPr>
            <w:tcW w:w="990" w:type="dxa"/>
            <w:tcBorders>
              <w:top w:val="single" w:sz="4" w:space="0" w:color="auto"/>
            </w:tcBorders>
          </w:tcPr>
          <w:p w14:paraId="5B59239F" w14:textId="77777777" w:rsidR="00701342" w:rsidRPr="005703DE" w:rsidRDefault="00134B9D">
            <w:pPr>
              <w:pStyle w:val="TableParagraph"/>
              <w:spacing w:before="66"/>
              <w:ind w:right="110"/>
              <w:jc w:val="right"/>
              <w:rPr>
                <w:rFonts w:eastAsiaTheme="minorHAnsi"/>
                <w:kern w:val="2"/>
                <w:sz w:val="16"/>
                <w:szCs w:val="16"/>
                <w14:ligatures w14:val="standardContextual"/>
              </w:rPr>
            </w:pPr>
            <w:r w:rsidRPr="005703DE">
              <w:rPr>
                <w:rFonts w:eastAsiaTheme="minorHAnsi"/>
                <w:kern w:val="2"/>
                <w:sz w:val="16"/>
                <w:szCs w:val="16"/>
                <w14:ligatures w14:val="standardContextual"/>
              </w:rPr>
              <w:t>100.00%</w:t>
            </w:r>
          </w:p>
        </w:tc>
        <w:tc>
          <w:tcPr>
            <w:tcW w:w="900" w:type="dxa"/>
            <w:tcBorders>
              <w:top w:val="single" w:sz="4" w:space="0" w:color="auto"/>
            </w:tcBorders>
          </w:tcPr>
          <w:p w14:paraId="5B5923A0" w14:textId="77777777" w:rsidR="00701342" w:rsidRPr="005703DE" w:rsidRDefault="00134B9D">
            <w:pPr>
              <w:pStyle w:val="TableParagraph"/>
              <w:spacing w:before="61"/>
              <w:ind w:right="109"/>
              <w:jc w:val="right"/>
              <w:rPr>
                <w:rFonts w:eastAsiaTheme="minorHAnsi"/>
                <w:kern w:val="2"/>
                <w:sz w:val="16"/>
                <w:szCs w:val="16"/>
                <w14:ligatures w14:val="standardContextual"/>
              </w:rPr>
            </w:pPr>
            <w:r w:rsidRPr="005703DE">
              <w:rPr>
                <w:rFonts w:eastAsiaTheme="minorHAnsi"/>
                <w:kern w:val="2"/>
                <w:sz w:val="16"/>
                <w:szCs w:val="16"/>
                <w14:ligatures w14:val="standardContextual"/>
              </w:rPr>
              <w:t>100.00%</w:t>
            </w:r>
          </w:p>
        </w:tc>
        <w:tc>
          <w:tcPr>
            <w:tcW w:w="900" w:type="dxa"/>
            <w:tcBorders>
              <w:top w:val="single" w:sz="4" w:space="0" w:color="auto"/>
            </w:tcBorders>
          </w:tcPr>
          <w:p w14:paraId="5B5923A1" w14:textId="77777777" w:rsidR="00701342" w:rsidRPr="005703DE" w:rsidRDefault="00134B9D">
            <w:pPr>
              <w:pStyle w:val="TableParagraph"/>
              <w:spacing w:before="66"/>
              <w:ind w:right="109"/>
              <w:jc w:val="right"/>
              <w:rPr>
                <w:rFonts w:eastAsiaTheme="minorHAnsi"/>
                <w:kern w:val="2"/>
                <w:sz w:val="16"/>
                <w:szCs w:val="16"/>
                <w14:ligatures w14:val="standardContextual"/>
              </w:rPr>
            </w:pPr>
            <w:r w:rsidRPr="005703DE">
              <w:rPr>
                <w:rFonts w:eastAsiaTheme="minorHAnsi"/>
                <w:kern w:val="2"/>
                <w:sz w:val="16"/>
                <w:szCs w:val="16"/>
                <w14:ligatures w14:val="standardContextual"/>
              </w:rPr>
              <w:t>100.00%</w:t>
            </w:r>
          </w:p>
        </w:tc>
        <w:tc>
          <w:tcPr>
            <w:tcW w:w="938" w:type="dxa"/>
            <w:tcBorders>
              <w:top w:val="single" w:sz="4" w:space="0" w:color="auto"/>
            </w:tcBorders>
          </w:tcPr>
          <w:p w14:paraId="5B5923A2" w14:textId="77777777" w:rsidR="00701342" w:rsidRPr="005703DE" w:rsidRDefault="00134B9D">
            <w:pPr>
              <w:pStyle w:val="TableParagraph"/>
              <w:spacing w:before="66"/>
              <w:ind w:right="114"/>
              <w:jc w:val="right"/>
              <w:rPr>
                <w:rFonts w:eastAsiaTheme="minorHAnsi"/>
                <w:kern w:val="2"/>
                <w:sz w:val="16"/>
                <w:szCs w:val="16"/>
                <w14:ligatures w14:val="standardContextual"/>
              </w:rPr>
            </w:pPr>
            <w:r w:rsidRPr="005703DE">
              <w:rPr>
                <w:rFonts w:eastAsiaTheme="minorHAnsi"/>
                <w:kern w:val="2"/>
                <w:sz w:val="16"/>
                <w:szCs w:val="16"/>
                <w14:ligatures w14:val="standardContextual"/>
              </w:rPr>
              <w:t>100.00%</w:t>
            </w:r>
          </w:p>
        </w:tc>
        <w:tc>
          <w:tcPr>
            <w:tcW w:w="891" w:type="dxa"/>
            <w:tcBorders>
              <w:top w:val="single" w:sz="4" w:space="0" w:color="auto"/>
            </w:tcBorders>
          </w:tcPr>
          <w:p w14:paraId="5B5923A3" w14:textId="77777777" w:rsidR="00701342" w:rsidRPr="005703DE" w:rsidRDefault="00134B9D">
            <w:pPr>
              <w:pStyle w:val="TableParagraph"/>
              <w:spacing w:before="66"/>
              <w:ind w:right="-15"/>
              <w:jc w:val="right"/>
              <w:rPr>
                <w:rFonts w:eastAsiaTheme="minorHAnsi"/>
                <w:kern w:val="2"/>
                <w:sz w:val="16"/>
                <w:szCs w:val="16"/>
                <w14:ligatures w14:val="standardContextual"/>
              </w:rPr>
            </w:pPr>
            <w:r w:rsidRPr="005703DE">
              <w:rPr>
                <w:rFonts w:eastAsiaTheme="minorHAnsi"/>
                <w:kern w:val="2"/>
                <w:sz w:val="16"/>
                <w:szCs w:val="16"/>
                <w14:ligatures w14:val="standardContextual"/>
              </w:rPr>
              <w:t>100.00%</w:t>
            </w:r>
          </w:p>
        </w:tc>
      </w:tr>
      <w:tr w:rsidR="00701342" w14:paraId="5B5923AC" w14:textId="77777777" w:rsidTr="00933B36">
        <w:trPr>
          <w:trHeight w:val="255"/>
        </w:trPr>
        <w:tc>
          <w:tcPr>
            <w:tcW w:w="2851" w:type="dxa"/>
          </w:tcPr>
          <w:p w14:paraId="5B5923A5" w14:textId="77777777" w:rsidR="00701342" w:rsidRPr="005703DE" w:rsidRDefault="00134B9D">
            <w:pPr>
              <w:pStyle w:val="TableParagraph"/>
              <w:spacing w:before="53" w:line="182" w:lineRule="exact"/>
              <w:ind w:left="54"/>
              <w:rPr>
                <w:rFonts w:eastAsiaTheme="minorHAnsi"/>
                <w:kern w:val="2"/>
                <w:sz w:val="16"/>
                <w:szCs w:val="16"/>
                <w14:ligatures w14:val="standardContextual"/>
              </w:rPr>
            </w:pPr>
            <w:r w:rsidRPr="005703DE">
              <w:rPr>
                <w:rFonts w:eastAsiaTheme="minorHAnsi"/>
                <w:kern w:val="2"/>
                <w:sz w:val="16"/>
                <w:szCs w:val="16"/>
                <w14:ligatures w14:val="standardContextual"/>
              </w:rPr>
              <w:t>Total epenses</w:t>
            </w:r>
          </w:p>
        </w:tc>
        <w:tc>
          <w:tcPr>
            <w:tcW w:w="1350" w:type="dxa"/>
            <w:tcBorders>
              <w:bottom w:val="single" w:sz="4" w:space="0" w:color="auto"/>
            </w:tcBorders>
          </w:tcPr>
          <w:p w14:paraId="5B5923A6" w14:textId="77777777" w:rsidR="00701342" w:rsidRPr="005703DE" w:rsidRDefault="00134B9D">
            <w:pPr>
              <w:pStyle w:val="TableParagraph"/>
              <w:spacing w:before="53" w:line="182" w:lineRule="exact"/>
              <w:ind w:right="110"/>
              <w:jc w:val="right"/>
              <w:rPr>
                <w:rFonts w:eastAsiaTheme="minorHAnsi"/>
                <w:kern w:val="2"/>
                <w:sz w:val="16"/>
                <w:szCs w:val="16"/>
                <w14:ligatures w14:val="standardContextual"/>
              </w:rPr>
            </w:pPr>
            <w:r w:rsidRPr="005703DE">
              <w:rPr>
                <w:rFonts w:eastAsiaTheme="minorHAnsi"/>
                <w:kern w:val="2"/>
                <w:sz w:val="16"/>
                <w:szCs w:val="16"/>
                <w14:ligatures w14:val="standardContextual"/>
              </w:rPr>
              <w:t>55.88%</w:t>
            </w:r>
          </w:p>
        </w:tc>
        <w:tc>
          <w:tcPr>
            <w:tcW w:w="990" w:type="dxa"/>
            <w:tcBorders>
              <w:bottom w:val="single" w:sz="4" w:space="0" w:color="auto"/>
            </w:tcBorders>
          </w:tcPr>
          <w:p w14:paraId="5B5923A7" w14:textId="77777777" w:rsidR="00701342" w:rsidRPr="005703DE" w:rsidRDefault="00134B9D">
            <w:pPr>
              <w:pStyle w:val="TableParagraph"/>
              <w:spacing w:before="53" w:line="182" w:lineRule="exact"/>
              <w:ind w:right="106"/>
              <w:jc w:val="right"/>
              <w:rPr>
                <w:rFonts w:eastAsiaTheme="minorHAnsi"/>
                <w:kern w:val="2"/>
                <w:sz w:val="16"/>
                <w:szCs w:val="16"/>
                <w14:ligatures w14:val="standardContextual"/>
              </w:rPr>
            </w:pPr>
            <w:r w:rsidRPr="005703DE">
              <w:rPr>
                <w:rFonts w:eastAsiaTheme="minorHAnsi"/>
                <w:kern w:val="2"/>
                <w:sz w:val="16"/>
                <w:szCs w:val="16"/>
                <w14:ligatures w14:val="standardContextual"/>
              </w:rPr>
              <w:t>70.24%</w:t>
            </w:r>
          </w:p>
        </w:tc>
        <w:tc>
          <w:tcPr>
            <w:tcW w:w="900" w:type="dxa"/>
            <w:tcBorders>
              <w:bottom w:val="single" w:sz="4" w:space="0" w:color="auto"/>
            </w:tcBorders>
          </w:tcPr>
          <w:p w14:paraId="5B5923A8" w14:textId="77777777" w:rsidR="00701342" w:rsidRPr="005703DE" w:rsidRDefault="00134B9D">
            <w:pPr>
              <w:pStyle w:val="TableParagraph"/>
              <w:spacing w:before="48" w:line="187" w:lineRule="exact"/>
              <w:ind w:right="106"/>
              <w:jc w:val="right"/>
              <w:rPr>
                <w:rFonts w:eastAsiaTheme="minorHAnsi"/>
                <w:kern w:val="2"/>
                <w:sz w:val="16"/>
                <w:szCs w:val="16"/>
                <w14:ligatures w14:val="standardContextual"/>
              </w:rPr>
            </w:pPr>
            <w:r w:rsidRPr="005703DE">
              <w:rPr>
                <w:rFonts w:eastAsiaTheme="minorHAnsi"/>
                <w:kern w:val="2"/>
                <w:sz w:val="16"/>
                <w:szCs w:val="16"/>
                <w14:ligatures w14:val="standardContextual"/>
              </w:rPr>
              <w:t>65.83%</w:t>
            </w:r>
          </w:p>
        </w:tc>
        <w:tc>
          <w:tcPr>
            <w:tcW w:w="900" w:type="dxa"/>
            <w:tcBorders>
              <w:bottom w:val="single" w:sz="4" w:space="0" w:color="auto"/>
            </w:tcBorders>
          </w:tcPr>
          <w:p w14:paraId="5B5923A9" w14:textId="77777777" w:rsidR="00701342" w:rsidRPr="005703DE" w:rsidRDefault="00134B9D">
            <w:pPr>
              <w:pStyle w:val="TableParagraph"/>
              <w:spacing w:before="53" w:line="182" w:lineRule="exact"/>
              <w:ind w:right="111"/>
              <w:jc w:val="right"/>
              <w:rPr>
                <w:rFonts w:eastAsiaTheme="minorHAnsi"/>
                <w:kern w:val="2"/>
                <w:sz w:val="16"/>
                <w:szCs w:val="16"/>
                <w14:ligatures w14:val="standardContextual"/>
              </w:rPr>
            </w:pPr>
            <w:r w:rsidRPr="005703DE">
              <w:rPr>
                <w:rFonts w:eastAsiaTheme="minorHAnsi"/>
                <w:kern w:val="2"/>
                <w:sz w:val="16"/>
                <w:szCs w:val="16"/>
                <w14:ligatures w14:val="standardContextual"/>
              </w:rPr>
              <w:t>61.75%</w:t>
            </w:r>
          </w:p>
        </w:tc>
        <w:tc>
          <w:tcPr>
            <w:tcW w:w="938" w:type="dxa"/>
            <w:tcBorders>
              <w:bottom w:val="single" w:sz="4" w:space="0" w:color="auto"/>
            </w:tcBorders>
          </w:tcPr>
          <w:p w14:paraId="5B5923AA" w14:textId="77777777" w:rsidR="00701342" w:rsidRPr="005703DE" w:rsidRDefault="00134B9D">
            <w:pPr>
              <w:pStyle w:val="TableParagraph"/>
              <w:spacing w:before="53" w:line="182" w:lineRule="exact"/>
              <w:ind w:right="110"/>
              <w:jc w:val="right"/>
              <w:rPr>
                <w:rFonts w:eastAsiaTheme="minorHAnsi"/>
                <w:kern w:val="2"/>
                <w:sz w:val="16"/>
                <w:szCs w:val="16"/>
                <w14:ligatures w14:val="standardContextual"/>
              </w:rPr>
            </w:pPr>
            <w:r w:rsidRPr="005703DE">
              <w:rPr>
                <w:rFonts w:eastAsiaTheme="minorHAnsi"/>
                <w:kern w:val="2"/>
                <w:sz w:val="16"/>
                <w:szCs w:val="16"/>
                <w14:ligatures w14:val="standardContextual"/>
              </w:rPr>
              <w:t>58.07%</w:t>
            </w:r>
          </w:p>
        </w:tc>
        <w:tc>
          <w:tcPr>
            <w:tcW w:w="891" w:type="dxa"/>
            <w:tcBorders>
              <w:bottom w:val="single" w:sz="4" w:space="0" w:color="auto"/>
            </w:tcBorders>
          </w:tcPr>
          <w:p w14:paraId="5B5923AB" w14:textId="77777777" w:rsidR="00701342" w:rsidRPr="005703DE" w:rsidRDefault="00134B9D">
            <w:pPr>
              <w:pStyle w:val="TableParagraph"/>
              <w:spacing w:before="53" w:line="182" w:lineRule="exact"/>
              <w:ind w:right="-15"/>
              <w:jc w:val="right"/>
              <w:rPr>
                <w:rFonts w:eastAsiaTheme="minorHAnsi"/>
                <w:kern w:val="2"/>
                <w:sz w:val="16"/>
                <w:szCs w:val="16"/>
                <w14:ligatures w14:val="standardContextual"/>
              </w:rPr>
            </w:pPr>
            <w:r w:rsidRPr="005703DE">
              <w:rPr>
                <w:rFonts w:eastAsiaTheme="minorHAnsi"/>
                <w:kern w:val="2"/>
                <w:sz w:val="16"/>
                <w:szCs w:val="16"/>
                <w14:ligatures w14:val="standardContextual"/>
              </w:rPr>
              <w:t>54.58%</w:t>
            </w:r>
          </w:p>
        </w:tc>
      </w:tr>
      <w:tr w:rsidR="00701342" w14:paraId="5B5923B4" w14:textId="77777777" w:rsidTr="00933B36">
        <w:trPr>
          <w:trHeight w:val="340"/>
        </w:trPr>
        <w:tc>
          <w:tcPr>
            <w:tcW w:w="2851" w:type="dxa"/>
          </w:tcPr>
          <w:p w14:paraId="5B5923AD" w14:textId="77777777" w:rsidR="00701342" w:rsidRPr="005703DE" w:rsidRDefault="00134B9D">
            <w:pPr>
              <w:pStyle w:val="TableParagraph"/>
              <w:spacing w:before="70"/>
              <w:ind w:left="50"/>
              <w:rPr>
                <w:rFonts w:eastAsiaTheme="minorHAnsi"/>
                <w:kern w:val="2"/>
                <w:sz w:val="16"/>
                <w:szCs w:val="16"/>
                <w14:ligatures w14:val="standardContextual"/>
              </w:rPr>
            </w:pPr>
            <w:r w:rsidRPr="005703DE">
              <w:rPr>
                <w:rFonts w:eastAsiaTheme="minorHAnsi"/>
                <w:kern w:val="2"/>
                <w:sz w:val="16"/>
                <w:szCs w:val="16"/>
                <w14:ligatures w14:val="standardContextual"/>
              </w:rPr>
              <w:t xml:space="preserve">Net </w:t>
            </w:r>
            <w:r w:rsidRPr="005703DE">
              <w:rPr>
                <w:rFonts w:eastAsiaTheme="minorHAnsi"/>
                <w:kern w:val="2"/>
                <w:sz w:val="16"/>
                <w:szCs w:val="16"/>
                <w14:ligatures w14:val="standardContextual"/>
              </w:rPr>
              <w:t>Earnings</w:t>
            </w:r>
          </w:p>
        </w:tc>
        <w:tc>
          <w:tcPr>
            <w:tcW w:w="1350" w:type="dxa"/>
            <w:tcBorders>
              <w:top w:val="single" w:sz="4" w:space="0" w:color="auto"/>
              <w:bottom w:val="double" w:sz="4" w:space="0" w:color="auto"/>
            </w:tcBorders>
          </w:tcPr>
          <w:p w14:paraId="5B5923AE" w14:textId="259F1198" w:rsidR="00701342" w:rsidRPr="005703DE" w:rsidRDefault="00134B9D">
            <w:pPr>
              <w:pStyle w:val="TableParagraph"/>
              <w:spacing w:before="70"/>
              <w:ind w:right="116"/>
              <w:jc w:val="right"/>
              <w:rPr>
                <w:rFonts w:eastAsiaTheme="minorHAnsi"/>
                <w:kern w:val="2"/>
                <w:sz w:val="16"/>
                <w:szCs w:val="16"/>
                <w14:ligatures w14:val="standardContextual"/>
              </w:rPr>
            </w:pPr>
            <w:r w:rsidRPr="005703DE">
              <w:rPr>
                <w:rFonts w:eastAsiaTheme="minorHAnsi"/>
                <w:kern w:val="2"/>
                <w:sz w:val="16"/>
                <w:szCs w:val="16"/>
                <w14:ligatures w14:val="standardContextual"/>
              </w:rPr>
              <w:t>44.12%</w:t>
            </w:r>
          </w:p>
        </w:tc>
        <w:tc>
          <w:tcPr>
            <w:tcW w:w="990" w:type="dxa"/>
            <w:tcBorders>
              <w:top w:val="single" w:sz="4" w:space="0" w:color="auto"/>
              <w:bottom w:val="double" w:sz="4" w:space="0" w:color="auto"/>
            </w:tcBorders>
          </w:tcPr>
          <w:p w14:paraId="5B5923AF" w14:textId="2C53CAFD" w:rsidR="00701342" w:rsidRPr="005703DE" w:rsidRDefault="00134B9D">
            <w:pPr>
              <w:pStyle w:val="TableParagraph"/>
              <w:spacing w:before="70"/>
              <w:ind w:right="108"/>
              <w:jc w:val="right"/>
              <w:rPr>
                <w:rFonts w:eastAsiaTheme="minorHAnsi"/>
                <w:kern w:val="2"/>
                <w:sz w:val="16"/>
                <w:szCs w:val="16"/>
                <w14:ligatures w14:val="standardContextual"/>
              </w:rPr>
            </w:pPr>
            <w:r w:rsidRPr="005703DE">
              <w:rPr>
                <w:rFonts w:eastAsiaTheme="minorHAnsi"/>
                <w:kern w:val="2"/>
                <w:sz w:val="16"/>
                <w:szCs w:val="16"/>
                <w14:ligatures w14:val="standardContextual"/>
              </w:rPr>
              <w:t>29.76%</w:t>
            </w:r>
          </w:p>
        </w:tc>
        <w:tc>
          <w:tcPr>
            <w:tcW w:w="900" w:type="dxa"/>
            <w:tcBorders>
              <w:top w:val="single" w:sz="4" w:space="0" w:color="auto"/>
              <w:bottom w:val="double" w:sz="4" w:space="0" w:color="auto"/>
            </w:tcBorders>
          </w:tcPr>
          <w:p w14:paraId="5B5923B0" w14:textId="6272CB35" w:rsidR="00701342" w:rsidRPr="005703DE" w:rsidRDefault="00134B9D">
            <w:pPr>
              <w:pStyle w:val="TableParagraph"/>
              <w:spacing w:before="66"/>
              <w:ind w:right="111"/>
              <w:jc w:val="right"/>
              <w:rPr>
                <w:rFonts w:eastAsiaTheme="minorHAnsi"/>
                <w:kern w:val="2"/>
                <w:sz w:val="16"/>
                <w:szCs w:val="16"/>
                <w14:ligatures w14:val="standardContextual"/>
              </w:rPr>
            </w:pPr>
            <w:r w:rsidRPr="005703DE">
              <w:rPr>
                <w:rFonts w:eastAsiaTheme="minorHAnsi"/>
                <w:kern w:val="2"/>
                <w:sz w:val="16"/>
                <w:szCs w:val="16"/>
                <w14:ligatures w14:val="standardContextual"/>
              </w:rPr>
              <w:t>34.17%</w:t>
            </w:r>
          </w:p>
        </w:tc>
        <w:tc>
          <w:tcPr>
            <w:tcW w:w="900" w:type="dxa"/>
            <w:tcBorders>
              <w:top w:val="single" w:sz="4" w:space="0" w:color="auto"/>
              <w:bottom w:val="double" w:sz="4" w:space="0" w:color="auto"/>
            </w:tcBorders>
          </w:tcPr>
          <w:p w14:paraId="5B5923B1" w14:textId="68EAAC09" w:rsidR="00701342" w:rsidRPr="005703DE" w:rsidRDefault="00134B9D">
            <w:pPr>
              <w:pStyle w:val="TableParagraph"/>
              <w:spacing w:before="66"/>
              <w:ind w:right="117"/>
              <w:jc w:val="right"/>
              <w:rPr>
                <w:rFonts w:eastAsiaTheme="minorHAnsi"/>
                <w:kern w:val="2"/>
                <w:sz w:val="16"/>
                <w:szCs w:val="16"/>
                <w14:ligatures w14:val="standardContextual"/>
              </w:rPr>
            </w:pPr>
            <w:r w:rsidRPr="005703DE">
              <w:rPr>
                <w:rFonts w:eastAsiaTheme="minorHAnsi"/>
                <w:kern w:val="2"/>
                <w:sz w:val="16"/>
                <w:szCs w:val="16"/>
                <w14:ligatures w14:val="standardContextual"/>
              </w:rPr>
              <w:t>38.25%</w:t>
            </w:r>
          </w:p>
        </w:tc>
        <w:tc>
          <w:tcPr>
            <w:tcW w:w="938" w:type="dxa"/>
            <w:tcBorders>
              <w:top w:val="single" w:sz="4" w:space="0" w:color="auto"/>
              <w:bottom w:val="double" w:sz="4" w:space="0" w:color="auto"/>
            </w:tcBorders>
          </w:tcPr>
          <w:p w14:paraId="5B5923B2" w14:textId="0DD6B1CF" w:rsidR="00701342" w:rsidRPr="005703DE" w:rsidRDefault="00134B9D">
            <w:pPr>
              <w:pStyle w:val="TableParagraph"/>
              <w:spacing w:before="66"/>
              <w:ind w:right="111"/>
              <w:jc w:val="right"/>
              <w:rPr>
                <w:rFonts w:eastAsiaTheme="minorHAnsi"/>
                <w:kern w:val="2"/>
                <w:sz w:val="16"/>
                <w:szCs w:val="16"/>
                <w14:ligatures w14:val="standardContextual"/>
              </w:rPr>
            </w:pPr>
            <w:r w:rsidRPr="005703DE">
              <w:rPr>
                <w:rFonts w:eastAsiaTheme="minorHAnsi"/>
                <w:kern w:val="2"/>
                <w:sz w:val="16"/>
                <w:szCs w:val="16"/>
                <w14:ligatures w14:val="standardContextual"/>
              </w:rPr>
              <w:t>41.93%</w:t>
            </w:r>
          </w:p>
        </w:tc>
        <w:tc>
          <w:tcPr>
            <w:tcW w:w="891" w:type="dxa"/>
            <w:tcBorders>
              <w:top w:val="single" w:sz="4" w:space="0" w:color="auto"/>
              <w:bottom w:val="double" w:sz="4" w:space="0" w:color="auto"/>
            </w:tcBorders>
          </w:tcPr>
          <w:p w14:paraId="5B5923B3" w14:textId="00701231" w:rsidR="00701342" w:rsidRPr="005703DE" w:rsidRDefault="00134B9D">
            <w:pPr>
              <w:pStyle w:val="TableParagraph"/>
              <w:spacing w:before="70"/>
              <w:jc w:val="right"/>
              <w:rPr>
                <w:rFonts w:eastAsiaTheme="minorHAnsi"/>
                <w:kern w:val="2"/>
                <w:sz w:val="16"/>
                <w:szCs w:val="16"/>
                <w14:ligatures w14:val="standardContextual"/>
              </w:rPr>
            </w:pPr>
            <w:r w:rsidRPr="005703DE">
              <w:rPr>
                <w:rFonts w:eastAsiaTheme="minorHAnsi"/>
                <w:kern w:val="2"/>
                <w:sz w:val="16"/>
                <w:szCs w:val="16"/>
                <w14:ligatures w14:val="standardContextual"/>
              </w:rPr>
              <w:t>45.42%</w:t>
            </w:r>
          </w:p>
        </w:tc>
      </w:tr>
    </w:tbl>
    <w:p w14:paraId="5B5923B5" w14:textId="77777777" w:rsidR="00701342" w:rsidRDefault="00701342">
      <w:pPr>
        <w:pStyle w:val="BodyText"/>
      </w:pPr>
    </w:p>
    <w:p w14:paraId="7DC8737E" w14:textId="77777777" w:rsidR="000C4F69" w:rsidRDefault="000C4F69" w:rsidP="000C4F69">
      <w:pPr>
        <w:pStyle w:val="NoSpacing"/>
      </w:pPr>
    </w:p>
    <w:p w14:paraId="0E03AD7A" w14:textId="77777777" w:rsidR="000C4F69" w:rsidRDefault="000C4F69" w:rsidP="008163A8">
      <w:pPr>
        <w:pStyle w:val="NoSpacing"/>
        <w:numPr>
          <w:ilvl w:val="0"/>
          <w:numId w:val="8"/>
        </w:numPr>
        <w:rPr>
          <w:b/>
          <w:bCs/>
          <w:u w:val="single"/>
        </w:rPr>
      </w:pPr>
      <w:r>
        <w:rPr>
          <w:b/>
          <w:bCs/>
          <w:u w:val="single"/>
        </w:rPr>
        <w:t>Cash Flows</w:t>
      </w:r>
    </w:p>
    <w:p w14:paraId="3E22C8CF" w14:textId="77777777" w:rsidR="000C4F69" w:rsidRDefault="000C4F69" w:rsidP="000C4F69">
      <w:pPr>
        <w:pStyle w:val="NoSpacing"/>
        <w:rPr>
          <w:b/>
          <w:bCs/>
          <w:u w:val="single"/>
        </w:rPr>
      </w:pPr>
    </w:p>
    <w:p w14:paraId="577E7C79" w14:textId="77777777" w:rsidR="000C4F69" w:rsidRDefault="000C4F69" w:rsidP="000C4F69">
      <w:pPr>
        <w:pStyle w:val="NoSpacing"/>
      </w:pPr>
      <w:r>
        <w:t>This table provides a summary of cash flow by year as a percentage of net revenue:</w:t>
      </w:r>
    </w:p>
    <w:p w14:paraId="5B5923B9" w14:textId="77777777" w:rsidR="00701342" w:rsidRDefault="00701342">
      <w:pPr>
        <w:pStyle w:val="BodyText"/>
        <w:spacing w:before="25"/>
      </w:pPr>
    </w:p>
    <w:tbl>
      <w:tblPr>
        <w:tblW w:w="0" w:type="auto"/>
        <w:tblInd w:w="109" w:type="dxa"/>
        <w:tblLayout w:type="fixed"/>
        <w:tblCellMar>
          <w:left w:w="0" w:type="dxa"/>
          <w:right w:w="0" w:type="dxa"/>
        </w:tblCellMar>
        <w:tblLook w:val="01E0" w:firstRow="1" w:lastRow="1" w:firstColumn="1" w:lastColumn="1" w:noHBand="0" w:noVBand="0"/>
      </w:tblPr>
      <w:tblGrid>
        <w:gridCol w:w="2414"/>
        <w:gridCol w:w="1643"/>
        <w:gridCol w:w="933"/>
        <w:gridCol w:w="928"/>
        <w:gridCol w:w="934"/>
        <w:gridCol w:w="934"/>
        <w:gridCol w:w="819"/>
      </w:tblGrid>
      <w:tr w:rsidR="001D182F" w14:paraId="5B5923C7" w14:textId="77777777" w:rsidTr="00D25F6E">
        <w:trPr>
          <w:trHeight w:val="888"/>
        </w:trPr>
        <w:tc>
          <w:tcPr>
            <w:tcW w:w="2414" w:type="dxa"/>
          </w:tcPr>
          <w:p w14:paraId="5B5923BA" w14:textId="77777777" w:rsidR="001D182F" w:rsidRDefault="001D182F" w:rsidP="001D182F">
            <w:pPr>
              <w:pStyle w:val="TableParagraph"/>
              <w:rPr>
                <w:rFonts w:ascii="Times New Roman"/>
                <w:sz w:val="18"/>
              </w:rPr>
            </w:pPr>
          </w:p>
        </w:tc>
        <w:tc>
          <w:tcPr>
            <w:tcW w:w="1643" w:type="dxa"/>
            <w:tcBorders>
              <w:bottom w:val="single" w:sz="4" w:space="0" w:color="auto"/>
            </w:tcBorders>
            <w:vAlign w:val="bottom"/>
          </w:tcPr>
          <w:p w14:paraId="5B5923BC" w14:textId="60DC1959" w:rsidR="001D182F" w:rsidRDefault="001D182F" w:rsidP="001D182F">
            <w:pPr>
              <w:pStyle w:val="TableParagraph"/>
              <w:spacing w:before="19" w:line="191" w:lineRule="exact"/>
              <w:ind w:left="546"/>
              <w:jc w:val="both"/>
              <w:rPr>
                <w:sz w:val="17"/>
              </w:rPr>
            </w:pPr>
            <w:r w:rsidRPr="005703DE">
              <w:rPr>
                <w:rFonts w:eastAsiaTheme="minorHAnsi"/>
                <w:kern w:val="2"/>
                <w:sz w:val="16"/>
                <w:szCs w:val="16"/>
                <w14:ligatures w14:val="standardContextual"/>
              </w:rPr>
              <w:t>AS</w:t>
            </w:r>
            <w:r>
              <w:rPr>
                <w:rFonts w:eastAsiaTheme="minorHAnsi"/>
                <w:kern w:val="2"/>
                <w:sz w:val="16"/>
                <w:szCs w:val="16"/>
                <w14:ligatures w14:val="standardContextual"/>
              </w:rPr>
              <w:t xml:space="preserve"> reported by WELLC for the 12 months ended March 31, 2024</w:t>
            </w:r>
          </w:p>
        </w:tc>
        <w:tc>
          <w:tcPr>
            <w:tcW w:w="933" w:type="dxa"/>
            <w:tcBorders>
              <w:bottom w:val="single" w:sz="4" w:space="0" w:color="auto"/>
            </w:tcBorders>
            <w:vAlign w:val="bottom"/>
          </w:tcPr>
          <w:p w14:paraId="5B5923BE" w14:textId="0CC14F35" w:rsidR="001D182F" w:rsidRDefault="001D182F" w:rsidP="001D182F">
            <w:pPr>
              <w:pStyle w:val="TableParagraph"/>
              <w:spacing w:before="3"/>
              <w:ind w:left="115"/>
              <w:rPr>
                <w:sz w:val="17"/>
              </w:rPr>
            </w:pPr>
            <w:r>
              <w:rPr>
                <w:rFonts w:eastAsiaTheme="minorHAnsi"/>
                <w:kern w:val="2"/>
                <w:sz w:val="16"/>
                <w:szCs w:val="16"/>
                <w14:ligatures w14:val="standardContextual"/>
              </w:rPr>
              <w:t>Projected/ Pro-forma new location 2025</w:t>
            </w:r>
          </w:p>
        </w:tc>
        <w:tc>
          <w:tcPr>
            <w:tcW w:w="928" w:type="dxa"/>
            <w:tcBorders>
              <w:bottom w:val="single" w:sz="4" w:space="0" w:color="auto"/>
            </w:tcBorders>
            <w:vAlign w:val="bottom"/>
          </w:tcPr>
          <w:p w14:paraId="5B5923C0" w14:textId="2D84F955" w:rsidR="001D182F" w:rsidRDefault="001D182F" w:rsidP="001D182F">
            <w:pPr>
              <w:pStyle w:val="TableParagraph"/>
              <w:ind w:left="110"/>
              <w:rPr>
                <w:sz w:val="17"/>
              </w:rPr>
            </w:pPr>
            <w:r w:rsidRPr="00F02661">
              <w:rPr>
                <w:rFonts w:eastAsiaTheme="minorHAnsi"/>
                <w:kern w:val="2"/>
                <w:sz w:val="16"/>
                <w:szCs w:val="16"/>
                <w14:ligatures w14:val="standardContextual"/>
              </w:rPr>
              <w:t>Projected/Pro-forma new location 202</w:t>
            </w:r>
            <w:r>
              <w:rPr>
                <w:rFonts w:eastAsiaTheme="minorHAnsi"/>
                <w:kern w:val="2"/>
                <w:sz w:val="16"/>
                <w:szCs w:val="16"/>
                <w14:ligatures w14:val="standardContextual"/>
              </w:rPr>
              <w:t>6</w:t>
            </w:r>
          </w:p>
        </w:tc>
        <w:tc>
          <w:tcPr>
            <w:tcW w:w="934" w:type="dxa"/>
            <w:tcBorders>
              <w:bottom w:val="single" w:sz="4" w:space="0" w:color="auto"/>
            </w:tcBorders>
            <w:vAlign w:val="bottom"/>
          </w:tcPr>
          <w:p w14:paraId="5B5923C2" w14:textId="6D877F73" w:rsidR="001D182F" w:rsidRDefault="001D182F" w:rsidP="001D182F">
            <w:pPr>
              <w:pStyle w:val="TableParagraph"/>
              <w:spacing w:line="193" w:lineRule="exact"/>
              <w:ind w:left="114"/>
              <w:rPr>
                <w:sz w:val="17"/>
              </w:rPr>
            </w:pPr>
            <w:r w:rsidRPr="00F02661">
              <w:rPr>
                <w:rFonts w:eastAsiaTheme="minorHAnsi"/>
                <w:kern w:val="2"/>
                <w:sz w:val="16"/>
                <w:szCs w:val="16"/>
                <w14:ligatures w14:val="standardContextual"/>
              </w:rPr>
              <w:t>Projected/Pro-forma new location 202</w:t>
            </w:r>
            <w:r>
              <w:rPr>
                <w:rFonts w:eastAsiaTheme="minorHAnsi"/>
                <w:kern w:val="2"/>
                <w:sz w:val="16"/>
                <w:szCs w:val="16"/>
                <w14:ligatures w14:val="standardContextual"/>
              </w:rPr>
              <w:t>7</w:t>
            </w:r>
          </w:p>
        </w:tc>
        <w:tc>
          <w:tcPr>
            <w:tcW w:w="934" w:type="dxa"/>
            <w:tcBorders>
              <w:bottom w:val="single" w:sz="4" w:space="0" w:color="auto"/>
            </w:tcBorders>
            <w:vAlign w:val="bottom"/>
          </w:tcPr>
          <w:p w14:paraId="5B5923C4" w14:textId="366F8A79" w:rsidR="001D182F" w:rsidRDefault="001D182F" w:rsidP="001D182F">
            <w:pPr>
              <w:pStyle w:val="TableParagraph"/>
              <w:spacing w:line="188" w:lineRule="exact"/>
              <w:ind w:left="113"/>
              <w:rPr>
                <w:sz w:val="17"/>
              </w:rPr>
            </w:pPr>
            <w:r w:rsidRPr="00F02661">
              <w:rPr>
                <w:rFonts w:eastAsiaTheme="minorHAnsi"/>
                <w:kern w:val="2"/>
                <w:sz w:val="16"/>
                <w:szCs w:val="16"/>
                <w14:ligatures w14:val="standardContextual"/>
              </w:rPr>
              <w:t>Projected/Pro-forma new location 202</w:t>
            </w:r>
            <w:r>
              <w:rPr>
                <w:rFonts w:eastAsiaTheme="minorHAnsi"/>
                <w:kern w:val="2"/>
                <w:sz w:val="16"/>
                <w:szCs w:val="16"/>
                <w14:ligatures w14:val="standardContextual"/>
              </w:rPr>
              <w:t>8</w:t>
            </w:r>
          </w:p>
        </w:tc>
        <w:tc>
          <w:tcPr>
            <w:tcW w:w="819" w:type="dxa"/>
            <w:tcBorders>
              <w:bottom w:val="single" w:sz="4" w:space="0" w:color="auto"/>
            </w:tcBorders>
            <w:vAlign w:val="bottom"/>
          </w:tcPr>
          <w:p w14:paraId="5B5923C6" w14:textId="1915FB74" w:rsidR="001D182F" w:rsidRDefault="001D182F" w:rsidP="001D182F">
            <w:pPr>
              <w:pStyle w:val="TableParagraph"/>
              <w:spacing w:line="188" w:lineRule="exact"/>
              <w:ind w:left="112"/>
              <w:rPr>
                <w:sz w:val="17"/>
              </w:rPr>
            </w:pPr>
            <w:r w:rsidRPr="00F02661">
              <w:rPr>
                <w:rFonts w:eastAsiaTheme="minorHAnsi"/>
                <w:kern w:val="2"/>
                <w:sz w:val="16"/>
                <w:szCs w:val="16"/>
                <w14:ligatures w14:val="standardContextual"/>
              </w:rPr>
              <w:t>Projected/Pro-forma new location 202</w:t>
            </w:r>
            <w:r>
              <w:rPr>
                <w:rFonts w:eastAsiaTheme="minorHAnsi"/>
                <w:kern w:val="2"/>
                <w:sz w:val="16"/>
                <w:szCs w:val="16"/>
                <w14:ligatures w14:val="standardContextual"/>
              </w:rPr>
              <w:t>9</w:t>
            </w:r>
          </w:p>
        </w:tc>
      </w:tr>
      <w:tr w:rsidR="00701342" w14:paraId="5B5923D7" w14:textId="77777777" w:rsidTr="00D25F6E">
        <w:trPr>
          <w:trHeight w:val="219"/>
        </w:trPr>
        <w:tc>
          <w:tcPr>
            <w:tcW w:w="2414" w:type="dxa"/>
          </w:tcPr>
          <w:p w14:paraId="5B5923D0" w14:textId="2A784278" w:rsidR="00701342" w:rsidRPr="0066432E" w:rsidRDefault="0066432E">
            <w:pPr>
              <w:pStyle w:val="TableParagraph"/>
              <w:spacing w:line="199" w:lineRule="exact"/>
              <w:ind w:left="50"/>
              <w:rPr>
                <w:rFonts w:eastAsiaTheme="minorHAnsi"/>
                <w:kern w:val="2"/>
                <w:sz w:val="16"/>
                <w:szCs w:val="16"/>
                <w14:ligatures w14:val="standardContextual"/>
              </w:rPr>
            </w:pPr>
            <w:r w:rsidRPr="0066432E">
              <w:rPr>
                <w:rFonts w:eastAsiaTheme="minorHAnsi"/>
                <w:kern w:val="2"/>
                <w:sz w:val="16"/>
                <w:szCs w:val="16"/>
                <w14:ligatures w14:val="standardContextual"/>
              </w:rPr>
              <w:t>NET EARNINGS</w:t>
            </w:r>
          </w:p>
        </w:tc>
        <w:tc>
          <w:tcPr>
            <w:tcW w:w="1643" w:type="dxa"/>
            <w:tcBorders>
              <w:top w:val="single" w:sz="4" w:space="0" w:color="auto"/>
            </w:tcBorders>
            <w:vAlign w:val="bottom"/>
          </w:tcPr>
          <w:p w14:paraId="5B5923D1" w14:textId="77777777" w:rsidR="00701342" w:rsidRPr="0066432E" w:rsidRDefault="00134B9D" w:rsidP="00D25F6E">
            <w:pPr>
              <w:pStyle w:val="TableParagraph"/>
              <w:spacing w:before="8" w:line="191" w:lineRule="exact"/>
              <w:ind w:right="107"/>
              <w:jc w:val="right"/>
              <w:rPr>
                <w:rFonts w:eastAsiaTheme="minorHAnsi"/>
                <w:kern w:val="2"/>
                <w:sz w:val="16"/>
                <w:szCs w:val="16"/>
                <w14:ligatures w14:val="standardContextual"/>
              </w:rPr>
            </w:pPr>
            <w:r w:rsidRPr="0066432E">
              <w:rPr>
                <w:rFonts w:eastAsiaTheme="minorHAnsi"/>
                <w:kern w:val="2"/>
                <w:sz w:val="16"/>
                <w:szCs w:val="16"/>
                <w14:ligatures w14:val="standardContextual"/>
              </w:rPr>
              <w:t>0.00%</w:t>
            </w:r>
          </w:p>
        </w:tc>
        <w:tc>
          <w:tcPr>
            <w:tcW w:w="933" w:type="dxa"/>
            <w:tcBorders>
              <w:top w:val="single" w:sz="4" w:space="0" w:color="auto"/>
            </w:tcBorders>
            <w:vAlign w:val="bottom"/>
          </w:tcPr>
          <w:p w14:paraId="5B5923D2" w14:textId="77777777" w:rsidR="00701342" w:rsidRPr="0066432E" w:rsidRDefault="00134B9D" w:rsidP="00D25F6E">
            <w:pPr>
              <w:pStyle w:val="TableParagraph"/>
              <w:spacing w:before="3"/>
              <w:ind w:right="117"/>
              <w:jc w:val="right"/>
              <w:rPr>
                <w:rFonts w:eastAsiaTheme="minorHAnsi"/>
                <w:kern w:val="2"/>
                <w:sz w:val="16"/>
                <w:szCs w:val="16"/>
                <w14:ligatures w14:val="standardContextual"/>
              </w:rPr>
            </w:pPr>
            <w:r w:rsidRPr="0066432E">
              <w:rPr>
                <w:rFonts w:eastAsiaTheme="minorHAnsi"/>
                <w:kern w:val="2"/>
                <w:sz w:val="16"/>
                <w:szCs w:val="16"/>
                <w14:ligatures w14:val="standardContextual"/>
              </w:rPr>
              <w:t>28.37%</w:t>
            </w:r>
          </w:p>
        </w:tc>
        <w:tc>
          <w:tcPr>
            <w:tcW w:w="928" w:type="dxa"/>
            <w:tcBorders>
              <w:top w:val="single" w:sz="4" w:space="0" w:color="auto"/>
            </w:tcBorders>
            <w:vAlign w:val="bottom"/>
          </w:tcPr>
          <w:p w14:paraId="5B5923D3" w14:textId="77777777" w:rsidR="00701342" w:rsidRPr="0066432E" w:rsidRDefault="00134B9D" w:rsidP="00D25F6E">
            <w:pPr>
              <w:pStyle w:val="TableParagraph"/>
              <w:spacing w:before="3"/>
              <w:ind w:right="114"/>
              <w:jc w:val="right"/>
              <w:rPr>
                <w:rFonts w:eastAsiaTheme="minorHAnsi"/>
                <w:kern w:val="2"/>
                <w:sz w:val="16"/>
                <w:szCs w:val="16"/>
                <w14:ligatures w14:val="standardContextual"/>
              </w:rPr>
            </w:pPr>
            <w:r w:rsidRPr="0066432E">
              <w:rPr>
                <w:rFonts w:eastAsiaTheme="minorHAnsi"/>
                <w:kern w:val="2"/>
                <w:sz w:val="16"/>
                <w:szCs w:val="16"/>
                <w14:ligatures w14:val="standardContextual"/>
              </w:rPr>
              <w:t>30.66%</w:t>
            </w:r>
          </w:p>
        </w:tc>
        <w:tc>
          <w:tcPr>
            <w:tcW w:w="934" w:type="dxa"/>
            <w:tcBorders>
              <w:top w:val="single" w:sz="4" w:space="0" w:color="auto"/>
            </w:tcBorders>
            <w:vAlign w:val="bottom"/>
          </w:tcPr>
          <w:p w14:paraId="5B5923D4" w14:textId="77777777" w:rsidR="00701342" w:rsidRPr="0066432E" w:rsidRDefault="00134B9D" w:rsidP="00D25F6E">
            <w:pPr>
              <w:pStyle w:val="TableParagraph"/>
              <w:spacing w:line="194" w:lineRule="exact"/>
              <w:ind w:right="114"/>
              <w:jc w:val="right"/>
              <w:rPr>
                <w:rFonts w:eastAsiaTheme="minorHAnsi"/>
                <w:kern w:val="2"/>
                <w:sz w:val="16"/>
                <w:szCs w:val="16"/>
                <w14:ligatures w14:val="standardContextual"/>
              </w:rPr>
            </w:pPr>
            <w:r w:rsidRPr="0066432E">
              <w:rPr>
                <w:rFonts w:eastAsiaTheme="minorHAnsi"/>
                <w:kern w:val="2"/>
                <w:sz w:val="16"/>
                <w:szCs w:val="16"/>
                <w14:ligatures w14:val="standardContextual"/>
              </w:rPr>
              <w:t>37.22%</w:t>
            </w:r>
          </w:p>
        </w:tc>
        <w:tc>
          <w:tcPr>
            <w:tcW w:w="934" w:type="dxa"/>
            <w:tcBorders>
              <w:top w:val="single" w:sz="4" w:space="0" w:color="auto"/>
            </w:tcBorders>
            <w:vAlign w:val="bottom"/>
          </w:tcPr>
          <w:p w14:paraId="5B5923D5" w14:textId="77777777" w:rsidR="00701342" w:rsidRPr="0066432E" w:rsidRDefault="00134B9D" w:rsidP="00D25F6E">
            <w:pPr>
              <w:pStyle w:val="TableParagraph"/>
              <w:spacing w:line="194" w:lineRule="exact"/>
              <w:ind w:right="115"/>
              <w:jc w:val="right"/>
              <w:rPr>
                <w:rFonts w:eastAsiaTheme="minorHAnsi"/>
                <w:kern w:val="2"/>
                <w:sz w:val="16"/>
                <w:szCs w:val="16"/>
                <w14:ligatures w14:val="standardContextual"/>
              </w:rPr>
            </w:pPr>
            <w:r w:rsidRPr="0066432E">
              <w:rPr>
                <w:rFonts w:eastAsiaTheme="minorHAnsi"/>
                <w:kern w:val="2"/>
                <w:sz w:val="16"/>
                <w:szCs w:val="16"/>
                <w14:ligatures w14:val="standardContextual"/>
              </w:rPr>
              <w:t>42.16%</w:t>
            </w:r>
          </w:p>
        </w:tc>
        <w:tc>
          <w:tcPr>
            <w:tcW w:w="819" w:type="dxa"/>
            <w:tcBorders>
              <w:top w:val="single" w:sz="4" w:space="0" w:color="auto"/>
            </w:tcBorders>
            <w:vAlign w:val="bottom"/>
          </w:tcPr>
          <w:p w14:paraId="5B5923D6" w14:textId="77777777" w:rsidR="00701342" w:rsidRPr="0066432E" w:rsidRDefault="00134B9D" w:rsidP="00D25F6E">
            <w:pPr>
              <w:pStyle w:val="TableParagraph"/>
              <w:spacing w:line="194" w:lineRule="exact"/>
              <w:ind w:right="3"/>
              <w:jc w:val="right"/>
              <w:rPr>
                <w:rFonts w:eastAsiaTheme="minorHAnsi"/>
                <w:kern w:val="2"/>
                <w:sz w:val="16"/>
                <w:szCs w:val="16"/>
                <w14:ligatures w14:val="standardContextual"/>
              </w:rPr>
            </w:pPr>
            <w:r w:rsidRPr="0066432E">
              <w:rPr>
                <w:rFonts w:eastAsiaTheme="minorHAnsi"/>
                <w:kern w:val="2"/>
                <w:sz w:val="16"/>
                <w:szCs w:val="16"/>
                <w14:ligatures w14:val="standardContextual"/>
              </w:rPr>
              <w:t>45.64%</w:t>
            </w:r>
          </w:p>
        </w:tc>
      </w:tr>
      <w:tr w:rsidR="00777740" w14:paraId="5B5923DF" w14:textId="77777777" w:rsidTr="00D25F6E">
        <w:trPr>
          <w:trHeight w:val="218"/>
        </w:trPr>
        <w:tc>
          <w:tcPr>
            <w:tcW w:w="2414" w:type="dxa"/>
          </w:tcPr>
          <w:p w14:paraId="6C64757D" w14:textId="77777777" w:rsidR="00777740" w:rsidRDefault="00777740" w:rsidP="00777740">
            <w:pPr>
              <w:pStyle w:val="TableParagraph"/>
              <w:spacing w:before="10" w:line="189" w:lineRule="exact"/>
              <w:ind w:left="50"/>
              <w:rPr>
                <w:rFonts w:eastAsiaTheme="minorHAnsi"/>
                <w:kern w:val="2"/>
                <w:sz w:val="16"/>
                <w:szCs w:val="16"/>
                <w14:ligatures w14:val="standardContextual"/>
              </w:rPr>
            </w:pPr>
            <w:r w:rsidRPr="0066432E">
              <w:rPr>
                <w:rFonts w:eastAsiaTheme="minorHAnsi"/>
                <w:kern w:val="2"/>
                <w:sz w:val="16"/>
                <w:szCs w:val="16"/>
                <w14:ligatures w14:val="standardContextual"/>
              </w:rPr>
              <w:t xml:space="preserve">Depreciation </w:t>
            </w:r>
            <w:r>
              <w:rPr>
                <w:rFonts w:eastAsiaTheme="minorHAnsi"/>
                <w:kern w:val="2"/>
                <w:sz w:val="16"/>
                <w:szCs w:val="16"/>
                <w14:ligatures w14:val="standardContextual"/>
              </w:rPr>
              <w:t xml:space="preserve">and </w:t>
            </w:r>
          </w:p>
          <w:p w14:paraId="5B5923D8" w14:textId="3780D4E4" w:rsidR="00777740" w:rsidRPr="0066432E" w:rsidRDefault="00777740" w:rsidP="00777740">
            <w:pPr>
              <w:pStyle w:val="TableParagraph"/>
              <w:spacing w:before="10" w:line="189" w:lineRule="exact"/>
              <w:ind w:left="50"/>
              <w:rPr>
                <w:rFonts w:eastAsiaTheme="minorHAnsi"/>
                <w:kern w:val="2"/>
                <w:sz w:val="16"/>
                <w:szCs w:val="16"/>
                <w14:ligatures w14:val="standardContextual"/>
              </w:rPr>
            </w:pPr>
            <w:r>
              <w:rPr>
                <w:rFonts w:eastAsiaTheme="minorHAnsi"/>
                <w:kern w:val="2"/>
                <w:sz w:val="16"/>
                <w:szCs w:val="16"/>
                <w14:ligatures w14:val="standardContextual"/>
              </w:rPr>
              <w:t>amortization</w:t>
            </w:r>
          </w:p>
        </w:tc>
        <w:tc>
          <w:tcPr>
            <w:tcW w:w="1643" w:type="dxa"/>
            <w:vAlign w:val="bottom"/>
          </w:tcPr>
          <w:p w14:paraId="5B5923D9" w14:textId="0B49EBCD" w:rsidR="00777740" w:rsidRPr="0066432E" w:rsidRDefault="00777740" w:rsidP="00D25F6E">
            <w:pPr>
              <w:pStyle w:val="TableParagraph"/>
              <w:jc w:val="right"/>
              <w:rPr>
                <w:rFonts w:eastAsiaTheme="minorHAnsi"/>
                <w:kern w:val="2"/>
                <w:sz w:val="16"/>
                <w:szCs w:val="16"/>
                <w14:ligatures w14:val="standardContextual"/>
              </w:rPr>
            </w:pPr>
            <w:r w:rsidRPr="0066432E">
              <w:rPr>
                <w:rFonts w:eastAsiaTheme="minorHAnsi"/>
                <w:kern w:val="2"/>
                <w:sz w:val="16"/>
                <w:szCs w:val="16"/>
                <w14:ligatures w14:val="standardContextual"/>
              </w:rPr>
              <w:t>0.00%</w:t>
            </w:r>
          </w:p>
        </w:tc>
        <w:tc>
          <w:tcPr>
            <w:tcW w:w="933" w:type="dxa"/>
            <w:vAlign w:val="bottom"/>
          </w:tcPr>
          <w:p w14:paraId="5B5923DA" w14:textId="2DE7CE53" w:rsidR="00777740" w:rsidRPr="0066432E" w:rsidRDefault="00777740" w:rsidP="00D25F6E">
            <w:pPr>
              <w:pStyle w:val="TableParagraph"/>
              <w:jc w:val="right"/>
              <w:rPr>
                <w:rFonts w:eastAsiaTheme="minorHAnsi"/>
                <w:kern w:val="2"/>
                <w:sz w:val="16"/>
                <w:szCs w:val="16"/>
                <w14:ligatures w14:val="standardContextual"/>
              </w:rPr>
            </w:pPr>
            <w:r w:rsidRPr="0066432E">
              <w:rPr>
                <w:rFonts w:eastAsiaTheme="minorHAnsi"/>
                <w:kern w:val="2"/>
                <w:sz w:val="16"/>
                <w:szCs w:val="16"/>
                <w14:ligatures w14:val="standardContextual"/>
              </w:rPr>
              <w:t>5.25%</w:t>
            </w:r>
          </w:p>
        </w:tc>
        <w:tc>
          <w:tcPr>
            <w:tcW w:w="928" w:type="dxa"/>
            <w:vAlign w:val="bottom"/>
          </w:tcPr>
          <w:p w14:paraId="5B5923DB" w14:textId="30E303A2" w:rsidR="00777740" w:rsidRPr="0066432E" w:rsidRDefault="00777740" w:rsidP="00D25F6E">
            <w:pPr>
              <w:pStyle w:val="TableParagraph"/>
              <w:jc w:val="right"/>
              <w:rPr>
                <w:rFonts w:eastAsiaTheme="minorHAnsi"/>
                <w:kern w:val="2"/>
                <w:sz w:val="16"/>
                <w:szCs w:val="16"/>
                <w14:ligatures w14:val="standardContextual"/>
              </w:rPr>
            </w:pPr>
            <w:r w:rsidRPr="0066432E">
              <w:rPr>
                <w:rFonts w:eastAsiaTheme="minorHAnsi"/>
                <w:kern w:val="2"/>
                <w:sz w:val="16"/>
                <w:szCs w:val="16"/>
                <w14:ligatures w14:val="standardContextual"/>
              </w:rPr>
              <w:t>7.04%</w:t>
            </w:r>
          </w:p>
        </w:tc>
        <w:tc>
          <w:tcPr>
            <w:tcW w:w="934" w:type="dxa"/>
            <w:vAlign w:val="bottom"/>
          </w:tcPr>
          <w:p w14:paraId="5B5923DC" w14:textId="100F25E6" w:rsidR="00777740" w:rsidRPr="0066432E" w:rsidRDefault="00777740" w:rsidP="00D25F6E">
            <w:pPr>
              <w:pStyle w:val="TableParagraph"/>
              <w:jc w:val="right"/>
              <w:rPr>
                <w:rFonts w:eastAsiaTheme="minorHAnsi"/>
                <w:kern w:val="2"/>
                <w:sz w:val="16"/>
                <w:szCs w:val="16"/>
                <w14:ligatures w14:val="standardContextual"/>
              </w:rPr>
            </w:pPr>
            <w:r w:rsidRPr="0066432E">
              <w:rPr>
                <w:rFonts w:eastAsiaTheme="minorHAnsi"/>
                <w:kern w:val="2"/>
                <w:sz w:val="16"/>
                <w:szCs w:val="16"/>
                <w14:ligatures w14:val="standardContextual"/>
              </w:rPr>
              <w:t>4.24%</w:t>
            </w:r>
          </w:p>
        </w:tc>
        <w:tc>
          <w:tcPr>
            <w:tcW w:w="934" w:type="dxa"/>
            <w:vAlign w:val="bottom"/>
          </w:tcPr>
          <w:p w14:paraId="5B5923DD" w14:textId="302DA1B0" w:rsidR="00777740" w:rsidRPr="0066432E" w:rsidRDefault="00777740" w:rsidP="00D25F6E">
            <w:pPr>
              <w:pStyle w:val="TableParagraph"/>
              <w:jc w:val="right"/>
              <w:rPr>
                <w:rFonts w:eastAsiaTheme="minorHAnsi"/>
                <w:kern w:val="2"/>
                <w:sz w:val="16"/>
                <w:szCs w:val="16"/>
                <w14:ligatures w14:val="standardContextual"/>
              </w:rPr>
            </w:pPr>
            <w:r w:rsidRPr="0066432E">
              <w:rPr>
                <w:rFonts w:eastAsiaTheme="minorHAnsi"/>
                <w:kern w:val="2"/>
                <w:sz w:val="16"/>
                <w:szCs w:val="16"/>
                <w14:ligatures w14:val="standardContextual"/>
              </w:rPr>
              <w:t>2.68%</w:t>
            </w:r>
          </w:p>
        </w:tc>
        <w:tc>
          <w:tcPr>
            <w:tcW w:w="819" w:type="dxa"/>
            <w:vAlign w:val="bottom"/>
          </w:tcPr>
          <w:p w14:paraId="5B5923DE" w14:textId="61A0B6D0" w:rsidR="00777740" w:rsidRPr="0066432E" w:rsidRDefault="00777740" w:rsidP="00D25F6E">
            <w:pPr>
              <w:pStyle w:val="TableParagraph"/>
              <w:jc w:val="right"/>
              <w:rPr>
                <w:rFonts w:eastAsiaTheme="minorHAnsi"/>
                <w:kern w:val="2"/>
                <w:sz w:val="16"/>
                <w:szCs w:val="16"/>
                <w14:ligatures w14:val="standardContextual"/>
              </w:rPr>
            </w:pPr>
            <w:r w:rsidRPr="0066432E">
              <w:rPr>
                <w:rFonts w:eastAsiaTheme="minorHAnsi"/>
                <w:kern w:val="2"/>
                <w:sz w:val="16"/>
                <w:szCs w:val="16"/>
                <w14:ligatures w14:val="standardContextual"/>
              </w:rPr>
              <w:t>2.44%</w:t>
            </w:r>
          </w:p>
        </w:tc>
      </w:tr>
      <w:tr w:rsidR="00777740" w14:paraId="5B5923EF" w14:textId="77777777" w:rsidTr="00D25F6E">
        <w:trPr>
          <w:trHeight w:val="214"/>
        </w:trPr>
        <w:tc>
          <w:tcPr>
            <w:tcW w:w="2414" w:type="dxa"/>
          </w:tcPr>
          <w:p w14:paraId="5B5923E8" w14:textId="77777777" w:rsidR="00777740" w:rsidRPr="0066432E" w:rsidRDefault="00777740" w:rsidP="00777740">
            <w:pPr>
              <w:pStyle w:val="TableParagraph"/>
              <w:spacing w:before="22" w:line="173" w:lineRule="exact"/>
              <w:ind w:left="50"/>
              <w:rPr>
                <w:rFonts w:eastAsiaTheme="minorHAnsi"/>
                <w:kern w:val="2"/>
                <w:sz w:val="16"/>
                <w:szCs w:val="16"/>
                <w14:ligatures w14:val="standardContextual"/>
              </w:rPr>
            </w:pPr>
            <w:r w:rsidRPr="0066432E">
              <w:rPr>
                <w:rFonts w:eastAsiaTheme="minorHAnsi"/>
                <w:kern w:val="2"/>
                <w:sz w:val="16"/>
                <w:szCs w:val="16"/>
                <w14:ligatures w14:val="standardContextual"/>
              </w:rPr>
              <w:t>Debt service</w:t>
            </w:r>
          </w:p>
        </w:tc>
        <w:tc>
          <w:tcPr>
            <w:tcW w:w="1643" w:type="dxa"/>
            <w:tcBorders>
              <w:bottom w:val="single" w:sz="4" w:space="0" w:color="auto"/>
            </w:tcBorders>
            <w:vAlign w:val="bottom"/>
          </w:tcPr>
          <w:p w14:paraId="5B5923E9" w14:textId="77777777" w:rsidR="00777740" w:rsidRPr="0066432E" w:rsidRDefault="00777740" w:rsidP="00D25F6E">
            <w:pPr>
              <w:pStyle w:val="TableParagraph"/>
              <w:jc w:val="right"/>
              <w:rPr>
                <w:rFonts w:eastAsiaTheme="minorHAnsi"/>
                <w:kern w:val="2"/>
                <w:sz w:val="16"/>
                <w:szCs w:val="16"/>
                <w14:ligatures w14:val="standardContextual"/>
              </w:rPr>
            </w:pPr>
          </w:p>
        </w:tc>
        <w:tc>
          <w:tcPr>
            <w:tcW w:w="933" w:type="dxa"/>
            <w:tcBorders>
              <w:bottom w:val="single" w:sz="4" w:space="0" w:color="auto"/>
            </w:tcBorders>
            <w:vAlign w:val="bottom"/>
          </w:tcPr>
          <w:p w14:paraId="5B5923EA" w14:textId="77777777" w:rsidR="00777740" w:rsidRPr="0066432E" w:rsidRDefault="00777740" w:rsidP="00D25F6E">
            <w:pPr>
              <w:pStyle w:val="TableParagraph"/>
              <w:spacing w:before="12" w:line="182" w:lineRule="exact"/>
              <w:ind w:right="113"/>
              <w:jc w:val="right"/>
              <w:rPr>
                <w:rFonts w:eastAsiaTheme="minorHAnsi"/>
                <w:kern w:val="2"/>
                <w:sz w:val="16"/>
                <w:szCs w:val="16"/>
                <w14:ligatures w14:val="standardContextual"/>
              </w:rPr>
            </w:pPr>
            <w:r w:rsidRPr="0066432E">
              <w:rPr>
                <w:rFonts w:eastAsiaTheme="minorHAnsi"/>
                <w:kern w:val="2"/>
                <w:sz w:val="16"/>
                <w:szCs w:val="16"/>
                <w14:ligatures w14:val="standardContextual"/>
              </w:rPr>
              <w:t>5.77%</w:t>
            </w:r>
          </w:p>
        </w:tc>
        <w:tc>
          <w:tcPr>
            <w:tcW w:w="928" w:type="dxa"/>
            <w:tcBorders>
              <w:bottom w:val="single" w:sz="4" w:space="0" w:color="auto"/>
            </w:tcBorders>
            <w:vAlign w:val="bottom"/>
          </w:tcPr>
          <w:p w14:paraId="5B5923EB" w14:textId="77777777" w:rsidR="00777740" w:rsidRPr="0066432E" w:rsidRDefault="00777740" w:rsidP="00D25F6E">
            <w:pPr>
              <w:pStyle w:val="TableParagraph"/>
              <w:spacing w:before="7" w:line="187" w:lineRule="exact"/>
              <w:ind w:right="114"/>
              <w:jc w:val="right"/>
              <w:rPr>
                <w:rFonts w:eastAsiaTheme="minorHAnsi"/>
                <w:kern w:val="2"/>
                <w:sz w:val="16"/>
                <w:szCs w:val="16"/>
                <w14:ligatures w14:val="standardContextual"/>
              </w:rPr>
            </w:pPr>
            <w:r w:rsidRPr="0066432E">
              <w:rPr>
                <w:rFonts w:eastAsiaTheme="minorHAnsi"/>
                <w:kern w:val="2"/>
                <w:sz w:val="16"/>
                <w:szCs w:val="16"/>
                <w14:ligatures w14:val="standardContextual"/>
              </w:rPr>
              <w:t>4.86%</w:t>
            </w:r>
          </w:p>
        </w:tc>
        <w:tc>
          <w:tcPr>
            <w:tcW w:w="934" w:type="dxa"/>
            <w:tcBorders>
              <w:bottom w:val="single" w:sz="4" w:space="0" w:color="auto"/>
            </w:tcBorders>
            <w:vAlign w:val="bottom"/>
          </w:tcPr>
          <w:p w14:paraId="5B5923EC" w14:textId="77777777" w:rsidR="00777740" w:rsidRPr="0066432E" w:rsidRDefault="00777740" w:rsidP="00D25F6E">
            <w:pPr>
              <w:pStyle w:val="TableParagraph"/>
              <w:spacing w:before="12" w:line="182" w:lineRule="exact"/>
              <w:ind w:right="115"/>
              <w:jc w:val="right"/>
              <w:rPr>
                <w:rFonts w:eastAsiaTheme="minorHAnsi"/>
                <w:kern w:val="2"/>
                <w:sz w:val="16"/>
                <w:szCs w:val="16"/>
                <w14:ligatures w14:val="standardContextual"/>
              </w:rPr>
            </w:pPr>
            <w:r w:rsidRPr="0066432E">
              <w:rPr>
                <w:rFonts w:eastAsiaTheme="minorHAnsi"/>
                <w:kern w:val="2"/>
                <w:sz w:val="16"/>
                <w:szCs w:val="16"/>
                <w14:ligatures w14:val="standardContextual"/>
              </w:rPr>
              <w:t>4.21%</w:t>
            </w:r>
          </w:p>
        </w:tc>
        <w:tc>
          <w:tcPr>
            <w:tcW w:w="934" w:type="dxa"/>
            <w:tcBorders>
              <w:bottom w:val="single" w:sz="4" w:space="0" w:color="auto"/>
            </w:tcBorders>
            <w:vAlign w:val="bottom"/>
          </w:tcPr>
          <w:p w14:paraId="5B5923ED" w14:textId="77777777" w:rsidR="00777740" w:rsidRPr="0066432E" w:rsidRDefault="00777740" w:rsidP="00D25F6E">
            <w:pPr>
              <w:pStyle w:val="TableParagraph"/>
              <w:spacing w:before="12" w:line="182" w:lineRule="exact"/>
              <w:ind w:right="115"/>
              <w:jc w:val="right"/>
              <w:rPr>
                <w:rFonts w:eastAsiaTheme="minorHAnsi"/>
                <w:kern w:val="2"/>
                <w:sz w:val="16"/>
                <w:szCs w:val="16"/>
                <w14:ligatures w14:val="standardContextual"/>
              </w:rPr>
            </w:pPr>
            <w:r w:rsidRPr="0066432E">
              <w:rPr>
                <w:rFonts w:eastAsiaTheme="minorHAnsi"/>
                <w:kern w:val="2"/>
                <w:sz w:val="16"/>
                <w:szCs w:val="16"/>
                <w14:ligatures w14:val="standardContextual"/>
              </w:rPr>
              <w:t>3.98%</w:t>
            </w:r>
          </w:p>
        </w:tc>
        <w:tc>
          <w:tcPr>
            <w:tcW w:w="819" w:type="dxa"/>
            <w:tcBorders>
              <w:bottom w:val="single" w:sz="4" w:space="0" w:color="auto"/>
            </w:tcBorders>
            <w:vAlign w:val="bottom"/>
          </w:tcPr>
          <w:p w14:paraId="5B5923EE" w14:textId="77777777" w:rsidR="00777740" w:rsidRPr="0066432E" w:rsidRDefault="00777740" w:rsidP="00D25F6E">
            <w:pPr>
              <w:pStyle w:val="TableParagraph"/>
              <w:spacing w:before="7" w:line="187" w:lineRule="exact"/>
              <w:ind w:right="2"/>
              <w:jc w:val="right"/>
              <w:rPr>
                <w:rFonts w:eastAsiaTheme="minorHAnsi"/>
                <w:kern w:val="2"/>
                <w:sz w:val="16"/>
                <w:szCs w:val="16"/>
                <w14:ligatures w14:val="standardContextual"/>
              </w:rPr>
            </w:pPr>
            <w:r w:rsidRPr="0066432E">
              <w:rPr>
                <w:rFonts w:eastAsiaTheme="minorHAnsi"/>
                <w:kern w:val="2"/>
                <w:sz w:val="16"/>
                <w:szCs w:val="16"/>
                <w14:ligatures w14:val="standardContextual"/>
              </w:rPr>
              <w:t>3.56%</w:t>
            </w:r>
          </w:p>
        </w:tc>
      </w:tr>
      <w:tr w:rsidR="00777740" w14:paraId="5B5923F7" w14:textId="77777777" w:rsidTr="00D25F6E">
        <w:trPr>
          <w:trHeight w:val="196"/>
        </w:trPr>
        <w:tc>
          <w:tcPr>
            <w:tcW w:w="2414" w:type="dxa"/>
          </w:tcPr>
          <w:p w14:paraId="5B5923F0" w14:textId="77777777" w:rsidR="00777740" w:rsidRPr="0066432E" w:rsidRDefault="00777740" w:rsidP="00777740">
            <w:pPr>
              <w:pStyle w:val="TableParagraph"/>
              <w:rPr>
                <w:rFonts w:eastAsiaTheme="minorHAnsi"/>
                <w:kern w:val="2"/>
                <w:sz w:val="16"/>
                <w:szCs w:val="16"/>
                <w14:ligatures w14:val="standardContextual"/>
              </w:rPr>
            </w:pPr>
          </w:p>
        </w:tc>
        <w:tc>
          <w:tcPr>
            <w:tcW w:w="1643" w:type="dxa"/>
            <w:tcBorders>
              <w:top w:val="single" w:sz="4" w:space="0" w:color="auto"/>
              <w:bottom w:val="single" w:sz="4" w:space="0" w:color="auto"/>
            </w:tcBorders>
            <w:vAlign w:val="bottom"/>
          </w:tcPr>
          <w:p w14:paraId="5B5923F1" w14:textId="77777777" w:rsidR="00777740" w:rsidRPr="0066432E" w:rsidRDefault="00777740" w:rsidP="00D25F6E">
            <w:pPr>
              <w:pStyle w:val="TableParagraph"/>
              <w:spacing w:before="8" w:line="168" w:lineRule="exact"/>
              <w:ind w:right="107"/>
              <w:jc w:val="right"/>
              <w:rPr>
                <w:rFonts w:eastAsiaTheme="minorHAnsi"/>
                <w:kern w:val="2"/>
                <w:sz w:val="16"/>
                <w:szCs w:val="16"/>
                <w14:ligatures w14:val="standardContextual"/>
              </w:rPr>
            </w:pPr>
            <w:r w:rsidRPr="0066432E">
              <w:rPr>
                <w:rFonts w:eastAsiaTheme="minorHAnsi"/>
                <w:kern w:val="2"/>
                <w:sz w:val="16"/>
                <w:szCs w:val="16"/>
                <w14:ligatures w14:val="standardContextual"/>
              </w:rPr>
              <w:t>0.00%</w:t>
            </w:r>
          </w:p>
        </w:tc>
        <w:tc>
          <w:tcPr>
            <w:tcW w:w="933" w:type="dxa"/>
            <w:tcBorders>
              <w:top w:val="single" w:sz="4" w:space="0" w:color="auto"/>
              <w:bottom w:val="single" w:sz="4" w:space="0" w:color="auto"/>
            </w:tcBorders>
            <w:vAlign w:val="bottom"/>
          </w:tcPr>
          <w:p w14:paraId="5B5923F2" w14:textId="77777777" w:rsidR="00777740" w:rsidRPr="0066432E" w:rsidRDefault="00777740" w:rsidP="00D25F6E">
            <w:pPr>
              <w:pStyle w:val="TableParagraph"/>
              <w:spacing w:before="8" w:line="168" w:lineRule="exact"/>
              <w:ind w:right="116"/>
              <w:jc w:val="right"/>
              <w:rPr>
                <w:rFonts w:eastAsiaTheme="minorHAnsi"/>
                <w:kern w:val="2"/>
                <w:sz w:val="16"/>
                <w:szCs w:val="16"/>
                <w14:ligatures w14:val="standardContextual"/>
              </w:rPr>
            </w:pPr>
            <w:r w:rsidRPr="0066432E">
              <w:rPr>
                <w:rFonts w:eastAsiaTheme="minorHAnsi"/>
                <w:kern w:val="2"/>
                <w:sz w:val="16"/>
                <w:szCs w:val="16"/>
                <w14:ligatures w14:val="standardContextual"/>
              </w:rPr>
              <w:t>11.02%</w:t>
            </w:r>
          </w:p>
        </w:tc>
        <w:tc>
          <w:tcPr>
            <w:tcW w:w="928" w:type="dxa"/>
            <w:tcBorders>
              <w:top w:val="single" w:sz="4" w:space="0" w:color="auto"/>
              <w:bottom w:val="single" w:sz="4" w:space="0" w:color="auto"/>
            </w:tcBorders>
            <w:vAlign w:val="bottom"/>
          </w:tcPr>
          <w:p w14:paraId="5B5923F3" w14:textId="77777777" w:rsidR="00777740" w:rsidRPr="0066432E" w:rsidRDefault="00777740" w:rsidP="00D25F6E">
            <w:pPr>
              <w:pStyle w:val="TableParagraph"/>
              <w:spacing w:line="176" w:lineRule="exact"/>
              <w:ind w:right="116"/>
              <w:jc w:val="right"/>
              <w:rPr>
                <w:rFonts w:eastAsiaTheme="minorHAnsi"/>
                <w:kern w:val="2"/>
                <w:sz w:val="16"/>
                <w:szCs w:val="16"/>
                <w14:ligatures w14:val="standardContextual"/>
              </w:rPr>
            </w:pPr>
            <w:r w:rsidRPr="0066432E">
              <w:rPr>
                <w:rFonts w:eastAsiaTheme="minorHAnsi"/>
                <w:kern w:val="2"/>
                <w:sz w:val="16"/>
                <w:szCs w:val="16"/>
                <w14:ligatures w14:val="standardContextual"/>
              </w:rPr>
              <w:t>11.90%</w:t>
            </w:r>
          </w:p>
        </w:tc>
        <w:tc>
          <w:tcPr>
            <w:tcW w:w="934" w:type="dxa"/>
            <w:tcBorders>
              <w:top w:val="single" w:sz="4" w:space="0" w:color="auto"/>
              <w:bottom w:val="single" w:sz="4" w:space="0" w:color="auto"/>
            </w:tcBorders>
            <w:vAlign w:val="bottom"/>
          </w:tcPr>
          <w:p w14:paraId="5B5923F4" w14:textId="77777777" w:rsidR="00777740" w:rsidRPr="0066432E" w:rsidRDefault="00777740" w:rsidP="00D25F6E">
            <w:pPr>
              <w:pStyle w:val="TableParagraph"/>
              <w:spacing w:before="3" w:line="173" w:lineRule="exact"/>
              <w:ind w:right="114"/>
              <w:jc w:val="right"/>
              <w:rPr>
                <w:rFonts w:eastAsiaTheme="minorHAnsi"/>
                <w:kern w:val="2"/>
                <w:sz w:val="16"/>
                <w:szCs w:val="16"/>
                <w14:ligatures w14:val="standardContextual"/>
              </w:rPr>
            </w:pPr>
            <w:r w:rsidRPr="0066432E">
              <w:rPr>
                <w:rFonts w:eastAsiaTheme="minorHAnsi"/>
                <w:kern w:val="2"/>
                <w:sz w:val="16"/>
                <w:szCs w:val="16"/>
                <w14:ligatures w14:val="standardContextual"/>
              </w:rPr>
              <w:t>8.45%</w:t>
            </w:r>
          </w:p>
        </w:tc>
        <w:tc>
          <w:tcPr>
            <w:tcW w:w="934" w:type="dxa"/>
            <w:tcBorders>
              <w:top w:val="single" w:sz="4" w:space="0" w:color="auto"/>
              <w:bottom w:val="single" w:sz="4" w:space="0" w:color="auto"/>
            </w:tcBorders>
            <w:vAlign w:val="bottom"/>
          </w:tcPr>
          <w:p w14:paraId="5B5923F5" w14:textId="77777777" w:rsidR="00777740" w:rsidRPr="0066432E" w:rsidRDefault="00777740" w:rsidP="00D25F6E">
            <w:pPr>
              <w:pStyle w:val="TableParagraph"/>
              <w:spacing w:before="3" w:line="173" w:lineRule="exact"/>
              <w:ind w:right="115"/>
              <w:jc w:val="right"/>
              <w:rPr>
                <w:rFonts w:eastAsiaTheme="minorHAnsi"/>
                <w:kern w:val="2"/>
                <w:sz w:val="16"/>
                <w:szCs w:val="16"/>
                <w14:ligatures w14:val="standardContextual"/>
              </w:rPr>
            </w:pPr>
            <w:r w:rsidRPr="0066432E">
              <w:rPr>
                <w:rFonts w:eastAsiaTheme="minorHAnsi"/>
                <w:kern w:val="2"/>
                <w:sz w:val="16"/>
                <w:szCs w:val="16"/>
                <w14:ligatures w14:val="standardContextual"/>
              </w:rPr>
              <w:t>6.66%</w:t>
            </w:r>
          </w:p>
        </w:tc>
        <w:tc>
          <w:tcPr>
            <w:tcW w:w="819" w:type="dxa"/>
            <w:tcBorders>
              <w:top w:val="single" w:sz="4" w:space="0" w:color="auto"/>
              <w:bottom w:val="single" w:sz="4" w:space="0" w:color="auto"/>
            </w:tcBorders>
            <w:vAlign w:val="bottom"/>
          </w:tcPr>
          <w:p w14:paraId="5B5923F6" w14:textId="77777777" w:rsidR="00777740" w:rsidRPr="0066432E" w:rsidRDefault="00777740" w:rsidP="00D25F6E">
            <w:pPr>
              <w:pStyle w:val="TableParagraph"/>
              <w:spacing w:before="3" w:line="173" w:lineRule="exact"/>
              <w:ind w:right="1"/>
              <w:jc w:val="right"/>
              <w:rPr>
                <w:rFonts w:eastAsiaTheme="minorHAnsi"/>
                <w:kern w:val="2"/>
                <w:sz w:val="16"/>
                <w:szCs w:val="16"/>
                <w14:ligatures w14:val="standardContextual"/>
              </w:rPr>
            </w:pPr>
            <w:r w:rsidRPr="0066432E">
              <w:rPr>
                <w:rFonts w:eastAsiaTheme="minorHAnsi"/>
                <w:kern w:val="2"/>
                <w:sz w:val="16"/>
                <w:szCs w:val="16"/>
                <w14:ligatures w14:val="standardContextual"/>
              </w:rPr>
              <w:t>6.00%</w:t>
            </w:r>
          </w:p>
        </w:tc>
      </w:tr>
      <w:tr w:rsidR="00777740" w14:paraId="5B59240C" w14:textId="77777777" w:rsidTr="00D25F6E">
        <w:trPr>
          <w:trHeight w:val="708"/>
        </w:trPr>
        <w:tc>
          <w:tcPr>
            <w:tcW w:w="2414" w:type="dxa"/>
          </w:tcPr>
          <w:p w14:paraId="5B5923F8" w14:textId="77777777" w:rsidR="00777740" w:rsidRPr="0066432E" w:rsidRDefault="00777740" w:rsidP="00777740">
            <w:pPr>
              <w:pStyle w:val="TableParagraph"/>
              <w:spacing w:before="38"/>
              <w:rPr>
                <w:rFonts w:eastAsiaTheme="minorHAnsi"/>
                <w:kern w:val="2"/>
                <w:sz w:val="16"/>
                <w:szCs w:val="16"/>
                <w14:ligatures w14:val="standardContextual"/>
              </w:rPr>
            </w:pPr>
          </w:p>
          <w:p w14:paraId="5B5923F9" w14:textId="6B040A19" w:rsidR="00777740" w:rsidRPr="0066432E" w:rsidRDefault="00777740" w:rsidP="00777740">
            <w:pPr>
              <w:pStyle w:val="TableParagraph"/>
              <w:spacing w:line="278" w:lineRule="auto"/>
              <w:ind w:left="52" w:hanging="2"/>
              <w:rPr>
                <w:rFonts w:eastAsiaTheme="minorHAnsi"/>
                <w:kern w:val="2"/>
                <w:sz w:val="16"/>
                <w:szCs w:val="16"/>
                <w14:ligatures w14:val="standardContextual"/>
              </w:rPr>
            </w:pPr>
            <w:r w:rsidRPr="0066432E">
              <w:rPr>
                <w:rFonts w:eastAsiaTheme="minorHAnsi"/>
                <w:kern w:val="2"/>
                <w:sz w:val="16"/>
                <w:szCs w:val="16"/>
                <w14:ligatures w14:val="standardContextual"/>
              </w:rPr>
              <w:t xml:space="preserve">Net cash </w:t>
            </w:r>
            <w:r w:rsidR="00735057">
              <w:rPr>
                <w:rFonts w:eastAsiaTheme="minorHAnsi"/>
                <w:kern w:val="2"/>
                <w:sz w:val="16"/>
                <w:szCs w:val="16"/>
                <w14:ligatures w14:val="standardContextual"/>
              </w:rPr>
              <w:t xml:space="preserve">increase </w:t>
            </w:r>
            <w:r w:rsidRPr="0066432E">
              <w:rPr>
                <w:rFonts w:eastAsiaTheme="minorHAnsi"/>
                <w:kern w:val="2"/>
                <w:sz w:val="16"/>
                <w:szCs w:val="16"/>
                <w14:ligatures w14:val="standardContextual"/>
              </w:rPr>
              <w:t>before distributions</w:t>
            </w:r>
          </w:p>
        </w:tc>
        <w:tc>
          <w:tcPr>
            <w:tcW w:w="1643" w:type="dxa"/>
            <w:tcBorders>
              <w:top w:val="single" w:sz="4" w:space="0" w:color="auto"/>
              <w:bottom w:val="double" w:sz="4" w:space="0" w:color="auto"/>
            </w:tcBorders>
            <w:vAlign w:val="bottom"/>
          </w:tcPr>
          <w:p w14:paraId="5B5923FA" w14:textId="77777777" w:rsidR="00777740" w:rsidRPr="0066432E" w:rsidRDefault="00777740" w:rsidP="00D25F6E">
            <w:pPr>
              <w:pStyle w:val="TableParagraph"/>
              <w:jc w:val="right"/>
              <w:rPr>
                <w:rFonts w:eastAsiaTheme="minorHAnsi"/>
                <w:kern w:val="2"/>
                <w:sz w:val="16"/>
                <w:szCs w:val="16"/>
                <w14:ligatures w14:val="standardContextual"/>
              </w:rPr>
            </w:pPr>
          </w:p>
          <w:p w14:paraId="5B5923FB" w14:textId="77777777" w:rsidR="00777740" w:rsidRPr="0066432E" w:rsidRDefault="00777740" w:rsidP="00D25F6E">
            <w:pPr>
              <w:pStyle w:val="TableParagraph"/>
              <w:spacing w:before="68"/>
              <w:jc w:val="right"/>
              <w:rPr>
                <w:rFonts w:eastAsiaTheme="minorHAnsi"/>
                <w:kern w:val="2"/>
                <w:sz w:val="16"/>
                <w:szCs w:val="16"/>
                <w14:ligatures w14:val="standardContextual"/>
              </w:rPr>
            </w:pPr>
          </w:p>
          <w:p w14:paraId="5B5923FC" w14:textId="005B663C" w:rsidR="00777740" w:rsidRPr="0066432E" w:rsidRDefault="00777740" w:rsidP="00D25F6E">
            <w:pPr>
              <w:pStyle w:val="TableParagraph"/>
              <w:spacing w:before="1"/>
              <w:ind w:right="107"/>
              <w:jc w:val="right"/>
              <w:rPr>
                <w:rFonts w:eastAsiaTheme="minorHAnsi"/>
                <w:kern w:val="2"/>
                <w:sz w:val="16"/>
                <w:szCs w:val="16"/>
                <w14:ligatures w14:val="standardContextual"/>
              </w:rPr>
            </w:pPr>
            <w:r w:rsidRPr="0066432E">
              <w:rPr>
                <w:rFonts w:eastAsiaTheme="minorHAnsi"/>
                <w:kern w:val="2"/>
                <w:sz w:val="16"/>
                <w:szCs w:val="16"/>
                <w14:ligatures w14:val="standardContextual"/>
              </w:rPr>
              <w:t>0.00%</w:t>
            </w:r>
          </w:p>
        </w:tc>
        <w:tc>
          <w:tcPr>
            <w:tcW w:w="933" w:type="dxa"/>
            <w:tcBorders>
              <w:top w:val="single" w:sz="4" w:space="0" w:color="auto"/>
              <w:bottom w:val="double" w:sz="4" w:space="0" w:color="auto"/>
            </w:tcBorders>
            <w:vAlign w:val="bottom"/>
          </w:tcPr>
          <w:p w14:paraId="5B5923FD" w14:textId="77777777" w:rsidR="00777740" w:rsidRPr="0066432E" w:rsidRDefault="00777740" w:rsidP="00D25F6E">
            <w:pPr>
              <w:pStyle w:val="TableParagraph"/>
              <w:jc w:val="right"/>
              <w:rPr>
                <w:rFonts w:eastAsiaTheme="minorHAnsi"/>
                <w:kern w:val="2"/>
                <w:sz w:val="16"/>
                <w:szCs w:val="16"/>
                <w14:ligatures w14:val="standardContextual"/>
              </w:rPr>
            </w:pPr>
          </w:p>
          <w:p w14:paraId="5B5923FE" w14:textId="77777777" w:rsidR="00777740" w:rsidRPr="0066432E" w:rsidRDefault="00777740" w:rsidP="00D25F6E">
            <w:pPr>
              <w:pStyle w:val="TableParagraph"/>
              <w:spacing w:before="64"/>
              <w:jc w:val="right"/>
              <w:rPr>
                <w:rFonts w:eastAsiaTheme="minorHAnsi"/>
                <w:kern w:val="2"/>
                <w:sz w:val="16"/>
                <w:szCs w:val="16"/>
                <w14:ligatures w14:val="standardContextual"/>
              </w:rPr>
            </w:pPr>
          </w:p>
          <w:p w14:paraId="5B5923FF" w14:textId="4D6DCE08" w:rsidR="00777740" w:rsidRPr="0066432E" w:rsidRDefault="00777740" w:rsidP="00D25F6E">
            <w:pPr>
              <w:pStyle w:val="TableParagraph"/>
              <w:ind w:right="108"/>
              <w:jc w:val="right"/>
              <w:rPr>
                <w:rFonts w:eastAsiaTheme="minorHAnsi"/>
                <w:kern w:val="2"/>
                <w:sz w:val="16"/>
                <w:szCs w:val="16"/>
                <w14:ligatures w14:val="standardContextual"/>
              </w:rPr>
            </w:pPr>
            <w:r w:rsidRPr="0066432E">
              <w:rPr>
                <w:rFonts w:eastAsiaTheme="minorHAnsi"/>
                <w:kern w:val="2"/>
                <w:sz w:val="16"/>
                <w:szCs w:val="16"/>
                <w14:ligatures w14:val="standardContextual"/>
              </w:rPr>
              <w:t>39.39%</w:t>
            </w:r>
          </w:p>
        </w:tc>
        <w:tc>
          <w:tcPr>
            <w:tcW w:w="928" w:type="dxa"/>
            <w:tcBorders>
              <w:top w:val="single" w:sz="4" w:space="0" w:color="auto"/>
              <w:bottom w:val="double" w:sz="4" w:space="0" w:color="auto"/>
            </w:tcBorders>
            <w:vAlign w:val="bottom"/>
          </w:tcPr>
          <w:p w14:paraId="5B592400" w14:textId="77777777" w:rsidR="00777740" w:rsidRPr="0066432E" w:rsidRDefault="00777740" w:rsidP="00D25F6E">
            <w:pPr>
              <w:pStyle w:val="TableParagraph"/>
              <w:jc w:val="right"/>
              <w:rPr>
                <w:rFonts w:eastAsiaTheme="minorHAnsi"/>
                <w:kern w:val="2"/>
                <w:sz w:val="16"/>
                <w:szCs w:val="16"/>
                <w14:ligatures w14:val="standardContextual"/>
              </w:rPr>
            </w:pPr>
          </w:p>
          <w:p w14:paraId="5B592401" w14:textId="77777777" w:rsidR="00777740" w:rsidRPr="0066432E" w:rsidRDefault="00777740" w:rsidP="00D25F6E">
            <w:pPr>
              <w:pStyle w:val="TableParagraph"/>
              <w:spacing w:before="59"/>
              <w:jc w:val="right"/>
              <w:rPr>
                <w:rFonts w:eastAsiaTheme="minorHAnsi"/>
                <w:kern w:val="2"/>
                <w:sz w:val="16"/>
                <w:szCs w:val="16"/>
                <w14:ligatures w14:val="standardContextual"/>
              </w:rPr>
            </w:pPr>
          </w:p>
          <w:p w14:paraId="5B592402" w14:textId="0885F8A1" w:rsidR="00777740" w:rsidRPr="0066432E" w:rsidRDefault="00777740" w:rsidP="00D25F6E">
            <w:pPr>
              <w:pStyle w:val="TableParagraph"/>
              <w:ind w:right="115"/>
              <w:jc w:val="right"/>
              <w:rPr>
                <w:rFonts w:eastAsiaTheme="minorHAnsi"/>
                <w:kern w:val="2"/>
                <w:sz w:val="16"/>
                <w:szCs w:val="16"/>
                <w14:ligatures w14:val="standardContextual"/>
              </w:rPr>
            </w:pPr>
            <w:r w:rsidRPr="0066432E">
              <w:rPr>
                <w:rFonts w:eastAsiaTheme="minorHAnsi"/>
                <w:kern w:val="2"/>
                <w:sz w:val="16"/>
                <w:szCs w:val="16"/>
                <w14:ligatures w14:val="standardContextual"/>
              </w:rPr>
              <w:t>42.56%</w:t>
            </w:r>
          </w:p>
        </w:tc>
        <w:tc>
          <w:tcPr>
            <w:tcW w:w="934" w:type="dxa"/>
            <w:tcBorders>
              <w:top w:val="single" w:sz="4" w:space="0" w:color="auto"/>
              <w:bottom w:val="double" w:sz="4" w:space="0" w:color="auto"/>
            </w:tcBorders>
            <w:vAlign w:val="bottom"/>
          </w:tcPr>
          <w:p w14:paraId="5B592403" w14:textId="77777777" w:rsidR="00777740" w:rsidRPr="0066432E" w:rsidRDefault="00777740" w:rsidP="00D25F6E">
            <w:pPr>
              <w:pStyle w:val="TableParagraph"/>
              <w:jc w:val="right"/>
              <w:rPr>
                <w:rFonts w:eastAsiaTheme="minorHAnsi"/>
                <w:kern w:val="2"/>
                <w:sz w:val="16"/>
                <w:szCs w:val="16"/>
                <w14:ligatures w14:val="standardContextual"/>
              </w:rPr>
            </w:pPr>
          </w:p>
          <w:p w14:paraId="5B592404" w14:textId="77777777" w:rsidR="00777740" w:rsidRPr="0066432E" w:rsidRDefault="00777740" w:rsidP="00D25F6E">
            <w:pPr>
              <w:pStyle w:val="TableParagraph"/>
              <w:spacing w:before="59"/>
              <w:jc w:val="right"/>
              <w:rPr>
                <w:rFonts w:eastAsiaTheme="minorHAnsi"/>
                <w:kern w:val="2"/>
                <w:sz w:val="16"/>
                <w:szCs w:val="16"/>
                <w14:ligatures w14:val="standardContextual"/>
              </w:rPr>
            </w:pPr>
          </w:p>
          <w:p w14:paraId="5B592405" w14:textId="169FF3AF" w:rsidR="00777740" w:rsidRPr="0066432E" w:rsidRDefault="00777740" w:rsidP="00D25F6E">
            <w:pPr>
              <w:pStyle w:val="TableParagraph"/>
              <w:ind w:right="116"/>
              <w:jc w:val="right"/>
              <w:rPr>
                <w:rFonts w:eastAsiaTheme="minorHAnsi"/>
                <w:kern w:val="2"/>
                <w:sz w:val="16"/>
                <w:szCs w:val="16"/>
                <w14:ligatures w14:val="standardContextual"/>
              </w:rPr>
            </w:pPr>
            <w:r w:rsidRPr="0066432E">
              <w:rPr>
                <w:rFonts w:eastAsiaTheme="minorHAnsi"/>
                <w:kern w:val="2"/>
                <w:sz w:val="16"/>
                <w:szCs w:val="16"/>
                <w14:ligatures w14:val="standardContextual"/>
              </w:rPr>
              <w:t>45.67%</w:t>
            </w:r>
          </w:p>
        </w:tc>
        <w:tc>
          <w:tcPr>
            <w:tcW w:w="934" w:type="dxa"/>
            <w:tcBorders>
              <w:top w:val="single" w:sz="4" w:space="0" w:color="auto"/>
              <w:bottom w:val="double" w:sz="4" w:space="0" w:color="auto"/>
            </w:tcBorders>
            <w:vAlign w:val="bottom"/>
          </w:tcPr>
          <w:p w14:paraId="5B592406" w14:textId="77777777" w:rsidR="00777740" w:rsidRPr="0066432E" w:rsidRDefault="00777740" w:rsidP="00D25F6E">
            <w:pPr>
              <w:pStyle w:val="TableParagraph"/>
              <w:jc w:val="right"/>
              <w:rPr>
                <w:rFonts w:eastAsiaTheme="minorHAnsi"/>
                <w:kern w:val="2"/>
                <w:sz w:val="16"/>
                <w:szCs w:val="16"/>
                <w14:ligatures w14:val="standardContextual"/>
              </w:rPr>
            </w:pPr>
          </w:p>
          <w:p w14:paraId="5B592407" w14:textId="77777777" w:rsidR="00777740" w:rsidRPr="0066432E" w:rsidRDefault="00777740" w:rsidP="00D25F6E">
            <w:pPr>
              <w:pStyle w:val="TableParagraph"/>
              <w:spacing w:before="54"/>
              <w:jc w:val="right"/>
              <w:rPr>
                <w:rFonts w:eastAsiaTheme="minorHAnsi"/>
                <w:kern w:val="2"/>
                <w:sz w:val="16"/>
                <w:szCs w:val="16"/>
                <w14:ligatures w14:val="standardContextual"/>
              </w:rPr>
            </w:pPr>
          </w:p>
          <w:p w14:paraId="5B592408" w14:textId="11544716" w:rsidR="00777740" w:rsidRPr="0066432E" w:rsidRDefault="00777740" w:rsidP="00D25F6E">
            <w:pPr>
              <w:pStyle w:val="TableParagraph"/>
              <w:ind w:right="118"/>
              <w:jc w:val="right"/>
              <w:rPr>
                <w:rFonts w:eastAsiaTheme="minorHAnsi"/>
                <w:kern w:val="2"/>
                <w:sz w:val="16"/>
                <w:szCs w:val="16"/>
                <w14:ligatures w14:val="standardContextual"/>
              </w:rPr>
            </w:pPr>
            <w:r w:rsidRPr="0066432E">
              <w:rPr>
                <w:rFonts w:eastAsiaTheme="minorHAnsi"/>
                <w:kern w:val="2"/>
                <w:sz w:val="16"/>
                <w:szCs w:val="16"/>
                <w14:ligatures w14:val="standardContextual"/>
              </w:rPr>
              <w:t>48.82%</w:t>
            </w:r>
          </w:p>
        </w:tc>
        <w:tc>
          <w:tcPr>
            <w:tcW w:w="819" w:type="dxa"/>
            <w:tcBorders>
              <w:top w:val="single" w:sz="4" w:space="0" w:color="auto"/>
              <w:bottom w:val="double" w:sz="4" w:space="0" w:color="auto"/>
            </w:tcBorders>
            <w:vAlign w:val="bottom"/>
          </w:tcPr>
          <w:p w14:paraId="5B592409" w14:textId="77777777" w:rsidR="00777740" w:rsidRPr="0066432E" w:rsidRDefault="00777740" w:rsidP="00D25F6E">
            <w:pPr>
              <w:pStyle w:val="TableParagraph"/>
              <w:jc w:val="right"/>
              <w:rPr>
                <w:rFonts w:eastAsiaTheme="minorHAnsi"/>
                <w:kern w:val="2"/>
                <w:sz w:val="16"/>
                <w:szCs w:val="16"/>
                <w14:ligatures w14:val="standardContextual"/>
              </w:rPr>
            </w:pPr>
          </w:p>
          <w:p w14:paraId="5B59240A" w14:textId="77777777" w:rsidR="00777740" w:rsidRPr="0066432E" w:rsidRDefault="00777740" w:rsidP="00D25F6E">
            <w:pPr>
              <w:pStyle w:val="TableParagraph"/>
              <w:spacing w:before="59"/>
              <w:jc w:val="right"/>
              <w:rPr>
                <w:rFonts w:eastAsiaTheme="minorHAnsi"/>
                <w:kern w:val="2"/>
                <w:sz w:val="16"/>
                <w:szCs w:val="16"/>
                <w14:ligatures w14:val="standardContextual"/>
              </w:rPr>
            </w:pPr>
          </w:p>
          <w:p w14:paraId="5B59240B" w14:textId="6937C78B" w:rsidR="00777740" w:rsidRPr="0066432E" w:rsidRDefault="00777740" w:rsidP="00D25F6E">
            <w:pPr>
              <w:pStyle w:val="TableParagraph"/>
              <w:ind w:right="4"/>
              <w:jc w:val="right"/>
              <w:rPr>
                <w:rFonts w:eastAsiaTheme="minorHAnsi"/>
                <w:kern w:val="2"/>
                <w:sz w:val="16"/>
                <w:szCs w:val="16"/>
                <w14:ligatures w14:val="standardContextual"/>
              </w:rPr>
            </w:pPr>
            <w:r w:rsidRPr="0066432E">
              <w:rPr>
                <w:rFonts w:eastAsiaTheme="minorHAnsi"/>
                <w:kern w:val="2"/>
                <w:sz w:val="16"/>
                <w:szCs w:val="16"/>
                <w14:ligatures w14:val="standardContextual"/>
              </w:rPr>
              <w:t>51.64%</w:t>
            </w:r>
          </w:p>
        </w:tc>
      </w:tr>
    </w:tbl>
    <w:p w14:paraId="5B59240D" w14:textId="77777777" w:rsidR="00701342" w:rsidRDefault="00701342">
      <w:pPr>
        <w:pStyle w:val="BodyText"/>
      </w:pPr>
    </w:p>
    <w:p w14:paraId="5B59240E" w14:textId="77777777" w:rsidR="00701342" w:rsidRDefault="00701342">
      <w:pPr>
        <w:pStyle w:val="BodyText"/>
        <w:spacing w:before="35"/>
      </w:pPr>
    </w:p>
    <w:p w14:paraId="184CDC1F" w14:textId="77777777" w:rsidR="00DD6115" w:rsidRDefault="00DD6115" w:rsidP="00DD6115">
      <w:pPr>
        <w:pStyle w:val="NoSpacing"/>
        <w:spacing w:before="240"/>
      </w:pPr>
      <w:r>
        <w:t>Based on our discussions with Management and the information above, the Company will not require any capital contributions throughout the years of 2025 to 2029.</w:t>
      </w:r>
    </w:p>
    <w:p w14:paraId="5B592410" w14:textId="77777777" w:rsidR="00701342" w:rsidRDefault="00701342">
      <w:pPr>
        <w:spacing w:line="280" w:lineRule="auto"/>
        <w:sectPr w:rsidR="00701342">
          <w:pgSz w:w="12130" w:h="15790"/>
          <w:pgMar w:top="1340" w:right="1320" w:bottom="1320" w:left="1320" w:header="0" w:footer="1135" w:gutter="0"/>
          <w:cols w:space="720"/>
        </w:sectPr>
      </w:pPr>
    </w:p>
    <w:p w14:paraId="5D3A0547" w14:textId="77777777" w:rsidR="005B7B21" w:rsidRDefault="005B7B21" w:rsidP="005B7B21">
      <w:pPr>
        <w:pStyle w:val="NoSpacing"/>
        <w:rPr>
          <w:b/>
          <w:bCs/>
        </w:rPr>
      </w:pPr>
      <w:r>
        <w:rPr>
          <w:b/>
          <w:bCs/>
        </w:rPr>
        <w:lastRenderedPageBreak/>
        <w:t>V.</w:t>
      </w:r>
      <w:r>
        <w:rPr>
          <w:b/>
          <w:bCs/>
        </w:rPr>
        <w:tab/>
        <w:t xml:space="preserve"> </w:t>
      </w:r>
      <w:r>
        <w:rPr>
          <w:b/>
          <w:bCs/>
          <w:u w:val="single"/>
        </w:rPr>
        <w:t>REVIEW OF THE PROJECTIONS</w:t>
      </w:r>
      <w:r>
        <w:t xml:space="preserve"> </w:t>
      </w:r>
      <w:r w:rsidRPr="000A08F0">
        <w:rPr>
          <w:b/>
          <w:bCs/>
        </w:rPr>
        <w:t>(con</w:t>
      </w:r>
      <w:r>
        <w:rPr>
          <w:b/>
          <w:bCs/>
        </w:rPr>
        <w:t>cluded</w:t>
      </w:r>
      <w:r w:rsidRPr="000A08F0">
        <w:rPr>
          <w:b/>
          <w:bCs/>
        </w:rPr>
        <w:t>)</w:t>
      </w:r>
    </w:p>
    <w:p w14:paraId="15E96989" w14:textId="77777777" w:rsidR="005B7B21" w:rsidRDefault="005B7B21" w:rsidP="005B7B21">
      <w:pPr>
        <w:pStyle w:val="NoSpacing"/>
      </w:pPr>
    </w:p>
    <w:p w14:paraId="36826019" w14:textId="77777777" w:rsidR="005B7B21" w:rsidRPr="0088437D" w:rsidRDefault="005B7B21" w:rsidP="005B7B21">
      <w:pPr>
        <w:pStyle w:val="NoSpacing"/>
        <w:numPr>
          <w:ilvl w:val="0"/>
          <w:numId w:val="8"/>
        </w:numPr>
        <w:rPr>
          <w:b/>
          <w:bCs/>
        </w:rPr>
      </w:pPr>
      <w:r>
        <w:rPr>
          <w:b/>
          <w:bCs/>
          <w:u w:val="single"/>
        </w:rPr>
        <w:t>Capital Expenditures</w:t>
      </w:r>
    </w:p>
    <w:p w14:paraId="42AD62D1" w14:textId="77777777" w:rsidR="005B7B21" w:rsidRDefault="005B7B21" w:rsidP="005B7B21">
      <w:pPr>
        <w:pStyle w:val="NoSpacing"/>
      </w:pPr>
    </w:p>
    <w:p w14:paraId="10B4CD90" w14:textId="77777777" w:rsidR="005B7B21" w:rsidRDefault="005B7B21" w:rsidP="005B7B21">
      <w:pPr>
        <w:pStyle w:val="NoSpacing"/>
      </w:pPr>
      <w:r>
        <w:t xml:space="preserve">Per our discussion with Management, it is anticipated there will be a </w:t>
      </w:r>
      <w:proofErr w:type="gramStart"/>
      <w:r>
        <w:t>build out</w:t>
      </w:r>
      <w:proofErr w:type="gramEnd"/>
      <w:r>
        <w:t xml:space="preserve"> loan of approximately $1,960,000 and an equipment loan for the additional equipment of about $1,250,000. This debt will be financed so there will be no capital contributions required by the members of WELLC.</w:t>
      </w:r>
    </w:p>
    <w:p w14:paraId="033EB46E" w14:textId="77777777" w:rsidR="005B7B21" w:rsidRDefault="005B7B21" w:rsidP="005B7B21">
      <w:pPr>
        <w:pStyle w:val="NoSpacing"/>
      </w:pPr>
    </w:p>
    <w:p w14:paraId="179C8C65" w14:textId="77777777" w:rsidR="005B7B21" w:rsidRDefault="005B7B21" w:rsidP="005B7B21">
      <w:pPr>
        <w:pStyle w:val="NoSpacing"/>
        <w:rPr>
          <w:b/>
          <w:bCs/>
          <w:u w:val="single"/>
        </w:rPr>
      </w:pPr>
      <w:r>
        <w:rPr>
          <w:b/>
          <w:bCs/>
        </w:rPr>
        <w:t xml:space="preserve">VI. </w:t>
      </w:r>
      <w:r>
        <w:rPr>
          <w:b/>
          <w:bCs/>
        </w:rPr>
        <w:tab/>
      </w:r>
      <w:r>
        <w:rPr>
          <w:b/>
          <w:bCs/>
          <w:u w:val="single"/>
        </w:rPr>
        <w:t>FEASIBILITY</w:t>
      </w:r>
    </w:p>
    <w:p w14:paraId="6BC2CD84" w14:textId="77777777" w:rsidR="005B7B21" w:rsidRDefault="005B7B21" w:rsidP="005B7B21">
      <w:pPr>
        <w:pStyle w:val="NoSpacing"/>
        <w:rPr>
          <w:b/>
          <w:bCs/>
          <w:u w:val="single"/>
        </w:rPr>
      </w:pPr>
    </w:p>
    <w:p w14:paraId="2B533518" w14:textId="77777777" w:rsidR="005B7B21" w:rsidRDefault="005B7B21" w:rsidP="005B7B21">
      <w:pPr>
        <w:pStyle w:val="NoSpacing"/>
      </w:pPr>
      <w:r>
        <w:t xml:space="preserve">We </w:t>
      </w:r>
      <w:r w:rsidRPr="00201F52">
        <w:t>analyze</w:t>
      </w:r>
      <w:r>
        <w:t>d the</w:t>
      </w:r>
      <w:r w:rsidRPr="00201F52">
        <w:t xml:space="preserve"> projected operations</w:t>
      </w:r>
      <w:r>
        <w:t>,</w:t>
      </w:r>
      <w:r w:rsidRPr="00201F52">
        <w:t xml:space="preserve"> including</w:t>
      </w:r>
      <w:r>
        <w:t xml:space="preserve"> volume of procedures, revenue and expenses for WELLC. In performing our analysis, we considered multiple sources of information including historical and projected financial information. It is important to note that the projections do not account for any anticipated changes in accounting and regulatory standards. These standards, which may have a material impact on the individual future years, are not anticipated to have a material impact on the aggregate projections.</w:t>
      </w:r>
    </w:p>
    <w:p w14:paraId="3228A22D" w14:textId="77777777" w:rsidR="005B7B21" w:rsidRDefault="005B7B21" w:rsidP="005B7B21">
      <w:pPr>
        <w:pStyle w:val="NoSpacing"/>
      </w:pPr>
    </w:p>
    <w:p w14:paraId="5BE264A0" w14:textId="77777777" w:rsidR="005B7B21" w:rsidRDefault="005B7B21" w:rsidP="005B7B21">
      <w:pPr>
        <w:pStyle w:val="NoSpacing"/>
      </w:pPr>
      <w:r>
        <w:t>We determined that the projections were not likely to result in insufficient funds available for ongoing operating costs necessary to support WELLC. Based upon our review of the projections and the relevant supporting documentation, we determined WELLC’s continued operating income is reasonable and based upon feasible financial assumptions.</w:t>
      </w:r>
    </w:p>
    <w:p w14:paraId="5B59241D" w14:textId="77777777" w:rsidR="00701342" w:rsidRDefault="00701342">
      <w:pPr>
        <w:pStyle w:val="BodyText"/>
        <w:rPr>
          <w:sz w:val="21"/>
        </w:rPr>
      </w:pPr>
    </w:p>
    <w:p w14:paraId="5B59241E" w14:textId="77777777" w:rsidR="00701342" w:rsidRDefault="00701342">
      <w:pPr>
        <w:pStyle w:val="BodyText"/>
        <w:spacing w:before="60"/>
        <w:rPr>
          <w:sz w:val="21"/>
        </w:rPr>
      </w:pPr>
    </w:p>
    <w:p w14:paraId="72FB84EA" w14:textId="77777777" w:rsidR="00FC19CA" w:rsidRDefault="00FC19CA" w:rsidP="00FC19CA">
      <w:pPr>
        <w:pStyle w:val="NoSpacing"/>
        <w:ind w:right="3020"/>
        <w:jc w:val="right"/>
      </w:pPr>
      <w:r>
        <w:t>Sincerely,</w:t>
      </w:r>
    </w:p>
    <w:p w14:paraId="3626FC85" w14:textId="77777777" w:rsidR="00FC19CA" w:rsidRDefault="00FC19CA" w:rsidP="00FC19CA">
      <w:pPr>
        <w:pStyle w:val="NoSpacing"/>
      </w:pPr>
    </w:p>
    <w:p w14:paraId="10B2495E" w14:textId="77777777" w:rsidR="00FC19CA" w:rsidRPr="008C40FE" w:rsidRDefault="00FC19CA" w:rsidP="00FC19CA">
      <w:pPr>
        <w:pStyle w:val="NoSpacing"/>
        <w:rPr>
          <w:rFonts w:ascii="Lucida Handwriting" w:hAnsi="Lucida Handwriting"/>
        </w:rPr>
      </w:pPr>
      <w:r>
        <w:tab/>
      </w:r>
      <w:r>
        <w:tab/>
      </w:r>
      <w:r>
        <w:tab/>
      </w:r>
      <w:r>
        <w:tab/>
      </w:r>
      <w:r>
        <w:tab/>
      </w:r>
      <w:r>
        <w:tab/>
      </w:r>
      <w:r>
        <w:tab/>
      </w:r>
      <w:r>
        <w:tab/>
      </w:r>
      <w:r>
        <w:rPr>
          <w:rFonts w:ascii="Lucida Handwriting" w:hAnsi="Lucida Handwriting"/>
        </w:rPr>
        <w:t>Fopiano &amp; Sullivan, LLC</w:t>
      </w:r>
    </w:p>
    <w:p w14:paraId="22B566D4" w14:textId="77777777" w:rsidR="00FC19CA" w:rsidRPr="00201F52" w:rsidRDefault="00FC19CA" w:rsidP="00FC19CA">
      <w:pPr>
        <w:pStyle w:val="NoSpacing"/>
        <w:spacing w:before="240"/>
        <w:ind w:left="360"/>
      </w:pPr>
      <w:r>
        <w:tab/>
      </w:r>
      <w:r>
        <w:tab/>
      </w:r>
      <w:r>
        <w:tab/>
      </w:r>
      <w:r>
        <w:tab/>
      </w:r>
      <w:r>
        <w:tab/>
      </w:r>
      <w:r>
        <w:tab/>
      </w:r>
      <w:r>
        <w:tab/>
      </w:r>
      <w:r>
        <w:tab/>
        <w:t>Fopiano &amp; Sullivan, LLC</w:t>
      </w:r>
    </w:p>
    <w:p w14:paraId="5B592423" w14:textId="1388679C" w:rsidR="00701342" w:rsidRDefault="00701342" w:rsidP="00FC19CA">
      <w:pPr>
        <w:ind w:left="5863"/>
        <w:rPr>
          <w:sz w:val="21"/>
        </w:rPr>
      </w:pPr>
    </w:p>
    <w:sectPr w:rsidR="00701342">
      <w:pgSz w:w="12130" w:h="15810"/>
      <w:pgMar w:top="1580" w:right="1240" w:bottom="1360" w:left="1300" w:header="0" w:footer="11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CBFD3" w14:textId="77777777" w:rsidR="00F9299D" w:rsidRDefault="00F9299D">
      <w:r>
        <w:separator/>
      </w:r>
    </w:p>
  </w:endnote>
  <w:endnote w:type="continuationSeparator" w:id="0">
    <w:p w14:paraId="5DF7CC7B" w14:textId="77777777" w:rsidR="00F9299D" w:rsidRDefault="00F9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31270" w14:textId="77777777" w:rsidR="00D82401" w:rsidRDefault="00D82401" w:rsidP="00D82401">
    <w:pPr>
      <w:spacing w:before="1"/>
      <w:ind w:left="1342" w:right="1389"/>
      <w:jc w:val="center"/>
      <w:rPr>
        <w:b/>
        <w:sz w:val="18"/>
      </w:rPr>
    </w:pPr>
    <w:r>
      <w:rPr>
        <w:color w:val="2F2F2F"/>
        <w:sz w:val="20"/>
      </w:rPr>
      <w:t>Page</w:t>
    </w:r>
    <w:r>
      <w:rPr>
        <w:color w:val="2F2F2F"/>
        <w:spacing w:val="-23"/>
        <w:sz w:val="20"/>
      </w:rPr>
      <w:t xml:space="preserve"> </w:t>
    </w:r>
    <w:r>
      <w:rPr>
        <w:b/>
        <w:color w:val="0F0F0F"/>
        <w:sz w:val="18"/>
      </w:rPr>
      <w:t>1</w:t>
    </w:r>
    <w:r>
      <w:rPr>
        <w:b/>
        <w:color w:val="0F0F0F"/>
        <w:spacing w:val="17"/>
        <w:sz w:val="18"/>
      </w:rPr>
      <w:t xml:space="preserve"> </w:t>
    </w:r>
    <w:r>
      <w:rPr>
        <w:color w:val="2F2F2F"/>
        <w:sz w:val="20"/>
      </w:rPr>
      <w:t>of</w:t>
    </w:r>
    <w:r>
      <w:rPr>
        <w:color w:val="2F2F2F"/>
        <w:spacing w:val="6"/>
        <w:sz w:val="20"/>
      </w:rPr>
      <w:t xml:space="preserve"> </w:t>
    </w:r>
    <w:r>
      <w:rPr>
        <w:b/>
        <w:color w:val="2F2F2F"/>
        <w:spacing w:val="-10"/>
        <w:sz w:val="18"/>
      </w:rPr>
      <w:t>8</w:t>
    </w:r>
  </w:p>
  <w:p w14:paraId="26C72962" w14:textId="292D2669" w:rsidR="00D82401" w:rsidRPr="00201CB4" w:rsidRDefault="00D82401" w:rsidP="00D82401">
    <w:pPr>
      <w:pStyle w:val="BodyText"/>
      <w:spacing w:before="68" w:line="221" w:lineRule="exact"/>
      <w:ind w:left="1342" w:right="1402"/>
      <w:jc w:val="center"/>
    </w:pPr>
    <w:r w:rsidRPr="00201CB4">
      <w:rPr>
        <w:spacing w:val="-4"/>
      </w:rPr>
      <w:t>80</w:t>
    </w:r>
    <w:r w:rsidRPr="00201CB4">
      <w:rPr>
        <w:spacing w:val="2"/>
      </w:rPr>
      <w:t xml:space="preserve"> </w:t>
    </w:r>
    <w:r w:rsidRPr="00201CB4">
      <w:rPr>
        <w:spacing w:val="-4"/>
      </w:rPr>
      <w:t>Washington</w:t>
    </w:r>
    <w:r w:rsidRPr="00201CB4">
      <w:rPr>
        <w:spacing w:val="-2"/>
      </w:rPr>
      <w:t xml:space="preserve"> </w:t>
    </w:r>
    <w:r w:rsidRPr="00201CB4">
      <w:rPr>
        <w:spacing w:val="-4"/>
      </w:rPr>
      <w:t>Street</w:t>
    </w:r>
    <w:r w:rsidRPr="00201CB4">
      <w:rPr>
        <w:spacing w:val="-10"/>
      </w:rPr>
      <w:t xml:space="preserve"> </w:t>
    </w:r>
    <w:r w:rsidRPr="00201CB4">
      <w:rPr>
        <w:spacing w:val="-4"/>
      </w:rPr>
      <w:t>Building</w:t>
    </w:r>
    <w:r w:rsidRPr="00201CB4">
      <w:rPr>
        <w:spacing w:val="-1"/>
      </w:rPr>
      <w:t xml:space="preserve"> </w:t>
    </w:r>
    <w:r w:rsidRPr="00201CB4">
      <w:rPr>
        <w:spacing w:val="-4"/>
      </w:rPr>
      <w:t>J-41</w:t>
    </w:r>
    <w:r w:rsidRPr="00201CB4">
      <w:rPr>
        <w:spacing w:val="-11"/>
      </w:rPr>
      <w:t xml:space="preserve"> </w:t>
    </w:r>
    <w:r w:rsidRPr="00201CB4">
      <w:rPr>
        <w:spacing w:val="-4"/>
      </w:rPr>
      <w:t>•</w:t>
    </w:r>
    <w:r w:rsidRPr="00201CB4">
      <w:rPr>
        <w:spacing w:val="-12"/>
      </w:rPr>
      <w:t xml:space="preserve"> </w:t>
    </w:r>
    <w:r w:rsidRPr="00201CB4">
      <w:rPr>
        <w:spacing w:val="-4"/>
      </w:rPr>
      <w:t>No</w:t>
    </w:r>
    <w:r w:rsidR="00201CB4" w:rsidRPr="00201CB4">
      <w:rPr>
        <w:spacing w:val="-4"/>
      </w:rPr>
      <w:t>rw</w:t>
    </w:r>
    <w:r w:rsidRPr="00201CB4">
      <w:rPr>
        <w:spacing w:val="-4"/>
      </w:rPr>
      <w:t>ell</w:t>
    </w:r>
    <w:r w:rsidR="00201CB4" w:rsidRPr="00201CB4">
      <w:rPr>
        <w:spacing w:val="-4"/>
      </w:rPr>
      <w:t>,</w:t>
    </w:r>
    <w:r w:rsidRPr="00201CB4">
      <w:rPr>
        <w:spacing w:val="-19"/>
      </w:rPr>
      <w:t xml:space="preserve"> </w:t>
    </w:r>
    <w:r w:rsidRPr="00201CB4">
      <w:rPr>
        <w:spacing w:val="-4"/>
      </w:rPr>
      <w:t>MA</w:t>
    </w:r>
    <w:r w:rsidRPr="00201CB4">
      <w:rPr>
        <w:spacing w:val="-3"/>
      </w:rPr>
      <w:t xml:space="preserve"> </w:t>
    </w:r>
    <w:r w:rsidRPr="00201CB4">
      <w:rPr>
        <w:spacing w:val="-4"/>
      </w:rPr>
      <w:t>02061</w:t>
    </w:r>
  </w:p>
  <w:p w14:paraId="418B4E26" w14:textId="6AFB897A" w:rsidR="00D82401" w:rsidRPr="00201CB4" w:rsidRDefault="00201CB4" w:rsidP="00D82401">
    <w:pPr>
      <w:spacing w:line="217" w:lineRule="exact"/>
      <w:ind w:left="1342" w:right="1389"/>
      <w:jc w:val="center"/>
      <w:rPr>
        <w:sz w:val="20"/>
      </w:rPr>
    </w:pPr>
    <w:r w:rsidRPr="00201CB4">
      <w:rPr>
        <w:sz w:val="15"/>
      </w:rPr>
      <w:t>p.</w:t>
    </w:r>
    <w:r w:rsidR="00D82401" w:rsidRPr="00201CB4">
      <w:rPr>
        <w:rFonts w:ascii="Times New Roman"/>
        <w:spacing w:val="74"/>
        <w:w w:val="150"/>
        <w:sz w:val="14"/>
      </w:rPr>
      <w:t xml:space="preserve"> </w:t>
    </w:r>
    <w:r w:rsidR="00D82401" w:rsidRPr="00201CB4">
      <w:rPr>
        <w:sz w:val="20"/>
      </w:rPr>
      <w:t>781-878-8850</w:t>
    </w:r>
    <w:r w:rsidR="00D82401" w:rsidRPr="00201CB4">
      <w:rPr>
        <w:spacing w:val="69"/>
        <w:sz w:val="20"/>
      </w:rPr>
      <w:t xml:space="preserve"> </w:t>
    </w:r>
    <w:r w:rsidR="00D82401" w:rsidRPr="00201CB4">
      <w:rPr>
        <w:sz w:val="19"/>
      </w:rPr>
      <w:t>f.</w:t>
    </w:r>
    <w:r w:rsidR="00D82401" w:rsidRPr="00201CB4">
      <w:rPr>
        <w:spacing w:val="3"/>
        <w:sz w:val="19"/>
      </w:rPr>
      <w:t xml:space="preserve"> </w:t>
    </w:r>
    <w:r w:rsidR="00D82401" w:rsidRPr="00201CB4">
      <w:rPr>
        <w:sz w:val="20"/>
      </w:rPr>
      <w:t>781-871-</w:t>
    </w:r>
    <w:r w:rsidR="00D82401" w:rsidRPr="00201CB4">
      <w:rPr>
        <w:spacing w:val="-4"/>
        <w:sz w:val="20"/>
      </w:rPr>
      <w:t>0250</w:t>
    </w:r>
  </w:p>
  <w:p w14:paraId="1841CE77" w14:textId="77777777" w:rsidR="00D82401" w:rsidRPr="00201CB4" w:rsidRDefault="00134B9D" w:rsidP="00D82401">
    <w:pPr>
      <w:pStyle w:val="BodyText"/>
      <w:spacing w:line="226" w:lineRule="exact"/>
      <w:ind w:left="1342" w:right="1404"/>
      <w:jc w:val="center"/>
    </w:pPr>
    <w:hyperlink r:id="rId1">
      <w:r w:rsidR="00D82401" w:rsidRPr="00201CB4">
        <w:rPr>
          <w:spacing w:val="-2"/>
        </w:rPr>
        <w:t>www.fscpas.net</w:t>
      </w:r>
    </w:hyperlink>
  </w:p>
  <w:p w14:paraId="68D1C00D" w14:textId="77777777" w:rsidR="00D82401" w:rsidRDefault="00D82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40FED" w14:textId="49056452" w:rsidR="00FC593D" w:rsidRDefault="00FC593D" w:rsidP="00FC593D">
    <w:pPr>
      <w:pStyle w:val="BodyText"/>
      <w:spacing w:before="13"/>
      <w:ind w:left="20"/>
      <w:jc w:val="center"/>
    </w:pPr>
    <w:r>
      <w:rPr>
        <w:w w:val="110"/>
      </w:rPr>
      <w:t>Page</w:t>
    </w:r>
    <w:r w:rsidR="003F459F">
      <w:rPr>
        <w:w w:val="110"/>
      </w:rPr>
      <w:t xml:space="preserve"> </w:t>
    </w:r>
    <w:r w:rsidRPr="003F459F">
      <w:rPr>
        <w:b/>
        <w:bCs/>
        <w:w w:val="110"/>
      </w:rPr>
      <w:fldChar w:fldCharType="begin"/>
    </w:r>
    <w:r w:rsidRPr="003F459F">
      <w:rPr>
        <w:b/>
        <w:bCs/>
        <w:w w:val="110"/>
      </w:rPr>
      <w:instrText xml:space="preserve"> PAGE </w:instrText>
    </w:r>
    <w:r w:rsidRPr="003F459F">
      <w:rPr>
        <w:b/>
        <w:bCs/>
        <w:w w:val="110"/>
      </w:rPr>
      <w:fldChar w:fldCharType="separate"/>
    </w:r>
    <w:r w:rsidRPr="003F459F">
      <w:rPr>
        <w:b/>
        <w:bCs/>
        <w:w w:val="110"/>
      </w:rPr>
      <w:t>2</w:t>
    </w:r>
    <w:r w:rsidRPr="003F459F">
      <w:rPr>
        <w:b/>
        <w:bCs/>
        <w:w w:val="110"/>
      </w:rPr>
      <w:fldChar w:fldCharType="end"/>
    </w:r>
    <w:r w:rsidR="003F459F">
      <w:rPr>
        <w:w w:val="110"/>
      </w:rPr>
      <w:t xml:space="preserve"> </w:t>
    </w:r>
    <w:r>
      <w:rPr>
        <w:w w:val="110"/>
      </w:rPr>
      <w:t>of</w:t>
    </w:r>
    <w:r>
      <w:rPr>
        <w:spacing w:val="9"/>
        <w:w w:val="110"/>
      </w:rPr>
      <w:t xml:space="preserve"> </w:t>
    </w:r>
    <w:r w:rsidRPr="003F459F">
      <w:rPr>
        <w:b/>
        <w:bCs/>
        <w:spacing w:val="-10"/>
        <w:w w:val="110"/>
      </w:rPr>
      <w:fldChar w:fldCharType="begin"/>
    </w:r>
    <w:r w:rsidRPr="003F459F">
      <w:rPr>
        <w:b/>
        <w:bCs/>
        <w:spacing w:val="-10"/>
        <w:w w:val="110"/>
      </w:rPr>
      <w:instrText xml:space="preserve"> NUMPAGES </w:instrText>
    </w:r>
    <w:r w:rsidRPr="003F459F">
      <w:rPr>
        <w:b/>
        <w:bCs/>
        <w:spacing w:val="-10"/>
        <w:w w:val="110"/>
      </w:rPr>
      <w:fldChar w:fldCharType="separate"/>
    </w:r>
    <w:r w:rsidRPr="003F459F">
      <w:rPr>
        <w:b/>
        <w:bCs/>
        <w:spacing w:val="-10"/>
        <w:w w:val="110"/>
      </w:rPr>
      <w:t>9</w:t>
    </w:r>
    <w:r w:rsidRPr="003F459F">
      <w:rPr>
        <w:b/>
        <w:bCs/>
        <w:spacing w:val="-10"/>
        <w:w w:val="110"/>
      </w:rPr>
      <w:fldChar w:fldCharType="end"/>
    </w:r>
  </w:p>
  <w:p w14:paraId="5B592446" w14:textId="77EC4C19" w:rsidR="00701342" w:rsidRDefault="0070134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D1594" w14:textId="77777777" w:rsidR="00F9299D" w:rsidRDefault="00F9299D">
      <w:r>
        <w:separator/>
      </w:r>
    </w:p>
  </w:footnote>
  <w:footnote w:type="continuationSeparator" w:id="0">
    <w:p w14:paraId="64EC3D6B" w14:textId="77777777" w:rsidR="00F9299D" w:rsidRDefault="00F92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171F"/>
    <w:multiLevelType w:val="hybridMultilevel"/>
    <w:tmpl w:val="727A3CA4"/>
    <w:lvl w:ilvl="0" w:tplc="C2667F94">
      <w:start w:val="4"/>
      <w:numFmt w:val="upperRoman"/>
      <w:lvlText w:val="%1."/>
      <w:lvlJc w:val="left"/>
      <w:pPr>
        <w:ind w:left="865" w:hanging="711"/>
        <w:jc w:val="left"/>
      </w:pPr>
      <w:rPr>
        <w:rFonts w:ascii="Arial" w:eastAsia="Arial" w:hAnsi="Arial" w:cs="Arial" w:hint="default"/>
        <w:b/>
        <w:bCs/>
        <w:i w:val="0"/>
        <w:iCs w:val="0"/>
        <w:spacing w:val="-1"/>
        <w:w w:val="87"/>
        <w:sz w:val="23"/>
        <w:szCs w:val="23"/>
        <w:lang w:val="en-US" w:eastAsia="en-US" w:bidi="ar-SA"/>
      </w:rPr>
    </w:lvl>
    <w:lvl w:ilvl="1" w:tplc="F94C9038">
      <w:numFmt w:val="bullet"/>
      <w:lvlText w:val="•"/>
      <w:lvlJc w:val="left"/>
      <w:pPr>
        <w:ind w:left="876" w:hanging="366"/>
      </w:pPr>
      <w:rPr>
        <w:rFonts w:ascii="Arial" w:eastAsia="Arial" w:hAnsi="Arial" w:cs="Arial" w:hint="default"/>
        <w:b w:val="0"/>
        <w:bCs w:val="0"/>
        <w:i w:val="0"/>
        <w:iCs w:val="0"/>
        <w:spacing w:val="0"/>
        <w:w w:val="90"/>
        <w:sz w:val="20"/>
        <w:szCs w:val="20"/>
        <w:lang w:val="en-US" w:eastAsia="en-US" w:bidi="ar-SA"/>
      </w:rPr>
    </w:lvl>
    <w:lvl w:ilvl="2" w:tplc="4DE0E136">
      <w:numFmt w:val="bullet"/>
      <w:lvlText w:val="•"/>
      <w:lvlJc w:val="left"/>
      <w:pPr>
        <w:ind w:left="1844" w:hanging="366"/>
      </w:pPr>
      <w:rPr>
        <w:rFonts w:hint="default"/>
        <w:lang w:val="en-US" w:eastAsia="en-US" w:bidi="ar-SA"/>
      </w:rPr>
    </w:lvl>
    <w:lvl w:ilvl="3" w:tplc="61B62196">
      <w:numFmt w:val="bullet"/>
      <w:lvlText w:val="•"/>
      <w:lvlJc w:val="left"/>
      <w:pPr>
        <w:ind w:left="2809" w:hanging="366"/>
      </w:pPr>
      <w:rPr>
        <w:rFonts w:hint="default"/>
        <w:lang w:val="en-US" w:eastAsia="en-US" w:bidi="ar-SA"/>
      </w:rPr>
    </w:lvl>
    <w:lvl w:ilvl="4" w:tplc="FEB632BA">
      <w:numFmt w:val="bullet"/>
      <w:lvlText w:val="•"/>
      <w:lvlJc w:val="left"/>
      <w:pPr>
        <w:ind w:left="3774" w:hanging="366"/>
      </w:pPr>
      <w:rPr>
        <w:rFonts w:hint="default"/>
        <w:lang w:val="en-US" w:eastAsia="en-US" w:bidi="ar-SA"/>
      </w:rPr>
    </w:lvl>
    <w:lvl w:ilvl="5" w:tplc="885CAE0E">
      <w:numFmt w:val="bullet"/>
      <w:lvlText w:val="•"/>
      <w:lvlJc w:val="left"/>
      <w:pPr>
        <w:ind w:left="4739" w:hanging="366"/>
      </w:pPr>
      <w:rPr>
        <w:rFonts w:hint="default"/>
        <w:lang w:val="en-US" w:eastAsia="en-US" w:bidi="ar-SA"/>
      </w:rPr>
    </w:lvl>
    <w:lvl w:ilvl="6" w:tplc="C79ADE8A">
      <w:numFmt w:val="bullet"/>
      <w:lvlText w:val="•"/>
      <w:lvlJc w:val="left"/>
      <w:pPr>
        <w:ind w:left="5704" w:hanging="366"/>
      </w:pPr>
      <w:rPr>
        <w:rFonts w:hint="default"/>
        <w:lang w:val="en-US" w:eastAsia="en-US" w:bidi="ar-SA"/>
      </w:rPr>
    </w:lvl>
    <w:lvl w:ilvl="7" w:tplc="FF18DED4">
      <w:numFmt w:val="bullet"/>
      <w:lvlText w:val="•"/>
      <w:lvlJc w:val="left"/>
      <w:pPr>
        <w:ind w:left="6669" w:hanging="366"/>
      </w:pPr>
      <w:rPr>
        <w:rFonts w:hint="default"/>
        <w:lang w:val="en-US" w:eastAsia="en-US" w:bidi="ar-SA"/>
      </w:rPr>
    </w:lvl>
    <w:lvl w:ilvl="8" w:tplc="254C23CC">
      <w:numFmt w:val="bullet"/>
      <w:lvlText w:val="•"/>
      <w:lvlJc w:val="left"/>
      <w:pPr>
        <w:ind w:left="7634" w:hanging="366"/>
      </w:pPr>
      <w:rPr>
        <w:rFonts w:hint="default"/>
        <w:lang w:val="en-US" w:eastAsia="en-US" w:bidi="ar-SA"/>
      </w:rPr>
    </w:lvl>
  </w:abstractNum>
  <w:abstractNum w:abstractNumId="1" w15:restartNumberingAfterBreak="0">
    <w:nsid w:val="057B02BB"/>
    <w:multiLevelType w:val="hybridMultilevel"/>
    <w:tmpl w:val="DD6E6ED4"/>
    <w:lvl w:ilvl="0" w:tplc="34BA1712">
      <w:start w:val="5"/>
      <w:numFmt w:val="upperRoman"/>
      <w:lvlText w:val="%1."/>
      <w:lvlJc w:val="left"/>
      <w:pPr>
        <w:ind w:left="889" w:hanging="763"/>
        <w:jc w:val="left"/>
      </w:pPr>
      <w:rPr>
        <w:rFonts w:ascii="Arial" w:eastAsia="Arial" w:hAnsi="Arial" w:cs="Arial" w:hint="default"/>
        <w:b/>
        <w:bCs/>
        <w:i w:val="0"/>
        <w:iCs w:val="0"/>
        <w:spacing w:val="-1"/>
        <w:w w:val="97"/>
        <w:sz w:val="20"/>
        <w:szCs w:val="20"/>
        <w:lang w:val="en-US" w:eastAsia="en-US" w:bidi="ar-SA"/>
      </w:rPr>
    </w:lvl>
    <w:lvl w:ilvl="1" w:tplc="653E6FE2">
      <w:numFmt w:val="bullet"/>
      <w:lvlText w:val="•"/>
      <w:lvlJc w:val="left"/>
      <w:pPr>
        <w:ind w:left="1740" w:hanging="763"/>
      </w:pPr>
      <w:rPr>
        <w:rFonts w:hint="default"/>
        <w:lang w:val="en-US" w:eastAsia="en-US" w:bidi="ar-SA"/>
      </w:rPr>
    </w:lvl>
    <w:lvl w:ilvl="2" w:tplc="9D64B344">
      <w:numFmt w:val="bullet"/>
      <w:lvlText w:val="•"/>
      <w:lvlJc w:val="left"/>
      <w:pPr>
        <w:ind w:left="2600" w:hanging="763"/>
      </w:pPr>
      <w:rPr>
        <w:rFonts w:hint="default"/>
        <w:lang w:val="en-US" w:eastAsia="en-US" w:bidi="ar-SA"/>
      </w:rPr>
    </w:lvl>
    <w:lvl w:ilvl="3" w:tplc="C7102EDA">
      <w:numFmt w:val="bullet"/>
      <w:lvlText w:val="•"/>
      <w:lvlJc w:val="left"/>
      <w:pPr>
        <w:ind w:left="3461" w:hanging="763"/>
      </w:pPr>
      <w:rPr>
        <w:rFonts w:hint="default"/>
        <w:lang w:val="en-US" w:eastAsia="en-US" w:bidi="ar-SA"/>
      </w:rPr>
    </w:lvl>
    <w:lvl w:ilvl="4" w:tplc="E3DCF59E">
      <w:numFmt w:val="bullet"/>
      <w:lvlText w:val="•"/>
      <w:lvlJc w:val="left"/>
      <w:pPr>
        <w:ind w:left="4321" w:hanging="763"/>
      </w:pPr>
      <w:rPr>
        <w:rFonts w:hint="default"/>
        <w:lang w:val="en-US" w:eastAsia="en-US" w:bidi="ar-SA"/>
      </w:rPr>
    </w:lvl>
    <w:lvl w:ilvl="5" w:tplc="47E6BC7A">
      <w:numFmt w:val="bullet"/>
      <w:lvlText w:val="•"/>
      <w:lvlJc w:val="left"/>
      <w:pPr>
        <w:ind w:left="5182" w:hanging="763"/>
      </w:pPr>
      <w:rPr>
        <w:rFonts w:hint="default"/>
        <w:lang w:val="en-US" w:eastAsia="en-US" w:bidi="ar-SA"/>
      </w:rPr>
    </w:lvl>
    <w:lvl w:ilvl="6" w:tplc="2A3EF008">
      <w:numFmt w:val="bullet"/>
      <w:lvlText w:val="•"/>
      <w:lvlJc w:val="left"/>
      <w:pPr>
        <w:ind w:left="6042" w:hanging="763"/>
      </w:pPr>
      <w:rPr>
        <w:rFonts w:hint="default"/>
        <w:lang w:val="en-US" w:eastAsia="en-US" w:bidi="ar-SA"/>
      </w:rPr>
    </w:lvl>
    <w:lvl w:ilvl="7" w:tplc="032AE44E">
      <w:numFmt w:val="bullet"/>
      <w:lvlText w:val="•"/>
      <w:lvlJc w:val="left"/>
      <w:pPr>
        <w:ind w:left="6903" w:hanging="763"/>
      </w:pPr>
      <w:rPr>
        <w:rFonts w:hint="default"/>
        <w:lang w:val="en-US" w:eastAsia="en-US" w:bidi="ar-SA"/>
      </w:rPr>
    </w:lvl>
    <w:lvl w:ilvl="8" w:tplc="03B471C6">
      <w:numFmt w:val="bullet"/>
      <w:lvlText w:val="•"/>
      <w:lvlJc w:val="left"/>
      <w:pPr>
        <w:ind w:left="7763" w:hanging="763"/>
      </w:pPr>
      <w:rPr>
        <w:rFonts w:hint="default"/>
        <w:lang w:val="en-US" w:eastAsia="en-US" w:bidi="ar-SA"/>
      </w:rPr>
    </w:lvl>
  </w:abstractNum>
  <w:abstractNum w:abstractNumId="2" w15:restartNumberingAfterBreak="0">
    <w:nsid w:val="2A553648"/>
    <w:multiLevelType w:val="hybridMultilevel"/>
    <w:tmpl w:val="499661EA"/>
    <w:lvl w:ilvl="0" w:tplc="C7DA7A5A">
      <w:start w:val="1"/>
      <w:numFmt w:val="upperRoman"/>
      <w:lvlText w:val="%1."/>
      <w:lvlJc w:val="left"/>
      <w:pPr>
        <w:ind w:left="814" w:hanging="697"/>
        <w:jc w:val="left"/>
      </w:pPr>
      <w:rPr>
        <w:rFonts w:hint="default"/>
        <w:spacing w:val="-1"/>
        <w:w w:val="108"/>
        <w:lang w:val="en-US" w:eastAsia="en-US" w:bidi="ar-SA"/>
      </w:rPr>
    </w:lvl>
    <w:lvl w:ilvl="1" w:tplc="480A2528">
      <w:numFmt w:val="bullet"/>
      <w:lvlText w:val="•"/>
      <w:lvlJc w:val="left"/>
      <w:pPr>
        <w:ind w:left="1697" w:hanging="697"/>
      </w:pPr>
      <w:rPr>
        <w:rFonts w:hint="default"/>
        <w:lang w:val="en-US" w:eastAsia="en-US" w:bidi="ar-SA"/>
      </w:rPr>
    </w:lvl>
    <w:lvl w:ilvl="2" w:tplc="B800665C">
      <w:numFmt w:val="bullet"/>
      <w:lvlText w:val="•"/>
      <w:lvlJc w:val="left"/>
      <w:pPr>
        <w:ind w:left="2575" w:hanging="697"/>
      </w:pPr>
      <w:rPr>
        <w:rFonts w:hint="default"/>
        <w:lang w:val="en-US" w:eastAsia="en-US" w:bidi="ar-SA"/>
      </w:rPr>
    </w:lvl>
    <w:lvl w:ilvl="3" w:tplc="2F149810">
      <w:numFmt w:val="bullet"/>
      <w:lvlText w:val="•"/>
      <w:lvlJc w:val="left"/>
      <w:pPr>
        <w:ind w:left="3453" w:hanging="697"/>
      </w:pPr>
      <w:rPr>
        <w:rFonts w:hint="default"/>
        <w:lang w:val="en-US" w:eastAsia="en-US" w:bidi="ar-SA"/>
      </w:rPr>
    </w:lvl>
    <w:lvl w:ilvl="4" w:tplc="241803E2">
      <w:numFmt w:val="bullet"/>
      <w:lvlText w:val="•"/>
      <w:lvlJc w:val="left"/>
      <w:pPr>
        <w:ind w:left="4331" w:hanging="697"/>
      </w:pPr>
      <w:rPr>
        <w:rFonts w:hint="default"/>
        <w:lang w:val="en-US" w:eastAsia="en-US" w:bidi="ar-SA"/>
      </w:rPr>
    </w:lvl>
    <w:lvl w:ilvl="5" w:tplc="3332500C">
      <w:numFmt w:val="bullet"/>
      <w:lvlText w:val="•"/>
      <w:lvlJc w:val="left"/>
      <w:pPr>
        <w:ind w:left="5208" w:hanging="697"/>
      </w:pPr>
      <w:rPr>
        <w:rFonts w:hint="default"/>
        <w:lang w:val="en-US" w:eastAsia="en-US" w:bidi="ar-SA"/>
      </w:rPr>
    </w:lvl>
    <w:lvl w:ilvl="6" w:tplc="2B8E68AE">
      <w:numFmt w:val="bullet"/>
      <w:lvlText w:val="•"/>
      <w:lvlJc w:val="left"/>
      <w:pPr>
        <w:ind w:left="6086" w:hanging="697"/>
      </w:pPr>
      <w:rPr>
        <w:rFonts w:hint="default"/>
        <w:lang w:val="en-US" w:eastAsia="en-US" w:bidi="ar-SA"/>
      </w:rPr>
    </w:lvl>
    <w:lvl w:ilvl="7" w:tplc="71B21AF8">
      <w:numFmt w:val="bullet"/>
      <w:lvlText w:val="•"/>
      <w:lvlJc w:val="left"/>
      <w:pPr>
        <w:ind w:left="6964" w:hanging="697"/>
      </w:pPr>
      <w:rPr>
        <w:rFonts w:hint="default"/>
        <w:lang w:val="en-US" w:eastAsia="en-US" w:bidi="ar-SA"/>
      </w:rPr>
    </w:lvl>
    <w:lvl w:ilvl="8" w:tplc="21BA47F6">
      <w:numFmt w:val="bullet"/>
      <w:lvlText w:val="•"/>
      <w:lvlJc w:val="left"/>
      <w:pPr>
        <w:ind w:left="7842" w:hanging="697"/>
      </w:pPr>
      <w:rPr>
        <w:rFonts w:hint="default"/>
        <w:lang w:val="en-US" w:eastAsia="en-US" w:bidi="ar-SA"/>
      </w:rPr>
    </w:lvl>
  </w:abstractNum>
  <w:abstractNum w:abstractNumId="3" w15:restartNumberingAfterBreak="0">
    <w:nsid w:val="4A294C12"/>
    <w:multiLevelType w:val="hybridMultilevel"/>
    <w:tmpl w:val="06D0D7FC"/>
    <w:lvl w:ilvl="0" w:tplc="91EA248A">
      <w:start w:val="1"/>
      <w:numFmt w:val="decimal"/>
      <w:lvlText w:val="(%1)"/>
      <w:lvlJc w:val="left"/>
      <w:pPr>
        <w:ind w:left="114" w:hanging="338"/>
        <w:jc w:val="left"/>
      </w:pPr>
      <w:rPr>
        <w:rFonts w:ascii="Arial" w:eastAsia="Arial" w:hAnsi="Arial" w:cs="Arial" w:hint="default"/>
        <w:b w:val="0"/>
        <w:bCs w:val="0"/>
        <w:i w:val="0"/>
        <w:iCs w:val="0"/>
        <w:spacing w:val="-1"/>
        <w:w w:val="100"/>
        <w:sz w:val="20"/>
        <w:szCs w:val="20"/>
        <w:lang w:val="en-US" w:eastAsia="en-US" w:bidi="ar-SA"/>
      </w:rPr>
    </w:lvl>
    <w:lvl w:ilvl="1" w:tplc="180E29DE">
      <w:numFmt w:val="bullet"/>
      <w:lvlText w:val="•"/>
      <w:lvlJc w:val="left"/>
      <w:pPr>
        <w:ind w:left="1063" w:hanging="338"/>
      </w:pPr>
      <w:rPr>
        <w:rFonts w:hint="default"/>
        <w:lang w:val="en-US" w:eastAsia="en-US" w:bidi="ar-SA"/>
      </w:rPr>
    </w:lvl>
    <w:lvl w:ilvl="2" w:tplc="847AB31E">
      <w:numFmt w:val="bullet"/>
      <w:lvlText w:val="•"/>
      <w:lvlJc w:val="left"/>
      <w:pPr>
        <w:ind w:left="2006" w:hanging="338"/>
      </w:pPr>
      <w:rPr>
        <w:rFonts w:hint="default"/>
        <w:lang w:val="en-US" w:eastAsia="en-US" w:bidi="ar-SA"/>
      </w:rPr>
    </w:lvl>
    <w:lvl w:ilvl="3" w:tplc="38EE5248">
      <w:numFmt w:val="bullet"/>
      <w:lvlText w:val="•"/>
      <w:lvlJc w:val="left"/>
      <w:pPr>
        <w:ind w:left="2950" w:hanging="338"/>
      </w:pPr>
      <w:rPr>
        <w:rFonts w:hint="default"/>
        <w:lang w:val="en-US" w:eastAsia="en-US" w:bidi="ar-SA"/>
      </w:rPr>
    </w:lvl>
    <w:lvl w:ilvl="4" w:tplc="0530638A">
      <w:numFmt w:val="bullet"/>
      <w:lvlText w:val="•"/>
      <w:lvlJc w:val="left"/>
      <w:pPr>
        <w:ind w:left="3893" w:hanging="338"/>
      </w:pPr>
      <w:rPr>
        <w:rFonts w:hint="default"/>
        <w:lang w:val="en-US" w:eastAsia="en-US" w:bidi="ar-SA"/>
      </w:rPr>
    </w:lvl>
    <w:lvl w:ilvl="5" w:tplc="41DE386A">
      <w:numFmt w:val="bullet"/>
      <w:lvlText w:val="•"/>
      <w:lvlJc w:val="left"/>
      <w:pPr>
        <w:ind w:left="4837" w:hanging="338"/>
      </w:pPr>
      <w:rPr>
        <w:rFonts w:hint="default"/>
        <w:lang w:val="en-US" w:eastAsia="en-US" w:bidi="ar-SA"/>
      </w:rPr>
    </w:lvl>
    <w:lvl w:ilvl="6" w:tplc="CC14C7CA">
      <w:numFmt w:val="bullet"/>
      <w:lvlText w:val="•"/>
      <w:lvlJc w:val="left"/>
      <w:pPr>
        <w:ind w:left="5780" w:hanging="338"/>
      </w:pPr>
      <w:rPr>
        <w:rFonts w:hint="default"/>
        <w:lang w:val="en-US" w:eastAsia="en-US" w:bidi="ar-SA"/>
      </w:rPr>
    </w:lvl>
    <w:lvl w:ilvl="7" w:tplc="393AC408">
      <w:numFmt w:val="bullet"/>
      <w:lvlText w:val="•"/>
      <w:lvlJc w:val="left"/>
      <w:pPr>
        <w:ind w:left="6724" w:hanging="338"/>
      </w:pPr>
      <w:rPr>
        <w:rFonts w:hint="default"/>
        <w:lang w:val="en-US" w:eastAsia="en-US" w:bidi="ar-SA"/>
      </w:rPr>
    </w:lvl>
    <w:lvl w:ilvl="8" w:tplc="FEA80A08">
      <w:numFmt w:val="bullet"/>
      <w:lvlText w:val="•"/>
      <w:lvlJc w:val="left"/>
      <w:pPr>
        <w:ind w:left="7667" w:hanging="338"/>
      </w:pPr>
      <w:rPr>
        <w:rFonts w:hint="default"/>
        <w:lang w:val="en-US" w:eastAsia="en-US" w:bidi="ar-SA"/>
      </w:rPr>
    </w:lvl>
  </w:abstractNum>
  <w:abstractNum w:abstractNumId="4" w15:restartNumberingAfterBreak="0">
    <w:nsid w:val="60DA5BAF"/>
    <w:multiLevelType w:val="hybridMultilevel"/>
    <w:tmpl w:val="60EEF7C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5F0028C"/>
    <w:multiLevelType w:val="hybridMultilevel"/>
    <w:tmpl w:val="8E7C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1C2A7C"/>
    <w:multiLevelType w:val="hybridMultilevel"/>
    <w:tmpl w:val="0F0E0FE8"/>
    <w:lvl w:ilvl="0" w:tplc="BE4030BC">
      <w:start w:val="1"/>
      <w:numFmt w:val="upperLetter"/>
      <w:lvlText w:val="%1."/>
      <w:lvlJc w:val="left"/>
      <w:pPr>
        <w:ind w:left="865" w:hanging="355"/>
        <w:jc w:val="left"/>
      </w:pPr>
      <w:rPr>
        <w:rFonts w:hint="default"/>
        <w:spacing w:val="0"/>
        <w:w w:val="97"/>
        <w:lang w:val="en-US" w:eastAsia="en-US" w:bidi="ar-SA"/>
      </w:rPr>
    </w:lvl>
    <w:lvl w:ilvl="1" w:tplc="F7923824">
      <w:numFmt w:val="bullet"/>
      <w:lvlText w:val="•"/>
      <w:lvlJc w:val="left"/>
      <w:pPr>
        <w:ind w:left="1730" w:hanging="355"/>
      </w:pPr>
      <w:rPr>
        <w:rFonts w:hint="default"/>
        <w:lang w:val="en-US" w:eastAsia="en-US" w:bidi="ar-SA"/>
      </w:rPr>
    </w:lvl>
    <w:lvl w:ilvl="2" w:tplc="1C0AF2F2">
      <w:numFmt w:val="bullet"/>
      <w:lvlText w:val="•"/>
      <w:lvlJc w:val="left"/>
      <w:pPr>
        <w:ind w:left="2600" w:hanging="355"/>
      </w:pPr>
      <w:rPr>
        <w:rFonts w:hint="default"/>
        <w:lang w:val="en-US" w:eastAsia="en-US" w:bidi="ar-SA"/>
      </w:rPr>
    </w:lvl>
    <w:lvl w:ilvl="3" w:tplc="C5725D46">
      <w:numFmt w:val="bullet"/>
      <w:lvlText w:val="•"/>
      <w:lvlJc w:val="left"/>
      <w:pPr>
        <w:ind w:left="3470" w:hanging="355"/>
      </w:pPr>
      <w:rPr>
        <w:rFonts w:hint="default"/>
        <w:lang w:val="en-US" w:eastAsia="en-US" w:bidi="ar-SA"/>
      </w:rPr>
    </w:lvl>
    <w:lvl w:ilvl="4" w:tplc="A8F4071C">
      <w:numFmt w:val="bullet"/>
      <w:lvlText w:val="•"/>
      <w:lvlJc w:val="left"/>
      <w:pPr>
        <w:ind w:left="4340" w:hanging="355"/>
      </w:pPr>
      <w:rPr>
        <w:rFonts w:hint="default"/>
        <w:lang w:val="en-US" w:eastAsia="en-US" w:bidi="ar-SA"/>
      </w:rPr>
    </w:lvl>
    <w:lvl w:ilvl="5" w:tplc="036C8B2A">
      <w:numFmt w:val="bullet"/>
      <w:lvlText w:val="•"/>
      <w:lvlJc w:val="left"/>
      <w:pPr>
        <w:ind w:left="5211" w:hanging="355"/>
      </w:pPr>
      <w:rPr>
        <w:rFonts w:hint="default"/>
        <w:lang w:val="en-US" w:eastAsia="en-US" w:bidi="ar-SA"/>
      </w:rPr>
    </w:lvl>
    <w:lvl w:ilvl="6" w:tplc="61EE7BD4">
      <w:numFmt w:val="bullet"/>
      <w:lvlText w:val="•"/>
      <w:lvlJc w:val="left"/>
      <w:pPr>
        <w:ind w:left="6081" w:hanging="355"/>
      </w:pPr>
      <w:rPr>
        <w:rFonts w:hint="default"/>
        <w:lang w:val="en-US" w:eastAsia="en-US" w:bidi="ar-SA"/>
      </w:rPr>
    </w:lvl>
    <w:lvl w:ilvl="7" w:tplc="F6F47CF4">
      <w:numFmt w:val="bullet"/>
      <w:lvlText w:val="•"/>
      <w:lvlJc w:val="left"/>
      <w:pPr>
        <w:ind w:left="6951" w:hanging="355"/>
      </w:pPr>
      <w:rPr>
        <w:rFonts w:hint="default"/>
        <w:lang w:val="en-US" w:eastAsia="en-US" w:bidi="ar-SA"/>
      </w:rPr>
    </w:lvl>
    <w:lvl w:ilvl="8" w:tplc="0990129A">
      <w:numFmt w:val="bullet"/>
      <w:lvlText w:val="•"/>
      <w:lvlJc w:val="left"/>
      <w:pPr>
        <w:ind w:left="7821" w:hanging="355"/>
      </w:pPr>
      <w:rPr>
        <w:rFonts w:hint="default"/>
        <w:lang w:val="en-US" w:eastAsia="en-US" w:bidi="ar-SA"/>
      </w:rPr>
    </w:lvl>
  </w:abstractNum>
  <w:abstractNum w:abstractNumId="7" w15:restartNumberingAfterBreak="0">
    <w:nsid w:val="6C5E3161"/>
    <w:multiLevelType w:val="hybridMultilevel"/>
    <w:tmpl w:val="3814A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F94EE0"/>
    <w:multiLevelType w:val="hybridMultilevel"/>
    <w:tmpl w:val="371E004E"/>
    <w:lvl w:ilvl="0" w:tplc="F9CCC704">
      <w:start w:val="4"/>
      <w:numFmt w:val="upperRoman"/>
      <w:lvlText w:val="%1."/>
      <w:lvlJc w:val="left"/>
      <w:pPr>
        <w:ind w:left="821" w:hanging="714"/>
        <w:jc w:val="left"/>
      </w:pPr>
      <w:rPr>
        <w:rFonts w:hint="default"/>
        <w:spacing w:val="-1"/>
        <w:w w:val="102"/>
        <w:lang w:val="en-US" w:eastAsia="en-US" w:bidi="ar-SA"/>
      </w:rPr>
    </w:lvl>
    <w:lvl w:ilvl="1" w:tplc="A088ED1C">
      <w:numFmt w:val="bullet"/>
      <w:lvlText w:val="•"/>
      <w:lvlJc w:val="left"/>
      <w:pPr>
        <w:ind w:left="828" w:hanging="362"/>
      </w:pPr>
      <w:rPr>
        <w:rFonts w:ascii="Arial" w:eastAsia="Arial" w:hAnsi="Arial" w:cs="Arial" w:hint="default"/>
        <w:b w:val="0"/>
        <w:bCs w:val="0"/>
        <w:i w:val="0"/>
        <w:iCs w:val="0"/>
        <w:spacing w:val="0"/>
        <w:w w:val="111"/>
        <w:sz w:val="20"/>
        <w:szCs w:val="20"/>
        <w:lang w:val="en-US" w:eastAsia="en-US" w:bidi="ar-SA"/>
      </w:rPr>
    </w:lvl>
    <w:lvl w:ilvl="2" w:tplc="E606F0AA">
      <w:numFmt w:val="bullet"/>
      <w:lvlText w:val="•"/>
      <w:lvlJc w:val="left"/>
      <w:pPr>
        <w:ind w:left="2552" w:hanging="362"/>
      </w:pPr>
      <w:rPr>
        <w:rFonts w:hint="default"/>
        <w:lang w:val="en-US" w:eastAsia="en-US" w:bidi="ar-SA"/>
      </w:rPr>
    </w:lvl>
    <w:lvl w:ilvl="3" w:tplc="46FA6B98">
      <w:numFmt w:val="bullet"/>
      <w:lvlText w:val="•"/>
      <w:lvlJc w:val="left"/>
      <w:pPr>
        <w:ind w:left="3419" w:hanging="362"/>
      </w:pPr>
      <w:rPr>
        <w:rFonts w:hint="default"/>
        <w:lang w:val="en-US" w:eastAsia="en-US" w:bidi="ar-SA"/>
      </w:rPr>
    </w:lvl>
    <w:lvl w:ilvl="4" w:tplc="337C6732">
      <w:numFmt w:val="bullet"/>
      <w:lvlText w:val="•"/>
      <w:lvlJc w:val="left"/>
      <w:pPr>
        <w:ind w:left="4285" w:hanging="362"/>
      </w:pPr>
      <w:rPr>
        <w:rFonts w:hint="default"/>
        <w:lang w:val="en-US" w:eastAsia="en-US" w:bidi="ar-SA"/>
      </w:rPr>
    </w:lvl>
    <w:lvl w:ilvl="5" w:tplc="7278E17A">
      <w:numFmt w:val="bullet"/>
      <w:lvlText w:val="•"/>
      <w:lvlJc w:val="left"/>
      <w:pPr>
        <w:ind w:left="5152" w:hanging="362"/>
      </w:pPr>
      <w:rPr>
        <w:rFonts w:hint="default"/>
        <w:lang w:val="en-US" w:eastAsia="en-US" w:bidi="ar-SA"/>
      </w:rPr>
    </w:lvl>
    <w:lvl w:ilvl="6" w:tplc="C6E032F2">
      <w:numFmt w:val="bullet"/>
      <w:lvlText w:val="•"/>
      <w:lvlJc w:val="left"/>
      <w:pPr>
        <w:ind w:left="6018" w:hanging="362"/>
      </w:pPr>
      <w:rPr>
        <w:rFonts w:hint="default"/>
        <w:lang w:val="en-US" w:eastAsia="en-US" w:bidi="ar-SA"/>
      </w:rPr>
    </w:lvl>
    <w:lvl w:ilvl="7" w:tplc="FC26F220">
      <w:numFmt w:val="bullet"/>
      <w:lvlText w:val="•"/>
      <w:lvlJc w:val="left"/>
      <w:pPr>
        <w:ind w:left="6884" w:hanging="362"/>
      </w:pPr>
      <w:rPr>
        <w:rFonts w:hint="default"/>
        <w:lang w:val="en-US" w:eastAsia="en-US" w:bidi="ar-SA"/>
      </w:rPr>
    </w:lvl>
    <w:lvl w:ilvl="8" w:tplc="80F4AC74">
      <w:numFmt w:val="bullet"/>
      <w:lvlText w:val="•"/>
      <w:lvlJc w:val="left"/>
      <w:pPr>
        <w:ind w:left="7751" w:hanging="362"/>
      </w:pPr>
      <w:rPr>
        <w:rFonts w:hint="default"/>
        <w:lang w:val="en-US" w:eastAsia="en-US" w:bidi="ar-SA"/>
      </w:rPr>
    </w:lvl>
  </w:abstractNum>
  <w:abstractNum w:abstractNumId="9" w15:restartNumberingAfterBreak="0">
    <w:nsid w:val="78F10FA0"/>
    <w:multiLevelType w:val="hybridMultilevel"/>
    <w:tmpl w:val="60EEF7C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4D5EC9"/>
    <w:multiLevelType w:val="hybridMultilevel"/>
    <w:tmpl w:val="60EEF7C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A880C6D"/>
    <w:multiLevelType w:val="hybridMultilevel"/>
    <w:tmpl w:val="57E2E5B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8588036">
    <w:abstractNumId w:val="1"/>
  </w:num>
  <w:num w:numId="2" w16cid:durableId="1286503998">
    <w:abstractNumId w:val="3"/>
  </w:num>
  <w:num w:numId="3" w16cid:durableId="1688211294">
    <w:abstractNumId w:val="6"/>
  </w:num>
  <w:num w:numId="4" w16cid:durableId="981693012">
    <w:abstractNumId w:val="0"/>
  </w:num>
  <w:num w:numId="5" w16cid:durableId="779493769">
    <w:abstractNumId w:val="8"/>
  </w:num>
  <w:num w:numId="6" w16cid:durableId="1955205360">
    <w:abstractNumId w:val="2"/>
  </w:num>
  <w:num w:numId="7" w16cid:durableId="760031056">
    <w:abstractNumId w:val="5"/>
  </w:num>
  <w:num w:numId="8" w16cid:durableId="840506160">
    <w:abstractNumId w:val="7"/>
  </w:num>
  <w:num w:numId="9" w16cid:durableId="422845190">
    <w:abstractNumId w:val="4"/>
  </w:num>
  <w:num w:numId="10" w16cid:durableId="295910925">
    <w:abstractNumId w:val="9"/>
  </w:num>
  <w:num w:numId="11" w16cid:durableId="511998031">
    <w:abstractNumId w:val="10"/>
  </w:num>
  <w:num w:numId="12" w16cid:durableId="19338564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42"/>
    <w:rsid w:val="000047F7"/>
    <w:rsid w:val="000256C4"/>
    <w:rsid w:val="000351D4"/>
    <w:rsid w:val="00076B00"/>
    <w:rsid w:val="000C4F69"/>
    <w:rsid w:val="00134B9D"/>
    <w:rsid w:val="001D182F"/>
    <w:rsid w:val="00201CB4"/>
    <w:rsid w:val="00205B48"/>
    <w:rsid w:val="00207DE7"/>
    <w:rsid w:val="0021500B"/>
    <w:rsid w:val="00215EFE"/>
    <w:rsid w:val="00267B65"/>
    <w:rsid w:val="00287900"/>
    <w:rsid w:val="00290D7C"/>
    <w:rsid w:val="002F185D"/>
    <w:rsid w:val="00335F4B"/>
    <w:rsid w:val="00390761"/>
    <w:rsid w:val="003A2B7A"/>
    <w:rsid w:val="003C1B64"/>
    <w:rsid w:val="003C3D9E"/>
    <w:rsid w:val="003C6B45"/>
    <w:rsid w:val="003D3874"/>
    <w:rsid w:val="003F459F"/>
    <w:rsid w:val="004A1EC3"/>
    <w:rsid w:val="004A6D8E"/>
    <w:rsid w:val="004C1317"/>
    <w:rsid w:val="004E7C4C"/>
    <w:rsid w:val="00536157"/>
    <w:rsid w:val="005703DE"/>
    <w:rsid w:val="005A7FBA"/>
    <w:rsid w:val="005B704B"/>
    <w:rsid w:val="005B7B21"/>
    <w:rsid w:val="005E50A4"/>
    <w:rsid w:val="00614A5C"/>
    <w:rsid w:val="0065600D"/>
    <w:rsid w:val="0066432E"/>
    <w:rsid w:val="00701342"/>
    <w:rsid w:val="00735057"/>
    <w:rsid w:val="00750416"/>
    <w:rsid w:val="00763932"/>
    <w:rsid w:val="00777740"/>
    <w:rsid w:val="007823DE"/>
    <w:rsid w:val="007B27FF"/>
    <w:rsid w:val="007C7BCB"/>
    <w:rsid w:val="007E6F6E"/>
    <w:rsid w:val="007F0D8B"/>
    <w:rsid w:val="008163A8"/>
    <w:rsid w:val="00854FB2"/>
    <w:rsid w:val="00884F48"/>
    <w:rsid w:val="008873DB"/>
    <w:rsid w:val="0089623B"/>
    <w:rsid w:val="00933B36"/>
    <w:rsid w:val="00955981"/>
    <w:rsid w:val="009928A7"/>
    <w:rsid w:val="009D70EE"/>
    <w:rsid w:val="009E496E"/>
    <w:rsid w:val="00B35948"/>
    <w:rsid w:val="00B43F46"/>
    <w:rsid w:val="00BB1616"/>
    <w:rsid w:val="00BB1E1C"/>
    <w:rsid w:val="00BB7AF1"/>
    <w:rsid w:val="00BC7808"/>
    <w:rsid w:val="00C13F10"/>
    <w:rsid w:val="00C307E0"/>
    <w:rsid w:val="00C438A8"/>
    <w:rsid w:val="00CB4EB4"/>
    <w:rsid w:val="00D25F6E"/>
    <w:rsid w:val="00D4476F"/>
    <w:rsid w:val="00D82401"/>
    <w:rsid w:val="00DB337E"/>
    <w:rsid w:val="00DC2626"/>
    <w:rsid w:val="00DD6115"/>
    <w:rsid w:val="00DE239B"/>
    <w:rsid w:val="00E5101F"/>
    <w:rsid w:val="00E7245E"/>
    <w:rsid w:val="00E83A56"/>
    <w:rsid w:val="00E87BB3"/>
    <w:rsid w:val="00EA034F"/>
    <w:rsid w:val="00EA404C"/>
    <w:rsid w:val="00F32AF1"/>
    <w:rsid w:val="00F36A13"/>
    <w:rsid w:val="00F46394"/>
    <w:rsid w:val="00F839EA"/>
    <w:rsid w:val="00F84D87"/>
    <w:rsid w:val="00F9299D"/>
    <w:rsid w:val="00FC19CA"/>
    <w:rsid w:val="00FC593D"/>
    <w:rsid w:val="00FD4063"/>
    <w:rsid w:val="00FE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9220C"/>
  <w15:docId w15:val="{048DF0DC-DE86-4B3C-8D01-4FBB7847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25" w:hanging="757"/>
      <w:outlineLvl w:val="0"/>
    </w:pPr>
    <w:rPr>
      <w:b/>
      <w:bCs/>
      <w:sz w:val="23"/>
      <w:szCs w:val="23"/>
      <w:u w:val="single" w:color="000000"/>
    </w:rPr>
  </w:style>
  <w:style w:type="paragraph" w:styleId="Heading2">
    <w:name w:val="heading 2"/>
    <w:basedOn w:val="Normal"/>
    <w:uiPriority w:val="9"/>
    <w:unhideWhenUsed/>
    <w:qFormat/>
    <w:pPr>
      <w:spacing w:before="63"/>
      <w:ind w:left="124"/>
      <w:outlineLvl w:val="1"/>
    </w:pPr>
    <w:rPr>
      <w:b/>
      <w:bCs/>
      <w:sz w:val="23"/>
      <w:szCs w:val="23"/>
      <w:u w:val="single" w:color="000000"/>
    </w:rPr>
  </w:style>
  <w:style w:type="paragraph" w:styleId="Heading3">
    <w:name w:val="heading 3"/>
    <w:basedOn w:val="Normal"/>
    <w:uiPriority w:val="9"/>
    <w:unhideWhenUsed/>
    <w:qFormat/>
    <w:pPr>
      <w:ind w:left="115" w:hanging="697"/>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8"/>
      <w:ind w:left="4259" w:right="2988" w:firstLine="3"/>
      <w:jc w:val="center"/>
    </w:pPr>
    <w:rPr>
      <w:sz w:val="39"/>
      <w:szCs w:val="39"/>
    </w:rPr>
  </w:style>
  <w:style w:type="paragraph" w:styleId="ListParagraph">
    <w:name w:val="List Paragraph"/>
    <w:basedOn w:val="Normal"/>
    <w:uiPriority w:val="34"/>
    <w:qFormat/>
    <w:pPr>
      <w:ind w:left="114" w:hanging="366"/>
    </w:pPr>
  </w:style>
  <w:style w:type="paragraph" w:customStyle="1" w:styleId="TableParagraph">
    <w:name w:val="Table Paragraph"/>
    <w:basedOn w:val="Normal"/>
    <w:uiPriority w:val="1"/>
    <w:qFormat/>
  </w:style>
  <w:style w:type="paragraph" w:styleId="NoSpacing">
    <w:name w:val="No Spacing"/>
    <w:uiPriority w:val="1"/>
    <w:qFormat/>
    <w:rsid w:val="00D82401"/>
    <w:pPr>
      <w:widowControl/>
      <w:autoSpaceDE/>
      <w:autoSpaceDN/>
    </w:pPr>
    <w:rPr>
      <w:kern w:val="2"/>
      <w14:ligatures w14:val="standardContextual"/>
    </w:rPr>
  </w:style>
  <w:style w:type="paragraph" w:styleId="Header">
    <w:name w:val="header"/>
    <w:basedOn w:val="Normal"/>
    <w:link w:val="HeaderChar"/>
    <w:uiPriority w:val="99"/>
    <w:unhideWhenUsed/>
    <w:rsid w:val="00D82401"/>
    <w:pPr>
      <w:tabs>
        <w:tab w:val="center" w:pos="4680"/>
        <w:tab w:val="right" w:pos="9360"/>
      </w:tabs>
    </w:pPr>
  </w:style>
  <w:style w:type="character" w:customStyle="1" w:styleId="HeaderChar">
    <w:name w:val="Header Char"/>
    <w:basedOn w:val="DefaultParagraphFont"/>
    <w:link w:val="Header"/>
    <w:uiPriority w:val="99"/>
    <w:rsid w:val="00D82401"/>
    <w:rPr>
      <w:rFonts w:ascii="Arial" w:eastAsia="Arial" w:hAnsi="Arial" w:cs="Arial"/>
    </w:rPr>
  </w:style>
  <w:style w:type="paragraph" w:styleId="Footer">
    <w:name w:val="footer"/>
    <w:basedOn w:val="Normal"/>
    <w:link w:val="FooterChar"/>
    <w:uiPriority w:val="99"/>
    <w:unhideWhenUsed/>
    <w:rsid w:val="00D82401"/>
    <w:pPr>
      <w:tabs>
        <w:tab w:val="center" w:pos="4680"/>
        <w:tab w:val="right" w:pos="9360"/>
      </w:tabs>
    </w:pPr>
  </w:style>
  <w:style w:type="character" w:customStyle="1" w:styleId="FooterChar">
    <w:name w:val="Footer Char"/>
    <w:basedOn w:val="DefaultParagraphFont"/>
    <w:link w:val="Footer"/>
    <w:uiPriority w:val="99"/>
    <w:rsid w:val="00D82401"/>
    <w:rPr>
      <w:rFonts w:ascii="Arial" w:eastAsia="Arial" w:hAnsi="Arial" w:cs="Arial"/>
    </w:rPr>
  </w:style>
  <w:style w:type="table" w:styleId="TableGrid">
    <w:name w:val="Table Grid"/>
    <w:basedOn w:val="TableNormal"/>
    <w:uiPriority w:val="39"/>
    <w:rsid w:val="00DB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fscpa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8</Pages>
  <Words>2645</Words>
  <Characters>15079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Brett (DPH)</dc:creator>
  <cp:lastModifiedBy>Marks, Brett (DPH)</cp:lastModifiedBy>
  <cp:revision>83</cp:revision>
  <dcterms:created xsi:type="dcterms:W3CDTF">2024-07-26T13:20:00Z</dcterms:created>
  <dcterms:modified xsi:type="dcterms:W3CDTF">2024-07-26T15:35:00Z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SS Manager for fi Series 1.0.0</vt:lpwstr>
  </property>
  <property fmtid="{D5CDD505-2E9C-101B-9397-08002B2CF9AE}" pid="4" name="IMAN_SMARTDOC">
    <vt:lpwstr>&lt;im&gt;    &lt;properties xmlns="http://www.imanage.com/work/xmlschema"&gt;      &lt;documentid&gt;KBIMANAGE!2110847.1&lt;/documentid&gt;      &lt;senderid&gt;ET&lt;/senderid&gt;      &lt;senderemail&gt;ETHAPA@KB-LAW.COM&lt;/senderemail&gt;      &lt;lastmodified&gt;2024-06-24T20:52:47.6755596Z&lt;/lastmodified&gt;      &lt;database&gt;KBIMANAGE&lt;/database&gt;    &lt;/properties&gt;  &lt;/im&gt;</vt:lpwstr>
  </property>
  <property fmtid="{D5CDD505-2E9C-101B-9397-08002B2CF9AE}" pid="5" name="LastSaved">
    <vt:filetime>2024-07-26T00:00:00Z</vt:filetime>
  </property>
  <property fmtid="{D5CDD505-2E9C-101B-9397-08002B2CF9AE}" pid="6" name="Producer">
    <vt:lpwstr>Adobe PDF Scan Library 3.1</vt:lpwstr>
  </property>
</Properties>
</file>