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F21EE5" w14:textId="77777777" w:rsidR="00422383" w:rsidRDefault="00422383" w:rsidP="00422383">
      <w:pPr>
        <w:pStyle w:val="Title"/>
      </w:pPr>
      <w:r>
        <w:t>COMMONWEALTH OF MASSACHUSETTS</w:t>
      </w:r>
    </w:p>
    <w:p w14:paraId="5597F408" w14:textId="77777777" w:rsidR="00422383" w:rsidRDefault="00422383" w:rsidP="00422383">
      <w:pPr>
        <w:jc w:val="center"/>
        <w:rPr>
          <w:rFonts w:ascii="Courier New" w:hAnsi="Courier New" w:cs="Courier New"/>
          <w:b/>
          <w:bCs/>
        </w:rPr>
      </w:pPr>
    </w:p>
    <w:p w14:paraId="4179C3A1" w14:textId="77777777" w:rsidR="00422383" w:rsidRDefault="00422383" w:rsidP="00422383">
      <w:pPr>
        <w:jc w:val="center"/>
        <w:rPr>
          <w:rFonts w:ascii="Courier New" w:hAnsi="Courier New" w:cs="Courier New"/>
          <w:b/>
          <w:bCs/>
        </w:rPr>
      </w:pPr>
      <w:r>
        <w:rPr>
          <w:rFonts w:ascii="Courier New" w:hAnsi="Courier New" w:cs="Courier New"/>
          <w:b/>
          <w:bCs/>
        </w:rPr>
        <w:t>APPELLATE TAX BOARD</w:t>
      </w:r>
    </w:p>
    <w:p w14:paraId="7752C077" w14:textId="77777777" w:rsidR="00422383" w:rsidRDefault="00422383" w:rsidP="00422383">
      <w:pPr>
        <w:jc w:val="both"/>
        <w:rPr>
          <w:rFonts w:ascii="Courier New" w:hAnsi="Courier New" w:cs="Courier New"/>
          <w:b/>
          <w:bCs/>
        </w:rPr>
      </w:pPr>
    </w:p>
    <w:p w14:paraId="3CAE9249" w14:textId="77777777" w:rsidR="00422383" w:rsidRDefault="00422383" w:rsidP="00422383">
      <w:pPr>
        <w:jc w:val="both"/>
        <w:rPr>
          <w:rFonts w:ascii="Courier New" w:hAnsi="Courier New" w:cs="Courier New"/>
          <w:b/>
          <w:bCs/>
        </w:rPr>
      </w:pPr>
    </w:p>
    <w:p w14:paraId="102EDA82" w14:textId="77777777" w:rsidR="00422383" w:rsidRDefault="00422383" w:rsidP="00422383">
      <w:pPr>
        <w:pStyle w:val="Heading1"/>
        <w:tabs>
          <w:tab w:val="left" w:pos="4320"/>
        </w:tabs>
      </w:pPr>
      <w:proofErr w:type="gramStart"/>
      <w:r>
        <w:t>CRAFTS AVENUE REALTY TRUST     v.</w:t>
      </w:r>
      <w:proofErr w:type="gramEnd"/>
      <w:r>
        <w:tab/>
        <w:t xml:space="preserve"> BOARD OF ASSESSORS OF  </w:t>
      </w:r>
    </w:p>
    <w:p w14:paraId="7081547D" w14:textId="77777777" w:rsidR="00422383" w:rsidRPr="00AE247F" w:rsidRDefault="00422383" w:rsidP="00422383">
      <w:pPr>
        <w:pStyle w:val="Heading1"/>
        <w:ind w:left="3600" w:hanging="3600"/>
      </w:pPr>
      <w:r>
        <w:tab/>
      </w:r>
      <w:r>
        <w:tab/>
      </w:r>
      <w:r>
        <w:tab/>
        <w:t> THE CITY OF NORTHAMPTON</w:t>
      </w:r>
    </w:p>
    <w:p w14:paraId="2C932025" w14:textId="77777777" w:rsidR="00422383" w:rsidRDefault="00422383" w:rsidP="00422383">
      <w:pPr>
        <w:jc w:val="both"/>
        <w:rPr>
          <w:rFonts w:ascii="Courier New" w:hAnsi="Courier New" w:cs="Courier New"/>
        </w:rPr>
      </w:pPr>
    </w:p>
    <w:p w14:paraId="52CE55A3" w14:textId="0F2E0D24" w:rsidR="007078BC" w:rsidRDefault="00422383" w:rsidP="00422383">
      <w:pPr>
        <w:jc w:val="both"/>
        <w:rPr>
          <w:rFonts w:ascii="Courier New" w:hAnsi="Courier New" w:cs="Courier New"/>
        </w:rPr>
      </w:pPr>
      <w:r>
        <w:rPr>
          <w:rFonts w:ascii="Courier New" w:hAnsi="Courier New" w:cs="Courier New"/>
        </w:rPr>
        <w:t>Docket No</w:t>
      </w:r>
      <w:r w:rsidRPr="007078BC">
        <w:rPr>
          <w:rFonts w:ascii="Courier New" w:hAnsi="Courier New" w:cs="Courier New"/>
        </w:rPr>
        <w:t>s</w:t>
      </w:r>
      <w:r w:rsidR="00302FD7">
        <w:rPr>
          <w:rFonts w:ascii="Courier New" w:hAnsi="Courier New" w:cs="Courier New"/>
        </w:rPr>
        <w:t>.</w:t>
      </w:r>
      <w:r>
        <w:rPr>
          <w:rFonts w:ascii="Courier New" w:hAnsi="Courier New" w:cs="Courier New"/>
        </w:rPr>
        <w:t xml:space="preserve"> </w:t>
      </w:r>
      <w:r w:rsidR="007078BC">
        <w:rPr>
          <w:rFonts w:ascii="Courier New" w:hAnsi="Courier New" w:cs="Courier New"/>
        </w:rPr>
        <w:t>F324094</w:t>
      </w:r>
      <w:r w:rsidR="00153376">
        <w:rPr>
          <w:rFonts w:ascii="Courier New" w:hAnsi="Courier New" w:cs="Courier New"/>
        </w:rPr>
        <w:t>, F326771,</w:t>
      </w:r>
      <w:r w:rsidR="0005524D" w:rsidRPr="0005524D">
        <w:rPr>
          <w:rFonts w:ascii="Courier New" w:hAnsi="Courier New" w:cs="Courier New"/>
        </w:rPr>
        <w:t xml:space="preserve"> </w:t>
      </w:r>
      <w:r w:rsidR="0005524D">
        <w:rPr>
          <w:rFonts w:ascii="Courier New" w:hAnsi="Courier New" w:cs="Courier New"/>
        </w:rPr>
        <w:t>      Promulgated</w:t>
      </w:r>
      <w:r w:rsidR="001E6EFF">
        <w:rPr>
          <w:rFonts w:ascii="Courier New" w:hAnsi="Courier New" w:cs="Courier New"/>
        </w:rPr>
        <w:t>:</w:t>
      </w:r>
    </w:p>
    <w:p w14:paraId="0E39F666" w14:textId="4CB4E492" w:rsidR="00422383" w:rsidRDefault="00153376" w:rsidP="00422383">
      <w:pPr>
        <w:jc w:val="both"/>
        <w:rPr>
          <w:rFonts w:ascii="Courier New" w:hAnsi="Courier New" w:cs="Courier New"/>
        </w:rPr>
      </w:pPr>
      <w:r>
        <w:rPr>
          <w:rFonts w:ascii="Courier New" w:hAnsi="Courier New" w:cs="Courier New"/>
        </w:rPr>
        <w:tab/>
      </w:r>
      <w:r>
        <w:rPr>
          <w:rFonts w:ascii="Courier New" w:hAnsi="Courier New" w:cs="Courier New"/>
        </w:rPr>
        <w:tab/>
        <w:t xml:space="preserve">  F330944, F334009</w:t>
      </w:r>
      <w:r>
        <w:rPr>
          <w:rFonts w:ascii="Courier New" w:hAnsi="Courier New" w:cs="Courier New"/>
        </w:rPr>
        <w:tab/>
      </w:r>
      <w:r w:rsidR="00422383">
        <w:rPr>
          <w:rFonts w:ascii="Courier New" w:hAnsi="Courier New" w:cs="Courier New"/>
        </w:rPr>
        <w:t xml:space="preserve"> </w:t>
      </w:r>
      <w:r>
        <w:rPr>
          <w:rFonts w:ascii="Courier New" w:hAnsi="Courier New" w:cs="Courier New"/>
        </w:rPr>
        <w:t xml:space="preserve">     </w:t>
      </w:r>
      <w:r w:rsidR="00FF2185">
        <w:rPr>
          <w:rFonts w:ascii="Courier New" w:hAnsi="Courier New" w:cs="Courier New"/>
        </w:rPr>
        <w:t>October 24, 2018</w:t>
      </w:r>
      <w:bookmarkStart w:id="0" w:name="_GoBack"/>
      <w:bookmarkEnd w:id="0"/>
      <w:r w:rsidR="00422383">
        <w:rPr>
          <w:rFonts w:ascii="Courier New" w:hAnsi="Courier New" w:cs="Courier New"/>
        </w:rPr>
        <w:tab/>
      </w:r>
      <w:r w:rsidR="00422383">
        <w:rPr>
          <w:rFonts w:ascii="Courier New" w:hAnsi="Courier New" w:cs="Courier New"/>
        </w:rPr>
        <w:tab/>
      </w:r>
      <w:r w:rsidR="00422383">
        <w:rPr>
          <w:rFonts w:ascii="Courier New" w:hAnsi="Courier New" w:cs="Courier New"/>
        </w:rPr>
        <w:tab/>
      </w:r>
      <w:r w:rsidR="00422383">
        <w:rPr>
          <w:rFonts w:ascii="Courier New" w:hAnsi="Courier New" w:cs="Courier New"/>
        </w:rPr>
        <w:tab/>
      </w:r>
      <w:r w:rsidR="00422383">
        <w:rPr>
          <w:rFonts w:ascii="Courier New" w:hAnsi="Courier New" w:cs="Courier New"/>
        </w:rPr>
        <w:tab/>
      </w:r>
      <w:r w:rsidR="00422383">
        <w:rPr>
          <w:rFonts w:ascii="Courier New" w:hAnsi="Courier New" w:cs="Courier New"/>
        </w:rPr>
        <w:tab/>
        <w:t xml:space="preserve">    </w:t>
      </w:r>
      <w:r w:rsidR="0005524D">
        <w:rPr>
          <w:rFonts w:ascii="Courier New" w:hAnsi="Courier New" w:cs="Courier New"/>
        </w:rPr>
        <w:tab/>
      </w:r>
      <w:r w:rsidR="0005524D">
        <w:rPr>
          <w:rFonts w:ascii="Courier New" w:hAnsi="Courier New" w:cs="Courier New"/>
        </w:rPr>
        <w:tab/>
      </w:r>
      <w:r w:rsidR="0005524D">
        <w:rPr>
          <w:rFonts w:ascii="Courier New" w:hAnsi="Courier New" w:cs="Courier New"/>
        </w:rPr>
        <w:tab/>
      </w:r>
      <w:r w:rsidR="0005524D">
        <w:rPr>
          <w:rFonts w:ascii="Courier New" w:hAnsi="Courier New" w:cs="Courier New"/>
        </w:rPr>
        <w:tab/>
        <w:t xml:space="preserve"> </w:t>
      </w:r>
    </w:p>
    <w:p w14:paraId="60AE6219" w14:textId="77777777" w:rsidR="00422383" w:rsidRDefault="00422383" w:rsidP="00422383">
      <w:pPr>
        <w:jc w:val="both"/>
        <w:rPr>
          <w:rFonts w:ascii="Courier New" w:hAnsi="Courier New" w:cs="Courier New"/>
        </w:rPr>
      </w:pP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r>
        <w:rPr>
          <w:rFonts w:ascii="Courier New" w:hAnsi="Courier New" w:cs="Courier New"/>
        </w:rPr>
        <w:tab/>
      </w:r>
    </w:p>
    <w:p w14:paraId="1CF63805" w14:textId="3AA60C2E" w:rsidR="00422383" w:rsidRDefault="00422383" w:rsidP="00422383">
      <w:pPr>
        <w:spacing w:line="480" w:lineRule="auto"/>
        <w:jc w:val="both"/>
        <w:rPr>
          <w:rFonts w:ascii="Courier New" w:hAnsi="Courier New" w:cs="Courier New"/>
        </w:rPr>
      </w:pPr>
      <w:r>
        <w:rPr>
          <w:rFonts w:ascii="Courier New" w:hAnsi="Courier New" w:cs="Courier New"/>
        </w:rPr>
        <w:tab/>
      </w:r>
      <w:r w:rsidRPr="007078BC">
        <w:rPr>
          <w:rFonts w:ascii="Courier New" w:hAnsi="Courier New" w:cs="Courier New"/>
        </w:rPr>
        <w:t>These</w:t>
      </w:r>
      <w:r>
        <w:rPr>
          <w:rFonts w:ascii="Courier New" w:hAnsi="Courier New" w:cs="Courier New"/>
        </w:rPr>
        <w:t xml:space="preserve"> are appeals </w:t>
      </w:r>
      <w:r w:rsidR="001E6EFF">
        <w:rPr>
          <w:rFonts w:ascii="Courier New" w:hAnsi="Courier New" w:cs="Courier New"/>
        </w:rPr>
        <w:t xml:space="preserve">heard </w:t>
      </w:r>
      <w:r>
        <w:rPr>
          <w:rFonts w:ascii="Courier New" w:hAnsi="Courier New" w:cs="Courier New"/>
        </w:rPr>
        <w:t xml:space="preserve">under the </w:t>
      </w:r>
      <w:r w:rsidRPr="00676B87">
        <w:rPr>
          <w:rFonts w:ascii="Courier New" w:hAnsi="Courier New" w:cs="Courier New"/>
        </w:rPr>
        <w:t>formal</w:t>
      </w:r>
      <w:r>
        <w:rPr>
          <w:rFonts w:ascii="Courier New" w:hAnsi="Courier New" w:cs="Courier New"/>
        </w:rPr>
        <w:t xml:space="preserve"> procedure pursuant to G.L. c. 58A, </w:t>
      </w:r>
      <w:r w:rsidRPr="00676B87">
        <w:rPr>
          <w:rFonts w:ascii="Courier New" w:hAnsi="Courier New" w:cs="Courier New"/>
        </w:rPr>
        <w:t>§ 7</w:t>
      </w:r>
      <w:r>
        <w:rPr>
          <w:rFonts w:ascii="Courier New" w:hAnsi="Courier New" w:cs="Courier New"/>
        </w:rPr>
        <w:t xml:space="preserve"> and G.L. c. 59, §§ 64 and 65, from the refusal of the Board of Assessors of the City of Northampton (“appellee” or “assessors”) to abate taxes on a certain parcel of real estate located in Northampto</w:t>
      </w:r>
      <w:r w:rsidR="00302FD7">
        <w:rPr>
          <w:rFonts w:ascii="Courier New" w:hAnsi="Courier New" w:cs="Courier New"/>
        </w:rPr>
        <w:t>n owned by and assessed to Alan</w:t>
      </w:r>
      <w:r>
        <w:rPr>
          <w:rFonts w:ascii="Courier New" w:hAnsi="Courier New" w:cs="Courier New"/>
        </w:rPr>
        <w:t xml:space="preserve"> and Marguerite </w:t>
      </w:r>
      <w:proofErr w:type="spellStart"/>
      <w:r>
        <w:rPr>
          <w:rFonts w:ascii="Courier New" w:hAnsi="Courier New" w:cs="Courier New"/>
        </w:rPr>
        <w:t>Hankowski</w:t>
      </w:r>
      <w:proofErr w:type="spellEnd"/>
      <w:r>
        <w:rPr>
          <w:rFonts w:ascii="Courier New" w:hAnsi="Courier New" w:cs="Courier New"/>
        </w:rPr>
        <w:t>, trustees of the Crafts Avenue Realty Trust (“appellant”), under G.L.</w:t>
      </w:r>
      <w:r w:rsidR="0005524D">
        <w:rPr>
          <w:rFonts w:ascii="Courier New" w:hAnsi="Courier New" w:cs="Courier New"/>
        </w:rPr>
        <w:t> </w:t>
      </w:r>
      <w:r>
        <w:rPr>
          <w:rFonts w:ascii="Courier New" w:hAnsi="Courier New" w:cs="Courier New"/>
        </w:rPr>
        <w:t xml:space="preserve">c. 59, §§ 11 and 38, for fiscal years </w:t>
      </w:r>
      <w:r w:rsidR="00A3782A">
        <w:rPr>
          <w:rFonts w:ascii="Courier New" w:hAnsi="Courier New" w:cs="Courier New"/>
        </w:rPr>
        <w:t>2014, 2015</w:t>
      </w:r>
      <w:r w:rsidR="008579B3">
        <w:rPr>
          <w:rFonts w:ascii="Courier New" w:hAnsi="Courier New" w:cs="Courier New"/>
        </w:rPr>
        <w:t>,</w:t>
      </w:r>
      <w:r w:rsidRPr="00A3782A">
        <w:rPr>
          <w:rFonts w:ascii="Courier New" w:hAnsi="Courier New" w:cs="Courier New"/>
        </w:rPr>
        <w:t xml:space="preserve"> 2016</w:t>
      </w:r>
      <w:r w:rsidR="00302FD7">
        <w:rPr>
          <w:rFonts w:ascii="Courier New" w:hAnsi="Courier New" w:cs="Courier New"/>
        </w:rPr>
        <w:t>,</w:t>
      </w:r>
      <w:r w:rsidR="008579B3">
        <w:rPr>
          <w:rFonts w:ascii="Courier New" w:hAnsi="Courier New" w:cs="Courier New"/>
        </w:rPr>
        <w:t xml:space="preserve"> and 2017</w:t>
      </w:r>
      <w:r>
        <w:rPr>
          <w:rFonts w:ascii="Courier New" w:hAnsi="Courier New" w:cs="Courier New"/>
        </w:rPr>
        <w:t xml:space="preserve"> (“fiscal years at issue”).</w:t>
      </w:r>
    </w:p>
    <w:p w14:paraId="2CCFD09D" w14:textId="74BADC0A" w:rsidR="00422383" w:rsidRDefault="00422383" w:rsidP="00422383">
      <w:pPr>
        <w:pStyle w:val="BodyText2"/>
        <w:spacing w:after="0"/>
        <w:jc w:val="both"/>
        <w:rPr>
          <w:rFonts w:ascii="Courier New" w:hAnsi="Courier New" w:cs="Courier New"/>
        </w:rPr>
      </w:pPr>
      <w:r>
        <w:tab/>
      </w:r>
      <w:r>
        <w:rPr>
          <w:rFonts w:ascii="Courier New" w:hAnsi="Courier New" w:cs="Courier New"/>
        </w:rPr>
        <w:t xml:space="preserve">Commissioner </w:t>
      </w:r>
      <w:r w:rsidRPr="004A6CF3">
        <w:rPr>
          <w:rFonts w:ascii="Courier New" w:hAnsi="Courier New" w:cs="Courier New"/>
        </w:rPr>
        <w:t>Rose</w:t>
      </w:r>
      <w:r w:rsidRPr="00B86AF5">
        <w:rPr>
          <w:rFonts w:ascii="Courier New" w:hAnsi="Courier New" w:cs="Courier New"/>
        </w:rPr>
        <w:t xml:space="preserve"> heard</w:t>
      </w:r>
      <w:r>
        <w:rPr>
          <w:rFonts w:ascii="Courier New" w:hAnsi="Courier New" w:cs="Courier New"/>
        </w:rPr>
        <w:t xml:space="preserve"> these appeals.  Chairman Hammond </w:t>
      </w:r>
      <w:r w:rsidRPr="007731F6">
        <w:rPr>
          <w:rFonts w:ascii="Courier New" w:hAnsi="Courier New" w:cs="Courier New"/>
        </w:rPr>
        <w:t xml:space="preserve">and Commissioners </w:t>
      </w:r>
      <w:r w:rsidRPr="004A6CF3">
        <w:rPr>
          <w:rFonts w:ascii="Courier New" w:hAnsi="Courier New" w:cs="Courier New"/>
        </w:rPr>
        <w:t>Scharaffa, Chmielinski</w:t>
      </w:r>
      <w:r w:rsidR="00302FD7">
        <w:rPr>
          <w:rFonts w:ascii="Courier New" w:hAnsi="Courier New" w:cs="Courier New"/>
        </w:rPr>
        <w:t>,</w:t>
      </w:r>
      <w:r w:rsidRPr="004A6CF3">
        <w:rPr>
          <w:rFonts w:ascii="Courier New" w:hAnsi="Courier New" w:cs="Courier New"/>
        </w:rPr>
        <w:t xml:space="preserve"> and Good</w:t>
      </w:r>
      <w:r w:rsidR="004A6CF3">
        <w:rPr>
          <w:rFonts w:ascii="Courier New" w:hAnsi="Courier New" w:cs="Courier New"/>
        </w:rPr>
        <w:t xml:space="preserve"> joined him in the decision</w:t>
      </w:r>
      <w:r w:rsidR="001E6EFF">
        <w:rPr>
          <w:rFonts w:ascii="Courier New" w:hAnsi="Courier New" w:cs="Courier New"/>
        </w:rPr>
        <w:t>s</w:t>
      </w:r>
      <w:r>
        <w:rPr>
          <w:rFonts w:ascii="Courier New" w:hAnsi="Courier New" w:cs="Courier New"/>
        </w:rPr>
        <w:t xml:space="preserve"> for the appellee. </w:t>
      </w:r>
      <w:r w:rsidRPr="00B86AF5">
        <w:rPr>
          <w:rFonts w:ascii="Courier New" w:hAnsi="Courier New" w:cs="Courier New"/>
        </w:rPr>
        <w:t xml:space="preserve"> </w:t>
      </w:r>
    </w:p>
    <w:p w14:paraId="3B82E4BD" w14:textId="77777777" w:rsidR="00422383" w:rsidRPr="00B86AF5" w:rsidRDefault="00422383" w:rsidP="00422383">
      <w:pPr>
        <w:pStyle w:val="BodyText2"/>
        <w:spacing w:after="0"/>
        <w:ind w:firstLine="720"/>
        <w:jc w:val="both"/>
        <w:rPr>
          <w:rFonts w:ascii="Courier New" w:hAnsi="Courier New" w:cs="Courier New"/>
        </w:rPr>
      </w:pPr>
      <w:r w:rsidRPr="00B86AF5">
        <w:rPr>
          <w:rFonts w:ascii="Courier New" w:hAnsi="Courier New" w:cs="Courier New"/>
        </w:rPr>
        <w:t xml:space="preserve">These findings of fact and report are made pursuant to a </w:t>
      </w:r>
      <w:r w:rsidRPr="007731F6">
        <w:rPr>
          <w:rFonts w:ascii="Courier New" w:hAnsi="Courier New" w:cs="Courier New"/>
        </w:rPr>
        <w:t>request by the appellant</w:t>
      </w:r>
      <w:r w:rsidRPr="00B86AF5">
        <w:rPr>
          <w:rFonts w:ascii="Courier New" w:hAnsi="Courier New" w:cs="Courier New"/>
        </w:rPr>
        <w:t xml:space="preserve"> under G.L. c. 58A, § 13 and 831 CMR 1.32. </w:t>
      </w:r>
    </w:p>
    <w:p w14:paraId="278DE800" w14:textId="77777777" w:rsidR="00422383" w:rsidRDefault="00422383" w:rsidP="00422383">
      <w:pPr>
        <w:jc w:val="both"/>
        <w:rPr>
          <w:rFonts w:ascii="Courier New" w:hAnsi="Courier New" w:cs="Courier New"/>
        </w:rPr>
      </w:pPr>
    </w:p>
    <w:p w14:paraId="0A0A0A77" w14:textId="3F987427" w:rsidR="00422383" w:rsidRDefault="00422383" w:rsidP="00422383">
      <w:pPr>
        <w:jc w:val="both"/>
        <w:rPr>
          <w:rFonts w:ascii="Courier New" w:hAnsi="Courier New" w:cs="Courier New"/>
        </w:rPr>
      </w:pPr>
      <w:r>
        <w:rPr>
          <w:rFonts w:ascii="Courier New" w:hAnsi="Courier New" w:cs="Courier New"/>
        </w:rPr>
        <w:tab/>
      </w:r>
      <w:proofErr w:type="gramStart"/>
      <w:r w:rsidR="00302FD7">
        <w:rPr>
          <w:rFonts w:ascii="Courier New" w:hAnsi="Courier New" w:cs="Courier New"/>
          <w:i/>
        </w:rPr>
        <w:t>Ala</w:t>
      </w:r>
      <w:r w:rsidR="00EB2F93" w:rsidRPr="00EB2F93">
        <w:rPr>
          <w:rFonts w:ascii="Courier New" w:hAnsi="Courier New" w:cs="Courier New"/>
          <w:i/>
        </w:rPr>
        <w:t xml:space="preserve">n and Marguerite </w:t>
      </w:r>
      <w:proofErr w:type="spellStart"/>
      <w:r w:rsidR="00EB2F93" w:rsidRPr="00EB2F93">
        <w:rPr>
          <w:rFonts w:ascii="Courier New" w:hAnsi="Courier New" w:cs="Courier New"/>
          <w:i/>
        </w:rPr>
        <w:t>Hankowski</w:t>
      </w:r>
      <w:proofErr w:type="spellEnd"/>
      <w:r w:rsidR="00302FD7">
        <w:rPr>
          <w:rFonts w:ascii="Courier New" w:hAnsi="Courier New" w:cs="Courier New"/>
          <w:i/>
        </w:rPr>
        <w:t>, pro se</w:t>
      </w:r>
      <w:r w:rsidR="001E6EFF">
        <w:rPr>
          <w:rFonts w:ascii="Courier New" w:hAnsi="Courier New" w:cs="Courier New"/>
        </w:rPr>
        <w:t>,</w:t>
      </w:r>
      <w:r>
        <w:rPr>
          <w:rFonts w:ascii="Courier New" w:hAnsi="Courier New" w:cs="Courier New"/>
        </w:rPr>
        <w:t xml:space="preserve"> for the appellant.</w:t>
      </w:r>
      <w:proofErr w:type="gramEnd"/>
    </w:p>
    <w:p w14:paraId="3E402F21" w14:textId="77777777" w:rsidR="00422383" w:rsidRDefault="00422383" w:rsidP="00422383">
      <w:pPr>
        <w:jc w:val="both"/>
        <w:rPr>
          <w:rFonts w:ascii="Courier New" w:hAnsi="Courier New" w:cs="Courier New"/>
        </w:rPr>
      </w:pPr>
    </w:p>
    <w:p w14:paraId="1D648ADB" w14:textId="49654BA7" w:rsidR="00EB2F93" w:rsidRDefault="00422383" w:rsidP="00422383">
      <w:pPr>
        <w:jc w:val="both"/>
        <w:rPr>
          <w:rFonts w:ascii="Courier New" w:hAnsi="Courier New" w:cs="Courier New"/>
        </w:rPr>
      </w:pPr>
      <w:r>
        <w:rPr>
          <w:rFonts w:ascii="Courier New" w:hAnsi="Courier New" w:cs="Courier New"/>
        </w:rPr>
        <w:tab/>
      </w:r>
      <w:proofErr w:type="gramStart"/>
      <w:r w:rsidR="00EB2F93" w:rsidRPr="00EB2F93">
        <w:rPr>
          <w:rFonts w:ascii="Courier New" w:hAnsi="Courier New" w:cs="Courier New"/>
          <w:i/>
        </w:rPr>
        <w:t xml:space="preserve">Kenneth </w:t>
      </w:r>
      <w:r w:rsidR="0005524D">
        <w:rPr>
          <w:rFonts w:ascii="Courier New" w:hAnsi="Courier New" w:cs="Courier New"/>
          <w:i/>
        </w:rPr>
        <w:t xml:space="preserve">W. </w:t>
      </w:r>
      <w:proofErr w:type="spellStart"/>
      <w:r w:rsidR="00EB2F93" w:rsidRPr="00EB2F93">
        <w:rPr>
          <w:rFonts w:ascii="Courier New" w:hAnsi="Courier New" w:cs="Courier New"/>
          <w:i/>
        </w:rPr>
        <w:t>Gurge</w:t>
      </w:r>
      <w:proofErr w:type="spellEnd"/>
      <w:r w:rsidR="00EB2F93">
        <w:rPr>
          <w:rFonts w:ascii="Courier New" w:hAnsi="Courier New" w:cs="Courier New"/>
        </w:rPr>
        <w:t>, Esq.</w:t>
      </w:r>
      <w:r>
        <w:rPr>
          <w:rFonts w:ascii="Courier New" w:hAnsi="Courier New" w:cs="Courier New"/>
        </w:rPr>
        <w:t xml:space="preserve"> for the appellee.</w:t>
      </w:r>
      <w:proofErr w:type="gramEnd"/>
      <w:r>
        <w:rPr>
          <w:rFonts w:ascii="Courier New" w:hAnsi="Courier New" w:cs="Courier New"/>
        </w:rPr>
        <w:t xml:space="preserve">  </w:t>
      </w:r>
    </w:p>
    <w:p w14:paraId="66031D89" w14:textId="77777777" w:rsidR="00422383" w:rsidRDefault="00422383" w:rsidP="00422383">
      <w:pPr>
        <w:pStyle w:val="Heading2"/>
        <w:spacing w:line="480" w:lineRule="auto"/>
      </w:pPr>
      <w:r>
        <w:lastRenderedPageBreak/>
        <w:t>FINDINGS OF FACT AND REPORT</w:t>
      </w:r>
    </w:p>
    <w:p w14:paraId="2090F51A" w14:textId="77777777" w:rsidR="00422383" w:rsidRDefault="00422383" w:rsidP="00422383">
      <w:pPr>
        <w:spacing w:line="480" w:lineRule="auto"/>
        <w:ind w:firstLine="720"/>
        <w:jc w:val="both"/>
        <w:rPr>
          <w:rFonts w:ascii="Courier New" w:hAnsi="Courier New" w:cs="Courier New"/>
        </w:rPr>
      </w:pPr>
      <w:r>
        <w:rPr>
          <w:rFonts w:ascii="Courier New" w:hAnsi="Courier New" w:cs="Courier New"/>
        </w:rPr>
        <w:t>On the basis of testimony and exhibits offered into evidence at the hearing of these appeals, the Appellate Tax Board (“Board”) made the following findings of fact.</w:t>
      </w:r>
    </w:p>
    <w:p w14:paraId="53617659" w14:textId="731F0F8A" w:rsidR="00DA1A70" w:rsidRDefault="006C6FC1" w:rsidP="00422383">
      <w:pPr>
        <w:spacing w:line="480" w:lineRule="auto"/>
        <w:ind w:firstLine="720"/>
        <w:jc w:val="both"/>
        <w:rPr>
          <w:rFonts w:ascii="Courier New" w:hAnsi="Courier New" w:cs="Courier New"/>
        </w:rPr>
      </w:pPr>
      <w:r>
        <w:rPr>
          <w:rFonts w:ascii="Courier New" w:hAnsi="Courier New" w:cs="Courier New"/>
        </w:rPr>
        <w:t xml:space="preserve">On </w:t>
      </w:r>
      <w:r w:rsidR="00295289">
        <w:rPr>
          <w:rFonts w:ascii="Courier New" w:hAnsi="Courier New" w:cs="Courier New"/>
        </w:rPr>
        <w:t>January 1, 2013</w:t>
      </w:r>
      <w:r w:rsidR="00422383">
        <w:rPr>
          <w:rFonts w:ascii="Courier New" w:hAnsi="Courier New" w:cs="Courier New"/>
        </w:rPr>
        <w:t>,</w:t>
      </w:r>
      <w:r w:rsidR="008579B3">
        <w:rPr>
          <w:rFonts w:ascii="Courier New" w:hAnsi="Courier New" w:cs="Courier New"/>
        </w:rPr>
        <w:t xml:space="preserve"> January 1, 2014, </w:t>
      </w:r>
      <w:r w:rsidR="00DA1A70">
        <w:rPr>
          <w:rFonts w:ascii="Courier New" w:hAnsi="Courier New" w:cs="Courier New"/>
        </w:rPr>
        <w:t>January 1, 2015,</w:t>
      </w:r>
      <w:r w:rsidR="008579B3">
        <w:rPr>
          <w:rFonts w:ascii="Courier New" w:hAnsi="Courier New" w:cs="Courier New"/>
        </w:rPr>
        <w:t xml:space="preserve"> and January 1, 2016,</w:t>
      </w:r>
      <w:r w:rsidR="00422383">
        <w:rPr>
          <w:rFonts w:ascii="Courier New" w:hAnsi="Courier New" w:cs="Courier New"/>
        </w:rPr>
        <w:t xml:space="preserve"> the relevant valuation and assessment </w:t>
      </w:r>
      <w:r w:rsidR="00DA1A70">
        <w:rPr>
          <w:rFonts w:ascii="Courier New" w:hAnsi="Courier New" w:cs="Courier New"/>
        </w:rPr>
        <w:t>dates for the fiscal years at issue</w:t>
      </w:r>
      <w:r w:rsidR="00422383">
        <w:rPr>
          <w:rFonts w:ascii="Courier New" w:hAnsi="Courier New" w:cs="Courier New"/>
        </w:rPr>
        <w:t xml:space="preserve">, the appellant was the assessed owner of a </w:t>
      </w:r>
      <w:r w:rsidR="000D03A4">
        <w:rPr>
          <w:rFonts w:ascii="Courier New" w:hAnsi="Courier New" w:cs="Courier New"/>
        </w:rPr>
        <w:t>0.041-acre</w:t>
      </w:r>
      <w:r w:rsidR="00422383">
        <w:rPr>
          <w:rFonts w:ascii="Courier New" w:hAnsi="Courier New" w:cs="Courier New"/>
        </w:rPr>
        <w:t xml:space="preserve"> parcel of land </w:t>
      </w:r>
      <w:r w:rsidR="00295289">
        <w:rPr>
          <w:rFonts w:ascii="Courier New" w:hAnsi="Courier New" w:cs="Courier New"/>
        </w:rPr>
        <w:t xml:space="preserve">improved with a </w:t>
      </w:r>
      <w:r w:rsidR="00677EDA">
        <w:rPr>
          <w:rFonts w:ascii="Courier New" w:hAnsi="Courier New" w:cs="Courier New"/>
        </w:rPr>
        <w:t xml:space="preserve">mixed-use apartment and office </w:t>
      </w:r>
      <w:r w:rsidR="00295289">
        <w:rPr>
          <w:rFonts w:ascii="Courier New" w:hAnsi="Courier New" w:cs="Courier New"/>
        </w:rPr>
        <w:t>building</w:t>
      </w:r>
      <w:r w:rsidR="00422383">
        <w:rPr>
          <w:rFonts w:ascii="Courier New" w:hAnsi="Courier New" w:cs="Courier New"/>
        </w:rPr>
        <w:t xml:space="preserve"> (“subject building”) </w:t>
      </w:r>
      <w:r w:rsidR="00295289">
        <w:rPr>
          <w:rFonts w:ascii="Courier New" w:hAnsi="Courier New" w:cs="Courier New"/>
        </w:rPr>
        <w:t>located at 24 Crafts Avenue in Northampton (“subject property”)</w:t>
      </w:r>
      <w:r w:rsidR="00422383" w:rsidRPr="00F2547C">
        <w:rPr>
          <w:rFonts w:ascii="Courier New" w:hAnsi="Courier New" w:cs="Courier New"/>
        </w:rPr>
        <w:t>.</w:t>
      </w:r>
      <w:r w:rsidR="00422383">
        <w:rPr>
          <w:rFonts w:ascii="Courier New" w:hAnsi="Courier New" w:cs="Courier New"/>
        </w:rPr>
        <w:t xml:space="preserve">  </w:t>
      </w:r>
    </w:p>
    <w:p w14:paraId="49B7D60D" w14:textId="60D7B134" w:rsidR="00422383" w:rsidRDefault="00677EDA" w:rsidP="00422383">
      <w:pPr>
        <w:spacing w:line="480" w:lineRule="auto"/>
        <w:ind w:firstLine="720"/>
        <w:jc w:val="both"/>
        <w:rPr>
          <w:rFonts w:ascii="Courier New" w:hAnsi="Courier New" w:cs="Courier New"/>
        </w:rPr>
      </w:pPr>
      <w:r>
        <w:rPr>
          <w:rFonts w:ascii="Courier New" w:hAnsi="Courier New" w:cs="Courier New"/>
        </w:rPr>
        <w:t>For fiscal year 2014</w:t>
      </w:r>
      <w:r w:rsidR="00422383">
        <w:rPr>
          <w:rFonts w:ascii="Courier New" w:hAnsi="Courier New" w:cs="Courier New"/>
        </w:rPr>
        <w:t>, the assessors valued the subject property at $</w:t>
      </w:r>
      <w:r>
        <w:rPr>
          <w:rFonts w:ascii="Courier New" w:hAnsi="Courier New" w:cs="Courier New"/>
        </w:rPr>
        <w:t xml:space="preserve">493,300 </w:t>
      </w:r>
      <w:r w:rsidR="00422383">
        <w:rPr>
          <w:rFonts w:ascii="Courier New" w:hAnsi="Courier New" w:cs="Courier New"/>
        </w:rPr>
        <w:t xml:space="preserve">and assessed a tax thereon, at a rate of </w:t>
      </w:r>
      <w:r>
        <w:rPr>
          <w:rFonts w:ascii="Courier New" w:hAnsi="Courier New" w:cs="Courier New"/>
        </w:rPr>
        <w:t>$</w:t>
      </w:r>
      <w:r w:rsidR="003D094C">
        <w:rPr>
          <w:rFonts w:ascii="Courier New" w:hAnsi="Courier New" w:cs="Courier New"/>
        </w:rPr>
        <w:t>15.39</w:t>
      </w:r>
      <w:r w:rsidR="00422383" w:rsidRPr="00FE2E89">
        <w:rPr>
          <w:rFonts w:ascii="Courier New" w:hAnsi="Courier New" w:cs="Courier New"/>
        </w:rPr>
        <w:t xml:space="preserve"> per $1,000, in the</w:t>
      </w:r>
      <w:r w:rsidR="00422383">
        <w:rPr>
          <w:rFonts w:ascii="Courier New" w:hAnsi="Courier New" w:cs="Courier New"/>
        </w:rPr>
        <w:t xml:space="preserve"> total</w:t>
      </w:r>
      <w:r w:rsidR="00422383" w:rsidRPr="00FE2E89">
        <w:rPr>
          <w:rFonts w:ascii="Courier New" w:hAnsi="Courier New" w:cs="Courier New"/>
        </w:rPr>
        <w:t xml:space="preserve"> amount of </w:t>
      </w:r>
      <w:r>
        <w:rPr>
          <w:rFonts w:ascii="Courier New" w:hAnsi="Courier New" w:cs="Courier New"/>
        </w:rPr>
        <w:t>$</w:t>
      </w:r>
      <w:r w:rsidR="003D094C">
        <w:rPr>
          <w:rFonts w:ascii="Courier New" w:hAnsi="Courier New" w:cs="Courier New"/>
        </w:rPr>
        <w:t>7,819.65, inclusive of the Community Preservation Act (“CPA”) surcharge</w:t>
      </w:r>
      <w:r w:rsidR="00422383">
        <w:rPr>
          <w:rFonts w:ascii="Courier New" w:hAnsi="Courier New" w:cs="Courier New"/>
        </w:rPr>
        <w:t>.  The appellant timely paid the tax due without incurring interest and, in accordance with G.L. c. 59, § 59, timely filed an abatement applicati</w:t>
      </w:r>
      <w:r w:rsidR="00DA1A70">
        <w:rPr>
          <w:rFonts w:ascii="Courier New" w:hAnsi="Courier New" w:cs="Courier New"/>
        </w:rPr>
        <w:t>on on January 27, 2014</w:t>
      </w:r>
      <w:r w:rsidR="00422383">
        <w:rPr>
          <w:rFonts w:ascii="Courier New" w:hAnsi="Courier New" w:cs="Courier New"/>
        </w:rPr>
        <w:t>.  The assessors d</w:t>
      </w:r>
      <w:r w:rsidR="00302FD7">
        <w:rPr>
          <w:rFonts w:ascii="Courier New" w:hAnsi="Courier New" w:cs="Courier New"/>
        </w:rPr>
        <w:t>enied the abatement application</w:t>
      </w:r>
      <w:r w:rsidR="00422383">
        <w:rPr>
          <w:rFonts w:ascii="Courier New" w:hAnsi="Courier New" w:cs="Courier New"/>
        </w:rPr>
        <w:t xml:space="preserve"> </w:t>
      </w:r>
      <w:r w:rsidR="00422383" w:rsidRPr="000B723C">
        <w:rPr>
          <w:rFonts w:ascii="Courier New" w:hAnsi="Courier New" w:cs="Courier New"/>
        </w:rPr>
        <w:t>on</w:t>
      </w:r>
      <w:r w:rsidR="00DA1A70">
        <w:rPr>
          <w:rFonts w:ascii="Courier New" w:hAnsi="Courier New" w:cs="Courier New"/>
        </w:rPr>
        <w:t xml:space="preserve"> March 25, 2014, and on </w:t>
      </w:r>
      <w:r w:rsidR="003D094C">
        <w:rPr>
          <w:rFonts w:ascii="Courier New" w:hAnsi="Courier New" w:cs="Courier New"/>
        </w:rPr>
        <w:t>June 23, 2014</w:t>
      </w:r>
      <w:r w:rsidR="00422383">
        <w:rPr>
          <w:rFonts w:ascii="Courier New" w:hAnsi="Courier New" w:cs="Courier New"/>
        </w:rPr>
        <w:t xml:space="preserve">, the appellant seasonably filed </w:t>
      </w:r>
      <w:r w:rsidR="00275E98">
        <w:rPr>
          <w:rFonts w:ascii="Courier New" w:hAnsi="Courier New" w:cs="Courier New"/>
        </w:rPr>
        <w:t xml:space="preserve">a Petition </w:t>
      </w:r>
      <w:proofErr w:type="gramStart"/>
      <w:r w:rsidR="00275E98">
        <w:rPr>
          <w:rFonts w:ascii="Courier New" w:hAnsi="Courier New" w:cs="Courier New"/>
        </w:rPr>
        <w:t>Under</w:t>
      </w:r>
      <w:proofErr w:type="gramEnd"/>
      <w:r w:rsidR="00275E98">
        <w:rPr>
          <w:rFonts w:ascii="Courier New" w:hAnsi="Courier New" w:cs="Courier New"/>
        </w:rPr>
        <w:t xml:space="preserve"> Formal Procedure</w:t>
      </w:r>
      <w:r w:rsidR="00422383">
        <w:rPr>
          <w:rFonts w:ascii="Courier New" w:hAnsi="Courier New" w:cs="Courier New"/>
        </w:rPr>
        <w:t xml:space="preserve"> with the Board. </w:t>
      </w:r>
      <w:r w:rsidR="00DA1A70">
        <w:rPr>
          <w:rFonts w:ascii="Courier New" w:hAnsi="Courier New" w:cs="Courier New"/>
        </w:rPr>
        <w:t xml:space="preserve"> </w:t>
      </w:r>
      <w:r w:rsidR="00422383">
        <w:rPr>
          <w:rFonts w:ascii="Courier New" w:hAnsi="Courier New" w:cs="Courier New"/>
        </w:rPr>
        <w:t>On the basis of these facts, the Board found and ruled that it had jurisdiction to hear and decide t</w:t>
      </w:r>
      <w:r w:rsidR="00DA1A70">
        <w:rPr>
          <w:rFonts w:ascii="Courier New" w:hAnsi="Courier New" w:cs="Courier New"/>
        </w:rPr>
        <w:t>he appeal for fiscal year 2014</w:t>
      </w:r>
      <w:r w:rsidR="00422383">
        <w:rPr>
          <w:rFonts w:ascii="Courier New" w:hAnsi="Courier New" w:cs="Courier New"/>
        </w:rPr>
        <w:t xml:space="preserve">. </w:t>
      </w:r>
    </w:p>
    <w:p w14:paraId="08760EB6" w14:textId="596614D4" w:rsidR="00DA1A70" w:rsidRDefault="00DA1A70" w:rsidP="00422383">
      <w:pPr>
        <w:spacing w:line="480" w:lineRule="auto"/>
        <w:ind w:firstLine="720"/>
        <w:jc w:val="both"/>
        <w:rPr>
          <w:rFonts w:ascii="Courier New" w:hAnsi="Courier New" w:cs="Courier New"/>
        </w:rPr>
      </w:pPr>
      <w:r>
        <w:rPr>
          <w:rFonts w:ascii="Courier New" w:hAnsi="Courier New" w:cs="Courier New"/>
        </w:rPr>
        <w:lastRenderedPageBreak/>
        <w:t>For fiscal year 2015, the assessors valued the subject property at $493,300 and assessed a tax thereon, at a rate of $</w:t>
      </w:r>
      <w:r w:rsidR="00275E98">
        <w:rPr>
          <w:rFonts w:ascii="Courier New" w:hAnsi="Courier New" w:cs="Courier New"/>
        </w:rPr>
        <w:t>15.80</w:t>
      </w:r>
      <w:r w:rsidRPr="00FE2E89">
        <w:rPr>
          <w:rFonts w:ascii="Courier New" w:hAnsi="Courier New" w:cs="Courier New"/>
        </w:rPr>
        <w:t xml:space="preserve"> per $1,000, in the</w:t>
      </w:r>
      <w:r>
        <w:rPr>
          <w:rFonts w:ascii="Courier New" w:hAnsi="Courier New" w:cs="Courier New"/>
        </w:rPr>
        <w:t xml:space="preserve"> total</w:t>
      </w:r>
      <w:r w:rsidRPr="00FE2E89">
        <w:rPr>
          <w:rFonts w:ascii="Courier New" w:hAnsi="Courier New" w:cs="Courier New"/>
        </w:rPr>
        <w:t xml:space="preserve"> amount of </w:t>
      </w:r>
      <w:r>
        <w:rPr>
          <w:rFonts w:ascii="Courier New" w:hAnsi="Courier New" w:cs="Courier New"/>
        </w:rPr>
        <w:t>$</w:t>
      </w:r>
      <w:r w:rsidR="00275E98">
        <w:rPr>
          <w:rFonts w:ascii="Courier New" w:hAnsi="Courier New" w:cs="Courier New"/>
        </w:rPr>
        <w:t>8,027.96, inclusive of the CPA surcharge</w:t>
      </w:r>
      <w:r>
        <w:rPr>
          <w:rFonts w:ascii="Courier New" w:hAnsi="Courier New" w:cs="Courier New"/>
        </w:rPr>
        <w:t>.  The appellant timely paid the tax due without incurring interest and, in accordance with G.L. c. 59, § 59, timely filed an abatement application on January 28, 2015.  The assessors d</w:t>
      </w:r>
      <w:r w:rsidR="00302FD7">
        <w:rPr>
          <w:rFonts w:ascii="Courier New" w:hAnsi="Courier New" w:cs="Courier New"/>
        </w:rPr>
        <w:t>enied the abatement application</w:t>
      </w:r>
      <w:r>
        <w:rPr>
          <w:rFonts w:ascii="Courier New" w:hAnsi="Courier New" w:cs="Courier New"/>
        </w:rPr>
        <w:t xml:space="preserve"> </w:t>
      </w:r>
      <w:r w:rsidRPr="000B723C">
        <w:rPr>
          <w:rFonts w:ascii="Courier New" w:hAnsi="Courier New" w:cs="Courier New"/>
        </w:rPr>
        <w:t>on</w:t>
      </w:r>
      <w:r>
        <w:rPr>
          <w:rFonts w:ascii="Courier New" w:hAnsi="Courier New" w:cs="Courier New"/>
        </w:rPr>
        <w:t xml:space="preserve"> March 11, 2015, and on </w:t>
      </w:r>
      <w:r w:rsidR="00275E98">
        <w:rPr>
          <w:rFonts w:ascii="Courier New" w:hAnsi="Courier New" w:cs="Courier New"/>
        </w:rPr>
        <w:t>June 4, 2015</w:t>
      </w:r>
      <w:r>
        <w:rPr>
          <w:rFonts w:ascii="Courier New" w:hAnsi="Courier New" w:cs="Courier New"/>
        </w:rPr>
        <w:t>, the appe</w:t>
      </w:r>
      <w:r w:rsidR="00275E98">
        <w:rPr>
          <w:rFonts w:ascii="Courier New" w:hAnsi="Courier New" w:cs="Courier New"/>
        </w:rPr>
        <w:t xml:space="preserve">llant seasonably filed a Petition </w:t>
      </w:r>
      <w:proofErr w:type="gramStart"/>
      <w:r w:rsidR="00275E98">
        <w:rPr>
          <w:rFonts w:ascii="Courier New" w:hAnsi="Courier New" w:cs="Courier New"/>
        </w:rPr>
        <w:t>Under</w:t>
      </w:r>
      <w:proofErr w:type="gramEnd"/>
      <w:r w:rsidR="00275E98">
        <w:rPr>
          <w:rFonts w:ascii="Courier New" w:hAnsi="Courier New" w:cs="Courier New"/>
        </w:rPr>
        <w:t xml:space="preserve"> Formal Procedure</w:t>
      </w:r>
      <w:r>
        <w:rPr>
          <w:rFonts w:ascii="Courier New" w:hAnsi="Courier New" w:cs="Courier New"/>
        </w:rPr>
        <w:t xml:space="preserve"> with the Board.  On the basis of these facts, the Board found and ruled that it had jurisdiction to hear and decide the appeal for fiscal year 2015.</w:t>
      </w:r>
    </w:p>
    <w:p w14:paraId="267DCDB4" w14:textId="0E691D39" w:rsidR="00DA1A70" w:rsidRDefault="00DA1A70" w:rsidP="00422383">
      <w:pPr>
        <w:spacing w:line="480" w:lineRule="auto"/>
        <w:ind w:firstLine="720"/>
        <w:jc w:val="both"/>
        <w:rPr>
          <w:rFonts w:ascii="Courier New" w:hAnsi="Courier New" w:cs="Courier New"/>
        </w:rPr>
      </w:pPr>
      <w:r>
        <w:rPr>
          <w:rFonts w:ascii="Courier New" w:hAnsi="Courier New" w:cs="Courier New"/>
        </w:rPr>
        <w:t>For fiscal year 2016, the assessors valued the subject property at $534,900 and assessed a tax thereon, at a rate of $</w:t>
      </w:r>
      <w:r w:rsidR="00555426">
        <w:rPr>
          <w:rFonts w:ascii="Courier New" w:hAnsi="Courier New" w:cs="Courier New"/>
        </w:rPr>
        <w:t>16.16</w:t>
      </w:r>
      <w:r w:rsidRPr="00FE2E89">
        <w:rPr>
          <w:rFonts w:ascii="Courier New" w:hAnsi="Courier New" w:cs="Courier New"/>
        </w:rPr>
        <w:t xml:space="preserve"> per $1,000, in the</w:t>
      </w:r>
      <w:r>
        <w:rPr>
          <w:rFonts w:ascii="Courier New" w:hAnsi="Courier New" w:cs="Courier New"/>
        </w:rPr>
        <w:t xml:space="preserve"> total</w:t>
      </w:r>
      <w:r w:rsidRPr="00FE2E89">
        <w:rPr>
          <w:rFonts w:ascii="Courier New" w:hAnsi="Courier New" w:cs="Courier New"/>
        </w:rPr>
        <w:t xml:space="preserve"> amount of </w:t>
      </w:r>
      <w:r>
        <w:rPr>
          <w:rFonts w:ascii="Courier New" w:hAnsi="Courier New" w:cs="Courier New"/>
        </w:rPr>
        <w:t>$</w:t>
      </w:r>
      <w:r w:rsidR="00555426">
        <w:rPr>
          <w:rFonts w:ascii="Courier New" w:hAnsi="Courier New" w:cs="Courier New"/>
        </w:rPr>
        <w:t>8,903.30, inclusive of the CPA surcharge</w:t>
      </w:r>
      <w:r>
        <w:rPr>
          <w:rFonts w:ascii="Courier New" w:hAnsi="Courier New" w:cs="Courier New"/>
        </w:rPr>
        <w:t>.  The appellant timely paid the tax due without incurring interest and, in accordance with G.L. c. 59, § 59, timely filed an abatement application on January 29, 2016</w:t>
      </w:r>
      <w:r w:rsidR="00F73102">
        <w:rPr>
          <w:rFonts w:ascii="Courier New" w:hAnsi="Courier New" w:cs="Courier New"/>
        </w:rPr>
        <w:t>, which was deemed denied</w:t>
      </w:r>
      <w:r>
        <w:rPr>
          <w:rFonts w:ascii="Courier New" w:hAnsi="Courier New" w:cs="Courier New"/>
        </w:rPr>
        <w:t xml:space="preserve"> </w:t>
      </w:r>
      <w:r w:rsidRPr="000B723C">
        <w:rPr>
          <w:rFonts w:ascii="Courier New" w:hAnsi="Courier New" w:cs="Courier New"/>
        </w:rPr>
        <w:t>on</w:t>
      </w:r>
      <w:r w:rsidR="00F73102">
        <w:rPr>
          <w:rFonts w:ascii="Courier New" w:hAnsi="Courier New" w:cs="Courier New"/>
        </w:rPr>
        <w:t xml:space="preserve"> March 29, 2016</w:t>
      </w:r>
      <w:r w:rsidR="008579B3">
        <w:rPr>
          <w:rFonts w:ascii="Courier New" w:hAnsi="Courier New" w:cs="Courier New"/>
        </w:rPr>
        <w:t>.  O</w:t>
      </w:r>
      <w:r>
        <w:rPr>
          <w:rFonts w:ascii="Courier New" w:hAnsi="Courier New" w:cs="Courier New"/>
        </w:rPr>
        <w:t xml:space="preserve">n </w:t>
      </w:r>
      <w:r w:rsidR="00555426">
        <w:rPr>
          <w:rFonts w:ascii="Courier New" w:hAnsi="Courier New" w:cs="Courier New"/>
        </w:rPr>
        <w:t>June 27, 2016</w:t>
      </w:r>
      <w:r>
        <w:rPr>
          <w:rFonts w:ascii="Courier New" w:hAnsi="Courier New" w:cs="Courier New"/>
        </w:rPr>
        <w:t>, the appe</w:t>
      </w:r>
      <w:r w:rsidR="00555426">
        <w:rPr>
          <w:rFonts w:ascii="Courier New" w:hAnsi="Courier New" w:cs="Courier New"/>
        </w:rPr>
        <w:t xml:space="preserve">llant seasonably filed a Petition </w:t>
      </w:r>
      <w:proofErr w:type="gramStart"/>
      <w:r w:rsidR="00555426">
        <w:rPr>
          <w:rFonts w:ascii="Courier New" w:hAnsi="Courier New" w:cs="Courier New"/>
        </w:rPr>
        <w:t>Under</w:t>
      </w:r>
      <w:proofErr w:type="gramEnd"/>
      <w:r w:rsidR="00555426">
        <w:rPr>
          <w:rFonts w:ascii="Courier New" w:hAnsi="Courier New" w:cs="Courier New"/>
        </w:rPr>
        <w:t xml:space="preserve"> Formal Procedure</w:t>
      </w:r>
      <w:r>
        <w:rPr>
          <w:rFonts w:ascii="Courier New" w:hAnsi="Courier New" w:cs="Courier New"/>
        </w:rPr>
        <w:t xml:space="preserve"> with the Board.  On the basis of these facts, the Board found and ruled that it had jurisdiction to hear and decide</w:t>
      </w:r>
      <w:r w:rsidR="008579B3">
        <w:rPr>
          <w:rFonts w:ascii="Courier New" w:hAnsi="Courier New" w:cs="Courier New"/>
        </w:rPr>
        <w:t xml:space="preserve"> the appeal for fiscal year 2016</w:t>
      </w:r>
      <w:r>
        <w:rPr>
          <w:rFonts w:ascii="Courier New" w:hAnsi="Courier New" w:cs="Courier New"/>
        </w:rPr>
        <w:t>.</w:t>
      </w:r>
    </w:p>
    <w:p w14:paraId="0FA67CA9" w14:textId="4F416E1F" w:rsidR="008579B3" w:rsidRDefault="008579B3" w:rsidP="00422383">
      <w:pPr>
        <w:spacing w:line="480" w:lineRule="auto"/>
        <w:ind w:firstLine="720"/>
        <w:jc w:val="both"/>
        <w:rPr>
          <w:rFonts w:ascii="Courier New" w:hAnsi="Courier New" w:cs="Courier New"/>
        </w:rPr>
      </w:pPr>
      <w:r>
        <w:rPr>
          <w:rFonts w:ascii="Courier New" w:hAnsi="Courier New" w:cs="Courier New"/>
        </w:rPr>
        <w:lastRenderedPageBreak/>
        <w:t>For fiscal year 2017, the assessors valued the subject property at $534,900 and assessed a tax thereon, at a rate of $</w:t>
      </w:r>
      <w:r w:rsidR="00304E37">
        <w:rPr>
          <w:rFonts w:ascii="Courier New" w:hAnsi="Courier New" w:cs="Courier New"/>
        </w:rPr>
        <w:t>16.69</w:t>
      </w:r>
      <w:r w:rsidRPr="00FE2E89">
        <w:rPr>
          <w:rFonts w:ascii="Courier New" w:hAnsi="Courier New" w:cs="Courier New"/>
        </w:rPr>
        <w:t xml:space="preserve"> per $1,000, in the</w:t>
      </w:r>
      <w:r>
        <w:rPr>
          <w:rFonts w:ascii="Courier New" w:hAnsi="Courier New" w:cs="Courier New"/>
        </w:rPr>
        <w:t xml:space="preserve"> total</w:t>
      </w:r>
      <w:r w:rsidRPr="00FE2E89">
        <w:rPr>
          <w:rFonts w:ascii="Courier New" w:hAnsi="Courier New" w:cs="Courier New"/>
        </w:rPr>
        <w:t xml:space="preserve"> amount of </w:t>
      </w:r>
      <w:r>
        <w:rPr>
          <w:rFonts w:ascii="Courier New" w:hAnsi="Courier New" w:cs="Courier New"/>
        </w:rPr>
        <w:t>$</w:t>
      </w:r>
      <w:r w:rsidR="00304E37">
        <w:rPr>
          <w:rFonts w:ascii="Courier New" w:hAnsi="Courier New" w:cs="Courier New"/>
        </w:rPr>
        <w:t>9,195.30, inclusive of the CPA surcharge</w:t>
      </w:r>
      <w:r>
        <w:rPr>
          <w:rFonts w:ascii="Courier New" w:hAnsi="Courier New" w:cs="Courier New"/>
        </w:rPr>
        <w:t xml:space="preserve">.  The appellant timely paid the tax due without incurring interest and, in accordance with G.L. c. 59, § 59, timely filed an abatement application on January 27, 2017, which was deemed denied </w:t>
      </w:r>
      <w:r w:rsidRPr="000B723C">
        <w:rPr>
          <w:rFonts w:ascii="Courier New" w:hAnsi="Courier New" w:cs="Courier New"/>
        </w:rPr>
        <w:t>on</w:t>
      </w:r>
      <w:r w:rsidR="00E67E16">
        <w:rPr>
          <w:rFonts w:ascii="Courier New" w:hAnsi="Courier New" w:cs="Courier New"/>
        </w:rPr>
        <w:t xml:space="preserve"> April</w:t>
      </w:r>
      <w:r>
        <w:rPr>
          <w:rFonts w:ascii="Courier New" w:hAnsi="Courier New" w:cs="Courier New"/>
        </w:rPr>
        <w:t xml:space="preserve"> 27, 2017.  On </w:t>
      </w:r>
      <w:r w:rsidR="00804F9B">
        <w:rPr>
          <w:rFonts w:ascii="Courier New" w:hAnsi="Courier New" w:cs="Courier New"/>
        </w:rPr>
        <w:t>July 13, 2017</w:t>
      </w:r>
      <w:r>
        <w:rPr>
          <w:rFonts w:ascii="Courier New" w:hAnsi="Courier New" w:cs="Courier New"/>
        </w:rPr>
        <w:t>, the appe</w:t>
      </w:r>
      <w:r w:rsidR="00804F9B">
        <w:rPr>
          <w:rFonts w:ascii="Courier New" w:hAnsi="Courier New" w:cs="Courier New"/>
        </w:rPr>
        <w:t xml:space="preserve">llant seasonably filed a Petition </w:t>
      </w:r>
      <w:proofErr w:type="gramStart"/>
      <w:r w:rsidR="00804F9B">
        <w:rPr>
          <w:rFonts w:ascii="Courier New" w:hAnsi="Courier New" w:cs="Courier New"/>
        </w:rPr>
        <w:t>Under</w:t>
      </w:r>
      <w:proofErr w:type="gramEnd"/>
      <w:r w:rsidR="00804F9B">
        <w:rPr>
          <w:rFonts w:ascii="Courier New" w:hAnsi="Courier New" w:cs="Courier New"/>
        </w:rPr>
        <w:t xml:space="preserve"> Formal Procedure</w:t>
      </w:r>
      <w:r>
        <w:rPr>
          <w:rFonts w:ascii="Courier New" w:hAnsi="Courier New" w:cs="Courier New"/>
        </w:rPr>
        <w:t xml:space="preserve"> with the Board.  On the basis of these facts, the Board found and ruled that it had jurisdiction to hear and decide the appeal for fiscal year 2017.</w:t>
      </w:r>
    </w:p>
    <w:p w14:paraId="2C9B8D1C" w14:textId="388D7CD5" w:rsidR="00422383" w:rsidRDefault="00422383" w:rsidP="00422383">
      <w:pPr>
        <w:spacing w:line="480" w:lineRule="auto"/>
        <w:ind w:firstLine="720"/>
        <w:jc w:val="both"/>
        <w:rPr>
          <w:rFonts w:ascii="Courier New" w:hAnsi="Courier New" w:cs="Courier New"/>
        </w:rPr>
      </w:pPr>
      <w:r>
        <w:rPr>
          <w:rFonts w:ascii="Courier New" w:hAnsi="Courier New" w:cs="Courier New"/>
        </w:rPr>
        <w:t>The appel</w:t>
      </w:r>
      <w:r w:rsidR="00EE75C1">
        <w:rPr>
          <w:rFonts w:ascii="Courier New" w:hAnsi="Courier New" w:cs="Courier New"/>
        </w:rPr>
        <w:t>lant presented its case</w:t>
      </w:r>
      <w:r>
        <w:rPr>
          <w:rFonts w:ascii="Courier New" w:hAnsi="Courier New" w:cs="Courier New"/>
        </w:rPr>
        <w:t xml:space="preserve"> through</w:t>
      </w:r>
      <w:r w:rsidR="00D36387">
        <w:rPr>
          <w:rFonts w:ascii="Courier New" w:hAnsi="Courier New" w:cs="Courier New"/>
        </w:rPr>
        <w:t xml:space="preserve"> the testimony</w:t>
      </w:r>
      <w:r w:rsidR="00BE0944">
        <w:rPr>
          <w:rFonts w:ascii="Courier New" w:hAnsi="Courier New" w:cs="Courier New"/>
        </w:rPr>
        <w:t xml:space="preserve"> of </w:t>
      </w:r>
      <w:r w:rsidR="00302FD7">
        <w:rPr>
          <w:rFonts w:ascii="Courier New" w:hAnsi="Courier New" w:cs="Courier New"/>
        </w:rPr>
        <w:t>Alan</w:t>
      </w:r>
      <w:r w:rsidR="00D36387">
        <w:rPr>
          <w:rFonts w:ascii="Courier New" w:hAnsi="Courier New" w:cs="Courier New"/>
        </w:rPr>
        <w:t xml:space="preserve"> </w:t>
      </w:r>
      <w:proofErr w:type="spellStart"/>
      <w:r w:rsidR="00D36387">
        <w:rPr>
          <w:rFonts w:ascii="Courier New" w:hAnsi="Courier New" w:cs="Courier New"/>
        </w:rPr>
        <w:t>Hankowski</w:t>
      </w:r>
      <w:proofErr w:type="spellEnd"/>
      <w:r w:rsidR="00D36387">
        <w:rPr>
          <w:rFonts w:ascii="Courier New" w:hAnsi="Courier New" w:cs="Courier New"/>
        </w:rPr>
        <w:t>, the owner</w:t>
      </w:r>
      <w:r>
        <w:rPr>
          <w:rFonts w:ascii="Courier New" w:hAnsi="Courier New" w:cs="Courier New"/>
        </w:rPr>
        <w:t xml:space="preserve"> of the subject property, and the su</w:t>
      </w:r>
      <w:r w:rsidR="003D1AD9">
        <w:rPr>
          <w:rFonts w:ascii="Courier New" w:hAnsi="Courier New" w:cs="Courier New"/>
        </w:rPr>
        <w:t>bmission of documents including</w:t>
      </w:r>
      <w:r w:rsidR="00412267">
        <w:rPr>
          <w:rFonts w:ascii="Courier New" w:hAnsi="Courier New" w:cs="Courier New"/>
        </w:rPr>
        <w:t>:</w:t>
      </w:r>
      <w:r>
        <w:rPr>
          <w:rFonts w:ascii="Courier New" w:hAnsi="Courier New" w:cs="Courier New"/>
        </w:rPr>
        <w:t xml:space="preserve"> </w:t>
      </w:r>
      <w:r w:rsidR="007352F5">
        <w:rPr>
          <w:rFonts w:ascii="Courier New" w:hAnsi="Courier New" w:cs="Courier New"/>
        </w:rPr>
        <w:t>property record c</w:t>
      </w:r>
      <w:r w:rsidR="00D36387">
        <w:rPr>
          <w:rFonts w:ascii="Courier New" w:hAnsi="Courier New" w:cs="Courier New"/>
        </w:rPr>
        <w:t>ards</w:t>
      </w:r>
      <w:r w:rsidR="00412267">
        <w:rPr>
          <w:rFonts w:ascii="Courier New" w:hAnsi="Courier New" w:cs="Courier New"/>
        </w:rPr>
        <w:t xml:space="preserve"> for the subject property;</w:t>
      </w:r>
      <w:r w:rsidR="00D36387">
        <w:rPr>
          <w:rFonts w:ascii="Courier New" w:hAnsi="Courier New" w:cs="Courier New"/>
        </w:rPr>
        <w:t xml:space="preserve"> </w:t>
      </w:r>
      <w:r w:rsidR="007352F5">
        <w:rPr>
          <w:rFonts w:ascii="Courier New" w:hAnsi="Courier New" w:cs="Courier New"/>
        </w:rPr>
        <w:t>tax bills</w:t>
      </w:r>
      <w:r w:rsidR="00935349">
        <w:rPr>
          <w:rFonts w:ascii="Courier New" w:hAnsi="Courier New" w:cs="Courier New"/>
        </w:rPr>
        <w:t xml:space="preserve"> for the subject proper</w:t>
      </w:r>
      <w:r w:rsidR="00412267">
        <w:rPr>
          <w:rFonts w:ascii="Courier New" w:hAnsi="Courier New" w:cs="Courier New"/>
        </w:rPr>
        <w:t>ty;</w:t>
      </w:r>
      <w:r w:rsidR="007352F5">
        <w:rPr>
          <w:rFonts w:ascii="Courier New" w:hAnsi="Courier New" w:cs="Courier New"/>
        </w:rPr>
        <w:t xml:space="preserve"> </w:t>
      </w:r>
      <w:r w:rsidR="002511D7">
        <w:rPr>
          <w:rFonts w:ascii="Courier New" w:hAnsi="Courier New" w:cs="Courier New"/>
        </w:rPr>
        <w:t xml:space="preserve">and </w:t>
      </w:r>
      <w:r>
        <w:rPr>
          <w:rFonts w:ascii="Courier New" w:hAnsi="Courier New" w:cs="Courier New"/>
        </w:rPr>
        <w:t xml:space="preserve">photographs </w:t>
      </w:r>
      <w:r w:rsidR="00B20BC0">
        <w:rPr>
          <w:rFonts w:ascii="Courier New" w:hAnsi="Courier New" w:cs="Courier New"/>
        </w:rPr>
        <w:t xml:space="preserve">and property record cards </w:t>
      </w:r>
      <w:r>
        <w:rPr>
          <w:rFonts w:ascii="Courier New" w:hAnsi="Courier New" w:cs="Courier New"/>
        </w:rPr>
        <w:t xml:space="preserve">of </w:t>
      </w:r>
      <w:r w:rsidR="007352F5">
        <w:rPr>
          <w:rFonts w:ascii="Courier New" w:hAnsi="Courier New" w:cs="Courier New"/>
        </w:rPr>
        <w:t>purportedly comparable properties</w:t>
      </w:r>
      <w:r w:rsidR="003D1AD9">
        <w:rPr>
          <w:rFonts w:ascii="Courier New" w:hAnsi="Courier New" w:cs="Courier New"/>
        </w:rPr>
        <w:t>.</w:t>
      </w:r>
      <w:r w:rsidR="00014B5E">
        <w:rPr>
          <w:rFonts w:ascii="Courier New" w:hAnsi="Courier New" w:cs="Courier New"/>
        </w:rPr>
        <w:t xml:space="preserve"> </w:t>
      </w:r>
      <w:r w:rsidR="00DF0791">
        <w:rPr>
          <w:rFonts w:ascii="Courier New" w:hAnsi="Courier New" w:cs="Courier New"/>
        </w:rPr>
        <w:t xml:space="preserve"> </w:t>
      </w:r>
    </w:p>
    <w:p w14:paraId="2C2EDFB5" w14:textId="43A3B3D8" w:rsidR="008C3860" w:rsidRDefault="00FB5AC4" w:rsidP="008C3860">
      <w:pPr>
        <w:spacing w:line="480" w:lineRule="auto"/>
        <w:ind w:firstLine="720"/>
        <w:jc w:val="both"/>
        <w:rPr>
          <w:rFonts w:ascii="Courier New" w:hAnsi="Courier New" w:cs="Courier New"/>
        </w:rPr>
      </w:pPr>
      <w:r>
        <w:rPr>
          <w:rFonts w:ascii="Courier New" w:hAnsi="Courier New" w:cs="Courier New"/>
        </w:rPr>
        <w:t>The su</w:t>
      </w:r>
      <w:r w:rsidR="00AB4DBC">
        <w:rPr>
          <w:rFonts w:ascii="Courier New" w:hAnsi="Courier New" w:cs="Courier New"/>
        </w:rPr>
        <w:t>bject building wa</w:t>
      </w:r>
      <w:r w:rsidR="00233343">
        <w:rPr>
          <w:rFonts w:ascii="Courier New" w:hAnsi="Courier New" w:cs="Courier New"/>
        </w:rPr>
        <w:t>s</w:t>
      </w:r>
      <w:r>
        <w:rPr>
          <w:rFonts w:ascii="Courier New" w:hAnsi="Courier New" w:cs="Courier New"/>
        </w:rPr>
        <w:t xml:space="preserve"> built in 1900</w:t>
      </w:r>
      <w:r w:rsidR="00965F6D">
        <w:rPr>
          <w:rFonts w:ascii="Courier New" w:hAnsi="Courier New" w:cs="Courier New"/>
        </w:rPr>
        <w:t>,</w:t>
      </w:r>
      <w:r>
        <w:rPr>
          <w:rFonts w:ascii="Courier New" w:hAnsi="Courier New" w:cs="Courier New"/>
        </w:rPr>
        <w:t xml:space="preserve"> originally </w:t>
      </w:r>
      <w:r w:rsidR="00965F6D">
        <w:rPr>
          <w:rFonts w:ascii="Courier New" w:hAnsi="Courier New" w:cs="Courier New"/>
        </w:rPr>
        <w:t xml:space="preserve">as </w:t>
      </w:r>
      <w:r>
        <w:rPr>
          <w:rFonts w:ascii="Courier New" w:hAnsi="Courier New" w:cs="Courier New"/>
        </w:rPr>
        <w:t xml:space="preserve">a single-story building.  Subsequently, a second floor was added with a center staircase from the ground floor.  </w:t>
      </w:r>
      <w:r w:rsidR="008C3860">
        <w:rPr>
          <w:rFonts w:ascii="Courier New" w:hAnsi="Courier New" w:cs="Courier New"/>
        </w:rPr>
        <w:t>The subject building has a b</w:t>
      </w:r>
      <w:r w:rsidR="00AC385C">
        <w:rPr>
          <w:rFonts w:ascii="Courier New" w:hAnsi="Courier New" w:cs="Courier New"/>
        </w:rPr>
        <w:t>rick stone exterior,</w:t>
      </w:r>
      <w:r w:rsidR="008C3860">
        <w:rPr>
          <w:rFonts w:ascii="Courier New" w:hAnsi="Courier New" w:cs="Courier New"/>
        </w:rPr>
        <w:t xml:space="preserve"> forced-hot-</w:t>
      </w:r>
      <w:r w:rsidR="00AC385C">
        <w:rPr>
          <w:rFonts w:ascii="Courier New" w:hAnsi="Courier New" w:cs="Courier New"/>
        </w:rPr>
        <w:t>water heating, and</w:t>
      </w:r>
      <w:r w:rsidR="008C3860">
        <w:rPr>
          <w:rFonts w:ascii="Courier New" w:hAnsi="Courier New" w:cs="Courier New"/>
        </w:rPr>
        <w:t xml:space="preserve"> no central air conditioning.  The assessors grade the subject property as a C+.     </w:t>
      </w:r>
    </w:p>
    <w:p w14:paraId="1962EA37" w14:textId="20D73F5E" w:rsidR="00A96AA6" w:rsidRDefault="00807E56" w:rsidP="00807E56">
      <w:pPr>
        <w:spacing w:line="480" w:lineRule="auto"/>
        <w:ind w:firstLine="720"/>
        <w:jc w:val="both"/>
        <w:rPr>
          <w:rFonts w:ascii="Courier New" w:hAnsi="Courier New" w:cs="Courier New"/>
        </w:rPr>
      </w:pPr>
      <w:r>
        <w:rPr>
          <w:rFonts w:ascii="Courier New" w:hAnsi="Courier New" w:cs="Courier New"/>
        </w:rPr>
        <w:lastRenderedPageBreak/>
        <w:t>The subject building</w:t>
      </w:r>
      <w:r w:rsidR="0084622D">
        <w:rPr>
          <w:rFonts w:ascii="Courier New" w:hAnsi="Courier New" w:cs="Courier New"/>
        </w:rPr>
        <w:t xml:space="preserve">’s property record card indicates </w:t>
      </w:r>
      <w:r w:rsidR="0084622D" w:rsidRPr="00C67506">
        <w:rPr>
          <w:rFonts w:ascii="Courier New" w:hAnsi="Courier New" w:cs="Courier New"/>
        </w:rPr>
        <w:t>that it</w:t>
      </w:r>
      <w:r w:rsidRPr="00C67506">
        <w:rPr>
          <w:rFonts w:ascii="Courier New" w:hAnsi="Courier New" w:cs="Courier New"/>
        </w:rPr>
        <w:t xml:space="preserve"> conta</w:t>
      </w:r>
      <w:r w:rsidR="0084622D" w:rsidRPr="00C67506">
        <w:rPr>
          <w:rFonts w:ascii="Courier New" w:hAnsi="Courier New" w:cs="Courier New"/>
        </w:rPr>
        <w:t xml:space="preserve">ins </w:t>
      </w:r>
      <w:r w:rsidR="00057105" w:rsidRPr="00C67506">
        <w:rPr>
          <w:rFonts w:ascii="Courier New" w:hAnsi="Courier New" w:cs="Courier New"/>
        </w:rPr>
        <w:t xml:space="preserve">a total </w:t>
      </w:r>
      <w:r w:rsidR="001E6EFF">
        <w:rPr>
          <w:rFonts w:ascii="Courier New" w:hAnsi="Courier New" w:cs="Courier New"/>
        </w:rPr>
        <w:t xml:space="preserve">of </w:t>
      </w:r>
      <w:r w:rsidR="0084622D" w:rsidRPr="00C67506">
        <w:rPr>
          <w:rFonts w:ascii="Courier New" w:hAnsi="Courier New" w:cs="Courier New"/>
        </w:rPr>
        <w:t>140</w:t>
      </w:r>
      <w:r w:rsidR="00A96AA6" w:rsidRPr="00C67506">
        <w:rPr>
          <w:rFonts w:ascii="Courier New" w:hAnsi="Courier New" w:cs="Courier New"/>
        </w:rPr>
        <w:t xml:space="preserve"> square feet of </w:t>
      </w:r>
      <w:r w:rsidRPr="00C67506">
        <w:rPr>
          <w:rFonts w:ascii="Courier New" w:hAnsi="Courier New" w:cs="Courier New"/>
        </w:rPr>
        <w:t>office space</w:t>
      </w:r>
      <w:r w:rsidR="00C67506" w:rsidRPr="00C67506">
        <w:rPr>
          <w:rFonts w:ascii="Courier New" w:hAnsi="Courier New" w:cs="Courier New"/>
        </w:rPr>
        <w:t xml:space="preserve"> on the first floor</w:t>
      </w:r>
      <w:r w:rsidR="0084622D" w:rsidRPr="00C67506">
        <w:rPr>
          <w:rFonts w:ascii="Courier New" w:hAnsi="Courier New" w:cs="Courier New"/>
        </w:rPr>
        <w:t xml:space="preserve"> and </w:t>
      </w:r>
      <w:r w:rsidR="00057105" w:rsidRPr="00C67506">
        <w:rPr>
          <w:rFonts w:ascii="Courier New" w:hAnsi="Courier New" w:cs="Courier New"/>
        </w:rPr>
        <w:t xml:space="preserve">a total </w:t>
      </w:r>
      <w:r w:rsidR="001E6EFF">
        <w:rPr>
          <w:rFonts w:ascii="Courier New" w:hAnsi="Courier New" w:cs="Courier New"/>
        </w:rPr>
        <w:t xml:space="preserve">of </w:t>
      </w:r>
      <w:r w:rsidR="00C67506" w:rsidRPr="00C67506">
        <w:rPr>
          <w:rFonts w:ascii="Courier New" w:hAnsi="Courier New" w:cs="Courier New"/>
        </w:rPr>
        <w:t>3,220</w:t>
      </w:r>
      <w:r w:rsidR="00A96AA6" w:rsidRPr="00C67506">
        <w:rPr>
          <w:rFonts w:ascii="Courier New" w:hAnsi="Courier New" w:cs="Courier New"/>
        </w:rPr>
        <w:t xml:space="preserve"> square feet of </w:t>
      </w:r>
      <w:r w:rsidR="00653E45" w:rsidRPr="00C67506">
        <w:rPr>
          <w:rFonts w:ascii="Courier New" w:hAnsi="Courier New" w:cs="Courier New"/>
        </w:rPr>
        <w:t xml:space="preserve">residential </w:t>
      </w:r>
      <w:r w:rsidRPr="00C67506">
        <w:rPr>
          <w:rFonts w:ascii="Courier New" w:hAnsi="Courier New" w:cs="Courier New"/>
        </w:rPr>
        <w:t>apartment space</w:t>
      </w:r>
      <w:r w:rsidR="000D03A4" w:rsidRPr="00C67506">
        <w:rPr>
          <w:rFonts w:ascii="Courier New" w:hAnsi="Courier New" w:cs="Courier New"/>
        </w:rPr>
        <w:t xml:space="preserve"> on the first</w:t>
      </w:r>
      <w:r w:rsidR="0084622D" w:rsidRPr="00C67506">
        <w:rPr>
          <w:rFonts w:ascii="Courier New" w:hAnsi="Courier New" w:cs="Courier New"/>
        </w:rPr>
        <w:t xml:space="preserve"> </w:t>
      </w:r>
      <w:r w:rsidR="00057105" w:rsidRPr="00C67506">
        <w:rPr>
          <w:rFonts w:ascii="Courier New" w:hAnsi="Courier New" w:cs="Courier New"/>
        </w:rPr>
        <w:t xml:space="preserve">and second </w:t>
      </w:r>
      <w:r w:rsidR="0084622D" w:rsidRPr="00C67506">
        <w:rPr>
          <w:rFonts w:ascii="Courier New" w:hAnsi="Courier New" w:cs="Courier New"/>
        </w:rPr>
        <w:t>floor</w:t>
      </w:r>
      <w:r w:rsidR="00057105" w:rsidRPr="00C67506">
        <w:rPr>
          <w:rFonts w:ascii="Courier New" w:hAnsi="Courier New" w:cs="Courier New"/>
        </w:rPr>
        <w:t>s</w:t>
      </w:r>
      <w:r w:rsidR="00C67506" w:rsidRPr="00C67506">
        <w:rPr>
          <w:rFonts w:ascii="Courier New" w:hAnsi="Courier New" w:cs="Courier New"/>
        </w:rPr>
        <w:t xml:space="preserve"> combined</w:t>
      </w:r>
      <w:r w:rsidR="0084622D" w:rsidRPr="00C67506">
        <w:rPr>
          <w:rFonts w:ascii="Courier New" w:hAnsi="Courier New" w:cs="Courier New"/>
        </w:rPr>
        <w:t xml:space="preserve">.  </w:t>
      </w:r>
      <w:r w:rsidR="0084622D" w:rsidRPr="00057105">
        <w:rPr>
          <w:rFonts w:ascii="Courier New" w:hAnsi="Courier New" w:cs="Courier New"/>
        </w:rPr>
        <w:t>The</w:t>
      </w:r>
      <w:r w:rsidR="00653E45" w:rsidRPr="00057105">
        <w:rPr>
          <w:rFonts w:ascii="Courier New" w:hAnsi="Courier New" w:cs="Courier New"/>
        </w:rPr>
        <w:t xml:space="preserve"> residential apartment space</w:t>
      </w:r>
      <w:r w:rsidR="00A96AA6" w:rsidRPr="00057105">
        <w:rPr>
          <w:rFonts w:ascii="Courier New" w:hAnsi="Courier New" w:cs="Courier New"/>
        </w:rPr>
        <w:t xml:space="preserve"> is comprised of</w:t>
      </w:r>
      <w:r w:rsidRPr="00057105">
        <w:rPr>
          <w:rFonts w:ascii="Courier New" w:hAnsi="Courier New" w:cs="Courier New"/>
        </w:rPr>
        <w:t xml:space="preserve"> </w:t>
      </w:r>
      <w:r w:rsidR="001E6EFF">
        <w:rPr>
          <w:rFonts w:ascii="Courier New" w:hAnsi="Courier New" w:cs="Courier New"/>
        </w:rPr>
        <w:t>three one</w:t>
      </w:r>
      <w:r w:rsidR="00653E45">
        <w:rPr>
          <w:rFonts w:ascii="Courier New" w:hAnsi="Courier New" w:cs="Courier New"/>
        </w:rPr>
        <w:t xml:space="preserve">-bedroom </w:t>
      </w:r>
      <w:r w:rsidR="00FB5AC4">
        <w:rPr>
          <w:rFonts w:ascii="Courier New" w:hAnsi="Courier New" w:cs="Courier New"/>
        </w:rPr>
        <w:t>apartments</w:t>
      </w:r>
      <w:r w:rsidR="00965F6D">
        <w:rPr>
          <w:rFonts w:ascii="Courier New" w:hAnsi="Courier New" w:cs="Courier New"/>
        </w:rPr>
        <w:t>.</w:t>
      </w:r>
      <w:r w:rsidR="001A7779">
        <w:rPr>
          <w:rFonts w:ascii="Courier New" w:hAnsi="Courier New" w:cs="Courier New"/>
        </w:rPr>
        <w:t xml:space="preserve">  Mr. </w:t>
      </w:r>
      <w:proofErr w:type="spellStart"/>
      <w:r w:rsidR="001A7779">
        <w:rPr>
          <w:rFonts w:ascii="Courier New" w:hAnsi="Courier New" w:cs="Courier New"/>
        </w:rPr>
        <w:t>Hankowski</w:t>
      </w:r>
      <w:proofErr w:type="spellEnd"/>
      <w:r w:rsidR="001A7779">
        <w:rPr>
          <w:rFonts w:ascii="Courier New" w:hAnsi="Courier New" w:cs="Courier New"/>
        </w:rPr>
        <w:t xml:space="preserve"> testified </w:t>
      </w:r>
      <w:r w:rsidR="00BF6F16">
        <w:rPr>
          <w:rFonts w:ascii="Courier New" w:hAnsi="Courier New" w:cs="Courier New"/>
        </w:rPr>
        <w:t>that the rents</w:t>
      </w:r>
      <w:r w:rsidR="001A7779">
        <w:rPr>
          <w:rFonts w:ascii="Courier New" w:hAnsi="Courier New" w:cs="Courier New"/>
        </w:rPr>
        <w:t xml:space="preserve"> are $775 per month for </w:t>
      </w:r>
      <w:r w:rsidR="001E6EFF">
        <w:rPr>
          <w:rFonts w:ascii="Courier New" w:hAnsi="Courier New" w:cs="Courier New"/>
        </w:rPr>
        <w:t>two</w:t>
      </w:r>
      <w:r w:rsidR="00BF6F16">
        <w:rPr>
          <w:rFonts w:ascii="Courier New" w:hAnsi="Courier New" w:cs="Courier New"/>
        </w:rPr>
        <w:t xml:space="preserve"> of the apartments and $8</w:t>
      </w:r>
      <w:r w:rsidR="001A7779">
        <w:rPr>
          <w:rFonts w:ascii="Courier New" w:hAnsi="Courier New" w:cs="Courier New"/>
        </w:rPr>
        <w:t>00 per month</w:t>
      </w:r>
      <w:r w:rsidR="00FB5AC4">
        <w:rPr>
          <w:rFonts w:ascii="Courier New" w:hAnsi="Courier New" w:cs="Courier New"/>
        </w:rPr>
        <w:t xml:space="preserve"> </w:t>
      </w:r>
      <w:r w:rsidR="00BF6F16">
        <w:rPr>
          <w:rFonts w:ascii="Courier New" w:hAnsi="Courier New" w:cs="Courier New"/>
        </w:rPr>
        <w:t>for the remaining third apartment.</w:t>
      </w:r>
      <w:r w:rsidR="00965F6D">
        <w:rPr>
          <w:rFonts w:ascii="Courier New" w:hAnsi="Courier New" w:cs="Courier New"/>
        </w:rPr>
        <w:t xml:space="preserve"> </w:t>
      </w:r>
      <w:r w:rsidR="00BF6F16">
        <w:rPr>
          <w:rFonts w:ascii="Courier New" w:hAnsi="Courier New" w:cs="Courier New"/>
        </w:rPr>
        <w:t xml:space="preserve"> </w:t>
      </w:r>
      <w:r w:rsidR="00965F6D">
        <w:rPr>
          <w:rFonts w:ascii="Courier New" w:hAnsi="Courier New" w:cs="Courier New"/>
        </w:rPr>
        <w:t>T</w:t>
      </w:r>
      <w:r>
        <w:rPr>
          <w:rFonts w:ascii="Courier New" w:hAnsi="Courier New" w:cs="Courier New"/>
        </w:rPr>
        <w:t>h</w:t>
      </w:r>
      <w:r w:rsidR="00A96AA6">
        <w:rPr>
          <w:rFonts w:ascii="Courier New" w:hAnsi="Courier New" w:cs="Courier New"/>
        </w:rPr>
        <w:t>e subject building’s</w:t>
      </w:r>
      <w:r w:rsidR="0084622D">
        <w:rPr>
          <w:rFonts w:ascii="Courier New" w:hAnsi="Courier New" w:cs="Courier New"/>
        </w:rPr>
        <w:t xml:space="preserve"> </w:t>
      </w:r>
      <w:r w:rsidR="00A96AA6">
        <w:rPr>
          <w:rFonts w:ascii="Courier New" w:hAnsi="Courier New" w:cs="Courier New"/>
        </w:rPr>
        <w:t>office space</w:t>
      </w:r>
      <w:r w:rsidR="00FB5AC4">
        <w:rPr>
          <w:rFonts w:ascii="Courier New" w:hAnsi="Courier New" w:cs="Courier New"/>
        </w:rPr>
        <w:t xml:space="preserve"> houses Mr. </w:t>
      </w:r>
      <w:proofErr w:type="spellStart"/>
      <w:r w:rsidR="00FB5AC4">
        <w:rPr>
          <w:rFonts w:ascii="Courier New" w:hAnsi="Courier New" w:cs="Courier New"/>
        </w:rPr>
        <w:t>Hankowski’s</w:t>
      </w:r>
      <w:proofErr w:type="spellEnd"/>
      <w:r w:rsidR="00FB5AC4">
        <w:rPr>
          <w:rFonts w:ascii="Courier New" w:hAnsi="Courier New" w:cs="Courier New"/>
        </w:rPr>
        <w:t xml:space="preserve"> accounting practice.</w:t>
      </w:r>
      <w:r w:rsidR="00233343">
        <w:rPr>
          <w:rFonts w:ascii="Courier New" w:hAnsi="Courier New" w:cs="Courier New"/>
        </w:rPr>
        <w:t xml:space="preserve">  </w:t>
      </w:r>
    </w:p>
    <w:p w14:paraId="37830BA9" w14:textId="59FD629C" w:rsidR="007D5114" w:rsidRDefault="000B2718" w:rsidP="006F1431">
      <w:pPr>
        <w:spacing w:line="480" w:lineRule="auto"/>
        <w:ind w:firstLine="720"/>
        <w:jc w:val="both"/>
        <w:rPr>
          <w:rFonts w:ascii="Courier New" w:hAnsi="Courier New" w:cs="Courier New"/>
        </w:rPr>
      </w:pPr>
      <w:r>
        <w:rPr>
          <w:rFonts w:ascii="Courier New" w:hAnsi="Courier New" w:cs="Courier New"/>
        </w:rPr>
        <w:t xml:space="preserve">For each </w:t>
      </w:r>
      <w:r w:rsidR="00302FD7">
        <w:rPr>
          <w:rFonts w:ascii="Courier New" w:hAnsi="Courier New" w:cs="Courier New"/>
        </w:rPr>
        <w:t xml:space="preserve">of the </w:t>
      </w:r>
      <w:r>
        <w:rPr>
          <w:rFonts w:ascii="Courier New" w:hAnsi="Courier New" w:cs="Courier New"/>
        </w:rPr>
        <w:t>fiscal year</w:t>
      </w:r>
      <w:r w:rsidR="00302FD7">
        <w:rPr>
          <w:rFonts w:ascii="Courier New" w:hAnsi="Courier New" w:cs="Courier New"/>
        </w:rPr>
        <w:t>s</w:t>
      </w:r>
      <w:r>
        <w:rPr>
          <w:rFonts w:ascii="Courier New" w:hAnsi="Courier New" w:cs="Courier New"/>
        </w:rPr>
        <w:t xml:space="preserve"> at issue, </w:t>
      </w:r>
      <w:r w:rsidR="000851EA">
        <w:rPr>
          <w:rFonts w:ascii="Courier New" w:hAnsi="Courier New" w:cs="Courier New"/>
        </w:rPr>
        <w:t xml:space="preserve">Mr. </w:t>
      </w:r>
      <w:proofErr w:type="spellStart"/>
      <w:r w:rsidR="000851EA">
        <w:rPr>
          <w:rFonts w:ascii="Courier New" w:hAnsi="Courier New" w:cs="Courier New"/>
        </w:rPr>
        <w:t>Hankowski</w:t>
      </w:r>
      <w:proofErr w:type="spellEnd"/>
      <w:r w:rsidR="000851EA">
        <w:rPr>
          <w:rFonts w:ascii="Courier New" w:hAnsi="Courier New" w:cs="Courier New"/>
        </w:rPr>
        <w:t xml:space="preserve"> offer</w:t>
      </w:r>
      <w:r w:rsidR="001A7779">
        <w:rPr>
          <w:rFonts w:ascii="Courier New" w:hAnsi="Courier New" w:cs="Courier New"/>
        </w:rPr>
        <w:t>ed</w:t>
      </w:r>
      <w:r w:rsidR="009F2099">
        <w:rPr>
          <w:rFonts w:ascii="Courier New" w:hAnsi="Courier New" w:cs="Courier New"/>
        </w:rPr>
        <w:t xml:space="preserve"> a</w:t>
      </w:r>
      <w:r w:rsidR="000851EA">
        <w:rPr>
          <w:rFonts w:ascii="Courier New" w:hAnsi="Courier New" w:cs="Courier New"/>
        </w:rPr>
        <w:t xml:space="preserve"> capitalization-of-income </w:t>
      </w:r>
      <w:r w:rsidR="001E66C5">
        <w:rPr>
          <w:rFonts w:ascii="Courier New" w:hAnsi="Courier New" w:cs="Courier New"/>
        </w:rPr>
        <w:t>analysis</w:t>
      </w:r>
      <w:r w:rsidR="00A11F63">
        <w:rPr>
          <w:rFonts w:ascii="Courier New" w:hAnsi="Courier New" w:cs="Courier New"/>
        </w:rPr>
        <w:t xml:space="preserve"> using </w:t>
      </w:r>
      <w:r w:rsidR="001E6EFF">
        <w:rPr>
          <w:rFonts w:ascii="Courier New" w:hAnsi="Courier New" w:cs="Courier New"/>
        </w:rPr>
        <w:t>eight</w:t>
      </w:r>
      <w:r>
        <w:rPr>
          <w:rFonts w:ascii="Courier New" w:hAnsi="Courier New" w:cs="Courier New"/>
        </w:rPr>
        <w:t xml:space="preserve"> </w:t>
      </w:r>
      <w:r w:rsidR="009F2099">
        <w:rPr>
          <w:rFonts w:ascii="Courier New" w:hAnsi="Courier New" w:cs="Courier New"/>
        </w:rPr>
        <w:t xml:space="preserve">purportedly comparable </w:t>
      </w:r>
      <w:r w:rsidR="00CE3DDF">
        <w:rPr>
          <w:rFonts w:ascii="Courier New" w:hAnsi="Courier New" w:cs="Courier New"/>
        </w:rPr>
        <w:t>mixed-use</w:t>
      </w:r>
      <w:r w:rsidR="001A7779">
        <w:rPr>
          <w:rFonts w:ascii="Courier New" w:hAnsi="Courier New" w:cs="Courier New"/>
        </w:rPr>
        <w:t xml:space="preserve"> </w:t>
      </w:r>
      <w:r w:rsidR="009F2099">
        <w:rPr>
          <w:rFonts w:ascii="Courier New" w:hAnsi="Courier New" w:cs="Courier New"/>
        </w:rPr>
        <w:t>properties.</w:t>
      </w:r>
      <w:r w:rsidR="00CE3DDF">
        <w:rPr>
          <w:rFonts w:ascii="Courier New" w:hAnsi="Courier New" w:cs="Courier New"/>
        </w:rPr>
        <w:t xml:space="preserve">  </w:t>
      </w:r>
      <w:r w:rsidR="00C43534">
        <w:rPr>
          <w:rFonts w:ascii="Courier New" w:hAnsi="Courier New" w:cs="Courier New"/>
        </w:rPr>
        <w:t>However, he focused only on the</w:t>
      </w:r>
      <w:r w:rsidR="00CE3DDF">
        <w:rPr>
          <w:rFonts w:ascii="Courier New" w:hAnsi="Courier New" w:cs="Courier New"/>
        </w:rPr>
        <w:t xml:space="preserve"> office rent per square foot</w:t>
      </w:r>
      <w:r w:rsidR="00C43534">
        <w:rPr>
          <w:rFonts w:ascii="Courier New" w:hAnsi="Courier New" w:cs="Courier New"/>
        </w:rPr>
        <w:t xml:space="preserve"> of his purportedly comparable properties</w:t>
      </w:r>
      <w:r w:rsidR="0034546C">
        <w:rPr>
          <w:rFonts w:ascii="Courier New" w:hAnsi="Courier New" w:cs="Courier New"/>
        </w:rPr>
        <w:t>,</w:t>
      </w:r>
      <w:r w:rsidR="00CE3DDF">
        <w:rPr>
          <w:rFonts w:ascii="Courier New" w:hAnsi="Courier New" w:cs="Courier New"/>
        </w:rPr>
        <w:t xml:space="preserve"> and </w:t>
      </w:r>
      <w:r w:rsidR="0034546C">
        <w:rPr>
          <w:rFonts w:ascii="Courier New" w:hAnsi="Courier New" w:cs="Courier New"/>
        </w:rPr>
        <w:t xml:space="preserve">he </w:t>
      </w:r>
      <w:r w:rsidR="00C43534">
        <w:rPr>
          <w:rFonts w:ascii="Courier New" w:hAnsi="Courier New" w:cs="Courier New"/>
        </w:rPr>
        <w:t>applied</w:t>
      </w:r>
      <w:r w:rsidR="00CE3DDF">
        <w:rPr>
          <w:rFonts w:ascii="Courier New" w:hAnsi="Courier New" w:cs="Courier New"/>
        </w:rPr>
        <w:t xml:space="preserve"> that same figure to the subject building’s</w:t>
      </w:r>
      <w:r w:rsidR="006F1431">
        <w:rPr>
          <w:rFonts w:ascii="Courier New" w:hAnsi="Courier New" w:cs="Courier New"/>
        </w:rPr>
        <w:t xml:space="preserve"> total leasable area, including the</w:t>
      </w:r>
      <w:r w:rsidR="00C43534">
        <w:rPr>
          <w:rFonts w:ascii="Courier New" w:hAnsi="Courier New" w:cs="Courier New"/>
        </w:rPr>
        <w:t xml:space="preserve"> residential space</w:t>
      </w:r>
      <w:r w:rsidR="006F1431">
        <w:rPr>
          <w:rFonts w:ascii="Courier New" w:hAnsi="Courier New" w:cs="Courier New"/>
        </w:rPr>
        <w:t>, which comprised the majority of the subject building’s leasable space</w:t>
      </w:r>
      <w:r w:rsidR="00C43534">
        <w:rPr>
          <w:rFonts w:ascii="Courier New" w:hAnsi="Courier New" w:cs="Courier New"/>
        </w:rPr>
        <w:t>.</w:t>
      </w:r>
      <w:r w:rsidR="00CE3DDF">
        <w:rPr>
          <w:rFonts w:ascii="Courier New" w:hAnsi="Courier New" w:cs="Courier New"/>
        </w:rPr>
        <w:t xml:space="preserve"> </w:t>
      </w:r>
      <w:r w:rsidR="00D421A8">
        <w:rPr>
          <w:rFonts w:ascii="Courier New" w:hAnsi="Courier New" w:cs="Courier New"/>
        </w:rPr>
        <w:t xml:space="preserve"> </w:t>
      </w:r>
    </w:p>
    <w:p w14:paraId="39633440" w14:textId="6B87C074" w:rsidR="007D5114" w:rsidRDefault="00F17DAF" w:rsidP="00422383">
      <w:pPr>
        <w:spacing w:line="480" w:lineRule="auto"/>
        <w:ind w:firstLine="720"/>
        <w:jc w:val="both"/>
        <w:rPr>
          <w:rFonts w:ascii="Courier New" w:hAnsi="Courier New" w:cs="Courier New"/>
        </w:rPr>
      </w:pPr>
      <w:r>
        <w:rPr>
          <w:rFonts w:ascii="Courier New" w:hAnsi="Courier New" w:cs="Courier New"/>
        </w:rPr>
        <w:t>The appellee did not present a case but counsel for the appellee cross-examined Mr</w:t>
      </w:r>
      <w:r w:rsidR="00A548DE">
        <w:rPr>
          <w:rFonts w:ascii="Courier New" w:hAnsi="Courier New" w:cs="Courier New"/>
        </w:rPr>
        <w:t>.</w:t>
      </w:r>
      <w:r w:rsidR="00622663">
        <w:rPr>
          <w:rFonts w:ascii="Courier New" w:hAnsi="Courier New" w:cs="Courier New"/>
        </w:rPr>
        <w:t xml:space="preserve"> </w:t>
      </w:r>
      <w:proofErr w:type="spellStart"/>
      <w:r w:rsidR="00622663">
        <w:rPr>
          <w:rFonts w:ascii="Courier New" w:hAnsi="Courier New" w:cs="Courier New"/>
        </w:rPr>
        <w:t>Hankowski</w:t>
      </w:r>
      <w:proofErr w:type="spellEnd"/>
      <w:r w:rsidR="00622663">
        <w:rPr>
          <w:rFonts w:ascii="Courier New" w:hAnsi="Courier New" w:cs="Courier New"/>
        </w:rPr>
        <w:t xml:space="preserve"> and questioned him about the appropriate methods for valuing</w:t>
      </w:r>
      <w:r>
        <w:rPr>
          <w:rFonts w:ascii="Courier New" w:hAnsi="Courier New" w:cs="Courier New"/>
        </w:rPr>
        <w:t xml:space="preserve"> commercial property.  Mr. </w:t>
      </w:r>
      <w:proofErr w:type="spellStart"/>
      <w:r>
        <w:rPr>
          <w:rFonts w:ascii="Courier New" w:hAnsi="Courier New" w:cs="Courier New"/>
        </w:rPr>
        <w:t>Hankowski</w:t>
      </w:r>
      <w:proofErr w:type="spellEnd"/>
      <w:r>
        <w:rPr>
          <w:rFonts w:ascii="Courier New" w:hAnsi="Courier New" w:cs="Courier New"/>
        </w:rPr>
        <w:t xml:space="preserve"> opined that the income-capitalization approach was the appropriate method for valuing commercial property, but he admitted to using only </w:t>
      </w:r>
      <w:r>
        <w:rPr>
          <w:rFonts w:ascii="Courier New" w:hAnsi="Courier New" w:cs="Courier New"/>
        </w:rPr>
        <w:lastRenderedPageBreak/>
        <w:t>office-space rental figures and not researching residential rental figures.  The appellee rested on the validity of the subject assessments.</w:t>
      </w:r>
    </w:p>
    <w:p w14:paraId="5DE2919D" w14:textId="0718605F" w:rsidR="00F17DAF" w:rsidRDefault="00F17DAF" w:rsidP="00422383">
      <w:pPr>
        <w:spacing w:line="480" w:lineRule="auto"/>
        <w:ind w:firstLine="720"/>
        <w:jc w:val="both"/>
        <w:rPr>
          <w:rFonts w:ascii="Courier New" w:hAnsi="Courier New" w:cs="Courier New"/>
        </w:rPr>
      </w:pPr>
      <w:r>
        <w:rPr>
          <w:rFonts w:ascii="Courier New" w:hAnsi="Courier New" w:cs="Courier New"/>
        </w:rPr>
        <w:t xml:space="preserve">On the basis of the evidence, the Board found that the appellant failed to meet its burden of proving </w:t>
      </w:r>
      <w:r w:rsidR="008534BC">
        <w:rPr>
          <w:rFonts w:ascii="Courier New" w:hAnsi="Courier New" w:cs="Courier New"/>
        </w:rPr>
        <w:t xml:space="preserve">a fair market value for the subject property that was less than its assessed value for each of the fiscal years at issue.  Mr. </w:t>
      </w:r>
      <w:proofErr w:type="spellStart"/>
      <w:r w:rsidR="008534BC">
        <w:rPr>
          <w:rFonts w:ascii="Courier New" w:hAnsi="Courier New" w:cs="Courier New"/>
        </w:rPr>
        <w:t>Hankowski</w:t>
      </w:r>
      <w:proofErr w:type="spellEnd"/>
      <w:r w:rsidR="008534BC">
        <w:rPr>
          <w:rFonts w:ascii="Courier New" w:hAnsi="Courier New" w:cs="Courier New"/>
        </w:rPr>
        <w:t xml:space="preserve"> presented an income-capitalization valuation of the subject property using purportedly comparable mixed-use buildings.  Only </w:t>
      </w:r>
      <w:r w:rsidR="001E6EFF">
        <w:rPr>
          <w:rFonts w:ascii="Courier New" w:hAnsi="Courier New" w:cs="Courier New"/>
        </w:rPr>
        <w:t>two</w:t>
      </w:r>
      <w:r w:rsidR="008534BC">
        <w:rPr>
          <w:rFonts w:ascii="Courier New" w:hAnsi="Courier New" w:cs="Courier New"/>
        </w:rPr>
        <w:t xml:space="preserve"> of his </w:t>
      </w:r>
      <w:r w:rsidR="001E6EFF">
        <w:rPr>
          <w:rFonts w:ascii="Courier New" w:hAnsi="Courier New" w:cs="Courier New"/>
        </w:rPr>
        <w:t>eight</w:t>
      </w:r>
      <w:r w:rsidR="00CE538B">
        <w:rPr>
          <w:rFonts w:ascii="Courier New" w:hAnsi="Courier New" w:cs="Courier New"/>
        </w:rPr>
        <w:t xml:space="preserve"> </w:t>
      </w:r>
      <w:r w:rsidR="008534BC">
        <w:rPr>
          <w:rFonts w:ascii="Courier New" w:hAnsi="Courier New" w:cs="Courier New"/>
        </w:rPr>
        <w:t xml:space="preserve">purportedly comparable properties </w:t>
      </w:r>
      <w:r w:rsidR="00CE538B">
        <w:rPr>
          <w:rFonts w:ascii="Courier New" w:hAnsi="Courier New" w:cs="Courier New"/>
        </w:rPr>
        <w:t>included residential units</w:t>
      </w:r>
      <w:r w:rsidR="00E67E16">
        <w:rPr>
          <w:rFonts w:ascii="Courier New" w:hAnsi="Courier New" w:cs="Courier New"/>
        </w:rPr>
        <w:t>, rendering the majority of his selected properties not comparable to the subject property</w:t>
      </w:r>
      <w:r w:rsidR="008534BC">
        <w:rPr>
          <w:rFonts w:ascii="Courier New" w:hAnsi="Courier New" w:cs="Courier New"/>
        </w:rPr>
        <w:t xml:space="preserve">.  Moreover, of the properties that did include residential units, Mr. </w:t>
      </w:r>
      <w:proofErr w:type="spellStart"/>
      <w:r w:rsidR="008534BC">
        <w:rPr>
          <w:rFonts w:ascii="Courier New" w:hAnsi="Courier New" w:cs="Courier New"/>
        </w:rPr>
        <w:t>Hankowski</w:t>
      </w:r>
      <w:proofErr w:type="spellEnd"/>
      <w:r w:rsidR="00585B61">
        <w:rPr>
          <w:rFonts w:ascii="Courier New" w:hAnsi="Courier New" w:cs="Courier New"/>
        </w:rPr>
        <w:t xml:space="preserve"> compared</w:t>
      </w:r>
      <w:r w:rsidR="008534BC">
        <w:rPr>
          <w:rFonts w:ascii="Courier New" w:hAnsi="Courier New" w:cs="Courier New"/>
        </w:rPr>
        <w:t xml:space="preserve"> only their office </w:t>
      </w:r>
      <w:r w:rsidR="00CE538B">
        <w:rPr>
          <w:rFonts w:ascii="Courier New" w:hAnsi="Courier New" w:cs="Courier New"/>
        </w:rPr>
        <w:t>rental</w:t>
      </w:r>
      <w:r w:rsidR="00B625C3">
        <w:rPr>
          <w:rFonts w:ascii="Courier New" w:hAnsi="Courier New" w:cs="Courier New"/>
        </w:rPr>
        <w:t xml:space="preserve"> incomes.  The Board found that</w:t>
      </w:r>
      <w:r w:rsidR="00410FDE">
        <w:rPr>
          <w:rFonts w:ascii="Courier New" w:hAnsi="Courier New" w:cs="Courier New"/>
        </w:rPr>
        <w:t xml:space="preserve"> this method -</w:t>
      </w:r>
      <w:r w:rsidR="00B625C3">
        <w:rPr>
          <w:rFonts w:ascii="Courier New" w:hAnsi="Courier New" w:cs="Courier New"/>
        </w:rPr>
        <w:t xml:space="preserve"> </w:t>
      </w:r>
      <w:r w:rsidR="00167298">
        <w:rPr>
          <w:rFonts w:ascii="Courier New" w:hAnsi="Courier New" w:cs="Courier New"/>
        </w:rPr>
        <w:t xml:space="preserve">selectively </w:t>
      </w:r>
      <w:r w:rsidR="00B625C3">
        <w:rPr>
          <w:rFonts w:ascii="Courier New" w:hAnsi="Courier New" w:cs="Courier New"/>
        </w:rPr>
        <w:t>picking</w:t>
      </w:r>
      <w:r w:rsidR="00CE538B">
        <w:rPr>
          <w:rFonts w:ascii="Courier New" w:hAnsi="Courier New" w:cs="Courier New"/>
        </w:rPr>
        <w:t xml:space="preserve"> the office rents from</w:t>
      </w:r>
      <w:r w:rsidR="00B625C3">
        <w:rPr>
          <w:rFonts w:ascii="Courier New" w:hAnsi="Courier New" w:cs="Courier New"/>
        </w:rPr>
        <w:t xml:space="preserve"> the</w:t>
      </w:r>
      <w:r w:rsidR="00CE538B">
        <w:rPr>
          <w:rFonts w:ascii="Courier New" w:hAnsi="Courier New" w:cs="Courier New"/>
        </w:rPr>
        <w:t xml:space="preserve"> </w:t>
      </w:r>
      <w:proofErr w:type="spellStart"/>
      <w:r w:rsidR="00CE538B">
        <w:rPr>
          <w:rFonts w:ascii="Courier New" w:hAnsi="Courier New" w:cs="Courier New"/>
        </w:rPr>
        <w:t>compara</w:t>
      </w:r>
      <w:r w:rsidR="00B625C3">
        <w:rPr>
          <w:rFonts w:ascii="Courier New" w:hAnsi="Courier New" w:cs="Courier New"/>
        </w:rPr>
        <w:t>bles</w:t>
      </w:r>
      <w:proofErr w:type="spellEnd"/>
      <w:r w:rsidR="00B625C3">
        <w:rPr>
          <w:rFonts w:ascii="Courier New" w:hAnsi="Courier New" w:cs="Courier New"/>
        </w:rPr>
        <w:t xml:space="preserve"> and applying</w:t>
      </w:r>
      <w:r w:rsidR="00CE538B">
        <w:rPr>
          <w:rFonts w:ascii="Courier New" w:hAnsi="Courier New" w:cs="Courier New"/>
        </w:rPr>
        <w:t xml:space="preserve"> those income figures to the total leasable</w:t>
      </w:r>
      <w:r w:rsidR="00410FDE">
        <w:rPr>
          <w:rFonts w:ascii="Courier New" w:hAnsi="Courier New" w:cs="Courier New"/>
        </w:rPr>
        <w:t xml:space="preserve"> area -</w:t>
      </w:r>
      <w:r w:rsidR="00E67E16">
        <w:rPr>
          <w:rFonts w:ascii="Courier New" w:hAnsi="Courier New" w:cs="Courier New"/>
        </w:rPr>
        <w:t xml:space="preserve"> fatally undermined his analysis and rendered his opinions and conclusions unsubstantiated and without merit.</w:t>
      </w:r>
      <w:r w:rsidR="00B625C3">
        <w:rPr>
          <w:rFonts w:ascii="Courier New" w:hAnsi="Courier New" w:cs="Courier New"/>
        </w:rPr>
        <w:t xml:space="preserve"> </w:t>
      </w:r>
      <w:r w:rsidR="00167298">
        <w:rPr>
          <w:rFonts w:ascii="Courier New" w:hAnsi="Courier New" w:cs="Courier New"/>
        </w:rPr>
        <w:t xml:space="preserve">  </w:t>
      </w:r>
    </w:p>
    <w:p w14:paraId="1867E77C" w14:textId="51563879" w:rsidR="00DA0803" w:rsidRDefault="00DA0803" w:rsidP="00422383">
      <w:pPr>
        <w:spacing w:line="480" w:lineRule="auto"/>
        <w:ind w:firstLine="720"/>
        <w:jc w:val="both"/>
        <w:rPr>
          <w:rFonts w:ascii="Courier New" w:hAnsi="Courier New" w:cs="Courier New"/>
        </w:rPr>
      </w:pPr>
      <w:r>
        <w:rPr>
          <w:rFonts w:ascii="Courier New" w:hAnsi="Courier New" w:cs="Courier New"/>
        </w:rPr>
        <w:t>Accordingly, the Board issued decisions for the appellee in these appeals.</w:t>
      </w:r>
    </w:p>
    <w:p w14:paraId="3A7BB60A" w14:textId="77777777" w:rsidR="000D526C" w:rsidRDefault="000D526C" w:rsidP="00422383">
      <w:pPr>
        <w:spacing w:line="480" w:lineRule="auto"/>
        <w:ind w:firstLine="720"/>
        <w:jc w:val="both"/>
        <w:rPr>
          <w:rFonts w:ascii="Courier New" w:hAnsi="Courier New" w:cs="Courier New"/>
        </w:rPr>
      </w:pPr>
    </w:p>
    <w:p w14:paraId="23991B18" w14:textId="77777777" w:rsidR="00E67E16" w:rsidRDefault="00E67E16" w:rsidP="00E67E16">
      <w:pPr>
        <w:spacing w:line="480" w:lineRule="auto"/>
        <w:jc w:val="both"/>
        <w:rPr>
          <w:rFonts w:ascii="Courier New" w:hAnsi="Courier New" w:cs="Courier New"/>
        </w:rPr>
      </w:pPr>
    </w:p>
    <w:p w14:paraId="37037A78" w14:textId="46550EB6" w:rsidR="000D526C" w:rsidRPr="003C7BFB" w:rsidRDefault="003C7BFB" w:rsidP="003C7BFB">
      <w:pPr>
        <w:spacing w:line="480" w:lineRule="auto"/>
        <w:jc w:val="center"/>
        <w:rPr>
          <w:rFonts w:ascii="Courier New" w:hAnsi="Courier New" w:cs="Courier New"/>
          <w:b/>
        </w:rPr>
      </w:pPr>
      <w:r w:rsidRPr="003C7BFB">
        <w:rPr>
          <w:rFonts w:ascii="Courier New" w:hAnsi="Courier New" w:cs="Courier New"/>
          <w:b/>
        </w:rPr>
        <w:lastRenderedPageBreak/>
        <w:t>OPINION</w:t>
      </w:r>
    </w:p>
    <w:p w14:paraId="68241860" w14:textId="77777777" w:rsidR="00A83B89" w:rsidRPr="009F344E" w:rsidRDefault="00A83B89" w:rsidP="00A83B89">
      <w:pPr>
        <w:spacing w:line="480" w:lineRule="auto"/>
        <w:ind w:firstLine="720"/>
        <w:jc w:val="both"/>
        <w:rPr>
          <w:rFonts w:ascii="Courier New" w:hAnsi="Courier New" w:cs="Courier New"/>
        </w:rPr>
      </w:pPr>
      <w:r w:rsidRPr="009F344E">
        <w:rPr>
          <w:rFonts w:ascii="Courier New" w:hAnsi="Courier New" w:cs="Courier New"/>
        </w:rPr>
        <w:t xml:space="preserve">The assessors are required to assess real estate at its fair cash value.  </w:t>
      </w:r>
      <w:proofErr w:type="gramStart"/>
      <w:r w:rsidRPr="009F344E">
        <w:rPr>
          <w:rFonts w:ascii="Courier New" w:hAnsi="Courier New" w:cs="Courier New"/>
        </w:rPr>
        <w:t>G.L. c. 59, § 38.</w:t>
      </w:r>
      <w:proofErr w:type="gramEnd"/>
      <w:r w:rsidRPr="009F344E">
        <w:rPr>
          <w:rFonts w:ascii="Courier New" w:hAnsi="Courier New" w:cs="Courier New"/>
        </w:rPr>
        <w:t xml:space="preserve">  Fair cash value is defined as the price on which a willing seller and a willing buyer in a free and open market will agree if both of them are fully informed and under no compulsion.  </w:t>
      </w:r>
      <w:proofErr w:type="gramStart"/>
      <w:r w:rsidRPr="009F344E">
        <w:rPr>
          <w:rFonts w:ascii="Courier New" w:hAnsi="Courier New" w:cs="Courier New"/>
          <w:b/>
          <w:bCs/>
          <w:i/>
          <w:iCs/>
        </w:rPr>
        <w:t>Boston Gas Co. v. Assessors of Boston</w:t>
      </w:r>
      <w:r w:rsidRPr="009F344E">
        <w:rPr>
          <w:rFonts w:ascii="Courier New" w:hAnsi="Courier New" w:cs="Courier New"/>
        </w:rPr>
        <w:t>, 334 Mass. 549, 566 (1956).</w:t>
      </w:r>
      <w:proofErr w:type="gramEnd"/>
    </w:p>
    <w:p w14:paraId="4BC80A11" w14:textId="41D48ADC" w:rsidR="00A83B89" w:rsidRDefault="00A83B89" w:rsidP="00A83B89">
      <w:pPr>
        <w:spacing w:line="480" w:lineRule="auto"/>
        <w:ind w:firstLine="720"/>
        <w:jc w:val="both"/>
        <w:rPr>
          <w:rFonts w:ascii="Courier New" w:hAnsi="Courier New" w:cs="Courier New"/>
        </w:rPr>
      </w:pPr>
      <w:r w:rsidRPr="009F344E">
        <w:rPr>
          <w:rFonts w:ascii="Courier New" w:hAnsi="Courier New" w:cs="Courier New"/>
        </w:rPr>
        <w:t>“‘The burden of</w:t>
      </w:r>
      <w:r>
        <w:rPr>
          <w:rFonts w:ascii="Courier New" w:hAnsi="Courier New" w:cs="Courier New"/>
        </w:rPr>
        <w:t xml:space="preserve"> proof is upon the petitioner to make out its</w:t>
      </w:r>
      <w:r w:rsidRPr="009F344E">
        <w:rPr>
          <w:rFonts w:ascii="Courier New" w:hAnsi="Courier New" w:cs="Courier New"/>
        </w:rPr>
        <w:t xml:space="preserve"> right as [a] matter of law to [an] abatement of the tax.’”</w:t>
      </w:r>
      <w:r>
        <w:rPr>
          <w:rFonts w:ascii="Courier New" w:hAnsi="Courier New" w:cs="Courier New"/>
        </w:rPr>
        <w:t xml:space="preserve"> </w:t>
      </w:r>
      <w:proofErr w:type="spellStart"/>
      <w:r w:rsidRPr="009F344E">
        <w:rPr>
          <w:rFonts w:ascii="Courier New" w:hAnsi="Courier New" w:cs="Courier New"/>
          <w:b/>
          <w:bCs/>
          <w:i/>
          <w:iCs/>
        </w:rPr>
        <w:t>Schlaiker</w:t>
      </w:r>
      <w:proofErr w:type="spellEnd"/>
      <w:r w:rsidRPr="009F344E">
        <w:rPr>
          <w:rFonts w:ascii="Courier New" w:hAnsi="Courier New" w:cs="Courier New"/>
          <w:b/>
          <w:bCs/>
          <w:i/>
          <w:iCs/>
        </w:rPr>
        <w:t xml:space="preserve"> v. Assessors of Great Barrington</w:t>
      </w:r>
      <w:r w:rsidRPr="009F344E">
        <w:rPr>
          <w:rFonts w:ascii="Courier New" w:hAnsi="Courier New" w:cs="Courier New"/>
        </w:rPr>
        <w:t>, 365</w:t>
      </w:r>
      <w:r w:rsidR="001E6EFF">
        <w:rPr>
          <w:rFonts w:ascii="Courier New" w:hAnsi="Courier New" w:cs="Courier New"/>
        </w:rPr>
        <w:t xml:space="preserve"> </w:t>
      </w:r>
      <w:r w:rsidRPr="009F344E">
        <w:rPr>
          <w:rFonts w:ascii="Courier New" w:hAnsi="Courier New" w:cs="Courier New"/>
        </w:rPr>
        <w:t xml:space="preserve">Mass. 243, 245 (1974) (quoting </w:t>
      </w:r>
      <w:r w:rsidRPr="009F344E">
        <w:rPr>
          <w:rFonts w:ascii="Courier New" w:hAnsi="Courier New" w:cs="Courier New"/>
          <w:b/>
          <w:bCs/>
          <w:i/>
          <w:iCs/>
        </w:rPr>
        <w:t>Judson Freight Forwarding Co. v. Commonwealth</w:t>
      </w:r>
      <w:r w:rsidRPr="009F344E">
        <w:rPr>
          <w:rFonts w:ascii="Courier New" w:hAnsi="Courier New" w:cs="Courier New"/>
        </w:rPr>
        <w:t>, 242 Mass. 47, 55 (1922)).</w:t>
      </w:r>
      <w:r>
        <w:rPr>
          <w:rFonts w:ascii="Courier New" w:hAnsi="Courier New" w:cs="Courier New"/>
        </w:rPr>
        <w:t xml:space="preserve"> </w:t>
      </w:r>
      <w:r w:rsidRPr="009F344E">
        <w:rPr>
          <w:rFonts w:ascii="Courier New" w:hAnsi="Courier New" w:cs="Courier New"/>
        </w:rPr>
        <w:t xml:space="preserve"> </w:t>
      </w:r>
      <w:r>
        <w:rPr>
          <w:rFonts w:ascii="Courier New" w:hAnsi="Courier New"/>
        </w:rPr>
        <w:t xml:space="preserve">In appeals before this Board, a taxpayer “may present persuasive evidence of overvaluation either by exposing flaws or errors in the assessors’ method of valuation, or by introducing affirmative evidence of value which undermines the assessors’ valuation.” </w:t>
      </w:r>
      <w:r>
        <w:rPr>
          <w:rFonts w:ascii="Courier New" w:hAnsi="Courier New"/>
          <w:b/>
          <w:i/>
        </w:rPr>
        <w:t>General Electric Co. v. Assessors of Lynn</w:t>
      </w:r>
      <w:r>
        <w:rPr>
          <w:rFonts w:ascii="Courier New" w:hAnsi="Courier New"/>
        </w:rPr>
        <w:t>, 393 Mass. 591, 600 (1984) (</w:t>
      </w:r>
      <w:r w:rsidRPr="00E63BD6">
        <w:rPr>
          <w:rFonts w:ascii="Courier New" w:hAnsi="Courier New"/>
        </w:rPr>
        <w:t>quoting</w:t>
      </w:r>
      <w:r>
        <w:rPr>
          <w:rFonts w:ascii="Courier New" w:hAnsi="Courier New"/>
          <w:i/>
        </w:rPr>
        <w:t xml:space="preserve"> </w:t>
      </w:r>
      <w:proofErr w:type="spellStart"/>
      <w:r>
        <w:rPr>
          <w:rFonts w:ascii="Courier New" w:hAnsi="Courier New"/>
          <w:b/>
          <w:i/>
        </w:rPr>
        <w:t>Donlon</w:t>
      </w:r>
      <w:proofErr w:type="spellEnd"/>
      <w:r>
        <w:rPr>
          <w:rFonts w:ascii="Courier New" w:hAnsi="Courier New"/>
          <w:b/>
          <w:i/>
        </w:rPr>
        <w:t xml:space="preserve"> v. Assessors of Holliston</w:t>
      </w:r>
      <w:r>
        <w:rPr>
          <w:rFonts w:ascii="Courier New" w:hAnsi="Courier New"/>
        </w:rPr>
        <w:t>, 389 Mass. 848, 855 (1983)</w:t>
      </w:r>
      <w:r w:rsidR="00302FD7">
        <w:rPr>
          <w:rFonts w:ascii="Courier New" w:hAnsi="Courier New"/>
        </w:rPr>
        <w:t>)</w:t>
      </w:r>
      <w:r>
        <w:rPr>
          <w:rFonts w:ascii="Courier New" w:hAnsi="Courier New"/>
        </w:rPr>
        <w:t xml:space="preserve">. </w:t>
      </w:r>
      <w:r w:rsidRPr="009F344E">
        <w:rPr>
          <w:rFonts w:ascii="Courier New" w:hAnsi="Courier New" w:cs="Courier New"/>
        </w:rPr>
        <w:t xml:space="preserve">“[T]he board is entitled to ‘presume that the valuation made by the assessors [is] valid unless the taxpayers . . . </w:t>
      </w:r>
      <w:proofErr w:type="spellStart"/>
      <w:r w:rsidRPr="009F344E">
        <w:rPr>
          <w:rFonts w:ascii="Courier New" w:hAnsi="Courier New" w:cs="Courier New"/>
        </w:rPr>
        <w:t>prov</w:t>
      </w:r>
      <w:proofErr w:type="spellEnd"/>
      <w:r w:rsidRPr="009F344E">
        <w:rPr>
          <w:rFonts w:ascii="Courier New" w:hAnsi="Courier New" w:cs="Courier New"/>
        </w:rPr>
        <w:t xml:space="preserve">[e] the contrary.’” </w:t>
      </w:r>
      <w:r w:rsidRPr="009F344E">
        <w:rPr>
          <w:rFonts w:ascii="Courier New" w:hAnsi="Courier New" w:cs="Courier New"/>
          <w:b/>
          <w:bCs/>
          <w:i/>
          <w:iCs/>
        </w:rPr>
        <w:t>General E</w:t>
      </w:r>
      <w:r>
        <w:rPr>
          <w:rFonts w:ascii="Courier New" w:hAnsi="Courier New" w:cs="Courier New"/>
          <w:b/>
          <w:bCs/>
          <w:i/>
          <w:iCs/>
        </w:rPr>
        <w:t>lectric Co.</w:t>
      </w:r>
      <w:r w:rsidRPr="009F344E">
        <w:rPr>
          <w:rFonts w:ascii="Courier New" w:hAnsi="Courier New" w:cs="Courier New"/>
        </w:rPr>
        <w:t>, 393</w:t>
      </w:r>
      <w:r w:rsidR="001E6EFF">
        <w:rPr>
          <w:rFonts w:ascii="Courier New" w:hAnsi="Courier New" w:cs="Courier New"/>
        </w:rPr>
        <w:t xml:space="preserve"> </w:t>
      </w:r>
      <w:r>
        <w:rPr>
          <w:rFonts w:ascii="Courier New" w:hAnsi="Courier New" w:cs="Courier New"/>
        </w:rPr>
        <w:t>Mass. at 598</w:t>
      </w:r>
      <w:r w:rsidRPr="009F344E">
        <w:rPr>
          <w:rFonts w:ascii="Courier New" w:hAnsi="Courier New" w:cs="Courier New"/>
        </w:rPr>
        <w:t xml:space="preserve"> (quoting </w:t>
      </w:r>
      <w:proofErr w:type="spellStart"/>
      <w:r w:rsidRPr="009F344E">
        <w:rPr>
          <w:rFonts w:ascii="Courier New" w:hAnsi="Courier New" w:cs="Courier New"/>
          <w:b/>
          <w:bCs/>
          <w:i/>
          <w:iCs/>
        </w:rPr>
        <w:t>Schlaiker</w:t>
      </w:r>
      <w:proofErr w:type="spellEnd"/>
      <w:r w:rsidRPr="009F344E">
        <w:rPr>
          <w:rFonts w:ascii="Courier New" w:hAnsi="Courier New" w:cs="Courier New"/>
        </w:rPr>
        <w:t xml:space="preserve">, 365 Mass. at 245). </w:t>
      </w:r>
    </w:p>
    <w:p w14:paraId="7B9A2966" w14:textId="3136239F" w:rsidR="00A83B89" w:rsidRDefault="00A83B89" w:rsidP="00A83B89">
      <w:pPr>
        <w:spacing w:line="480" w:lineRule="auto"/>
        <w:ind w:firstLine="720"/>
        <w:jc w:val="both"/>
        <w:rPr>
          <w:rFonts w:ascii="Courier New" w:hAnsi="Courier New" w:cs="Courier New"/>
        </w:rPr>
      </w:pPr>
      <w:r w:rsidRPr="00BD4221">
        <w:rPr>
          <w:rFonts w:ascii="Courier New" w:hAnsi="Courier New" w:cs="Courier New"/>
        </w:rPr>
        <w:lastRenderedPageBreak/>
        <w:t xml:space="preserve">Generally, real estate valuation experts, the Massachusetts courts, and this Board rely upon three approaches to determine the fair cash value of property: income capitalization, sales comparison, and cost reproduction.  </w:t>
      </w:r>
      <w:proofErr w:type="spellStart"/>
      <w:proofErr w:type="gramStart"/>
      <w:r w:rsidRPr="00BD4221">
        <w:rPr>
          <w:rFonts w:ascii="Courier New" w:hAnsi="Courier New" w:cs="Courier New"/>
          <w:b/>
          <w:bCs/>
          <w:i/>
          <w:iCs/>
        </w:rPr>
        <w:t>Correia</w:t>
      </w:r>
      <w:proofErr w:type="spellEnd"/>
      <w:r w:rsidRPr="00BD4221">
        <w:rPr>
          <w:rFonts w:ascii="Courier New" w:hAnsi="Courier New" w:cs="Courier New"/>
          <w:b/>
          <w:bCs/>
          <w:i/>
          <w:iCs/>
        </w:rPr>
        <w:t xml:space="preserve"> v.</w:t>
      </w:r>
      <w:proofErr w:type="gramEnd"/>
      <w:r w:rsidRPr="00BD4221">
        <w:rPr>
          <w:rFonts w:ascii="Courier New" w:hAnsi="Courier New" w:cs="Courier New"/>
          <w:b/>
          <w:bCs/>
          <w:i/>
          <w:iCs/>
        </w:rPr>
        <w:t xml:space="preserve"> </w:t>
      </w:r>
      <w:proofErr w:type="gramStart"/>
      <w:r w:rsidRPr="00BD4221">
        <w:rPr>
          <w:rFonts w:ascii="Courier New" w:hAnsi="Courier New" w:cs="Courier New"/>
          <w:b/>
          <w:bCs/>
          <w:i/>
          <w:iCs/>
        </w:rPr>
        <w:t>New Bedford Redevelopment Authority,</w:t>
      </w:r>
      <w:r w:rsidRPr="00BD4221">
        <w:rPr>
          <w:rFonts w:ascii="Courier New" w:hAnsi="Courier New" w:cs="Courier New"/>
        </w:rPr>
        <w:t xml:space="preserve"> 375 Mass. 360, 362 (1978).</w:t>
      </w:r>
      <w:proofErr w:type="gramEnd"/>
      <w:r w:rsidRPr="00BD4221">
        <w:rPr>
          <w:rFonts w:ascii="Courier New" w:hAnsi="Courier New" w:cs="Courier New"/>
        </w:rPr>
        <w:t xml:space="preserve">  </w:t>
      </w:r>
      <w:r>
        <w:rPr>
          <w:rFonts w:ascii="Courier New" w:hAnsi="Courier New" w:cs="Courier New"/>
        </w:rPr>
        <w:t xml:space="preserve">“The board is not required to adopt any particular method of valuation,” </w:t>
      </w:r>
      <w:r>
        <w:rPr>
          <w:rFonts w:ascii="Courier New" w:hAnsi="Courier New" w:cs="Courier New"/>
          <w:b/>
          <w:bCs/>
          <w:i/>
          <w:iCs/>
        </w:rPr>
        <w:t>Pepsi-Cola Bottling Co. v. Assessors of Boston</w:t>
      </w:r>
      <w:r>
        <w:rPr>
          <w:rFonts w:ascii="Courier New" w:hAnsi="Courier New" w:cs="Courier New"/>
        </w:rPr>
        <w:t>, 397 Mass. 447, 449 (1986), but the income</w:t>
      </w:r>
      <w:r w:rsidR="001E6EFF">
        <w:rPr>
          <w:rFonts w:ascii="Courier New" w:hAnsi="Courier New" w:cs="Courier New"/>
        </w:rPr>
        <w:t>-</w:t>
      </w:r>
      <w:r>
        <w:rPr>
          <w:rFonts w:ascii="Courier New" w:hAnsi="Courier New" w:cs="Courier New"/>
        </w:rPr>
        <w:t xml:space="preserve">capitalization method “is frequently applied with respect to income-producing property.”  </w:t>
      </w:r>
      <w:proofErr w:type="gramStart"/>
      <w:r>
        <w:rPr>
          <w:rFonts w:ascii="Courier New" w:hAnsi="Courier New" w:cs="Courier New"/>
          <w:b/>
          <w:bCs/>
          <w:i/>
          <w:iCs/>
        </w:rPr>
        <w:t xml:space="preserve">Taunton </w:t>
      </w:r>
      <w:proofErr w:type="spellStart"/>
      <w:r>
        <w:rPr>
          <w:rFonts w:ascii="Courier New" w:hAnsi="Courier New" w:cs="Courier New"/>
          <w:b/>
          <w:bCs/>
          <w:i/>
          <w:iCs/>
        </w:rPr>
        <w:t>Redev</w:t>
      </w:r>
      <w:proofErr w:type="spellEnd"/>
      <w:r>
        <w:rPr>
          <w:rFonts w:ascii="Courier New" w:hAnsi="Courier New" w:cs="Courier New"/>
          <w:b/>
          <w:bCs/>
          <w:i/>
          <w:iCs/>
        </w:rPr>
        <w:t>.</w:t>
      </w:r>
      <w:proofErr w:type="gramEnd"/>
      <w:r>
        <w:rPr>
          <w:rFonts w:ascii="Courier New" w:hAnsi="Courier New" w:cs="Courier New"/>
          <w:b/>
          <w:bCs/>
          <w:i/>
          <w:iCs/>
        </w:rPr>
        <w:t xml:space="preserve"> </w:t>
      </w:r>
      <w:proofErr w:type="gramStart"/>
      <w:r>
        <w:rPr>
          <w:rFonts w:ascii="Courier New" w:hAnsi="Courier New" w:cs="Courier New"/>
          <w:b/>
          <w:bCs/>
          <w:i/>
          <w:iCs/>
        </w:rPr>
        <w:t>Assocs. v. Assessors of Taunton</w:t>
      </w:r>
      <w:r>
        <w:rPr>
          <w:rFonts w:ascii="Courier New" w:hAnsi="Courier New" w:cs="Courier New"/>
        </w:rPr>
        <w:t>, 393 Mass. 293, 295 (1984).</w:t>
      </w:r>
      <w:proofErr w:type="gramEnd"/>
      <w:r>
        <w:rPr>
          <w:rFonts w:ascii="Courier New" w:hAnsi="Courier New" w:cs="Courier New"/>
        </w:rPr>
        <w:t xml:space="preserve">  </w:t>
      </w:r>
    </w:p>
    <w:p w14:paraId="64332C9B" w14:textId="3FEB0C07" w:rsidR="00A83B89" w:rsidRDefault="00A83B89" w:rsidP="00A83B89">
      <w:pPr>
        <w:spacing w:line="480" w:lineRule="auto"/>
        <w:ind w:firstLine="720"/>
        <w:jc w:val="both"/>
        <w:rPr>
          <w:rFonts w:ascii="Courier New" w:hAnsi="Courier New" w:cs="Courier New"/>
        </w:rPr>
      </w:pPr>
      <w:r>
        <w:rPr>
          <w:rFonts w:ascii="Courier New" w:hAnsi="Courier New" w:cs="Courier New"/>
        </w:rPr>
        <w:t xml:space="preserve">Under the income-capitalization approach, valuation is determined by dividing net operating income by a capitalization rate.  </w:t>
      </w:r>
      <w:r>
        <w:rPr>
          <w:rFonts w:ascii="Courier New" w:hAnsi="Courier New" w:cs="Courier New"/>
          <w:i/>
          <w:iCs/>
        </w:rPr>
        <w:t xml:space="preserve">See </w:t>
      </w:r>
      <w:r>
        <w:rPr>
          <w:rFonts w:ascii="Courier New" w:hAnsi="Courier New" w:cs="Courier New"/>
          <w:b/>
          <w:bCs/>
          <w:i/>
          <w:iCs/>
        </w:rPr>
        <w:t xml:space="preserve">Assessors of Brookline v. Buehler, </w:t>
      </w:r>
      <w:r>
        <w:rPr>
          <w:rFonts w:ascii="Courier New" w:hAnsi="Courier New" w:cs="Courier New"/>
        </w:rPr>
        <w:t xml:space="preserve">396 Mass. 520, 522-23 (1986).  </w:t>
      </w:r>
      <w:r w:rsidR="0001406A">
        <w:rPr>
          <w:rFonts w:ascii="Courier New" w:hAnsi="Courier New" w:cs="Courier New"/>
        </w:rPr>
        <w:t>T</w:t>
      </w:r>
      <w:r w:rsidR="0001406A" w:rsidRPr="005451E8">
        <w:rPr>
          <w:rFonts w:ascii="Courier New" w:hAnsi="Courier New" w:cs="Courier New"/>
        </w:rPr>
        <w:t xml:space="preserve">he income stream used in the income-capitalization method must reflect the property’s earning capacity or economic rental value.  </w:t>
      </w:r>
      <w:r w:rsidR="0001406A" w:rsidRPr="005451E8">
        <w:rPr>
          <w:rFonts w:ascii="Courier New" w:hAnsi="Courier New" w:cs="Courier New"/>
          <w:b/>
          <w:bCs/>
          <w:i/>
          <w:iCs/>
        </w:rPr>
        <w:t>Pepsi-Cola Bot</w:t>
      </w:r>
      <w:r w:rsidR="0001406A">
        <w:rPr>
          <w:rFonts w:ascii="Courier New" w:hAnsi="Courier New" w:cs="Courier New"/>
          <w:b/>
          <w:bCs/>
          <w:i/>
          <w:iCs/>
        </w:rPr>
        <w:t>tling Co.</w:t>
      </w:r>
      <w:r w:rsidR="0001406A" w:rsidRPr="005451E8">
        <w:rPr>
          <w:rFonts w:ascii="Courier New" w:hAnsi="Courier New" w:cs="Courier New"/>
          <w:b/>
          <w:bCs/>
          <w:i/>
          <w:iCs/>
        </w:rPr>
        <w:t xml:space="preserve">, </w:t>
      </w:r>
      <w:r w:rsidR="0001406A" w:rsidRPr="005451E8">
        <w:rPr>
          <w:rFonts w:ascii="Courier New" w:hAnsi="Courier New" w:cs="Courier New"/>
        </w:rPr>
        <w:t>397</w:t>
      </w:r>
      <w:r w:rsidR="0001406A">
        <w:rPr>
          <w:rFonts w:ascii="Courier New" w:hAnsi="Courier New" w:cs="Courier New"/>
        </w:rPr>
        <w:t> </w:t>
      </w:r>
      <w:r w:rsidR="0001406A" w:rsidRPr="005451E8">
        <w:rPr>
          <w:rFonts w:ascii="Courier New" w:hAnsi="Courier New" w:cs="Courier New"/>
        </w:rPr>
        <w:t xml:space="preserve">Mass. at 451.  Imputing rental income to the subject property based on fair market rentals from comparable properties is evidence of value if, once adjusted, they are indicative of the subject property’s earning capacity.  </w:t>
      </w:r>
      <w:proofErr w:type="gramStart"/>
      <w:r w:rsidR="0001406A" w:rsidRPr="005451E8">
        <w:rPr>
          <w:rFonts w:ascii="Courier New" w:hAnsi="Courier New" w:cs="Courier New"/>
          <w:i/>
          <w:iCs/>
        </w:rPr>
        <w:t xml:space="preserve">See </w:t>
      </w:r>
      <w:proofErr w:type="spellStart"/>
      <w:r w:rsidR="0001406A" w:rsidRPr="005451E8">
        <w:rPr>
          <w:rFonts w:ascii="Courier New" w:hAnsi="Courier New" w:cs="Courier New"/>
          <w:b/>
          <w:bCs/>
          <w:i/>
          <w:iCs/>
        </w:rPr>
        <w:t>Correia</w:t>
      </w:r>
      <w:proofErr w:type="spellEnd"/>
      <w:r w:rsidR="0001406A" w:rsidRPr="005451E8">
        <w:rPr>
          <w:rFonts w:ascii="Courier New" w:hAnsi="Courier New" w:cs="Courier New"/>
          <w:b/>
          <w:bCs/>
          <w:i/>
          <w:iCs/>
        </w:rPr>
        <w:t xml:space="preserve"> v.</w:t>
      </w:r>
      <w:proofErr w:type="gramEnd"/>
      <w:r w:rsidR="0001406A" w:rsidRPr="005451E8">
        <w:rPr>
          <w:rFonts w:ascii="Courier New" w:hAnsi="Courier New" w:cs="Courier New"/>
          <w:b/>
          <w:bCs/>
          <w:i/>
          <w:iCs/>
        </w:rPr>
        <w:t xml:space="preserve"> New Bedford Redeve</w:t>
      </w:r>
      <w:r w:rsidR="001E6EFF">
        <w:rPr>
          <w:rFonts w:ascii="Courier New" w:hAnsi="Courier New" w:cs="Courier New"/>
          <w:b/>
          <w:bCs/>
          <w:i/>
          <w:iCs/>
        </w:rPr>
        <w:t>lopment Authority</w:t>
      </w:r>
      <w:r w:rsidR="0001406A" w:rsidRPr="005451E8">
        <w:rPr>
          <w:rFonts w:ascii="Courier New" w:hAnsi="Courier New" w:cs="Courier New"/>
        </w:rPr>
        <w:t xml:space="preserve">, 5 Mass. App. Ct. 289, 293-94 (1977), </w:t>
      </w:r>
      <w:proofErr w:type="spellStart"/>
      <w:r w:rsidR="0001406A" w:rsidRPr="005451E8">
        <w:rPr>
          <w:rFonts w:ascii="Courier New" w:hAnsi="Courier New" w:cs="Courier New"/>
          <w:i/>
          <w:iCs/>
        </w:rPr>
        <w:t>rev’d</w:t>
      </w:r>
      <w:proofErr w:type="spellEnd"/>
      <w:r w:rsidR="0001406A" w:rsidRPr="005451E8">
        <w:rPr>
          <w:rFonts w:ascii="Courier New" w:hAnsi="Courier New" w:cs="Courier New"/>
          <w:i/>
          <w:iCs/>
        </w:rPr>
        <w:t xml:space="preserve"> on </w:t>
      </w:r>
      <w:r w:rsidR="0001406A" w:rsidRPr="005451E8">
        <w:rPr>
          <w:rFonts w:ascii="Courier New" w:hAnsi="Courier New" w:cs="Courier New"/>
          <w:i/>
          <w:iCs/>
        </w:rPr>
        <w:lastRenderedPageBreak/>
        <w:t>other grounds,</w:t>
      </w:r>
      <w:r w:rsidR="0001406A" w:rsidRPr="005451E8">
        <w:rPr>
          <w:rFonts w:ascii="Courier New" w:hAnsi="Courier New" w:cs="Courier New"/>
        </w:rPr>
        <w:t xml:space="preserve"> 375 Mass. 360 (1978); </w:t>
      </w:r>
      <w:r w:rsidR="0001406A" w:rsidRPr="005451E8">
        <w:rPr>
          <w:rFonts w:ascii="Courier New" w:hAnsi="Courier New" w:cs="Courier New"/>
          <w:b/>
          <w:bCs/>
          <w:i/>
          <w:iCs/>
        </w:rPr>
        <w:t>Library</w:t>
      </w:r>
      <w:r w:rsidR="0001406A">
        <w:rPr>
          <w:rFonts w:ascii="Courier New" w:hAnsi="Courier New" w:cs="Courier New"/>
          <w:b/>
          <w:bCs/>
          <w:i/>
          <w:iCs/>
        </w:rPr>
        <w:t> </w:t>
      </w:r>
      <w:r w:rsidR="0001406A" w:rsidRPr="005451E8">
        <w:rPr>
          <w:rFonts w:ascii="Courier New" w:hAnsi="Courier New" w:cs="Courier New"/>
          <w:b/>
          <w:bCs/>
          <w:i/>
          <w:iCs/>
        </w:rPr>
        <w:t>Services, Inc. v. Malden Redevelopment Auth</w:t>
      </w:r>
      <w:r w:rsidR="00607440">
        <w:rPr>
          <w:rFonts w:ascii="Courier New" w:hAnsi="Courier New" w:cs="Courier New"/>
          <w:b/>
          <w:bCs/>
          <w:i/>
          <w:iCs/>
        </w:rPr>
        <w:t>ority</w:t>
      </w:r>
      <w:r w:rsidR="0001406A" w:rsidRPr="005451E8">
        <w:rPr>
          <w:rFonts w:ascii="Courier New" w:hAnsi="Courier New" w:cs="Courier New"/>
        </w:rPr>
        <w:t xml:space="preserve">, 9 Mass. App. Ct. 877, 878 (1980) (rescript). </w:t>
      </w:r>
      <w:r w:rsidR="0001406A">
        <w:rPr>
          <w:rFonts w:ascii="Courier New" w:hAnsi="Courier New" w:cs="Courier New"/>
        </w:rPr>
        <w:t xml:space="preserve">       </w:t>
      </w:r>
    </w:p>
    <w:p w14:paraId="159081F1" w14:textId="53672808" w:rsidR="004A7C5F" w:rsidRDefault="00A83B89" w:rsidP="0005524D">
      <w:pPr>
        <w:spacing w:line="480" w:lineRule="auto"/>
        <w:ind w:firstLine="720"/>
        <w:jc w:val="both"/>
        <w:rPr>
          <w:rFonts w:ascii="Courier New" w:hAnsi="Courier New" w:cs="Courier New"/>
        </w:rPr>
      </w:pPr>
      <w:r>
        <w:rPr>
          <w:rFonts w:ascii="Courier New" w:hAnsi="Courier New" w:cs="Courier New"/>
        </w:rPr>
        <w:t>In the instant appeals, the Board found that Mr.</w:t>
      </w:r>
      <w:r w:rsidR="0005524D">
        <w:rPr>
          <w:rFonts w:ascii="Courier New" w:hAnsi="Courier New" w:cs="Courier New"/>
        </w:rPr>
        <w:t> </w:t>
      </w:r>
      <w:proofErr w:type="spellStart"/>
      <w:r>
        <w:rPr>
          <w:rFonts w:ascii="Courier New" w:hAnsi="Courier New" w:cs="Courier New"/>
        </w:rPr>
        <w:t>Hankowski’s</w:t>
      </w:r>
      <w:proofErr w:type="spellEnd"/>
      <w:r>
        <w:rPr>
          <w:rFonts w:ascii="Courier New" w:hAnsi="Courier New" w:cs="Courier New"/>
        </w:rPr>
        <w:t xml:space="preserve"> income-capitalization analysis</w:t>
      </w:r>
      <w:r w:rsidR="00827DC4">
        <w:rPr>
          <w:rFonts w:ascii="Courier New" w:hAnsi="Courier New" w:cs="Courier New"/>
        </w:rPr>
        <w:t xml:space="preserve"> was flawed because he failed to use sufficiently comparable properties. </w:t>
      </w:r>
      <w:r w:rsidR="00D247EC">
        <w:rPr>
          <w:rFonts w:ascii="Courier New" w:hAnsi="Courier New" w:cs="Courier New"/>
        </w:rPr>
        <w:t xml:space="preserve"> Only </w:t>
      </w:r>
      <w:r w:rsidR="00607440">
        <w:rPr>
          <w:rFonts w:ascii="Courier New" w:hAnsi="Courier New" w:cs="Courier New"/>
        </w:rPr>
        <w:t>two</w:t>
      </w:r>
      <w:r w:rsidR="00D247EC">
        <w:rPr>
          <w:rFonts w:ascii="Courier New" w:hAnsi="Courier New" w:cs="Courier New"/>
        </w:rPr>
        <w:t xml:space="preserve"> of his </w:t>
      </w:r>
      <w:r w:rsidR="00607440">
        <w:rPr>
          <w:rFonts w:ascii="Courier New" w:hAnsi="Courier New" w:cs="Courier New"/>
        </w:rPr>
        <w:t>eight</w:t>
      </w:r>
      <w:r w:rsidR="00D247EC">
        <w:rPr>
          <w:rFonts w:ascii="Courier New" w:hAnsi="Courier New" w:cs="Courier New"/>
        </w:rPr>
        <w:t xml:space="preserve"> purportedly comparable properties even included residential units</w:t>
      </w:r>
      <w:r w:rsidR="00E67E16">
        <w:rPr>
          <w:rFonts w:ascii="Courier New" w:hAnsi="Courier New" w:cs="Courier New"/>
        </w:rPr>
        <w:t>, and</w:t>
      </w:r>
      <w:r w:rsidR="00827DC4">
        <w:rPr>
          <w:rFonts w:ascii="Courier New" w:hAnsi="Courier New" w:cs="Courier New"/>
        </w:rPr>
        <w:t xml:space="preserve"> </w:t>
      </w:r>
      <w:r w:rsidR="00D247EC">
        <w:rPr>
          <w:rFonts w:ascii="Courier New" w:hAnsi="Courier New" w:cs="Courier New"/>
        </w:rPr>
        <w:t>Mr.</w:t>
      </w:r>
      <w:r w:rsidR="0005524D">
        <w:rPr>
          <w:rFonts w:ascii="Courier New" w:hAnsi="Courier New" w:cs="Courier New"/>
        </w:rPr>
        <w:t> </w:t>
      </w:r>
      <w:proofErr w:type="spellStart"/>
      <w:r w:rsidR="00D247EC">
        <w:rPr>
          <w:rFonts w:ascii="Courier New" w:hAnsi="Courier New" w:cs="Courier New"/>
        </w:rPr>
        <w:t>Hankowski</w:t>
      </w:r>
      <w:proofErr w:type="spellEnd"/>
      <w:r w:rsidR="00D247EC">
        <w:rPr>
          <w:rFonts w:ascii="Courier New" w:hAnsi="Courier New" w:cs="Courier New"/>
        </w:rPr>
        <w:t xml:space="preserve"> compared</w:t>
      </w:r>
      <w:r w:rsidR="00827DC4">
        <w:rPr>
          <w:rFonts w:ascii="Courier New" w:hAnsi="Courier New" w:cs="Courier New"/>
        </w:rPr>
        <w:t xml:space="preserve"> only the</w:t>
      </w:r>
      <w:r w:rsidR="00D247EC">
        <w:rPr>
          <w:rFonts w:ascii="Courier New" w:hAnsi="Courier New" w:cs="Courier New"/>
        </w:rPr>
        <w:t xml:space="preserve"> office rental incomes.  The Board found that </w:t>
      </w:r>
      <w:r w:rsidR="00827DC4">
        <w:rPr>
          <w:rFonts w:ascii="Courier New" w:hAnsi="Courier New" w:cs="Courier New"/>
        </w:rPr>
        <w:t>his office-rental</w:t>
      </w:r>
      <w:r w:rsidR="00D247EC">
        <w:rPr>
          <w:rFonts w:ascii="Courier New" w:hAnsi="Courier New" w:cs="Courier New"/>
        </w:rPr>
        <w:t xml:space="preserve"> figures</w:t>
      </w:r>
      <w:r w:rsidR="00827DC4">
        <w:rPr>
          <w:rFonts w:ascii="Courier New" w:hAnsi="Courier New" w:cs="Courier New"/>
        </w:rPr>
        <w:t xml:space="preserve"> failed to support an income figure for the subject property’s total leasable area that was </w:t>
      </w:r>
      <w:r w:rsidR="00E67E16">
        <w:rPr>
          <w:rFonts w:ascii="Courier New" w:hAnsi="Courier New" w:cs="Courier New"/>
        </w:rPr>
        <w:t xml:space="preserve">comprised </w:t>
      </w:r>
      <w:r w:rsidR="00827DC4">
        <w:rPr>
          <w:rFonts w:ascii="Courier New" w:hAnsi="Courier New" w:cs="Courier New"/>
        </w:rPr>
        <w:t>primarily</w:t>
      </w:r>
      <w:r w:rsidR="00E67E16">
        <w:rPr>
          <w:rFonts w:ascii="Courier New" w:hAnsi="Courier New" w:cs="Courier New"/>
        </w:rPr>
        <w:t xml:space="preserve"> of</w:t>
      </w:r>
      <w:r w:rsidR="00827DC4">
        <w:rPr>
          <w:rFonts w:ascii="Courier New" w:hAnsi="Courier New" w:cs="Courier New"/>
        </w:rPr>
        <w:t xml:space="preserve"> residential space.</w:t>
      </w:r>
      <w:r w:rsidR="00D247EC">
        <w:rPr>
          <w:rFonts w:ascii="Courier New" w:hAnsi="Courier New" w:cs="Courier New"/>
        </w:rPr>
        <w:t xml:space="preserve"> </w:t>
      </w:r>
      <w:r w:rsidR="00827DC4">
        <w:rPr>
          <w:rFonts w:ascii="Courier New" w:hAnsi="Courier New" w:cs="Courier New"/>
        </w:rPr>
        <w:t xml:space="preserve"> The Board thus found and ruled that the appellant’s</w:t>
      </w:r>
      <w:r w:rsidR="00D247EC">
        <w:rPr>
          <w:rFonts w:ascii="Courier New" w:hAnsi="Courier New" w:cs="Courier New"/>
        </w:rPr>
        <w:t xml:space="preserve"> income</w:t>
      </w:r>
      <w:r w:rsidR="00827DC4">
        <w:rPr>
          <w:rFonts w:ascii="Courier New" w:hAnsi="Courier New" w:cs="Courier New"/>
        </w:rPr>
        <w:t>-c</w:t>
      </w:r>
      <w:r w:rsidR="00036562">
        <w:rPr>
          <w:rFonts w:ascii="Courier New" w:hAnsi="Courier New" w:cs="Courier New"/>
        </w:rPr>
        <w:t>apitalization analysis failed to support a value for the subject property that was lower than its assessed value.</w:t>
      </w:r>
    </w:p>
    <w:p w14:paraId="1B55E636" w14:textId="46FA84D5" w:rsidR="0005524D" w:rsidRDefault="00C95412" w:rsidP="00C95412">
      <w:pPr>
        <w:spacing w:line="480" w:lineRule="auto"/>
        <w:ind w:firstLine="720"/>
        <w:jc w:val="both"/>
        <w:rPr>
          <w:rFonts w:ascii="Courier New" w:hAnsi="Courier New" w:cs="Courier New"/>
        </w:rPr>
      </w:pPr>
      <w:r>
        <w:rPr>
          <w:rFonts w:ascii="Courier New" w:hAnsi="Courier New" w:cs="Courier New"/>
        </w:rPr>
        <w:t xml:space="preserve">The burden of proving a value that is lower than the assessed </w:t>
      </w:r>
      <w:r w:rsidR="00B8265F">
        <w:rPr>
          <w:rFonts w:ascii="Courier New" w:hAnsi="Courier New" w:cs="Courier New"/>
        </w:rPr>
        <w:t>value is firmly on the taxpayer</w:t>
      </w:r>
      <w:r>
        <w:rPr>
          <w:rFonts w:ascii="Courier New" w:hAnsi="Courier New" w:cs="Courier New"/>
        </w:rPr>
        <w:t xml:space="preserve">.  </w:t>
      </w:r>
      <w:r w:rsidRPr="00463610">
        <w:rPr>
          <w:rFonts w:ascii="Courier New" w:hAnsi="Courier New" w:cs="Courier New"/>
          <w:i/>
        </w:rPr>
        <w:t>See</w:t>
      </w:r>
      <w:r>
        <w:rPr>
          <w:rFonts w:ascii="Courier New" w:hAnsi="Courier New" w:cs="Courier New"/>
        </w:rPr>
        <w:t xml:space="preserve"> </w:t>
      </w:r>
      <w:proofErr w:type="spellStart"/>
      <w:r>
        <w:rPr>
          <w:rFonts w:ascii="Courier New" w:hAnsi="Courier New" w:cs="Courier New"/>
          <w:b/>
          <w:bCs/>
          <w:i/>
          <w:iCs/>
        </w:rPr>
        <w:t>Schlaiker</w:t>
      </w:r>
      <w:proofErr w:type="spellEnd"/>
      <w:r w:rsidR="00607440">
        <w:rPr>
          <w:rFonts w:ascii="Courier New" w:hAnsi="Courier New" w:cs="Courier New"/>
        </w:rPr>
        <w:t xml:space="preserve">, 365 </w:t>
      </w:r>
      <w:r>
        <w:rPr>
          <w:rFonts w:ascii="Courier New" w:hAnsi="Courier New" w:cs="Courier New"/>
        </w:rPr>
        <w:t>Mass. at</w:t>
      </w:r>
      <w:r w:rsidRPr="009F344E">
        <w:rPr>
          <w:rFonts w:ascii="Courier New" w:hAnsi="Courier New" w:cs="Courier New"/>
        </w:rPr>
        <w:t xml:space="preserve"> 245</w:t>
      </w:r>
      <w:r>
        <w:rPr>
          <w:rFonts w:ascii="Courier New" w:hAnsi="Courier New" w:cs="Courier New"/>
        </w:rPr>
        <w:t xml:space="preserve">. </w:t>
      </w:r>
      <w:r w:rsidRPr="009F344E">
        <w:rPr>
          <w:rFonts w:ascii="Courier New" w:hAnsi="Courier New" w:cs="Courier New"/>
        </w:rPr>
        <w:t xml:space="preserve"> </w:t>
      </w:r>
      <w:r>
        <w:rPr>
          <w:rFonts w:ascii="Courier New" w:hAnsi="Courier New" w:cs="Courier New"/>
        </w:rPr>
        <w:t>The Board found and ruled that the appellant failed to meet its burden of proving a value for the subject property that was less than its assessed values for each of the fiscal years at issue.</w:t>
      </w:r>
    </w:p>
    <w:p w14:paraId="044D3065" w14:textId="77777777" w:rsidR="0005524D" w:rsidRDefault="0005524D">
      <w:pPr>
        <w:rPr>
          <w:rFonts w:ascii="Courier New" w:hAnsi="Courier New" w:cs="Courier New"/>
        </w:rPr>
      </w:pPr>
      <w:r>
        <w:rPr>
          <w:rFonts w:ascii="Courier New" w:hAnsi="Courier New" w:cs="Courier New"/>
        </w:rPr>
        <w:br w:type="page"/>
      </w:r>
    </w:p>
    <w:p w14:paraId="20AFC1B0" w14:textId="2BACFCF1" w:rsidR="00C95412" w:rsidRDefault="00C95412" w:rsidP="00C95412">
      <w:pPr>
        <w:spacing w:line="480" w:lineRule="auto"/>
        <w:ind w:firstLine="720"/>
        <w:jc w:val="both"/>
        <w:rPr>
          <w:rFonts w:ascii="Courier New" w:hAnsi="Courier New" w:cs="Courier New"/>
        </w:rPr>
      </w:pPr>
      <w:r>
        <w:rPr>
          <w:rFonts w:ascii="Courier New" w:hAnsi="Courier New" w:cs="Courier New"/>
        </w:rPr>
        <w:lastRenderedPageBreak/>
        <w:t>Accordingly, the Board issued decisions for the appellee in these appeals.</w:t>
      </w:r>
    </w:p>
    <w:p w14:paraId="11A6537C" w14:textId="77777777" w:rsidR="00C95412" w:rsidRDefault="00C95412" w:rsidP="00C95412">
      <w:pPr>
        <w:spacing w:line="480" w:lineRule="auto"/>
        <w:jc w:val="both"/>
        <w:rPr>
          <w:rFonts w:ascii="Courier New" w:hAnsi="Courier New" w:cs="Courier New"/>
        </w:rPr>
      </w:pPr>
    </w:p>
    <w:p w14:paraId="34DD67A8" w14:textId="77777777" w:rsidR="00C95412" w:rsidRDefault="00C95412" w:rsidP="00C95412">
      <w:pPr>
        <w:ind w:left="2880" w:firstLine="720"/>
        <w:jc w:val="both"/>
        <w:rPr>
          <w:rFonts w:ascii="Courier New" w:hAnsi="Courier New" w:cs="Courier New"/>
          <w:b/>
        </w:rPr>
      </w:pPr>
      <w:r>
        <w:rPr>
          <w:rFonts w:ascii="Courier New" w:hAnsi="Courier New" w:cs="Courier New"/>
          <w:b/>
        </w:rPr>
        <w:t>  </w:t>
      </w:r>
      <w:r w:rsidRPr="006C660D">
        <w:rPr>
          <w:rFonts w:ascii="Courier New" w:hAnsi="Courier New" w:cs="Courier New"/>
          <w:b/>
        </w:rPr>
        <w:t>THE APPELLATE TAX BOARD</w:t>
      </w:r>
    </w:p>
    <w:p w14:paraId="2CDE66EF" w14:textId="77777777" w:rsidR="00C95412" w:rsidRDefault="00C95412" w:rsidP="00C95412">
      <w:pPr>
        <w:ind w:left="2880" w:firstLine="720"/>
        <w:jc w:val="both"/>
        <w:rPr>
          <w:rFonts w:ascii="Courier New" w:hAnsi="Courier New" w:cs="Courier New"/>
          <w:b/>
        </w:rPr>
      </w:pPr>
    </w:p>
    <w:p w14:paraId="6B1F9C90" w14:textId="77777777" w:rsidR="00C95412" w:rsidRDefault="00C95412" w:rsidP="00C95412">
      <w:pPr>
        <w:ind w:left="2880" w:firstLine="720"/>
        <w:jc w:val="both"/>
        <w:rPr>
          <w:rFonts w:ascii="Courier New" w:hAnsi="Courier New" w:cs="Courier New"/>
          <w:b/>
        </w:rPr>
      </w:pPr>
    </w:p>
    <w:p w14:paraId="36C633EE" w14:textId="77777777" w:rsidR="00C95412" w:rsidRPr="006C660D" w:rsidRDefault="00C95412" w:rsidP="00C95412">
      <w:pPr>
        <w:ind w:left="2880" w:firstLine="720"/>
        <w:jc w:val="both"/>
        <w:rPr>
          <w:rFonts w:ascii="Courier New" w:hAnsi="Courier New" w:cs="Courier New"/>
          <w:b/>
        </w:rPr>
      </w:pPr>
    </w:p>
    <w:p w14:paraId="6CC2EF6D" w14:textId="01544A19" w:rsidR="00C95412" w:rsidRDefault="00C95412" w:rsidP="00C95412">
      <w:pPr>
        <w:ind w:left="2160" w:firstLine="720"/>
        <w:jc w:val="both"/>
        <w:rPr>
          <w:rFonts w:ascii="Courier New" w:hAnsi="Courier New" w:cs="Courier New"/>
          <w:b/>
        </w:rPr>
      </w:pPr>
      <w:r w:rsidRPr="006C660D">
        <w:rPr>
          <w:rFonts w:ascii="Courier New" w:hAnsi="Courier New" w:cs="Courier New"/>
          <w:b/>
        </w:rPr>
        <w:t>B</w:t>
      </w:r>
      <w:r>
        <w:rPr>
          <w:rFonts w:ascii="Courier New" w:hAnsi="Courier New" w:cs="Courier New"/>
          <w:b/>
        </w:rPr>
        <w:t>y:    _______________________________</w:t>
      </w:r>
      <w:r w:rsidR="0005524D">
        <w:rPr>
          <w:rFonts w:ascii="Courier New" w:hAnsi="Courier New" w:cs="Courier New"/>
          <w:b/>
        </w:rPr>
        <w:t>_</w:t>
      </w:r>
      <w:r>
        <w:rPr>
          <w:rFonts w:ascii="Courier New" w:hAnsi="Courier New" w:cs="Courier New"/>
          <w:b/>
        </w:rPr>
        <w:t xml:space="preserve">       </w:t>
      </w:r>
    </w:p>
    <w:p w14:paraId="0D680AC2" w14:textId="77777777" w:rsidR="00C95412" w:rsidRPr="006C660D" w:rsidRDefault="00C95412" w:rsidP="00C95412">
      <w:pPr>
        <w:ind w:left="3315" w:firstLine="285"/>
        <w:jc w:val="both"/>
        <w:rPr>
          <w:rFonts w:ascii="Courier New" w:hAnsi="Courier New" w:cs="Courier New"/>
          <w:b/>
        </w:rPr>
      </w:pPr>
      <w:r>
        <w:rPr>
          <w:rFonts w:ascii="Courier New" w:hAnsi="Courier New" w:cs="Courier New"/>
          <w:b/>
        </w:rPr>
        <w:t xml:space="preserve">  </w:t>
      </w:r>
      <w:r w:rsidRPr="006C660D">
        <w:rPr>
          <w:rFonts w:ascii="Courier New" w:hAnsi="Courier New" w:cs="Courier New"/>
          <w:b/>
        </w:rPr>
        <w:t xml:space="preserve">Thomas </w:t>
      </w:r>
      <w:r>
        <w:rPr>
          <w:rFonts w:ascii="Courier New" w:hAnsi="Courier New" w:cs="Courier New"/>
          <w:b/>
        </w:rPr>
        <w:t>W. Hammond, Jr.</w:t>
      </w:r>
      <w:r w:rsidRPr="006C660D">
        <w:rPr>
          <w:rFonts w:ascii="Courier New" w:hAnsi="Courier New" w:cs="Courier New"/>
          <w:b/>
        </w:rPr>
        <w:t>, C</w:t>
      </w:r>
      <w:r>
        <w:rPr>
          <w:rFonts w:ascii="Courier New" w:hAnsi="Courier New" w:cs="Courier New"/>
          <w:b/>
        </w:rPr>
        <w:t>hairman</w:t>
      </w:r>
      <w:r w:rsidRPr="006C660D">
        <w:rPr>
          <w:rFonts w:ascii="Courier New" w:hAnsi="Courier New" w:cs="Courier New"/>
          <w:b/>
        </w:rPr>
        <w:t xml:space="preserve"> </w:t>
      </w:r>
    </w:p>
    <w:p w14:paraId="6B716600" w14:textId="77777777" w:rsidR="00C95412" w:rsidRPr="006C660D" w:rsidRDefault="00C95412" w:rsidP="00C95412">
      <w:pPr>
        <w:jc w:val="both"/>
        <w:rPr>
          <w:rFonts w:ascii="Courier New" w:hAnsi="Courier New" w:cs="Courier New"/>
          <w:b/>
        </w:rPr>
      </w:pPr>
    </w:p>
    <w:p w14:paraId="786310AC" w14:textId="77777777" w:rsidR="00C95412" w:rsidRDefault="00C95412" w:rsidP="00C95412">
      <w:pPr>
        <w:jc w:val="both"/>
        <w:rPr>
          <w:rFonts w:ascii="Courier New" w:hAnsi="Courier New" w:cs="Courier New"/>
          <w:b/>
        </w:rPr>
      </w:pPr>
    </w:p>
    <w:p w14:paraId="0B838E4C" w14:textId="77777777" w:rsidR="00C95412" w:rsidRDefault="00C95412" w:rsidP="00C95412">
      <w:pPr>
        <w:jc w:val="both"/>
        <w:rPr>
          <w:rFonts w:ascii="Courier New" w:hAnsi="Courier New" w:cs="Courier New"/>
          <w:b/>
        </w:rPr>
      </w:pPr>
    </w:p>
    <w:p w14:paraId="50F6BE2B" w14:textId="77777777" w:rsidR="00C95412" w:rsidRDefault="00C95412" w:rsidP="00C95412">
      <w:pPr>
        <w:jc w:val="both"/>
        <w:rPr>
          <w:rFonts w:ascii="Courier New" w:hAnsi="Courier New" w:cs="Courier New"/>
          <w:b/>
        </w:rPr>
      </w:pPr>
    </w:p>
    <w:p w14:paraId="24EA592E" w14:textId="77777777" w:rsidR="00C95412" w:rsidRDefault="00C95412" w:rsidP="00C95412">
      <w:pPr>
        <w:jc w:val="both"/>
        <w:rPr>
          <w:rFonts w:ascii="Courier New" w:hAnsi="Courier New" w:cs="Courier New"/>
          <w:b/>
        </w:rPr>
      </w:pPr>
    </w:p>
    <w:p w14:paraId="1FA0C53B" w14:textId="77777777" w:rsidR="00441F6E" w:rsidRDefault="00441F6E" w:rsidP="00441F6E">
      <w:pPr>
        <w:jc w:val="both"/>
        <w:rPr>
          <w:rFonts w:ascii="Courier New" w:hAnsi="Courier New" w:cs="Courier New"/>
          <w:b/>
        </w:rPr>
      </w:pPr>
      <w:r w:rsidRPr="006C660D">
        <w:rPr>
          <w:rFonts w:ascii="Courier New" w:hAnsi="Courier New" w:cs="Courier New"/>
          <w:b/>
        </w:rPr>
        <w:t xml:space="preserve">A </w:t>
      </w:r>
      <w:r w:rsidRPr="00EB27DC">
        <w:rPr>
          <w:rFonts w:ascii="Courier New" w:hAnsi="Courier New" w:cs="Courier New"/>
          <w:b/>
        </w:rPr>
        <w:t>true copy,</w:t>
      </w:r>
    </w:p>
    <w:p w14:paraId="75BB37EE" w14:textId="77777777" w:rsidR="00441F6E" w:rsidRDefault="00441F6E" w:rsidP="00441F6E">
      <w:pPr>
        <w:jc w:val="both"/>
        <w:rPr>
          <w:rFonts w:ascii="Courier New" w:hAnsi="Courier New" w:cs="Courier New"/>
          <w:b/>
        </w:rPr>
      </w:pPr>
    </w:p>
    <w:p w14:paraId="2A5D9AF3" w14:textId="77777777" w:rsidR="00441F6E" w:rsidRPr="00EB27DC" w:rsidRDefault="00441F6E" w:rsidP="00441F6E">
      <w:pPr>
        <w:jc w:val="both"/>
        <w:rPr>
          <w:rFonts w:ascii="Courier New" w:hAnsi="Courier New" w:cs="Courier New"/>
          <w:b/>
        </w:rPr>
      </w:pPr>
    </w:p>
    <w:p w14:paraId="640E2EEC" w14:textId="77777777" w:rsidR="00441F6E" w:rsidRDefault="00441F6E" w:rsidP="00441F6E">
      <w:pPr>
        <w:jc w:val="both"/>
        <w:rPr>
          <w:rFonts w:ascii="Courier New" w:hAnsi="Courier New" w:cs="Courier New"/>
          <w:b/>
          <w:u w:val="single"/>
        </w:rPr>
      </w:pPr>
      <w:r w:rsidRPr="00EB27DC">
        <w:rPr>
          <w:rFonts w:ascii="Courier New" w:hAnsi="Courier New" w:cs="Courier New"/>
          <w:b/>
        </w:rPr>
        <w:t>Atte</w:t>
      </w:r>
      <w:r>
        <w:rPr>
          <w:rFonts w:ascii="Courier New" w:hAnsi="Courier New" w:cs="Courier New"/>
          <w:b/>
        </w:rPr>
        <w:t>st: ________________________</w:t>
      </w:r>
    </w:p>
    <w:p w14:paraId="0F2AFAFD" w14:textId="77777777" w:rsidR="00441F6E" w:rsidRPr="00F658D5" w:rsidRDefault="00441F6E" w:rsidP="00441F6E">
      <w:pPr>
        <w:jc w:val="both"/>
        <w:rPr>
          <w:rFonts w:ascii="Courier New" w:hAnsi="Courier New" w:cs="Courier New"/>
          <w:b/>
        </w:rPr>
      </w:pPr>
      <w:r w:rsidRPr="00EB27DC">
        <w:rPr>
          <w:rFonts w:ascii="Courier New" w:hAnsi="Courier New" w:cs="Courier New"/>
        </w:rPr>
        <w:tab/>
      </w:r>
      <w:r w:rsidRPr="00EB27DC">
        <w:rPr>
          <w:rFonts w:ascii="Courier New" w:hAnsi="Courier New" w:cs="Courier New"/>
          <w:b/>
        </w:rPr>
        <w:t xml:space="preserve">  </w:t>
      </w:r>
      <w:r>
        <w:rPr>
          <w:rFonts w:ascii="Courier New" w:hAnsi="Courier New" w:cs="Courier New"/>
          <w:b/>
        </w:rPr>
        <w:t xml:space="preserve">   </w:t>
      </w:r>
      <w:r w:rsidRPr="00EB27DC">
        <w:rPr>
          <w:rFonts w:ascii="Courier New" w:hAnsi="Courier New" w:cs="Courier New"/>
          <w:b/>
        </w:rPr>
        <w:t xml:space="preserve"> Clerk of the Board</w:t>
      </w:r>
    </w:p>
    <w:p w14:paraId="7EEB7AEC" w14:textId="77777777" w:rsidR="00441F6E" w:rsidRDefault="00441F6E" w:rsidP="00441F6E">
      <w:pPr>
        <w:rPr>
          <w:rFonts w:ascii="Courier New" w:hAnsi="Courier New" w:cs="Courier New"/>
        </w:rPr>
      </w:pPr>
    </w:p>
    <w:p w14:paraId="2AD7A6B9" w14:textId="77777777" w:rsidR="00441F6E" w:rsidRDefault="00441F6E" w:rsidP="00441F6E">
      <w:pPr>
        <w:tabs>
          <w:tab w:val="left" w:pos="3423"/>
        </w:tabs>
        <w:rPr>
          <w:rFonts w:ascii="Courier New" w:hAnsi="Courier New" w:cs="Courier New"/>
        </w:rPr>
      </w:pPr>
      <w:r>
        <w:rPr>
          <w:rFonts w:ascii="Courier New" w:hAnsi="Courier New" w:cs="Courier New"/>
        </w:rPr>
        <w:tab/>
      </w:r>
    </w:p>
    <w:p w14:paraId="438A04D0" w14:textId="77777777" w:rsidR="00C95412" w:rsidRDefault="00C95412" w:rsidP="00C95412">
      <w:pPr>
        <w:spacing w:line="480" w:lineRule="auto"/>
        <w:ind w:firstLine="720"/>
        <w:jc w:val="both"/>
        <w:rPr>
          <w:rFonts w:ascii="Courier New" w:hAnsi="Courier New" w:cs="Courier New"/>
        </w:rPr>
      </w:pPr>
    </w:p>
    <w:p w14:paraId="04B1DE87" w14:textId="77777777" w:rsidR="00036562" w:rsidRDefault="00036562" w:rsidP="00D247EC">
      <w:pPr>
        <w:spacing w:line="480" w:lineRule="auto"/>
        <w:ind w:firstLine="720"/>
        <w:jc w:val="both"/>
        <w:rPr>
          <w:rFonts w:ascii="Courier New" w:hAnsi="Courier New" w:cs="Courier New"/>
        </w:rPr>
      </w:pPr>
    </w:p>
    <w:p w14:paraId="66814396" w14:textId="77777777" w:rsidR="009D30FB" w:rsidRDefault="009D30FB"/>
    <w:sectPr w:rsidR="009D30FB" w:rsidSect="00441F6E">
      <w:footerReference w:type="default" r:id="rId7"/>
      <w:pgSz w:w="12240" w:h="15840"/>
      <w:pgMar w:top="1440" w:right="1800" w:bottom="1440" w:left="1800" w:header="720" w:footer="720" w:gutter="0"/>
      <w:pgNumType w:start="51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9A00C8" w14:textId="77777777" w:rsidR="00AF0C58" w:rsidRDefault="00AF0C58" w:rsidP="00AF0C58">
      <w:r>
        <w:separator/>
      </w:r>
    </w:p>
  </w:endnote>
  <w:endnote w:type="continuationSeparator" w:id="0">
    <w:p w14:paraId="6F0BE787" w14:textId="77777777" w:rsidR="00AF0C58" w:rsidRDefault="00AF0C58" w:rsidP="00AF0C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ourier New" w:hAnsi="Courier New" w:cs="Courier New"/>
        <w:b/>
      </w:rPr>
      <w:id w:val="-1432359597"/>
      <w:docPartObj>
        <w:docPartGallery w:val="Page Numbers (Bottom of Page)"/>
        <w:docPartUnique/>
      </w:docPartObj>
    </w:sdtPr>
    <w:sdtEndPr>
      <w:rPr>
        <w:rFonts w:ascii="Times New Roman" w:hAnsi="Times New Roman" w:cs="Times New Roman"/>
        <w:b w:val="0"/>
        <w:noProof/>
      </w:rPr>
    </w:sdtEndPr>
    <w:sdtContent>
      <w:p w14:paraId="5BF89C6A" w14:textId="085DE33E" w:rsidR="00AF0C58" w:rsidRDefault="00441F6E" w:rsidP="00441F6E">
        <w:pPr>
          <w:pStyle w:val="Footer"/>
          <w:jc w:val="center"/>
        </w:pPr>
        <w:r w:rsidRPr="00441F6E">
          <w:rPr>
            <w:rFonts w:ascii="Courier New" w:hAnsi="Courier New" w:cs="Courier New"/>
            <w:b/>
          </w:rPr>
          <w:t>ATB 2018-</w:t>
        </w:r>
        <w:r w:rsidR="00AF0C58" w:rsidRPr="00441F6E">
          <w:rPr>
            <w:rFonts w:ascii="Courier New" w:hAnsi="Courier New" w:cs="Courier New"/>
            <w:b/>
          </w:rPr>
          <w:fldChar w:fldCharType="begin"/>
        </w:r>
        <w:r w:rsidR="00AF0C58" w:rsidRPr="00441F6E">
          <w:rPr>
            <w:rFonts w:ascii="Courier New" w:hAnsi="Courier New" w:cs="Courier New"/>
            <w:b/>
          </w:rPr>
          <w:instrText xml:space="preserve"> PAGE   \* MERGEFORMAT </w:instrText>
        </w:r>
        <w:r w:rsidR="00AF0C58" w:rsidRPr="00441F6E">
          <w:rPr>
            <w:rFonts w:ascii="Courier New" w:hAnsi="Courier New" w:cs="Courier New"/>
            <w:b/>
          </w:rPr>
          <w:fldChar w:fldCharType="separate"/>
        </w:r>
        <w:r w:rsidR="00FF2185">
          <w:rPr>
            <w:rFonts w:ascii="Courier New" w:hAnsi="Courier New" w:cs="Courier New"/>
            <w:b/>
            <w:noProof/>
          </w:rPr>
          <w:t>519</w:t>
        </w:r>
        <w:r w:rsidR="00AF0C58" w:rsidRPr="00441F6E">
          <w:rPr>
            <w:rFonts w:ascii="Courier New" w:hAnsi="Courier New" w:cs="Courier New"/>
            <w:b/>
            <w:noProof/>
          </w:rPr>
          <w:fldChar w:fldCharType="end"/>
        </w:r>
      </w:p>
    </w:sdtContent>
  </w:sdt>
  <w:p w14:paraId="647B0AFF" w14:textId="77777777" w:rsidR="00AF0C58" w:rsidRDefault="00AF0C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0F1BC" w14:textId="77777777" w:rsidR="00AF0C58" w:rsidRDefault="00AF0C58" w:rsidP="00AF0C58">
      <w:r>
        <w:separator/>
      </w:r>
    </w:p>
  </w:footnote>
  <w:footnote w:type="continuationSeparator" w:id="0">
    <w:p w14:paraId="37C71608" w14:textId="77777777" w:rsidR="00AF0C58" w:rsidRDefault="00AF0C58" w:rsidP="00AF0C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383"/>
    <w:rsid w:val="0001406A"/>
    <w:rsid w:val="00014B5E"/>
    <w:rsid w:val="0002515F"/>
    <w:rsid w:val="00036562"/>
    <w:rsid w:val="00043FEB"/>
    <w:rsid w:val="0005524D"/>
    <w:rsid w:val="00057105"/>
    <w:rsid w:val="000671FD"/>
    <w:rsid w:val="000851EA"/>
    <w:rsid w:val="000A248B"/>
    <w:rsid w:val="000B2718"/>
    <w:rsid w:val="000D03A4"/>
    <w:rsid w:val="000D3642"/>
    <w:rsid w:val="000D526C"/>
    <w:rsid w:val="00153376"/>
    <w:rsid w:val="00167298"/>
    <w:rsid w:val="001A7779"/>
    <w:rsid w:val="001B04DD"/>
    <w:rsid w:val="001E66C5"/>
    <w:rsid w:val="001E6893"/>
    <w:rsid w:val="001E6EFF"/>
    <w:rsid w:val="00215F8F"/>
    <w:rsid w:val="00216872"/>
    <w:rsid w:val="00233343"/>
    <w:rsid w:val="002511D7"/>
    <w:rsid w:val="00275E98"/>
    <w:rsid w:val="00286022"/>
    <w:rsid w:val="00295289"/>
    <w:rsid w:val="002E60A1"/>
    <w:rsid w:val="00302FD7"/>
    <w:rsid w:val="00304E37"/>
    <w:rsid w:val="0034546C"/>
    <w:rsid w:val="003C7BFB"/>
    <w:rsid w:val="003D094C"/>
    <w:rsid w:val="003D1AD9"/>
    <w:rsid w:val="00410FDE"/>
    <w:rsid w:val="00412267"/>
    <w:rsid w:val="00422383"/>
    <w:rsid w:val="00441F6E"/>
    <w:rsid w:val="00450EC9"/>
    <w:rsid w:val="004A6CF3"/>
    <w:rsid w:val="004A7C5F"/>
    <w:rsid w:val="004C671D"/>
    <w:rsid w:val="004E4DB7"/>
    <w:rsid w:val="005069D3"/>
    <w:rsid w:val="00534E0C"/>
    <w:rsid w:val="00555426"/>
    <w:rsid w:val="00562048"/>
    <w:rsid w:val="00585B61"/>
    <w:rsid w:val="00607440"/>
    <w:rsid w:val="00622663"/>
    <w:rsid w:val="00653E45"/>
    <w:rsid w:val="00657C26"/>
    <w:rsid w:val="00677EDA"/>
    <w:rsid w:val="006C6FC1"/>
    <w:rsid w:val="006F1431"/>
    <w:rsid w:val="007078BC"/>
    <w:rsid w:val="007352F5"/>
    <w:rsid w:val="00761974"/>
    <w:rsid w:val="0077515C"/>
    <w:rsid w:val="007D5114"/>
    <w:rsid w:val="00804F9B"/>
    <w:rsid w:val="00807E56"/>
    <w:rsid w:val="00825535"/>
    <w:rsid w:val="00827DC4"/>
    <w:rsid w:val="0084622D"/>
    <w:rsid w:val="008534BC"/>
    <w:rsid w:val="00853BE6"/>
    <w:rsid w:val="008579B3"/>
    <w:rsid w:val="008665C4"/>
    <w:rsid w:val="008A412F"/>
    <w:rsid w:val="008B3D96"/>
    <w:rsid w:val="008C3860"/>
    <w:rsid w:val="008C4F69"/>
    <w:rsid w:val="008C6CF5"/>
    <w:rsid w:val="00935349"/>
    <w:rsid w:val="00950DA5"/>
    <w:rsid w:val="00965441"/>
    <w:rsid w:val="00965F6D"/>
    <w:rsid w:val="009A63F9"/>
    <w:rsid w:val="009D0935"/>
    <w:rsid w:val="009D30FB"/>
    <w:rsid w:val="009F2099"/>
    <w:rsid w:val="00A052DD"/>
    <w:rsid w:val="00A11F63"/>
    <w:rsid w:val="00A3782A"/>
    <w:rsid w:val="00A548DE"/>
    <w:rsid w:val="00A83B89"/>
    <w:rsid w:val="00A96AA6"/>
    <w:rsid w:val="00AB4DBC"/>
    <w:rsid w:val="00AC385C"/>
    <w:rsid w:val="00AF0C58"/>
    <w:rsid w:val="00AF6790"/>
    <w:rsid w:val="00B055CF"/>
    <w:rsid w:val="00B15735"/>
    <w:rsid w:val="00B20BC0"/>
    <w:rsid w:val="00B37607"/>
    <w:rsid w:val="00B5159E"/>
    <w:rsid w:val="00B57583"/>
    <w:rsid w:val="00B625C3"/>
    <w:rsid w:val="00B67EE9"/>
    <w:rsid w:val="00B8265F"/>
    <w:rsid w:val="00BE0944"/>
    <w:rsid w:val="00BF6F16"/>
    <w:rsid w:val="00C16D62"/>
    <w:rsid w:val="00C43534"/>
    <w:rsid w:val="00C67506"/>
    <w:rsid w:val="00C83124"/>
    <w:rsid w:val="00C87B9B"/>
    <w:rsid w:val="00C95412"/>
    <w:rsid w:val="00CE3DDF"/>
    <w:rsid w:val="00CE538B"/>
    <w:rsid w:val="00D0301E"/>
    <w:rsid w:val="00D247EC"/>
    <w:rsid w:val="00D36387"/>
    <w:rsid w:val="00D421A8"/>
    <w:rsid w:val="00D808D5"/>
    <w:rsid w:val="00D80A03"/>
    <w:rsid w:val="00D84875"/>
    <w:rsid w:val="00D9478D"/>
    <w:rsid w:val="00DA0803"/>
    <w:rsid w:val="00DA1A70"/>
    <w:rsid w:val="00DF0791"/>
    <w:rsid w:val="00E01CEE"/>
    <w:rsid w:val="00E444F3"/>
    <w:rsid w:val="00E67E16"/>
    <w:rsid w:val="00E7621E"/>
    <w:rsid w:val="00E84A22"/>
    <w:rsid w:val="00EB2F93"/>
    <w:rsid w:val="00EB75A0"/>
    <w:rsid w:val="00EE75C1"/>
    <w:rsid w:val="00F17DAF"/>
    <w:rsid w:val="00F23066"/>
    <w:rsid w:val="00F73102"/>
    <w:rsid w:val="00F94BB3"/>
    <w:rsid w:val="00FB5AC4"/>
    <w:rsid w:val="00FD3C25"/>
    <w:rsid w:val="00FE6DE7"/>
    <w:rsid w:val="00FF21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4A174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383"/>
    <w:rPr>
      <w:rFonts w:ascii="Times New Roman" w:eastAsia="Times New Roman" w:hAnsi="Times New Roman" w:cs="Times New Roman"/>
    </w:rPr>
  </w:style>
  <w:style w:type="paragraph" w:styleId="Heading1">
    <w:name w:val="heading 1"/>
    <w:basedOn w:val="Normal"/>
    <w:next w:val="Normal"/>
    <w:link w:val="Heading1Char"/>
    <w:qFormat/>
    <w:rsid w:val="00422383"/>
    <w:pPr>
      <w:keepNext/>
      <w:ind w:left="2880" w:hanging="2880"/>
      <w:outlineLvl w:val="0"/>
    </w:pPr>
    <w:rPr>
      <w:rFonts w:ascii="Courier New" w:hAnsi="Courier New" w:cs="Courier New"/>
      <w:b/>
      <w:bCs/>
    </w:rPr>
  </w:style>
  <w:style w:type="paragraph" w:styleId="Heading2">
    <w:name w:val="heading 2"/>
    <w:basedOn w:val="Normal"/>
    <w:next w:val="Normal"/>
    <w:link w:val="Heading2Char"/>
    <w:qFormat/>
    <w:rsid w:val="00422383"/>
    <w:pPr>
      <w:keepNext/>
      <w:spacing w:line="360" w:lineRule="auto"/>
      <w:jc w:val="center"/>
      <w:outlineLvl w:val="1"/>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2383"/>
    <w:rPr>
      <w:rFonts w:ascii="Courier New" w:eastAsia="Times New Roman" w:hAnsi="Courier New" w:cs="Courier New"/>
      <w:b/>
      <w:bCs/>
    </w:rPr>
  </w:style>
  <w:style w:type="character" w:customStyle="1" w:styleId="Heading2Char">
    <w:name w:val="Heading 2 Char"/>
    <w:basedOn w:val="DefaultParagraphFont"/>
    <w:link w:val="Heading2"/>
    <w:rsid w:val="00422383"/>
    <w:rPr>
      <w:rFonts w:ascii="Courier New" w:eastAsia="Times New Roman" w:hAnsi="Courier New" w:cs="Courier New"/>
      <w:b/>
      <w:bCs/>
    </w:rPr>
  </w:style>
  <w:style w:type="paragraph" w:styleId="Title">
    <w:name w:val="Title"/>
    <w:basedOn w:val="Normal"/>
    <w:link w:val="TitleChar"/>
    <w:qFormat/>
    <w:rsid w:val="00422383"/>
    <w:pPr>
      <w:jc w:val="center"/>
    </w:pPr>
    <w:rPr>
      <w:rFonts w:ascii="Courier New" w:hAnsi="Courier New" w:cs="Courier New"/>
      <w:b/>
      <w:bCs/>
    </w:rPr>
  </w:style>
  <w:style w:type="character" w:customStyle="1" w:styleId="TitleChar">
    <w:name w:val="Title Char"/>
    <w:basedOn w:val="DefaultParagraphFont"/>
    <w:link w:val="Title"/>
    <w:rsid w:val="00422383"/>
    <w:rPr>
      <w:rFonts w:ascii="Courier New" w:eastAsia="Times New Roman" w:hAnsi="Courier New" w:cs="Courier New"/>
      <w:b/>
      <w:bCs/>
    </w:rPr>
  </w:style>
  <w:style w:type="paragraph" w:styleId="BodyText2">
    <w:name w:val="Body Text 2"/>
    <w:basedOn w:val="Normal"/>
    <w:link w:val="BodyText2Char"/>
    <w:rsid w:val="00422383"/>
    <w:pPr>
      <w:spacing w:after="120" w:line="480" w:lineRule="auto"/>
    </w:pPr>
  </w:style>
  <w:style w:type="character" w:customStyle="1" w:styleId="BodyText2Char">
    <w:name w:val="Body Text 2 Char"/>
    <w:basedOn w:val="DefaultParagraphFont"/>
    <w:link w:val="BodyText2"/>
    <w:rsid w:val="00422383"/>
    <w:rPr>
      <w:rFonts w:ascii="Times New Roman" w:eastAsia="Times New Roman" w:hAnsi="Times New Roman" w:cs="Times New Roman"/>
    </w:rPr>
  </w:style>
  <w:style w:type="paragraph" w:styleId="Header">
    <w:name w:val="header"/>
    <w:basedOn w:val="Normal"/>
    <w:link w:val="HeaderChar"/>
    <w:uiPriority w:val="99"/>
    <w:unhideWhenUsed/>
    <w:rsid w:val="00AF0C58"/>
    <w:pPr>
      <w:tabs>
        <w:tab w:val="center" w:pos="4680"/>
        <w:tab w:val="right" w:pos="9360"/>
      </w:tabs>
    </w:pPr>
  </w:style>
  <w:style w:type="character" w:customStyle="1" w:styleId="HeaderChar">
    <w:name w:val="Header Char"/>
    <w:basedOn w:val="DefaultParagraphFont"/>
    <w:link w:val="Header"/>
    <w:uiPriority w:val="99"/>
    <w:rsid w:val="00AF0C58"/>
    <w:rPr>
      <w:rFonts w:ascii="Times New Roman" w:eastAsia="Times New Roman" w:hAnsi="Times New Roman" w:cs="Times New Roman"/>
    </w:rPr>
  </w:style>
  <w:style w:type="paragraph" w:styleId="Footer">
    <w:name w:val="footer"/>
    <w:basedOn w:val="Normal"/>
    <w:link w:val="FooterChar"/>
    <w:uiPriority w:val="99"/>
    <w:unhideWhenUsed/>
    <w:rsid w:val="00AF0C58"/>
    <w:pPr>
      <w:tabs>
        <w:tab w:val="center" w:pos="4680"/>
        <w:tab w:val="right" w:pos="9360"/>
      </w:tabs>
    </w:pPr>
  </w:style>
  <w:style w:type="character" w:customStyle="1" w:styleId="FooterChar">
    <w:name w:val="Footer Char"/>
    <w:basedOn w:val="DefaultParagraphFont"/>
    <w:link w:val="Footer"/>
    <w:uiPriority w:val="99"/>
    <w:rsid w:val="00AF0C5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2515F"/>
    <w:rPr>
      <w:rFonts w:ascii="Tahoma" w:hAnsi="Tahoma" w:cs="Tahoma"/>
      <w:sz w:val="16"/>
      <w:szCs w:val="16"/>
    </w:rPr>
  </w:style>
  <w:style w:type="character" w:customStyle="1" w:styleId="BalloonTextChar">
    <w:name w:val="Balloon Text Char"/>
    <w:basedOn w:val="DefaultParagraphFont"/>
    <w:link w:val="BalloonText"/>
    <w:uiPriority w:val="99"/>
    <w:semiHidden/>
    <w:rsid w:val="0002515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2383"/>
    <w:rPr>
      <w:rFonts w:ascii="Times New Roman" w:eastAsia="Times New Roman" w:hAnsi="Times New Roman" w:cs="Times New Roman"/>
    </w:rPr>
  </w:style>
  <w:style w:type="paragraph" w:styleId="Heading1">
    <w:name w:val="heading 1"/>
    <w:basedOn w:val="Normal"/>
    <w:next w:val="Normal"/>
    <w:link w:val="Heading1Char"/>
    <w:qFormat/>
    <w:rsid w:val="00422383"/>
    <w:pPr>
      <w:keepNext/>
      <w:ind w:left="2880" w:hanging="2880"/>
      <w:outlineLvl w:val="0"/>
    </w:pPr>
    <w:rPr>
      <w:rFonts w:ascii="Courier New" w:hAnsi="Courier New" w:cs="Courier New"/>
      <w:b/>
      <w:bCs/>
    </w:rPr>
  </w:style>
  <w:style w:type="paragraph" w:styleId="Heading2">
    <w:name w:val="heading 2"/>
    <w:basedOn w:val="Normal"/>
    <w:next w:val="Normal"/>
    <w:link w:val="Heading2Char"/>
    <w:qFormat/>
    <w:rsid w:val="00422383"/>
    <w:pPr>
      <w:keepNext/>
      <w:spacing w:line="360" w:lineRule="auto"/>
      <w:jc w:val="center"/>
      <w:outlineLvl w:val="1"/>
    </w:pPr>
    <w:rPr>
      <w:rFonts w:ascii="Courier New" w:hAnsi="Courier New" w:cs="Courier New"/>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22383"/>
    <w:rPr>
      <w:rFonts w:ascii="Courier New" w:eastAsia="Times New Roman" w:hAnsi="Courier New" w:cs="Courier New"/>
      <w:b/>
      <w:bCs/>
    </w:rPr>
  </w:style>
  <w:style w:type="character" w:customStyle="1" w:styleId="Heading2Char">
    <w:name w:val="Heading 2 Char"/>
    <w:basedOn w:val="DefaultParagraphFont"/>
    <w:link w:val="Heading2"/>
    <w:rsid w:val="00422383"/>
    <w:rPr>
      <w:rFonts w:ascii="Courier New" w:eastAsia="Times New Roman" w:hAnsi="Courier New" w:cs="Courier New"/>
      <w:b/>
      <w:bCs/>
    </w:rPr>
  </w:style>
  <w:style w:type="paragraph" w:styleId="Title">
    <w:name w:val="Title"/>
    <w:basedOn w:val="Normal"/>
    <w:link w:val="TitleChar"/>
    <w:qFormat/>
    <w:rsid w:val="00422383"/>
    <w:pPr>
      <w:jc w:val="center"/>
    </w:pPr>
    <w:rPr>
      <w:rFonts w:ascii="Courier New" w:hAnsi="Courier New" w:cs="Courier New"/>
      <w:b/>
      <w:bCs/>
    </w:rPr>
  </w:style>
  <w:style w:type="character" w:customStyle="1" w:styleId="TitleChar">
    <w:name w:val="Title Char"/>
    <w:basedOn w:val="DefaultParagraphFont"/>
    <w:link w:val="Title"/>
    <w:rsid w:val="00422383"/>
    <w:rPr>
      <w:rFonts w:ascii="Courier New" w:eastAsia="Times New Roman" w:hAnsi="Courier New" w:cs="Courier New"/>
      <w:b/>
      <w:bCs/>
    </w:rPr>
  </w:style>
  <w:style w:type="paragraph" w:styleId="BodyText2">
    <w:name w:val="Body Text 2"/>
    <w:basedOn w:val="Normal"/>
    <w:link w:val="BodyText2Char"/>
    <w:rsid w:val="00422383"/>
    <w:pPr>
      <w:spacing w:after="120" w:line="480" w:lineRule="auto"/>
    </w:pPr>
  </w:style>
  <w:style w:type="character" w:customStyle="1" w:styleId="BodyText2Char">
    <w:name w:val="Body Text 2 Char"/>
    <w:basedOn w:val="DefaultParagraphFont"/>
    <w:link w:val="BodyText2"/>
    <w:rsid w:val="00422383"/>
    <w:rPr>
      <w:rFonts w:ascii="Times New Roman" w:eastAsia="Times New Roman" w:hAnsi="Times New Roman" w:cs="Times New Roman"/>
    </w:rPr>
  </w:style>
  <w:style w:type="paragraph" w:styleId="Header">
    <w:name w:val="header"/>
    <w:basedOn w:val="Normal"/>
    <w:link w:val="HeaderChar"/>
    <w:uiPriority w:val="99"/>
    <w:unhideWhenUsed/>
    <w:rsid w:val="00AF0C58"/>
    <w:pPr>
      <w:tabs>
        <w:tab w:val="center" w:pos="4680"/>
        <w:tab w:val="right" w:pos="9360"/>
      </w:tabs>
    </w:pPr>
  </w:style>
  <w:style w:type="character" w:customStyle="1" w:styleId="HeaderChar">
    <w:name w:val="Header Char"/>
    <w:basedOn w:val="DefaultParagraphFont"/>
    <w:link w:val="Header"/>
    <w:uiPriority w:val="99"/>
    <w:rsid w:val="00AF0C58"/>
    <w:rPr>
      <w:rFonts w:ascii="Times New Roman" w:eastAsia="Times New Roman" w:hAnsi="Times New Roman" w:cs="Times New Roman"/>
    </w:rPr>
  </w:style>
  <w:style w:type="paragraph" w:styleId="Footer">
    <w:name w:val="footer"/>
    <w:basedOn w:val="Normal"/>
    <w:link w:val="FooterChar"/>
    <w:uiPriority w:val="99"/>
    <w:unhideWhenUsed/>
    <w:rsid w:val="00AF0C58"/>
    <w:pPr>
      <w:tabs>
        <w:tab w:val="center" w:pos="4680"/>
        <w:tab w:val="right" w:pos="9360"/>
      </w:tabs>
    </w:pPr>
  </w:style>
  <w:style w:type="character" w:customStyle="1" w:styleId="FooterChar">
    <w:name w:val="Footer Char"/>
    <w:basedOn w:val="DefaultParagraphFont"/>
    <w:link w:val="Footer"/>
    <w:uiPriority w:val="99"/>
    <w:rsid w:val="00AF0C5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02515F"/>
    <w:rPr>
      <w:rFonts w:ascii="Tahoma" w:hAnsi="Tahoma" w:cs="Tahoma"/>
      <w:sz w:val="16"/>
      <w:szCs w:val="16"/>
    </w:rPr>
  </w:style>
  <w:style w:type="character" w:customStyle="1" w:styleId="BalloonTextChar">
    <w:name w:val="Balloon Text Char"/>
    <w:basedOn w:val="DefaultParagraphFont"/>
    <w:link w:val="BalloonText"/>
    <w:uiPriority w:val="99"/>
    <w:semiHidden/>
    <w:rsid w:val="0002515F"/>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1704</Words>
  <Characters>9718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Saint-Amour</dc:creator>
  <cp:lastModifiedBy>ANF</cp:lastModifiedBy>
  <cp:revision>3</cp:revision>
  <cp:lastPrinted>2018-10-24T12:26:00Z</cp:lastPrinted>
  <dcterms:created xsi:type="dcterms:W3CDTF">2018-10-23T17:51:00Z</dcterms:created>
  <dcterms:modified xsi:type="dcterms:W3CDTF">2018-10-24T12:26:00Z</dcterms:modified>
</cp:coreProperties>
</file>