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42AE0" w:rsidRPr="004E7CD4" w:rsidRDefault="002C18C5" w:rsidP="008754B0">
      <w:pPr>
        <w:keepLines/>
        <w:pBdr>
          <w:bottom w:val="single" w:sz="18" w:space="1" w:color="BFBFBF"/>
        </w:pBdr>
        <w:spacing w:before="360"/>
        <w:ind w:right="-360" w:hanging="360"/>
        <w:rPr>
          <w:rFonts w:ascii="Arial" w:hAnsi="Arial" w:cs="Arial"/>
          <w:b/>
          <w:bCs/>
          <w:color w:val="17365D"/>
          <w:sz w:val="28"/>
          <w:szCs w:val="28"/>
        </w:rPr>
      </w:pPr>
      <w:r>
        <w:rPr>
          <w:noProof/>
        </w:rPr>
        <mc:AlternateContent>
          <mc:Choice Requires="wps">
            <w:drawing>
              <wp:anchor distT="0" distB="0" distL="114300" distR="114300" simplePos="0" relativeHeight="251658240" behindDoc="0" locked="0" layoutInCell="1" allowOverlap="1">
                <wp:simplePos x="0" y="0"/>
                <wp:positionH relativeFrom="page">
                  <wp:posOffset>286385</wp:posOffset>
                </wp:positionH>
                <wp:positionV relativeFrom="paragraph">
                  <wp:posOffset>-1059180</wp:posOffset>
                </wp:positionV>
                <wp:extent cx="7000875" cy="753110"/>
                <wp:effectExtent l="635"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FF4" w:rsidRPr="00E16847" w:rsidRDefault="008F247D" w:rsidP="00471A6E">
                            <w:pPr>
                              <w:pStyle w:val="BIDPUBHEALTHFACTSHEET"/>
                            </w:pPr>
                            <w:r>
                              <w:t xml:space="preserve">MASSACHUSETTS DEPARTMENT OF PUBLIC HEALTH </w:t>
                            </w:r>
                            <w:r w:rsidR="00042AE0">
                              <w:t>GUIDE TO SURVEILLANCE</w:t>
                            </w:r>
                            <w:r w:rsidR="003423DF">
                              <w:t>, REPORTING</w:t>
                            </w:r>
                            <w:r>
                              <w:t>,</w:t>
                            </w:r>
                            <w:r w:rsidR="003423DF">
                              <w:t xml:space="preserve"> AND CONTROL</w:t>
                            </w:r>
                          </w:p>
                          <w:p w:rsidR="00884FF4" w:rsidRPr="001A0372" w:rsidRDefault="00067682" w:rsidP="000250CA">
                            <w:pPr>
                              <w:pStyle w:val="BIDTitle"/>
                            </w:pPr>
                            <w:r>
                              <w:t>Cryptosporidiosis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5pt;margin-top:-83.4pt;width:551.25pt;height:59.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" filled="f" stroked="f">
                <v:textbox inset=",7.2pt,,7.2pt">
                  <w:txbxContent>
                    <w:p w:rsidR="00884FF4" w:rsidRPr="00E16847" w:rsidRDefault="008F247D" w:rsidP="00471A6E">
                      <w:pPr>
                        <w:pStyle w:val="BIDPUBHEALTHFACTSHEET"/>
                      </w:pPr>
                      <w:r>
                        <w:t xml:space="preserve">MASSACHUSETTS DEPARTMENT OF PUBLIC HEALTH </w:t>
                      </w:r>
                      <w:r w:rsidR="00042AE0">
                        <w:t>GUIDE TO SURVEILLANCE</w:t>
                      </w:r>
                      <w:r w:rsidR="003423DF">
                        <w:t>, REPORTING</w:t>
                      </w:r>
                      <w:r>
                        <w:t>,</w:t>
                      </w:r>
                      <w:r w:rsidR="003423DF">
                        <w:t xml:space="preserve"> AND CONTROL</w:t>
                      </w:r>
                    </w:p>
                    <w:p w:rsidR="00884FF4" w:rsidRPr="001A0372" w:rsidRDefault="00067682" w:rsidP="000250CA">
                      <w:pPr>
                        <w:pStyle w:val="BIDTitle"/>
                      </w:pPr>
                      <w:r>
                        <w:t>Cryptosporidiosis</w:t>
                      </w:r>
                    </w:p>
                  </w:txbxContent>
                </v:textbox>
                <w10:wrap anchorx="page"/>
              </v:shape>
            </w:pict>
          </mc:Fallback>
        </mc:AlternateContent>
      </w:r>
      <w:r>
        <w:rPr>
          <w:noProof/>
        </w:rPr>
        <mc:AlternateContent>
          <mc:Choice Requires="wps">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7772400" cy="914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612pt;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" fillcolor="#4f81bd" stroked="f">
                <v:fill color2="#152355" rotate="t" focus="100%" type="gradient"/>
                <v:shadow opacity="22936f" origin=",.5" offset="0,.63889mm"/>
                <w10:wrap anchorx="page" anchory="page"/>
              </v:rect>
            </w:pict>
          </mc:Fallback>
        </mc:AlternateContent>
      </w:r>
      <w:r w:rsidR="00042AE0" w:rsidRPr="004E7CD4">
        <w:rPr>
          <w:rFonts w:ascii="Arial" w:hAnsi="Arial" w:cs="Arial"/>
          <w:b/>
          <w:color w:val="17365D"/>
        </w:rPr>
        <w:t>Section 1</w:t>
      </w:r>
      <w:r w:rsidR="00042AE0" w:rsidRPr="004E7CD4">
        <w:rPr>
          <w:rFonts w:ascii="Arial" w:hAnsi="Arial" w:cs="Arial"/>
          <w:b/>
          <w:bCs/>
          <w:color w:val="17365D"/>
          <w:sz w:val="28"/>
          <w:szCs w:val="28"/>
        </w:rPr>
        <w:t xml:space="preserve"> </w:t>
      </w:r>
    </w:p>
    <w:p w:rsidR="00042AE0" w:rsidRDefault="00042AE0" w:rsidP="00042AE0">
      <w:pPr>
        <w:autoSpaceDE w:val="0"/>
        <w:autoSpaceDN w:val="0"/>
        <w:adjustRightInd w:val="0"/>
        <w:rPr>
          <w:rFonts w:ascii="Arial" w:hAnsi="Arial" w:cs="Arial"/>
          <w:b/>
          <w:bCs/>
          <w:color w:val="4F81BD"/>
          <w:sz w:val="28"/>
          <w:szCs w:val="28"/>
        </w:rPr>
      </w:pPr>
      <w:r w:rsidRPr="00042AE0">
        <w:rPr>
          <w:rFonts w:ascii="Arial" w:hAnsi="Arial" w:cs="Arial"/>
          <w:b/>
          <w:bCs/>
          <w:color w:val="4F81BD"/>
          <w:sz w:val="28"/>
          <w:szCs w:val="28"/>
        </w:rPr>
        <w:t>ABOUT THE DISEASE</w:t>
      </w:r>
    </w:p>
    <w:p w:rsidR="00994C2C" w:rsidRPr="00042AE0" w:rsidRDefault="00994C2C" w:rsidP="00042AE0">
      <w:pPr>
        <w:autoSpaceDE w:val="0"/>
        <w:autoSpaceDN w:val="0"/>
        <w:adjustRightInd w:val="0"/>
        <w:rPr>
          <w:rFonts w:ascii="Arial" w:hAnsi="Arial" w:cs="Arial"/>
          <w:b/>
          <w:bCs/>
          <w:color w:val="4F81BD"/>
          <w:sz w:val="28"/>
          <w:szCs w:val="28"/>
        </w:rPr>
      </w:pPr>
    </w:p>
    <w:p w:rsidR="00067682" w:rsidRPr="00067682" w:rsidRDefault="00067682" w:rsidP="00067682">
      <w:pPr>
        <w:autoSpaceDE w:val="0"/>
        <w:autoSpaceDN w:val="0"/>
        <w:adjustRightInd w:val="0"/>
        <w:rPr>
          <w:rFonts w:ascii="Arial" w:hAnsi="Arial" w:cs="Arial"/>
          <w:b/>
          <w:bCs/>
          <w:sz w:val="22"/>
          <w:szCs w:val="22"/>
        </w:rPr>
      </w:pPr>
      <w:r w:rsidRPr="00067682">
        <w:rPr>
          <w:rFonts w:ascii="Arial" w:hAnsi="Arial" w:cs="Arial"/>
          <w:b/>
          <w:bCs/>
          <w:sz w:val="22"/>
          <w:szCs w:val="22"/>
        </w:rPr>
        <w:t>A. Etiologic Agent</w:t>
      </w:r>
    </w:p>
    <w:p w:rsidR="00067682" w:rsidRPr="00067682" w:rsidRDefault="00067682" w:rsidP="00067682">
      <w:pPr>
        <w:autoSpaceDE w:val="0"/>
        <w:autoSpaceDN w:val="0"/>
        <w:adjustRightInd w:val="0"/>
        <w:rPr>
          <w:rFonts w:eastAsia="Times New Roman"/>
          <w:b/>
          <w:bCs/>
          <w:sz w:val="22"/>
          <w:szCs w:val="22"/>
        </w:rPr>
      </w:pPr>
    </w:p>
    <w:p w:rsidR="00067682" w:rsidRPr="00067682" w:rsidRDefault="00325479" w:rsidP="00067682">
      <w:pPr>
        <w:autoSpaceDE w:val="0"/>
        <w:autoSpaceDN w:val="0"/>
        <w:adjustRightInd w:val="0"/>
        <w:rPr>
          <w:rFonts w:eastAsia="Times New Roman"/>
          <w:sz w:val="22"/>
          <w:szCs w:val="22"/>
        </w:rPr>
      </w:pPr>
      <w:r>
        <w:rPr>
          <w:rFonts w:eastAsia="Times New Roman"/>
          <w:sz w:val="22"/>
          <w:szCs w:val="22"/>
        </w:rPr>
        <w:t xml:space="preserve">Cryptosporidiosis is a disease of the bowel caused by a parasite, </w:t>
      </w:r>
      <w:r w:rsidRPr="00325479">
        <w:rPr>
          <w:rFonts w:eastAsia="Times New Roman"/>
          <w:i/>
          <w:sz w:val="22"/>
          <w:szCs w:val="22"/>
        </w:rPr>
        <w:t>Cryptosporidium</w:t>
      </w:r>
      <w:r>
        <w:rPr>
          <w:rFonts w:eastAsia="Times New Roman"/>
          <w:sz w:val="22"/>
          <w:szCs w:val="22"/>
        </w:rPr>
        <w:t xml:space="preserve">. </w:t>
      </w:r>
      <w:r w:rsidR="00067682" w:rsidRPr="00067682">
        <w:rPr>
          <w:rFonts w:eastAsia="Times New Roman"/>
          <w:sz w:val="22"/>
          <w:szCs w:val="22"/>
        </w:rPr>
        <w:t xml:space="preserve">There are many species of </w:t>
      </w:r>
      <w:r w:rsidR="00067682" w:rsidRPr="00067682">
        <w:rPr>
          <w:rFonts w:eastAsia="Times New Roman"/>
          <w:i/>
          <w:iCs/>
          <w:sz w:val="22"/>
          <w:szCs w:val="22"/>
        </w:rPr>
        <w:t>Cryptosporidium</w:t>
      </w:r>
      <w:r w:rsidR="00067682" w:rsidRPr="00067682">
        <w:rPr>
          <w:rFonts w:eastAsia="Times New Roman"/>
          <w:sz w:val="22"/>
          <w:szCs w:val="22"/>
        </w:rPr>
        <w:t xml:space="preserve"> that infect humans and a wide range of animals. </w:t>
      </w:r>
      <w:r w:rsidR="00067682" w:rsidRPr="00067682">
        <w:rPr>
          <w:rFonts w:eastAsia="Times New Roman"/>
          <w:i/>
          <w:iCs/>
          <w:sz w:val="22"/>
          <w:szCs w:val="22"/>
        </w:rPr>
        <w:t>Cryptosporidium parvum</w:t>
      </w:r>
      <w:r w:rsidR="00067682" w:rsidRPr="00067682">
        <w:rPr>
          <w:rFonts w:eastAsia="Times New Roman"/>
          <w:sz w:val="22"/>
          <w:szCs w:val="22"/>
        </w:rPr>
        <w:t xml:space="preserve"> and </w:t>
      </w:r>
      <w:r w:rsidR="00067682" w:rsidRPr="00067682">
        <w:rPr>
          <w:rFonts w:eastAsia="Times New Roman"/>
          <w:i/>
          <w:iCs/>
          <w:sz w:val="22"/>
          <w:szCs w:val="22"/>
        </w:rPr>
        <w:t>Cryptosporidium hominis</w:t>
      </w:r>
      <w:r w:rsidR="00067682" w:rsidRPr="00067682">
        <w:rPr>
          <w:rFonts w:eastAsia="Times New Roman"/>
          <w:sz w:val="22"/>
          <w:szCs w:val="22"/>
        </w:rPr>
        <w:t xml:space="preserve"> are the most prevalent species causing disease in humans.</w:t>
      </w:r>
      <w:r w:rsidR="00067682" w:rsidRPr="00067682">
        <w:rPr>
          <w:rFonts w:eastAsia="Times New Roman"/>
          <w:i/>
          <w:sz w:val="22"/>
          <w:szCs w:val="22"/>
        </w:rPr>
        <w:t xml:space="preserve"> Cryptosporidium parvum</w:t>
      </w:r>
      <w:r w:rsidR="00067682" w:rsidRPr="00067682">
        <w:rPr>
          <w:rFonts w:eastAsia="Times New Roman"/>
          <w:sz w:val="22"/>
          <w:szCs w:val="22"/>
        </w:rPr>
        <w:t>, was first recognized as a cause of human illness in 1976.</w:t>
      </w:r>
    </w:p>
    <w:p w:rsidR="00067682" w:rsidRPr="00067682" w:rsidRDefault="00067682" w:rsidP="00067682">
      <w:pPr>
        <w:autoSpaceDE w:val="0"/>
        <w:autoSpaceDN w:val="0"/>
        <w:adjustRightInd w:val="0"/>
        <w:rPr>
          <w:rFonts w:eastAsia="Times New Roman"/>
          <w:sz w:val="22"/>
          <w:szCs w:val="22"/>
        </w:rPr>
      </w:pPr>
    </w:p>
    <w:p w:rsidR="00067682" w:rsidRPr="00067682" w:rsidRDefault="00067682" w:rsidP="00067682">
      <w:pPr>
        <w:autoSpaceDE w:val="0"/>
        <w:autoSpaceDN w:val="0"/>
        <w:adjustRightInd w:val="0"/>
        <w:rPr>
          <w:rFonts w:ascii="Arial" w:hAnsi="Arial" w:cs="Arial"/>
          <w:b/>
          <w:bCs/>
          <w:sz w:val="22"/>
          <w:szCs w:val="22"/>
        </w:rPr>
      </w:pPr>
      <w:r w:rsidRPr="00067682">
        <w:rPr>
          <w:rFonts w:ascii="Arial" w:hAnsi="Arial" w:cs="Arial"/>
          <w:b/>
          <w:bCs/>
          <w:sz w:val="22"/>
          <w:szCs w:val="22"/>
        </w:rPr>
        <w:t>B. Clinical Description</w:t>
      </w:r>
    </w:p>
    <w:p w:rsidR="00067682" w:rsidRPr="00067682" w:rsidRDefault="00067682" w:rsidP="00067682">
      <w:pPr>
        <w:autoSpaceDE w:val="0"/>
        <w:autoSpaceDN w:val="0"/>
        <w:adjustRightInd w:val="0"/>
        <w:rPr>
          <w:rFonts w:eastAsia="Times New Roman"/>
          <w:b/>
          <w:bCs/>
          <w:sz w:val="22"/>
          <w:szCs w:val="22"/>
        </w:rPr>
      </w:pPr>
    </w:p>
    <w:p w:rsidR="00067682" w:rsidRDefault="00067682" w:rsidP="00067682">
      <w:pPr>
        <w:autoSpaceDE w:val="0"/>
        <w:autoSpaceDN w:val="0"/>
        <w:adjustRightInd w:val="0"/>
        <w:rPr>
          <w:rFonts w:eastAsia="Times New Roman"/>
          <w:sz w:val="22"/>
          <w:szCs w:val="22"/>
        </w:rPr>
      </w:pPr>
      <w:r w:rsidRPr="00067682">
        <w:rPr>
          <w:rFonts w:eastAsia="Times New Roman"/>
          <w:sz w:val="22"/>
          <w:szCs w:val="22"/>
        </w:rPr>
        <w:t xml:space="preserve">The most common symptom of cryptosporidiosis is profuse and watery diarrhea. Other signs and symptoms include weight loss, stomach cramps or pain, nausea, vomiting, and low-grade fever. Symptoms often present sporadically, but they resolve in </w:t>
      </w:r>
      <w:r w:rsidR="00325479">
        <w:rPr>
          <w:rFonts w:eastAsia="Times New Roman"/>
          <w:sz w:val="22"/>
          <w:szCs w:val="22"/>
        </w:rPr>
        <w:t>1-20 days</w:t>
      </w:r>
      <w:r w:rsidRPr="00067682">
        <w:rPr>
          <w:rFonts w:eastAsia="Times New Roman"/>
          <w:sz w:val="22"/>
          <w:szCs w:val="22"/>
        </w:rPr>
        <w:t xml:space="preserve"> in most people who are not immunocompromised. Immunodeficiency, especially advanced HIV infection, is associated with an inability to clear the parasite, and the disease may have a prolonged and fulminant clinical course, contributing to death. Asymptomatic infections are common and serve as a source of infection for others. Diagnosis is generally made by the identification of oocysts in fecal smears. Most often, stool specimens are examined microscopically using different techniques</w:t>
      </w:r>
      <w:r w:rsidR="0043600B">
        <w:rPr>
          <w:rFonts w:eastAsia="Times New Roman"/>
          <w:sz w:val="22"/>
          <w:szCs w:val="22"/>
        </w:rPr>
        <w:t>, e.g.</w:t>
      </w:r>
      <w:r w:rsidRPr="00067682">
        <w:rPr>
          <w:rFonts w:eastAsia="Times New Roman"/>
          <w:sz w:val="22"/>
          <w:szCs w:val="22"/>
        </w:rPr>
        <w:t xml:space="preserve"> acid-fast staining, direct fluorescent antibody, or </w:t>
      </w:r>
      <w:r w:rsidR="00D54571">
        <w:rPr>
          <w:rFonts w:eastAsia="Times New Roman"/>
          <w:sz w:val="22"/>
          <w:szCs w:val="22"/>
        </w:rPr>
        <w:t xml:space="preserve">by </w:t>
      </w:r>
      <w:r w:rsidRPr="00067682">
        <w:rPr>
          <w:rFonts w:eastAsia="Times New Roman"/>
          <w:sz w:val="22"/>
          <w:szCs w:val="22"/>
        </w:rPr>
        <w:t xml:space="preserve">enzyme immunoassay </w:t>
      </w:r>
      <w:r w:rsidR="00D54571">
        <w:rPr>
          <w:rFonts w:eastAsia="Times New Roman"/>
          <w:sz w:val="22"/>
          <w:szCs w:val="22"/>
        </w:rPr>
        <w:t xml:space="preserve">(EIA) </w:t>
      </w:r>
      <w:r w:rsidRPr="00067682">
        <w:rPr>
          <w:rFonts w:eastAsia="Times New Roman"/>
          <w:sz w:val="22"/>
          <w:szCs w:val="22"/>
        </w:rPr>
        <w:t xml:space="preserve">for detection of the </w:t>
      </w:r>
      <w:r w:rsidRPr="00325479">
        <w:rPr>
          <w:rFonts w:eastAsia="Times New Roman"/>
          <w:i/>
          <w:sz w:val="22"/>
          <w:szCs w:val="22"/>
        </w:rPr>
        <w:t>Cryptosporidi</w:t>
      </w:r>
      <w:r w:rsidR="00325479" w:rsidRPr="00325479">
        <w:rPr>
          <w:rFonts w:eastAsia="Times New Roman"/>
          <w:i/>
          <w:sz w:val="22"/>
          <w:szCs w:val="22"/>
        </w:rPr>
        <w:t>um</w:t>
      </w:r>
      <w:r w:rsidRPr="00325479">
        <w:rPr>
          <w:rFonts w:eastAsia="Times New Roman"/>
          <w:i/>
          <w:sz w:val="22"/>
          <w:szCs w:val="22"/>
        </w:rPr>
        <w:t xml:space="preserve"> sp</w:t>
      </w:r>
      <w:r w:rsidRPr="00067682">
        <w:rPr>
          <w:rFonts w:eastAsia="Times New Roman"/>
          <w:sz w:val="22"/>
          <w:szCs w:val="22"/>
        </w:rPr>
        <w:t xml:space="preserve">. </w:t>
      </w:r>
      <w:r w:rsidR="00325479">
        <w:rPr>
          <w:rFonts w:eastAsia="Times New Roman"/>
          <w:sz w:val="22"/>
          <w:szCs w:val="22"/>
        </w:rPr>
        <w:t>a</w:t>
      </w:r>
      <w:r w:rsidRPr="00067682">
        <w:rPr>
          <w:rFonts w:eastAsia="Times New Roman"/>
          <w:sz w:val="22"/>
          <w:szCs w:val="22"/>
        </w:rPr>
        <w:t>ntigens. Molecular methods</w:t>
      </w:r>
      <w:r w:rsidR="00D54571">
        <w:rPr>
          <w:rFonts w:eastAsia="Times New Roman"/>
          <w:sz w:val="22"/>
          <w:szCs w:val="22"/>
        </w:rPr>
        <w:t>,</w:t>
      </w:r>
      <w:r w:rsidRPr="00067682">
        <w:rPr>
          <w:rFonts w:eastAsia="Times New Roman"/>
          <w:sz w:val="22"/>
          <w:szCs w:val="22"/>
        </w:rPr>
        <w:t xml:space="preserve"> like </w:t>
      </w:r>
      <w:r w:rsidR="00D54571">
        <w:rPr>
          <w:rFonts w:eastAsia="Times New Roman"/>
          <w:sz w:val="22"/>
          <w:szCs w:val="22"/>
        </w:rPr>
        <w:t>p</w:t>
      </w:r>
      <w:r w:rsidR="00D54571" w:rsidRPr="00067682">
        <w:rPr>
          <w:rFonts w:eastAsia="Times New Roman"/>
          <w:sz w:val="22"/>
          <w:szCs w:val="22"/>
        </w:rPr>
        <w:t xml:space="preserve">olymerase </w:t>
      </w:r>
      <w:r w:rsidR="00D54571">
        <w:rPr>
          <w:rFonts w:eastAsia="Times New Roman"/>
          <w:sz w:val="22"/>
          <w:szCs w:val="22"/>
        </w:rPr>
        <w:t>c</w:t>
      </w:r>
      <w:r w:rsidR="00D54571" w:rsidRPr="00067682">
        <w:rPr>
          <w:rFonts w:eastAsia="Times New Roman"/>
          <w:sz w:val="22"/>
          <w:szCs w:val="22"/>
        </w:rPr>
        <w:t xml:space="preserve">hain </w:t>
      </w:r>
      <w:r w:rsidR="00D54571">
        <w:rPr>
          <w:rFonts w:eastAsia="Times New Roman"/>
          <w:sz w:val="22"/>
          <w:szCs w:val="22"/>
        </w:rPr>
        <w:t>r</w:t>
      </w:r>
      <w:r w:rsidR="00D54571" w:rsidRPr="00067682">
        <w:rPr>
          <w:rFonts w:eastAsia="Times New Roman"/>
          <w:sz w:val="22"/>
          <w:szCs w:val="22"/>
        </w:rPr>
        <w:t xml:space="preserve">eaction </w:t>
      </w:r>
      <w:r w:rsidRPr="00067682">
        <w:rPr>
          <w:rFonts w:eastAsia="Times New Roman"/>
          <w:sz w:val="22"/>
          <w:szCs w:val="22"/>
        </w:rPr>
        <w:t>(PCR)</w:t>
      </w:r>
      <w:r w:rsidR="00D54571">
        <w:rPr>
          <w:rFonts w:eastAsia="Times New Roman"/>
          <w:sz w:val="22"/>
          <w:szCs w:val="22"/>
        </w:rPr>
        <w:t>,</w:t>
      </w:r>
      <w:r w:rsidRPr="00067682">
        <w:rPr>
          <w:rFonts w:eastAsia="Times New Roman"/>
          <w:sz w:val="22"/>
          <w:szCs w:val="22"/>
        </w:rPr>
        <w:t xml:space="preserve"> are also used increasingly, since they can identify the </w:t>
      </w:r>
      <w:r w:rsidR="00325479">
        <w:rPr>
          <w:rFonts w:eastAsia="Times New Roman"/>
          <w:sz w:val="22"/>
          <w:szCs w:val="22"/>
        </w:rPr>
        <w:t>parasite</w:t>
      </w:r>
      <w:r w:rsidRPr="00067682">
        <w:rPr>
          <w:rFonts w:eastAsia="Times New Roman"/>
          <w:sz w:val="22"/>
          <w:szCs w:val="22"/>
        </w:rPr>
        <w:t xml:space="preserve"> at the species level.</w:t>
      </w:r>
    </w:p>
    <w:p w:rsidR="00067682" w:rsidRPr="00067682" w:rsidRDefault="00067682" w:rsidP="00067682">
      <w:pPr>
        <w:autoSpaceDE w:val="0"/>
        <w:autoSpaceDN w:val="0"/>
        <w:adjustRightInd w:val="0"/>
        <w:rPr>
          <w:rFonts w:eastAsia="Times New Roman"/>
          <w:b/>
          <w:bCs/>
          <w:sz w:val="22"/>
          <w:szCs w:val="22"/>
        </w:rPr>
      </w:pPr>
      <w:r w:rsidRPr="00067682" w:rsidDel="00312CA8">
        <w:rPr>
          <w:rFonts w:eastAsia="Times New Roman"/>
          <w:sz w:val="22"/>
          <w:szCs w:val="22"/>
        </w:rPr>
        <w:t xml:space="preserve"> </w:t>
      </w:r>
    </w:p>
    <w:p w:rsidR="00067682" w:rsidRPr="00067682" w:rsidRDefault="00067682" w:rsidP="00067682">
      <w:pPr>
        <w:autoSpaceDE w:val="0"/>
        <w:autoSpaceDN w:val="0"/>
        <w:adjustRightInd w:val="0"/>
        <w:rPr>
          <w:rFonts w:ascii="Arial" w:hAnsi="Arial" w:cs="Arial"/>
          <w:b/>
          <w:bCs/>
          <w:sz w:val="22"/>
          <w:szCs w:val="22"/>
        </w:rPr>
      </w:pPr>
      <w:r w:rsidRPr="00067682">
        <w:rPr>
          <w:rFonts w:ascii="Arial" w:hAnsi="Arial" w:cs="Arial"/>
          <w:b/>
          <w:bCs/>
          <w:sz w:val="22"/>
          <w:szCs w:val="22"/>
        </w:rPr>
        <w:t>C. Vectors and Reservoirs</w:t>
      </w:r>
    </w:p>
    <w:p w:rsidR="00067682" w:rsidRPr="00067682" w:rsidRDefault="00067682" w:rsidP="00067682">
      <w:pPr>
        <w:autoSpaceDE w:val="0"/>
        <w:autoSpaceDN w:val="0"/>
        <w:adjustRightInd w:val="0"/>
        <w:rPr>
          <w:rFonts w:eastAsia="Times New Roman"/>
          <w:sz w:val="22"/>
          <w:szCs w:val="22"/>
        </w:rPr>
      </w:pPr>
    </w:p>
    <w:p w:rsidR="00067682" w:rsidRPr="00067682" w:rsidRDefault="00067682" w:rsidP="00067682">
      <w:pPr>
        <w:autoSpaceDE w:val="0"/>
        <w:autoSpaceDN w:val="0"/>
        <w:adjustRightInd w:val="0"/>
        <w:rPr>
          <w:rFonts w:eastAsia="Times New Roman"/>
          <w:sz w:val="22"/>
          <w:szCs w:val="22"/>
        </w:rPr>
      </w:pPr>
      <w:r w:rsidRPr="00067682">
        <w:rPr>
          <w:rFonts w:eastAsia="Times New Roman"/>
          <w:sz w:val="22"/>
          <w:szCs w:val="22"/>
        </w:rPr>
        <w:t>Humans, cattle, and domestic animals are reservoirs.</w:t>
      </w:r>
    </w:p>
    <w:p w:rsidR="00067682" w:rsidRPr="00067682" w:rsidRDefault="00067682" w:rsidP="00067682">
      <w:pPr>
        <w:autoSpaceDE w:val="0"/>
        <w:autoSpaceDN w:val="0"/>
        <w:adjustRightInd w:val="0"/>
        <w:rPr>
          <w:rFonts w:eastAsia="Times New Roman"/>
          <w:b/>
          <w:bCs/>
          <w:sz w:val="22"/>
          <w:szCs w:val="22"/>
        </w:rPr>
      </w:pPr>
    </w:p>
    <w:p w:rsidR="00067682" w:rsidRPr="00067682" w:rsidRDefault="00067682" w:rsidP="00067682">
      <w:pPr>
        <w:autoSpaceDE w:val="0"/>
        <w:autoSpaceDN w:val="0"/>
        <w:adjustRightInd w:val="0"/>
        <w:rPr>
          <w:rFonts w:ascii="Arial" w:hAnsi="Arial" w:cs="Arial"/>
          <w:b/>
          <w:bCs/>
          <w:sz w:val="22"/>
          <w:szCs w:val="22"/>
        </w:rPr>
      </w:pPr>
      <w:r w:rsidRPr="00067682">
        <w:rPr>
          <w:rFonts w:ascii="Arial" w:hAnsi="Arial" w:cs="Arial"/>
          <w:b/>
          <w:bCs/>
          <w:sz w:val="22"/>
          <w:szCs w:val="22"/>
        </w:rPr>
        <w:t>D. Modes of Transmission</w:t>
      </w:r>
    </w:p>
    <w:p w:rsidR="00067682" w:rsidRPr="00067682" w:rsidRDefault="00067682" w:rsidP="00067682">
      <w:pPr>
        <w:autoSpaceDE w:val="0"/>
        <w:autoSpaceDN w:val="0"/>
        <w:adjustRightInd w:val="0"/>
        <w:rPr>
          <w:rFonts w:eastAsia="Times New Roman"/>
          <w:sz w:val="22"/>
          <w:szCs w:val="22"/>
        </w:rPr>
      </w:pPr>
    </w:p>
    <w:p w:rsidR="00067682" w:rsidRPr="00067682" w:rsidRDefault="00067682" w:rsidP="00067682">
      <w:pPr>
        <w:autoSpaceDE w:val="0"/>
        <w:autoSpaceDN w:val="0"/>
        <w:adjustRightInd w:val="0"/>
        <w:rPr>
          <w:rFonts w:eastAsia="Times New Roman"/>
          <w:sz w:val="22"/>
          <w:szCs w:val="22"/>
        </w:rPr>
      </w:pPr>
      <w:r w:rsidRPr="00067682">
        <w:rPr>
          <w:rFonts w:eastAsia="Times New Roman"/>
          <w:sz w:val="22"/>
          <w:szCs w:val="22"/>
        </w:rPr>
        <w:t xml:space="preserve">Millions of </w:t>
      </w:r>
      <w:r w:rsidRPr="00325479">
        <w:rPr>
          <w:rFonts w:eastAsia="Times New Roman"/>
          <w:i/>
          <w:sz w:val="22"/>
          <w:szCs w:val="22"/>
        </w:rPr>
        <w:t>Crypto</w:t>
      </w:r>
      <w:r w:rsidR="00325479" w:rsidRPr="00325479">
        <w:rPr>
          <w:rFonts w:eastAsia="Times New Roman"/>
          <w:i/>
          <w:sz w:val="22"/>
          <w:szCs w:val="22"/>
        </w:rPr>
        <w:t>sporidium</w:t>
      </w:r>
      <w:r w:rsidRPr="00067682">
        <w:rPr>
          <w:rFonts w:eastAsia="Times New Roman"/>
          <w:sz w:val="22"/>
          <w:szCs w:val="22"/>
        </w:rPr>
        <w:t xml:space="preserve"> parasites can be released in a bowel movement from an infected human or animal. The infectious dose is not certain, but it is probably low. Oocysts are </w:t>
      </w:r>
      <w:r w:rsidR="00D54571">
        <w:rPr>
          <w:rFonts w:eastAsia="Times New Roman"/>
          <w:sz w:val="22"/>
          <w:szCs w:val="22"/>
        </w:rPr>
        <w:t xml:space="preserve">a form of the parasite that is </w:t>
      </w:r>
      <w:r w:rsidRPr="00067682">
        <w:rPr>
          <w:rFonts w:eastAsia="Times New Roman"/>
          <w:sz w:val="22"/>
          <w:szCs w:val="22"/>
        </w:rPr>
        <w:t xml:space="preserve">relatively hardy and can survive in the environment for weeks or months. </w:t>
      </w:r>
      <w:r w:rsidR="00D54571">
        <w:rPr>
          <w:rFonts w:eastAsia="Times New Roman"/>
          <w:sz w:val="22"/>
          <w:szCs w:val="22"/>
        </w:rPr>
        <w:t>Oocysts</w:t>
      </w:r>
      <w:r w:rsidR="00D54571" w:rsidRPr="00067682">
        <w:rPr>
          <w:rFonts w:eastAsia="Times New Roman"/>
          <w:sz w:val="22"/>
          <w:szCs w:val="22"/>
        </w:rPr>
        <w:t xml:space="preserve"> </w:t>
      </w:r>
      <w:r w:rsidRPr="00067682">
        <w:rPr>
          <w:rFonts w:eastAsia="Times New Roman"/>
          <w:sz w:val="22"/>
          <w:szCs w:val="22"/>
        </w:rPr>
        <w:t>are resistant to concentrations of chlorine and other disinfectants commonly used for drinking water treatment. They can be killed by heat or removed by filtration. The most common mode of transmission is from person to person. Persons become infected by hand-to-mouth transfer of oocysts from the feces of an infected individual, especially in institutions and daycare centers. Person-to-person transmission can also occur through sexual contact (e.g., oral-anal contact).</w:t>
      </w:r>
    </w:p>
    <w:p w:rsidR="00067682" w:rsidRPr="00067682" w:rsidRDefault="00067682" w:rsidP="00067682">
      <w:pPr>
        <w:autoSpaceDE w:val="0"/>
        <w:autoSpaceDN w:val="0"/>
        <w:adjustRightInd w:val="0"/>
        <w:rPr>
          <w:rFonts w:eastAsia="Times New Roman"/>
          <w:sz w:val="22"/>
          <w:szCs w:val="22"/>
        </w:rPr>
      </w:pPr>
    </w:p>
    <w:p w:rsidR="00067682" w:rsidRDefault="00067682" w:rsidP="00067682">
      <w:pPr>
        <w:autoSpaceDE w:val="0"/>
        <w:autoSpaceDN w:val="0"/>
        <w:adjustRightInd w:val="0"/>
        <w:rPr>
          <w:rFonts w:eastAsia="Times New Roman"/>
          <w:sz w:val="22"/>
          <w:szCs w:val="22"/>
        </w:rPr>
      </w:pPr>
      <w:r w:rsidRPr="00067682">
        <w:rPr>
          <w:rFonts w:eastAsia="Times New Roman"/>
          <w:sz w:val="22"/>
          <w:szCs w:val="22"/>
        </w:rPr>
        <w:t xml:space="preserve">Large outbreaks traced to contaminated drinking water have been reported, including an outbreak in Milwaukee, WI in 1993 that reportedly affected 400,000 people. Localized outbreaks may occur from contaminated water, such as stream/lake waters and swimming pools that are open to contamination </w:t>
      </w:r>
      <w:r w:rsidR="00D54571">
        <w:rPr>
          <w:rFonts w:eastAsia="Times New Roman"/>
          <w:sz w:val="22"/>
          <w:szCs w:val="22"/>
        </w:rPr>
        <w:t>from</w:t>
      </w:r>
      <w:r w:rsidR="00D54571" w:rsidRPr="00067682">
        <w:rPr>
          <w:rFonts w:eastAsia="Times New Roman"/>
          <w:sz w:val="22"/>
          <w:szCs w:val="22"/>
        </w:rPr>
        <w:t xml:space="preserve"> </w:t>
      </w:r>
      <w:r w:rsidRPr="00067682">
        <w:rPr>
          <w:rFonts w:eastAsia="Times New Roman"/>
          <w:sz w:val="22"/>
          <w:szCs w:val="22"/>
        </w:rPr>
        <w:t xml:space="preserve">human and animal feces. Outbreaks have also occurred from food contaminated by animal feces (e.g., unpasteurized apple cider). An infected food worker </w:t>
      </w:r>
      <w:r w:rsidR="00D54571">
        <w:rPr>
          <w:rFonts w:eastAsia="Times New Roman"/>
          <w:sz w:val="22"/>
          <w:szCs w:val="22"/>
        </w:rPr>
        <w:t>may</w:t>
      </w:r>
      <w:r w:rsidR="00D54571" w:rsidRPr="00067682">
        <w:rPr>
          <w:rFonts w:eastAsia="Times New Roman"/>
          <w:sz w:val="22"/>
          <w:szCs w:val="22"/>
        </w:rPr>
        <w:t xml:space="preserve"> </w:t>
      </w:r>
      <w:r w:rsidRPr="00067682">
        <w:rPr>
          <w:rFonts w:eastAsia="Times New Roman"/>
          <w:sz w:val="22"/>
          <w:szCs w:val="22"/>
        </w:rPr>
        <w:t xml:space="preserve">also be a source of foodborne transmission. In </w:t>
      </w:r>
      <w:r w:rsidRPr="00067682">
        <w:rPr>
          <w:rFonts w:eastAsia="Times New Roman"/>
          <w:sz w:val="22"/>
          <w:szCs w:val="22"/>
        </w:rPr>
        <w:lastRenderedPageBreak/>
        <w:t xml:space="preserve">addition, zoonotic transmission can occur through contact with feces from infected animals (e.g., </w:t>
      </w:r>
      <w:r w:rsidR="00D54571">
        <w:rPr>
          <w:rFonts w:eastAsia="Times New Roman"/>
          <w:sz w:val="22"/>
          <w:szCs w:val="22"/>
        </w:rPr>
        <w:t>in</w:t>
      </w:r>
      <w:r w:rsidR="00D54571" w:rsidRPr="00067682">
        <w:rPr>
          <w:rFonts w:eastAsia="Times New Roman"/>
          <w:sz w:val="22"/>
          <w:szCs w:val="22"/>
        </w:rPr>
        <w:t xml:space="preserve"> </w:t>
      </w:r>
      <w:r w:rsidRPr="00067682">
        <w:rPr>
          <w:rFonts w:eastAsia="Times New Roman"/>
          <w:sz w:val="22"/>
          <w:szCs w:val="22"/>
        </w:rPr>
        <w:t xml:space="preserve">livestock handlers, dairy farmers, veterinarians). </w:t>
      </w:r>
    </w:p>
    <w:p w:rsidR="0043600B" w:rsidRPr="00067682" w:rsidRDefault="0043600B" w:rsidP="00067682">
      <w:pPr>
        <w:autoSpaceDE w:val="0"/>
        <w:autoSpaceDN w:val="0"/>
        <w:adjustRightInd w:val="0"/>
        <w:rPr>
          <w:rFonts w:eastAsia="Times New Roman"/>
          <w:b/>
          <w:bCs/>
          <w:sz w:val="22"/>
          <w:szCs w:val="22"/>
        </w:rPr>
      </w:pPr>
    </w:p>
    <w:p w:rsidR="00067682" w:rsidRPr="00067682" w:rsidRDefault="00067682" w:rsidP="00067682">
      <w:pPr>
        <w:autoSpaceDE w:val="0"/>
        <w:autoSpaceDN w:val="0"/>
        <w:adjustRightInd w:val="0"/>
        <w:rPr>
          <w:rFonts w:ascii="Arial" w:hAnsi="Arial" w:cs="Arial"/>
          <w:b/>
          <w:bCs/>
          <w:sz w:val="22"/>
          <w:szCs w:val="22"/>
        </w:rPr>
      </w:pPr>
      <w:r w:rsidRPr="00067682">
        <w:rPr>
          <w:rFonts w:ascii="Arial" w:hAnsi="Arial" w:cs="Arial"/>
          <w:b/>
          <w:bCs/>
          <w:sz w:val="22"/>
          <w:szCs w:val="22"/>
        </w:rPr>
        <w:t>E. Incubation Period</w:t>
      </w:r>
    </w:p>
    <w:p w:rsidR="00067682" w:rsidRPr="00067682" w:rsidRDefault="00067682" w:rsidP="00067682">
      <w:pPr>
        <w:autoSpaceDE w:val="0"/>
        <w:autoSpaceDN w:val="0"/>
        <w:adjustRightInd w:val="0"/>
        <w:rPr>
          <w:rFonts w:eastAsia="Times New Roman"/>
          <w:b/>
          <w:bCs/>
          <w:sz w:val="22"/>
          <w:szCs w:val="22"/>
        </w:rPr>
      </w:pPr>
    </w:p>
    <w:p w:rsidR="00067682" w:rsidRPr="00067682" w:rsidRDefault="00067682" w:rsidP="00067682">
      <w:pPr>
        <w:autoSpaceDE w:val="0"/>
        <w:autoSpaceDN w:val="0"/>
        <w:adjustRightInd w:val="0"/>
        <w:rPr>
          <w:rFonts w:eastAsia="Times New Roman"/>
          <w:sz w:val="22"/>
          <w:szCs w:val="22"/>
        </w:rPr>
      </w:pPr>
      <w:r w:rsidRPr="00067682">
        <w:rPr>
          <w:rFonts w:eastAsia="Times New Roman"/>
          <w:sz w:val="22"/>
          <w:szCs w:val="22"/>
        </w:rPr>
        <w:t xml:space="preserve">Symptoms of </w:t>
      </w:r>
      <w:r w:rsidR="00D54571">
        <w:rPr>
          <w:rFonts w:eastAsia="Times New Roman"/>
          <w:sz w:val="22"/>
          <w:szCs w:val="22"/>
        </w:rPr>
        <w:t>c</w:t>
      </w:r>
      <w:r w:rsidR="00D54571" w:rsidRPr="00067682">
        <w:rPr>
          <w:rFonts w:eastAsia="Times New Roman"/>
          <w:sz w:val="22"/>
          <w:szCs w:val="22"/>
        </w:rPr>
        <w:t xml:space="preserve">ryptosporidiosis </w:t>
      </w:r>
      <w:r w:rsidRPr="00067682">
        <w:rPr>
          <w:rFonts w:eastAsia="Times New Roman"/>
          <w:sz w:val="22"/>
          <w:szCs w:val="22"/>
        </w:rPr>
        <w:t>generally begin 2-10 days</w:t>
      </w:r>
      <w:r w:rsidR="00D54571">
        <w:rPr>
          <w:rFonts w:eastAsia="Times New Roman"/>
          <w:sz w:val="22"/>
          <w:szCs w:val="22"/>
        </w:rPr>
        <w:t>,</w:t>
      </w:r>
      <w:r w:rsidRPr="00067682">
        <w:rPr>
          <w:rFonts w:eastAsia="Times New Roman"/>
          <w:sz w:val="22"/>
          <w:szCs w:val="22"/>
        </w:rPr>
        <w:t xml:space="preserve"> with an average of about 7 days</w:t>
      </w:r>
      <w:r w:rsidR="00D54571">
        <w:rPr>
          <w:rFonts w:eastAsia="Times New Roman"/>
          <w:sz w:val="22"/>
          <w:szCs w:val="22"/>
        </w:rPr>
        <w:t>,</w:t>
      </w:r>
      <w:r w:rsidRPr="00067682">
        <w:rPr>
          <w:rFonts w:eastAsia="Times New Roman"/>
          <w:sz w:val="22"/>
          <w:szCs w:val="22"/>
        </w:rPr>
        <w:t xml:space="preserve"> after becoming infected with the parasite</w:t>
      </w:r>
      <w:r w:rsidR="00D54571">
        <w:rPr>
          <w:rFonts w:eastAsia="Times New Roman"/>
          <w:sz w:val="22"/>
          <w:szCs w:val="22"/>
        </w:rPr>
        <w:t>.</w:t>
      </w:r>
    </w:p>
    <w:p w:rsidR="00067682" w:rsidRPr="00067682" w:rsidRDefault="00067682" w:rsidP="00067682">
      <w:pPr>
        <w:autoSpaceDE w:val="0"/>
        <w:autoSpaceDN w:val="0"/>
        <w:adjustRightInd w:val="0"/>
        <w:rPr>
          <w:rFonts w:eastAsia="Times New Roman"/>
          <w:b/>
          <w:bCs/>
          <w:sz w:val="22"/>
          <w:szCs w:val="22"/>
        </w:rPr>
      </w:pPr>
    </w:p>
    <w:p w:rsidR="00067682" w:rsidRPr="00067682" w:rsidRDefault="00067682" w:rsidP="00067682">
      <w:pPr>
        <w:autoSpaceDE w:val="0"/>
        <w:autoSpaceDN w:val="0"/>
        <w:adjustRightInd w:val="0"/>
        <w:rPr>
          <w:rFonts w:eastAsia="Times New Roman"/>
          <w:b/>
          <w:bCs/>
          <w:sz w:val="22"/>
          <w:szCs w:val="22"/>
        </w:rPr>
      </w:pPr>
      <w:r w:rsidRPr="00067682">
        <w:rPr>
          <w:rFonts w:eastAsia="Times New Roman"/>
          <w:b/>
          <w:bCs/>
          <w:sz w:val="22"/>
          <w:szCs w:val="22"/>
        </w:rPr>
        <w:t>F</w:t>
      </w:r>
      <w:r w:rsidRPr="00067682">
        <w:rPr>
          <w:rFonts w:ascii="Arial" w:hAnsi="Arial" w:cs="Arial"/>
          <w:b/>
          <w:bCs/>
          <w:sz w:val="22"/>
          <w:szCs w:val="22"/>
        </w:rPr>
        <w:t>. Period of Communicability or Infectious Period</w:t>
      </w:r>
    </w:p>
    <w:p w:rsidR="00067682" w:rsidRPr="00067682" w:rsidRDefault="00067682" w:rsidP="00067682">
      <w:pPr>
        <w:autoSpaceDE w:val="0"/>
        <w:autoSpaceDN w:val="0"/>
        <w:adjustRightInd w:val="0"/>
        <w:rPr>
          <w:rFonts w:eastAsia="Times New Roman"/>
          <w:b/>
          <w:bCs/>
          <w:sz w:val="22"/>
          <w:szCs w:val="22"/>
        </w:rPr>
      </w:pPr>
    </w:p>
    <w:p w:rsidR="00067682" w:rsidRPr="00067682" w:rsidRDefault="00067682" w:rsidP="00067682">
      <w:pPr>
        <w:autoSpaceDE w:val="0"/>
        <w:autoSpaceDN w:val="0"/>
        <w:adjustRightInd w:val="0"/>
        <w:rPr>
          <w:rFonts w:eastAsia="Times New Roman"/>
          <w:sz w:val="22"/>
          <w:szCs w:val="22"/>
        </w:rPr>
      </w:pPr>
      <w:r w:rsidRPr="00067682">
        <w:rPr>
          <w:rFonts w:eastAsia="Times New Roman"/>
          <w:sz w:val="22"/>
          <w:szCs w:val="22"/>
        </w:rPr>
        <w:t xml:space="preserve">The disease is communicable for as long as the infected person excretes </w:t>
      </w:r>
      <w:r w:rsidRPr="00067682">
        <w:rPr>
          <w:rFonts w:eastAsia="Times New Roman"/>
          <w:i/>
          <w:sz w:val="22"/>
          <w:szCs w:val="22"/>
        </w:rPr>
        <w:t xml:space="preserve">Cryptosporidium </w:t>
      </w:r>
      <w:r w:rsidRPr="00067682">
        <w:rPr>
          <w:rFonts w:eastAsia="Times New Roman"/>
          <w:sz w:val="22"/>
          <w:szCs w:val="22"/>
        </w:rPr>
        <w:t>oocysts, which generally begins at the onset of symptoms. Oocysts continue to be excreted in the stool for several weeks after symptoms subside, and they may remain infective outside the body for 2–6 months in a moist environment.</w:t>
      </w:r>
    </w:p>
    <w:p w:rsidR="00067682" w:rsidRPr="00067682" w:rsidRDefault="00067682" w:rsidP="00067682">
      <w:pPr>
        <w:autoSpaceDE w:val="0"/>
        <w:autoSpaceDN w:val="0"/>
        <w:adjustRightInd w:val="0"/>
        <w:rPr>
          <w:rFonts w:eastAsia="Times New Roman"/>
          <w:sz w:val="22"/>
          <w:szCs w:val="22"/>
        </w:rPr>
      </w:pPr>
    </w:p>
    <w:p w:rsidR="00067682" w:rsidRPr="00067682" w:rsidRDefault="00067682" w:rsidP="00067682">
      <w:pPr>
        <w:autoSpaceDE w:val="0"/>
        <w:autoSpaceDN w:val="0"/>
        <w:adjustRightInd w:val="0"/>
        <w:rPr>
          <w:rFonts w:ascii="Arial" w:hAnsi="Arial" w:cs="Arial"/>
          <w:b/>
          <w:bCs/>
          <w:sz w:val="22"/>
          <w:szCs w:val="22"/>
        </w:rPr>
      </w:pPr>
      <w:r w:rsidRPr="00067682">
        <w:rPr>
          <w:rFonts w:ascii="Arial" w:hAnsi="Arial" w:cs="Arial"/>
          <w:b/>
          <w:bCs/>
          <w:sz w:val="22"/>
          <w:szCs w:val="22"/>
        </w:rPr>
        <w:t>G. Epidemiology</w:t>
      </w:r>
    </w:p>
    <w:p w:rsidR="00067682" w:rsidRPr="00067682" w:rsidRDefault="00067682" w:rsidP="00067682">
      <w:pPr>
        <w:autoSpaceDE w:val="0"/>
        <w:autoSpaceDN w:val="0"/>
        <w:adjustRightInd w:val="0"/>
        <w:rPr>
          <w:rFonts w:eastAsia="Times New Roman"/>
          <w:sz w:val="22"/>
          <w:szCs w:val="22"/>
        </w:rPr>
      </w:pPr>
    </w:p>
    <w:p w:rsidR="00067682" w:rsidRPr="00067682" w:rsidRDefault="00067682" w:rsidP="00067682">
      <w:pPr>
        <w:autoSpaceDE w:val="0"/>
        <w:autoSpaceDN w:val="0"/>
        <w:adjustRightInd w:val="0"/>
        <w:rPr>
          <w:rFonts w:eastAsia="Times New Roman"/>
          <w:sz w:val="22"/>
          <w:szCs w:val="22"/>
        </w:rPr>
      </w:pPr>
      <w:r w:rsidRPr="00067682">
        <w:rPr>
          <w:rFonts w:eastAsia="Times New Roman"/>
          <w:sz w:val="22"/>
          <w:szCs w:val="22"/>
        </w:rPr>
        <w:t>Cryptosporidiosis has a worldwide distribution. In developed countries, the prevalence of infection ranges from &lt;1</w:t>
      </w:r>
      <w:r w:rsidR="00D54571">
        <w:rPr>
          <w:rFonts w:eastAsia="Times New Roman"/>
          <w:sz w:val="22"/>
          <w:szCs w:val="22"/>
        </w:rPr>
        <w:t xml:space="preserve"> to </w:t>
      </w:r>
      <w:r w:rsidRPr="00067682">
        <w:rPr>
          <w:rFonts w:eastAsia="Times New Roman"/>
          <w:sz w:val="22"/>
          <w:szCs w:val="22"/>
        </w:rPr>
        <w:t xml:space="preserve">4.5% of individuals surveyed by stool examination. The prevalence is significantly higher in developing regions of the world. Cryptosporidiosis is still among the most common causes of persistent diarrhea in patients with AIDS in the U.S., but it has become less of a problem since the introduction of anti-retroviral therapy. Children </w:t>
      </w:r>
      <w:r w:rsidR="0043600B">
        <w:rPr>
          <w:rFonts w:eastAsia="Times New Roman"/>
          <w:sz w:val="22"/>
          <w:szCs w:val="22"/>
        </w:rPr>
        <w:t>less than</w:t>
      </w:r>
      <w:r w:rsidRPr="00067682">
        <w:rPr>
          <w:rFonts w:eastAsia="Times New Roman"/>
          <w:sz w:val="22"/>
          <w:szCs w:val="22"/>
        </w:rPr>
        <w:t xml:space="preserve"> two years of age, animal handlers, travelers to endemic areas, men who have sex with men, and close contacts of infected individuals are at higher risk for being infected. Outbreaks have been reported in daycare centers</w:t>
      </w:r>
      <w:r w:rsidR="009B768B">
        <w:rPr>
          <w:rFonts w:eastAsia="Times New Roman"/>
          <w:sz w:val="22"/>
          <w:szCs w:val="22"/>
        </w:rPr>
        <w:t>,</w:t>
      </w:r>
      <w:r w:rsidRPr="00067682">
        <w:rPr>
          <w:rFonts w:eastAsia="Times New Roman"/>
          <w:sz w:val="22"/>
          <w:szCs w:val="22"/>
        </w:rPr>
        <w:t xml:space="preserve"> and have been associated with public drinking water, contaminated swimming pools, lakes and ponds, and with drinking unpasteurized cider made from apples contaminated with cow manure.</w:t>
      </w:r>
    </w:p>
    <w:p w:rsidR="00067682" w:rsidRPr="00067682" w:rsidRDefault="00067682" w:rsidP="00067682">
      <w:pPr>
        <w:autoSpaceDE w:val="0"/>
        <w:autoSpaceDN w:val="0"/>
        <w:adjustRightInd w:val="0"/>
        <w:rPr>
          <w:rFonts w:eastAsia="Times New Roman"/>
          <w:b/>
          <w:bCs/>
          <w:sz w:val="22"/>
          <w:szCs w:val="22"/>
        </w:rPr>
      </w:pPr>
    </w:p>
    <w:p w:rsidR="00067682" w:rsidRPr="00067682" w:rsidRDefault="00067682" w:rsidP="00067682">
      <w:pPr>
        <w:autoSpaceDE w:val="0"/>
        <w:autoSpaceDN w:val="0"/>
        <w:adjustRightInd w:val="0"/>
        <w:rPr>
          <w:rFonts w:ascii="Arial" w:hAnsi="Arial" w:cs="Arial"/>
          <w:b/>
          <w:bCs/>
          <w:sz w:val="22"/>
          <w:szCs w:val="22"/>
        </w:rPr>
      </w:pPr>
      <w:r w:rsidRPr="00067682">
        <w:rPr>
          <w:rFonts w:ascii="Arial" w:hAnsi="Arial" w:cs="Arial"/>
          <w:b/>
          <w:bCs/>
          <w:sz w:val="22"/>
          <w:szCs w:val="22"/>
        </w:rPr>
        <w:t>H. Bioterrorist Potential</w:t>
      </w:r>
    </w:p>
    <w:p w:rsidR="00067682" w:rsidRPr="00067682" w:rsidRDefault="00067682" w:rsidP="00067682">
      <w:pPr>
        <w:autoSpaceDE w:val="0"/>
        <w:autoSpaceDN w:val="0"/>
        <w:adjustRightInd w:val="0"/>
        <w:rPr>
          <w:rFonts w:eastAsia="Times New Roman"/>
          <w:b/>
          <w:bCs/>
          <w:sz w:val="22"/>
          <w:szCs w:val="22"/>
        </w:rPr>
      </w:pPr>
    </w:p>
    <w:p w:rsidR="00067682" w:rsidRPr="00067682" w:rsidRDefault="00067682" w:rsidP="00067682">
      <w:pPr>
        <w:autoSpaceDE w:val="0"/>
        <w:autoSpaceDN w:val="0"/>
        <w:adjustRightInd w:val="0"/>
        <w:rPr>
          <w:rFonts w:eastAsia="Times New Roman"/>
          <w:sz w:val="22"/>
          <w:szCs w:val="22"/>
        </w:rPr>
      </w:pPr>
      <w:r w:rsidRPr="00067682">
        <w:rPr>
          <w:rFonts w:eastAsia="Times New Roman"/>
          <w:sz w:val="22"/>
          <w:szCs w:val="22"/>
        </w:rPr>
        <w:t>This pathogen is not considered to be of risk for use in bioterrorism.</w:t>
      </w:r>
    </w:p>
    <w:p w:rsidR="00622F42" w:rsidRPr="00622F42" w:rsidRDefault="00622F42" w:rsidP="00622F42">
      <w:pPr>
        <w:autoSpaceDE w:val="0"/>
        <w:autoSpaceDN w:val="0"/>
        <w:adjustRightInd w:val="0"/>
        <w:rPr>
          <w:rFonts w:eastAsia="Times New Roman"/>
          <w:sz w:val="22"/>
          <w:szCs w:val="22"/>
        </w:rPr>
      </w:pPr>
    </w:p>
    <w:p w:rsidR="00622F42" w:rsidRPr="00622F42" w:rsidRDefault="00622F42" w:rsidP="00622F42">
      <w:pPr>
        <w:pBdr>
          <w:bottom w:val="single" w:sz="4" w:space="1" w:color="auto"/>
        </w:pBdr>
        <w:autoSpaceDE w:val="0"/>
        <w:autoSpaceDN w:val="0"/>
        <w:adjustRightInd w:val="0"/>
        <w:rPr>
          <w:rFonts w:ascii="Arial" w:hAnsi="Arial" w:cs="Arial"/>
          <w:b/>
          <w:bCs/>
          <w:color w:val="1F497D"/>
          <w:szCs w:val="32"/>
        </w:rPr>
      </w:pPr>
      <w:r w:rsidRPr="00622F42">
        <w:rPr>
          <w:rFonts w:ascii="Arial" w:hAnsi="Arial" w:cs="Arial"/>
          <w:b/>
          <w:bCs/>
          <w:color w:val="1F497D"/>
          <w:szCs w:val="32"/>
        </w:rPr>
        <w:t>Section 2</w:t>
      </w:r>
    </w:p>
    <w:p w:rsidR="00622F42" w:rsidRPr="00622F42" w:rsidRDefault="00622F42" w:rsidP="00622F42">
      <w:pPr>
        <w:keepNext/>
        <w:autoSpaceDE w:val="0"/>
        <w:autoSpaceDN w:val="0"/>
        <w:adjustRightInd w:val="0"/>
        <w:outlineLvl w:val="1"/>
        <w:rPr>
          <w:rFonts w:ascii="Arial" w:hAnsi="Arial" w:cs="Arial"/>
          <w:b/>
          <w:bCs/>
          <w:color w:val="4F81BD"/>
          <w:sz w:val="28"/>
          <w:szCs w:val="44"/>
        </w:rPr>
      </w:pPr>
      <w:r w:rsidRPr="00622F42">
        <w:rPr>
          <w:rFonts w:ascii="Arial" w:hAnsi="Arial" w:cs="Arial"/>
          <w:b/>
          <w:bCs/>
          <w:color w:val="4F81BD"/>
          <w:sz w:val="28"/>
          <w:szCs w:val="44"/>
        </w:rPr>
        <w:t>REPORTING CRITERIA AND LABORATORY TESTING</w:t>
      </w:r>
    </w:p>
    <w:p w:rsidR="00622F42" w:rsidRPr="00622F42" w:rsidRDefault="00622F42" w:rsidP="00622F42">
      <w:pPr>
        <w:autoSpaceDE w:val="0"/>
        <w:autoSpaceDN w:val="0"/>
        <w:adjustRightInd w:val="0"/>
        <w:rPr>
          <w:rFonts w:ascii="TradeGothic-BoldCondTwenty" w:hAnsi="TradeGothic-BoldCondTwenty"/>
          <w:b/>
          <w:bCs/>
          <w:sz w:val="22"/>
          <w:szCs w:val="26"/>
        </w:rPr>
      </w:pPr>
    </w:p>
    <w:p w:rsidR="00622F42" w:rsidRPr="00622F42" w:rsidRDefault="00622F42" w:rsidP="00622F42">
      <w:pPr>
        <w:autoSpaceDE w:val="0"/>
        <w:autoSpaceDN w:val="0"/>
        <w:adjustRightInd w:val="0"/>
        <w:rPr>
          <w:rFonts w:ascii="Arial" w:hAnsi="Arial" w:cs="Arial"/>
          <w:b/>
          <w:bCs/>
          <w:sz w:val="22"/>
          <w:szCs w:val="22"/>
        </w:rPr>
      </w:pPr>
      <w:r w:rsidRPr="00622F42">
        <w:rPr>
          <w:rFonts w:ascii="Arial" w:hAnsi="Arial" w:cs="Arial"/>
          <w:b/>
          <w:bCs/>
          <w:sz w:val="22"/>
          <w:szCs w:val="22"/>
        </w:rPr>
        <w:t>A. What to Report to the Massachusetts Department of Public Health (MDPH)</w:t>
      </w:r>
    </w:p>
    <w:p w:rsidR="00622F42" w:rsidRPr="00622F42" w:rsidRDefault="00622F42" w:rsidP="00622F42">
      <w:pPr>
        <w:autoSpaceDE w:val="0"/>
        <w:autoSpaceDN w:val="0"/>
        <w:adjustRightInd w:val="0"/>
        <w:rPr>
          <w:rFonts w:ascii="Garamond-BookCondensed" w:hAnsi="Garamond-BookCondensed"/>
          <w:sz w:val="20"/>
        </w:rPr>
      </w:pPr>
    </w:p>
    <w:p w:rsidR="00384203" w:rsidRPr="00384203" w:rsidRDefault="00384203" w:rsidP="00A36880">
      <w:pPr>
        <w:rPr>
          <w:rFonts w:asciiTheme="majorHAnsi" w:hAnsiTheme="majorHAnsi"/>
          <w:color w:val="333333"/>
          <w:sz w:val="22"/>
          <w:szCs w:val="22"/>
        </w:rPr>
      </w:pPr>
      <w:r w:rsidRPr="00384203">
        <w:rPr>
          <w:rFonts w:asciiTheme="majorHAnsi" w:hAnsiTheme="majorHAnsi"/>
          <w:color w:val="333333"/>
          <w:sz w:val="22"/>
          <w:szCs w:val="22"/>
        </w:rPr>
        <w:t xml:space="preserve">Report evidence of </w:t>
      </w:r>
      <w:r w:rsidRPr="00384203">
        <w:rPr>
          <w:rFonts w:asciiTheme="majorHAnsi" w:hAnsiTheme="majorHAnsi"/>
          <w:i/>
          <w:iCs/>
          <w:color w:val="333333"/>
          <w:sz w:val="22"/>
          <w:szCs w:val="22"/>
        </w:rPr>
        <w:t>Cryptosporidium</w:t>
      </w:r>
      <w:r w:rsidRPr="00384203">
        <w:rPr>
          <w:rFonts w:asciiTheme="majorHAnsi" w:hAnsiTheme="majorHAnsi"/>
          <w:color w:val="333333"/>
          <w:sz w:val="22"/>
          <w:szCs w:val="22"/>
        </w:rPr>
        <w:t xml:space="preserve"> organisms or DNA in stool, intestinal fluid, tissue samples, biopsy specimens, or other biological sample by certain laboratory methods with a high positive predictive value </w:t>
      </w:r>
      <w:r>
        <w:rPr>
          <w:rFonts w:asciiTheme="majorHAnsi" w:hAnsiTheme="majorHAnsi"/>
          <w:color w:val="333333"/>
          <w:sz w:val="22"/>
          <w:szCs w:val="22"/>
        </w:rPr>
        <w:t>such as the following:</w:t>
      </w:r>
    </w:p>
    <w:p w:rsidR="00384203" w:rsidRPr="00384203" w:rsidRDefault="00384203" w:rsidP="00A36880">
      <w:pPr>
        <w:numPr>
          <w:ilvl w:val="0"/>
          <w:numId w:val="38"/>
        </w:numPr>
        <w:spacing w:after="100" w:afterAutospacing="1" w:line="375" w:lineRule="atLeast"/>
        <w:ind w:left="792"/>
        <w:rPr>
          <w:rFonts w:asciiTheme="majorHAnsi" w:hAnsiTheme="majorHAnsi"/>
          <w:color w:val="333333"/>
          <w:sz w:val="22"/>
          <w:szCs w:val="22"/>
        </w:rPr>
      </w:pPr>
      <w:r w:rsidRPr="00384203">
        <w:rPr>
          <w:rFonts w:asciiTheme="majorHAnsi" w:hAnsiTheme="majorHAnsi"/>
          <w:color w:val="333333"/>
          <w:sz w:val="22"/>
          <w:szCs w:val="22"/>
        </w:rPr>
        <w:t>Direct fluorescent antibody [DFA] test,</w:t>
      </w:r>
    </w:p>
    <w:p w:rsidR="00384203" w:rsidRPr="00384203" w:rsidRDefault="00384203" w:rsidP="00384203">
      <w:pPr>
        <w:numPr>
          <w:ilvl w:val="0"/>
          <w:numId w:val="38"/>
        </w:numPr>
        <w:spacing w:before="100" w:beforeAutospacing="1" w:after="100" w:afterAutospacing="1" w:line="375" w:lineRule="atLeast"/>
        <w:rPr>
          <w:rFonts w:asciiTheme="majorHAnsi" w:hAnsiTheme="majorHAnsi"/>
          <w:color w:val="333333"/>
          <w:sz w:val="22"/>
          <w:szCs w:val="22"/>
        </w:rPr>
      </w:pPr>
      <w:r w:rsidRPr="00384203">
        <w:rPr>
          <w:rFonts w:asciiTheme="majorHAnsi" w:hAnsiTheme="majorHAnsi"/>
          <w:color w:val="333333"/>
          <w:sz w:val="22"/>
          <w:szCs w:val="22"/>
        </w:rPr>
        <w:t>Polymerase chain reaction [PCR],</w:t>
      </w:r>
    </w:p>
    <w:p w:rsidR="00384203" w:rsidRPr="00384203" w:rsidRDefault="00384203" w:rsidP="00384203">
      <w:pPr>
        <w:numPr>
          <w:ilvl w:val="0"/>
          <w:numId w:val="38"/>
        </w:numPr>
        <w:spacing w:before="100" w:beforeAutospacing="1" w:after="100" w:afterAutospacing="1" w:line="375" w:lineRule="atLeast"/>
        <w:rPr>
          <w:rFonts w:asciiTheme="majorHAnsi" w:hAnsiTheme="majorHAnsi"/>
          <w:color w:val="333333"/>
          <w:sz w:val="22"/>
          <w:szCs w:val="22"/>
        </w:rPr>
      </w:pPr>
      <w:r w:rsidRPr="00384203">
        <w:rPr>
          <w:rFonts w:asciiTheme="majorHAnsi" w:hAnsiTheme="majorHAnsi"/>
          <w:color w:val="333333"/>
          <w:sz w:val="22"/>
          <w:szCs w:val="22"/>
        </w:rPr>
        <w:t xml:space="preserve">Enzyme immunoassay [EIA], </w:t>
      </w:r>
      <w:r w:rsidRPr="00384203">
        <w:rPr>
          <w:rFonts w:asciiTheme="majorHAnsi" w:hAnsiTheme="majorHAnsi"/>
          <w:b/>
          <w:bCs/>
          <w:color w:val="333333"/>
          <w:sz w:val="22"/>
          <w:szCs w:val="22"/>
        </w:rPr>
        <w:t>OR</w:t>
      </w:r>
    </w:p>
    <w:p w:rsidR="00384203" w:rsidRPr="00384203" w:rsidRDefault="00384203" w:rsidP="00A36880">
      <w:pPr>
        <w:numPr>
          <w:ilvl w:val="0"/>
          <w:numId w:val="38"/>
        </w:numPr>
        <w:spacing w:before="100" w:beforeAutospacing="1" w:after="100" w:afterAutospacing="1" w:line="375" w:lineRule="atLeast"/>
        <w:rPr>
          <w:rFonts w:asciiTheme="majorHAnsi" w:hAnsiTheme="majorHAnsi"/>
          <w:color w:val="333333"/>
          <w:sz w:val="22"/>
          <w:szCs w:val="22"/>
        </w:rPr>
      </w:pPr>
      <w:r>
        <w:rPr>
          <w:rFonts w:asciiTheme="majorHAnsi" w:hAnsiTheme="majorHAnsi"/>
          <w:color w:val="333333"/>
          <w:sz w:val="22"/>
          <w:szCs w:val="22"/>
        </w:rPr>
        <w:t>Microscopy</w:t>
      </w:r>
      <w:r w:rsidRPr="00384203">
        <w:rPr>
          <w:rFonts w:asciiTheme="majorHAnsi" w:hAnsiTheme="majorHAnsi"/>
          <w:color w:val="333333"/>
          <w:sz w:val="22"/>
          <w:szCs w:val="22"/>
        </w:rPr>
        <w:t xml:space="preserve"> of stained specimen.</w:t>
      </w:r>
    </w:p>
    <w:p w:rsidR="00622F42" w:rsidRPr="00622F42" w:rsidRDefault="00B74731" w:rsidP="00B74731">
      <w:pPr>
        <w:autoSpaceDE w:val="0"/>
        <w:autoSpaceDN w:val="0"/>
        <w:adjustRightInd w:val="0"/>
        <w:rPr>
          <w:i/>
          <w:sz w:val="22"/>
          <w:szCs w:val="22"/>
        </w:rPr>
      </w:pPr>
      <w:r w:rsidRPr="00B74731">
        <w:rPr>
          <w:rFonts w:eastAsia="Times New Roman" w:cs="Garamond-BookCondensed"/>
          <w:i/>
          <w:sz w:val="22"/>
          <w:szCs w:val="22"/>
        </w:rPr>
        <w:lastRenderedPageBreak/>
        <w:t>Note: See Section 3C for information on how to report a case.</w:t>
      </w:r>
    </w:p>
    <w:p w:rsidR="00622F42" w:rsidRPr="00622F42" w:rsidRDefault="00622F42" w:rsidP="00622F42">
      <w:pPr>
        <w:keepNext/>
        <w:autoSpaceDE w:val="0"/>
        <w:autoSpaceDN w:val="0"/>
        <w:adjustRightInd w:val="0"/>
        <w:outlineLvl w:val="2"/>
        <w:rPr>
          <w:rFonts w:ascii="Garamond-BookCondensed" w:hAnsi="Garamond-BookCondensed"/>
          <w:i/>
          <w:sz w:val="20"/>
        </w:rPr>
      </w:pPr>
    </w:p>
    <w:p w:rsidR="00622F42" w:rsidRPr="00622F42" w:rsidRDefault="00622F42" w:rsidP="00622F42">
      <w:pPr>
        <w:keepNext/>
        <w:autoSpaceDE w:val="0"/>
        <w:autoSpaceDN w:val="0"/>
        <w:adjustRightInd w:val="0"/>
        <w:outlineLvl w:val="2"/>
        <w:rPr>
          <w:rFonts w:ascii="Arial" w:hAnsi="Arial" w:cs="Arial"/>
          <w:b/>
          <w:bCs/>
          <w:sz w:val="22"/>
          <w:szCs w:val="22"/>
        </w:rPr>
      </w:pPr>
      <w:r w:rsidRPr="00622F42">
        <w:rPr>
          <w:rFonts w:ascii="Arial" w:hAnsi="Arial" w:cs="Arial"/>
          <w:b/>
          <w:bCs/>
          <w:sz w:val="22"/>
          <w:szCs w:val="22"/>
        </w:rPr>
        <w:t>B. Laboratory Testing Services Available</w:t>
      </w:r>
    </w:p>
    <w:p w:rsidR="00622F42" w:rsidRPr="00622F42" w:rsidRDefault="00622F42" w:rsidP="00622F42">
      <w:pPr>
        <w:autoSpaceDE w:val="0"/>
        <w:autoSpaceDN w:val="0"/>
        <w:adjustRightInd w:val="0"/>
        <w:rPr>
          <w:rFonts w:ascii="Garamond-BookCondensed" w:hAnsi="Garamond-BookCondensed"/>
          <w:sz w:val="20"/>
        </w:rPr>
      </w:pPr>
    </w:p>
    <w:p w:rsidR="00622F42" w:rsidRPr="00622F42" w:rsidRDefault="00622F42" w:rsidP="00622F42">
      <w:pPr>
        <w:autoSpaceDE w:val="0"/>
        <w:autoSpaceDN w:val="0"/>
        <w:adjustRightInd w:val="0"/>
        <w:rPr>
          <w:rFonts w:ascii="Garamond-BookCondensed" w:hAnsi="Garamond-BookCondensed"/>
        </w:rPr>
      </w:pPr>
      <w:r w:rsidRPr="00622F42">
        <w:rPr>
          <w:sz w:val="22"/>
          <w:szCs w:val="22"/>
        </w:rPr>
        <w:t xml:space="preserve">The </w:t>
      </w:r>
      <w:r w:rsidR="003B33DA">
        <w:rPr>
          <w:sz w:val="22"/>
          <w:szCs w:val="22"/>
        </w:rPr>
        <w:t xml:space="preserve">Massachusetts State Public Health </w:t>
      </w:r>
      <w:r w:rsidRPr="00622F42">
        <w:rPr>
          <w:sz w:val="22"/>
          <w:szCs w:val="22"/>
        </w:rPr>
        <w:t>Laboratory</w:t>
      </w:r>
      <w:r w:rsidR="003B33DA">
        <w:rPr>
          <w:sz w:val="22"/>
          <w:szCs w:val="22"/>
        </w:rPr>
        <w:t xml:space="preserve"> (MA SPHL)</w:t>
      </w:r>
      <w:r w:rsidRPr="00622F42">
        <w:rPr>
          <w:sz w:val="22"/>
          <w:szCs w:val="22"/>
        </w:rPr>
        <w:t xml:space="preserve"> </w:t>
      </w:r>
      <w:r w:rsidR="00A76209">
        <w:rPr>
          <w:sz w:val="22"/>
          <w:szCs w:val="22"/>
        </w:rPr>
        <w:t xml:space="preserve">does not perform testing for </w:t>
      </w:r>
      <w:r w:rsidR="00B74731" w:rsidRPr="00B74731">
        <w:rPr>
          <w:i/>
          <w:sz w:val="22"/>
          <w:szCs w:val="22"/>
        </w:rPr>
        <w:t>Cryptosporidium</w:t>
      </w:r>
      <w:r w:rsidR="00B85FF3">
        <w:rPr>
          <w:sz w:val="22"/>
          <w:szCs w:val="22"/>
        </w:rPr>
        <w:t>.</w:t>
      </w:r>
    </w:p>
    <w:p w:rsidR="00622F42" w:rsidRPr="00622F42" w:rsidRDefault="00622F42" w:rsidP="00622F42">
      <w:pPr>
        <w:autoSpaceDE w:val="0"/>
        <w:autoSpaceDN w:val="0"/>
        <w:adjustRightInd w:val="0"/>
        <w:rPr>
          <w:rFonts w:ascii="Garamond-BookCondensed" w:hAnsi="Garamond-BookCondensed"/>
        </w:rPr>
      </w:pPr>
    </w:p>
    <w:p w:rsidR="00622F42" w:rsidRPr="00622F42" w:rsidRDefault="00622F42" w:rsidP="00622F42">
      <w:pPr>
        <w:pBdr>
          <w:bottom w:val="single" w:sz="4" w:space="1" w:color="auto"/>
        </w:pBdr>
        <w:autoSpaceDE w:val="0"/>
        <w:autoSpaceDN w:val="0"/>
        <w:adjustRightInd w:val="0"/>
        <w:rPr>
          <w:rFonts w:ascii="Arial" w:hAnsi="Arial" w:cs="Arial"/>
          <w:b/>
          <w:bCs/>
          <w:color w:val="1F497D"/>
          <w:szCs w:val="32"/>
        </w:rPr>
      </w:pPr>
      <w:r w:rsidRPr="00622F42">
        <w:rPr>
          <w:rFonts w:ascii="Arial" w:hAnsi="Arial" w:cs="Arial"/>
          <w:b/>
          <w:bCs/>
          <w:color w:val="1F497D"/>
          <w:szCs w:val="32"/>
        </w:rPr>
        <w:t>Section 3</w:t>
      </w:r>
    </w:p>
    <w:p w:rsidR="00622F42" w:rsidRPr="00622F42" w:rsidRDefault="00622F42" w:rsidP="00622F42">
      <w:pPr>
        <w:keepNext/>
        <w:autoSpaceDE w:val="0"/>
        <w:autoSpaceDN w:val="0"/>
        <w:adjustRightInd w:val="0"/>
        <w:outlineLvl w:val="1"/>
        <w:rPr>
          <w:rFonts w:ascii="Arial" w:hAnsi="Arial" w:cs="Arial"/>
          <w:b/>
          <w:bCs/>
          <w:color w:val="4F81BD"/>
          <w:sz w:val="28"/>
          <w:szCs w:val="44"/>
        </w:rPr>
      </w:pPr>
      <w:r w:rsidRPr="00622F42">
        <w:rPr>
          <w:rFonts w:ascii="Arial" w:hAnsi="Arial" w:cs="Arial"/>
          <w:b/>
          <w:bCs/>
          <w:color w:val="4F81BD"/>
          <w:sz w:val="28"/>
          <w:szCs w:val="44"/>
        </w:rPr>
        <w:t>REPORTING RESPONSIBILITIES AND CASE INVESTIGATION</w:t>
      </w:r>
    </w:p>
    <w:p w:rsidR="00622F42" w:rsidRPr="00622F42" w:rsidRDefault="00622F42" w:rsidP="00622F42">
      <w:pPr>
        <w:keepNext/>
        <w:autoSpaceDE w:val="0"/>
        <w:autoSpaceDN w:val="0"/>
        <w:adjustRightInd w:val="0"/>
        <w:outlineLvl w:val="2"/>
        <w:rPr>
          <w:rFonts w:ascii="TradeGothic-BoldCondTwenty" w:hAnsi="TradeGothic-BoldCondTwenty"/>
          <w:b/>
          <w:bCs/>
          <w:sz w:val="22"/>
          <w:szCs w:val="26"/>
        </w:rPr>
      </w:pPr>
    </w:p>
    <w:p w:rsidR="00622F42" w:rsidRPr="00622F42" w:rsidRDefault="00622F42" w:rsidP="00622F42">
      <w:pPr>
        <w:keepNext/>
        <w:autoSpaceDE w:val="0"/>
        <w:autoSpaceDN w:val="0"/>
        <w:adjustRightInd w:val="0"/>
        <w:outlineLvl w:val="2"/>
        <w:rPr>
          <w:rFonts w:ascii="Arial" w:hAnsi="Arial" w:cs="Arial"/>
          <w:b/>
          <w:bCs/>
          <w:sz w:val="22"/>
          <w:szCs w:val="22"/>
        </w:rPr>
      </w:pPr>
      <w:r w:rsidRPr="00622F42">
        <w:rPr>
          <w:rFonts w:ascii="Arial" w:hAnsi="Arial" w:cs="Arial"/>
          <w:b/>
          <w:bCs/>
          <w:sz w:val="22"/>
          <w:szCs w:val="22"/>
        </w:rPr>
        <w:t>A. Purpose of Surveillance and Reporting</w:t>
      </w:r>
    </w:p>
    <w:p w:rsidR="00622F42" w:rsidRPr="00622F42" w:rsidRDefault="00622F42" w:rsidP="00622F42">
      <w:pPr>
        <w:autoSpaceDE w:val="0"/>
        <w:autoSpaceDN w:val="0"/>
        <w:adjustRightInd w:val="0"/>
        <w:rPr>
          <w:rFonts w:ascii="ZapfDingbats" w:hAnsi="ZapfDingbats"/>
          <w:sz w:val="20"/>
          <w:szCs w:val="18"/>
        </w:rPr>
      </w:pPr>
    </w:p>
    <w:p w:rsidR="00622F42" w:rsidRPr="00622F42" w:rsidRDefault="00622F42" w:rsidP="00622F42">
      <w:pPr>
        <w:numPr>
          <w:ilvl w:val="0"/>
          <w:numId w:val="25"/>
        </w:numPr>
        <w:autoSpaceDE w:val="0"/>
        <w:autoSpaceDN w:val="0"/>
        <w:adjustRightInd w:val="0"/>
        <w:rPr>
          <w:sz w:val="22"/>
          <w:szCs w:val="22"/>
        </w:rPr>
      </w:pPr>
      <w:r w:rsidRPr="00622F42">
        <w:rPr>
          <w:sz w:val="22"/>
          <w:szCs w:val="22"/>
        </w:rPr>
        <w:t>To identify whether the case may be a source of infection for other persons (e.g., a diapered child, daycare attendee, or food handler), and if so, to prevent further transmission.</w:t>
      </w:r>
    </w:p>
    <w:p w:rsidR="00622F42" w:rsidRPr="00622F42" w:rsidRDefault="00622F42" w:rsidP="00622F42">
      <w:pPr>
        <w:autoSpaceDE w:val="0"/>
        <w:autoSpaceDN w:val="0"/>
        <w:adjustRightInd w:val="0"/>
        <w:rPr>
          <w:sz w:val="22"/>
          <w:szCs w:val="22"/>
        </w:rPr>
      </w:pPr>
    </w:p>
    <w:p w:rsidR="00622F42" w:rsidRPr="00622F42" w:rsidRDefault="00622F42" w:rsidP="00622F42">
      <w:pPr>
        <w:numPr>
          <w:ilvl w:val="0"/>
          <w:numId w:val="25"/>
        </w:numPr>
        <w:autoSpaceDE w:val="0"/>
        <w:autoSpaceDN w:val="0"/>
        <w:adjustRightInd w:val="0"/>
        <w:rPr>
          <w:sz w:val="22"/>
          <w:szCs w:val="22"/>
        </w:rPr>
      </w:pPr>
      <w:r w:rsidRPr="00622F42">
        <w:rPr>
          <w:sz w:val="22"/>
          <w:szCs w:val="22"/>
        </w:rPr>
        <w:t>To identify transmission sources of public health concern (e.g., a restaurant or a contaminated public water supply), and to stop transmission from such sources.</w:t>
      </w:r>
    </w:p>
    <w:p w:rsidR="00622F42" w:rsidRPr="00622F42" w:rsidRDefault="00622F42" w:rsidP="00622F42">
      <w:pPr>
        <w:keepNext/>
        <w:autoSpaceDE w:val="0"/>
        <w:autoSpaceDN w:val="0"/>
        <w:adjustRightInd w:val="0"/>
        <w:outlineLvl w:val="2"/>
        <w:rPr>
          <w:rFonts w:ascii="TradeGothic-BoldCondTwenty" w:hAnsi="TradeGothic-BoldCondTwenty"/>
          <w:b/>
          <w:bCs/>
          <w:sz w:val="22"/>
          <w:szCs w:val="26"/>
        </w:rPr>
      </w:pPr>
    </w:p>
    <w:p w:rsidR="00622F42" w:rsidRPr="00622F42" w:rsidRDefault="00622F42" w:rsidP="00622F42">
      <w:pPr>
        <w:keepNext/>
        <w:autoSpaceDE w:val="0"/>
        <w:autoSpaceDN w:val="0"/>
        <w:adjustRightInd w:val="0"/>
        <w:outlineLvl w:val="2"/>
        <w:rPr>
          <w:rFonts w:ascii="Arial" w:hAnsi="Arial" w:cs="Arial"/>
          <w:b/>
          <w:bCs/>
          <w:sz w:val="22"/>
          <w:szCs w:val="22"/>
        </w:rPr>
      </w:pPr>
      <w:r w:rsidRPr="00622F42">
        <w:rPr>
          <w:rFonts w:ascii="Arial" w:hAnsi="Arial" w:cs="Arial"/>
          <w:b/>
          <w:bCs/>
          <w:sz w:val="22"/>
          <w:szCs w:val="22"/>
        </w:rPr>
        <w:t>B. Laboratory and Health Care Provider Reporting Requirements</w:t>
      </w:r>
    </w:p>
    <w:p w:rsidR="00622F42" w:rsidRPr="00622F42" w:rsidRDefault="00622F42" w:rsidP="00622F42">
      <w:pPr>
        <w:autoSpaceDE w:val="0"/>
        <w:autoSpaceDN w:val="0"/>
        <w:adjustRightInd w:val="0"/>
        <w:rPr>
          <w:rFonts w:ascii="Garamond-BookCondensed" w:hAnsi="Garamond-BookCondensed"/>
          <w:sz w:val="20"/>
        </w:rPr>
      </w:pPr>
    </w:p>
    <w:p w:rsidR="00B74731" w:rsidRPr="00B74731" w:rsidRDefault="00B74731" w:rsidP="00B74731">
      <w:pPr>
        <w:autoSpaceDE w:val="0"/>
        <w:autoSpaceDN w:val="0"/>
        <w:adjustRightInd w:val="0"/>
        <w:rPr>
          <w:rFonts w:eastAsia="Times New Roman" w:cs="Garamond-BookCondensed"/>
          <w:sz w:val="22"/>
          <w:szCs w:val="22"/>
        </w:rPr>
      </w:pPr>
      <w:r w:rsidRPr="00B74731">
        <w:rPr>
          <w:rFonts w:eastAsia="Times New Roman" w:cs="Garamond-BookCondensed"/>
          <w:sz w:val="22"/>
          <w:szCs w:val="22"/>
        </w:rPr>
        <w:t>Cryptosporidiosis is reportable to the local board of health (LBOH). The MDPH requests that health care providers immediately report to the LBOH in the community where the case is diagnosed, all confirmed or suspect cases of cryptosporidiosis, as defined by the reporting criteria in Section 2A.</w:t>
      </w:r>
    </w:p>
    <w:p w:rsidR="00B74731" w:rsidRPr="00B74731" w:rsidRDefault="00B74731" w:rsidP="00B74731">
      <w:pPr>
        <w:autoSpaceDE w:val="0"/>
        <w:autoSpaceDN w:val="0"/>
        <w:adjustRightInd w:val="0"/>
        <w:rPr>
          <w:rFonts w:eastAsia="Times New Roman" w:cs="Garamond-BookCondensed"/>
          <w:sz w:val="22"/>
          <w:szCs w:val="22"/>
        </w:rPr>
      </w:pPr>
    </w:p>
    <w:p w:rsidR="00B74731" w:rsidRPr="00B74731" w:rsidRDefault="00B74731" w:rsidP="00B74731">
      <w:pPr>
        <w:autoSpaceDE w:val="0"/>
        <w:autoSpaceDN w:val="0"/>
        <w:adjustRightInd w:val="0"/>
        <w:rPr>
          <w:rFonts w:eastAsia="Times New Roman" w:cs="Garamond-BookCondensed"/>
          <w:sz w:val="22"/>
          <w:szCs w:val="22"/>
        </w:rPr>
      </w:pPr>
      <w:r w:rsidRPr="00B74731">
        <w:rPr>
          <w:rFonts w:eastAsia="Times New Roman" w:cs="Garamond-BookCondensed"/>
          <w:sz w:val="22"/>
          <w:szCs w:val="22"/>
        </w:rPr>
        <w:t xml:space="preserve">Laboratories performing examinations on any specimens derived from Massachusetts residents that yield evidence of </w:t>
      </w:r>
      <w:r w:rsidRPr="00B74731">
        <w:rPr>
          <w:rFonts w:eastAsia="Times New Roman" w:cs="Garamond-BookCondensed"/>
          <w:i/>
          <w:sz w:val="22"/>
          <w:szCs w:val="22"/>
        </w:rPr>
        <w:t>Cryptosporidium</w:t>
      </w:r>
      <w:r w:rsidRPr="00B74731">
        <w:rPr>
          <w:rFonts w:eastAsia="Times New Roman" w:cs="Garamond-BookCondensedItalic"/>
          <w:i/>
          <w:iCs/>
          <w:sz w:val="22"/>
          <w:szCs w:val="22"/>
        </w:rPr>
        <w:t xml:space="preserve"> </w:t>
      </w:r>
      <w:r w:rsidRPr="00B74731">
        <w:rPr>
          <w:rFonts w:eastAsia="Times New Roman" w:cs="Garamond-BookCondensed"/>
          <w:sz w:val="22"/>
          <w:szCs w:val="22"/>
        </w:rPr>
        <w:t>infection shall report such evidence of infection directly to the MDPH within 24 hours.</w:t>
      </w:r>
    </w:p>
    <w:p w:rsidR="00B74731" w:rsidRPr="00622F42" w:rsidRDefault="00B74731" w:rsidP="00622F42">
      <w:pPr>
        <w:keepNext/>
        <w:autoSpaceDE w:val="0"/>
        <w:autoSpaceDN w:val="0"/>
        <w:adjustRightInd w:val="0"/>
        <w:outlineLvl w:val="2"/>
        <w:rPr>
          <w:rFonts w:ascii="TradeGothic-BoldCondTwenty" w:hAnsi="TradeGothic-BoldCondTwenty"/>
          <w:b/>
          <w:bCs/>
          <w:sz w:val="22"/>
          <w:szCs w:val="26"/>
        </w:rPr>
      </w:pPr>
    </w:p>
    <w:p w:rsidR="00622F42" w:rsidRPr="00622F42" w:rsidRDefault="00622F42" w:rsidP="00622F42">
      <w:pPr>
        <w:keepNext/>
        <w:autoSpaceDE w:val="0"/>
        <w:autoSpaceDN w:val="0"/>
        <w:adjustRightInd w:val="0"/>
        <w:outlineLvl w:val="2"/>
        <w:rPr>
          <w:rFonts w:ascii="Arial" w:hAnsi="Arial" w:cs="Arial"/>
          <w:b/>
          <w:bCs/>
          <w:sz w:val="22"/>
          <w:szCs w:val="22"/>
        </w:rPr>
      </w:pPr>
      <w:r w:rsidRPr="00622F42">
        <w:rPr>
          <w:rFonts w:ascii="Arial" w:hAnsi="Arial" w:cs="Arial"/>
          <w:b/>
          <w:bCs/>
          <w:sz w:val="22"/>
          <w:szCs w:val="22"/>
        </w:rPr>
        <w:t>C. Local Board of Health (LBOH) Reporting and Follow-Up Responsibilities</w:t>
      </w:r>
    </w:p>
    <w:p w:rsidR="00622F42" w:rsidRPr="00622F42" w:rsidRDefault="00622F42" w:rsidP="00622F42">
      <w:pPr>
        <w:autoSpaceDE w:val="0"/>
        <w:autoSpaceDN w:val="0"/>
        <w:adjustRightInd w:val="0"/>
        <w:rPr>
          <w:rFonts w:ascii="TradeGothic-CondEighteenObl" w:hAnsi="TradeGothic-CondEighteenObl"/>
          <w:i/>
          <w:iCs/>
          <w:sz w:val="20"/>
        </w:rPr>
      </w:pPr>
    </w:p>
    <w:p w:rsidR="00B74731" w:rsidRPr="00B74731" w:rsidRDefault="00B74731" w:rsidP="00B74731">
      <w:pPr>
        <w:pBdr>
          <w:bottom w:val="single" w:sz="4" w:space="1" w:color="D9D9D9" w:themeColor="background1" w:themeShade="D9"/>
        </w:pBdr>
        <w:autoSpaceDE w:val="0"/>
        <w:autoSpaceDN w:val="0"/>
        <w:adjustRightInd w:val="0"/>
        <w:rPr>
          <w:rFonts w:eastAsia="Times New Roman" w:cs="TradeGothic-CondEighteenObl"/>
          <w:i/>
          <w:iCs/>
        </w:rPr>
      </w:pPr>
      <w:r w:rsidRPr="00B74731">
        <w:rPr>
          <w:rFonts w:eastAsia="Times New Roman" w:cs="TradeGothic-CondEighteenObl"/>
          <w:i/>
          <w:iCs/>
        </w:rPr>
        <w:t>Reporting Requirements</w:t>
      </w:r>
    </w:p>
    <w:p w:rsidR="00B74731" w:rsidRPr="00874923" w:rsidRDefault="00B74731" w:rsidP="00B74731">
      <w:pPr>
        <w:autoSpaceDE w:val="0"/>
        <w:autoSpaceDN w:val="0"/>
        <w:adjustRightInd w:val="0"/>
        <w:rPr>
          <w:rFonts w:eastAsia="Times New Roman" w:cs="TradeGothic-CondEighteenObl"/>
          <w:i/>
          <w:iCs/>
          <w:sz w:val="16"/>
          <w:szCs w:val="16"/>
        </w:rPr>
      </w:pPr>
    </w:p>
    <w:p w:rsidR="00B74731" w:rsidRPr="00B74731" w:rsidRDefault="00B74731" w:rsidP="00B74731">
      <w:pPr>
        <w:autoSpaceDE w:val="0"/>
        <w:autoSpaceDN w:val="0"/>
        <w:adjustRightInd w:val="0"/>
        <w:spacing w:after="120"/>
        <w:rPr>
          <w:rFonts w:eastAsia="Times New Roman"/>
          <w:sz w:val="22"/>
          <w:szCs w:val="22"/>
        </w:rPr>
      </w:pPr>
      <w:r w:rsidRPr="00B74731">
        <w:rPr>
          <w:rFonts w:eastAsia="Times New Roman" w:cs="Garamond-BookCondensed"/>
          <w:sz w:val="22"/>
          <w:szCs w:val="22"/>
        </w:rPr>
        <w:t xml:space="preserve">MDPH regulations </w:t>
      </w:r>
      <w:r w:rsidRPr="00B74731">
        <w:rPr>
          <w:rFonts w:eastAsia="Times New Roman" w:cs="Garamond-BookCondensedItalic"/>
          <w:i/>
          <w:iCs/>
          <w:sz w:val="22"/>
          <w:szCs w:val="22"/>
        </w:rPr>
        <w:t>(</w:t>
      </w:r>
      <w:r w:rsidRPr="00B74731">
        <w:rPr>
          <w:rFonts w:eastAsia="Times New Roman" w:cs="Garamond-BookCondensed"/>
          <w:i/>
          <w:sz w:val="22"/>
          <w:szCs w:val="22"/>
        </w:rPr>
        <w:t>105 CMR 300.000</w:t>
      </w:r>
      <w:r w:rsidRPr="00B74731">
        <w:rPr>
          <w:rFonts w:eastAsia="Times New Roman" w:cs="Garamond-BookCondensedItalic"/>
          <w:i/>
          <w:iCs/>
          <w:sz w:val="22"/>
          <w:szCs w:val="22"/>
        </w:rPr>
        <w:t xml:space="preserve">) </w:t>
      </w:r>
      <w:r w:rsidRPr="00B74731">
        <w:rPr>
          <w:rFonts w:eastAsia="Times New Roman" w:cs="Garamond-BookCondensed"/>
          <w:sz w:val="22"/>
          <w:szCs w:val="22"/>
        </w:rPr>
        <w:t>stipulate that cryptosporidiosis is reportable to the LBOH and that each LBOH must report any case of cryptosporidiosis or suspect case of cryptosporidiosis, as defined by the reporting criteria in Section 2A. Cases should be reported to the MDPH Bureau of Infectious Disease</w:t>
      </w:r>
      <w:r w:rsidR="00FC1A18">
        <w:rPr>
          <w:rFonts w:eastAsia="Times New Roman" w:cs="Garamond-BookCondensed"/>
          <w:sz w:val="22"/>
          <w:szCs w:val="22"/>
        </w:rPr>
        <w:t xml:space="preserve"> and Laboratory Sciences</w:t>
      </w:r>
      <w:r w:rsidRPr="00B74731">
        <w:rPr>
          <w:rFonts w:eastAsia="Times New Roman" w:cs="Garamond-BookCondensed"/>
          <w:sz w:val="22"/>
          <w:szCs w:val="22"/>
        </w:rPr>
        <w:t xml:space="preserve">, Office of Integrated Surveillance and Informatics Services (ISIS) via MAVEN. </w:t>
      </w:r>
    </w:p>
    <w:p w:rsidR="00B74731" w:rsidRPr="00B74731" w:rsidRDefault="00B74731" w:rsidP="00B74731">
      <w:pPr>
        <w:autoSpaceDE w:val="0"/>
        <w:autoSpaceDN w:val="0"/>
        <w:adjustRightInd w:val="0"/>
        <w:spacing w:after="120"/>
        <w:rPr>
          <w:rFonts w:eastAsia="Times New Roman"/>
          <w:sz w:val="22"/>
          <w:szCs w:val="22"/>
        </w:rPr>
      </w:pPr>
      <w:r w:rsidRPr="00B74731">
        <w:rPr>
          <w:rFonts w:eastAsia="Times New Roman"/>
          <w:sz w:val="22"/>
          <w:szCs w:val="22"/>
        </w:rPr>
        <w:t xml:space="preserve">Refer to the List of Diseases Reportable to Local Boards of Health for information on prioritization and timeliness requirements of reporting and case investigation </w:t>
      </w:r>
      <w:hyperlink r:id="rId9" w:history="1">
        <w:r w:rsidRPr="00B74731">
          <w:rPr>
            <w:rFonts w:eastAsia="Times New Roman"/>
            <w:color w:val="0000FF"/>
            <w:sz w:val="22"/>
            <w:szCs w:val="22"/>
            <w:u w:val="single"/>
          </w:rPr>
          <w:t>http://www.mass.gov/eohhs/docs/dph/cdc/reporting/rprtbldiseases-lboh.pdf</w:t>
        </w:r>
      </w:hyperlink>
      <w:r w:rsidRPr="00B74731">
        <w:rPr>
          <w:rFonts w:eastAsia="Times New Roman"/>
          <w:sz w:val="22"/>
          <w:szCs w:val="22"/>
        </w:rPr>
        <w:t xml:space="preserve"> </w:t>
      </w:r>
    </w:p>
    <w:p w:rsidR="00B74731" w:rsidRPr="00874923" w:rsidRDefault="00B74731" w:rsidP="00B74731">
      <w:pPr>
        <w:autoSpaceDE w:val="0"/>
        <w:autoSpaceDN w:val="0"/>
        <w:adjustRightInd w:val="0"/>
        <w:rPr>
          <w:rFonts w:eastAsia="Times New Roman" w:cs="Garamond-BookCondensed"/>
          <w:sz w:val="20"/>
          <w:szCs w:val="20"/>
        </w:rPr>
      </w:pPr>
    </w:p>
    <w:p w:rsidR="00B74731" w:rsidRPr="00B74731" w:rsidRDefault="00B74731" w:rsidP="00B74731">
      <w:pPr>
        <w:pBdr>
          <w:bottom w:val="single" w:sz="4" w:space="1" w:color="D9D9D9" w:themeColor="background1" w:themeShade="D9"/>
        </w:pBdr>
        <w:autoSpaceDE w:val="0"/>
        <w:autoSpaceDN w:val="0"/>
        <w:adjustRightInd w:val="0"/>
        <w:rPr>
          <w:rFonts w:eastAsia="Times New Roman" w:cs="TradeGothic-CondEighteenObl"/>
          <w:i/>
          <w:iCs/>
          <w:sz w:val="22"/>
          <w:szCs w:val="22"/>
        </w:rPr>
      </w:pPr>
      <w:r w:rsidRPr="00B74731">
        <w:rPr>
          <w:rFonts w:eastAsia="Times New Roman" w:cs="TradeGothic-CondEighteenObl"/>
          <w:i/>
          <w:iCs/>
          <w:sz w:val="22"/>
          <w:szCs w:val="22"/>
        </w:rPr>
        <w:t>Case Investigation</w:t>
      </w:r>
    </w:p>
    <w:p w:rsidR="00B74731" w:rsidRPr="00B74731" w:rsidRDefault="00B74731" w:rsidP="00B74731">
      <w:pPr>
        <w:autoSpaceDE w:val="0"/>
        <w:autoSpaceDN w:val="0"/>
        <w:adjustRightInd w:val="0"/>
        <w:rPr>
          <w:rFonts w:ascii="TradeGothic-CondEighteenObl" w:hAnsi="TradeGothic-CondEighteenObl" w:cs="TradeGothic-CondEighteenObl"/>
          <w:i/>
          <w:iCs/>
          <w:sz w:val="22"/>
          <w:szCs w:val="22"/>
        </w:rPr>
      </w:pPr>
    </w:p>
    <w:p w:rsidR="00B74731" w:rsidRPr="00B74731" w:rsidRDefault="00B74731" w:rsidP="00B74731">
      <w:pPr>
        <w:rPr>
          <w:rFonts w:eastAsia="Times New Roman"/>
          <w:sz w:val="22"/>
          <w:szCs w:val="22"/>
        </w:rPr>
      </w:pPr>
      <w:r w:rsidRPr="00B74731">
        <w:rPr>
          <w:rFonts w:eastAsia="Times New Roman" w:cs="Garamond-BookCondensed"/>
          <w:sz w:val="22"/>
          <w:szCs w:val="22"/>
        </w:rPr>
        <w:t xml:space="preserve">It is the responsibility of the LBOH to complete </w:t>
      </w:r>
      <w:r w:rsidRPr="00B74731">
        <w:rPr>
          <w:rFonts w:eastAsia="Times New Roman"/>
          <w:sz w:val="22"/>
          <w:szCs w:val="22"/>
        </w:rPr>
        <w:t xml:space="preserve">questions in each of the question packages in MAVEN by interviewing the case and others who may be able to provide information. Much of the information required can be obtained from the health care provider or from the medical record. </w:t>
      </w:r>
    </w:p>
    <w:p w:rsidR="00B74731" w:rsidRPr="00B74731" w:rsidRDefault="00B74731" w:rsidP="00B74731">
      <w:pPr>
        <w:autoSpaceDE w:val="0"/>
        <w:autoSpaceDN w:val="0"/>
        <w:adjustRightInd w:val="0"/>
        <w:rPr>
          <w:rFonts w:eastAsia="Times New Roman" w:cs="Garamond-BookCondensed"/>
          <w:sz w:val="22"/>
          <w:szCs w:val="22"/>
        </w:rPr>
      </w:pPr>
    </w:p>
    <w:p w:rsidR="00B74731" w:rsidRPr="00B74731" w:rsidRDefault="00B74731" w:rsidP="00B74731">
      <w:pPr>
        <w:ind w:left="180"/>
        <w:rPr>
          <w:rFonts w:eastAsia="Times New Roman" w:cs="Arial"/>
          <w:sz w:val="22"/>
          <w:szCs w:val="22"/>
          <w:u w:val="single"/>
        </w:rPr>
      </w:pPr>
      <w:r w:rsidRPr="00B74731">
        <w:rPr>
          <w:rFonts w:eastAsia="Times New Roman" w:cs="Arial"/>
          <w:sz w:val="22"/>
          <w:szCs w:val="22"/>
          <w:u w:val="single"/>
        </w:rPr>
        <w:t>Calling the provider</w:t>
      </w:r>
    </w:p>
    <w:p w:rsidR="00B74731" w:rsidRPr="00B74731" w:rsidRDefault="00B74731" w:rsidP="00B74731">
      <w:pPr>
        <w:ind w:left="180"/>
        <w:rPr>
          <w:rFonts w:eastAsia="Times New Roman"/>
          <w:sz w:val="22"/>
          <w:szCs w:val="22"/>
        </w:rPr>
      </w:pPr>
      <w:r w:rsidRPr="00B74731">
        <w:rPr>
          <w:rFonts w:eastAsia="Times New Roman"/>
          <w:sz w:val="22"/>
          <w:szCs w:val="22"/>
        </w:rPr>
        <w:t xml:space="preserve">If the case was hospitalized (i.e. reporting facility is a hospital), call infection control at the named hospital. A list of infection preventionists can be found in the help section of MAVEN. If the case was seen at a clinician’s office, ask to speak to a nurse working with the ordering provider. </w:t>
      </w:r>
      <w:r w:rsidR="0022189C" w:rsidRPr="0022189C">
        <w:rPr>
          <w:rFonts w:eastAsia="Times New Roman"/>
          <w:sz w:val="22"/>
          <w:szCs w:val="22"/>
        </w:rPr>
        <w:t>You should confirm that the patient was notified of the diagnosis and let them know that you will be calling the case for further information.</w:t>
      </w:r>
    </w:p>
    <w:p w:rsidR="00B74731" w:rsidRPr="00B74731" w:rsidRDefault="00B74731" w:rsidP="00B74731">
      <w:pPr>
        <w:ind w:left="180"/>
        <w:rPr>
          <w:rFonts w:eastAsia="Times New Roman"/>
          <w:sz w:val="22"/>
          <w:szCs w:val="22"/>
        </w:rPr>
      </w:pPr>
    </w:p>
    <w:p w:rsidR="00B74731" w:rsidRPr="00B74731" w:rsidRDefault="00B74731" w:rsidP="00B74731">
      <w:pPr>
        <w:ind w:left="180"/>
        <w:rPr>
          <w:rFonts w:eastAsia="Times New Roman" w:cs="Arial"/>
          <w:sz w:val="22"/>
          <w:szCs w:val="22"/>
          <w:u w:val="single"/>
        </w:rPr>
      </w:pPr>
      <w:r w:rsidRPr="00B74731">
        <w:rPr>
          <w:rFonts w:eastAsia="Times New Roman" w:cs="Arial"/>
          <w:sz w:val="22"/>
          <w:szCs w:val="22"/>
          <w:u w:val="single"/>
        </w:rPr>
        <w:t xml:space="preserve">Calling the case or parent/guardian of the case </w:t>
      </w:r>
    </w:p>
    <w:p w:rsidR="00B74731" w:rsidRPr="00B74731" w:rsidRDefault="00B74731" w:rsidP="00B74731">
      <w:pPr>
        <w:ind w:left="180"/>
        <w:rPr>
          <w:rFonts w:eastAsia="Times New Roman"/>
          <w:sz w:val="22"/>
          <w:szCs w:val="22"/>
        </w:rPr>
      </w:pPr>
      <w:r w:rsidRPr="00B74731">
        <w:rPr>
          <w:rFonts w:eastAsia="Times New Roman"/>
          <w:sz w:val="22"/>
          <w:szCs w:val="22"/>
        </w:rPr>
        <w:t>Before calling the case, review the disease fact sheet by clicking on the Help Button located in MAVEN and</w:t>
      </w:r>
      <w:r w:rsidR="0022189C" w:rsidRPr="0022189C">
        <w:t xml:space="preserve"> </w:t>
      </w:r>
      <w:r w:rsidR="0022189C">
        <w:t>all the information in this chapter.</w:t>
      </w:r>
      <w:r w:rsidRPr="00B74731">
        <w:rPr>
          <w:rFonts w:eastAsia="Times New Roman"/>
          <w:sz w:val="22"/>
          <w:szCs w:val="22"/>
        </w:rPr>
        <w:t xml:space="preserve"> The call may take a few minutes, so in order to maximize the chance of getting the information needed, it might be good to note the potential length of the call with your contact, and offer the opportunity to call back when it is more convenient. Asking questions about how the case or child is feeling may get the case or parent talking. If you are unable to answer a question they have, don’t hesitate to call the Division of Epidemiology and Immunization at 617-983-6800 for assistance, and call the case back with the answer later. People are often more than willing to talk about their illness, and they may be very happy to speak with someone who can answer their questions. </w:t>
      </w:r>
    </w:p>
    <w:p w:rsidR="00B74731" w:rsidRPr="00B74731" w:rsidRDefault="00B74731" w:rsidP="00B74731">
      <w:pPr>
        <w:pBdr>
          <w:bottom w:val="single" w:sz="2" w:space="1" w:color="BFBFBF"/>
        </w:pBdr>
        <w:autoSpaceDE w:val="0"/>
        <w:autoSpaceDN w:val="0"/>
        <w:adjustRightInd w:val="0"/>
        <w:spacing w:before="240" w:after="120"/>
        <w:rPr>
          <w:rFonts w:eastAsia="Times New Roman" w:cs="Arial"/>
          <w:i/>
          <w:sz w:val="22"/>
          <w:szCs w:val="22"/>
        </w:rPr>
      </w:pPr>
      <w:r w:rsidRPr="00B74731">
        <w:rPr>
          <w:rFonts w:eastAsia="Times New Roman" w:cs="Arial"/>
          <w:i/>
          <w:sz w:val="22"/>
          <w:szCs w:val="22"/>
        </w:rPr>
        <w:t>Using MAVEN</w:t>
      </w:r>
    </w:p>
    <w:p w:rsidR="00B74731" w:rsidRPr="00B74731" w:rsidRDefault="00B74731" w:rsidP="00B74731">
      <w:pPr>
        <w:autoSpaceDE w:val="0"/>
        <w:autoSpaceDN w:val="0"/>
        <w:adjustRightInd w:val="0"/>
        <w:ind w:left="180"/>
        <w:rPr>
          <w:rFonts w:eastAsia="Times New Roman" w:cs="Arial"/>
          <w:iCs/>
          <w:sz w:val="22"/>
          <w:szCs w:val="22"/>
          <w:u w:val="single"/>
        </w:rPr>
      </w:pPr>
      <w:r w:rsidRPr="00B74731">
        <w:rPr>
          <w:rFonts w:eastAsia="Times New Roman" w:cs="Arial"/>
          <w:iCs/>
          <w:sz w:val="22"/>
          <w:szCs w:val="22"/>
          <w:u w:val="single"/>
        </w:rPr>
        <w:t xml:space="preserve">Administrative Question Package </w:t>
      </w:r>
    </w:p>
    <w:p w:rsidR="00B74731" w:rsidRPr="00B74731" w:rsidRDefault="00B74731" w:rsidP="00B74731">
      <w:pPr>
        <w:ind w:left="180"/>
        <w:rPr>
          <w:sz w:val="22"/>
          <w:szCs w:val="22"/>
        </w:rPr>
      </w:pPr>
      <w:r w:rsidRPr="00B74731">
        <w:rPr>
          <w:sz w:val="22"/>
          <w:szCs w:val="22"/>
        </w:rPr>
        <w:t>Monitor your “Online LBOH Notification for non-Immediate Disease” workflow in MAVEN for any new cases of Cryptosporidiosis.  Once a new event appears in this workflow, open the Administrative Question Package (QP) and under the “Local Health and Investigation” section, answer the first question “</w:t>
      </w:r>
      <w:r w:rsidRPr="00B74731">
        <w:rPr>
          <w:b/>
          <w:sz w:val="22"/>
          <w:szCs w:val="22"/>
        </w:rPr>
        <w:t>Step 1</w:t>
      </w:r>
      <w:r w:rsidRPr="00B74731">
        <w:rPr>
          <w:sz w:val="22"/>
          <w:szCs w:val="22"/>
        </w:rPr>
        <w:t xml:space="preserve"> - LBOH acknowledged” by selecting “Yes”.   The “LBOH acknowledged date” will then auto populate to the current day.  Completing this first step will move the event out of this workflow and into your “Online LBOH notified but Case Report Forms (CRF) are pending” workflow. Note the date you started your investigation by answering “</w:t>
      </w:r>
      <w:r w:rsidRPr="00B74731">
        <w:rPr>
          <w:b/>
          <w:sz w:val="22"/>
          <w:szCs w:val="22"/>
        </w:rPr>
        <w:t>Step 2</w:t>
      </w:r>
      <w:r w:rsidRPr="00B74731">
        <w:rPr>
          <w:sz w:val="22"/>
          <w:szCs w:val="22"/>
        </w:rPr>
        <w:t xml:space="preserve"> – Investigation started” as “Yes” and then note the date where shown.  Record your name, agency, and phone numbers where shown in “</w:t>
      </w:r>
      <w:r w:rsidRPr="00B74731">
        <w:rPr>
          <w:b/>
          <w:sz w:val="22"/>
          <w:szCs w:val="22"/>
        </w:rPr>
        <w:t>Step 3</w:t>
      </w:r>
      <w:r w:rsidRPr="00B74731">
        <w:rPr>
          <w:sz w:val="22"/>
          <w:szCs w:val="22"/>
        </w:rPr>
        <w:t xml:space="preserve"> - LBOH/Agency Investigator.” </w:t>
      </w:r>
    </w:p>
    <w:p w:rsidR="00B74731" w:rsidRPr="00B74731" w:rsidRDefault="00B74731" w:rsidP="00B74731">
      <w:pPr>
        <w:autoSpaceDE w:val="0"/>
        <w:autoSpaceDN w:val="0"/>
        <w:adjustRightInd w:val="0"/>
        <w:ind w:left="180"/>
        <w:rPr>
          <w:rFonts w:eastAsia="Times New Roman" w:cs="Garamond-BookCondensed"/>
          <w:sz w:val="22"/>
          <w:szCs w:val="22"/>
        </w:rPr>
      </w:pPr>
    </w:p>
    <w:p w:rsidR="00B74731" w:rsidRPr="00B74731" w:rsidRDefault="00B74731" w:rsidP="00B74731">
      <w:pPr>
        <w:autoSpaceDE w:val="0"/>
        <w:autoSpaceDN w:val="0"/>
        <w:adjustRightInd w:val="0"/>
        <w:ind w:firstLine="180"/>
        <w:rPr>
          <w:rFonts w:eastAsia="Times New Roman" w:cs="Arial"/>
          <w:iCs/>
          <w:sz w:val="22"/>
          <w:szCs w:val="22"/>
          <w:u w:val="single"/>
        </w:rPr>
      </w:pPr>
      <w:r w:rsidRPr="00B74731">
        <w:rPr>
          <w:rFonts w:eastAsia="Times New Roman" w:cs="Arial"/>
          <w:iCs/>
          <w:sz w:val="22"/>
          <w:szCs w:val="22"/>
          <w:u w:val="single"/>
        </w:rPr>
        <w:t>Demographic Question Package</w:t>
      </w:r>
    </w:p>
    <w:p w:rsidR="00B74731" w:rsidRPr="00B74731" w:rsidRDefault="00B74731" w:rsidP="00B74731">
      <w:pPr>
        <w:autoSpaceDE w:val="0"/>
        <w:autoSpaceDN w:val="0"/>
        <w:adjustRightInd w:val="0"/>
        <w:ind w:left="180"/>
        <w:rPr>
          <w:rFonts w:eastAsia="Times New Roman" w:cs="Garamond-BookCondensed"/>
          <w:sz w:val="22"/>
          <w:szCs w:val="22"/>
        </w:rPr>
      </w:pPr>
      <w:r w:rsidRPr="00B74731">
        <w:rPr>
          <w:rFonts w:eastAsia="Times New Roman"/>
          <w:sz w:val="22"/>
          <w:szCs w:val="22"/>
        </w:rPr>
        <w:t>Record all demographic information.  It is particularly important to complete the Race/Ethnicity and Occupation questions</w:t>
      </w:r>
    </w:p>
    <w:p w:rsidR="00B74731" w:rsidRPr="00B74731" w:rsidRDefault="00B74731" w:rsidP="00B74731">
      <w:pPr>
        <w:autoSpaceDE w:val="0"/>
        <w:autoSpaceDN w:val="0"/>
        <w:adjustRightInd w:val="0"/>
        <w:ind w:left="360" w:hanging="360"/>
        <w:rPr>
          <w:rFonts w:eastAsia="Times New Roman" w:cs="TradeGothic-CondEighteen"/>
          <w:sz w:val="22"/>
          <w:szCs w:val="22"/>
        </w:rPr>
      </w:pPr>
    </w:p>
    <w:p w:rsidR="00B74731" w:rsidRPr="00B74731" w:rsidRDefault="00B74731" w:rsidP="00B74731">
      <w:pPr>
        <w:autoSpaceDE w:val="0"/>
        <w:autoSpaceDN w:val="0"/>
        <w:adjustRightInd w:val="0"/>
        <w:ind w:firstLine="180"/>
        <w:rPr>
          <w:rFonts w:eastAsia="Times New Roman" w:cs="Arial"/>
          <w:sz w:val="22"/>
          <w:szCs w:val="22"/>
          <w:u w:val="single"/>
        </w:rPr>
      </w:pPr>
      <w:r w:rsidRPr="00B74731">
        <w:rPr>
          <w:rFonts w:eastAsia="Times New Roman" w:cs="Arial"/>
          <w:iCs/>
          <w:sz w:val="22"/>
          <w:szCs w:val="22"/>
          <w:u w:val="single"/>
        </w:rPr>
        <w:t>Clinical Question Package</w:t>
      </w:r>
    </w:p>
    <w:p w:rsidR="00B74731" w:rsidRPr="00B74731" w:rsidRDefault="00B74731" w:rsidP="00B74731">
      <w:pPr>
        <w:autoSpaceDE w:val="0"/>
        <w:autoSpaceDN w:val="0"/>
        <w:adjustRightInd w:val="0"/>
        <w:ind w:left="180"/>
        <w:rPr>
          <w:rFonts w:eastAsia="Times New Roman"/>
          <w:sz w:val="22"/>
          <w:szCs w:val="22"/>
        </w:rPr>
      </w:pPr>
      <w:r w:rsidRPr="00B74731">
        <w:rPr>
          <w:rFonts w:eastAsia="Times New Roman"/>
          <w:sz w:val="22"/>
          <w:szCs w:val="22"/>
        </w:rPr>
        <w:t>Complete the “Diagnosis/Clinical Information” section, providing the diagnosis date, symptom information and date of symptom onset and other medical information.</w:t>
      </w:r>
    </w:p>
    <w:p w:rsidR="00B74731" w:rsidRPr="00B74731" w:rsidRDefault="00B74731" w:rsidP="00B74731">
      <w:pPr>
        <w:autoSpaceDE w:val="0"/>
        <w:autoSpaceDN w:val="0"/>
        <w:adjustRightInd w:val="0"/>
        <w:rPr>
          <w:rFonts w:eastAsia="Times New Roman"/>
          <w:sz w:val="22"/>
          <w:szCs w:val="22"/>
        </w:rPr>
      </w:pPr>
    </w:p>
    <w:p w:rsidR="00B74731" w:rsidRPr="00B74731" w:rsidRDefault="00B74731" w:rsidP="00B74731">
      <w:pPr>
        <w:autoSpaceDE w:val="0"/>
        <w:autoSpaceDN w:val="0"/>
        <w:adjustRightInd w:val="0"/>
        <w:ind w:firstLine="180"/>
        <w:rPr>
          <w:rFonts w:eastAsia="Times New Roman" w:cs="Arial"/>
          <w:iCs/>
          <w:sz w:val="22"/>
          <w:szCs w:val="22"/>
          <w:u w:val="single"/>
        </w:rPr>
      </w:pPr>
      <w:r w:rsidRPr="00B74731">
        <w:rPr>
          <w:rFonts w:eastAsia="Times New Roman" w:cs="Arial"/>
          <w:iCs/>
          <w:sz w:val="22"/>
          <w:szCs w:val="22"/>
          <w:u w:val="single"/>
        </w:rPr>
        <w:t>Risk Exposure/Control &amp; Prevention Question Package</w:t>
      </w:r>
    </w:p>
    <w:p w:rsidR="00B74731" w:rsidRPr="00B74731" w:rsidRDefault="00B74731" w:rsidP="00B74731">
      <w:pPr>
        <w:autoSpaceDE w:val="0"/>
        <w:autoSpaceDN w:val="0"/>
        <w:adjustRightInd w:val="0"/>
        <w:ind w:left="180"/>
        <w:rPr>
          <w:rFonts w:cs="Garamond-BookCondensed"/>
          <w:sz w:val="22"/>
          <w:szCs w:val="22"/>
        </w:rPr>
      </w:pPr>
      <w:r w:rsidRPr="00B74731">
        <w:rPr>
          <w:sz w:val="22"/>
          <w:szCs w:val="22"/>
        </w:rPr>
        <w:t xml:space="preserve">Accurately record all risk questions regarding travel and consumption of any high risk foods. As you enter data into MAVEN, additional questions will appear for you to answer regarding risk/exposure. </w:t>
      </w:r>
      <w:r w:rsidRPr="00B74731">
        <w:rPr>
          <w:rFonts w:cs="Garamond-BookCondensed"/>
          <w:sz w:val="22"/>
          <w:szCs w:val="22"/>
        </w:rPr>
        <w:t>When asking about exposure history (e.g., food, travel, activities), if possible, use the entire incubation period range of cryptosporidiosis (2-10 days). Specifically, however, focus on the time period around seven days prior to the case’s onset, which is the average incubation period. If possible, record any restaurants at which the case ate, including food item(s) and date(s) of consumption. Accurately capture any travel history and outdoor activities.</w:t>
      </w:r>
    </w:p>
    <w:p w:rsidR="00B74731" w:rsidRPr="00B74731" w:rsidRDefault="00B74731" w:rsidP="00B74731">
      <w:pPr>
        <w:pBdr>
          <w:bottom w:val="single" w:sz="2" w:space="1" w:color="BFBFBF"/>
        </w:pBdr>
        <w:autoSpaceDE w:val="0"/>
        <w:autoSpaceDN w:val="0"/>
        <w:adjustRightInd w:val="0"/>
        <w:spacing w:before="240" w:after="120"/>
        <w:rPr>
          <w:rFonts w:eastAsia="Times New Roman" w:cs="Arial"/>
          <w:i/>
          <w:sz w:val="22"/>
          <w:szCs w:val="22"/>
        </w:rPr>
      </w:pPr>
      <w:r w:rsidRPr="00B74731">
        <w:rPr>
          <w:rFonts w:eastAsia="Times New Roman" w:cs="Arial"/>
          <w:i/>
          <w:sz w:val="22"/>
          <w:szCs w:val="22"/>
        </w:rPr>
        <w:t>Completing Your Investigation</w:t>
      </w:r>
    </w:p>
    <w:p w:rsidR="00B74731" w:rsidRPr="00B74731" w:rsidRDefault="00B74731" w:rsidP="00B74731">
      <w:pPr>
        <w:numPr>
          <w:ilvl w:val="0"/>
          <w:numId w:val="9"/>
        </w:numPr>
        <w:autoSpaceDE w:val="0"/>
        <w:autoSpaceDN w:val="0"/>
        <w:adjustRightInd w:val="0"/>
        <w:ind w:left="540"/>
        <w:rPr>
          <w:sz w:val="22"/>
          <w:szCs w:val="22"/>
        </w:rPr>
      </w:pPr>
      <w:r w:rsidRPr="00B74731">
        <w:rPr>
          <w:sz w:val="22"/>
          <w:szCs w:val="22"/>
        </w:rPr>
        <w:t>If you were able to complete a case investigation and follow-up is complete, mark “</w:t>
      </w:r>
      <w:r w:rsidRPr="00B74731">
        <w:rPr>
          <w:b/>
          <w:sz w:val="22"/>
          <w:szCs w:val="22"/>
        </w:rPr>
        <w:t>Step 4</w:t>
      </w:r>
      <w:r w:rsidRPr="00B74731">
        <w:rPr>
          <w:sz w:val="22"/>
          <w:szCs w:val="22"/>
        </w:rPr>
        <w:t xml:space="preserve"> – Case Report Form Completed” as “Yes” and then choose Local Board of Health (LBOH) –Ready for MDPH review for the Completed by variable. </w:t>
      </w:r>
    </w:p>
    <w:p w:rsidR="00B74731" w:rsidRPr="00B74731" w:rsidRDefault="00B74731" w:rsidP="00B74731">
      <w:pPr>
        <w:numPr>
          <w:ilvl w:val="0"/>
          <w:numId w:val="9"/>
        </w:numPr>
        <w:autoSpaceDE w:val="0"/>
        <w:autoSpaceDN w:val="0"/>
        <w:adjustRightInd w:val="0"/>
        <w:ind w:left="540"/>
        <w:rPr>
          <w:sz w:val="22"/>
          <w:szCs w:val="22"/>
        </w:rPr>
      </w:pPr>
      <w:r w:rsidRPr="00B74731">
        <w:rPr>
          <w:sz w:val="22"/>
          <w:szCs w:val="22"/>
        </w:rPr>
        <w:t>If you have made several attempts to obtain case information but have been unsuccessful (e.g., the case or health care provider does not return your calls or respond to a letter, or the case refuses to divulge information or is too ill to be interviewed), please complete “</w:t>
      </w:r>
      <w:r w:rsidRPr="00B74731">
        <w:rPr>
          <w:b/>
          <w:sz w:val="22"/>
          <w:szCs w:val="22"/>
        </w:rPr>
        <w:t>Step 4</w:t>
      </w:r>
      <w:r w:rsidRPr="00B74731">
        <w:rPr>
          <w:sz w:val="22"/>
          <w:szCs w:val="22"/>
        </w:rPr>
        <w:t xml:space="preserve"> - Case Report Form Completed” as “No” and then choose a primary reason why the case investigation was not completed from the choices provided in the primary reason answer variable list.</w:t>
      </w:r>
    </w:p>
    <w:p w:rsidR="00B74731" w:rsidRPr="00B74731" w:rsidRDefault="00B74731" w:rsidP="00B74731">
      <w:pPr>
        <w:numPr>
          <w:ilvl w:val="0"/>
          <w:numId w:val="9"/>
        </w:numPr>
        <w:autoSpaceDE w:val="0"/>
        <w:autoSpaceDN w:val="0"/>
        <w:adjustRightInd w:val="0"/>
        <w:ind w:left="540"/>
        <w:rPr>
          <w:sz w:val="22"/>
          <w:szCs w:val="22"/>
        </w:rPr>
      </w:pPr>
      <w:r w:rsidRPr="00B74731">
        <w:rPr>
          <w:sz w:val="22"/>
          <w:szCs w:val="22"/>
        </w:rPr>
        <w:t>If you are not online for MAVEN you may submit a paper case report form. After completing the form, attach laboratory report(s) and fax or mail (in an envelope marked “Confidential”) to ISIS. The confidential fax number is (617) 983-6813. Call ISIS at (617) 983-6801 to obtain a copy of the case report form and to confirm receipt of your fax.</w:t>
      </w:r>
    </w:p>
    <w:p w:rsidR="00622F42" w:rsidRDefault="00622F42" w:rsidP="00622F42">
      <w:pPr>
        <w:autoSpaceDE w:val="0"/>
        <w:autoSpaceDN w:val="0"/>
        <w:adjustRightInd w:val="0"/>
        <w:rPr>
          <w:sz w:val="22"/>
          <w:szCs w:val="22"/>
        </w:rPr>
      </w:pPr>
    </w:p>
    <w:p w:rsidR="00622F42" w:rsidRPr="00622F42" w:rsidRDefault="00622F42" w:rsidP="00622F42">
      <w:pPr>
        <w:autoSpaceDE w:val="0"/>
        <w:autoSpaceDN w:val="0"/>
        <w:adjustRightInd w:val="0"/>
        <w:ind w:left="-360" w:firstLine="720"/>
        <w:rPr>
          <w:sz w:val="22"/>
          <w:szCs w:val="22"/>
        </w:rPr>
      </w:pPr>
      <w:r w:rsidRPr="00622F42">
        <w:rPr>
          <w:sz w:val="22"/>
          <w:szCs w:val="22"/>
        </w:rPr>
        <w:t>The mailing address is:</w:t>
      </w:r>
    </w:p>
    <w:p w:rsidR="00622F42" w:rsidRPr="00A87F7C" w:rsidRDefault="00622F42" w:rsidP="00622F42">
      <w:pPr>
        <w:autoSpaceDE w:val="0"/>
        <w:autoSpaceDN w:val="0"/>
        <w:adjustRightInd w:val="0"/>
        <w:ind w:left="900"/>
        <w:rPr>
          <w:b/>
          <w:bCs/>
          <w:sz w:val="22"/>
          <w:szCs w:val="22"/>
        </w:rPr>
      </w:pPr>
      <w:r w:rsidRPr="00A87F7C">
        <w:rPr>
          <w:b/>
          <w:bCs/>
          <w:sz w:val="22"/>
          <w:szCs w:val="22"/>
        </w:rPr>
        <w:t>MDPH, Office of Integrated Surveillance and Informatics Services (ISIS)</w:t>
      </w:r>
    </w:p>
    <w:p w:rsidR="00622F42" w:rsidRPr="00A87F7C" w:rsidRDefault="00622F42" w:rsidP="00622F42">
      <w:pPr>
        <w:autoSpaceDE w:val="0"/>
        <w:autoSpaceDN w:val="0"/>
        <w:adjustRightInd w:val="0"/>
        <w:ind w:left="180" w:firstLine="720"/>
        <w:rPr>
          <w:b/>
          <w:bCs/>
          <w:sz w:val="22"/>
          <w:szCs w:val="22"/>
        </w:rPr>
      </w:pPr>
      <w:r w:rsidRPr="00A87F7C">
        <w:rPr>
          <w:b/>
          <w:bCs/>
          <w:sz w:val="22"/>
          <w:szCs w:val="22"/>
        </w:rPr>
        <w:t>305 South Street, 5th Floor</w:t>
      </w:r>
    </w:p>
    <w:p w:rsidR="00622F42" w:rsidRPr="00A87F7C" w:rsidRDefault="00622F42" w:rsidP="00622F42">
      <w:pPr>
        <w:autoSpaceDE w:val="0"/>
        <w:autoSpaceDN w:val="0"/>
        <w:adjustRightInd w:val="0"/>
        <w:ind w:left="180" w:firstLine="720"/>
        <w:rPr>
          <w:b/>
          <w:bCs/>
          <w:sz w:val="22"/>
          <w:szCs w:val="22"/>
        </w:rPr>
      </w:pPr>
      <w:r w:rsidRPr="00A87F7C">
        <w:rPr>
          <w:b/>
          <w:bCs/>
          <w:sz w:val="22"/>
          <w:szCs w:val="22"/>
        </w:rPr>
        <w:t>Jamaica Plain, MA 02130</w:t>
      </w:r>
    </w:p>
    <w:p w:rsidR="00622F42" w:rsidRPr="00A87F7C" w:rsidRDefault="00622F42" w:rsidP="00622F42">
      <w:pPr>
        <w:autoSpaceDE w:val="0"/>
        <w:autoSpaceDN w:val="0"/>
        <w:adjustRightInd w:val="0"/>
        <w:ind w:left="180" w:firstLine="720"/>
        <w:rPr>
          <w:b/>
          <w:bCs/>
          <w:sz w:val="22"/>
          <w:szCs w:val="22"/>
        </w:rPr>
      </w:pPr>
      <w:r w:rsidRPr="00A87F7C">
        <w:rPr>
          <w:b/>
          <w:bCs/>
          <w:sz w:val="22"/>
          <w:szCs w:val="22"/>
        </w:rPr>
        <w:t>Fax: (617) 983-6813</w:t>
      </w:r>
    </w:p>
    <w:p w:rsidR="00622F42" w:rsidRPr="00622F42" w:rsidRDefault="00622F42" w:rsidP="00622F42">
      <w:pPr>
        <w:autoSpaceDE w:val="0"/>
        <w:autoSpaceDN w:val="0"/>
        <w:adjustRightInd w:val="0"/>
        <w:rPr>
          <w:sz w:val="22"/>
          <w:szCs w:val="22"/>
        </w:rPr>
      </w:pPr>
    </w:p>
    <w:p w:rsidR="00622F42" w:rsidRPr="00622F42" w:rsidRDefault="00622F42" w:rsidP="00622F42">
      <w:pPr>
        <w:pBdr>
          <w:bottom w:val="single" w:sz="4" w:space="1" w:color="auto"/>
        </w:pBdr>
        <w:autoSpaceDE w:val="0"/>
        <w:autoSpaceDN w:val="0"/>
        <w:adjustRightInd w:val="0"/>
        <w:rPr>
          <w:rFonts w:ascii="Arial" w:hAnsi="Arial" w:cs="Arial"/>
          <w:b/>
          <w:bCs/>
          <w:color w:val="1F497D"/>
          <w:szCs w:val="32"/>
        </w:rPr>
      </w:pPr>
      <w:r w:rsidRPr="00622F42">
        <w:rPr>
          <w:rFonts w:ascii="Arial" w:hAnsi="Arial" w:cs="Arial"/>
          <w:b/>
          <w:bCs/>
          <w:color w:val="1F497D"/>
          <w:szCs w:val="32"/>
        </w:rPr>
        <w:t>Section 4</w:t>
      </w:r>
    </w:p>
    <w:p w:rsidR="00622F42" w:rsidRPr="00622F42" w:rsidRDefault="00622F42" w:rsidP="00622F42">
      <w:pPr>
        <w:keepNext/>
        <w:autoSpaceDE w:val="0"/>
        <w:autoSpaceDN w:val="0"/>
        <w:adjustRightInd w:val="0"/>
        <w:outlineLvl w:val="1"/>
        <w:rPr>
          <w:rFonts w:ascii="Arial" w:hAnsi="Arial" w:cs="Arial"/>
          <w:b/>
          <w:bCs/>
          <w:color w:val="4F81BD"/>
          <w:sz w:val="28"/>
          <w:szCs w:val="44"/>
        </w:rPr>
      </w:pPr>
      <w:r w:rsidRPr="00622F42">
        <w:rPr>
          <w:rFonts w:ascii="Arial" w:hAnsi="Arial" w:cs="Arial"/>
          <w:b/>
          <w:bCs/>
          <w:color w:val="4F81BD"/>
          <w:sz w:val="28"/>
          <w:szCs w:val="44"/>
        </w:rPr>
        <w:t>CONTROLLING FURTHER SPREAD</w:t>
      </w:r>
    </w:p>
    <w:p w:rsidR="00622F42" w:rsidRPr="00622F42" w:rsidRDefault="00622F42" w:rsidP="00622F42">
      <w:pPr>
        <w:autoSpaceDE w:val="0"/>
        <w:autoSpaceDN w:val="0"/>
        <w:adjustRightInd w:val="0"/>
        <w:rPr>
          <w:rFonts w:ascii="TradeGothic-BoldCondTwenty" w:hAnsi="TradeGothic-BoldCondTwenty"/>
          <w:b/>
          <w:bCs/>
          <w:sz w:val="22"/>
          <w:szCs w:val="26"/>
        </w:rPr>
      </w:pPr>
    </w:p>
    <w:p w:rsidR="00622F42" w:rsidRPr="00622F42" w:rsidRDefault="00622F42" w:rsidP="00622F42">
      <w:pPr>
        <w:autoSpaceDE w:val="0"/>
        <w:autoSpaceDN w:val="0"/>
        <w:adjustRightInd w:val="0"/>
        <w:rPr>
          <w:rFonts w:ascii="Arial" w:hAnsi="Arial" w:cs="Arial"/>
          <w:b/>
          <w:bCs/>
          <w:i/>
          <w:iCs/>
          <w:sz w:val="22"/>
          <w:szCs w:val="22"/>
        </w:rPr>
      </w:pPr>
      <w:r w:rsidRPr="00622F42">
        <w:rPr>
          <w:rFonts w:ascii="Arial" w:hAnsi="Arial" w:cs="Arial"/>
          <w:b/>
          <w:bCs/>
          <w:sz w:val="22"/>
          <w:szCs w:val="22"/>
        </w:rPr>
        <w:t xml:space="preserve">A. Isolation and Quarantine Requirements </w:t>
      </w:r>
      <w:r w:rsidRPr="00622F42">
        <w:rPr>
          <w:rFonts w:ascii="Arial" w:hAnsi="Arial" w:cs="Arial"/>
          <w:b/>
          <w:bCs/>
          <w:i/>
          <w:iCs/>
          <w:sz w:val="22"/>
          <w:szCs w:val="22"/>
        </w:rPr>
        <w:t>(105 CMR 300.200)</w:t>
      </w:r>
    </w:p>
    <w:p w:rsidR="00622F42" w:rsidRPr="00622F42" w:rsidRDefault="00622F42" w:rsidP="00622F42">
      <w:pPr>
        <w:autoSpaceDE w:val="0"/>
        <w:autoSpaceDN w:val="0"/>
        <w:adjustRightInd w:val="0"/>
        <w:rPr>
          <w:rFonts w:ascii="Garamond-BookCondensed" w:hAnsi="Garamond-BookCondensed"/>
          <w:sz w:val="20"/>
        </w:rPr>
      </w:pPr>
    </w:p>
    <w:p w:rsidR="00B74731" w:rsidRPr="00B74731" w:rsidRDefault="00B74731" w:rsidP="00B74731">
      <w:pPr>
        <w:autoSpaceDE w:val="0"/>
        <w:autoSpaceDN w:val="0"/>
        <w:adjustRightInd w:val="0"/>
        <w:rPr>
          <w:rFonts w:eastAsia="Times New Roman" w:cs="Garamond-BookCondensed"/>
          <w:sz w:val="22"/>
          <w:szCs w:val="22"/>
        </w:rPr>
      </w:pPr>
      <w:r w:rsidRPr="00B74731">
        <w:rPr>
          <w:rFonts w:eastAsia="Times New Roman" w:cs="Garamond-BookCondensed"/>
          <w:sz w:val="22"/>
          <w:szCs w:val="22"/>
        </w:rPr>
        <w:t>Food handlers with cryptosporidiosis must be excluded from work.</w:t>
      </w:r>
    </w:p>
    <w:p w:rsidR="00B74731" w:rsidRPr="00B74731" w:rsidRDefault="00B74731" w:rsidP="00B74731">
      <w:pPr>
        <w:autoSpaceDE w:val="0"/>
        <w:autoSpaceDN w:val="0"/>
        <w:adjustRightInd w:val="0"/>
        <w:rPr>
          <w:rFonts w:eastAsia="Times New Roman" w:cs="Garamond-BookCondensedItalic"/>
          <w:i/>
          <w:iCs/>
          <w:sz w:val="22"/>
          <w:szCs w:val="22"/>
        </w:rPr>
      </w:pPr>
    </w:p>
    <w:p w:rsidR="00B74731" w:rsidRPr="00B74731" w:rsidRDefault="00B74731" w:rsidP="00B74731">
      <w:pPr>
        <w:autoSpaceDE w:val="0"/>
        <w:autoSpaceDN w:val="0"/>
        <w:adjustRightInd w:val="0"/>
        <w:rPr>
          <w:rFonts w:eastAsia="Times New Roman" w:cs="Garamond-BookCondensed"/>
          <w:i/>
          <w:sz w:val="22"/>
          <w:szCs w:val="22"/>
        </w:rPr>
      </w:pPr>
      <w:r w:rsidRPr="00B74731">
        <w:rPr>
          <w:rFonts w:eastAsia="Times New Roman" w:cs="Garamond-BookCondensed"/>
          <w:i/>
          <w:sz w:val="22"/>
          <w:szCs w:val="22"/>
        </w:rPr>
        <w:t>Note: A case of cryptosporidiosis is defined by the reporting criteria in Section 2A of this chapter.</w:t>
      </w:r>
    </w:p>
    <w:p w:rsidR="00B74731" w:rsidRPr="00B74731" w:rsidRDefault="00B74731" w:rsidP="00B74731">
      <w:pPr>
        <w:autoSpaceDE w:val="0"/>
        <w:autoSpaceDN w:val="0"/>
        <w:adjustRightInd w:val="0"/>
        <w:rPr>
          <w:rFonts w:eastAsia="Times New Roman" w:cs="TradeGothic-CondEighteenObl"/>
          <w:i/>
          <w:iCs/>
          <w:sz w:val="22"/>
          <w:szCs w:val="22"/>
        </w:rPr>
      </w:pPr>
    </w:p>
    <w:p w:rsidR="00B74731" w:rsidRPr="00B74731" w:rsidRDefault="00B74731" w:rsidP="00FC1A18">
      <w:pPr>
        <w:pBdr>
          <w:bottom w:val="single" w:sz="4" w:space="1" w:color="D9D9D9" w:themeColor="background1" w:themeShade="D9"/>
        </w:pBdr>
        <w:autoSpaceDE w:val="0"/>
        <w:autoSpaceDN w:val="0"/>
        <w:adjustRightInd w:val="0"/>
        <w:rPr>
          <w:rFonts w:eastAsia="Times New Roman" w:cs="TradeGothic-CondEighteenObl"/>
          <w:i/>
          <w:iCs/>
          <w:sz w:val="22"/>
          <w:szCs w:val="22"/>
        </w:rPr>
      </w:pPr>
      <w:r w:rsidRPr="00B74731">
        <w:rPr>
          <w:rFonts w:eastAsia="Times New Roman" w:cs="TradeGothic-CondEighteenObl"/>
          <w:i/>
          <w:iCs/>
          <w:sz w:val="22"/>
          <w:szCs w:val="22"/>
        </w:rPr>
        <w:t xml:space="preserve">Minimum Period of Isolation of Patient </w:t>
      </w:r>
    </w:p>
    <w:p w:rsidR="00B74731" w:rsidRPr="00874923" w:rsidRDefault="00B74731" w:rsidP="00B74731">
      <w:pPr>
        <w:autoSpaceDE w:val="0"/>
        <w:autoSpaceDN w:val="0"/>
        <w:adjustRightInd w:val="0"/>
        <w:rPr>
          <w:rFonts w:eastAsia="Times New Roman" w:cs="TradeGothic-CondEighteenObl"/>
          <w:i/>
          <w:iCs/>
          <w:sz w:val="16"/>
          <w:szCs w:val="16"/>
        </w:rPr>
      </w:pPr>
    </w:p>
    <w:p w:rsidR="00B74731" w:rsidRPr="00B74731" w:rsidRDefault="00B74731" w:rsidP="00B74731">
      <w:pPr>
        <w:autoSpaceDE w:val="0"/>
        <w:autoSpaceDN w:val="0"/>
        <w:adjustRightInd w:val="0"/>
        <w:rPr>
          <w:rFonts w:eastAsia="Times New Roman" w:cs="Garamond-BookCondensed"/>
          <w:sz w:val="22"/>
          <w:szCs w:val="22"/>
        </w:rPr>
      </w:pPr>
      <w:r w:rsidRPr="00B74731">
        <w:rPr>
          <w:rFonts w:eastAsia="Times New Roman" w:cs="Garamond-BookCondensed"/>
          <w:sz w:val="22"/>
          <w:szCs w:val="22"/>
        </w:rPr>
        <w:t>After diarrhea has resolved, food handling facility employees may only return to work after producing one negative stool specimen. If a case has been treated with an antimicrobial agent, the stool specimen shall not be collected until at least 48 hours after cessation of therapy. In outbreak circumstances, a second consecutive negative stool specimen will be required prior to returning to food handling duties.</w:t>
      </w:r>
    </w:p>
    <w:p w:rsidR="00B74731" w:rsidRPr="00B74731" w:rsidRDefault="00B74731" w:rsidP="00B74731">
      <w:pPr>
        <w:autoSpaceDE w:val="0"/>
        <w:autoSpaceDN w:val="0"/>
        <w:adjustRightInd w:val="0"/>
        <w:rPr>
          <w:rFonts w:eastAsia="Times New Roman" w:cs="Garamond-BookCondensed"/>
          <w:sz w:val="22"/>
          <w:szCs w:val="22"/>
        </w:rPr>
      </w:pPr>
    </w:p>
    <w:p w:rsidR="00B74731" w:rsidRPr="00B74731" w:rsidRDefault="00B74731" w:rsidP="00FC1A18">
      <w:pPr>
        <w:pBdr>
          <w:bottom w:val="single" w:sz="4" w:space="1" w:color="D9D9D9" w:themeColor="background1" w:themeShade="D9"/>
        </w:pBdr>
        <w:autoSpaceDE w:val="0"/>
        <w:autoSpaceDN w:val="0"/>
        <w:adjustRightInd w:val="0"/>
        <w:rPr>
          <w:rFonts w:eastAsia="Times New Roman" w:cs="TradeGothic-CondEighteenObl"/>
          <w:i/>
          <w:iCs/>
          <w:sz w:val="22"/>
          <w:szCs w:val="22"/>
        </w:rPr>
      </w:pPr>
      <w:r w:rsidRPr="00B74731">
        <w:rPr>
          <w:rFonts w:eastAsia="Times New Roman" w:cs="TradeGothic-CondEighteenObl"/>
          <w:i/>
          <w:iCs/>
          <w:sz w:val="22"/>
          <w:szCs w:val="22"/>
        </w:rPr>
        <w:t>Minimum Period of Quarantine of Contacts</w:t>
      </w:r>
    </w:p>
    <w:p w:rsidR="00B74731" w:rsidRPr="00874923" w:rsidRDefault="00B74731" w:rsidP="00B74731">
      <w:pPr>
        <w:autoSpaceDE w:val="0"/>
        <w:autoSpaceDN w:val="0"/>
        <w:adjustRightInd w:val="0"/>
        <w:rPr>
          <w:rFonts w:eastAsia="Times New Roman" w:cs="TradeGothic-CondEighteenObl"/>
          <w:i/>
          <w:iCs/>
          <w:sz w:val="16"/>
          <w:szCs w:val="16"/>
        </w:rPr>
      </w:pPr>
    </w:p>
    <w:p w:rsidR="00B74731" w:rsidRPr="00B74731" w:rsidRDefault="00B74731" w:rsidP="00B74731">
      <w:pPr>
        <w:autoSpaceDE w:val="0"/>
        <w:autoSpaceDN w:val="0"/>
        <w:adjustRightInd w:val="0"/>
        <w:rPr>
          <w:rFonts w:eastAsia="Times New Roman" w:cs="Garamond-BookCondensed"/>
          <w:sz w:val="22"/>
          <w:szCs w:val="22"/>
        </w:rPr>
      </w:pPr>
      <w:r w:rsidRPr="00B74731">
        <w:rPr>
          <w:rFonts w:eastAsia="Times New Roman" w:cs="Garamond-BookCondensed"/>
          <w:sz w:val="22"/>
          <w:szCs w:val="22"/>
        </w:rPr>
        <w:t xml:space="preserve">Contacts who have diarrhea and are food handling facility employees shall be considered the same as a case and shall be handled in the same fashion. In outbreak circumstances, asymptomatic contacts </w:t>
      </w:r>
      <w:r w:rsidR="009B768B">
        <w:rPr>
          <w:rFonts w:eastAsia="Times New Roman" w:cs="Garamond-BookCondensed"/>
          <w:sz w:val="22"/>
          <w:szCs w:val="22"/>
        </w:rPr>
        <w:t>who</w:t>
      </w:r>
      <w:r w:rsidR="009B768B" w:rsidRPr="00B74731">
        <w:rPr>
          <w:rFonts w:eastAsia="Times New Roman" w:cs="Garamond-BookCondensed"/>
          <w:sz w:val="22"/>
          <w:szCs w:val="22"/>
        </w:rPr>
        <w:t xml:space="preserve"> </w:t>
      </w:r>
      <w:r w:rsidRPr="00B74731">
        <w:rPr>
          <w:rFonts w:eastAsia="Times New Roman" w:cs="Garamond-BookCondensed"/>
          <w:sz w:val="22"/>
          <w:szCs w:val="22"/>
        </w:rPr>
        <w:t>are food handling facility employees shall be required to produce 2 negative stool specimens 24 hours apart. No restrictions otherwise.</w:t>
      </w:r>
    </w:p>
    <w:p w:rsidR="00B74731" w:rsidRPr="00B74731" w:rsidRDefault="00B74731" w:rsidP="00B74731">
      <w:pPr>
        <w:autoSpaceDE w:val="0"/>
        <w:autoSpaceDN w:val="0"/>
        <w:adjustRightInd w:val="0"/>
        <w:rPr>
          <w:rFonts w:eastAsia="Times New Roman" w:cs="Garamond-BookCondensed"/>
          <w:sz w:val="22"/>
          <w:szCs w:val="22"/>
        </w:rPr>
      </w:pPr>
    </w:p>
    <w:p w:rsidR="00B74731" w:rsidRPr="00B74731" w:rsidRDefault="00B74731" w:rsidP="00B74731">
      <w:pPr>
        <w:autoSpaceDE w:val="0"/>
        <w:autoSpaceDN w:val="0"/>
        <w:adjustRightInd w:val="0"/>
        <w:rPr>
          <w:rFonts w:eastAsia="Times New Roman" w:cs="Garamond-BookCondensed"/>
          <w:i/>
          <w:sz w:val="22"/>
          <w:szCs w:val="22"/>
        </w:rPr>
      </w:pPr>
      <w:r w:rsidRPr="00B74731">
        <w:rPr>
          <w:rFonts w:eastAsia="Times New Roman" w:cs="Garamond-BookCondensed"/>
          <w:i/>
          <w:sz w:val="22"/>
          <w:szCs w:val="22"/>
        </w:rPr>
        <w:t xml:space="preserve">Note: A food handler is any person directly preparing or handling food. This can include a patient care or childcare provider. </w:t>
      </w:r>
    </w:p>
    <w:p w:rsidR="00B74731" w:rsidRPr="00B74731" w:rsidRDefault="00B74731" w:rsidP="00B74731">
      <w:pPr>
        <w:autoSpaceDE w:val="0"/>
        <w:autoSpaceDN w:val="0"/>
        <w:adjustRightInd w:val="0"/>
        <w:rPr>
          <w:rFonts w:ascii="Garamond-BookCondensedItalic" w:hAnsi="Garamond-BookCondensedItalic" w:cs="Garamond-BookCondensedItalic"/>
          <w:i/>
          <w:iCs/>
          <w:sz w:val="20"/>
          <w:szCs w:val="20"/>
        </w:rPr>
      </w:pPr>
    </w:p>
    <w:p w:rsidR="00B74731" w:rsidRPr="00B74731" w:rsidRDefault="00B74731" w:rsidP="00B74731">
      <w:pPr>
        <w:autoSpaceDE w:val="0"/>
        <w:autoSpaceDN w:val="0"/>
        <w:adjustRightInd w:val="0"/>
        <w:rPr>
          <w:rFonts w:ascii="Arial" w:hAnsi="Arial" w:cs="Arial"/>
          <w:b/>
          <w:bCs/>
          <w:sz w:val="22"/>
          <w:szCs w:val="22"/>
        </w:rPr>
      </w:pPr>
      <w:r w:rsidRPr="00B74731">
        <w:rPr>
          <w:rFonts w:ascii="Arial" w:hAnsi="Arial" w:cs="Arial"/>
          <w:b/>
          <w:bCs/>
          <w:sz w:val="22"/>
          <w:szCs w:val="22"/>
        </w:rPr>
        <w:t>B. Protection of Contacts of a Case</w:t>
      </w:r>
    </w:p>
    <w:p w:rsidR="00B74731" w:rsidRPr="00B74731" w:rsidRDefault="00B74731" w:rsidP="00B74731">
      <w:pPr>
        <w:autoSpaceDE w:val="0"/>
        <w:autoSpaceDN w:val="0"/>
        <w:adjustRightInd w:val="0"/>
        <w:rPr>
          <w:rFonts w:ascii="TradeGothic-BoldCondTwenty" w:hAnsi="TradeGothic-BoldCondTwenty" w:cs="TradeGothic-BoldCondTwenty"/>
          <w:b/>
          <w:bCs/>
          <w:sz w:val="22"/>
          <w:szCs w:val="22"/>
        </w:rPr>
      </w:pPr>
    </w:p>
    <w:p w:rsidR="00B74731" w:rsidRPr="00B74731" w:rsidRDefault="00B74731" w:rsidP="00B74731">
      <w:pPr>
        <w:autoSpaceDE w:val="0"/>
        <w:autoSpaceDN w:val="0"/>
        <w:adjustRightInd w:val="0"/>
        <w:rPr>
          <w:rFonts w:eastAsia="Times New Roman" w:cs="Garamond-BookCondensed"/>
          <w:sz w:val="22"/>
          <w:szCs w:val="22"/>
        </w:rPr>
      </w:pPr>
      <w:r w:rsidRPr="00B74731">
        <w:rPr>
          <w:rFonts w:eastAsia="Times New Roman" w:cs="Garamond-BookCondensed"/>
          <w:sz w:val="22"/>
          <w:szCs w:val="22"/>
        </w:rPr>
        <w:t>None.</w:t>
      </w:r>
    </w:p>
    <w:p w:rsidR="00B74731" w:rsidRPr="00B74731" w:rsidRDefault="00B74731" w:rsidP="00B74731">
      <w:pPr>
        <w:autoSpaceDE w:val="0"/>
        <w:autoSpaceDN w:val="0"/>
        <w:adjustRightInd w:val="0"/>
        <w:rPr>
          <w:rFonts w:ascii="Garamond-BookCondensed" w:hAnsi="Garamond-BookCondensed" w:cs="Garamond-BookCondensed"/>
          <w:sz w:val="20"/>
          <w:szCs w:val="20"/>
        </w:rPr>
      </w:pPr>
    </w:p>
    <w:p w:rsidR="00B74731" w:rsidRPr="00B74731" w:rsidRDefault="00B74731" w:rsidP="00B74731">
      <w:pPr>
        <w:autoSpaceDE w:val="0"/>
        <w:autoSpaceDN w:val="0"/>
        <w:adjustRightInd w:val="0"/>
        <w:rPr>
          <w:rFonts w:ascii="Arial" w:hAnsi="Arial" w:cs="Arial"/>
          <w:b/>
          <w:bCs/>
          <w:sz w:val="22"/>
          <w:szCs w:val="22"/>
        </w:rPr>
      </w:pPr>
      <w:r w:rsidRPr="00B74731">
        <w:rPr>
          <w:rFonts w:ascii="Arial" w:hAnsi="Arial" w:cs="Arial"/>
          <w:b/>
          <w:bCs/>
          <w:sz w:val="22"/>
          <w:szCs w:val="22"/>
        </w:rPr>
        <w:t>C. Managing Special Situations</w:t>
      </w:r>
    </w:p>
    <w:p w:rsidR="00B74731" w:rsidRPr="00B74731" w:rsidRDefault="00B74731" w:rsidP="00B74731">
      <w:pPr>
        <w:autoSpaceDE w:val="0"/>
        <w:autoSpaceDN w:val="0"/>
        <w:adjustRightInd w:val="0"/>
        <w:rPr>
          <w:rFonts w:ascii="TradeGothic-BoldCondTwenty" w:hAnsi="TradeGothic-BoldCondTwenty" w:cs="TradeGothic-BoldCondTwenty"/>
          <w:b/>
          <w:bCs/>
          <w:sz w:val="22"/>
          <w:szCs w:val="22"/>
        </w:rPr>
      </w:pPr>
    </w:p>
    <w:p w:rsidR="00B74731" w:rsidRPr="00B74731" w:rsidRDefault="00B74731" w:rsidP="00FC1A18">
      <w:pPr>
        <w:pBdr>
          <w:bottom w:val="single" w:sz="4" w:space="1" w:color="D9D9D9" w:themeColor="background1" w:themeShade="D9"/>
        </w:pBdr>
        <w:autoSpaceDE w:val="0"/>
        <w:autoSpaceDN w:val="0"/>
        <w:adjustRightInd w:val="0"/>
        <w:rPr>
          <w:rFonts w:eastAsia="Times New Roman" w:cs="TradeGothic-CondEighteenObl"/>
          <w:i/>
          <w:iCs/>
          <w:sz w:val="22"/>
          <w:szCs w:val="22"/>
        </w:rPr>
      </w:pPr>
      <w:r w:rsidRPr="00B74731">
        <w:rPr>
          <w:rFonts w:eastAsia="Times New Roman" w:cs="TradeGothic-CondEighteenObl"/>
          <w:i/>
          <w:iCs/>
          <w:sz w:val="22"/>
          <w:szCs w:val="22"/>
        </w:rPr>
        <w:t>Daycare</w:t>
      </w:r>
    </w:p>
    <w:p w:rsidR="00B74731" w:rsidRPr="00874923" w:rsidRDefault="00B74731" w:rsidP="00B74731">
      <w:pPr>
        <w:autoSpaceDE w:val="0"/>
        <w:autoSpaceDN w:val="0"/>
        <w:adjustRightInd w:val="0"/>
        <w:rPr>
          <w:rFonts w:eastAsia="Times New Roman" w:cs="TradeGothic-CondEighteenObl"/>
          <w:i/>
          <w:iCs/>
          <w:sz w:val="16"/>
          <w:szCs w:val="16"/>
        </w:rPr>
      </w:pPr>
    </w:p>
    <w:p w:rsidR="00B74731" w:rsidRPr="00B74731" w:rsidRDefault="00B74731" w:rsidP="00B74731">
      <w:pPr>
        <w:autoSpaceDE w:val="0"/>
        <w:autoSpaceDN w:val="0"/>
        <w:adjustRightInd w:val="0"/>
        <w:rPr>
          <w:rFonts w:eastAsia="Times New Roman" w:cs="Garamond-BookCondensed"/>
          <w:sz w:val="22"/>
          <w:szCs w:val="22"/>
        </w:rPr>
      </w:pPr>
      <w:r w:rsidRPr="00B74731">
        <w:rPr>
          <w:rFonts w:eastAsia="Times New Roman" w:cs="Garamond-BookCondensed"/>
          <w:sz w:val="22"/>
          <w:szCs w:val="22"/>
        </w:rPr>
        <w:t>Since cryptosporidiosis may be transmitted from person to person through fecal-oral transmission, it is important to follow up on cases of cryptosporidiosis in a daycare setting carefully. General recommendations include:</w:t>
      </w:r>
    </w:p>
    <w:p w:rsidR="00B74731" w:rsidRPr="00B74731" w:rsidRDefault="00B74731" w:rsidP="00B74731">
      <w:pPr>
        <w:autoSpaceDE w:val="0"/>
        <w:autoSpaceDN w:val="0"/>
        <w:adjustRightInd w:val="0"/>
        <w:rPr>
          <w:rFonts w:eastAsia="Times New Roman" w:cs="Garamond-BookCondensed"/>
          <w:sz w:val="22"/>
          <w:szCs w:val="22"/>
        </w:rPr>
      </w:pPr>
    </w:p>
    <w:p w:rsidR="00B74731" w:rsidRPr="00C107E0" w:rsidRDefault="00B74731" w:rsidP="0089169A">
      <w:pPr>
        <w:numPr>
          <w:ilvl w:val="0"/>
          <w:numId w:val="33"/>
        </w:numPr>
        <w:autoSpaceDE w:val="0"/>
        <w:autoSpaceDN w:val="0"/>
        <w:adjustRightInd w:val="0"/>
        <w:rPr>
          <w:rFonts w:eastAsia="Times New Roman" w:cs="Garamond-BookCondensed"/>
          <w:sz w:val="22"/>
          <w:szCs w:val="22"/>
        </w:rPr>
      </w:pPr>
      <w:r w:rsidRPr="00C107E0">
        <w:rPr>
          <w:rFonts w:eastAsia="Times New Roman" w:cs="Garamond-BookCondensed"/>
          <w:sz w:val="22"/>
          <w:szCs w:val="22"/>
        </w:rPr>
        <w:t xml:space="preserve">Infected children who have diarrhea should be excluded until their diarrhea </w:t>
      </w:r>
      <w:r w:rsidR="009B768B" w:rsidRPr="00C107E0">
        <w:rPr>
          <w:rFonts w:eastAsia="Times New Roman" w:cs="Garamond-BookCondensed"/>
          <w:sz w:val="22"/>
          <w:szCs w:val="22"/>
        </w:rPr>
        <w:t xml:space="preserve">has </w:t>
      </w:r>
      <w:r w:rsidRPr="00C107E0">
        <w:rPr>
          <w:rFonts w:eastAsia="Times New Roman" w:cs="Garamond-BookCondensed"/>
          <w:sz w:val="22"/>
          <w:szCs w:val="22"/>
        </w:rPr>
        <w:t>resolved.</w:t>
      </w:r>
    </w:p>
    <w:p w:rsidR="00C107E0" w:rsidRPr="00C107E0" w:rsidRDefault="00B74731">
      <w:pPr>
        <w:numPr>
          <w:ilvl w:val="0"/>
          <w:numId w:val="33"/>
        </w:numPr>
        <w:autoSpaceDE w:val="0"/>
        <w:autoSpaceDN w:val="0"/>
        <w:adjustRightInd w:val="0"/>
        <w:rPr>
          <w:rFonts w:eastAsia="Times New Roman" w:cs="Garamond-BookCondensed"/>
          <w:sz w:val="22"/>
          <w:szCs w:val="22"/>
        </w:rPr>
      </w:pPr>
      <w:r w:rsidRPr="00C107E0">
        <w:rPr>
          <w:rFonts w:eastAsia="Times New Roman" w:cs="Garamond-BookCondensed"/>
          <w:sz w:val="22"/>
          <w:szCs w:val="22"/>
        </w:rPr>
        <w:t>Infected children</w:t>
      </w:r>
      <w:r w:rsidRPr="00C107E0">
        <w:rPr>
          <w:rFonts w:eastAsia="Times New Roman" w:cs="Garamond-BookCondensedItalic"/>
          <w:i/>
          <w:iCs/>
          <w:sz w:val="22"/>
          <w:szCs w:val="22"/>
        </w:rPr>
        <w:t xml:space="preserve"> </w:t>
      </w:r>
      <w:r w:rsidRPr="00C107E0">
        <w:rPr>
          <w:rFonts w:eastAsia="Times New Roman" w:cs="Garamond-BookCondensed"/>
          <w:sz w:val="22"/>
          <w:szCs w:val="22"/>
        </w:rPr>
        <w:t xml:space="preserve">who have no diarrhea and are not otherwise ill may be excluded or may remain in the program, if special precautions are taken. Since most staff in childcare programs are food handlers, those with </w:t>
      </w:r>
      <w:r w:rsidRPr="00C107E0">
        <w:rPr>
          <w:rFonts w:eastAsia="Times New Roman" w:cs="Garamond-BookCondensed"/>
          <w:i/>
          <w:sz w:val="22"/>
          <w:szCs w:val="22"/>
        </w:rPr>
        <w:t>Cryptosporidium</w:t>
      </w:r>
      <w:r w:rsidRPr="00C107E0">
        <w:rPr>
          <w:rFonts w:eastAsia="Times New Roman" w:cs="Garamond-BookCondensedItalic"/>
          <w:i/>
          <w:iCs/>
          <w:sz w:val="22"/>
          <w:szCs w:val="22"/>
        </w:rPr>
        <w:t xml:space="preserve"> </w:t>
      </w:r>
      <w:r w:rsidRPr="00C107E0">
        <w:rPr>
          <w:rFonts w:eastAsia="Times New Roman" w:cs="Garamond-BookCondensed"/>
          <w:sz w:val="22"/>
          <w:szCs w:val="22"/>
        </w:rPr>
        <w:t xml:space="preserve">in their stools (symptomatic or not) can remain on site but must not prepare food or feed children until their diarrhea has resolved and they have one negative stool specimen (per </w:t>
      </w:r>
      <w:r w:rsidRPr="00C107E0">
        <w:rPr>
          <w:rFonts w:eastAsia="Times New Roman" w:cs="Garamond-BookCondensed"/>
          <w:i/>
          <w:sz w:val="22"/>
          <w:szCs w:val="22"/>
        </w:rPr>
        <w:t>105 CMR 300.200</w:t>
      </w:r>
      <w:r w:rsidRPr="00C107E0">
        <w:rPr>
          <w:rFonts w:eastAsia="Times New Roman" w:cs="Garamond-BookCondensed"/>
          <w:sz w:val="22"/>
          <w:szCs w:val="22"/>
        </w:rPr>
        <w:t>).</w:t>
      </w:r>
    </w:p>
    <w:p w:rsidR="00C107E0" w:rsidRPr="00C107E0" w:rsidRDefault="00C107E0">
      <w:pPr>
        <w:numPr>
          <w:ilvl w:val="0"/>
          <w:numId w:val="33"/>
        </w:numPr>
        <w:autoSpaceDE w:val="0"/>
        <w:autoSpaceDN w:val="0"/>
        <w:adjustRightInd w:val="0"/>
        <w:rPr>
          <w:rFonts w:eastAsia="Times New Roman" w:cs="Garamond-BookCondensed"/>
          <w:sz w:val="22"/>
          <w:szCs w:val="22"/>
        </w:rPr>
      </w:pPr>
      <w:r w:rsidRPr="00C107E0">
        <w:rPr>
          <w:rFonts w:eastAsia="Times New Roman" w:cs="Garamond-BookCondensed"/>
          <w:sz w:val="22"/>
          <w:szCs w:val="22"/>
        </w:rPr>
        <w:t xml:space="preserve">Notifying parents/guardians of attendees should be considered when cases of </w:t>
      </w:r>
      <w:r>
        <w:rPr>
          <w:rFonts w:eastAsia="Times New Roman" w:cs="Garamond-BookCondensed"/>
          <w:sz w:val="22"/>
          <w:szCs w:val="22"/>
        </w:rPr>
        <w:t xml:space="preserve">cryptosporidiosis </w:t>
      </w:r>
      <w:r w:rsidRPr="00C107E0">
        <w:rPr>
          <w:rFonts w:eastAsia="Times New Roman" w:cs="Garamond-BookCondensed"/>
          <w:sz w:val="22"/>
          <w:szCs w:val="22"/>
        </w:rPr>
        <w:t xml:space="preserve">occur in children or staff.  Licensed daycare facilities must </w:t>
      </w:r>
      <w:r w:rsidRPr="00C107E0">
        <w:rPr>
          <w:sz w:val="22"/>
          <w:szCs w:val="22"/>
        </w:rPr>
        <w:t>notify all parents in accordance with MDPH recommendations when any communicable disease or condition has been introduced into the program (606 CMR 7.11).</w:t>
      </w:r>
      <w:r w:rsidRPr="00C107E0">
        <w:rPr>
          <w:rFonts w:eastAsia="Times New Roman" w:cs="Garamond-BookCondensed"/>
          <w:sz w:val="22"/>
          <w:szCs w:val="22"/>
        </w:rPr>
        <w:t xml:space="preserve"> MDPH epidemiologists are available to help determine whether notification is recommended and sample letters are available from the Division of Epidemiology and Immunization at (617) 983-6800.</w:t>
      </w:r>
      <w:r w:rsidRPr="00C107E0">
        <w:rPr>
          <w:rFonts w:ascii="Times New Roman" w:hAnsi="Times New Roman"/>
        </w:rPr>
        <w:t xml:space="preserve"> </w:t>
      </w:r>
    </w:p>
    <w:p w:rsidR="00B74731" w:rsidRPr="00B74731" w:rsidRDefault="00B74731" w:rsidP="00B74731">
      <w:pPr>
        <w:autoSpaceDE w:val="0"/>
        <w:autoSpaceDN w:val="0"/>
        <w:adjustRightInd w:val="0"/>
        <w:rPr>
          <w:rFonts w:eastAsia="Times New Roman" w:cs="Garamond-BookCondensed"/>
          <w:sz w:val="20"/>
          <w:szCs w:val="20"/>
        </w:rPr>
      </w:pPr>
    </w:p>
    <w:p w:rsidR="00B74731" w:rsidRPr="00B74731" w:rsidRDefault="00B74731" w:rsidP="00FC1A18">
      <w:pPr>
        <w:pBdr>
          <w:bottom w:val="single" w:sz="4" w:space="1" w:color="D9D9D9" w:themeColor="background1" w:themeShade="D9"/>
        </w:pBdr>
        <w:autoSpaceDE w:val="0"/>
        <w:autoSpaceDN w:val="0"/>
        <w:adjustRightInd w:val="0"/>
        <w:rPr>
          <w:rFonts w:eastAsia="Times New Roman" w:cs="TradeGothic-CondEighteenObl"/>
          <w:i/>
          <w:iCs/>
          <w:sz w:val="22"/>
          <w:szCs w:val="22"/>
        </w:rPr>
      </w:pPr>
      <w:r w:rsidRPr="00B74731">
        <w:rPr>
          <w:rFonts w:eastAsia="Times New Roman" w:cs="TradeGothic-CondEighteenObl"/>
          <w:i/>
          <w:iCs/>
          <w:sz w:val="22"/>
          <w:szCs w:val="22"/>
        </w:rPr>
        <w:t xml:space="preserve">School </w:t>
      </w:r>
    </w:p>
    <w:p w:rsidR="00B74731" w:rsidRPr="00874923" w:rsidRDefault="00B74731" w:rsidP="00B74731">
      <w:pPr>
        <w:autoSpaceDE w:val="0"/>
        <w:autoSpaceDN w:val="0"/>
        <w:adjustRightInd w:val="0"/>
        <w:rPr>
          <w:rFonts w:eastAsia="Times New Roman" w:cs="TradeGothic-CondEighteenObl"/>
          <w:i/>
          <w:iCs/>
          <w:sz w:val="16"/>
          <w:szCs w:val="16"/>
        </w:rPr>
      </w:pPr>
    </w:p>
    <w:p w:rsidR="00B74731" w:rsidRPr="00B74731" w:rsidRDefault="00B74731" w:rsidP="00B74731">
      <w:pPr>
        <w:autoSpaceDE w:val="0"/>
        <w:autoSpaceDN w:val="0"/>
        <w:adjustRightInd w:val="0"/>
        <w:rPr>
          <w:rFonts w:eastAsia="Times New Roman" w:cs="Garamond-BookCondensed"/>
          <w:sz w:val="22"/>
          <w:szCs w:val="22"/>
        </w:rPr>
      </w:pPr>
      <w:r w:rsidRPr="00B74731">
        <w:rPr>
          <w:rFonts w:eastAsia="Times New Roman" w:cs="Garamond-BookCondensed"/>
          <w:sz w:val="22"/>
          <w:szCs w:val="22"/>
        </w:rPr>
        <w:t xml:space="preserve">Since cryptosporidiosis may be transmitted from person to person through fecal-oral transmission, it is important to follow up on cases of cryptosporidiosis in a school setting carefully. </w:t>
      </w:r>
      <w:r w:rsidR="0022189C">
        <w:rPr>
          <w:rFonts w:eastAsia="Times New Roman" w:cs="Garamond-BookCondensed"/>
          <w:sz w:val="22"/>
          <w:szCs w:val="22"/>
        </w:rPr>
        <w:t xml:space="preserve">General recommendations for </w:t>
      </w:r>
      <w:r w:rsidRPr="00B74731">
        <w:rPr>
          <w:rFonts w:eastAsia="Times New Roman" w:cs="Garamond-BookCondensed"/>
          <w:sz w:val="22"/>
          <w:szCs w:val="22"/>
        </w:rPr>
        <w:t>case follow-up and control in a school setting</w:t>
      </w:r>
      <w:r w:rsidR="0022189C">
        <w:rPr>
          <w:rFonts w:eastAsia="Times New Roman" w:cs="Garamond-BookCondensed"/>
          <w:sz w:val="22"/>
          <w:szCs w:val="22"/>
        </w:rPr>
        <w:t xml:space="preserve"> include the following:</w:t>
      </w:r>
    </w:p>
    <w:p w:rsidR="00B74731" w:rsidRPr="00B74731" w:rsidRDefault="00B74731" w:rsidP="00B74731">
      <w:pPr>
        <w:autoSpaceDE w:val="0"/>
        <w:autoSpaceDN w:val="0"/>
        <w:adjustRightInd w:val="0"/>
        <w:rPr>
          <w:rFonts w:eastAsia="Times New Roman" w:cs="TradeGothic-CondEighteen"/>
          <w:sz w:val="22"/>
          <w:szCs w:val="22"/>
        </w:rPr>
      </w:pPr>
    </w:p>
    <w:p w:rsidR="00263AC3" w:rsidRPr="00263AC3" w:rsidRDefault="00263AC3" w:rsidP="00263AC3">
      <w:pPr>
        <w:numPr>
          <w:ilvl w:val="0"/>
          <w:numId w:val="34"/>
        </w:numPr>
        <w:autoSpaceDE w:val="0"/>
        <w:autoSpaceDN w:val="0"/>
        <w:adjustRightInd w:val="0"/>
        <w:rPr>
          <w:rFonts w:eastAsia="Times New Roman" w:cs="Garamond-BookCondensed"/>
          <w:sz w:val="22"/>
          <w:szCs w:val="22"/>
        </w:rPr>
      </w:pPr>
      <w:r>
        <w:rPr>
          <w:rFonts w:eastAsia="Times New Roman" w:cs="Garamond-BookCondensed"/>
          <w:sz w:val="22"/>
          <w:szCs w:val="22"/>
        </w:rPr>
        <w:t xml:space="preserve">Infected students </w:t>
      </w:r>
      <w:r w:rsidRPr="00263AC3">
        <w:rPr>
          <w:rFonts w:eastAsia="Times New Roman" w:cs="Garamond-BookCondensed"/>
          <w:sz w:val="22"/>
          <w:szCs w:val="22"/>
        </w:rPr>
        <w:t>who have diarrhea should be excluded until their diarrhea has resolved.</w:t>
      </w:r>
    </w:p>
    <w:p w:rsidR="00263AC3" w:rsidRPr="00263AC3" w:rsidRDefault="00263AC3" w:rsidP="00263AC3">
      <w:pPr>
        <w:numPr>
          <w:ilvl w:val="0"/>
          <w:numId w:val="34"/>
        </w:numPr>
        <w:autoSpaceDE w:val="0"/>
        <w:autoSpaceDN w:val="0"/>
        <w:adjustRightInd w:val="0"/>
        <w:rPr>
          <w:rFonts w:eastAsia="Times New Roman" w:cs="Garamond-BookCondensed"/>
          <w:sz w:val="22"/>
          <w:szCs w:val="22"/>
        </w:rPr>
      </w:pPr>
      <w:r>
        <w:rPr>
          <w:rFonts w:eastAsia="Times New Roman" w:cs="Garamond-BookCondensed"/>
          <w:sz w:val="22"/>
          <w:szCs w:val="22"/>
        </w:rPr>
        <w:t>Infected s</w:t>
      </w:r>
      <w:r w:rsidRPr="00263AC3">
        <w:rPr>
          <w:rFonts w:eastAsia="Times New Roman" w:cs="Garamond-BookCondensed"/>
          <w:sz w:val="22"/>
          <w:szCs w:val="22"/>
        </w:rPr>
        <w:t>tudents or staff who do not handle food, have no diarrhea or mild diarrhea, and are not otherwise sick may remain in school if special precautions are taken.</w:t>
      </w:r>
    </w:p>
    <w:p w:rsidR="00263AC3" w:rsidRPr="00263AC3" w:rsidRDefault="00263AC3" w:rsidP="00263AC3">
      <w:pPr>
        <w:numPr>
          <w:ilvl w:val="0"/>
          <w:numId w:val="34"/>
        </w:numPr>
        <w:autoSpaceDE w:val="0"/>
        <w:autoSpaceDN w:val="0"/>
        <w:adjustRightInd w:val="0"/>
        <w:rPr>
          <w:rFonts w:eastAsia="Times New Roman" w:cs="Garamond-BookCondensed"/>
          <w:sz w:val="22"/>
          <w:szCs w:val="22"/>
        </w:rPr>
      </w:pPr>
      <w:r w:rsidRPr="00263AC3">
        <w:rPr>
          <w:rFonts w:eastAsia="Times New Roman" w:cs="Garamond-BookCondensed"/>
          <w:sz w:val="22"/>
          <w:szCs w:val="22"/>
        </w:rPr>
        <w:t xml:space="preserve">Students or staff who handle food and have this parasitic infection (symptomatic or not) must not prepare food until their diarrhea has resolved and they have one negative stool test (collected at least 48 hours after completion of therapy, if antiparasitic agents are given) (per 105 CM 300.200). </w:t>
      </w:r>
    </w:p>
    <w:p w:rsidR="00263AC3" w:rsidRDefault="00263AC3" w:rsidP="00263AC3">
      <w:pPr>
        <w:numPr>
          <w:ilvl w:val="0"/>
          <w:numId w:val="34"/>
        </w:numPr>
        <w:autoSpaceDE w:val="0"/>
        <w:autoSpaceDN w:val="0"/>
        <w:adjustRightInd w:val="0"/>
        <w:rPr>
          <w:rFonts w:eastAsia="Times New Roman" w:cs="Garamond-BookCondensed"/>
          <w:sz w:val="22"/>
          <w:szCs w:val="22"/>
        </w:rPr>
      </w:pPr>
      <w:r w:rsidRPr="00874923">
        <w:rPr>
          <w:rFonts w:eastAsia="Times New Roman" w:cs="Garamond-BookCondensed"/>
          <w:sz w:val="22"/>
          <w:szCs w:val="22"/>
        </w:rPr>
        <w:t>The school nurse and school physician should consult with the LBOH and the MDPH epidemiologists to determine whether some or all parents/guardians and staff should be notified. Parent/guardian notification should be discussed with the school administrator prior to initiation. Sample letters are available from the Division of Epidemiology and Immunization at (617) 983-6800.</w:t>
      </w:r>
    </w:p>
    <w:p w:rsidR="00263AC3" w:rsidRDefault="00263AC3" w:rsidP="00874923">
      <w:pPr>
        <w:autoSpaceDE w:val="0"/>
        <w:autoSpaceDN w:val="0"/>
        <w:adjustRightInd w:val="0"/>
        <w:ind w:left="360"/>
        <w:rPr>
          <w:rFonts w:eastAsia="Times New Roman" w:cs="Garamond-BookCondensed"/>
          <w:sz w:val="22"/>
          <w:szCs w:val="22"/>
        </w:rPr>
      </w:pPr>
    </w:p>
    <w:p w:rsidR="00263AC3" w:rsidRPr="00874923" w:rsidRDefault="00263AC3" w:rsidP="00874923">
      <w:pPr>
        <w:autoSpaceDE w:val="0"/>
        <w:autoSpaceDN w:val="0"/>
        <w:adjustRightInd w:val="0"/>
        <w:ind w:left="360"/>
        <w:rPr>
          <w:rFonts w:eastAsia="Times New Roman" w:cs="Garamond-BookCondensed"/>
          <w:sz w:val="22"/>
          <w:szCs w:val="22"/>
        </w:rPr>
      </w:pPr>
      <w:r w:rsidRPr="00874923">
        <w:rPr>
          <w:rFonts w:eastAsia="Times New Roman" w:cs="Garamond-BookCondensed"/>
          <w:sz w:val="22"/>
          <w:szCs w:val="22"/>
        </w:rPr>
        <w:t xml:space="preserve">Refer to the MDPH Comprehensive School Health Manual </w:t>
      </w:r>
      <w:hyperlink r:id="rId10" w:history="1">
        <w:r w:rsidRPr="00874923">
          <w:rPr>
            <w:rStyle w:val="Hyperlink"/>
            <w:rFonts w:eastAsia="Times New Roman" w:cs="Garamond-BookCondensed"/>
            <w:sz w:val="22"/>
            <w:szCs w:val="22"/>
          </w:rPr>
          <w:t>https://massclearinghouse.ehs.state.ma.us/SCH/SH3001R.htm</w:t>
        </w:r>
        <w:r w:rsidRPr="00DE76BA">
          <w:rPr>
            <w:rStyle w:val="Hyperlink"/>
            <w:rFonts w:eastAsia="Times New Roman" w:cs="Garamond-BookCondensed"/>
            <w:sz w:val="22"/>
            <w:szCs w:val="22"/>
          </w:rPr>
          <w:t>l</w:t>
        </w:r>
      </w:hyperlink>
      <w:r>
        <w:rPr>
          <w:rFonts w:eastAsia="Times New Roman" w:cs="Garamond-BookCondensed"/>
          <w:sz w:val="22"/>
          <w:szCs w:val="22"/>
        </w:rPr>
        <w:t xml:space="preserve"> </w:t>
      </w:r>
      <w:r w:rsidRPr="00874923">
        <w:rPr>
          <w:rFonts w:eastAsia="Times New Roman" w:cs="Garamond-BookCondensed"/>
          <w:sz w:val="22"/>
          <w:szCs w:val="22"/>
        </w:rPr>
        <w:t xml:space="preserve"> for complete guidelines on handling diseases spread through the intestinal tract.</w:t>
      </w:r>
    </w:p>
    <w:p w:rsidR="00B74731" w:rsidRPr="00874923" w:rsidRDefault="00B74731" w:rsidP="00874923">
      <w:pPr>
        <w:autoSpaceDE w:val="0"/>
        <w:autoSpaceDN w:val="0"/>
        <w:adjustRightInd w:val="0"/>
        <w:ind w:left="720"/>
        <w:rPr>
          <w:rFonts w:eastAsia="Times New Roman" w:cs="Garamond-BookCondensed"/>
          <w:sz w:val="22"/>
          <w:szCs w:val="22"/>
        </w:rPr>
      </w:pPr>
    </w:p>
    <w:p w:rsidR="00B74731" w:rsidRPr="00B74731" w:rsidRDefault="00B74731" w:rsidP="00861A86">
      <w:pPr>
        <w:pBdr>
          <w:bottom w:val="single" w:sz="4" w:space="1" w:color="D9D9D9" w:themeColor="background1" w:themeShade="D9"/>
        </w:pBdr>
        <w:autoSpaceDE w:val="0"/>
        <w:autoSpaceDN w:val="0"/>
        <w:adjustRightInd w:val="0"/>
        <w:rPr>
          <w:rFonts w:eastAsia="Times New Roman" w:cs="TradeGothic-CondEighteenObl"/>
          <w:i/>
          <w:iCs/>
          <w:sz w:val="22"/>
          <w:szCs w:val="22"/>
        </w:rPr>
      </w:pPr>
      <w:r w:rsidRPr="00B74731">
        <w:rPr>
          <w:rFonts w:eastAsia="Times New Roman" w:cs="TradeGothic-CondEighteenObl"/>
          <w:i/>
          <w:iCs/>
          <w:sz w:val="22"/>
          <w:szCs w:val="22"/>
        </w:rPr>
        <w:t>Community Residential Programs</w:t>
      </w:r>
    </w:p>
    <w:p w:rsidR="00B74731" w:rsidRPr="00874923" w:rsidRDefault="00B74731" w:rsidP="00B74731">
      <w:pPr>
        <w:autoSpaceDE w:val="0"/>
        <w:autoSpaceDN w:val="0"/>
        <w:adjustRightInd w:val="0"/>
        <w:rPr>
          <w:rFonts w:eastAsia="Times New Roman" w:cs="TradeGothic-CondEighteenObl"/>
          <w:i/>
          <w:iCs/>
          <w:sz w:val="16"/>
          <w:szCs w:val="16"/>
        </w:rPr>
      </w:pPr>
    </w:p>
    <w:p w:rsidR="00B74731" w:rsidRPr="00B74731" w:rsidRDefault="00B74731" w:rsidP="00B74731">
      <w:pPr>
        <w:autoSpaceDE w:val="0"/>
        <w:autoSpaceDN w:val="0"/>
        <w:adjustRightInd w:val="0"/>
        <w:rPr>
          <w:rFonts w:eastAsia="Times New Roman" w:cs="Garamond-BookCondensed"/>
          <w:sz w:val="22"/>
          <w:szCs w:val="22"/>
        </w:rPr>
      </w:pPr>
      <w:r w:rsidRPr="00B74731">
        <w:rPr>
          <w:rFonts w:eastAsia="Times New Roman" w:cs="Garamond-BookCondensed"/>
          <w:sz w:val="22"/>
          <w:szCs w:val="22"/>
        </w:rPr>
        <w:t>Actions taken in response to a case of cryptosporidiosis in community residential programs will depend on the type of program and the level of functioning of the residents.</w:t>
      </w:r>
    </w:p>
    <w:p w:rsidR="00B74731" w:rsidRPr="00B74731" w:rsidRDefault="00B74731" w:rsidP="00B74731">
      <w:pPr>
        <w:autoSpaceDE w:val="0"/>
        <w:autoSpaceDN w:val="0"/>
        <w:adjustRightInd w:val="0"/>
        <w:rPr>
          <w:rFonts w:eastAsia="Times New Roman" w:cs="Garamond-BookCondensed"/>
          <w:sz w:val="22"/>
          <w:szCs w:val="22"/>
        </w:rPr>
      </w:pPr>
    </w:p>
    <w:p w:rsidR="00C107E0" w:rsidRPr="00622F42" w:rsidRDefault="00C107E0" w:rsidP="00C107E0">
      <w:pPr>
        <w:rPr>
          <w:sz w:val="22"/>
          <w:szCs w:val="22"/>
        </w:rPr>
      </w:pPr>
      <w:r w:rsidRPr="00071E41">
        <w:rPr>
          <w:sz w:val="22"/>
          <w:szCs w:val="22"/>
        </w:rPr>
        <w:t xml:space="preserve">In long-term care facilities, residents with </w:t>
      </w:r>
      <w:r>
        <w:rPr>
          <w:sz w:val="22"/>
          <w:szCs w:val="22"/>
        </w:rPr>
        <w:t>cryptosporidiosis</w:t>
      </w:r>
      <w:r w:rsidRPr="00071E41">
        <w:rPr>
          <w:sz w:val="22"/>
          <w:szCs w:val="22"/>
        </w:rPr>
        <w:t xml:space="preserve"> should be </w:t>
      </w:r>
      <w:r>
        <w:rPr>
          <w:sz w:val="22"/>
          <w:szCs w:val="22"/>
        </w:rPr>
        <w:t>maintained</w:t>
      </w:r>
      <w:r w:rsidRPr="00071E41">
        <w:rPr>
          <w:sz w:val="22"/>
          <w:szCs w:val="22"/>
        </w:rPr>
        <w:t xml:space="preserve"> on standard precautions until their symptoms subside and they test negative for </w:t>
      </w:r>
      <w:r>
        <w:rPr>
          <w:sz w:val="22"/>
          <w:szCs w:val="22"/>
        </w:rPr>
        <w:t>this parasite</w:t>
      </w:r>
      <w:r w:rsidRPr="00071E41">
        <w:rPr>
          <w:sz w:val="22"/>
          <w:szCs w:val="22"/>
        </w:rPr>
        <w:t xml:space="preserve">. Refer to the MDPH Division of Epidemiology and Immunization’s Long Term Care Infection Control Guidelines </w:t>
      </w:r>
      <w:hyperlink r:id="rId11" w:history="1">
        <w:r w:rsidRPr="00D526AC">
          <w:rPr>
            <w:rStyle w:val="Hyperlink"/>
            <w:i/>
            <w:sz w:val="22"/>
            <w:szCs w:val="22"/>
          </w:rPr>
          <w:t>http://www.mass.gov/eohhs/gov/departments/dph/programs/id/epidemiology/providers/infection-control.html</w:t>
        </w:r>
      </w:hyperlink>
      <w:r w:rsidRPr="00071E41">
        <w:rPr>
          <w:sz w:val="22"/>
          <w:szCs w:val="22"/>
        </w:rPr>
        <w:t xml:space="preserve"> for further actions.</w:t>
      </w:r>
      <w:r>
        <w:rPr>
          <w:sz w:val="22"/>
          <w:szCs w:val="22"/>
        </w:rPr>
        <w:t xml:space="preserve"> </w:t>
      </w:r>
      <w:r w:rsidRPr="00622F42">
        <w:rPr>
          <w:sz w:val="22"/>
          <w:szCs w:val="22"/>
        </w:rPr>
        <w:t xml:space="preserve">Staff members who provide direct patient care (e.g., feed patients, give mouth or denture care, or give medications) are considered food handlers and are subject to food handler restrictions (per </w:t>
      </w:r>
      <w:r w:rsidRPr="00622F42">
        <w:rPr>
          <w:i/>
          <w:sz w:val="22"/>
          <w:szCs w:val="22"/>
        </w:rPr>
        <w:t>105 CMR 300.200</w:t>
      </w:r>
      <w:r w:rsidRPr="00622F42">
        <w:rPr>
          <w:sz w:val="22"/>
          <w:szCs w:val="22"/>
        </w:rPr>
        <w:t xml:space="preserve">). See Section 4A for more information. In addition, staff members with </w:t>
      </w:r>
      <w:r>
        <w:rPr>
          <w:sz w:val="22"/>
          <w:szCs w:val="22"/>
        </w:rPr>
        <w:t>cryptosporidiosis</w:t>
      </w:r>
      <w:r w:rsidRPr="00622F42">
        <w:rPr>
          <w:sz w:val="22"/>
          <w:szCs w:val="22"/>
        </w:rPr>
        <w:t xml:space="preserve"> who are not food handlers should not work until their diarrhea is </w:t>
      </w:r>
      <w:r>
        <w:rPr>
          <w:sz w:val="22"/>
          <w:szCs w:val="22"/>
        </w:rPr>
        <w:t>resolved</w:t>
      </w:r>
      <w:r w:rsidRPr="00622F42">
        <w:rPr>
          <w:sz w:val="22"/>
          <w:szCs w:val="22"/>
        </w:rPr>
        <w:t>.</w:t>
      </w:r>
    </w:p>
    <w:p w:rsidR="00C107E0" w:rsidRDefault="00C107E0" w:rsidP="00B74731">
      <w:pPr>
        <w:autoSpaceDE w:val="0"/>
        <w:autoSpaceDN w:val="0"/>
        <w:adjustRightInd w:val="0"/>
        <w:rPr>
          <w:rFonts w:eastAsia="Times New Roman" w:cs="Garamond-BookCondensed"/>
          <w:sz w:val="22"/>
          <w:szCs w:val="22"/>
        </w:rPr>
      </w:pPr>
    </w:p>
    <w:p w:rsidR="00B74731" w:rsidRPr="00B74731" w:rsidRDefault="00B74731" w:rsidP="00B74731">
      <w:pPr>
        <w:autoSpaceDE w:val="0"/>
        <w:autoSpaceDN w:val="0"/>
        <w:adjustRightInd w:val="0"/>
        <w:rPr>
          <w:rFonts w:eastAsia="Times New Roman" w:cs="Garamond-BookCondensed"/>
          <w:sz w:val="22"/>
          <w:szCs w:val="22"/>
        </w:rPr>
      </w:pPr>
      <w:r w:rsidRPr="00B74731">
        <w:rPr>
          <w:rFonts w:eastAsia="Times New Roman" w:cs="Garamond-BookCondensed"/>
          <w:sz w:val="22"/>
          <w:szCs w:val="22"/>
        </w:rPr>
        <w:t xml:space="preserve">In residential facilities for the developmentally disabled, staff and clients with cryptosporidiosis must refrain from handling or preparing food for other residents until their diarrhea has subsided and they have one negative stool specimen for </w:t>
      </w:r>
      <w:r w:rsidRPr="00B74731">
        <w:rPr>
          <w:rFonts w:eastAsia="Times New Roman" w:cs="Garamond-BookCondensed"/>
          <w:i/>
          <w:sz w:val="22"/>
          <w:szCs w:val="22"/>
        </w:rPr>
        <w:t>Cryptosporidium</w:t>
      </w:r>
      <w:r w:rsidRPr="00B74731">
        <w:rPr>
          <w:rFonts w:eastAsia="Times New Roman" w:cs="Garamond-BookCondensedItalic"/>
          <w:i/>
          <w:iCs/>
          <w:sz w:val="22"/>
          <w:szCs w:val="22"/>
        </w:rPr>
        <w:t xml:space="preserve"> </w:t>
      </w:r>
      <w:r w:rsidRPr="00B74731">
        <w:rPr>
          <w:rFonts w:eastAsia="Times New Roman" w:cs="Garamond-BookCondensed"/>
          <w:sz w:val="22"/>
          <w:szCs w:val="22"/>
        </w:rPr>
        <w:t>(per</w:t>
      </w:r>
      <w:r w:rsidRPr="00B74731">
        <w:rPr>
          <w:rFonts w:eastAsia="Times New Roman" w:cs="Garamond-BookCondensed"/>
          <w:i/>
          <w:sz w:val="22"/>
          <w:szCs w:val="22"/>
        </w:rPr>
        <w:t xml:space="preserve"> 105 CMR 300.200</w:t>
      </w:r>
      <w:r w:rsidRPr="00B74731">
        <w:rPr>
          <w:rFonts w:eastAsia="Times New Roman" w:cs="Garamond-BookCondensed"/>
          <w:sz w:val="22"/>
          <w:szCs w:val="22"/>
        </w:rPr>
        <w:t xml:space="preserve">). In addition, staff members with cryptosporidiosis who are not food handlers should not work until their diarrhea </w:t>
      </w:r>
      <w:r w:rsidR="009B768B">
        <w:rPr>
          <w:rFonts w:eastAsia="Times New Roman" w:cs="Garamond-BookCondensed"/>
          <w:sz w:val="22"/>
          <w:szCs w:val="22"/>
        </w:rPr>
        <w:t>has</w:t>
      </w:r>
      <w:r w:rsidR="009B768B" w:rsidRPr="00B74731">
        <w:rPr>
          <w:rFonts w:eastAsia="Times New Roman" w:cs="Garamond-BookCondensed"/>
          <w:sz w:val="22"/>
          <w:szCs w:val="22"/>
        </w:rPr>
        <w:t xml:space="preserve"> </w:t>
      </w:r>
      <w:r w:rsidRPr="00B74731">
        <w:rPr>
          <w:rFonts w:eastAsia="Times New Roman" w:cs="Garamond-BookCondensed"/>
          <w:sz w:val="22"/>
          <w:szCs w:val="22"/>
        </w:rPr>
        <w:t>resolved.</w:t>
      </w:r>
    </w:p>
    <w:p w:rsidR="00B74731" w:rsidRPr="00B74731" w:rsidRDefault="00B74731" w:rsidP="00B74731">
      <w:pPr>
        <w:autoSpaceDE w:val="0"/>
        <w:autoSpaceDN w:val="0"/>
        <w:adjustRightInd w:val="0"/>
        <w:rPr>
          <w:rFonts w:eastAsia="Times New Roman" w:cs="Garamond-BookCondensed"/>
          <w:sz w:val="22"/>
          <w:szCs w:val="22"/>
        </w:rPr>
      </w:pPr>
    </w:p>
    <w:p w:rsidR="00B74731" w:rsidRPr="00B74731" w:rsidRDefault="00B74731" w:rsidP="00861A86">
      <w:pPr>
        <w:pBdr>
          <w:bottom w:val="single" w:sz="4" w:space="1" w:color="D9D9D9" w:themeColor="background1" w:themeShade="D9"/>
        </w:pBdr>
        <w:autoSpaceDE w:val="0"/>
        <w:autoSpaceDN w:val="0"/>
        <w:adjustRightInd w:val="0"/>
        <w:rPr>
          <w:rFonts w:eastAsia="Times New Roman" w:cs="TradeGothic-CondEighteenObl"/>
          <w:i/>
          <w:iCs/>
          <w:sz w:val="22"/>
          <w:szCs w:val="22"/>
        </w:rPr>
      </w:pPr>
      <w:r w:rsidRPr="00B74731">
        <w:rPr>
          <w:rFonts w:eastAsia="Times New Roman" w:cs="TradeGothic-CondEighteenObl"/>
          <w:i/>
          <w:iCs/>
          <w:sz w:val="22"/>
          <w:szCs w:val="22"/>
        </w:rPr>
        <w:t>Reported Incidence Is Higher Than Usual/Outbreak Suspected</w:t>
      </w:r>
    </w:p>
    <w:p w:rsidR="00B74731" w:rsidRPr="00874923" w:rsidRDefault="00B74731" w:rsidP="00B74731">
      <w:pPr>
        <w:autoSpaceDE w:val="0"/>
        <w:autoSpaceDN w:val="0"/>
        <w:adjustRightInd w:val="0"/>
        <w:rPr>
          <w:rFonts w:eastAsia="Times New Roman" w:cs="Garamond-BookCondensed"/>
          <w:sz w:val="16"/>
          <w:szCs w:val="16"/>
        </w:rPr>
      </w:pPr>
    </w:p>
    <w:p w:rsidR="00B74731" w:rsidRPr="00B74731" w:rsidRDefault="00B74731" w:rsidP="00B74731">
      <w:pPr>
        <w:autoSpaceDE w:val="0"/>
        <w:autoSpaceDN w:val="0"/>
        <w:adjustRightInd w:val="0"/>
        <w:rPr>
          <w:rFonts w:eastAsia="Times New Roman" w:cs="Garamond-BookCondensed"/>
          <w:sz w:val="22"/>
          <w:szCs w:val="22"/>
        </w:rPr>
      </w:pPr>
      <w:r w:rsidRPr="00B74731">
        <w:rPr>
          <w:rFonts w:eastAsia="Times New Roman" w:cs="Garamond-BookCondensed"/>
          <w:sz w:val="22"/>
          <w:szCs w:val="22"/>
        </w:rPr>
        <w:t xml:space="preserve">If the number of reported cases of cryptosporidiosis in your city/town is higher than usual or if you suspect an outbreak, investigate to determine the source of infection and the mode of transmission. A common vehicle (e.g., water, food, or association with a daycare center) should be sought, and applicable preventive or control measures should be instituted. Control of person-to-person transmission requires special emphasis on personal hygiene and sanitary disposal of feces. Consult with the epidemiologist on-call at the MDPH Division of Epidemiology and Immunization at (617) 983-6800. The </w:t>
      </w:r>
      <w:r w:rsidR="00861A86">
        <w:rPr>
          <w:rFonts w:eastAsia="Times New Roman" w:cs="Garamond-BookCondensed"/>
          <w:sz w:val="22"/>
          <w:szCs w:val="22"/>
        </w:rPr>
        <w:t>epidemiologists</w:t>
      </w:r>
      <w:r w:rsidRPr="00B74731">
        <w:rPr>
          <w:rFonts w:eastAsia="Times New Roman" w:cs="Garamond-BookCondensed"/>
          <w:sz w:val="22"/>
          <w:szCs w:val="22"/>
        </w:rPr>
        <w:t xml:space="preserve"> can help determine a course of action to prevent further cases and can perform surveillance for cases across town lines, which would otherwise be difficult to identify at the local level.</w:t>
      </w:r>
    </w:p>
    <w:p w:rsidR="00B74731" w:rsidRPr="00B74731" w:rsidRDefault="00B74731" w:rsidP="00B74731">
      <w:pPr>
        <w:autoSpaceDE w:val="0"/>
        <w:autoSpaceDN w:val="0"/>
        <w:adjustRightInd w:val="0"/>
        <w:rPr>
          <w:rFonts w:eastAsia="Times New Roman" w:cs="Garamond-BookCondensed"/>
          <w:sz w:val="22"/>
          <w:szCs w:val="22"/>
        </w:rPr>
      </w:pPr>
    </w:p>
    <w:p w:rsidR="00B74731" w:rsidRPr="00B74731" w:rsidRDefault="00B74731" w:rsidP="00B74731">
      <w:pPr>
        <w:autoSpaceDE w:val="0"/>
        <w:autoSpaceDN w:val="0"/>
        <w:adjustRightInd w:val="0"/>
        <w:rPr>
          <w:rFonts w:eastAsia="Times New Roman" w:cs="Garamond-BookCondensedItalic"/>
          <w:i/>
          <w:iCs/>
          <w:sz w:val="22"/>
          <w:szCs w:val="22"/>
        </w:rPr>
      </w:pPr>
      <w:r w:rsidRPr="00B74731">
        <w:rPr>
          <w:rFonts w:eastAsia="Times New Roman" w:cs="Garamond-BookCondensed"/>
          <w:i/>
          <w:sz w:val="22"/>
          <w:szCs w:val="22"/>
        </w:rPr>
        <w:t>Note: Refer to the MDPH’s Foodborne Illness Investigation and Control Reference Manual for comprehensive information on investigating foodborne illness complaints and outbreaks. Copies of this manual have been made available to LBOH. It can also be located on the MDPH website in PDF format at</w:t>
      </w:r>
      <w:r w:rsidRPr="00B74731">
        <w:rPr>
          <w:rFonts w:eastAsia="Times New Roman" w:cs="Garamond-BookCondensedItalic"/>
          <w:i/>
          <w:iCs/>
          <w:sz w:val="22"/>
          <w:szCs w:val="22"/>
        </w:rPr>
        <w:t xml:space="preserve"> </w:t>
      </w:r>
      <w:hyperlink r:id="rId12" w:history="1">
        <w:r w:rsidRPr="00B74731">
          <w:rPr>
            <w:rFonts w:eastAsia="Times New Roman" w:cs="Garamond-BookCondensedItalic"/>
            <w:i/>
            <w:iCs/>
            <w:color w:val="0000FF"/>
            <w:sz w:val="22"/>
            <w:szCs w:val="22"/>
            <w:u w:val="single"/>
          </w:rPr>
          <w:t>http://www.mass.gov/eohhs/docs/dph/environmental/foodsafety/ref-manual/intro-pages.pdf</w:t>
        </w:r>
      </w:hyperlink>
      <w:r w:rsidRPr="00B74731">
        <w:rPr>
          <w:rFonts w:eastAsia="Times New Roman" w:cs="Garamond-BookCondensedItalic"/>
          <w:i/>
          <w:iCs/>
          <w:sz w:val="22"/>
          <w:szCs w:val="22"/>
        </w:rPr>
        <w:t xml:space="preserve"> . </w:t>
      </w:r>
      <w:r w:rsidRPr="00B74731">
        <w:rPr>
          <w:rFonts w:eastAsia="Times New Roman" w:cs="Garamond-BookCondensed"/>
          <w:i/>
          <w:sz w:val="22"/>
          <w:szCs w:val="22"/>
        </w:rPr>
        <w:t>For the most recent changes to the Massachusetts Food Code, contact the FPP at (617) 983-6712 or through the MDPH website at</w:t>
      </w:r>
      <w:r w:rsidRPr="00B74731">
        <w:rPr>
          <w:rFonts w:eastAsia="Times New Roman" w:cs="Garamond-BookCondensedItalic"/>
          <w:i/>
          <w:iCs/>
          <w:sz w:val="22"/>
          <w:szCs w:val="22"/>
        </w:rPr>
        <w:t xml:space="preserve"> </w:t>
      </w:r>
      <w:hyperlink r:id="rId13" w:history="1">
        <w:r w:rsidRPr="00B74731">
          <w:rPr>
            <w:rFonts w:eastAsia="Times New Roman" w:cs="Garamond-BookCondensedItalic"/>
            <w:i/>
            <w:iCs/>
            <w:color w:val="0000FF"/>
            <w:sz w:val="22"/>
            <w:szCs w:val="22"/>
            <w:u w:val="single"/>
          </w:rPr>
          <w:t>www.mass.gov/dph/fpp</w:t>
        </w:r>
      </w:hyperlink>
      <w:r w:rsidRPr="00B74731">
        <w:rPr>
          <w:rFonts w:eastAsia="Times New Roman" w:cs="Garamond-BookCondensedItalic"/>
          <w:i/>
          <w:iCs/>
          <w:sz w:val="22"/>
          <w:szCs w:val="22"/>
        </w:rPr>
        <w:t>.</w:t>
      </w:r>
    </w:p>
    <w:p w:rsidR="00622F42" w:rsidRPr="00622F42" w:rsidRDefault="00622F42" w:rsidP="00622F42">
      <w:pPr>
        <w:keepNext/>
        <w:autoSpaceDE w:val="0"/>
        <w:autoSpaceDN w:val="0"/>
        <w:adjustRightInd w:val="0"/>
        <w:outlineLvl w:val="2"/>
        <w:rPr>
          <w:rFonts w:ascii="TradeGothic-BoldCondTwenty" w:hAnsi="TradeGothic-BoldCondTwenty"/>
          <w:b/>
          <w:bCs/>
          <w:sz w:val="22"/>
          <w:szCs w:val="26"/>
        </w:rPr>
      </w:pPr>
    </w:p>
    <w:p w:rsidR="00622F42" w:rsidRPr="00622F42" w:rsidRDefault="00622F42" w:rsidP="00622F42">
      <w:pPr>
        <w:keepNext/>
        <w:autoSpaceDE w:val="0"/>
        <w:autoSpaceDN w:val="0"/>
        <w:adjustRightInd w:val="0"/>
        <w:outlineLvl w:val="2"/>
        <w:rPr>
          <w:rFonts w:ascii="Arial" w:hAnsi="Arial" w:cs="Arial"/>
          <w:b/>
          <w:bCs/>
          <w:sz w:val="22"/>
          <w:szCs w:val="22"/>
        </w:rPr>
      </w:pPr>
      <w:r w:rsidRPr="00622F42">
        <w:rPr>
          <w:rFonts w:ascii="Arial" w:hAnsi="Arial" w:cs="Arial"/>
          <w:b/>
          <w:bCs/>
          <w:sz w:val="22"/>
          <w:szCs w:val="22"/>
        </w:rPr>
        <w:t>D. Preventive Measures</w:t>
      </w:r>
    </w:p>
    <w:p w:rsidR="00622F42" w:rsidRPr="00622F42" w:rsidRDefault="00622F42" w:rsidP="00622F42">
      <w:pPr>
        <w:autoSpaceDE w:val="0"/>
        <w:autoSpaceDN w:val="0"/>
        <w:adjustRightInd w:val="0"/>
        <w:rPr>
          <w:rFonts w:ascii="TradeGothic-CondEighteenObl" w:hAnsi="TradeGothic-CondEighteenObl"/>
          <w:i/>
          <w:iCs/>
          <w:sz w:val="20"/>
        </w:rPr>
      </w:pPr>
    </w:p>
    <w:p w:rsidR="00B74731" w:rsidRPr="00B74731" w:rsidRDefault="00B74731" w:rsidP="00861A86">
      <w:pPr>
        <w:pBdr>
          <w:bottom w:val="single" w:sz="4" w:space="1" w:color="D9D9D9" w:themeColor="background1" w:themeShade="D9"/>
        </w:pBdr>
        <w:autoSpaceDE w:val="0"/>
        <w:autoSpaceDN w:val="0"/>
        <w:adjustRightInd w:val="0"/>
        <w:rPr>
          <w:rFonts w:eastAsia="Times New Roman" w:cs="TradeGothic-CondEighteenObl"/>
          <w:i/>
          <w:iCs/>
        </w:rPr>
      </w:pPr>
      <w:r w:rsidRPr="00B74731">
        <w:rPr>
          <w:rFonts w:eastAsia="Times New Roman" w:cs="TradeGothic-CondEighteenObl"/>
          <w:i/>
          <w:iCs/>
        </w:rPr>
        <w:t>Personal Preventive Measures/Education</w:t>
      </w:r>
    </w:p>
    <w:p w:rsidR="00B74731" w:rsidRPr="00874923" w:rsidRDefault="00B74731" w:rsidP="00B74731">
      <w:pPr>
        <w:autoSpaceDE w:val="0"/>
        <w:autoSpaceDN w:val="0"/>
        <w:adjustRightInd w:val="0"/>
        <w:rPr>
          <w:rFonts w:eastAsia="Times New Roman" w:cs="TradeGothic-CondEighteenObl"/>
          <w:i/>
          <w:iCs/>
          <w:sz w:val="16"/>
          <w:szCs w:val="16"/>
        </w:rPr>
      </w:pPr>
    </w:p>
    <w:p w:rsidR="00B74731" w:rsidRPr="00B74731" w:rsidRDefault="00B74731" w:rsidP="00B74731">
      <w:pPr>
        <w:autoSpaceDE w:val="0"/>
        <w:autoSpaceDN w:val="0"/>
        <w:adjustRightInd w:val="0"/>
        <w:rPr>
          <w:rFonts w:eastAsia="Times New Roman" w:cs="Garamond-BookCondensed"/>
          <w:sz w:val="22"/>
          <w:szCs w:val="22"/>
        </w:rPr>
      </w:pPr>
      <w:r w:rsidRPr="00B74731">
        <w:rPr>
          <w:rFonts w:eastAsia="Times New Roman" w:cs="Garamond-BookCondensed"/>
          <w:sz w:val="22"/>
          <w:szCs w:val="22"/>
        </w:rPr>
        <w:t>To avoid exposure, recommend that individuals:</w:t>
      </w:r>
    </w:p>
    <w:p w:rsidR="00B74731" w:rsidRPr="00B74731" w:rsidRDefault="00B74731" w:rsidP="00B74731">
      <w:pPr>
        <w:autoSpaceDE w:val="0"/>
        <w:autoSpaceDN w:val="0"/>
        <w:adjustRightInd w:val="0"/>
        <w:rPr>
          <w:rFonts w:eastAsia="Times New Roman" w:cs="Garamond-BookCondensed"/>
          <w:sz w:val="22"/>
          <w:szCs w:val="22"/>
        </w:rPr>
      </w:pPr>
    </w:p>
    <w:p w:rsidR="00B74731" w:rsidRPr="00B74731" w:rsidRDefault="00B74731" w:rsidP="00B74731">
      <w:pPr>
        <w:numPr>
          <w:ilvl w:val="0"/>
          <w:numId w:val="35"/>
        </w:numPr>
        <w:autoSpaceDE w:val="0"/>
        <w:autoSpaceDN w:val="0"/>
        <w:adjustRightInd w:val="0"/>
        <w:rPr>
          <w:rFonts w:eastAsia="Times New Roman" w:cs="Garamond-BookCondensed"/>
          <w:sz w:val="22"/>
          <w:szCs w:val="22"/>
        </w:rPr>
      </w:pPr>
      <w:r w:rsidRPr="00B74731">
        <w:rPr>
          <w:rFonts w:eastAsia="Times New Roman" w:cs="Garamond-BookCondensed"/>
          <w:sz w:val="22"/>
          <w:szCs w:val="22"/>
        </w:rPr>
        <w:t>Always wash their hands thoroughly with soap and water before eating or preparing food, after using the toilet, after changing diapers, and after contact with animals, especially cattle.</w:t>
      </w:r>
    </w:p>
    <w:p w:rsidR="00B74731" w:rsidRPr="00B74731" w:rsidRDefault="00B74731" w:rsidP="00B74731">
      <w:pPr>
        <w:autoSpaceDE w:val="0"/>
        <w:autoSpaceDN w:val="0"/>
        <w:adjustRightInd w:val="0"/>
        <w:rPr>
          <w:rFonts w:eastAsia="Times New Roman" w:cs="Garamond-BookCondensed"/>
          <w:sz w:val="22"/>
          <w:szCs w:val="22"/>
        </w:rPr>
      </w:pPr>
    </w:p>
    <w:p w:rsidR="00B74731" w:rsidRPr="00B74731" w:rsidRDefault="00B74731" w:rsidP="00B74731">
      <w:pPr>
        <w:numPr>
          <w:ilvl w:val="0"/>
          <w:numId w:val="35"/>
        </w:numPr>
        <w:autoSpaceDE w:val="0"/>
        <w:autoSpaceDN w:val="0"/>
        <w:adjustRightInd w:val="0"/>
        <w:rPr>
          <w:rFonts w:eastAsia="Times New Roman" w:cs="Garamond-BookCondensed"/>
          <w:sz w:val="22"/>
          <w:szCs w:val="22"/>
        </w:rPr>
      </w:pPr>
      <w:r w:rsidRPr="00B74731">
        <w:rPr>
          <w:rFonts w:eastAsia="Times New Roman" w:cs="Garamond-BookCondensed"/>
          <w:sz w:val="22"/>
          <w:szCs w:val="22"/>
        </w:rPr>
        <w:t>Wash their own hands as well as the child’s hands after changing diapers, and dispose of diapers in a sanitary manner.</w:t>
      </w:r>
    </w:p>
    <w:p w:rsidR="00B74731" w:rsidRPr="00B74731" w:rsidRDefault="00B74731" w:rsidP="00B74731">
      <w:pPr>
        <w:autoSpaceDE w:val="0"/>
        <w:autoSpaceDN w:val="0"/>
        <w:adjustRightInd w:val="0"/>
        <w:rPr>
          <w:rFonts w:eastAsia="Times New Roman" w:cs="Garamond-BookCondensed"/>
          <w:sz w:val="22"/>
          <w:szCs w:val="22"/>
        </w:rPr>
      </w:pPr>
    </w:p>
    <w:p w:rsidR="00B74731" w:rsidRPr="00B74731" w:rsidRDefault="00B74731" w:rsidP="00B74731">
      <w:pPr>
        <w:numPr>
          <w:ilvl w:val="0"/>
          <w:numId w:val="35"/>
        </w:numPr>
        <w:autoSpaceDE w:val="0"/>
        <w:autoSpaceDN w:val="0"/>
        <w:adjustRightInd w:val="0"/>
        <w:rPr>
          <w:rFonts w:eastAsia="Times New Roman" w:cs="Garamond-BookCondensed"/>
          <w:sz w:val="22"/>
          <w:szCs w:val="22"/>
        </w:rPr>
      </w:pPr>
      <w:r w:rsidRPr="00B74731">
        <w:rPr>
          <w:rFonts w:eastAsia="Times New Roman" w:cs="Garamond-BookCondensed"/>
          <w:sz w:val="22"/>
          <w:szCs w:val="22"/>
        </w:rPr>
        <w:t>Wash their hands thoroughly and frequently when ill with diarrhea or when caring for someone with diarrhea. Hands should be scrubbed for at least 15–20 seconds after cleaning the bathroom, after using the toilet or helping someone use the toilet, after changing diapers, before handling food, and before eating.</w:t>
      </w:r>
    </w:p>
    <w:p w:rsidR="00B74731" w:rsidRPr="00B74731" w:rsidRDefault="00B74731" w:rsidP="00B74731">
      <w:pPr>
        <w:autoSpaceDE w:val="0"/>
        <w:autoSpaceDN w:val="0"/>
        <w:adjustRightInd w:val="0"/>
        <w:rPr>
          <w:rFonts w:eastAsia="Times New Roman" w:cs="Garamond-BookCondensed"/>
          <w:sz w:val="22"/>
          <w:szCs w:val="22"/>
        </w:rPr>
      </w:pPr>
    </w:p>
    <w:p w:rsidR="00B74731" w:rsidRPr="00B74731" w:rsidRDefault="00B74731" w:rsidP="00B74731">
      <w:pPr>
        <w:numPr>
          <w:ilvl w:val="0"/>
          <w:numId w:val="35"/>
        </w:numPr>
        <w:autoSpaceDE w:val="0"/>
        <w:autoSpaceDN w:val="0"/>
        <w:adjustRightInd w:val="0"/>
        <w:rPr>
          <w:rFonts w:eastAsia="Times New Roman" w:cs="Garamond-BookCondensed"/>
          <w:sz w:val="22"/>
          <w:szCs w:val="22"/>
        </w:rPr>
      </w:pPr>
      <w:r w:rsidRPr="00B74731">
        <w:rPr>
          <w:rFonts w:eastAsia="Times New Roman" w:cs="Garamond-BookCondensed"/>
          <w:sz w:val="22"/>
          <w:szCs w:val="22"/>
        </w:rPr>
        <w:t>Avoid drinking raw milk, other unpasteurized dairy products, or unpasteurized apple cider.</w:t>
      </w:r>
    </w:p>
    <w:p w:rsidR="00B74731" w:rsidRPr="00B74731" w:rsidRDefault="00B74731" w:rsidP="00B74731">
      <w:pPr>
        <w:autoSpaceDE w:val="0"/>
        <w:autoSpaceDN w:val="0"/>
        <w:adjustRightInd w:val="0"/>
        <w:rPr>
          <w:rFonts w:eastAsia="Times New Roman" w:cs="Garamond-BookCondensed"/>
          <w:sz w:val="22"/>
          <w:szCs w:val="22"/>
        </w:rPr>
      </w:pPr>
    </w:p>
    <w:p w:rsidR="00B74731" w:rsidRPr="00B74731" w:rsidRDefault="00B74731" w:rsidP="00B74731">
      <w:pPr>
        <w:numPr>
          <w:ilvl w:val="0"/>
          <w:numId w:val="35"/>
        </w:numPr>
        <w:autoSpaceDE w:val="0"/>
        <w:autoSpaceDN w:val="0"/>
        <w:adjustRightInd w:val="0"/>
        <w:rPr>
          <w:rFonts w:eastAsia="Times New Roman" w:cs="Garamond-BookCondensed"/>
          <w:sz w:val="22"/>
          <w:szCs w:val="22"/>
        </w:rPr>
      </w:pPr>
      <w:r w:rsidRPr="00B74731">
        <w:rPr>
          <w:rFonts w:eastAsia="Times New Roman" w:cs="Garamond-BookCondensed"/>
          <w:sz w:val="22"/>
          <w:szCs w:val="22"/>
        </w:rPr>
        <w:t xml:space="preserve">Avoid drinking water from streams or lakes. Avoid drinking unboiled water while traveling in developing countries or when the water quality is unknown. Bringing water to a full, rolling boil is sufficient to kill </w:t>
      </w:r>
      <w:r w:rsidRPr="00B74731">
        <w:rPr>
          <w:rFonts w:eastAsia="Times New Roman" w:cs="Garamond-BookCondensed"/>
          <w:i/>
          <w:sz w:val="22"/>
          <w:szCs w:val="22"/>
        </w:rPr>
        <w:t>Cryptosporidium</w:t>
      </w:r>
      <w:r w:rsidRPr="00B74731">
        <w:rPr>
          <w:rFonts w:eastAsia="Times New Roman" w:cs="Garamond-BookCondensed"/>
          <w:sz w:val="22"/>
          <w:szCs w:val="22"/>
        </w:rPr>
        <w:t>.</w:t>
      </w:r>
    </w:p>
    <w:p w:rsidR="00B74731" w:rsidRPr="00B74731" w:rsidRDefault="00B74731" w:rsidP="00B74731">
      <w:pPr>
        <w:autoSpaceDE w:val="0"/>
        <w:autoSpaceDN w:val="0"/>
        <w:adjustRightInd w:val="0"/>
        <w:rPr>
          <w:rFonts w:eastAsia="Times New Roman" w:cs="Garamond-BookCondensed"/>
          <w:sz w:val="22"/>
          <w:szCs w:val="22"/>
        </w:rPr>
      </w:pPr>
    </w:p>
    <w:p w:rsidR="00B74731" w:rsidRPr="00B74731" w:rsidRDefault="00B74731" w:rsidP="00B74731">
      <w:pPr>
        <w:numPr>
          <w:ilvl w:val="0"/>
          <w:numId w:val="35"/>
        </w:numPr>
        <w:autoSpaceDE w:val="0"/>
        <w:autoSpaceDN w:val="0"/>
        <w:adjustRightInd w:val="0"/>
        <w:rPr>
          <w:rFonts w:eastAsia="Times New Roman" w:cs="Garamond-BookCondensed"/>
          <w:sz w:val="22"/>
          <w:szCs w:val="22"/>
        </w:rPr>
      </w:pPr>
      <w:r w:rsidRPr="00B74731">
        <w:rPr>
          <w:rFonts w:eastAsia="Times New Roman" w:cs="Garamond-BookCondensed"/>
          <w:sz w:val="22"/>
          <w:szCs w:val="22"/>
        </w:rPr>
        <w:t>Adhere to local advisories to boil water.</w:t>
      </w:r>
    </w:p>
    <w:p w:rsidR="00B74731" w:rsidRPr="00B74731" w:rsidRDefault="00B74731" w:rsidP="00B74731">
      <w:pPr>
        <w:autoSpaceDE w:val="0"/>
        <w:autoSpaceDN w:val="0"/>
        <w:adjustRightInd w:val="0"/>
        <w:rPr>
          <w:rFonts w:eastAsia="Times New Roman" w:cs="Garamond-BookCondensed"/>
          <w:sz w:val="22"/>
          <w:szCs w:val="22"/>
        </w:rPr>
      </w:pPr>
    </w:p>
    <w:p w:rsidR="00B74731" w:rsidRPr="00B74731" w:rsidRDefault="00B74731" w:rsidP="00B74731">
      <w:pPr>
        <w:autoSpaceDE w:val="0"/>
        <w:autoSpaceDN w:val="0"/>
        <w:adjustRightInd w:val="0"/>
        <w:rPr>
          <w:rFonts w:eastAsia="Times New Roman" w:cs="Garamond-BookCondensed"/>
          <w:sz w:val="22"/>
          <w:szCs w:val="22"/>
        </w:rPr>
      </w:pPr>
      <w:r w:rsidRPr="00B74731">
        <w:rPr>
          <w:rFonts w:eastAsia="Times New Roman" w:cs="Garamond-BookCondensed"/>
          <w:sz w:val="22"/>
          <w:szCs w:val="22"/>
        </w:rPr>
        <w:t xml:space="preserve">The likelihood that </w:t>
      </w:r>
      <w:r w:rsidRPr="00B74731">
        <w:rPr>
          <w:rFonts w:eastAsia="Times New Roman" w:cs="Garamond-BookCondensed"/>
          <w:i/>
          <w:sz w:val="22"/>
          <w:szCs w:val="22"/>
        </w:rPr>
        <w:t>Cryptosporidium</w:t>
      </w:r>
      <w:r w:rsidRPr="00B74731">
        <w:rPr>
          <w:rFonts w:eastAsia="Times New Roman" w:cs="Garamond-BookCondensedItalic"/>
          <w:i/>
          <w:iCs/>
          <w:sz w:val="22"/>
          <w:szCs w:val="22"/>
        </w:rPr>
        <w:t xml:space="preserve"> </w:t>
      </w:r>
      <w:r w:rsidRPr="00B74731">
        <w:rPr>
          <w:rFonts w:eastAsia="Times New Roman" w:cs="Garamond-BookCondensed"/>
          <w:sz w:val="22"/>
          <w:szCs w:val="22"/>
        </w:rPr>
        <w:t>could cause illness in regulated, public drinking water is low.</w:t>
      </w:r>
    </w:p>
    <w:p w:rsidR="00B74731" w:rsidRPr="00B74731" w:rsidRDefault="00B74731" w:rsidP="00B74731">
      <w:pPr>
        <w:autoSpaceDE w:val="0"/>
        <w:autoSpaceDN w:val="0"/>
        <w:adjustRightInd w:val="0"/>
        <w:rPr>
          <w:rFonts w:eastAsia="Times New Roman" w:cs="Garamond-BookCondensed"/>
          <w:sz w:val="22"/>
          <w:szCs w:val="22"/>
        </w:rPr>
      </w:pPr>
      <w:r w:rsidRPr="00B74731">
        <w:rPr>
          <w:rFonts w:eastAsia="Times New Roman" w:cs="Garamond-BookCondensed"/>
          <w:sz w:val="22"/>
          <w:szCs w:val="22"/>
        </w:rPr>
        <w:t>Immunocompromised individuals, however, may want to consider the following recommendations:</w:t>
      </w:r>
    </w:p>
    <w:p w:rsidR="00B74731" w:rsidRPr="00B74731" w:rsidRDefault="00B74731" w:rsidP="00B74731">
      <w:pPr>
        <w:autoSpaceDE w:val="0"/>
        <w:autoSpaceDN w:val="0"/>
        <w:adjustRightInd w:val="0"/>
        <w:rPr>
          <w:rFonts w:eastAsia="Times New Roman" w:cs="Garamond-BookCondensed"/>
          <w:sz w:val="22"/>
          <w:szCs w:val="22"/>
        </w:rPr>
      </w:pPr>
    </w:p>
    <w:p w:rsidR="00B74731" w:rsidRPr="00B74731" w:rsidRDefault="00263AC3" w:rsidP="00B74731">
      <w:pPr>
        <w:numPr>
          <w:ilvl w:val="0"/>
          <w:numId w:val="36"/>
        </w:numPr>
        <w:autoSpaceDE w:val="0"/>
        <w:autoSpaceDN w:val="0"/>
        <w:adjustRightInd w:val="0"/>
        <w:rPr>
          <w:rFonts w:eastAsia="Times New Roman" w:cs="Garamond-BookCondensed"/>
          <w:sz w:val="22"/>
          <w:szCs w:val="22"/>
        </w:rPr>
      </w:pPr>
      <w:r>
        <w:rPr>
          <w:rFonts w:eastAsia="Times New Roman" w:cs="Garamond-BookCondensed"/>
          <w:sz w:val="22"/>
          <w:szCs w:val="22"/>
        </w:rPr>
        <w:t>T</w:t>
      </w:r>
      <w:r w:rsidR="003B6886">
        <w:rPr>
          <w:rFonts w:eastAsia="Times New Roman" w:cs="Garamond-BookCondensed"/>
          <w:sz w:val="22"/>
          <w:szCs w:val="22"/>
        </w:rPr>
        <w:t>ake care to a</w:t>
      </w:r>
      <w:r w:rsidR="003B6886" w:rsidRPr="00B74731">
        <w:rPr>
          <w:rFonts w:eastAsia="Times New Roman" w:cs="Garamond-BookCondensed"/>
          <w:sz w:val="22"/>
          <w:szCs w:val="22"/>
        </w:rPr>
        <w:t xml:space="preserve">void </w:t>
      </w:r>
      <w:r w:rsidR="00B74731" w:rsidRPr="00B74731">
        <w:rPr>
          <w:rFonts w:eastAsia="Times New Roman" w:cs="Garamond-BookCondensed"/>
          <w:sz w:val="22"/>
          <w:szCs w:val="22"/>
        </w:rPr>
        <w:t>fecal contact.</w:t>
      </w:r>
    </w:p>
    <w:p w:rsidR="00B74731" w:rsidRPr="00B74731" w:rsidRDefault="00B74731" w:rsidP="00B74731">
      <w:pPr>
        <w:autoSpaceDE w:val="0"/>
        <w:autoSpaceDN w:val="0"/>
        <w:adjustRightInd w:val="0"/>
        <w:rPr>
          <w:rFonts w:eastAsia="Times New Roman" w:cs="Garamond-BookCondensed"/>
          <w:sz w:val="22"/>
          <w:szCs w:val="22"/>
        </w:rPr>
      </w:pPr>
    </w:p>
    <w:p w:rsidR="00B74731" w:rsidRPr="00B74731" w:rsidRDefault="00B74731" w:rsidP="00B74731">
      <w:pPr>
        <w:numPr>
          <w:ilvl w:val="0"/>
          <w:numId w:val="36"/>
        </w:numPr>
        <w:autoSpaceDE w:val="0"/>
        <w:autoSpaceDN w:val="0"/>
        <w:adjustRightInd w:val="0"/>
        <w:rPr>
          <w:rFonts w:eastAsia="Times New Roman" w:cs="Garamond-BookCondensed"/>
          <w:sz w:val="22"/>
          <w:szCs w:val="22"/>
        </w:rPr>
      </w:pPr>
      <w:r w:rsidRPr="00B74731">
        <w:rPr>
          <w:rFonts w:eastAsia="Times New Roman" w:cs="Garamond-BookCondensed"/>
          <w:sz w:val="22"/>
          <w:szCs w:val="22"/>
        </w:rPr>
        <w:t>Boil tap water before drinking or making ice cubes.</w:t>
      </w:r>
    </w:p>
    <w:p w:rsidR="00B74731" w:rsidRPr="00B74731" w:rsidRDefault="00B74731" w:rsidP="00B74731">
      <w:pPr>
        <w:autoSpaceDE w:val="0"/>
        <w:autoSpaceDN w:val="0"/>
        <w:adjustRightInd w:val="0"/>
        <w:rPr>
          <w:rFonts w:eastAsia="Times New Roman" w:cs="Garamond-BookCondensed"/>
          <w:sz w:val="22"/>
          <w:szCs w:val="22"/>
        </w:rPr>
      </w:pPr>
    </w:p>
    <w:p w:rsidR="00B74731" w:rsidRPr="00B74731" w:rsidRDefault="00B74731" w:rsidP="00B74731">
      <w:pPr>
        <w:numPr>
          <w:ilvl w:val="0"/>
          <w:numId w:val="36"/>
        </w:numPr>
        <w:autoSpaceDE w:val="0"/>
        <w:autoSpaceDN w:val="0"/>
        <w:adjustRightInd w:val="0"/>
        <w:rPr>
          <w:rFonts w:eastAsia="Times New Roman" w:cs="Garamond-BookCondensed"/>
          <w:sz w:val="22"/>
          <w:szCs w:val="22"/>
        </w:rPr>
      </w:pPr>
      <w:r w:rsidRPr="00B74731">
        <w:rPr>
          <w:rFonts w:eastAsia="Times New Roman" w:cs="Garamond-BookCondensed"/>
          <w:sz w:val="22"/>
          <w:szCs w:val="22"/>
        </w:rPr>
        <w:t>Consider the use of a home water filtration system with a very fine filter (absolute pore size of one micron or smaller). Such filters include: reverse-osmosis filters, filters labeled as “absolute” one micron filters, and those labeled as meeting National Sanitation Foundation (NSF) standard #53 for cyst removal.</w:t>
      </w:r>
    </w:p>
    <w:p w:rsidR="00B74731" w:rsidRPr="00B74731" w:rsidRDefault="00B74731" w:rsidP="00B74731">
      <w:pPr>
        <w:autoSpaceDE w:val="0"/>
        <w:autoSpaceDN w:val="0"/>
        <w:adjustRightInd w:val="0"/>
        <w:rPr>
          <w:rFonts w:eastAsia="Times New Roman" w:cs="Garamond-BookCondensed"/>
          <w:sz w:val="22"/>
          <w:szCs w:val="22"/>
        </w:rPr>
      </w:pPr>
    </w:p>
    <w:p w:rsidR="00B74731" w:rsidRPr="00B74731" w:rsidRDefault="00B74731" w:rsidP="00B74731">
      <w:pPr>
        <w:numPr>
          <w:ilvl w:val="0"/>
          <w:numId w:val="36"/>
        </w:numPr>
        <w:autoSpaceDE w:val="0"/>
        <w:autoSpaceDN w:val="0"/>
        <w:adjustRightInd w:val="0"/>
        <w:rPr>
          <w:rFonts w:eastAsia="Times New Roman" w:cs="Garamond-BookCondensed"/>
          <w:sz w:val="22"/>
          <w:szCs w:val="22"/>
        </w:rPr>
      </w:pPr>
      <w:r w:rsidRPr="00B74731">
        <w:rPr>
          <w:rFonts w:eastAsia="Times New Roman" w:cs="Garamond-BookCondensed"/>
          <w:sz w:val="22"/>
          <w:szCs w:val="22"/>
        </w:rPr>
        <w:t xml:space="preserve">Avoid swallowing water when swimming. Lakes, streams (and other surface waters), and swimming pools may be contaminated with </w:t>
      </w:r>
      <w:r w:rsidRPr="00B74731">
        <w:rPr>
          <w:rFonts w:eastAsia="Times New Roman" w:cs="Garamond-BookCondensed"/>
          <w:i/>
          <w:sz w:val="22"/>
          <w:szCs w:val="22"/>
        </w:rPr>
        <w:t>Cryptosporidium</w:t>
      </w:r>
      <w:r w:rsidRPr="00B74731">
        <w:rPr>
          <w:rFonts w:eastAsia="Times New Roman" w:cs="Garamond-BookCondensedItalic"/>
          <w:i/>
          <w:iCs/>
          <w:sz w:val="22"/>
          <w:szCs w:val="22"/>
        </w:rPr>
        <w:t xml:space="preserve">, </w:t>
      </w:r>
      <w:r w:rsidRPr="00B74731">
        <w:rPr>
          <w:rFonts w:eastAsia="Times New Roman" w:cs="Garamond-BookCondensed"/>
          <w:sz w:val="22"/>
          <w:szCs w:val="22"/>
        </w:rPr>
        <w:t xml:space="preserve">and chlorination does not eliminate the parasite. </w:t>
      </w:r>
    </w:p>
    <w:p w:rsidR="00B74731" w:rsidRPr="00B74731" w:rsidRDefault="00B74731" w:rsidP="00B74731">
      <w:pPr>
        <w:autoSpaceDE w:val="0"/>
        <w:autoSpaceDN w:val="0"/>
        <w:adjustRightInd w:val="0"/>
        <w:rPr>
          <w:rFonts w:eastAsia="Times New Roman" w:cs="Garamond-BookCondensed"/>
          <w:sz w:val="22"/>
          <w:szCs w:val="22"/>
        </w:rPr>
      </w:pPr>
    </w:p>
    <w:p w:rsidR="00B74731" w:rsidRPr="00B74731" w:rsidRDefault="00B74731" w:rsidP="00B74731">
      <w:pPr>
        <w:autoSpaceDE w:val="0"/>
        <w:autoSpaceDN w:val="0"/>
        <w:adjustRightInd w:val="0"/>
        <w:rPr>
          <w:rFonts w:eastAsia="Times New Roman" w:cs="Garamond-BookCondensed"/>
          <w:sz w:val="22"/>
          <w:szCs w:val="22"/>
        </w:rPr>
      </w:pPr>
      <w:r w:rsidRPr="00B74731">
        <w:rPr>
          <w:rFonts w:eastAsia="Times New Roman" w:cs="Garamond-BookCondensed"/>
          <w:sz w:val="22"/>
          <w:szCs w:val="22"/>
        </w:rPr>
        <w:t xml:space="preserve">Discuss transmission risks that may result from oral-anal sexual contact. Latex barrier protection (e.g., dental dam) may prevent the spread of </w:t>
      </w:r>
      <w:r w:rsidRPr="00B74731">
        <w:rPr>
          <w:rFonts w:eastAsia="Times New Roman" w:cs="Garamond-BookCondensed"/>
          <w:i/>
          <w:sz w:val="22"/>
          <w:szCs w:val="22"/>
        </w:rPr>
        <w:t>Cryptosporidium</w:t>
      </w:r>
      <w:r w:rsidRPr="00B74731">
        <w:rPr>
          <w:rFonts w:eastAsia="Times New Roman" w:cs="Garamond-BookCondensedItalic"/>
          <w:i/>
          <w:iCs/>
          <w:sz w:val="22"/>
          <w:szCs w:val="22"/>
        </w:rPr>
        <w:t xml:space="preserve"> </w:t>
      </w:r>
      <w:r w:rsidRPr="00B74731">
        <w:rPr>
          <w:rFonts w:eastAsia="Times New Roman" w:cs="Garamond-BookCondensed"/>
          <w:sz w:val="22"/>
          <w:szCs w:val="22"/>
        </w:rPr>
        <w:t>to a case’s sexual partners and may prevent exposure to and transmission of other fecal-oral pathogens.</w:t>
      </w:r>
    </w:p>
    <w:p w:rsidR="00B74731" w:rsidRPr="00B74731" w:rsidRDefault="00B74731" w:rsidP="00B74731">
      <w:pPr>
        <w:autoSpaceDE w:val="0"/>
        <w:autoSpaceDN w:val="0"/>
        <w:adjustRightInd w:val="0"/>
        <w:rPr>
          <w:rFonts w:eastAsia="Times New Roman" w:cs="TradeGothic-BoldCondTwenty"/>
          <w:sz w:val="22"/>
          <w:szCs w:val="22"/>
        </w:rPr>
      </w:pPr>
    </w:p>
    <w:p w:rsidR="00622F42" w:rsidRPr="00622F42" w:rsidRDefault="00B74731" w:rsidP="00B74731">
      <w:pPr>
        <w:autoSpaceDE w:val="0"/>
        <w:autoSpaceDN w:val="0"/>
        <w:adjustRightInd w:val="0"/>
        <w:rPr>
          <w:i/>
          <w:iCs/>
          <w:sz w:val="22"/>
          <w:szCs w:val="22"/>
        </w:rPr>
      </w:pPr>
      <w:r w:rsidRPr="00B74731">
        <w:rPr>
          <w:rFonts w:eastAsia="Times New Roman" w:cs="Garamond-BookCondensed"/>
          <w:sz w:val="22"/>
          <w:szCs w:val="22"/>
        </w:rPr>
        <w:t xml:space="preserve">A Cryptosporidiosis Public Health Fact Sheet is available from the MDPH Division of Epidemiology and Immunization or on the MDPH website at </w:t>
      </w:r>
      <w:hyperlink r:id="rId14" w:history="1">
        <w:r w:rsidRPr="00B74731">
          <w:rPr>
            <w:rFonts w:eastAsia="Times New Roman" w:cs="Garamond-BookCondensed"/>
            <w:color w:val="0000FF"/>
            <w:sz w:val="22"/>
            <w:szCs w:val="22"/>
            <w:u w:val="single"/>
          </w:rPr>
          <w:t>http://www.mass.gov/eohhs/gov/departments/dph/programs/id/epidemiology/factsheets.html</w:t>
        </w:r>
      </w:hyperlink>
      <w:r w:rsidRPr="00B74731">
        <w:rPr>
          <w:rFonts w:eastAsia="Times New Roman" w:cs="Garamond-BookCondensed"/>
          <w:sz w:val="22"/>
          <w:szCs w:val="22"/>
        </w:rPr>
        <w:t xml:space="preserve"> . The fact sheet is available in English and Spanish.</w:t>
      </w:r>
    </w:p>
    <w:p w:rsidR="00622F42" w:rsidRPr="00622F42" w:rsidRDefault="00622F42" w:rsidP="00622F42">
      <w:pPr>
        <w:autoSpaceDE w:val="0"/>
        <w:autoSpaceDN w:val="0"/>
        <w:adjustRightInd w:val="0"/>
        <w:rPr>
          <w:rFonts w:ascii="Garamond-BookCondensedItalic" w:hAnsi="Garamond-BookCondensedItalic"/>
          <w:sz w:val="20"/>
          <w:szCs w:val="20"/>
        </w:rPr>
      </w:pPr>
    </w:p>
    <w:p w:rsidR="00622F42" w:rsidRPr="00622F42" w:rsidRDefault="00622F42" w:rsidP="00622F42">
      <w:pPr>
        <w:keepNext/>
        <w:autoSpaceDE w:val="0"/>
        <w:autoSpaceDN w:val="0"/>
        <w:adjustRightInd w:val="0"/>
        <w:outlineLvl w:val="1"/>
        <w:rPr>
          <w:rFonts w:ascii="Arial" w:hAnsi="Arial" w:cs="Arial"/>
          <w:b/>
          <w:bCs/>
          <w:color w:val="4F81BD"/>
          <w:sz w:val="28"/>
          <w:szCs w:val="44"/>
        </w:rPr>
      </w:pPr>
      <w:r w:rsidRPr="00622F42">
        <w:rPr>
          <w:rFonts w:ascii="Arial" w:hAnsi="Arial" w:cs="Arial"/>
          <w:b/>
          <w:bCs/>
          <w:color w:val="4F81BD"/>
          <w:sz w:val="28"/>
          <w:szCs w:val="44"/>
        </w:rPr>
        <w:t>ADDITIONAL INFORMATION</w:t>
      </w:r>
    </w:p>
    <w:p w:rsidR="00622F42" w:rsidRPr="00622F42" w:rsidRDefault="00622F42" w:rsidP="00622F42">
      <w:pPr>
        <w:autoSpaceDE w:val="0"/>
        <w:autoSpaceDN w:val="0"/>
        <w:adjustRightInd w:val="0"/>
        <w:rPr>
          <w:rFonts w:ascii="Garamond-BookCondensed" w:hAnsi="Garamond-BookCondensed"/>
          <w:sz w:val="20"/>
        </w:rPr>
      </w:pPr>
    </w:p>
    <w:p w:rsidR="00B74731" w:rsidRPr="00B74731" w:rsidRDefault="00B74731" w:rsidP="00B74731">
      <w:pPr>
        <w:autoSpaceDE w:val="0"/>
        <w:autoSpaceDN w:val="0"/>
        <w:adjustRightInd w:val="0"/>
        <w:rPr>
          <w:rFonts w:eastAsia="Times New Roman" w:cs="Garamond-BookCondensed"/>
          <w:sz w:val="22"/>
          <w:szCs w:val="22"/>
        </w:rPr>
      </w:pPr>
      <w:r w:rsidRPr="00B74731">
        <w:rPr>
          <w:rFonts w:eastAsia="Times New Roman" w:cs="Garamond-BookCondensed"/>
          <w:sz w:val="22"/>
          <w:szCs w:val="22"/>
        </w:rPr>
        <w:t>The formal Centers for Disease Control and Prevention (CDC) surveillance case definition for cryptosporidiosis is the same as outlined in Section 2A of this chapter. CDC case definitions are used by the MDPH and the CDC to maintain uniform standards for national reporting. When reporting to the MDPH, always use the criteria in Section 2A.</w:t>
      </w:r>
    </w:p>
    <w:p w:rsidR="00B74731" w:rsidRPr="00B74731" w:rsidRDefault="00B74731" w:rsidP="00B74731">
      <w:pPr>
        <w:autoSpaceDE w:val="0"/>
        <w:autoSpaceDN w:val="0"/>
        <w:adjustRightInd w:val="0"/>
        <w:rPr>
          <w:rFonts w:eastAsia="Times New Roman" w:cs="Garamond-BookCondensed"/>
          <w:sz w:val="22"/>
          <w:szCs w:val="22"/>
        </w:rPr>
      </w:pPr>
    </w:p>
    <w:p w:rsidR="00B74731" w:rsidRPr="00B74731" w:rsidRDefault="00B74731" w:rsidP="00B74731">
      <w:pPr>
        <w:autoSpaceDE w:val="0"/>
        <w:autoSpaceDN w:val="0"/>
        <w:adjustRightInd w:val="0"/>
        <w:rPr>
          <w:rFonts w:eastAsia="Times New Roman" w:cs="Garamond-BookCondensedItalic"/>
          <w:i/>
          <w:iCs/>
          <w:sz w:val="22"/>
          <w:szCs w:val="22"/>
        </w:rPr>
      </w:pPr>
      <w:r w:rsidRPr="00B74731">
        <w:rPr>
          <w:rFonts w:eastAsia="Times New Roman" w:cs="Garamond-BookCondensed"/>
          <w:i/>
          <w:sz w:val="22"/>
          <w:szCs w:val="22"/>
        </w:rPr>
        <w:t>Note: The most up-to-date CDC case definitions are available on the CDC website at</w:t>
      </w:r>
      <w:r w:rsidRPr="00B74731">
        <w:rPr>
          <w:rFonts w:eastAsia="Times New Roman" w:cs="Garamond-BookCondensedItalic"/>
          <w:i/>
          <w:iCs/>
          <w:sz w:val="22"/>
          <w:szCs w:val="22"/>
        </w:rPr>
        <w:t xml:space="preserve"> </w:t>
      </w:r>
      <w:hyperlink r:id="rId15" w:history="1">
        <w:r w:rsidRPr="00B74731">
          <w:rPr>
            <w:rFonts w:eastAsia="Times New Roman" w:cs="Garamond-BookCondensedItalic"/>
            <w:i/>
            <w:iCs/>
            <w:color w:val="0000FF"/>
            <w:sz w:val="22"/>
            <w:szCs w:val="22"/>
            <w:u w:val="single"/>
          </w:rPr>
          <w:t>http://wwwn.cdc.gov/nndss/conditions/cryptosporidiosis/case-definition/2012/</w:t>
        </w:r>
      </w:hyperlink>
      <w:r w:rsidRPr="00B74731">
        <w:rPr>
          <w:rFonts w:eastAsia="Times New Roman" w:cs="Garamond-BookCondensedItalic"/>
          <w:i/>
          <w:iCs/>
          <w:sz w:val="22"/>
          <w:szCs w:val="22"/>
        </w:rPr>
        <w:t xml:space="preserve"> </w:t>
      </w:r>
    </w:p>
    <w:p w:rsidR="00B74731" w:rsidRPr="00B74731" w:rsidRDefault="00B74731" w:rsidP="00B74731">
      <w:pPr>
        <w:autoSpaceDE w:val="0"/>
        <w:autoSpaceDN w:val="0"/>
        <w:adjustRightInd w:val="0"/>
        <w:rPr>
          <w:rFonts w:ascii="Garamond-BookCondensedItalic" w:hAnsi="Garamond-BookCondensedItalic" w:cs="Garamond-BookCondensedItalic"/>
          <w:i/>
          <w:iCs/>
          <w:sz w:val="20"/>
          <w:szCs w:val="20"/>
        </w:rPr>
      </w:pPr>
    </w:p>
    <w:p w:rsidR="00B74731" w:rsidRPr="00B74731" w:rsidRDefault="00B74731" w:rsidP="00B74731">
      <w:pPr>
        <w:autoSpaceDE w:val="0"/>
        <w:autoSpaceDN w:val="0"/>
        <w:adjustRightInd w:val="0"/>
        <w:rPr>
          <w:rFonts w:ascii="Arial" w:hAnsi="Arial" w:cs="Arial"/>
          <w:b/>
          <w:bCs/>
          <w:color w:val="548DD4"/>
          <w:sz w:val="28"/>
          <w:szCs w:val="28"/>
        </w:rPr>
      </w:pPr>
      <w:r w:rsidRPr="00B74731">
        <w:rPr>
          <w:rFonts w:ascii="Arial" w:hAnsi="Arial" w:cs="Arial"/>
          <w:b/>
          <w:bCs/>
          <w:color w:val="548DD4"/>
          <w:sz w:val="28"/>
          <w:szCs w:val="28"/>
        </w:rPr>
        <w:t>REFERENCES</w:t>
      </w:r>
    </w:p>
    <w:p w:rsidR="00B74731" w:rsidRPr="00874923" w:rsidRDefault="00B74731" w:rsidP="00B74731">
      <w:pPr>
        <w:autoSpaceDE w:val="0"/>
        <w:autoSpaceDN w:val="0"/>
        <w:adjustRightInd w:val="0"/>
        <w:rPr>
          <w:rFonts w:ascii="Garamond-BookCondensed" w:hAnsi="Garamond-BookCondensed" w:cs="Garamond-BookCondensed"/>
          <w:sz w:val="16"/>
          <w:szCs w:val="16"/>
        </w:rPr>
      </w:pPr>
    </w:p>
    <w:p w:rsidR="00B74731" w:rsidRPr="00B74731" w:rsidRDefault="00B74731" w:rsidP="00B74731">
      <w:pPr>
        <w:autoSpaceDE w:val="0"/>
        <w:autoSpaceDN w:val="0"/>
        <w:adjustRightInd w:val="0"/>
        <w:rPr>
          <w:rFonts w:eastAsia="Times New Roman" w:cs="Garamond-BookCondensed"/>
          <w:sz w:val="22"/>
          <w:szCs w:val="22"/>
        </w:rPr>
      </w:pPr>
      <w:r w:rsidRPr="00B74731">
        <w:rPr>
          <w:rFonts w:eastAsia="Times New Roman" w:cs="Garamond-BookCondensed"/>
          <w:sz w:val="22"/>
          <w:szCs w:val="22"/>
        </w:rPr>
        <w:t xml:space="preserve">American Academy of Pediatrics. [Cryptosporidiosis.] In: Pickering L.K., ed. </w:t>
      </w:r>
      <w:r w:rsidRPr="00B74731">
        <w:rPr>
          <w:rFonts w:eastAsia="Times New Roman" w:cs="Garamond-BookCondensed"/>
          <w:i/>
          <w:sz w:val="22"/>
          <w:szCs w:val="22"/>
        </w:rPr>
        <w:t>Red Book: 2015 Report of the Committee on Infectious Diseases, 30th Edition</w:t>
      </w:r>
      <w:r w:rsidRPr="00B74731">
        <w:rPr>
          <w:rFonts w:eastAsia="Times New Roman" w:cs="Garamond-BookCondensedItalic"/>
          <w:i/>
          <w:iCs/>
          <w:sz w:val="22"/>
          <w:szCs w:val="22"/>
        </w:rPr>
        <w:t xml:space="preserve">. </w:t>
      </w:r>
      <w:r w:rsidRPr="00B74731">
        <w:rPr>
          <w:rFonts w:eastAsia="Times New Roman" w:cs="Garamond-BookCondensed"/>
          <w:sz w:val="22"/>
          <w:szCs w:val="22"/>
        </w:rPr>
        <w:t>Elk Grove Village, IL, American Academy of Pediatrics; 2015: 313-315.</w:t>
      </w:r>
    </w:p>
    <w:p w:rsidR="00B74731" w:rsidRPr="00B74731" w:rsidRDefault="00B74731" w:rsidP="00B74731">
      <w:pPr>
        <w:autoSpaceDE w:val="0"/>
        <w:autoSpaceDN w:val="0"/>
        <w:adjustRightInd w:val="0"/>
        <w:rPr>
          <w:rFonts w:eastAsia="Times New Roman" w:cs="Garamond-BookCondensed"/>
          <w:sz w:val="22"/>
          <w:szCs w:val="22"/>
        </w:rPr>
      </w:pPr>
    </w:p>
    <w:p w:rsidR="00B74731" w:rsidRPr="00B74731" w:rsidRDefault="00B74731" w:rsidP="00B74731">
      <w:pPr>
        <w:autoSpaceDE w:val="0"/>
        <w:autoSpaceDN w:val="0"/>
        <w:adjustRightInd w:val="0"/>
        <w:rPr>
          <w:rFonts w:eastAsia="Times New Roman" w:cs="Garamond-BookCondensed"/>
          <w:sz w:val="22"/>
          <w:szCs w:val="22"/>
        </w:rPr>
      </w:pPr>
      <w:r w:rsidRPr="00B74731">
        <w:rPr>
          <w:rFonts w:eastAsia="Times New Roman" w:cs="Garamond-BookCondensed"/>
          <w:sz w:val="22"/>
          <w:szCs w:val="22"/>
        </w:rPr>
        <w:t>CDC. Case Definitions for National Notifiable Disease Surveillance System, 2012. .</w:t>
      </w:r>
    </w:p>
    <w:p w:rsidR="00B74731" w:rsidRPr="00B74731" w:rsidRDefault="00B74731" w:rsidP="00B74731">
      <w:pPr>
        <w:autoSpaceDE w:val="0"/>
        <w:autoSpaceDN w:val="0"/>
        <w:adjustRightInd w:val="0"/>
        <w:rPr>
          <w:rFonts w:eastAsia="Times New Roman" w:cs="Garamond-BookCondensed"/>
          <w:sz w:val="22"/>
          <w:szCs w:val="22"/>
        </w:rPr>
      </w:pPr>
    </w:p>
    <w:p w:rsidR="00B74731" w:rsidRPr="00B74731" w:rsidRDefault="00B74731" w:rsidP="00B74731">
      <w:pPr>
        <w:autoSpaceDE w:val="0"/>
        <w:autoSpaceDN w:val="0"/>
        <w:adjustRightInd w:val="0"/>
        <w:rPr>
          <w:rFonts w:eastAsia="Times New Roman" w:cs="Garamond-BookCondensed"/>
          <w:sz w:val="22"/>
          <w:szCs w:val="22"/>
        </w:rPr>
      </w:pPr>
      <w:r w:rsidRPr="00B74731">
        <w:rPr>
          <w:rFonts w:eastAsia="Times New Roman" w:cs="Garamond-BookCondensed"/>
          <w:sz w:val="22"/>
          <w:szCs w:val="22"/>
        </w:rPr>
        <w:t>“Cryptosporidiosis.” Centers for Disease Control and Prevention. November, 2010.</w:t>
      </w:r>
    </w:p>
    <w:p w:rsidR="00B74731" w:rsidRPr="00B74731" w:rsidRDefault="00B74731" w:rsidP="00B74731">
      <w:pPr>
        <w:autoSpaceDE w:val="0"/>
        <w:autoSpaceDN w:val="0"/>
        <w:adjustRightInd w:val="0"/>
        <w:rPr>
          <w:rFonts w:eastAsia="Times New Roman" w:cs="Garamond-BookCondensed"/>
          <w:sz w:val="22"/>
          <w:szCs w:val="22"/>
        </w:rPr>
      </w:pPr>
      <w:r w:rsidRPr="00B74731">
        <w:rPr>
          <w:rFonts w:eastAsia="Times New Roman" w:cs="Garamond-BookCondensed"/>
          <w:sz w:val="22"/>
          <w:szCs w:val="22"/>
        </w:rPr>
        <w:t>&lt;www.cdc.gov/ncidod/dpd/parasites/cryptosporidiosis/factsht_cryptosporidiosis.htm&gt;.</w:t>
      </w:r>
    </w:p>
    <w:p w:rsidR="00B74731" w:rsidRPr="00B74731" w:rsidRDefault="00B74731" w:rsidP="00B74731">
      <w:pPr>
        <w:autoSpaceDE w:val="0"/>
        <w:autoSpaceDN w:val="0"/>
        <w:adjustRightInd w:val="0"/>
        <w:rPr>
          <w:rFonts w:eastAsia="Times New Roman" w:cs="Garamond-BookCondensed"/>
          <w:sz w:val="22"/>
          <w:szCs w:val="22"/>
        </w:rPr>
      </w:pPr>
    </w:p>
    <w:p w:rsidR="00B74731" w:rsidRPr="00B74731" w:rsidRDefault="00B74731" w:rsidP="00B74731">
      <w:pPr>
        <w:autoSpaceDE w:val="0"/>
        <w:autoSpaceDN w:val="0"/>
        <w:adjustRightInd w:val="0"/>
        <w:rPr>
          <w:rFonts w:eastAsia="Times New Roman" w:cs="Garamond-BookCondensed"/>
          <w:sz w:val="22"/>
          <w:szCs w:val="22"/>
        </w:rPr>
      </w:pPr>
      <w:r w:rsidRPr="00B74731">
        <w:rPr>
          <w:rFonts w:eastAsia="Times New Roman" w:cs="Garamond-BookCondensed"/>
          <w:sz w:val="22"/>
          <w:szCs w:val="22"/>
        </w:rPr>
        <w:t xml:space="preserve">Heymann, D., ed. Control of </w:t>
      </w:r>
      <w:r w:rsidRPr="00B74731">
        <w:rPr>
          <w:rFonts w:eastAsia="Times New Roman" w:cs="Garamond-BookCondensed"/>
          <w:i/>
          <w:sz w:val="22"/>
          <w:szCs w:val="22"/>
        </w:rPr>
        <w:t>Communicable Diseases Manual, 20th Edition</w:t>
      </w:r>
      <w:r w:rsidRPr="00B74731">
        <w:rPr>
          <w:rFonts w:eastAsia="Times New Roman" w:cs="Garamond-BookCondensed"/>
          <w:sz w:val="22"/>
          <w:szCs w:val="22"/>
        </w:rPr>
        <w:t>. Washington, DC, American Public Health Association, 2015.</w:t>
      </w:r>
    </w:p>
    <w:p w:rsidR="00B74731" w:rsidRPr="00B74731" w:rsidRDefault="00B74731" w:rsidP="00B74731">
      <w:pPr>
        <w:autoSpaceDE w:val="0"/>
        <w:autoSpaceDN w:val="0"/>
        <w:adjustRightInd w:val="0"/>
        <w:rPr>
          <w:rFonts w:eastAsia="Times New Roman" w:cs="Garamond-BookCondensed"/>
          <w:sz w:val="22"/>
          <w:szCs w:val="22"/>
        </w:rPr>
      </w:pPr>
    </w:p>
    <w:p w:rsidR="00B74731" w:rsidRPr="00B74731" w:rsidRDefault="00B74731" w:rsidP="00B74731">
      <w:pPr>
        <w:autoSpaceDE w:val="0"/>
        <w:autoSpaceDN w:val="0"/>
        <w:adjustRightInd w:val="0"/>
        <w:rPr>
          <w:rFonts w:eastAsia="Times New Roman" w:cs="Garamond-BookCondensed"/>
          <w:sz w:val="22"/>
          <w:szCs w:val="22"/>
        </w:rPr>
      </w:pPr>
      <w:r w:rsidRPr="00B74731">
        <w:rPr>
          <w:rFonts w:eastAsia="Times New Roman" w:cs="Garamond-BookCondensed"/>
          <w:sz w:val="22"/>
          <w:szCs w:val="22"/>
        </w:rPr>
        <w:t xml:space="preserve">MDPH. </w:t>
      </w:r>
      <w:r w:rsidRPr="00B74731">
        <w:rPr>
          <w:rFonts w:eastAsia="Times New Roman" w:cs="Garamond-BookCondensed"/>
          <w:i/>
          <w:sz w:val="22"/>
          <w:szCs w:val="22"/>
        </w:rPr>
        <w:t>The Comprehensive School Health Manual</w:t>
      </w:r>
      <w:r w:rsidRPr="00B74731">
        <w:rPr>
          <w:rFonts w:eastAsia="Times New Roman" w:cs="Garamond-BookCondensed"/>
          <w:sz w:val="22"/>
          <w:szCs w:val="22"/>
        </w:rPr>
        <w:t>. MDPH, 2007</w:t>
      </w:r>
    </w:p>
    <w:p w:rsidR="00B74731" w:rsidRPr="00B74731" w:rsidRDefault="00B74731" w:rsidP="00B74731">
      <w:pPr>
        <w:autoSpaceDE w:val="0"/>
        <w:autoSpaceDN w:val="0"/>
        <w:adjustRightInd w:val="0"/>
        <w:rPr>
          <w:rFonts w:eastAsia="Times New Roman" w:cs="Garamond-BookCondensed"/>
          <w:sz w:val="22"/>
          <w:szCs w:val="22"/>
        </w:rPr>
      </w:pPr>
      <w:r w:rsidRPr="00B74731">
        <w:rPr>
          <w:rFonts w:eastAsia="Times New Roman" w:cs="Garamond-BookCondensed"/>
          <w:sz w:val="22"/>
          <w:szCs w:val="22"/>
        </w:rPr>
        <w:t>http://files.hria.org/files/SH3001.pdf.</w:t>
      </w:r>
    </w:p>
    <w:p w:rsidR="00B74731" w:rsidRPr="00B74731" w:rsidRDefault="00B74731" w:rsidP="00B74731">
      <w:pPr>
        <w:autoSpaceDE w:val="0"/>
        <w:autoSpaceDN w:val="0"/>
        <w:adjustRightInd w:val="0"/>
        <w:rPr>
          <w:rFonts w:eastAsia="Times New Roman" w:cs="Garamond-BookCondensed"/>
          <w:sz w:val="22"/>
          <w:szCs w:val="22"/>
        </w:rPr>
      </w:pPr>
    </w:p>
    <w:p w:rsidR="00B74731" w:rsidRPr="00874923" w:rsidRDefault="00B74731" w:rsidP="00B74731">
      <w:pPr>
        <w:autoSpaceDE w:val="0"/>
        <w:autoSpaceDN w:val="0"/>
        <w:adjustRightInd w:val="0"/>
        <w:rPr>
          <w:rFonts w:asciiTheme="majorHAnsi" w:hAnsiTheme="majorHAnsi" w:cs="Garamond-BookCondensed"/>
          <w:sz w:val="22"/>
          <w:szCs w:val="22"/>
        </w:rPr>
      </w:pPr>
      <w:r w:rsidRPr="00874923">
        <w:rPr>
          <w:rFonts w:asciiTheme="majorHAnsi" w:hAnsiTheme="majorHAnsi" w:cs="Garamond-BookCondensed"/>
          <w:sz w:val="22"/>
          <w:szCs w:val="22"/>
        </w:rPr>
        <w:t xml:space="preserve">MDPH. </w:t>
      </w:r>
      <w:r w:rsidRPr="00874923">
        <w:rPr>
          <w:rFonts w:asciiTheme="majorHAnsi" w:hAnsiTheme="majorHAnsi" w:cs="Garamond-BookCondensed"/>
          <w:i/>
          <w:sz w:val="22"/>
          <w:szCs w:val="22"/>
        </w:rPr>
        <w:t>Control Guidelines for Long-Term Care Facilities</w:t>
      </w:r>
      <w:r w:rsidRPr="00874923">
        <w:rPr>
          <w:rFonts w:asciiTheme="majorHAnsi" w:hAnsiTheme="majorHAnsi" w:cs="Garamond-BookCondensedItalic"/>
          <w:i/>
          <w:iCs/>
          <w:sz w:val="22"/>
          <w:szCs w:val="22"/>
        </w:rPr>
        <w:t xml:space="preserve">. </w:t>
      </w:r>
      <w:r w:rsidRPr="00874923">
        <w:rPr>
          <w:rFonts w:asciiTheme="majorHAnsi" w:hAnsiTheme="majorHAnsi" w:cs="Garamond-BookCondensed"/>
          <w:sz w:val="22"/>
          <w:szCs w:val="22"/>
        </w:rPr>
        <w:t>Massachusetts Department of Public Health. 2005.</w:t>
      </w:r>
    </w:p>
    <w:p w:rsidR="00B74731" w:rsidRPr="00874923" w:rsidRDefault="00226650" w:rsidP="00B74731">
      <w:pPr>
        <w:autoSpaceDE w:val="0"/>
        <w:autoSpaceDN w:val="0"/>
        <w:adjustRightInd w:val="0"/>
        <w:rPr>
          <w:rFonts w:asciiTheme="majorHAnsi" w:hAnsiTheme="majorHAnsi" w:cs="Garamond-BookCondensed"/>
          <w:sz w:val="22"/>
          <w:szCs w:val="22"/>
        </w:rPr>
      </w:pPr>
      <w:hyperlink r:id="rId16" w:history="1">
        <w:r w:rsidR="00B74731" w:rsidRPr="00874923">
          <w:rPr>
            <w:rFonts w:asciiTheme="majorHAnsi" w:hAnsiTheme="majorHAnsi" w:cs="Garamond-BookCondensed"/>
            <w:color w:val="0000FF"/>
            <w:sz w:val="22"/>
            <w:szCs w:val="22"/>
            <w:u w:val="single"/>
          </w:rPr>
          <w:t>http://health.mo.gov/seniors/nursinghomes/pdf/Infection_Control_Guidelines.pdf</w:t>
        </w:r>
      </w:hyperlink>
      <w:r w:rsidR="00B74731" w:rsidRPr="00874923">
        <w:rPr>
          <w:rFonts w:asciiTheme="majorHAnsi" w:hAnsiTheme="majorHAnsi" w:cs="Garamond-BookCondensed"/>
          <w:sz w:val="22"/>
          <w:szCs w:val="22"/>
        </w:rPr>
        <w:t xml:space="preserve"> </w:t>
      </w:r>
    </w:p>
    <w:p w:rsidR="00874923" w:rsidRDefault="00874923" w:rsidP="00B74731">
      <w:pPr>
        <w:autoSpaceDE w:val="0"/>
        <w:autoSpaceDN w:val="0"/>
        <w:adjustRightInd w:val="0"/>
        <w:rPr>
          <w:rFonts w:asciiTheme="majorHAnsi" w:hAnsiTheme="majorHAnsi" w:cs="Garamond-BookCondensed"/>
          <w:sz w:val="22"/>
          <w:szCs w:val="22"/>
        </w:rPr>
      </w:pPr>
    </w:p>
    <w:p w:rsidR="00B74731" w:rsidRPr="00874923" w:rsidRDefault="00B74731" w:rsidP="00B74731">
      <w:pPr>
        <w:autoSpaceDE w:val="0"/>
        <w:autoSpaceDN w:val="0"/>
        <w:adjustRightInd w:val="0"/>
        <w:rPr>
          <w:rFonts w:asciiTheme="majorHAnsi" w:hAnsiTheme="majorHAnsi" w:cs="Garamond-BookCondensed"/>
          <w:sz w:val="22"/>
          <w:szCs w:val="22"/>
        </w:rPr>
      </w:pPr>
      <w:r w:rsidRPr="00874923">
        <w:rPr>
          <w:rFonts w:asciiTheme="majorHAnsi" w:hAnsiTheme="majorHAnsi" w:cs="Garamond-BookCondensed"/>
          <w:sz w:val="22"/>
          <w:szCs w:val="22"/>
        </w:rPr>
        <w:t xml:space="preserve">MDPH. </w:t>
      </w:r>
      <w:r w:rsidRPr="00874923">
        <w:rPr>
          <w:rFonts w:asciiTheme="majorHAnsi" w:hAnsiTheme="majorHAnsi" w:cs="Garamond-BookCondensed"/>
          <w:i/>
          <w:sz w:val="22"/>
          <w:szCs w:val="22"/>
        </w:rPr>
        <w:t>Foodborne Illness Investigation and Control Reference Manual</w:t>
      </w:r>
      <w:r w:rsidRPr="00874923">
        <w:rPr>
          <w:rFonts w:asciiTheme="majorHAnsi" w:hAnsiTheme="majorHAnsi" w:cs="Garamond-BookCondensedItalic"/>
          <w:i/>
          <w:iCs/>
          <w:sz w:val="22"/>
          <w:szCs w:val="22"/>
        </w:rPr>
        <w:t xml:space="preserve">. </w:t>
      </w:r>
      <w:r w:rsidRPr="00874923">
        <w:rPr>
          <w:rFonts w:asciiTheme="majorHAnsi" w:hAnsiTheme="majorHAnsi" w:cs="Garamond-BookCondensed"/>
          <w:sz w:val="22"/>
          <w:szCs w:val="22"/>
        </w:rPr>
        <w:t>Massachusetts Department of Public Health. 1997.</w:t>
      </w:r>
    </w:p>
    <w:p w:rsidR="00B74731" w:rsidRPr="00874923" w:rsidRDefault="00B74731" w:rsidP="00B74731">
      <w:pPr>
        <w:autoSpaceDE w:val="0"/>
        <w:autoSpaceDN w:val="0"/>
        <w:adjustRightInd w:val="0"/>
        <w:rPr>
          <w:rFonts w:asciiTheme="majorHAnsi" w:hAnsiTheme="majorHAnsi" w:cs="Garamond-BookCondensedItalic"/>
          <w:i/>
          <w:iCs/>
          <w:sz w:val="22"/>
          <w:szCs w:val="22"/>
        </w:rPr>
      </w:pPr>
      <w:r w:rsidRPr="00874923">
        <w:rPr>
          <w:rFonts w:asciiTheme="majorHAnsi" w:hAnsiTheme="majorHAnsi" w:cs="Garamond-BookCondensed"/>
          <w:sz w:val="22"/>
          <w:szCs w:val="22"/>
        </w:rPr>
        <w:t>http://www.mass.gov/eohhs/docs/dph/environmental/foodsafety/ref-manual/intro-pages.pdf</w:t>
      </w:r>
      <w:r w:rsidRPr="00874923" w:rsidDel="00AC017E">
        <w:rPr>
          <w:rFonts w:asciiTheme="majorHAnsi" w:hAnsiTheme="majorHAnsi" w:cs="Garamond-BookCondensed"/>
          <w:sz w:val="22"/>
          <w:szCs w:val="22"/>
        </w:rPr>
        <w:t xml:space="preserve"> </w:t>
      </w:r>
      <w:r w:rsidRPr="00874923">
        <w:rPr>
          <w:rFonts w:asciiTheme="majorHAnsi" w:hAnsiTheme="majorHAnsi" w:cs="Garamond-BookCondensed"/>
          <w:sz w:val="22"/>
          <w:szCs w:val="22"/>
        </w:rPr>
        <w:t xml:space="preserve"> </w:t>
      </w:r>
    </w:p>
    <w:p w:rsidR="00C107E0" w:rsidRDefault="00C107E0" w:rsidP="00B74731">
      <w:pPr>
        <w:autoSpaceDE w:val="0"/>
        <w:autoSpaceDN w:val="0"/>
        <w:adjustRightInd w:val="0"/>
        <w:rPr>
          <w:rFonts w:asciiTheme="majorHAnsi" w:hAnsiTheme="majorHAnsi" w:cs="Garamond-BookCondensed"/>
          <w:sz w:val="22"/>
          <w:szCs w:val="22"/>
        </w:rPr>
      </w:pPr>
    </w:p>
    <w:p w:rsidR="00B74731" w:rsidRPr="00874923" w:rsidRDefault="00B74731" w:rsidP="00B74731">
      <w:pPr>
        <w:autoSpaceDE w:val="0"/>
        <w:autoSpaceDN w:val="0"/>
        <w:adjustRightInd w:val="0"/>
        <w:rPr>
          <w:rFonts w:asciiTheme="majorHAnsi" w:hAnsiTheme="majorHAnsi" w:cs="Garamond-BookCondensed"/>
          <w:sz w:val="22"/>
          <w:szCs w:val="22"/>
        </w:rPr>
      </w:pPr>
      <w:r w:rsidRPr="00874923">
        <w:rPr>
          <w:rFonts w:asciiTheme="majorHAnsi" w:hAnsiTheme="majorHAnsi" w:cs="Garamond-BookCondensed"/>
          <w:sz w:val="22"/>
          <w:szCs w:val="22"/>
        </w:rPr>
        <w:t xml:space="preserve">MDPH. </w:t>
      </w:r>
      <w:r w:rsidRPr="00874923">
        <w:rPr>
          <w:rFonts w:asciiTheme="majorHAnsi" w:hAnsiTheme="majorHAnsi" w:cs="Garamond-BookCondensed"/>
          <w:i/>
          <w:sz w:val="22"/>
          <w:szCs w:val="22"/>
        </w:rPr>
        <w:t>Regulation 105 CMR 300.000: Reportable Diseases, Surveillance, and Isolation and Quarantine Requirements</w:t>
      </w:r>
      <w:r w:rsidRPr="00874923">
        <w:rPr>
          <w:rFonts w:asciiTheme="majorHAnsi" w:hAnsiTheme="majorHAnsi" w:cs="Garamond-BookCondensedItalic"/>
          <w:i/>
          <w:iCs/>
          <w:sz w:val="22"/>
          <w:szCs w:val="22"/>
        </w:rPr>
        <w:t xml:space="preserve">. </w:t>
      </w:r>
      <w:r w:rsidRPr="00874923">
        <w:rPr>
          <w:rFonts w:asciiTheme="majorHAnsi" w:hAnsiTheme="majorHAnsi" w:cs="Garamond-BookCondensed"/>
          <w:sz w:val="22"/>
          <w:szCs w:val="22"/>
        </w:rPr>
        <w:t>MDPH, Promulgated December 6, 2013.</w:t>
      </w:r>
    </w:p>
    <w:p w:rsidR="00B74731" w:rsidRPr="00B74731" w:rsidRDefault="00B74731" w:rsidP="00B74731">
      <w:pPr>
        <w:autoSpaceDE w:val="0"/>
        <w:autoSpaceDN w:val="0"/>
        <w:adjustRightInd w:val="0"/>
        <w:rPr>
          <w:rFonts w:eastAsia="Times New Roman" w:cs="Garamond-BookCondensed"/>
          <w:sz w:val="22"/>
          <w:szCs w:val="22"/>
        </w:rPr>
      </w:pPr>
    </w:p>
    <w:p w:rsidR="00622F42" w:rsidRPr="00440E56" w:rsidRDefault="00622F42" w:rsidP="00622F42">
      <w:pPr>
        <w:autoSpaceDE w:val="0"/>
        <w:autoSpaceDN w:val="0"/>
        <w:adjustRightInd w:val="0"/>
        <w:rPr>
          <w:sz w:val="22"/>
          <w:szCs w:val="22"/>
        </w:rPr>
      </w:pPr>
      <w:r w:rsidRPr="00440E56">
        <w:rPr>
          <w:sz w:val="22"/>
          <w:szCs w:val="22"/>
        </w:rPr>
        <w:t xml:space="preserve">   </w:t>
      </w:r>
    </w:p>
    <w:sectPr w:rsidR="00622F42" w:rsidRPr="00440E56" w:rsidSect="00A87F7C">
      <w:headerReference w:type="default" r:id="rId17"/>
      <w:footerReference w:type="default" r:id="rId18"/>
      <w:pgSz w:w="12240" w:h="15840"/>
      <w:pgMar w:top="1800" w:right="1080" w:bottom="1440" w:left="1080" w:header="1440"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83E" w:rsidRDefault="0028483E" w:rsidP="00505F11">
      <w:r>
        <w:separator/>
      </w:r>
    </w:p>
  </w:endnote>
  <w:endnote w:type="continuationSeparator" w:id="0">
    <w:p w:rsidR="0028483E" w:rsidRDefault="0028483E" w:rsidP="005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altName w:val="Calisto MT"/>
    <w:panose1 w:val="02040503050406030204"/>
    <w:charset w:val="00"/>
    <w:family w:val="roman"/>
    <w:pitch w:val="variable"/>
    <w:sig w:usb0="E00002FF" w:usb1="400004FF" w:usb2="00000000" w:usb3="00000000" w:csb0="0000019F" w:csb1="00000000"/>
  </w:font>
  <w:font w:name="MS Mincho">
    <w:altName w:val="Arial Unicode MS"/>
    <w:panose1 w:val="02020609040205080304"/>
    <w:charset w:val="80"/>
    <w:family w:val="modern"/>
    <w:pitch w:val="fixed"/>
    <w:sig w:usb0="E00002FF" w:usb1="6AC7FDFB" w:usb2="00000012" w:usb3="00000000" w:csb0="0002009F" w:csb1="00000000"/>
  </w:font>
  <w:font w:name="Calibri">
    <w:altName w:val="Arial Rounded MT Bold"/>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altName w:val=" HELVETICA"/>
    <w:panose1 w:val="020B0604020202020204"/>
    <w:charset w:val="00"/>
    <w:family w:val="swiss"/>
    <w:pitch w:val="variable"/>
    <w:sig w:usb0="E0002AFF" w:usb1="C0007843" w:usb2="00000009" w:usb3="00000000" w:csb0="000001FF" w:csb1="00000000"/>
  </w:font>
  <w:font w:name="TradeGothic-BoldCondTwenty">
    <w:panose1 w:val="00000000000000000000"/>
    <w:charset w:val="00"/>
    <w:family w:val="auto"/>
    <w:notTrueType/>
    <w:pitch w:val="default"/>
    <w:sig w:usb0="00000003" w:usb1="00000000" w:usb2="00000000" w:usb3="00000000" w:csb0="00000001" w:csb1="00000000"/>
  </w:font>
  <w:font w:name="Garamond-BookCondensed">
    <w:panose1 w:val="00000000000000000000"/>
    <w:charset w:val="00"/>
    <w:family w:val="auto"/>
    <w:notTrueType/>
    <w:pitch w:val="default"/>
    <w:sig w:usb0="00000003" w:usb1="00000000" w:usb2="00000000" w:usb3="00000000" w:csb0="00000001" w:csb1="00000000"/>
  </w:font>
  <w:font w:name="ZapfDingbats">
    <w:altName w:val="Thorndale Duospace WT SC"/>
    <w:panose1 w:val="00000000000000000000"/>
    <w:charset w:val="00"/>
    <w:family w:val="auto"/>
    <w:notTrueType/>
    <w:pitch w:val="default"/>
    <w:sig w:usb0="00000003" w:usb1="00000000" w:usb2="00000000" w:usb3="00000000" w:csb0="00000001" w:csb1="00000000"/>
  </w:font>
  <w:font w:name="Garamond-BookCondensedItalic">
    <w:panose1 w:val="00000000000000000000"/>
    <w:charset w:val="00"/>
    <w:family w:val="auto"/>
    <w:notTrueType/>
    <w:pitch w:val="default"/>
    <w:sig w:usb0="00000003" w:usb1="00000000" w:usb2="00000000" w:usb3="00000000" w:csb0="00000001" w:csb1="00000000"/>
  </w:font>
  <w:font w:name="TradeGothic-CondEighteenObl">
    <w:panose1 w:val="00000000000000000000"/>
    <w:charset w:val="00"/>
    <w:family w:val="auto"/>
    <w:notTrueType/>
    <w:pitch w:val="default"/>
    <w:sig w:usb0="00000003" w:usb1="00000000" w:usb2="00000000" w:usb3="00000000" w:csb0="00000001" w:csb1="00000000"/>
  </w:font>
  <w:font w:name="TradeGothic-CondEightee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182" w:rsidRDefault="00F93182" w:rsidP="00F93182">
    <w:pPr>
      <w:pStyle w:val="Footer"/>
      <w:ind w:left="720" w:hanging="1170"/>
      <w:jc w:val="center"/>
      <w:rPr>
        <w:rFonts w:ascii="Calibri" w:hAnsi="Calibri"/>
        <w:color w:val="152358"/>
        <w:sz w:val="20"/>
        <w:szCs w:val="20"/>
      </w:rPr>
    </w:pPr>
  </w:p>
  <w:p w:rsidR="0024051D" w:rsidRDefault="0024051D" w:rsidP="00F93182">
    <w:pPr>
      <w:pStyle w:val="Footer"/>
      <w:pBdr>
        <w:top w:val="single" w:sz="4" w:space="1" w:color="BFBFBF" w:themeColor="background1" w:themeShade="BF"/>
      </w:pBdr>
      <w:ind w:left="720" w:hanging="1170"/>
      <w:jc w:val="center"/>
      <w:rPr>
        <w:rFonts w:ascii="Calibri" w:hAnsi="Calibri"/>
        <w:color w:val="152358"/>
        <w:sz w:val="20"/>
        <w:szCs w:val="20"/>
      </w:rPr>
    </w:pPr>
    <w:r>
      <w:rPr>
        <w:rFonts w:ascii="Calibri" w:hAnsi="Calibri"/>
        <w:color w:val="152358"/>
        <w:sz w:val="20"/>
        <w:szCs w:val="20"/>
      </w:rPr>
      <w:t xml:space="preserve">Massachusetts Department of Public Health </w:t>
    </w:r>
    <w:r w:rsidRPr="00051487">
      <w:rPr>
        <w:rFonts w:ascii="Calibri" w:hAnsi="Calibri"/>
        <w:color w:val="152358"/>
        <w:sz w:val="20"/>
        <w:szCs w:val="20"/>
      </w:rPr>
      <w:t>|</w:t>
    </w:r>
    <w:r>
      <w:rPr>
        <w:rFonts w:ascii="Calibri" w:hAnsi="Calibri"/>
        <w:color w:val="152358"/>
        <w:sz w:val="20"/>
        <w:szCs w:val="20"/>
      </w:rPr>
      <w:t xml:space="preserve"> Bureau of Infectious Disease</w:t>
    </w:r>
    <w:r w:rsidR="00812DE5">
      <w:rPr>
        <w:rFonts w:ascii="Calibri" w:hAnsi="Calibri"/>
        <w:color w:val="152358"/>
        <w:sz w:val="20"/>
        <w:szCs w:val="20"/>
      </w:rPr>
      <w:t xml:space="preserve"> and Laboratory Sciences</w:t>
    </w:r>
    <w:r>
      <w:rPr>
        <w:rFonts w:ascii="Calibri" w:hAnsi="Calibri"/>
        <w:color w:val="152358"/>
        <w:sz w:val="20"/>
        <w:szCs w:val="20"/>
      </w:rPr>
      <w:t xml:space="preserve"> </w:t>
    </w:r>
    <w:r w:rsidRPr="00051487">
      <w:rPr>
        <w:rFonts w:ascii="Calibri" w:hAnsi="Calibri"/>
        <w:color w:val="152358"/>
        <w:sz w:val="20"/>
        <w:szCs w:val="20"/>
      </w:rPr>
      <w:t>|</w:t>
    </w:r>
    <w:r>
      <w:rPr>
        <w:rFonts w:ascii="Calibri" w:hAnsi="Calibri"/>
        <w:color w:val="152358"/>
        <w:sz w:val="20"/>
        <w:szCs w:val="20"/>
      </w:rPr>
      <w:t xml:space="preserve"> 305 South Street, Jamaica Plain, MA 02130</w:t>
    </w:r>
  </w:p>
  <w:p w:rsidR="0024051D" w:rsidRPr="00051487" w:rsidRDefault="0024051D" w:rsidP="0024051D">
    <w:pPr>
      <w:pStyle w:val="Footer"/>
      <w:ind w:left="720" w:hanging="1170"/>
      <w:jc w:val="center"/>
      <w:rPr>
        <w:rFonts w:ascii="Calibri" w:hAnsi="Calibri"/>
        <w:color w:val="152358"/>
        <w:sz w:val="20"/>
        <w:szCs w:val="20"/>
      </w:rPr>
    </w:pPr>
  </w:p>
  <w:p w:rsidR="0024051D" w:rsidRDefault="0024051D" w:rsidP="009755FD">
    <w:pPr>
      <w:pStyle w:val="Footer"/>
      <w:ind w:left="720" w:hanging="1170"/>
      <w:jc w:val="center"/>
      <w:rPr>
        <w:rFonts w:ascii="Calibri" w:hAnsi="Calibri"/>
        <w:color w:val="152358"/>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83E" w:rsidRDefault="0028483E" w:rsidP="00505F11">
      <w:r>
        <w:separator/>
      </w:r>
    </w:p>
  </w:footnote>
  <w:footnote w:type="continuationSeparator" w:id="0">
    <w:p w:rsidR="0028483E" w:rsidRDefault="0028483E" w:rsidP="00505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F4" w:rsidRPr="00051487" w:rsidRDefault="007E1629" w:rsidP="00E16847">
    <w:pPr>
      <w:pStyle w:val="Header"/>
      <w:jc w:val="right"/>
      <w:rPr>
        <w:rFonts w:ascii="Calibri" w:hAnsi="Calibri"/>
        <w:color w:val="152355"/>
        <w:sz w:val="20"/>
        <w:szCs w:val="20"/>
      </w:rPr>
    </w:pPr>
    <w:r>
      <w:rPr>
        <w:rFonts w:ascii="Calibri" w:hAnsi="Calibri"/>
        <w:color w:val="152355"/>
        <w:sz w:val="20"/>
        <w:szCs w:val="20"/>
      </w:rPr>
      <w:t>Ju</w:t>
    </w:r>
    <w:r w:rsidR="005626E2">
      <w:rPr>
        <w:rFonts w:ascii="Calibri" w:hAnsi="Calibri"/>
        <w:color w:val="152355"/>
        <w:sz w:val="20"/>
        <w:szCs w:val="20"/>
      </w:rPr>
      <w:t>ly</w:t>
    </w:r>
    <w:r w:rsidR="0078191C" w:rsidRPr="00051487">
      <w:rPr>
        <w:rFonts w:ascii="Calibri" w:hAnsi="Calibri"/>
        <w:color w:val="152355"/>
        <w:sz w:val="20"/>
        <w:szCs w:val="20"/>
      </w:rPr>
      <w:t xml:space="preserve"> 201</w:t>
    </w:r>
    <w:r w:rsidR="00812DE5">
      <w:rPr>
        <w:rFonts w:ascii="Calibri" w:hAnsi="Calibri"/>
        <w:color w:val="152355"/>
        <w:sz w:val="20"/>
        <w:szCs w:val="20"/>
      </w:rPr>
      <w:t>6</w:t>
    </w:r>
    <w:r w:rsidR="00884FF4" w:rsidRPr="00051487">
      <w:rPr>
        <w:rFonts w:ascii="Calibri" w:hAnsi="Calibri"/>
        <w:color w:val="152355"/>
        <w:sz w:val="20"/>
        <w:szCs w:val="20"/>
      </w:rPr>
      <w:t xml:space="preserve"> | Page </w:t>
    </w:r>
    <w:r w:rsidR="00283661">
      <w:rPr>
        <w:rFonts w:ascii="Calibri" w:hAnsi="Calibri"/>
        <w:color w:val="152355"/>
        <w:sz w:val="20"/>
        <w:szCs w:val="20"/>
      </w:rPr>
      <w:fldChar w:fldCharType="begin"/>
    </w:r>
    <w:r w:rsidR="00283661">
      <w:rPr>
        <w:rFonts w:ascii="Calibri" w:hAnsi="Calibri"/>
        <w:color w:val="152355"/>
        <w:sz w:val="20"/>
        <w:szCs w:val="20"/>
      </w:rPr>
      <w:instrText xml:space="preserve"> PAGE   \* MERGEFORMAT </w:instrText>
    </w:r>
    <w:r w:rsidR="00283661">
      <w:rPr>
        <w:rFonts w:ascii="Calibri" w:hAnsi="Calibri"/>
        <w:color w:val="152355"/>
        <w:sz w:val="20"/>
        <w:szCs w:val="20"/>
      </w:rPr>
      <w:fldChar w:fldCharType="separate"/>
    </w:r>
    <w:r w:rsidR="00226650">
      <w:rPr>
        <w:rFonts w:ascii="Calibri" w:hAnsi="Calibri"/>
        <w:noProof/>
        <w:color w:val="152355"/>
        <w:sz w:val="20"/>
        <w:szCs w:val="20"/>
      </w:rPr>
      <w:t>2</w:t>
    </w:r>
    <w:r w:rsidR="00283661">
      <w:rPr>
        <w:rFonts w:ascii="Calibri" w:hAnsi="Calibri"/>
        <w:color w:val="152355"/>
        <w:sz w:val="20"/>
        <w:szCs w:val="20"/>
      </w:rPr>
      <w:fldChar w:fldCharType="end"/>
    </w:r>
    <w:r w:rsidR="00884FF4" w:rsidRPr="00051487">
      <w:rPr>
        <w:rFonts w:ascii="Calibri" w:hAnsi="Calibri"/>
        <w:color w:val="152355"/>
        <w:sz w:val="20"/>
        <w:szCs w:val="20"/>
      </w:rPr>
      <w:t xml:space="preserve"> of </w:t>
    </w:r>
    <w:r w:rsidR="00634FE0">
      <w:rPr>
        <w:rFonts w:ascii="Calibri" w:hAnsi="Calibri"/>
        <w:color w:val="152355"/>
        <w:sz w:val="20"/>
        <w:szCs w:val="20"/>
      </w:rPr>
      <w:fldChar w:fldCharType="begin"/>
    </w:r>
    <w:r w:rsidR="00634FE0">
      <w:rPr>
        <w:rFonts w:ascii="Calibri" w:hAnsi="Calibri"/>
        <w:color w:val="152355"/>
        <w:sz w:val="20"/>
        <w:szCs w:val="20"/>
      </w:rPr>
      <w:instrText xml:space="preserve"> NUMPAGES   \* MERGEFORMAT </w:instrText>
    </w:r>
    <w:r w:rsidR="00634FE0">
      <w:rPr>
        <w:rFonts w:ascii="Calibri" w:hAnsi="Calibri"/>
        <w:color w:val="152355"/>
        <w:sz w:val="20"/>
        <w:szCs w:val="20"/>
      </w:rPr>
      <w:fldChar w:fldCharType="separate"/>
    </w:r>
    <w:r w:rsidR="00226650">
      <w:rPr>
        <w:rFonts w:ascii="Calibri" w:hAnsi="Calibri"/>
        <w:noProof/>
        <w:color w:val="152355"/>
        <w:sz w:val="20"/>
        <w:szCs w:val="20"/>
      </w:rPr>
      <w:t>9</w:t>
    </w:r>
    <w:r w:rsidR="00634FE0">
      <w:rPr>
        <w:rFonts w:ascii="Calibri" w:hAnsi="Calibri"/>
        <w:color w:val="152355"/>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901DA"/>
    <w:multiLevelType w:val="hybridMultilevel"/>
    <w:tmpl w:val="A3BA97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A7E343C"/>
    <w:multiLevelType w:val="hybridMultilevel"/>
    <w:tmpl w:val="D8C239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E160267"/>
    <w:multiLevelType w:val="hybridMultilevel"/>
    <w:tmpl w:val="AEAEC8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E28540F"/>
    <w:multiLevelType w:val="hybridMultilevel"/>
    <w:tmpl w:val="3880EB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0443395"/>
    <w:multiLevelType w:val="hybridMultilevel"/>
    <w:tmpl w:val="E006C7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1522BFB"/>
    <w:multiLevelType w:val="hybridMultilevel"/>
    <w:tmpl w:val="71E496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11621D3E"/>
    <w:multiLevelType w:val="hybridMultilevel"/>
    <w:tmpl w:val="08DC29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190C1839"/>
    <w:multiLevelType w:val="hybridMultilevel"/>
    <w:tmpl w:val="4EBCEC48"/>
    <w:lvl w:ilvl="0" w:tplc="04090015">
      <w:start w:val="1"/>
      <w:numFmt w:val="upperLetter"/>
      <w:lvlText w:val="%1."/>
      <w:lvlJc w:val="left"/>
      <w:pPr>
        <w:tabs>
          <w:tab w:val="num" w:pos="450"/>
        </w:tabs>
        <w:ind w:left="450" w:hanging="360"/>
      </w:pPr>
      <w:rPr>
        <w:rFonts w:cs="Times New Roman" w:hint="default"/>
      </w:rPr>
    </w:lvl>
    <w:lvl w:ilvl="1" w:tplc="04090001">
      <w:start w:val="1"/>
      <w:numFmt w:val="bullet"/>
      <w:lvlText w:val=""/>
      <w:lvlJc w:val="left"/>
      <w:pPr>
        <w:tabs>
          <w:tab w:val="num" w:pos="1170"/>
        </w:tabs>
        <w:ind w:left="1170" w:hanging="360"/>
      </w:pPr>
      <w:rPr>
        <w:rFonts w:ascii="Symbol" w:hAnsi="Symbol" w:hint="default"/>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8">
    <w:nsid w:val="1D7A79AB"/>
    <w:multiLevelType w:val="hybridMultilevel"/>
    <w:tmpl w:val="E6BE8D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1E7E017E"/>
    <w:multiLevelType w:val="hybridMultilevel"/>
    <w:tmpl w:val="4AD092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21987458"/>
    <w:multiLevelType w:val="hybridMultilevel"/>
    <w:tmpl w:val="5478D8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2C707AEC"/>
    <w:multiLevelType w:val="hybridMultilevel"/>
    <w:tmpl w:val="9208E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3">
    <w:nsid w:val="3B5F5DBE"/>
    <w:multiLevelType w:val="hybridMultilevel"/>
    <w:tmpl w:val="0AA6BD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40D6177A"/>
    <w:multiLevelType w:val="hybridMultilevel"/>
    <w:tmpl w:val="A1047E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6">
    <w:nsid w:val="450B6DF1"/>
    <w:multiLevelType w:val="hybridMultilevel"/>
    <w:tmpl w:val="073614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DB975CF"/>
    <w:multiLevelType w:val="hybridMultilevel"/>
    <w:tmpl w:val="CEFE74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5188203D"/>
    <w:multiLevelType w:val="hybridMultilevel"/>
    <w:tmpl w:val="53C06A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5279208D"/>
    <w:multiLevelType w:val="hybridMultilevel"/>
    <w:tmpl w:val="108E555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0">
    <w:nsid w:val="557A7B0F"/>
    <w:multiLevelType w:val="hybridMultilevel"/>
    <w:tmpl w:val="A232E1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2">
    <w:nsid w:val="59BA007F"/>
    <w:multiLevelType w:val="hybridMultilevel"/>
    <w:tmpl w:val="BE6262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5CD77DA0"/>
    <w:multiLevelType w:val="hybridMultilevel"/>
    <w:tmpl w:val="5EE289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5E0E7A4C"/>
    <w:multiLevelType w:val="hybridMultilevel"/>
    <w:tmpl w:val="E4A678AC"/>
    <w:lvl w:ilvl="0" w:tplc="3BD278D4">
      <w:start w:val="1"/>
      <w:numFmt w:val="decimal"/>
      <w:lvlText w:val="%1."/>
      <w:lvlJc w:val="left"/>
      <w:pPr>
        <w:ind w:left="420" w:hanging="360"/>
      </w:pPr>
      <w:rPr>
        <w:rFonts w:cs="Times New Roman" w:hint="default"/>
      </w:rPr>
    </w:lvl>
    <w:lvl w:ilvl="1" w:tplc="04090019">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25">
    <w:nsid w:val="61D02612"/>
    <w:multiLevelType w:val="hybridMultilevel"/>
    <w:tmpl w:val="555AF7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62192F4D"/>
    <w:multiLevelType w:val="hybridMultilevel"/>
    <w:tmpl w:val="2ADA7B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63E74E38"/>
    <w:multiLevelType w:val="hybridMultilevel"/>
    <w:tmpl w:val="2DFA1A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9">
    <w:nsid w:val="69610C57"/>
    <w:multiLevelType w:val="multilevel"/>
    <w:tmpl w:val="4752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A9177DB"/>
    <w:multiLevelType w:val="hybridMultilevel"/>
    <w:tmpl w:val="A086B5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6C4E27E5"/>
    <w:multiLevelType w:val="multilevel"/>
    <w:tmpl w:val="6EA0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83754B"/>
    <w:multiLevelType w:val="hybridMultilevel"/>
    <w:tmpl w:val="98EC02DE"/>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33">
    <w:nsid w:val="7253399E"/>
    <w:multiLevelType w:val="multilevel"/>
    <w:tmpl w:val="64B6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9F4BD8"/>
    <w:multiLevelType w:val="hybridMultilevel"/>
    <w:tmpl w:val="57527B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nsid w:val="7E512A90"/>
    <w:multiLevelType w:val="hybridMultilevel"/>
    <w:tmpl w:val="A2D418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7FA77370"/>
    <w:multiLevelType w:val="hybridMultilevel"/>
    <w:tmpl w:val="BE7E6B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15"/>
  </w:num>
  <w:num w:numId="4">
    <w:abstractNumId w:val="28"/>
  </w:num>
  <w:num w:numId="5">
    <w:abstractNumId w:val="36"/>
  </w:num>
  <w:num w:numId="6">
    <w:abstractNumId w:val="11"/>
  </w:num>
  <w:num w:numId="7">
    <w:abstractNumId w:val="9"/>
  </w:num>
  <w:num w:numId="8">
    <w:abstractNumId w:val="32"/>
  </w:num>
  <w:num w:numId="9">
    <w:abstractNumId w:val="24"/>
  </w:num>
  <w:num w:numId="10">
    <w:abstractNumId w:val="34"/>
  </w:num>
  <w:num w:numId="11">
    <w:abstractNumId w:val="2"/>
  </w:num>
  <w:num w:numId="12">
    <w:abstractNumId w:val="6"/>
  </w:num>
  <w:num w:numId="13">
    <w:abstractNumId w:val="25"/>
  </w:num>
  <w:num w:numId="14">
    <w:abstractNumId w:val="8"/>
  </w:num>
  <w:num w:numId="15">
    <w:abstractNumId w:val="20"/>
  </w:num>
  <w:num w:numId="16">
    <w:abstractNumId w:val="0"/>
  </w:num>
  <w:num w:numId="17">
    <w:abstractNumId w:val="4"/>
  </w:num>
  <w:num w:numId="18">
    <w:abstractNumId w:val="7"/>
  </w:num>
  <w:num w:numId="19">
    <w:abstractNumId w:val="29"/>
  </w:num>
  <w:num w:numId="20">
    <w:abstractNumId w:val="18"/>
  </w:num>
  <w:num w:numId="21">
    <w:abstractNumId w:val="26"/>
  </w:num>
  <w:num w:numId="22">
    <w:abstractNumId w:val="5"/>
  </w:num>
  <w:num w:numId="23">
    <w:abstractNumId w:val="13"/>
  </w:num>
  <w:num w:numId="24">
    <w:abstractNumId w:val="3"/>
  </w:num>
  <w:num w:numId="25">
    <w:abstractNumId w:val="30"/>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7"/>
  </w:num>
  <w:num w:numId="29">
    <w:abstractNumId w:val="23"/>
  </w:num>
  <w:num w:numId="30">
    <w:abstractNumId w:val="10"/>
  </w:num>
  <w:num w:numId="31">
    <w:abstractNumId w:val="33"/>
  </w:num>
  <w:num w:numId="32">
    <w:abstractNumId w:val="1"/>
  </w:num>
  <w:num w:numId="33">
    <w:abstractNumId w:val="14"/>
  </w:num>
  <w:num w:numId="34">
    <w:abstractNumId w:val="22"/>
  </w:num>
  <w:num w:numId="35">
    <w:abstractNumId w:val="27"/>
  </w:num>
  <w:num w:numId="36">
    <w:abstractNumId w:val="35"/>
  </w:num>
  <w:num w:numId="37">
    <w:abstractNumId w:val="31"/>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7D"/>
    <w:rsid w:val="00007ED7"/>
    <w:rsid w:val="00012F7C"/>
    <w:rsid w:val="000250CA"/>
    <w:rsid w:val="000261D9"/>
    <w:rsid w:val="00042AE0"/>
    <w:rsid w:val="00051487"/>
    <w:rsid w:val="00067682"/>
    <w:rsid w:val="00071E41"/>
    <w:rsid w:val="00073A1C"/>
    <w:rsid w:val="0007586A"/>
    <w:rsid w:val="000B03C2"/>
    <w:rsid w:val="000E3C9A"/>
    <w:rsid w:val="001A0372"/>
    <w:rsid w:val="001A5872"/>
    <w:rsid w:val="001A6485"/>
    <w:rsid w:val="001B5D17"/>
    <w:rsid w:val="001B6FBD"/>
    <w:rsid w:val="001C35B3"/>
    <w:rsid w:val="001C7C32"/>
    <w:rsid w:val="001F1060"/>
    <w:rsid w:val="00205297"/>
    <w:rsid w:val="0022189C"/>
    <w:rsid w:val="00226650"/>
    <w:rsid w:val="00237185"/>
    <w:rsid w:val="0024051D"/>
    <w:rsid w:val="00263AC3"/>
    <w:rsid w:val="00283661"/>
    <w:rsid w:val="0028483E"/>
    <w:rsid w:val="002A55C7"/>
    <w:rsid w:val="002A6C88"/>
    <w:rsid w:val="002C18C5"/>
    <w:rsid w:val="002E4851"/>
    <w:rsid w:val="00303E18"/>
    <w:rsid w:val="003127D1"/>
    <w:rsid w:val="00312CA8"/>
    <w:rsid w:val="00316B47"/>
    <w:rsid w:val="00324C9D"/>
    <w:rsid w:val="00325479"/>
    <w:rsid w:val="003325B7"/>
    <w:rsid w:val="003423DF"/>
    <w:rsid w:val="00384203"/>
    <w:rsid w:val="00391609"/>
    <w:rsid w:val="003B33DA"/>
    <w:rsid w:val="003B6886"/>
    <w:rsid w:val="003D3780"/>
    <w:rsid w:val="003E5DF2"/>
    <w:rsid w:val="003F3169"/>
    <w:rsid w:val="00401BAB"/>
    <w:rsid w:val="00410ED1"/>
    <w:rsid w:val="00413ED2"/>
    <w:rsid w:val="004162DF"/>
    <w:rsid w:val="0043600B"/>
    <w:rsid w:val="00440E56"/>
    <w:rsid w:val="00454416"/>
    <w:rsid w:val="00471A6E"/>
    <w:rsid w:val="00494D85"/>
    <w:rsid w:val="00497817"/>
    <w:rsid w:val="004A0D57"/>
    <w:rsid w:val="004C001E"/>
    <w:rsid w:val="004D5F16"/>
    <w:rsid w:val="004E7CD4"/>
    <w:rsid w:val="004F6011"/>
    <w:rsid w:val="00500A27"/>
    <w:rsid w:val="00501578"/>
    <w:rsid w:val="00505F11"/>
    <w:rsid w:val="005626E2"/>
    <w:rsid w:val="005C39BF"/>
    <w:rsid w:val="005D5E5A"/>
    <w:rsid w:val="005E57FF"/>
    <w:rsid w:val="00612A74"/>
    <w:rsid w:val="00622F42"/>
    <w:rsid w:val="00634FE0"/>
    <w:rsid w:val="006443A2"/>
    <w:rsid w:val="00670300"/>
    <w:rsid w:val="0067514E"/>
    <w:rsid w:val="00683723"/>
    <w:rsid w:val="006868D7"/>
    <w:rsid w:val="006C2267"/>
    <w:rsid w:val="006F3711"/>
    <w:rsid w:val="007049B4"/>
    <w:rsid w:val="00742ADD"/>
    <w:rsid w:val="00752049"/>
    <w:rsid w:val="00764C1B"/>
    <w:rsid w:val="0077129B"/>
    <w:rsid w:val="007761E7"/>
    <w:rsid w:val="0078191C"/>
    <w:rsid w:val="0078403C"/>
    <w:rsid w:val="00793F7D"/>
    <w:rsid w:val="007A105A"/>
    <w:rsid w:val="007C1048"/>
    <w:rsid w:val="007E1629"/>
    <w:rsid w:val="00812DE5"/>
    <w:rsid w:val="00816D46"/>
    <w:rsid w:val="00821C6B"/>
    <w:rsid w:val="0082334C"/>
    <w:rsid w:val="00827B7F"/>
    <w:rsid w:val="0084062E"/>
    <w:rsid w:val="00843225"/>
    <w:rsid w:val="00846B8F"/>
    <w:rsid w:val="00850E70"/>
    <w:rsid w:val="00861A86"/>
    <w:rsid w:val="00872193"/>
    <w:rsid w:val="00874923"/>
    <w:rsid w:val="008754B0"/>
    <w:rsid w:val="00876D26"/>
    <w:rsid w:val="008775AD"/>
    <w:rsid w:val="00884FF4"/>
    <w:rsid w:val="0089169A"/>
    <w:rsid w:val="00891C3B"/>
    <w:rsid w:val="00893990"/>
    <w:rsid w:val="008B0293"/>
    <w:rsid w:val="008C105C"/>
    <w:rsid w:val="008C2FB7"/>
    <w:rsid w:val="008F247D"/>
    <w:rsid w:val="00913595"/>
    <w:rsid w:val="00926C59"/>
    <w:rsid w:val="009755FD"/>
    <w:rsid w:val="00994C2C"/>
    <w:rsid w:val="009B768B"/>
    <w:rsid w:val="009E2F80"/>
    <w:rsid w:val="00A06110"/>
    <w:rsid w:val="00A212AB"/>
    <w:rsid w:val="00A36880"/>
    <w:rsid w:val="00A62C0B"/>
    <w:rsid w:val="00A63A44"/>
    <w:rsid w:val="00A72390"/>
    <w:rsid w:val="00A76209"/>
    <w:rsid w:val="00A8010C"/>
    <w:rsid w:val="00A87F7C"/>
    <w:rsid w:val="00A95998"/>
    <w:rsid w:val="00AC017E"/>
    <w:rsid w:val="00B74731"/>
    <w:rsid w:val="00B85FF3"/>
    <w:rsid w:val="00BD21D6"/>
    <w:rsid w:val="00BD610D"/>
    <w:rsid w:val="00BF1B40"/>
    <w:rsid w:val="00C107E0"/>
    <w:rsid w:val="00C37DC3"/>
    <w:rsid w:val="00C53771"/>
    <w:rsid w:val="00C9096D"/>
    <w:rsid w:val="00CC28D2"/>
    <w:rsid w:val="00CC46B2"/>
    <w:rsid w:val="00D11BD6"/>
    <w:rsid w:val="00D16712"/>
    <w:rsid w:val="00D24408"/>
    <w:rsid w:val="00D26C6E"/>
    <w:rsid w:val="00D526AC"/>
    <w:rsid w:val="00D54571"/>
    <w:rsid w:val="00D54CD0"/>
    <w:rsid w:val="00D61D04"/>
    <w:rsid w:val="00DA0E92"/>
    <w:rsid w:val="00DA3D5C"/>
    <w:rsid w:val="00DA52A7"/>
    <w:rsid w:val="00DE001F"/>
    <w:rsid w:val="00DE76BA"/>
    <w:rsid w:val="00DF0F5F"/>
    <w:rsid w:val="00DF1519"/>
    <w:rsid w:val="00E16197"/>
    <w:rsid w:val="00E16847"/>
    <w:rsid w:val="00E171AA"/>
    <w:rsid w:val="00E2514D"/>
    <w:rsid w:val="00E523AC"/>
    <w:rsid w:val="00E73585"/>
    <w:rsid w:val="00ED737F"/>
    <w:rsid w:val="00EF07EB"/>
    <w:rsid w:val="00F128F7"/>
    <w:rsid w:val="00F161CC"/>
    <w:rsid w:val="00F7095D"/>
    <w:rsid w:val="00F7376C"/>
    <w:rsid w:val="00F80AAF"/>
    <w:rsid w:val="00F84E00"/>
    <w:rsid w:val="00F93182"/>
    <w:rsid w:val="00FB729F"/>
    <w:rsid w:val="00FC1A18"/>
    <w:rsid w:val="00FF1C9E"/>
    <w:rsid w:val="00FF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5F11"/>
    <w:pPr>
      <w:tabs>
        <w:tab w:val="center" w:pos="4320"/>
        <w:tab w:val="right" w:pos="8640"/>
      </w:tabs>
    </w:pPr>
  </w:style>
  <w:style w:type="character" w:customStyle="1" w:styleId="HeaderChar">
    <w:name w:val="Header Char"/>
    <w:basedOn w:val="DefaultParagraphFont"/>
    <w:link w:val="Header"/>
    <w:uiPriority w:val="99"/>
    <w:locked/>
    <w:rsid w:val="00505F11"/>
    <w:rPr>
      <w:rFonts w:cs="Times New Roman"/>
      <w:sz w:val="24"/>
    </w:rPr>
  </w:style>
  <w:style w:type="paragraph" w:styleId="Footer">
    <w:name w:val="footer"/>
    <w:basedOn w:val="Normal"/>
    <w:link w:val="FooterChar"/>
    <w:uiPriority w:val="99"/>
    <w:rsid w:val="00505F11"/>
    <w:pPr>
      <w:tabs>
        <w:tab w:val="center" w:pos="4320"/>
        <w:tab w:val="right" w:pos="8640"/>
      </w:tabs>
    </w:pPr>
  </w:style>
  <w:style w:type="character" w:customStyle="1" w:styleId="FooterChar">
    <w:name w:val="Footer Char"/>
    <w:basedOn w:val="DefaultParagraphFont"/>
    <w:link w:val="Footer"/>
    <w:uiPriority w:val="99"/>
    <w:locked/>
    <w:rsid w:val="00505F11"/>
    <w:rPr>
      <w:rFonts w:cs="Times New Roman"/>
      <w:sz w:val="24"/>
    </w:rPr>
  </w:style>
  <w:style w:type="character" w:styleId="PageNumber">
    <w:name w:val="page number"/>
    <w:basedOn w:val="DefaultParagraphFont"/>
    <w:uiPriority w:val="99"/>
    <w:semiHidden/>
    <w:rsid w:val="00505F11"/>
    <w:rPr>
      <w:rFonts w:cs="Times New Roman"/>
    </w:rPr>
  </w:style>
  <w:style w:type="character" w:styleId="Hyperlink">
    <w:name w:val="Hyperlink"/>
    <w:basedOn w:val="DefaultParagraphFont"/>
    <w:uiPriority w:val="99"/>
    <w:rsid w:val="00042AE0"/>
    <w:rPr>
      <w:rFonts w:cs="Times New Roman"/>
      <w:color w:val="0000FF"/>
      <w:u w:val="single"/>
    </w:rPr>
  </w:style>
  <w:style w:type="paragraph" w:customStyle="1" w:styleId="BIDTitle">
    <w:name w:val="BID Title"/>
    <w:basedOn w:val="Normal"/>
    <w:uiPriority w:val="99"/>
    <w:rsid w:val="000250CA"/>
    <w:pPr>
      <w:spacing w:line="560" w:lineRule="exact"/>
    </w:pPr>
    <w:rPr>
      <w:rFonts w:ascii="Calibri" w:hAnsi="Calibri"/>
      <w:b/>
      <w:color w:val="FFFFFF"/>
      <w:sz w:val="56"/>
      <w:szCs w:val="56"/>
    </w:rPr>
  </w:style>
  <w:style w:type="paragraph" w:customStyle="1" w:styleId="BIDSUBHEADING">
    <w:name w:val="BID SUBHEADING"/>
    <w:basedOn w:val="BIDBODYCOPY"/>
    <w:uiPriority w:val="99"/>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uiPriority w:val="99"/>
    <w:rsid w:val="00471A6E"/>
    <w:rPr>
      <w:rFonts w:ascii="Calibri" w:hAnsi="Calibri"/>
      <w:color w:val="FFFFFF"/>
    </w:rPr>
  </w:style>
  <w:style w:type="paragraph" w:customStyle="1" w:styleId="BIDBULLETS">
    <w:name w:val="BID BULLETS"/>
    <w:basedOn w:val="BIDBODYCOPY"/>
    <w:uiPriority w:val="99"/>
    <w:rsid w:val="00471A6E"/>
    <w:pPr>
      <w:numPr>
        <w:numId w:val="4"/>
      </w:numPr>
    </w:pPr>
  </w:style>
  <w:style w:type="paragraph" w:customStyle="1" w:styleId="BIDBODYCOPY">
    <w:name w:val="BID BODY COPY"/>
    <w:basedOn w:val="Normal"/>
    <w:uiPriority w:val="99"/>
    <w:rsid w:val="00DF0F5F"/>
    <w:pPr>
      <w:keepLines/>
      <w:spacing w:after="240"/>
      <w:ind w:right="360"/>
    </w:pPr>
    <w:rPr>
      <w:rFonts w:ascii="Times New Roman" w:hAnsi="Times New Roman"/>
    </w:rPr>
  </w:style>
  <w:style w:type="paragraph" w:customStyle="1" w:styleId="BIDTEXTBOXSUBHEADING">
    <w:name w:val="BID TEXTBOX SUBHEADING"/>
    <w:basedOn w:val="BIDSUBHEADING"/>
    <w:uiPriority w:val="99"/>
    <w:rsid w:val="00F7376C"/>
    <w:pPr>
      <w:spacing w:before="0"/>
    </w:pPr>
  </w:style>
  <w:style w:type="paragraph" w:customStyle="1" w:styleId="BIDTEXTBOXBODYCOPY">
    <w:name w:val="BID TEXTBOX BODY COPY"/>
    <w:basedOn w:val="BIDBODYCOPY"/>
    <w:uiPriority w:val="99"/>
    <w:rsid w:val="00F7376C"/>
    <w:pPr>
      <w:ind w:right="0"/>
    </w:pPr>
  </w:style>
  <w:style w:type="paragraph" w:styleId="ListParagraph">
    <w:name w:val="List Paragraph"/>
    <w:basedOn w:val="Normal"/>
    <w:uiPriority w:val="99"/>
    <w:qFormat/>
    <w:rsid w:val="00042AE0"/>
    <w:pPr>
      <w:ind w:left="720"/>
    </w:pPr>
    <w:rPr>
      <w:rFonts w:ascii="Times New Roman" w:hAnsi="Times New Roman"/>
    </w:rPr>
  </w:style>
  <w:style w:type="paragraph" w:styleId="CommentText">
    <w:name w:val="annotation text"/>
    <w:basedOn w:val="Normal"/>
    <w:link w:val="CommentTextChar"/>
    <w:uiPriority w:val="99"/>
    <w:rsid w:val="00042AE0"/>
    <w:rPr>
      <w:rFonts w:ascii="Times New Roman" w:hAnsi="Times New Roman"/>
      <w:sz w:val="20"/>
      <w:szCs w:val="20"/>
    </w:rPr>
  </w:style>
  <w:style w:type="character" w:customStyle="1" w:styleId="CommentTextChar">
    <w:name w:val="Comment Text Char"/>
    <w:basedOn w:val="DefaultParagraphFont"/>
    <w:link w:val="CommentText"/>
    <w:uiPriority w:val="99"/>
    <w:locked/>
    <w:rsid w:val="00042AE0"/>
    <w:rPr>
      <w:rFonts w:ascii="Times New Roman" w:hAnsi="Times New Roman" w:cs="Times New Roman"/>
    </w:rPr>
  </w:style>
  <w:style w:type="paragraph" w:styleId="BalloonText">
    <w:name w:val="Balloon Text"/>
    <w:basedOn w:val="Normal"/>
    <w:link w:val="BalloonTextChar"/>
    <w:uiPriority w:val="99"/>
    <w:semiHidden/>
    <w:rsid w:val="000758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586A"/>
    <w:rPr>
      <w:rFonts w:ascii="Tahoma" w:hAnsi="Tahoma" w:cs="Tahoma"/>
      <w:sz w:val="16"/>
      <w:szCs w:val="16"/>
    </w:rPr>
  </w:style>
  <w:style w:type="character" w:styleId="FollowedHyperlink">
    <w:name w:val="FollowedHyperlink"/>
    <w:basedOn w:val="DefaultParagraphFont"/>
    <w:uiPriority w:val="99"/>
    <w:semiHidden/>
    <w:unhideWhenUsed/>
    <w:rsid w:val="00CC28D2"/>
    <w:rPr>
      <w:rFonts w:cs="Times New Roman"/>
      <w:color w:val="800080" w:themeColor="followedHyperlink"/>
      <w:u w:val="single"/>
    </w:rPr>
  </w:style>
  <w:style w:type="character" w:customStyle="1" w:styleId="apple-converted-space">
    <w:name w:val="apple-converted-space"/>
    <w:rsid w:val="00B85F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5F11"/>
    <w:pPr>
      <w:tabs>
        <w:tab w:val="center" w:pos="4320"/>
        <w:tab w:val="right" w:pos="8640"/>
      </w:tabs>
    </w:pPr>
  </w:style>
  <w:style w:type="character" w:customStyle="1" w:styleId="HeaderChar">
    <w:name w:val="Header Char"/>
    <w:basedOn w:val="DefaultParagraphFont"/>
    <w:link w:val="Header"/>
    <w:uiPriority w:val="99"/>
    <w:locked/>
    <w:rsid w:val="00505F11"/>
    <w:rPr>
      <w:rFonts w:cs="Times New Roman"/>
      <w:sz w:val="24"/>
    </w:rPr>
  </w:style>
  <w:style w:type="paragraph" w:styleId="Footer">
    <w:name w:val="footer"/>
    <w:basedOn w:val="Normal"/>
    <w:link w:val="FooterChar"/>
    <w:uiPriority w:val="99"/>
    <w:rsid w:val="00505F11"/>
    <w:pPr>
      <w:tabs>
        <w:tab w:val="center" w:pos="4320"/>
        <w:tab w:val="right" w:pos="8640"/>
      </w:tabs>
    </w:pPr>
  </w:style>
  <w:style w:type="character" w:customStyle="1" w:styleId="FooterChar">
    <w:name w:val="Footer Char"/>
    <w:basedOn w:val="DefaultParagraphFont"/>
    <w:link w:val="Footer"/>
    <w:uiPriority w:val="99"/>
    <w:locked/>
    <w:rsid w:val="00505F11"/>
    <w:rPr>
      <w:rFonts w:cs="Times New Roman"/>
      <w:sz w:val="24"/>
    </w:rPr>
  </w:style>
  <w:style w:type="character" w:styleId="PageNumber">
    <w:name w:val="page number"/>
    <w:basedOn w:val="DefaultParagraphFont"/>
    <w:uiPriority w:val="99"/>
    <w:semiHidden/>
    <w:rsid w:val="00505F11"/>
    <w:rPr>
      <w:rFonts w:cs="Times New Roman"/>
    </w:rPr>
  </w:style>
  <w:style w:type="character" w:styleId="Hyperlink">
    <w:name w:val="Hyperlink"/>
    <w:basedOn w:val="DefaultParagraphFont"/>
    <w:uiPriority w:val="99"/>
    <w:rsid w:val="00042AE0"/>
    <w:rPr>
      <w:rFonts w:cs="Times New Roman"/>
      <w:color w:val="0000FF"/>
      <w:u w:val="single"/>
    </w:rPr>
  </w:style>
  <w:style w:type="paragraph" w:customStyle="1" w:styleId="BIDTitle">
    <w:name w:val="BID Title"/>
    <w:basedOn w:val="Normal"/>
    <w:uiPriority w:val="99"/>
    <w:rsid w:val="000250CA"/>
    <w:pPr>
      <w:spacing w:line="560" w:lineRule="exact"/>
    </w:pPr>
    <w:rPr>
      <w:rFonts w:ascii="Calibri" w:hAnsi="Calibri"/>
      <w:b/>
      <w:color w:val="FFFFFF"/>
      <w:sz w:val="56"/>
      <w:szCs w:val="56"/>
    </w:rPr>
  </w:style>
  <w:style w:type="paragraph" w:customStyle="1" w:styleId="BIDSUBHEADING">
    <w:name w:val="BID SUBHEADING"/>
    <w:basedOn w:val="BIDBODYCOPY"/>
    <w:uiPriority w:val="99"/>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uiPriority w:val="99"/>
    <w:rsid w:val="00471A6E"/>
    <w:rPr>
      <w:rFonts w:ascii="Calibri" w:hAnsi="Calibri"/>
      <w:color w:val="FFFFFF"/>
    </w:rPr>
  </w:style>
  <w:style w:type="paragraph" w:customStyle="1" w:styleId="BIDBULLETS">
    <w:name w:val="BID BULLETS"/>
    <w:basedOn w:val="BIDBODYCOPY"/>
    <w:uiPriority w:val="99"/>
    <w:rsid w:val="00471A6E"/>
    <w:pPr>
      <w:numPr>
        <w:numId w:val="4"/>
      </w:numPr>
    </w:pPr>
  </w:style>
  <w:style w:type="paragraph" w:customStyle="1" w:styleId="BIDBODYCOPY">
    <w:name w:val="BID BODY COPY"/>
    <w:basedOn w:val="Normal"/>
    <w:uiPriority w:val="99"/>
    <w:rsid w:val="00DF0F5F"/>
    <w:pPr>
      <w:keepLines/>
      <w:spacing w:after="240"/>
      <w:ind w:right="360"/>
    </w:pPr>
    <w:rPr>
      <w:rFonts w:ascii="Times New Roman" w:hAnsi="Times New Roman"/>
    </w:rPr>
  </w:style>
  <w:style w:type="paragraph" w:customStyle="1" w:styleId="BIDTEXTBOXSUBHEADING">
    <w:name w:val="BID TEXTBOX SUBHEADING"/>
    <w:basedOn w:val="BIDSUBHEADING"/>
    <w:uiPriority w:val="99"/>
    <w:rsid w:val="00F7376C"/>
    <w:pPr>
      <w:spacing w:before="0"/>
    </w:pPr>
  </w:style>
  <w:style w:type="paragraph" w:customStyle="1" w:styleId="BIDTEXTBOXBODYCOPY">
    <w:name w:val="BID TEXTBOX BODY COPY"/>
    <w:basedOn w:val="BIDBODYCOPY"/>
    <w:uiPriority w:val="99"/>
    <w:rsid w:val="00F7376C"/>
    <w:pPr>
      <w:ind w:right="0"/>
    </w:pPr>
  </w:style>
  <w:style w:type="paragraph" w:styleId="ListParagraph">
    <w:name w:val="List Paragraph"/>
    <w:basedOn w:val="Normal"/>
    <w:uiPriority w:val="99"/>
    <w:qFormat/>
    <w:rsid w:val="00042AE0"/>
    <w:pPr>
      <w:ind w:left="720"/>
    </w:pPr>
    <w:rPr>
      <w:rFonts w:ascii="Times New Roman" w:hAnsi="Times New Roman"/>
    </w:rPr>
  </w:style>
  <w:style w:type="paragraph" w:styleId="CommentText">
    <w:name w:val="annotation text"/>
    <w:basedOn w:val="Normal"/>
    <w:link w:val="CommentTextChar"/>
    <w:uiPriority w:val="99"/>
    <w:rsid w:val="00042AE0"/>
    <w:rPr>
      <w:rFonts w:ascii="Times New Roman" w:hAnsi="Times New Roman"/>
      <w:sz w:val="20"/>
      <w:szCs w:val="20"/>
    </w:rPr>
  </w:style>
  <w:style w:type="character" w:customStyle="1" w:styleId="CommentTextChar">
    <w:name w:val="Comment Text Char"/>
    <w:basedOn w:val="DefaultParagraphFont"/>
    <w:link w:val="CommentText"/>
    <w:uiPriority w:val="99"/>
    <w:locked/>
    <w:rsid w:val="00042AE0"/>
    <w:rPr>
      <w:rFonts w:ascii="Times New Roman" w:hAnsi="Times New Roman" w:cs="Times New Roman"/>
    </w:rPr>
  </w:style>
  <w:style w:type="paragraph" w:styleId="BalloonText">
    <w:name w:val="Balloon Text"/>
    <w:basedOn w:val="Normal"/>
    <w:link w:val="BalloonTextChar"/>
    <w:uiPriority w:val="99"/>
    <w:semiHidden/>
    <w:rsid w:val="000758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586A"/>
    <w:rPr>
      <w:rFonts w:ascii="Tahoma" w:hAnsi="Tahoma" w:cs="Tahoma"/>
      <w:sz w:val="16"/>
      <w:szCs w:val="16"/>
    </w:rPr>
  </w:style>
  <w:style w:type="character" w:styleId="FollowedHyperlink">
    <w:name w:val="FollowedHyperlink"/>
    <w:basedOn w:val="DefaultParagraphFont"/>
    <w:uiPriority w:val="99"/>
    <w:semiHidden/>
    <w:unhideWhenUsed/>
    <w:rsid w:val="00CC28D2"/>
    <w:rPr>
      <w:rFonts w:cs="Times New Roman"/>
      <w:color w:val="800080" w:themeColor="followedHyperlink"/>
      <w:u w:val="single"/>
    </w:rPr>
  </w:style>
  <w:style w:type="character" w:customStyle="1" w:styleId="apple-converted-space">
    <w:name w:val="apple-converted-space"/>
    <w:rsid w:val="00B85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374876">
      <w:marLeft w:val="0"/>
      <w:marRight w:val="0"/>
      <w:marTop w:val="0"/>
      <w:marBottom w:val="0"/>
      <w:divBdr>
        <w:top w:val="none" w:sz="0" w:space="0" w:color="auto"/>
        <w:left w:val="none" w:sz="0" w:space="0" w:color="auto"/>
        <w:bottom w:val="none" w:sz="0" w:space="0" w:color="auto"/>
        <w:right w:val="none" w:sz="0" w:space="0" w:color="auto"/>
      </w:divBdr>
    </w:div>
    <w:div w:id="1996374878">
      <w:marLeft w:val="0"/>
      <w:marRight w:val="0"/>
      <w:marTop w:val="0"/>
      <w:marBottom w:val="0"/>
      <w:divBdr>
        <w:top w:val="none" w:sz="0" w:space="0" w:color="auto"/>
        <w:left w:val="none" w:sz="0" w:space="0" w:color="auto"/>
        <w:bottom w:val="none" w:sz="0" w:space="0" w:color="auto"/>
        <w:right w:val="none" w:sz="0" w:space="0" w:color="auto"/>
      </w:divBdr>
      <w:divsChild>
        <w:div w:id="1996374879">
          <w:marLeft w:val="0"/>
          <w:marRight w:val="0"/>
          <w:marTop w:val="0"/>
          <w:marBottom w:val="0"/>
          <w:divBdr>
            <w:top w:val="single" w:sz="36" w:space="0" w:color="075290"/>
            <w:left w:val="none" w:sz="0" w:space="0" w:color="auto"/>
            <w:bottom w:val="none" w:sz="0" w:space="0" w:color="auto"/>
            <w:right w:val="none" w:sz="0" w:space="0" w:color="auto"/>
          </w:divBdr>
          <w:divsChild>
            <w:div w:id="1996374877">
              <w:marLeft w:val="0"/>
              <w:marRight w:val="0"/>
              <w:marTop w:val="0"/>
              <w:marBottom w:val="0"/>
              <w:divBdr>
                <w:top w:val="none" w:sz="0" w:space="0" w:color="auto"/>
                <w:left w:val="none" w:sz="0" w:space="0" w:color="auto"/>
                <w:bottom w:val="none" w:sz="0" w:space="0" w:color="auto"/>
                <w:right w:val="none" w:sz="0" w:space="0" w:color="auto"/>
              </w:divBdr>
              <w:divsChild>
                <w:div w:id="1996374883">
                  <w:marLeft w:val="0"/>
                  <w:marRight w:val="0"/>
                  <w:marTop w:val="150"/>
                  <w:marBottom w:val="0"/>
                  <w:divBdr>
                    <w:top w:val="none" w:sz="0" w:space="0" w:color="auto"/>
                    <w:left w:val="none" w:sz="0" w:space="0" w:color="auto"/>
                    <w:bottom w:val="none" w:sz="0" w:space="0" w:color="auto"/>
                    <w:right w:val="none" w:sz="0" w:space="0" w:color="auto"/>
                  </w:divBdr>
                  <w:divsChild>
                    <w:div w:id="1996374891">
                      <w:marLeft w:val="-150"/>
                      <w:marRight w:val="0"/>
                      <w:marTop w:val="0"/>
                      <w:marBottom w:val="0"/>
                      <w:divBdr>
                        <w:top w:val="none" w:sz="0" w:space="0" w:color="auto"/>
                        <w:left w:val="none" w:sz="0" w:space="0" w:color="auto"/>
                        <w:bottom w:val="none" w:sz="0" w:space="0" w:color="auto"/>
                        <w:right w:val="none" w:sz="0" w:space="0" w:color="auto"/>
                      </w:divBdr>
                      <w:divsChild>
                        <w:div w:id="1996374892">
                          <w:marLeft w:val="0"/>
                          <w:marRight w:val="0"/>
                          <w:marTop w:val="0"/>
                          <w:marBottom w:val="0"/>
                          <w:divBdr>
                            <w:top w:val="none" w:sz="0" w:space="0" w:color="auto"/>
                            <w:left w:val="none" w:sz="0" w:space="0" w:color="auto"/>
                            <w:bottom w:val="none" w:sz="0" w:space="0" w:color="auto"/>
                            <w:right w:val="none" w:sz="0" w:space="0" w:color="auto"/>
                          </w:divBdr>
                          <w:divsChild>
                            <w:div w:id="1996374880">
                              <w:marLeft w:val="0"/>
                              <w:marRight w:val="0"/>
                              <w:marTop w:val="0"/>
                              <w:marBottom w:val="0"/>
                              <w:divBdr>
                                <w:top w:val="none" w:sz="0" w:space="0" w:color="auto"/>
                                <w:left w:val="none" w:sz="0" w:space="0" w:color="auto"/>
                                <w:bottom w:val="none" w:sz="0" w:space="0" w:color="auto"/>
                                <w:right w:val="none" w:sz="0" w:space="0" w:color="auto"/>
                              </w:divBdr>
                              <w:divsChild>
                                <w:div w:id="1996374884">
                                  <w:marLeft w:val="0"/>
                                  <w:marRight w:val="0"/>
                                  <w:marTop w:val="0"/>
                                  <w:marBottom w:val="0"/>
                                  <w:divBdr>
                                    <w:top w:val="none" w:sz="0" w:space="0" w:color="auto"/>
                                    <w:left w:val="none" w:sz="0" w:space="0" w:color="auto"/>
                                    <w:bottom w:val="none" w:sz="0" w:space="0" w:color="auto"/>
                                    <w:right w:val="none" w:sz="0" w:space="0" w:color="auto"/>
                                  </w:divBdr>
                                  <w:divsChild>
                                    <w:div w:id="1996374886">
                                      <w:marLeft w:val="0"/>
                                      <w:marRight w:val="0"/>
                                      <w:marTop w:val="0"/>
                                      <w:marBottom w:val="0"/>
                                      <w:divBdr>
                                        <w:top w:val="none" w:sz="0" w:space="0" w:color="auto"/>
                                        <w:left w:val="none" w:sz="0" w:space="0" w:color="auto"/>
                                        <w:bottom w:val="none" w:sz="0" w:space="0" w:color="auto"/>
                                        <w:right w:val="none" w:sz="0" w:space="0" w:color="auto"/>
                                      </w:divBdr>
                                      <w:divsChild>
                                        <w:div w:id="1996374882">
                                          <w:marLeft w:val="-150"/>
                                          <w:marRight w:val="0"/>
                                          <w:marTop w:val="0"/>
                                          <w:marBottom w:val="0"/>
                                          <w:divBdr>
                                            <w:top w:val="none" w:sz="0" w:space="0" w:color="auto"/>
                                            <w:left w:val="none" w:sz="0" w:space="0" w:color="auto"/>
                                            <w:bottom w:val="none" w:sz="0" w:space="0" w:color="auto"/>
                                            <w:right w:val="none" w:sz="0" w:space="0" w:color="auto"/>
                                          </w:divBdr>
                                          <w:divsChild>
                                            <w:div w:id="1996374881">
                                              <w:marLeft w:val="0"/>
                                              <w:marRight w:val="0"/>
                                              <w:marTop w:val="0"/>
                                              <w:marBottom w:val="0"/>
                                              <w:divBdr>
                                                <w:top w:val="none" w:sz="0" w:space="0" w:color="auto"/>
                                                <w:left w:val="none" w:sz="0" w:space="0" w:color="auto"/>
                                                <w:bottom w:val="none" w:sz="0" w:space="0" w:color="auto"/>
                                                <w:right w:val="none" w:sz="0" w:space="0" w:color="auto"/>
                                              </w:divBdr>
                                              <w:divsChild>
                                                <w:div w:id="19963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6374887">
      <w:marLeft w:val="0"/>
      <w:marRight w:val="0"/>
      <w:marTop w:val="0"/>
      <w:marBottom w:val="0"/>
      <w:divBdr>
        <w:top w:val="none" w:sz="0" w:space="0" w:color="auto"/>
        <w:left w:val="none" w:sz="0" w:space="0" w:color="auto"/>
        <w:bottom w:val="none" w:sz="0" w:space="0" w:color="auto"/>
        <w:right w:val="none" w:sz="0" w:space="0" w:color="auto"/>
      </w:divBdr>
    </w:div>
    <w:div w:id="1996374888">
      <w:marLeft w:val="0"/>
      <w:marRight w:val="0"/>
      <w:marTop w:val="0"/>
      <w:marBottom w:val="0"/>
      <w:divBdr>
        <w:top w:val="none" w:sz="0" w:space="0" w:color="auto"/>
        <w:left w:val="none" w:sz="0" w:space="0" w:color="auto"/>
        <w:bottom w:val="none" w:sz="0" w:space="0" w:color="auto"/>
        <w:right w:val="none" w:sz="0" w:space="0" w:color="auto"/>
      </w:divBdr>
    </w:div>
    <w:div w:id="1996374889">
      <w:marLeft w:val="0"/>
      <w:marRight w:val="0"/>
      <w:marTop w:val="0"/>
      <w:marBottom w:val="0"/>
      <w:divBdr>
        <w:top w:val="none" w:sz="0" w:space="0" w:color="auto"/>
        <w:left w:val="none" w:sz="0" w:space="0" w:color="auto"/>
        <w:bottom w:val="none" w:sz="0" w:space="0" w:color="auto"/>
        <w:right w:val="none" w:sz="0" w:space="0" w:color="auto"/>
      </w:divBdr>
    </w:div>
    <w:div w:id="1996374890">
      <w:marLeft w:val="0"/>
      <w:marRight w:val="0"/>
      <w:marTop w:val="0"/>
      <w:marBottom w:val="0"/>
      <w:divBdr>
        <w:top w:val="none" w:sz="0" w:space="0" w:color="auto"/>
        <w:left w:val="none" w:sz="0" w:space="0" w:color="auto"/>
        <w:bottom w:val="none" w:sz="0" w:space="0" w:color="auto"/>
        <w:right w:val="none" w:sz="0" w:space="0" w:color="auto"/>
      </w:divBdr>
    </w:div>
    <w:div w:id="1996374893">
      <w:marLeft w:val="0"/>
      <w:marRight w:val="0"/>
      <w:marTop w:val="0"/>
      <w:marBottom w:val="0"/>
      <w:divBdr>
        <w:top w:val="none" w:sz="0" w:space="0" w:color="auto"/>
        <w:left w:val="none" w:sz="0" w:space="0" w:color="auto"/>
        <w:bottom w:val="none" w:sz="0" w:space="0" w:color="auto"/>
        <w:right w:val="none" w:sz="0" w:space="0" w:color="auto"/>
      </w:divBdr>
    </w:div>
    <w:div w:id="1996374902">
      <w:marLeft w:val="0"/>
      <w:marRight w:val="0"/>
      <w:marTop w:val="0"/>
      <w:marBottom w:val="0"/>
      <w:divBdr>
        <w:top w:val="none" w:sz="0" w:space="0" w:color="auto"/>
        <w:left w:val="none" w:sz="0" w:space="0" w:color="auto"/>
        <w:bottom w:val="none" w:sz="0" w:space="0" w:color="auto"/>
        <w:right w:val="none" w:sz="0" w:space="0" w:color="auto"/>
      </w:divBdr>
      <w:divsChild>
        <w:div w:id="1996374897">
          <w:marLeft w:val="0"/>
          <w:marRight w:val="0"/>
          <w:marTop w:val="0"/>
          <w:marBottom w:val="0"/>
          <w:divBdr>
            <w:top w:val="single" w:sz="36" w:space="0" w:color="075290"/>
            <w:left w:val="none" w:sz="0" w:space="0" w:color="auto"/>
            <w:bottom w:val="none" w:sz="0" w:space="0" w:color="auto"/>
            <w:right w:val="none" w:sz="0" w:space="0" w:color="auto"/>
          </w:divBdr>
          <w:divsChild>
            <w:div w:id="1996374900">
              <w:marLeft w:val="0"/>
              <w:marRight w:val="0"/>
              <w:marTop w:val="0"/>
              <w:marBottom w:val="0"/>
              <w:divBdr>
                <w:top w:val="none" w:sz="0" w:space="0" w:color="auto"/>
                <w:left w:val="none" w:sz="0" w:space="0" w:color="auto"/>
                <w:bottom w:val="none" w:sz="0" w:space="0" w:color="auto"/>
                <w:right w:val="none" w:sz="0" w:space="0" w:color="auto"/>
              </w:divBdr>
              <w:divsChild>
                <w:div w:id="1996374874">
                  <w:marLeft w:val="0"/>
                  <w:marRight w:val="0"/>
                  <w:marTop w:val="150"/>
                  <w:marBottom w:val="0"/>
                  <w:divBdr>
                    <w:top w:val="none" w:sz="0" w:space="0" w:color="auto"/>
                    <w:left w:val="none" w:sz="0" w:space="0" w:color="auto"/>
                    <w:bottom w:val="none" w:sz="0" w:space="0" w:color="auto"/>
                    <w:right w:val="none" w:sz="0" w:space="0" w:color="auto"/>
                  </w:divBdr>
                  <w:divsChild>
                    <w:div w:id="1996374894">
                      <w:marLeft w:val="-150"/>
                      <w:marRight w:val="0"/>
                      <w:marTop w:val="0"/>
                      <w:marBottom w:val="0"/>
                      <w:divBdr>
                        <w:top w:val="none" w:sz="0" w:space="0" w:color="auto"/>
                        <w:left w:val="none" w:sz="0" w:space="0" w:color="auto"/>
                        <w:bottom w:val="none" w:sz="0" w:space="0" w:color="auto"/>
                        <w:right w:val="none" w:sz="0" w:space="0" w:color="auto"/>
                      </w:divBdr>
                      <w:divsChild>
                        <w:div w:id="1996374895">
                          <w:marLeft w:val="0"/>
                          <w:marRight w:val="0"/>
                          <w:marTop w:val="0"/>
                          <w:marBottom w:val="0"/>
                          <w:divBdr>
                            <w:top w:val="none" w:sz="0" w:space="0" w:color="auto"/>
                            <w:left w:val="none" w:sz="0" w:space="0" w:color="auto"/>
                            <w:bottom w:val="none" w:sz="0" w:space="0" w:color="auto"/>
                            <w:right w:val="none" w:sz="0" w:space="0" w:color="auto"/>
                          </w:divBdr>
                          <w:divsChild>
                            <w:div w:id="1996374898">
                              <w:marLeft w:val="0"/>
                              <w:marRight w:val="0"/>
                              <w:marTop w:val="0"/>
                              <w:marBottom w:val="0"/>
                              <w:divBdr>
                                <w:top w:val="none" w:sz="0" w:space="0" w:color="auto"/>
                                <w:left w:val="none" w:sz="0" w:space="0" w:color="auto"/>
                                <w:bottom w:val="none" w:sz="0" w:space="0" w:color="auto"/>
                                <w:right w:val="none" w:sz="0" w:space="0" w:color="auto"/>
                              </w:divBdr>
                              <w:divsChild>
                                <w:div w:id="1996374875">
                                  <w:marLeft w:val="0"/>
                                  <w:marRight w:val="0"/>
                                  <w:marTop w:val="0"/>
                                  <w:marBottom w:val="0"/>
                                  <w:divBdr>
                                    <w:top w:val="none" w:sz="0" w:space="0" w:color="auto"/>
                                    <w:left w:val="none" w:sz="0" w:space="0" w:color="auto"/>
                                    <w:bottom w:val="none" w:sz="0" w:space="0" w:color="auto"/>
                                    <w:right w:val="none" w:sz="0" w:space="0" w:color="auto"/>
                                  </w:divBdr>
                                  <w:divsChild>
                                    <w:div w:id="1996374896">
                                      <w:marLeft w:val="0"/>
                                      <w:marRight w:val="0"/>
                                      <w:marTop w:val="0"/>
                                      <w:marBottom w:val="0"/>
                                      <w:divBdr>
                                        <w:top w:val="none" w:sz="0" w:space="0" w:color="auto"/>
                                        <w:left w:val="none" w:sz="0" w:space="0" w:color="auto"/>
                                        <w:bottom w:val="none" w:sz="0" w:space="0" w:color="auto"/>
                                        <w:right w:val="none" w:sz="0" w:space="0" w:color="auto"/>
                                      </w:divBdr>
                                      <w:divsChild>
                                        <w:div w:id="1996374899">
                                          <w:marLeft w:val="-150"/>
                                          <w:marRight w:val="0"/>
                                          <w:marTop w:val="0"/>
                                          <w:marBottom w:val="0"/>
                                          <w:divBdr>
                                            <w:top w:val="none" w:sz="0" w:space="0" w:color="auto"/>
                                            <w:left w:val="none" w:sz="0" w:space="0" w:color="auto"/>
                                            <w:bottom w:val="none" w:sz="0" w:space="0" w:color="auto"/>
                                            <w:right w:val="none" w:sz="0" w:space="0" w:color="auto"/>
                                          </w:divBdr>
                                          <w:divsChild>
                                            <w:div w:id="199637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dph/fp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eohhs/docs/dph/environmental/foodsafety/ref-manual/intro-pages.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health.mo.gov/seniors/nursinghomes/pdf/Infection_Control_Guidelin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gov/departments/dph/programs/id/epidemiology/providers/infection-control.html" TargetMode="External"/><Relationship Id="rId5" Type="http://schemas.openxmlformats.org/officeDocument/2006/relationships/settings" Target="settings.xml"/><Relationship Id="rId15" Type="http://schemas.openxmlformats.org/officeDocument/2006/relationships/hyperlink" Target="http://wwwn.cdc.gov/nndss/conditions/cryptosporidiosis/case-definition/2012/" TargetMode="External"/><Relationship Id="rId10" Type="http://schemas.openxmlformats.org/officeDocument/2006/relationships/hyperlink" Target="https://massclearinghouse.ehs.state.ma.us/SCH/SH3001R.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ass.gov/eohhs/docs/dph/cdc/reporting/rprtbldiseases-lboh.pdf" TargetMode="External"/><Relationship Id="rId14" Type="http://schemas.openxmlformats.org/officeDocument/2006/relationships/hyperlink" Target="http://www.mass.gov/eohhs/gov/departments/dph/programs/id/epidemiology/factshee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3C5E5-7083-46B2-A3A8-FE100D021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3313</Words>
  <Characters>20216</Characters>
  <Application>Microsoft Office Word</Application>
  <DocSecurity>4</DocSecurity>
  <Lines>168</Lines>
  <Paragraphs>46</Paragraphs>
  <ScaleCrop>false</ScaleCrop>
  <HeadingPairs>
    <vt:vector size="2" baseType="variant">
      <vt:variant>
        <vt:lpstr>Title</vt:lpstr>
      </vt:variant>
      <vt:variant>
        <vt:i4>1</vt:i4>
      </vt:variant>
    </vt:vector>
  </HeadingPairs>
  <TitlesOfParts>
    <vt:vector size="1" baseType="lpstr">
      <vt:lpstr>Section 1</vt:lpstr>
    </vt:vector>
  </TitlesOfParts>
  <Company>Massachusetts Department of Public Health</Company>
  <LinksUpToDate>false</LinksUpToDate>
  <CharactersWithSpaces>23483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creator>Sheila Erimez</dc:creator>
  <cp:lastModifiedBy> </cp:lastModifiedBy>
  <cp:revision>2</cp:revision>
  <cp:lastPrinted>2016-09-06T20:43:00Z</cp:lastPrinted>
  <dcterms:created xsi:type="dcterms:W3CDTF">2018-04-17T17:34:00Z</dcterms:created>
  <dcterms:modified xsi:type="dcterms:W3CDTF">2018-04-17T17:34:00Z</dcterms:modified>
</cp:coreProperties>
</file>