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89CF1" w14:textId="77777777" w:rsidR="001C2446" w:rsidRDefault="001C2446" w:rsidP="001C2446">
      <w:pPr>
        <w:rPr>
          <w:rFonts w:cs="Arial"/>
          <w:sz w:val="52"/>
          <w:szCs w:val="52"/>
        </w:rPr>
      </w:pPr>
    </w:p>
    <w:p w14:paraId="4009BB98" w14:textId="77777777" w:rsidR="001C2446" w:rsidRDefault="001C2446" w:rsidP="001C2446">
      <w:pPr>
        <w:rPr>
          <w:rFonts w:cs="Arial"/>
          <w:sz w:val="52"/>
          <w:szCs w:val="52"/>
        </w:rPr>
      </w:pPr>
    </w:p>
    <w:p w14:paraId="506E7B60" w14:textId="75724115" w:rsidR="001C2446" w:rsidRPr="00032C30" w:rsidRDefault="003912CA" w:rsidP="000A6192">
      <w:pPr>
        <w:pStyle w:val="Title"/>
      </w:pPr>
      <w:r>
        <w:t>Commonwealth of Massachusetts</w:t>
      </w:r>
    </w:p>
    <w:p w14:paraId="398004D1" w14:textId="77777777" w:rsidR="001C2446" w:rsidRPr="00F366B0" w:rsidRDefault="001C2446" w:rsidP="000A6192">
      <w:pPr>
        <w:pStyle w:val="Title"/>
        <w:rPr>
          <w:b/>
          <w:bCs/>
        </w:rPr>
      </w:pPr>
      <w:r w:rsidRPr="00F366B0">
        <w:rPr>
          <w:b/>
          <w:bCs/>
        </w:rPr>
        <w:t xml:space="preserve">Recovery Plan </w:t>
      </w:r>
    </w:p>
    <w:p w14:paraId="7F4591D3" w14:textId="77777777" w:rsidR="001C2446" w:rsidRDefault="001C2446" w:rsidP="001C2446">
      <w:pPr>
        <w:rPr>
          <w:sz w:val="52"/>
          <w:szCs w:val="52"/>
        </w:rPr>
      </w:pPr>
    </w:p>
    <w:p w14:paraId="2AF84BEE" w14:textId="77777777" w:rsidR="001C2446" w:rsidRDefault="001C2446" w:rsidP="001C2446">
      <w:pPr>
        <w:rPr>
          <w:sz w:val="52"/>
          <w:szCs w:val="52"/>
        </w:rPr>
      </w:pPr>
    </w:p>
    <w:p w14:paraId="1285C21B" w14:textId="77777777" w:rsidR="001C2446" w:rsidRPr="00F366B0" w:rsidRDefault="001C2446" w:rsidP="001C2446">
      <w:pPr>
        <w:rPr>
          <w:rFonts w:cs="Arial"/>
          <w:b/>
          <w:bCs/>
          <w:color w:val="44546A" w:themeColor="text2"/>
          <w:sz w:val="52"/>
          <w:szCs w:val="52"/>
        </w:rPr>
      </w:pPr>
      <w:r w:rsidRPr="00F366B0">
        <w:rPr>
          <w:rFonts w:cs="Arial"/>
          <w:b/>
          <w:bCs/>
          <w:color w:val="44546A" w:themeColor="text2"/>
          <w:sz w:val="52"/>
          <w:szCs w:val="52"/>
        </w:rPr>
        <w:t>State and Local Fiscal Recovery Funds</w:t>
      </w:r>
    </w:p>
    <w:p w14:paraId="307434B7" w14:textId="5D44C106" w:rsidR="001C2446" w:rsidRPr="00F366B0" w:rsidRDefault="001C2446" w:rsidP="001C2446">
      <w:pPr>
        <w:rPr>
          <w:rFonts w:cs="Arial"/>
          <w:sz w:val="52"/>
          <w:szCs w:val="52"/>
        </w:rPr>
      </w:pPr>
      <w:r w:rsidRPr="000C3740">
        <w:rPr>
          <w:rFonts w:cs="Arial"/>
          <w:sz w:val="52"/>
          <w:szCs w:val="52"/>
        </w:rPr>
        <w:t>202</w:t>
      </w:r>
      <w:r w:rsidR="003912CA">
        <w:rPr>
          <w:rFonts w:cs="Arial"/>
          <w:sz w:val="52"/>
          <w:szCs w:val="52"/>
        </w:rPr>
        <w:t>2</w:t>
      </w:r>
      <w:r w:rsidRPr="000C3740">
        <w:rPr>
          <w:rFonts w:cs="Arial"/>
          <w:sz w:val="52"/>
          <w:szCs w:val="52"/>
        </w:rPr>
        <w:t xml:space="preserve"> Report</w:t>
      </w:r>
    </w:p>
    <w:p w14:paraId="131030DD" w14:textId="77777777" w:rsidR="00E23D7B" w:rsidRPr="00F366B0" w:rsidRDefault="00E23D7B" w:rsidP="00B90454">
      <w:pPr>
        <w:rPr>
          <w:rFonts w:cs="Arial"/>
          <w:sz w:val="52"/>
          <w:szCs w:val="52"/>
        </w:rPr>
      </w:pPr>
    </w:p>
    <w:p w14:paraId="6F2F45A8" w14:textId="77777777" w:rsidR="00E23D7B" w:rsidRDefault="00E23D7B" w:rsidP="00B90454">
      <w:pPr>
        <w:rPr>
          <w:rFonts w:cs="Arial"/>
        </w:rPr>
      </w:pPr>
    </w:p>
    <w:p w14:paraId="2C79DF6F" w14:textId="77777777" w:rsidR="0007601B" w:rsidRPr="00F366B0" w:rsidRDefault="0007601B" w:rsidP="00B90454">
      <w:pPr>
        <w:rPr>
          <w:rFonts w:cs="Arial"/>
        </w:rPr>
      </w:pPr>
    </w:p>
    <w:p w14:paraId="569088BD" w14:textId="77777777" w:rsidR="001C2446" w:rsidRDefault="001C2446" w:rsidP="00F0452F">
      <w:pPr>
        <w:jc w:val="center"/>
        <w:rPr>
          <w:rFonts w:cs="Arial"/>
          <w:b/>
          <w:bCs/>
          <w:color w:val="44546A" w:themeColor="text2"/>
          <w:sz w:val="26"/>
          <w:szCs w:val="26"/>
        </w:rPr>
      </w:pPr>
    </w:p>
    <w:p w14:paraId="17580599" w14:textId="77777777" w:rsidR="001C2446" w:rsidRDefault="001C2446" w:rsidP="00F0452F">
      <w:pPr>
        <w:jc w:val="center"/>
        <w:rPr>
          <w:rFonts w:cs="Arial"/>
          <w:b/>
          <w:bCs/>
          <w:color w:val="44546A" w:themeColor="text2"/>
          <w:sz w:val="26"/>
          <w:szCs w:val="26"/>
        </w:rPr>
      </w:pPr>
    </w:p>
    <w:p w14:paraId="4CFB4361" w14:textId="77777777" w:rsidR="001C2446" w:rsidRDefault="001C2446" w:rsidP="00F0452F">
      <w:pPr>
        <w:jc w:val="center"/>
        <w:rPr>
          <w:rFonts w:cs="Arial"/>
          <w:b/>
          <w:bCs/>
          <w:color w:val="44546A" w:themeColor="text2"/>
          <w:sz w:val="26"/>
          <w:szCs w:val="26"/>
        </w:rPr>
      </w:pPr>
    </w:p>
    <w:p w14:paraId="765BE170" w14:textId="77777777" w:rsidR="001C2446" w:rsidRDefault="001C2446" w:rsidP="00F0452F">
      <w:pPr>
        <w:jc w:val="center"/>
        <w:rPr>
          <w:rFonts w:cs="Arial"/>
          <w:b/>
          <w:bCs/>
          <w:color w:val="44546A" w:themeColor="text2"/>
          <w:sz w:val="26"/>
          <w:szCs w:val="26"/>
        </w:rPr>
      </w:pPr>
    </w:p>
    <w:p w14:paraId="03E5A283" w14:textId="77777777" w:rsidR="001C2446" w:rsidRDefault="001C2446" w:rsidP="00F0452F">
      <w:pPr>
        <w:jc w:val="center"/>
        <w:rPr>
          <w:rFonts w:cs="Arial"/>
          <w:b/>
          <w:bCs/>
          <w:color w:val="44546A" w:themeColor="text2"/>
          <w:sz w:val="26"/>
          <w:szCs w:val="26"/>
        </w:rPr>
      </w:pPr>
    </w:p>
    <w:p w14:paraId="37809A4A" w14:textId="77777777" w:rsidR="001C2446" w:rsidRDefault="001C2446" w:rsidP="00F0452F">
      <w:pPr>
        <w:jc w:val="center"/>
        <w:rPr>
          <w:rFonts w:cs="Arial"/>
          <w:b/>
          <w:bCs/>
          <w:color w:val="44546A" w:themeColor="text2"/>
          <w:sz w:val="26"/>
          <w:szCs w:val="26"/>
        </w:rPr>
      </w:pPr>
    </w:p>
    <w:p w14:paraId="6B2B9021" w14:textId="77777777" w:rsidR="001C2446" w:rsidRDefault="001C2446" w:rsidP="00F0452F">
      <w:pPr>
        <w:jc w:val="center"/>
        <w:rPr>
          <w:rFonts w:cs="Arial"/>
          <w:b/>
          <w:bCs/>
          <w:color w:val="44546A" w:themeColor="text2"/>
          <w:sz w:val="26"/>
          <w:szCs w:val="26"/>
        </w:rPr>
      </w:pPr>
    </w:p>
    <w:p w14:paraId="5534EFB9" w14:textId="77777777" w:rsidR="001C2446" w:rsidRDefault="001C2446" w:rsidP="00F0452F">
      <w:pPr>
        <w:jc w:val="center"/>
        <w:rPr>
          <w:rFonts w:cs="Arial"/>
          <w:b/>
          <w:bCs/>
          <w:color w:val="44546A" w:themeColor="text2"/>
          <w:sz w:val="26"/>
          <w:szCs w:val="26"/>
        </w:rPr>
      </w:pPr>
    </w:p>
    <w:p w14:paraId="6539EDB3" w14:textId="77777777" w:rsidR="00E94CC1" w:rsidRDefault="00E94CC1" w:rsidP="00F0452F">
      <w:pPr>
        <w:jc w:val="center"/>
        <w:rPr>
          <w:rFonts w:cs="Arial"/>
          <w:b/>
          <w:bCs/>
          <w:color w:val="44546A" w:themeColor="text2"/>
          <w:sz w:val="26"/>
          <w:szCs w:val="26"/>
        </w:rPr>
      </w:pPr>
    </w:p>
    <w:p w14:paraId="2B4DC9FF" w14:textId="6B2AD4FD" w:rsidR="00361A07" w:rsidRDefault="003912CA" w:rsidP="00F0452F">
      <w:pPr>
        <w:jc w:val="center"/>
        <w:rPr>
          <w:rFonts w:cs="Arial"/>
          <w:b/>
          <w:bCs/>
          <w:color w:val="44546A" w:themeColor="text2"/>
          <w:sz w:val="26"/>
          <w:szCs w:val="26"/>
        </w:rPr>
      </w:pPr>
      <w:r>
        <w:rPr>
          <w:rFonts w:cs="Arial"/>
          <w:b/>
          <w:bCs/>
          <w:color w:val="44546A" w:themeColor="text2"/>
          <w:sz w:val="26"/>
          <w:szCs w:val="26"/>
        </w:rPr>
        <w:lastRenderedPageBreak/>
        <w:t>Commonwealth of Massachusetts</w:t>
      </w:r>
    </w:p>
    <w:p w14:paraId="129A6859" w14:textId="628300AB" w:rsidR="00B90454" w:rsidRDefault="00EA3B2C" w:rsidP="00F366B0">
      <w:pPr>
        <w:jc w:val="center"/>
        <w:rPr>
          <w:rFonts w:cs="Arial"/>
          <w:b/>
          <w:bCs/>
          <w:color w:val="44546A" w:themeColor="text2"/>
          <w:sz w:val="26"/>
          <w:szCs w:val="26"/>
        </w:rPr>
      </w:pPr>
      <w:r w:rsidRPr="00F366B0">
        <w:rPr>
          <w:rFonts w:cs="Arial"/>
          <w:b/>
          <w:bCs/>
          <w:color w:val="44546A" w:themeColor="text2"/>
          <w:sz w:val="26"/>
          <w:szCs w:val="26"/>
        </w:rPr>
        <w:t>202</w:t>
      </w:r>
      <w:r w:rsidR="003912CA">
        <w:rPr>
          <w:rFonts w:cs="Arial"/>
          <w:b/>
          <w:bCs/>
          <w:color w:val="44546A" w:themeColor="text2"/>
          <w:sz w:val="26"/>
          <w:szCs w:val="26"/>
        </w:rPr>
        <w:t>2</w:t>
      </w:r>
      <w:r w:rsidRPr="00F366B0">
        <w:rPr>
          <w:rFonts w:cs="Arial"/>
          <w:b/>
          <w:bCs/>
          <w:color w:val="44546A" w:themeColor="text2"/>
          <w:sz w:val="26"/>
          <w:szCs w:val="26"/>
        </w:rPr>
        <w:t xml:space="preserve"> Recovery Plan</w:t>
      </w:r>
      <w:r w:rsidR="00361A07">
        <w:rPr>
          <w:rFonts w:cs="Arial"/>
          <w:b/>
          <w:bCs/>
          <w:color w:val="44546A" w:themeColor="text2"/>
          <w:sz w:val="26"/>
          <w:szCs w:val="26"/>
        </w:rPr>
        <w:t xml:space="preserve"> </w:t>
      </w:r>
    </w:p>
    <w:sdt>
      <w:sdtPr>
        <w:rPr>
          <w:rFonts w:eastAsiaTheme="minorHAnsi" w:cstheme="minorBidi"/>
          <w:b w:val="0"/>
          <w:sz w:val="22"/>
          <w:szCs w:val="22"/>
          <w:u w:val="none"/>
        </w:rPr>
        <w:id w:val="-24638549"/>
        <w:docPartObj>
          <w:docPartGallery w:val="Table of Contents"/>
          <w:docPartUnique/>
        </w:docPartObj>
      </w:sdtPr>
      <w:sdtEndPr>
        <w:rPr>
          <w:bCs/>
          <w:noProof/>
        </w:rPr>
      </w:sdtEndPr>
      <w:sdtContent>
        <w:p w14:paraId="5B29569B" w14:textId="1BB1638B" w:rsidR="00917355" w:rsidRDefault="00917355" w:rsidP="00F45BC5">
          <w:pPr>
            <w:pStyle w:val="TOCHeading"/>
            <w:spacing w:after="240"/>
          </w:pPr>
          <w:r>
            <w:t>Table of Contents</w:t>
          </w:r>
        </w:p>
        <w:p w14:paraId="44503322" w14:textId="5765F4F3" w:rsidR="00965547" w:rsidRPr="00965547" w:rsidRDefault="00917355">
          <w:pPr>
            <w:pStyle w:val="TOC1"/>
            <w:tabs>
              <w:tab w:val="right" w:leader="dot" w:pos="9350"/>
            </w:tabs>
            <w:rPr>
              <w:rFonts w:asciiTheme="minorHAnsi" w:hAnsiTheme="minorHAnsi" w:cstheme="minorBidi"/>
              <w:b w:val="0"/>
              <w:bCs w:val="0"/>
              <w:noProof/>
            </w:rPr>
          </w:pPr>
          <w:r w:rsidRPr="00965547">
            <w:rPr>
              <w:b w:val="0"/>
              <w:bCs w:val="0"/>
            </w:rPr>
            <w:fldChar w:fldCharType="begin"/>
          </w:r>
          <w:r w:rsidRPr="00965547">
            <w:rPr>
              <w:b w:val="0"/>
              <w:bCs w:val="0"/>
            </w:rPr>
            <w:instrText xml:space="preserve"> TOC \o "1-3" \h \z \u </w:instrText>
          </w:r>
          <w:r w:rsidRPr="00965547">
            <w:rPr>
              <w:b w:val="0"/>
              <w:bCs w:val="0"/>
            </w:rPr>
            <w:fldChar w:fldCharType="separate"/>
          </w:r>
          <w:hyperlink w:anchor="_Toc109990559" w:history="1">
            <w:r w:rsidR="00965547" w:rsidRPr="00965547">
              <w:rPr>
                <w:rStyle w:val="Hyperlink"/>
                <w:b w:val="0"/>
                <w:bCs w:val="0"/>
                <w:noProof/>
              </w:rPr>
              <w:t>General Overview</w:t>
            </w:r>
            <w:r w:rsidR="00965547" w:rsidRPr="00965547">
              <w:rPr>
                <w:b w:val="0"/>
                <w:bCs w:val="0"/>
                <w:noProof/>
                <w:webHidden/>
              </w:rPr>
              <w:tab/>
            </w:r>
            <w:r w:rsidR="00965547" w:rsidRPr="00965547">
              <w:rPr>
                <w:b w:val="0"/>
                <w:bCs w:val="0"/>
                <w:noProof/>
                <w:webHidden/>
              </w:rPr>
              <w:fldChar w:fldCharType="begin"/>
            </w:r>
            <w:r w:rsidR="00965547" w:rsidRPr="00965547">
              <w:rPr>
                <w:b w:val="0"/>
                <w:bCs w:val="0"/>
                <w:noProof/>
                <w:webHidden/>
              </w:rPr>
              <w:instrText xml:space="preserve"> PAGEREF _Toc109990559 \h </w:instrText>
            </w:r>
            <w:r w:rsidR="00965547" w:rsidRPr="00965547">
              <w:rPr>
                <w:b w:val="0"/>
                <w:bCs w:val="0"/>
                <w:noProof/>
                <w:webHidden/>
              </w:rPr>
            </w:r>
            <w:r w:rsidR="00965547" w:rsidRPr="00965547">
              <w:rPr>
                <w:b w:val="0"/>
                <w:bCs w:val="0"/>
                <w:noProof/>
                <w:webHidden/>
              </w:rPr>
              <w:fldChar w:fldCharType="separate"/>
            </w:r>
            <w:r w:rsidR="00114917">
              <w:rPr>
                <w:b w:val="0"/>
                <w:bCs w:val="0"/>
                <w:noProof/>
                <w:webHidden/>
              </w:rPr>
              <w:t>2</w:t>
            </w:r>
            <w:r w:rsidR="00965547" w:rsidRPr="00965547">
              <w:rPr>
                <w:b w:val="0"/>
                <w:bCs w:val="0"/>
                <w:noProof/>
                <w:webHidden/>
              </w:rPr>
              <w:fldChar w:fldCharType="end"/>
            </w:r>
          </w:hyperlink>
        </w:p>
        <w:p w14:paraId="53C6657C" w14:textId="74005D5F" w:rsidR="00965547" w:rsidRPr="00965547" w:rsidRDefault="00965547">
          <w:pPr>
            <w:pStyle w:val="TOC2"/>
            <w:tabs>
              <w:tab w:val="right" w:leader="dot" w:pos="9350"/>
            </w:tabs>
            <w:rPr>
              <w:rFonts w:asciiTheme="minorHAnsi" w:hAnsiTheme="minorHAnsi" w:cstheme="minorBidi"/>
              <w:noProof/>
            </w:rPr>
          </w:pPr>
          <w:hyperlink w:anchor="_Toc109990560" w:history="1">
            <w:r w:rsidRPr="00965547">
              <w:rPr>
                <w:rStyle w:val="Hyperlink"/>
                <w:noProof/>
              </w:rPr>
              <w:t>Executive Summary</w:t>
            </w:r>
            <w:r w:rsidRPr="00965547">
              <w:rPr>
                <w:noProof/>
                <w:webHidden/>
              </w:rPr>
              <w:tab/>
            </w:r>
            <w:r w:rsidRPr="00965547">
              <w:rPr>
                <w:noProof/>
                <w:webHidden/>
              </w:rPr>
              <w:fldChar w:fldCharType="begin"/>
            </w:r>
            <w:r w:rsidRPr="00965547">
              <w:rPr>
                <w:noProof/>
                <w:webHidden/>
              </w:rPr>
              <w:instrText xml:space="preserve"> PAGEREF _Toc109990560 \h </w:instrText>
            </w:r>
            <w:r w:rsidRPr="00965547">
              <w:rPr>
                <w:noProof/>
                <w:webHidden/>
              </w:rPr>
            </w:r>
            <w:r w:rsidRPr="00965547">
              <w:rPr>
                <w:noProof/>
                <w:webHidden/>
              </w:rPr>
              <w:fldChar w:fldCharType="separate"/>
            </w:r>
            <w:r w:rsidR="00114917">
              <w:rPr>
                <w:noProof/>
                <w:webHidden/>
              </w:rPr>
              <w:t>2</w:t>
            </w:r>
            <w:r w:rsidRPr="00965547">
              <w:rPr>
                <w:noProof/>
                <w:webHidden/>
              </w:rPr>
              <w:fldChar w:fldCharType="end"/>
            </w:r>
          </w:hyperlink>
        </w:p>
        <w:p w14:paraId="7D30207B" w14:textId="389CA99C" w:rsidR="00965547" w:rsidRPr="00965547" w:rsidRDefault="00965547">
          <w:pPr>
            <w:pStyle w:val="TOC2"/>
            <w:tabs>
              <w:tab w:val="right" w:leader="dot" w:pos="9350"/>
            </w:tabs>
            <w:rPr>
              <w:rFonts w:asciiTheme="minorHAnsi" w:hAnsiTheme="minorHAnsi" w:cstheme="minorBidi"/>
              <w:noProof/>
            </w:rPr>
          </w:pPr>
          <w:hyperlink w:anchor="_Toc109990561" w:history="1">
            <w:r w:rsidRPr="00965547">
              <w:rPr>
                <w:rStyle w:val="Hyperlink"/>
                <w:noProof/>
              </w:rPr>
              <w:t>Uses of Funds</w:t>
            </w:r>
            <w:r w:rsidRPr="00965547">
              <w:rPr>
                <w:noProof/>
                <w:webHidden/>
              </w:rPr>
              <w:tab/>
            </w:r>
            <w:r w:rsidRPr="00965547">
              <w:rPr>
                <w:noProof/>
                <w:webHidden/>
              </w:rPr>
              <w:fldChar w:fldCharType="begin"/>
            </w:r>
            <w:r w:rsidRPr="00965547">
              <w:rPr>
                <w:noProof/>
                <w:webHidden/>
              </w:rPr>
              <w:instrText xml:space="preserve"> PAGEREF _Toc109990561 \h </w:instrText>
            </w:r>
            <w:r w:rsidRPr="00965547">
              <w:rPr>
                <w:noProof/>
                <w:webHidden/>
              </w:rPr>
            </w:r>
            <w:r w:rsidRPr="00965547">
              <w:rPr>
                <w:noProof/>
                <w:webHidden/>
              </w:rPr>
              <w:fldChar w:fldCharType="separate"/>
            </w:r>
            <w:r w:rsidR="00114917">
              <w:rPr>
                <w:noProof/>
                <w:webHidden/>
              </w:rPr>
              <w:t>3</w:t>
            </w:r>
            <w:r w:rsidRPr="00965547">
              <w:rPr>
                <w:noProof/>
                <w:webHidden/>
              </w:rPr>
              <w:fldChar w:fldCharType="end"/>
            </w:r>
          </w:hyperlink>
        </w:p>
        <w:p w14:paraId="3A5B181A" w14:textId="0B26D0B4" w:rsidR="00965547" w:rsidRPr="00965547" w:rsidRDefault="00965547">
          <w:pPr>
            <w:pStyle w:val="TOC3"/>
            <w:tabs>
              <w:tab w:val="right" w:leader="dot" w:pos="9350"/>
            </w:tabs>
            <w:rPr>
              <w:rFonts w:asciiTheme="minorHAnsi" w:hAnsiTheme="minorHAnsi" w:cstheme="minorBidi"/>
              <w:noProof/>
            </w:rPr>
          </w:pPr>
          <w:hyperlink w:anchor="_Toc109990562" w:history="1">
            <w:r w:rsidRPr="00965547">
              <w:rPr>
                <w:rStyle w:val="Hyperlink"/>
                <w:noProof/>
              </w:rPr>
              <w:t>Period 1: Executive Action</w:t>
            </w:r>
            <w:r w:rsidRPr="00965547">
              <w:rPr>
                <w:noProof/>
                <w:webHidden/>
              </w:rPr>
              <w:tab/>
            </w:r>
            <w:r w:rsidRPr="00965547">
              <w:rPr>
                <w:noProof/>
                <w:webHidden/>
              </w:rPr>
              <w:fldChar w:fldCharType="begin"/>
            </w:r>
            <w:r w:rsidRPr="00965547">
              <w:rPr>
                <w:noProof/>
                <w:webHidden/>
              </w:rPr>
              <w:instrText xml:space="preserve"> PAGEREF _Toc109990562 \h </w:instrText>
            </w:r>
            <w:r w:rsidRPr="00965547">
              <w:rPr>
                <w:noProof/>
                <w:webHidden/>
              </w:rPr>
            </w:r>
            <w:r w:rsidRPr="00965547">
              <w:rPr>
                <w:noProof/>
                <w:webHidden/>
              </w:rPr>
              <w:fldChar w:fldCharType="separate"/>
            </w:r>
            <w:r w:rsidR="00114917">
              <w:rPr>
                <w:noProof/>
                <w:webHidden/>
              </w:rPr>
              <w:t>3</w:t>
            </w:r>
            <w:r w:rsidRPr="00965547">
              <w:rPr>
                <w:noProof/>
                <w:webHidden/>
              </w:rPr>
              <w:fldChar w:fldCharType="end"/>
            </w:r>
          </w:hyperlink>
        </w:p>
        <w:p w14:paraId="53B87C61" w14:textId="774B09BF" w:rsidR="00965547" w:rsidRPr="00965547" w:rsidRDefault="00965547">
          <w:pPr>
            <w:pStyle w:val="TOC3"/>
            <w:tabs>
              <w:tab w:val="right" w:leader="dot" w:pos="9350"/>
            </w:tabs>
            <w:rPr>
              <w:rFonts w:asciiTheme="minorHAnsi" w:hAnsiTheme="minorHAnsi" w:cstheme="minorBidi"/>
              <w:noProof/>
            </w:rPr>
          </w:pPr>
          <w:hyperlink w:anchor="_Toc109990563" w:history="1">
            <w:r w:rsidRPr="00965547">
              <w:rPr>
                <w:rStyle w:val="Hyperlink"/>
                <w:rFonts w:cs="Arial"/>
                <w:iCs/>
                <w:noProof/>
              </w:rPr>
              <w:t>Period 2: Chapter 102</w:t>
            </w:r>
            <w:r w:rsidRPr="00965547">
              <w:rPr>
                <w:noProof/>
                <w:webHidden/>
              </w:rPr>
              <w:tab/>
            </w:r>
            <w:r w:rsidRPr="00965547">
              <w:rPr>
                <w:noProof/>
                <w:webHidden/>
              </w:rPr>
              <w:fldChar w:fldCharType="begin"/>
            </w:r>
            <w:r w:rsidRPr="00965547">
              <w:rPr>
                <w:noProof/>
                <w:webHidden/>
              </w:rPr>
              <w:instrText xml:space="preserve"> PAGEREF _Toc109990563 \h </w:instrText>
            </w:r>
            <w:r w:rsidRPr="00965547">
              <w:rPr>
                <w:noProof/>
                <w:webHidden/>
              </w:rPr>
            </w:r>
            <w:r w:rsidRPr="00965547">
              <w:rPr>
                <w:noProof/>
                <w:webHidden/>
              </w:rPr>
              <w:fldChar w:fldCharType="separate"/>
            </w:r>
            <w:r w:rsidR="00114917">
              <w:rPr>
                <w:noProof/>
                <w:webHidden/>
              </w:rPr>
              <w:t>3</w:t>
            </w:r>
            <w:r w:rsidRPr="00965547">
              <w:rPr>
                <w:noProof/>
                <w:webHidden/>
              </w:rPr>
              <w:fldChar w:fldCharType="end"/>
            </w:r>
          </w:hyperlink>
        </w:p>
        <w:p w14:paraId="67887465" w14:textId="6AFE6289" w:rsidR="00965547" w:rsidRPr="00965547" w:rsidRDefault="00965547">
          <w:pPr>
            <w:pStyle w:val="TOC3"/>
            <w:tabs>
              <w:tab w:val="right" w:leader="dot" w:pos="9350"/>
            </w:tabs>
            <w:rPr>
              <w:rFonts w:asciiTheme="minorHAnsi" w:hAnsiTheme="minorHAnsi" w:cstheme="minorBidi"/>
              <w:noProof/>
            </w:rPr>
          </w:pPr>
          <w:hyperlink w:anchor="_Toc109990564" w:history="1">
            <w:r w:rsidRPr="00965547">
              <w:rPr>
                <w:rStyle w:val="Hyperlink"/>
                <w:noProof/>
              </w:rPr>
              <w:t>Period 3: FORWARD</w:t>
            </w:r>
            <w:r w:rsidRPr="00965547">
              <w:rPr>
                <w:noProof/>
                <w:webHidden/>
              </w:rPr>
              <w:tab/>
            </w:r>
            <w:r w:rsidRPr="00965547">
              <w:rPr>
                <w:noProof/>
                <w:webHidden/>
              </w:rPr>
              <w:fldChar w:fldCharType="begin"/>
            </w:r>
            <w:r w:rsidRPr="00965547">
              <w:rPr>
                <w:noProof/>
                <w:webHidden/>
              </w:rPr>
              <w:instrText xml:space="preserve"> PAGEREF _Toc109990564 \h </w:instrText>
            </w:r>
            <w:r w:rsidRPr="00965547">
              <w:rPr>
                <w:noProof/>
                <w:webHidden/>
              </w:rPr>
            </w:r>
            <w:r w:rsidRPr="00965547">
              <w:rPr>
                <w:noProof/>
                <w:webHidden/>
              </w:rPr>
              <w:fldChar w:fldCharType="separate"/>
            </w:r>
            <w:r w:rsidR="00114917">
              <w:rPr>
                <w:noProof/>
                <w:webHidden/>
              </w:rPr>
              <w:t>4</w:t>
            </w:r>
            <w:r w:rsidRPr="00965547">
              <w:rPr>
                <w:noProof/>
                <w:webHidden/>
              </w:rPr>
              <w:fldChar w:fldCharType="end"/>
            </w:r>
          </w:hyperlink>
        </w:p>
        <w:p w14:paraId="78E63AC1" w14:textId="5AE468CA" w:rsidR="00965547" w:rsidRPr="00965547" w:rsidRDefault="00965547">
          <w:pPr>
            <w:pStyle w:val="TOC2"/>
            <w:tabs>
              <w:tab w:val="right" w:leader="dot" w:pos="9350"/>
            </w:tabs>
            <w:rPr>
              <w:rFonts w:asciiTheme="minorHAnsi" w:hAnsiTheme="minorHAnsi" w:cstheme="minorBidi"/>
              <w:noProof/>
            </w:rPr>
          </w:pPr>
          <w:hyperlink w:anchor="_Toc109990565" w:history="1">
            <w:r w:rsidRPr="00965547">
              <w:rPr>
                <w:rStyle w:val="Hyperlink"/>
                <w:noProof/>
              </w:rPr>
              <w:t>Promoting Equitable Outcomes and Community Engagement</w:t>
            </w:r>
            <w:r w:rsidRPr="00965547">
              <w:rPr>
                <w:noProof/>
                <w:webHidden/>
              </w:rPr>
              <w:tab/>
            </w:r>
            <w:r w:rsidRPr="00965547">
              <w:rPr>
                <w:noProof/>
                <w:webHidden/>
              </w:rPr>
              <w:fldChar w:fldCharType="begin"/>
            </w:r>
            <w:r w:rsidRPr="00965547">
              <w:rPr>
                <w:noProof/>
                <w:webHidden/>
              </w:rPr>
              <w:instrText xml:space="preserve"> PAGEREF _Toc109990565 \h </w:instrText>
            </w:r>
            <w:r w:rsidRPr="00965547">
              <w:rPr>
                <w:noProof/>
                <w:webHidden/>
              </w:rPr>
            </w:r>
            <w:r w:rsidRPr="00965547">
              <w:rPr>
                <w:noProof/>
                <w:webHidden/>
              </w:rPr>
              <w:fldChar w:fldCharType="separate"/>
            </w:r>
            <w:r w:rsidR="00114917">
              <w:rPr>
                <w:noProof/>
                <w:webHidden/>
              </w:rPr>
              <w:t>5</w:t>
            </w:r>
            <w:r w:rsidRPr="00965547">
              <w:rPr>
                <w:noProof/>
                <w:webHidden/>
              </w:rPr>
              <w:fldChar w:fldCharType="end"/>
            </w:r>
          </w:hyperlink>
        </w:p>
        <w:p w14:paraId="3368E5D1" w14:textId="7B42B027" w:rsidR="00965547" w:rsidRPr="00965547" w:rsidRDefault="00965547">
          <w:pPr>
            <w:pStyle w:val="TOC2"/>
            <w:tabs>
              <w:tab w:val="right" w:leader="dot" w:pos="9350"/>
            </w:tabs>
            <w:rPr>
              <w:rFonts w:asciiTheme="minorHAnsi" w:hAnsiTheme="minorHAnsi" w:cstheme="minorBidi"/>
              <w:noProof/>
            </w:rPr>
          </w:pPr>
          <w:hyperlink w:anchor="_Toc109990566" w:history="1">
            <w:r w:rsidRPr="00965547">
              <w:rPr>
                <w:rStyle w:val="Hyperlink"/>
                <w:noProof/>
              </w:rPr>
              <w:t>Labor Practices</w:t>
            </w:r>
            <w:r w:rsidRPr="00965547">
              <w:rPr>
                <w:noProof/>
                <w:webHidden/>
              </w:rPr>
              <w:tab/>
            </w:r>
            <w:r w:rsidRPr="00965547">
              <w:rPr>
                <w:noProof/>
                <w:webHidden/>
              </w:rPr>
              <w:fldChar w:fldCharType="begin"/>
            </w:r>
            <w:r w:rsidRPr="00965547">
              <w:rPr>
                <w:noProof/>
                <w:webHidden/>
              </w:rPr>
              <w:instrText xml:space="preserve"> PAGEREF _Toc109990566 \h </w:instrText>
            </w:r>
            <w:r w:rsidRPr="00965547">
              <w:rPr>
                <w:noProof/>
                <w:webHidden/>
              </w:rPr>
            </w:r>
            <w:r w:rsidRPr="00965547">
              <w:rPr>
                <w:noProof/>
                <w:webHidden/>
              </w:rPr>
              <w:fldChar w:fldCharType="separate"/>
            </w:r>
            <w:r w:rsidR="00114917">
              <w:rPr>
                <w:noProof/>
                <w:webHidden/>
              </w:rPr>
              <w:t>6</w:t>
            </w:r>
            <w:r w:rsidRPr="00965547">
              <w:rPr>
                <w:noProof/>
                <w:webHidden/>
              </w:rPr>
              <w:fldChar w:fldCharType="end"/>
            </w:r>
          </w:hyperlink>
        </w:p>
        <w:p w14:paraId="5A454563" w14:textId="10FF0E4C" w:rsidR="00965547" w:rsidRPr="00965547" w:rsidRDefault="00965547">
          <w:pPr>
            <w:pStyle w:val="TOC2"/>
            <w:tabs>
              <w:tab w:val="right" w:leader="dot" w:pos="9350"/>
            </w:tabs>
            <w:rPr>
              <w:rFonts w:asciiTheme="minorHAnsi" w:hAnsiTheme="minorHAnsi" w:cstheme="minorBidi"/>
              <w:noProof/>
            </w:rPr>
          </w:pPr>
          <w:hyperlink w:anchor="_Toc109990567" w:history="1">
            <w:r w:rsidRPr="00965547">
              <w:rPr>
                <w:rStyle w:val="Hyperlink"/>
                <w:noProof/>
              </w:rPr>
              <w:t>Use of Evidence</w:t>
            </w:r>
            <w:r w:rsidRPr="00965547">
              <w:rPr>
                <w:noProof/>
                <w:webHidden/>
              </w:rPr>
              <w:tab/>
            </w:r>
            <w:r w:rsidRPr="00965547">
              <w:rPr>
                <w:noProof/>
                <w:webHidden/>
              </w:rPr>
              <w:fldChar w:fldCharType="begin"/>
            </w:r>
            <w:r w:rsidRPr="00965547">
              <w:rPr>
                <w:noProof/>
                <w:webHidden/>
              </w:rPr>
              <w:instrText xml:space="preserve"> PAGEREF _Toc109990567 \h </w:instrText>
            </w:r>
            <w:r w:rsidRPr="00965547">
              <w:rPr>
                <w:noProof/>
                <w:webHidden/>
              </w:rPr>
            </w:r>
            <w:r w:rsidRPr="00965547">
              <w:rPr>
                <w:noProof/>
                <w:webHidden/>
              </w:rPr>
              <w:fldChar w:fldCharType="separate"/>
            </w:r>
            <w:r w:rsidR="00114917">
              <w:rPr>
                <w:noProof/>
                <w:webHidden/>
              </w:rPr>
              <w:t>6</w:t>
            </w:r>
            <w:r w:rsidRPr="00965547">
              <w:rPr>
                <w:noProof/>
                <w:webHidden/>
              </w:rPr>
              <w:fldChar w:fldCharType="end"/>
            </w:r>
          </w:hyperlink>
        </w:p>
        <w:p w14:paraId="2E83C53A" w14:textId="205379D4" w:rsidR="00965547" w:rsidRPr="00965547" w:rsidRDefault="00965547">
          <w:pPr>
            <w:pStyle w:val="TOC1"/>
            <w:tabs>
              <w:tab w:val="right" w:leader="dot" w:pos="9350"/>
            </w:tabs>
            <w:rPr>
              <w:rFonts w:asciiTheme="minorHAnsi" w:hAnsiTheme="minorHAnsi" w:cstheme="minorBidi"/>
              <w:b w:val="0"/>
              <w:bCs w:val="0"/>
              <w:noProof/>
            </w:rPr>
          </w:pPr>
          <w:hyperlink w:anchor="_Toc109990568" w:history="1">
            <w:r w:rsidRPr="00965547">
              <w:rPr>
                <w:rStyle w:val="Hyperlink"/>
                <w:b w:val="0"/>
                <w:bCs w:val="0"/>
                <w:noProof/>
              </w:rPr>
              <w:t>Project Inventory</w:t>
            </w:r>
            <w:r w:rsidRPr="00965547">
              <w:rPr>
                <w:b w:val="0"/>
                <w:bCs w:val="0"/>
                <w:noProof/>
                <w:webHidden/>
              </w:rPr>
              <w:tab/>
            </w:r>
            <w:r w:rsidRPr="00965547">
              <w:rPr>
                <w:b w:val="0"/>
                <w:bCs w:val="0"/>
                <w:noProof/>
                <w:webHidden/>
              </w:rPr>
              <w:fldChar w:fldCharType="begin"/>
            </w:r>
            <w:r w:rsidRPr="00965547">
              <w:rPr>
                <w:b w:val="0"/>
                <w:bCs w:val="0"/>
                <w:noProof/>
                <w:webHidden/>
              </w:rPr>
              <w:instrText xml:space="preserve"> PAGEREF _Toc109990568 \h </w:instrText>
            </w:r>
            <w:r w:rsidRPr="00965547">
              <w:rPr>
                <w:b w:val="0"/>
                <w:bCs w:val="0"/>
                <w:noProof/>
                <w:webHidden/>
              </w:rPr>
            </w:r>
            <w:r w:rsidRPr="00965547">
              <w:rPr>
                <w:b w:val="0"/>
                <w:bCs w:val="0"/>
                <w:noProof/>
                <w:webHidden/>
              </w:rPr>
              <w:fldChar w:fldCharType="separate"/>
            </w:r>
            <w:r w:rsidR="00114917">
              <w:rPr>
                <w:b w:val="0"/>
                <w:bCs w:val="0"/>
                <w:noProof/>
                <w:webHidden/>
              </w:rPr>
              <w:t>8</w:t>
            </w:r>
            <w:r w:rsidRPr="00965547">
              <w:rPr>
                <w:b w:val="0"/>
                <w:bCs w:val="0"/>
                <w:noProof/>
                <w:webHidden/>
              </w:rPr>
              <w:fldChar w:fldCharType="end"/>
            </w:r>
          </w:hyperlink>
        </w:p>
        <w:p w14:paraId="103208E1" w14:textId="5D272A3F" w:rsidR="00965547" w:rsidRPr="00965547" w:rsidRDefault="00965547">
          <w:pPr>
            <w:pStyle w:val="TOC1"/>
            <w:tabs>
              <w:tab w:val="right" w:leader="dot" w:pos="9350"/>
            </w:tabs>
            <w:rPr>
              <w:rFonts w:asciiTheme="minorHAnsi" w:hAnsiTheme="minorHAnsi" w:cstheme="minorBidi"/>
              <w:b w:val="0"/>
              <w:bCs w:val="0"/>
              <w:noProof/>
            </w:rPr>
          </w:pPr>
          <w:hyperlink w:anchor="_Toc109990569" w:history="1">
            <w:r w:rsidRPr="00965547">
              <w:rPr>
                <w:rStyle w:val="Hyperlink"/>
                <w:b w:val="0"/>
                <w:bCs w:val="0"/>
                <w:noProof/>
              </w:rPr>
              <w:t>Tax Offset Provision</w:t>
            </w:r>
            <w:r w:rsidRPr="00965547">
              <w:rPr>
                <w:b w:val="0"/>
                <w:bCs w:val="0"/>
                <w:noProof/>
                <w:webHidden/>
              </w:rPr>
              <w:tab/>
            </w:r>
            <w:r w:rsidRPr="00965547">
              <w:rPr>
                <w:b w:val="0"/>
                <w:bCs w:val="0"/>
                <w:noProof/>
                <w:webHidden/>
              </w:rPr>
              <w:fldChar w:fldCharType="begin"/>
            </w:r>
            <w:r w:rsidRPr="00965547">
              <w:rPr>
                <w:b w:val="0"/>
                <w:bCs w:val="0"/>
                <w:noProof/>
                <w:webHidden/>
              </w:rPr>
              <w:instrText xml:space="preserve"> PAGEREF _Toc109990569 \h </w:instrText>
            </w:r>
            <w:r w:rsidRPr="00965547">
              <w:rPr>
                <w:b w:val="0"/>
                <w:bCs w:val="0"/>
                <w:noProof/>
                <w:webHidden/>
              </w:rPr>
            </w:r>
            <w:r w:rsidRPr="00965547">
              <w:rPr>
                <w:b w:val="0"/>
                <w:bCs w:val="0"/>
                <w:noProof/>
                <w:webHidden/>
              </w:rPr>
              <w:fldChar w:fldCharType="separate"/>
            </w:r>
            <w:r w:rsidR="00114917">
              <w:rPr>
                <w:b w:val="0"/>
                <w:bCs w:val="0"/>
                <w:noProof/>
                <w:webHidden/>
              </w:rPr>
              <w:t>13</w:t>
            </w:r>
            <w:r w:rsidRPr="00965547">
              <w:rPr>
                <w:b w:val="0"/>
                <w:bCs w:val="0"/>
                <w:noProof/>
                <w:webHidden/>
              </w:rPr>
              <w:fldChar w:fldCharType="end"/>
            </w:r>
          </w:hyperlink>
        </w:p>
        <w:p w14:paraId="6A8B6C2A" w14:textId="25EE2283" w:rsidR="00965547" w:rsidRPr="00965547" w:rsidRDefault="00965547">
          <w:pPr>
            <w:pStyle w:val="TOC1"/>
            <w:tabs>
              <w:tab w:val="right" w:leader="dot" w:pos="9350"/>
            </w:tabs>
            <w:rPr>
              <w:rFonts w:asciiTheme="minorHAnsi" w:hAnsiTheme="minorHAnsi" w:cstheme="minorBidi"/>
              <w:b w:val="0"/>
              <w:bCs w:val="0"/>
              <w:noProof/>
            </w:rPr>
          </w:pPr>
          <w:hyperlink w:anchor="_Toc109990570" w:history="1">
            <w:r w:rsidRPr="00965547">
              <w:rPr>
                <w:rStyle w:val="Hyperlink"/>
                <w:b w:val="0"/>
                <w:bCs w:val="0"/>
                <w:noProof/>
              </w:rPr>
              <w:t>Appendix</w:t>
            </w:r>
            <w:r w:rsidRPr="00965547">
              <w:rPr>
                <w:b w:val="0"/>
                <w:bCs w:val="0"/>
                <w:noProof/>
                <w:webHidden/>
              </w:rPr>
              <w:tab/>
            </w:r>
            <w:r w:rsidRPr="00965547">
              <w:rPr>
                <w:b w:val="0"/>
                <w:bCs w:val="0"/>
                <w:noProof/>
                <w:webHidden/>
              </w:rPr>
              <w:fldChar w:fldCharType="begin"/>
            </w:r>
            <w:r w:rsidRPr="00965547">
              <w:rPr>
                <w:b w:val="0"/>
                <w:bCs w:val="0"/>
                <w:noProof/>
                <w:webHidden/>
              </w:rPr>
              <w:instrText xml:space="preserve"> PAGEREF _Toc109990570 \h </w:instrText>
            </w:r>
            <w:r w:rsidRPr="00965547">
              <w:rPr>
                <w:b w:val="0"/>
                <w:bCs w:val="0"/>
                <w:noProof/>
                <w:webHidden/>
              </w:rPr>
            </w:r>
            <w:r w:rsidRPr="00965547">
              <w:rPr>
                <w:b w:val="0"/>
                <w:bCs w:val="0"/>
                <w:noProof/>
                <w:webHidden/>
              </w:rPr>
              <w:fldChar w:fldCharType="separate"/>
            </w:r>
            <w:r w:rsidR="00114917">
              <w:rPr>
                <w:b w:val="0"/>
                <w:bCs w:val="0"/>
                <w:noProof/>
                <w:webHidden/>
              </w:rPr>
              <w:t>14</w:t>
            </w:r>
            <w:r w:rsidRPr="00965547">
              <w:rPr>
                <w:b w:val="0"/>
                <w:bCs w:val="0"/>
                <w:noProof/>
                <w:webHidden/>
              </w:rPr>
              <w:fldChar w:fldCharType="end"/>
            </w:r>
          </w:hyperlink>
        </w:p>
        <w:p w14:paraId="01C16B97" w14:textId="37E94C10" w:rsidR="00965547" w:rsidRPr="00965547" w:rsidRDefault="00965547">
          <w:pPr>
            <w:pStyle w:val="TOC2"/>
            <w:tabs>
              <w:tab w:val="right" w:leader="dot" w:pos="9350"/>
            </w:tabs>
            <w:rPr>
              <w:rFonts w:asciiTheme="minorHAnsi" w:hAnsiTheme="minorHAnsi" w:cstheme="minorBidi"/>
              <w:noProof/>
            </w:rPr>
          </w:pPr>
          <w:hyperlink w:anchor="_Toc109990571" w:history="1">
            <w:r w:rsidRPr="00965547">
              <w:rPr>
                <w:rStyle w:val="Hyperlink"/>
                <w:noProof/>
              </w:rPr>
              <w:t>Appendix I: Framework for Use of Evidence-Based Interventions</w:t>
            </w:r>
            <w:r w:rsidRPr="00965547">
              <w:rPr>
                <w:noProof/>
                <w:webHidden/>
              </w:rPr>
              <w:tab/>
            </w:r>
            <w:r w:rsidRPr="00965547">
              <w:rPr>
                <w:noProof/>
                <w:webHidden/>
              </w:rPr>
              <w:fldChar w:fldCharType="begin"/>
            </w:r>
            <w:r w:rsidRPr="00965547">
              <w:rPr>
                <w:noProof/>
                <w:webHidden/>
              </w:rPr>
              <w:instrText xml:space="preserve"> PAGEREF _Toc109990571 \h </w:instrText>
            </w:r>
            <w:r w:rsidRPr="00965547">
              <w:rPr>
                <w:noProof/>
                <w:webHidden/>
              </w:rPr>
            </w:r>
            <w:r w:rsidRPr="00965547">
              <w:rPr>
                <w:noProof/>
                <w:webHidden/>
              </w:rPr>
              <w:fldChar w:fldCharType="separate"/>
            </w:r>
            <w:r w:rsidR="00114917">
              <w:rPr>
                <w:noProof/>
                <w:webHidden/>
              </w:rPr>
              <w:t>14</w:t>
            </w:r>
            <w:r w:rsidRPr="00965547">
              <w:rPr>
                <w:noProof/>
                <w:webHidden/>
              </w:rPr>
              <w:fldChar w:fldCharType="end"/>
            </w:r>
          </w:hyperlink>
        </w:p>
        <w:p w14:paraId="5BEC4C87" w14:textId="74493BA5" w:rsidR="00917355" w:rsidRDefault="00917355">
          <w:r w:rsidRPr="00965547">
            <w:rPr>
              <w:noProof/>
            </w:rPr>
            <w:fldChar w:fldCharType="end"/>
          </w:r>
        </w:p>
      </w:sdtContent>
    </w:sdt>
    <w:p w14:paraId="06478CA4" w14:textId="619430FF" w:rsidR="0091680B" w:rsidRPr="00980A1A" w:rsidRDefault="00980A1A" w:rsidP="00980A1A">
      <w:pPr>
        <w:rPr>
          <w:rFonts w:eastAsiaTheme="majorEastAsia" w:cstheme="majorBidi"/>
          <w:b/>
          <w:sz w:val="24"/>
          <w:szCs w:val="32"/>
          <w:u w:val="single"/>
        </w:rPr>
      </w:pPr>
      <w:r>
        <w:br w:type="page"/>
      </w:r>
    </w:p>
    <w:p w14:paraId="073F3C5B" w14:textId="3B6E65D0" w:rsidR="000A6192" w:rsidRPr="000A6192" w:rsidRDefault="00723C66" w:rsidP="00F45BC5">
      <w:pPr>
        <w:pStyle w:val="Heading1"/>
        <w:spacing w:after="240"/>
      </w:pPr>
      <w:bookmarkStart w:id="0" w:name="_Toc109990559"/>
      <w:r>
        <w:lastRenderedPageBreak/>
        <w:t>General Overview</w:t>
      </w:r>
      <w:bookmarkEnd w:id="0"/>
    </w:p>
    <w:p w14:paraId="5C7A3569" w14:textId="58586FD5" w:rsidR="000A6192" w:rsidRPr="000A6192" w:rsidRDefault="001E5F72" w:rsidP="000A6192">
      <w:pPr>
        <w:pStyle w:val="Heading2"/>
        <w:spacing w:after="240"/>
      </w:pPr>
      <w:bookmarkStart w:id="1" w:name="_Toc109990560"/>
      <w:r w:rsidRPr="00285473">
        <w:t>Executive Summary</w:t>
      </w:r>
      <w:bookmarkEnd w:id="1"/>
      <w:r w:rsidRPr="00285473">
        <w:t xml:space="preserve"> </w:t>
      </w:r>
    </w:p>
    <w:p w14:paraId="55BCD140" w14:textId="1725F9B6" w:rsidR="001E6ABF" w:rsidRDefault="001E6ABF" w:rsidP="008C06FE">
      <w:pPr>
        <w:spacing w:line="276" w:lineRule="auto"/>
        <w:rPr>
          <w:rFonts w:cs="Arial"/>
        </w:rPr>
      </w:pPr>
      <w:r w:rsidRPr="007D37AD">
        <w:rPr>
          <w:rFonts w:cs="Arial"/>
        </w:rPr>
        <w:t xml:space="preserve">The American Rescue Plan Act of 2021, Pub. L. 117-2 (March 11, 2021) (ARPA) allocated </w:t>
      </w:r>
      <w:r w:rsidRPr="006E04B9">
        <w:rPr>
          <w:rFonts w:cs="Arial"/>
        </w:rPr>
        <w:t>approximately $5.3 billion to the Commonwealth of Massachusetts through the Coronavirus State Fiscal Recovery Fund (CSFRF). This 2022 Recovery Plan Performance Report summarizes the Commonwealth’s response to the public health emergency caused by COVID-19, describes programs or projects supported or proposed to be supported with CSFRF resources, and provides information about the methods, processes, and procedures used to deploy these funds.</w:t>
      </w:r>
    </w:p>
    <w:p w14:paraId="43485832" w14:textId="3DD01F5C" w:rsidR="003F0531" w:rsidRPr="006E04B9" w:rsidRDefault="003F0531" w:rsidP="008C06FE">
      <w:pPr>
        <w:spacing w:line="276" w:lineRule="auto"/>
        <w:rPr>
          <w:rFonts w:cs="Arial"/>
        </w:rPr>
      </w:pPr>
      <w:r w:rsidRPr="003F0531">
        <w:rPr>
          <w:rFonts w:cs="Arial"/>
        </w:rPr>
        <w:t xml:space="preserve">The Commonwealth experienced approximately 1.8 million confirmed cases, 19,709 confirmed deaths, and a further 1,235 probable deaths due to COVID-19 per data from the Massachusetts Department of Public Health as of June 30, 2022.  Approximately 5.4 million individuals, representing 77 percent of the Commonwealth’s population, have been vaccinated as of May 26, 2022. Governor Baker continues to monitor public health data related to COVID-19.    </w:t>
      </w:r>
    </w:p>
    <w:p w14:paraId="4BC3A5C4" w14:textId="205D9151" w:rsidR="00C74429" w:rsidRPr="006E04B9" w:rsidRDefault="00170823" w:rsidP="001E6ABF">
      <w:pPr>
        <w:spacing w:line="276" w:lineRule="auto"/>
        <w:rPr>
          <w:rFonts w:cs="Arial"/>
        </w:rPr>
      </w:pPr>
      <w:r w:rsidRPr="006E04B9">
        <w:rPr>
          <w:rFonts w:cs="Arial"/>
        </w:rPr>
        <w:t xml:space="preserve">Following the initial passage of ARPA, the Commonwealth </w:t>
      </w:r>
      <w:r w:rsidR="00256A60">
        <w:rPr>
          <w:rFonts w:cs="Arial"/>
        </w:rPr>
        <w:t>began</w:t>
      </w:r>
      <w:r w:rsidR="00256A60" w:rsidRPr="006E04B9">
        <w:rPr>
          <w:rFonts w:cs="Arial"/>
        </w:rPr>
        <w:t xml:space="preserve"> </w:t>
      </w:r>
      <w:r w:rsidR="00100962" w:rsidRPr="006E04B9">
        <w:rPr>
          <w:rFonts w:cs="Arial"/>
        </w:rPr>
        <w:t xml:space="preserve">investing CSFRF funds into programs that addressed </w:t>
      </w:r>
      <w:r w:rsidR="00940576" w:rsidRPr="006E04B9">
        <w:rPr>
          <w:rFonts w:cs="Arial"/>
        </w:rPr>
        <w:t>the immediate needs of residents. These programs</w:t>
      </w:r>
      <w:r w:rsidR="0001211E">
        <w:rPr>
          <w:rFonts w:cs="Arial"/>
        </w:rPr>
        <w:t>, which</w:t>
      </w:r>
      <w:r w:rsidR="00940576" w:rsidRPr="006E04B9">
        <w:rPr>
          <w:rFonts w:cs="Arial"/>
        </w:rPr>
        <w:t xml:space="preserve"> commenced in the Spring of 2021</w:t>
      </w:r>
      <w:r w:rsidR="0001211E">
        <w:rPr>
          <w:rFonts w:cs="Arial"/>
        </w:rPr>
        <w:t>,</w:t>
      </w:r>
      <w:r w:rsidR="002E7E80" w:rsidRPr="006E04B9">
        <w:rPr>
          <w:rFonts w:cs="Arial"/>
        </w:rPr>
        <w:t xml:space="preserve"> </w:t>
      </w:r>
      <w:r w:rsidR="008C06FE">
        <w:rPr>
          <w:rFonts w:cs="Arial"/>
        </w:rPr>
        <w:t>provided</w:t>
      </w:r>
      <w:r w:rsidR="002E7E80" w:rsidRPr="006E04B9">
        <w:rPr>
          <w:rFonts w:cs="Arial"/>
        </w:rPr>
        <w:t xml:space="preserve"> additional aid to disproportionately impacted communities</w:t>
      </w:r>
      <w:r w:rsidR="00586BB5" w:rsidRPr="006E04B9">
        <w:rPr>
          <w:rFonts w:cs="Arial"/>
        </w:rPr>
        <w:t>;</w:t>
      </w:r>
      <w:r w:rsidR="00D17284" w:rsidRPr="006E04B9">
        <w:rPr>
          <w:rFonts w:cs="Arial"/>
        </w:rPr>
        <w:t xml:space="preserve"> </w:t>
      </w:r>
      <w:r w:rsidR="008C06FE">
        <w:rPr>
          <w:rFonts w:cs="Arial"/>
        </w:rPr>
        <w:t>funded</w:t>
      </w:r>
      <w:r w:rsidR="003555C0" w:rsidRPr="006E04B9">
        <w:rPr>
          <w:rFonts w:cs="Arial"/>
        </w:rPr>
        <w:t xml:space="preserve"> </w:t>
      </w:r>
      <w:r w:rsidR="00D17284" w:rsidRPr="006E04B9">
        <w:rPr>
          <w:rFonts w:cs="Arial"/>
        </w:rPr>
        <w:t>pai</w:t>
      </w:r>
      <w:r w:rsidR="00E70EF5" w:rsidRPr="006E04B9">
        <w:rPr>
          <w:rFonts w:cs="Arial"/>
        </w:rPr>
        <w:t>d sick leave for workers to recover</w:t>
      </w:r>
      <w:r w:rsidR="00951901" w:rsidRPr="006E04B9">
        <w:rPr>
          <w:rFonts w:cs="Arial"/>
        </w:rPr>
        <w:t>, quarantine</w:t>
      </w:r>
      <w:r w:rsidR="00D127CB" w:rsidRPr="006E04B9">
        <w:rPr>
          <w:rFonts w:cs="Arial"/>
        </w:rPr>
        <w:t>,</w:t>
      </w:r>
      <w:r w:rsidR="00951901" w:rsidRPr="006E04B9">
        <w:rPr>
          <w:rFonts w:cs="Arial"/>
        </w:rPr>
        <w:t xml:space="preserve"> and be v</w:t>
      </w:r>
      <w:r w:rsidR="00D127CB" w:rsidRPr="006E04B9">
        <w:rPr>
          <w:rFonts w:cs="Arial"/>
        </w:rPr>
        <w:t>accinated</w:t>
      </w:r>
      <w:r w:rsidR="00E70EF5" w:rsidRPr="006E04B9">
        <w:rPr>
          <w:rFonts w:cs="Arial"/>
        </w:rPr>
        <w:t xml:space="preserve"> </w:t>
      </w:r>
      <w:r w:rsidR="00D127CB" w:rsidRPr="006E04B9">
        <w:rPr>
          <w:rFonts w:cs="Arial"/>
        </w:rPr>
        <w:t xml:space="preserve">against </w:t>
      </w:r>
      <w:r w:rsidR="00E70EF5" w:rsidRPr="006E04B9">
        <w:rPr>
          <w:rFonts w:cs="Arial"/>
        </w:rPr>
        <w:t>COVID-19</w:t>
      </w:r>
      <w:r w:rsidR="00586BB5" w:rsidRPr="006E04B9">
        <w:rPr>
          <w:rFonts w:cs="Arial"/>
        </w:rPr>
        <w:t xml:space="preserve">; </w:t>
      </w:r>
      <w:r w:rsidR="003555C0" w:rsidRPr="006E04B9">
        <w:rPr>
          <w:rFonts w:cs="Arial"/>
        </w:rPr>
        <w:t xml:space="preserve">and </w:t>
      </w:r>
      <w:r w:rsidR="008C06FE">
        <w:rPr>
          <w:rFonts w:cs="Arial"/>
        </w:rPr>
        <w:t>encouraged</w:t>
      </w:r>
      <w:r w:rsidR="003555C0" w:rsidRPr="006E04B9">
        <w:rPr>
          <w:rFonts w:cs="Arial"/>
        </w:rPr>
        <w:t xml:space="preserve"> adult and adolescent residents to receive a vaccine through </w:t>
      </w:r>
      <w:r w:rsidR="0001211E">
        <w:rPr>
          <w:rFonts w:cs="Arial"/>
        </w:rPr>
        <w:t xml:space="preserve">“VaxMillions”, </w:t>
      </w:r>
      <w:r w:rsidR="006A0D1A">
        <w:rPr>
          <w:rFonts w:cs="Arial"/>
        </w:rPr>
        <w:t>an</w:t>
      </w:r>
      <w:r w:rsidR="00CA1699" w:rsidRPr="006E04B9">
        <w:rPr>
          <w:rFonts w:cs="Arial"/>
        </w:rPr>
        <w:t xml:space="preserve"> initiative that awarded </w:t>
      </w:r>
      <w:r w:rsidR="005962E9">
        <w:rPr>
          <w:rFonts w:cs="Arial"/>
        </w:rPr>
        <w:t>adults and children who received vaccines.</w:t>
      </w:r>
      <w:r w:rsidR="00C74429" w:rsidRPr="006E04B9">
        <w:rPr>
          <w:rFonts w:cs="Arial"/>
        </w:rPr>
        <w:t xml:space="preserve"> </w:t>
      </w:r>
    </w:p>
    <w:p w14:paraId="2F89D7CE" w14:textId="03043C8C" w:rsidR="00264143" w:rsidRDefault="00644803" w:rsidP="001E6ABF">
      <w:pPr>
        <w:spacing w:line="276" w:lineRule="auto"/>
        <w:rPr>
          <w:rFonts w:cs="Arial"/>
        </w:rPr>
      </w:pPr>
      <w:r w:rsidRPr="006E04B9">
        <w:rPr>
          <w:rFonts w:cs="Arial"/>
        </w:rPr>
        <w:t xml:space="preserve">The Baker-Polito Administration </w:t>
      </w:r>
      <w:r w:rsidR="00CF2438">
        <w:rPr>
          <w:rFonts w:cs="Arial"/>
        </w:rPr>
        <w:t>w</w:t>
      </w:r>
      <w:r w:rsidR="005962E9">
        <w:rPr>
          <w:rFonts w:cs="Arial"/>
        </w:rPr>
        <w:t>orked jointly</w:t>
      </w:r>
      <w:r w:rsidR="007A2240" w:rsidRPr="006E04B9">
        <w:rPr>
          <w:rFonts w:cs="Arial"/>
        </w:rPr>
        <w:t xml:space="preserve"> </w:t>
      </w:r>
      <w:r w:rsidRPr="006E04B9">
        <w:rPr>
          <w:rFonts w:cs="Arial"/>
        </w:rPr>
        <w:t xml:space="preserve">with the Massachusetts General Court </w:t>
      </w:r>
      <w:r w:rsidR="006E04B9" w:rsidRPr="006E04B9">
        <w:rPr>
          <w:rFonts w:cs="Arial"/>
        </w:rPr>
        <w:t xml:space="preserve">to allocate </w:t>
      </w:r>
      <w:r w:rsidR="00132C68">
        <w:rPr>
          <w:rFonts w:cs="Arial"/>
        </w:rPr>
        <w:t>approximately</w:t>
      </w:r>
      <w:r w:rsidR="00025908" w:rsidRPr="006E04B9">
        <w:rPr>
          <w:rFonts w:cs="Arial"/>
        </w:rPr>
        <w:t xml:space="preserve"> $4.9 billion</w:t>
      </w:r>
      <w:r w:rsidR="00C804F2">
        <w:rPr>
          <w:rFonts w:cs="Arial"/>
        </w:rPr>
        <w:t xml:space="preserve"> of the CSFRF award</w:t>
      </w:r>
      <w:r w:rsidR="00025908" w:rsidRPr="006E04B9">
        <w:rPr>
          <w:rFonts w:cs="Arial"/>
        </w:rPr>
        <w:t xml:space="preserve"> </w:t>
      </w:r>
      <w:r w:rsidR="00CF2438">
        <w:rPr>
          <w:rFonts w:cs="Arial"/>
        </w:rPr>
        <w:t>made subject to</w:t>
      </w:r>
      <w:r w:rsidR="006E04B9" w:rsidRPr="006E04B9">
        <w:rPr>
          <w:rFonts w:cs="Arial"/>
        </w:rPr>
        <w:t xml:space="preserve"> legislative appropriation</w:t>
      </w:r>
      <w:r w:rsidR="00C65BD4">
        <w:rPr>
          <w:rFonts w:cs="Arial"/>
        </w:rPr>
        <w:t xml:space="preserve"> by the Legislature on June 28, 2021</w:t>
      </w:r>
      <w:r w:rsidR="006E04B9" w:rsidRPr="006E04B9">
        <w:rPr>
          <w:rFonts w:cs="Arial"/>
        </w:rPr>
        <w:t>.</w:t>
      </w:r>
      <w:r w:rsidR="000B55A7">
        <w:rPr>
          <w:rFonts w:cs="Arial"/>
        </w:rPr>
        <w:t xml:space="preserve"> Governor Baker sign</w:t>
      </w:r>
      <w:r w:rsidR="00C079C4">
        <w:rPr>
          <w:rFonts w:cs="Arial"/>
        </w:rPr>
        <w:t>ed a $4 billion spending plan, “An Act relative to immediate COVID-19 recovery needs” (Chapter 102 of the Acts of 2021</w:t>
      </w:r>
      <w:r w:rsidR="0066196F">
        <w:rPr>
          <w:rFonts w:cs="Arial"/>
        </w:rPr>
        <w:t>; hereafter, “Chapter 102”</w:t>
      </w:r>
      <w:r w:rsidR="00C079C4">
        <w:rPr>
          <w:rFonts w:cs="Arial"/>
        </w:rPr>
        <w:t>) in December 2021</w:t>
      </w:r>
      <w:r w:rsidR="00022643">
        <w:rPr>
          <w:rFonts w:cs="Arial"/>
        </w:rPr>
        <w:t xml:space="preserve"> to support continued recovery across key priority areas in the Commonwealth</w:t>
      </w:r>
      <w:r w:rsidR="00952DDE">
        <w:rPr>
          <w:rFonts w:cs="Arial"/>
        </w:rPr>
        <w:t xml:space="preserve">. The </w:t>
      </w:r>
      <w:r w:rsidR="00264143">
        <w:rPr>
          <w:rFonts w:cs="Arial"/>
        </w:rPr>
        <w:t xml:space="preserve">bill </w:t>
      </w:r>
      <w:r w:rsidR="00952DDE">
        <w:rPr>
          <w:rFonts w:cs="Arial"/>
        </w:rPr>
        <w:t>authoriz</w:t>
      </w:r>
      <w:r w:rsidR="00264143">
        <w:rPr>
          <w:rFonts w:cs="Arial"/>
        </w:rPr>
        <w:t>ed</w:t>
      </w:r>
      <w:r w:rsidR="00952DDE">
        <w:rPr>
          <w:rFonts w:cs="Arial"/>
        </w:rPr>
        <w:t xml:space="preserve"> $2.5 billion in spending from the CSFRF allocatio</w:t>
      </w:r>
      <w:r w:rsidR="00264143">
        <w:rPr>
          <w:rFonts w:cs="Arial"/>
        </w:rPr>
        <w:t>n</w:t>
      </w:r>
      <w:r w:rsidR="00DE57ED">
        <w:rPr>
          <w:rFonts w:cs="Arial"/>
        </w:rPr>
        <w:t xml:space="preserve"> and a further $1.5 billion from the state’s </w:t>
      </w:r>
      <w:r w:rsidR="00C86AD5">
        <w:rPr>
          <w:rFonts w:cs="Arial"/>
        </w:rPr>
        <w:t>fiscal 2021 budget surplus</w:t>
      </w:r>
      <w:r w:rsidR="00264143">
        <w:rPr>
          <w:rFonts w:cs="Arial"/>
        </w:rPr>
        <w:t xml:space="preserve">. </w:t>
      </w:r>
    </w:p>
    <w:p w14:paraId="41DB1B34" w14:textId="69455675" w:rsidR="00FB51BC" w:rsidRPr="0021419D" w:rsidRDefault="00541C14" w:rsidP="0021419D">
      <w:pPr>
        <w:spacing w:line="276" w:lineRule="auto"/>
        <w:rPr>
          <w:rFonts w:cs="Arial"/>
        </w:rPr>
      </w:pPr>
      <w:r>
        <w:rPr>
          <w:rFonts w:cs="Arial"/>
        </w:rPr>
        <w:t xml:space="preserve">The Commonwealth </w:t>
      </w:r>
      <w:r w:rsidR="00720E08">
        <w:rPr>
          <w:rFonts w:cs="Arial"/>
        </w:rPr>
        <w:t>e</w:t>
      </w:r>
      <w:r>
        <w:rPr>
          <w:rFonts w:cs="Arial"/>
        </w:rPr>
        <w:t xml:space="preserve">xecutive </w:t>
      </w:r>
      <w:r w:rsidR="00720E08">
        <w:rPr>
          <w:rFonts w:cs="Arial"/>
        </w:rPr>
        <w:t>a</w:t>
      </w:r>
      <w:r>
        <w:rPr>
          <w:rFonts w:cs="Arial"/>
        </w:rPr>
        <w:t xml:space="preserve">gencies and </w:t>
      </w:r>
      <w:r w:rsidR="00720E08">
        <w:rPr>
          <w:rFonts w:cs="Arial"/>
        </w:rPr>
        <w:t xml:space="preserve">their </w:t>
      </w:r>
      <w:r>
        <w:rPr>
          <w:rFonts w:cs="Arial"/>
        </w:rPr>
        <w:t xml:space="preserve">partners </w:t>
      </w:r>
      <w:r w:rsidR="007F0752">
        <w:rPr>
          <w:rFonts w:cs="Arial"/>
        </w:rPr>
        <w:t xml:space="preserve">continue to work </w:t>
      </w:r>
      <w:r>
        <w:rPr>
          <w:rFonts w:cs="Arial"/>
        </w:rPr>
        <w:t xml:space="preserve">to implement programming </w:t>
      </w:r>
      <w:r w:rsidR="00D85373">
        <w:rPr>
          <w:rFonts w:cs="Arial"/>
        </w:rPr>
        <w:t xml:space="preserve">that aligns with </w:t>
      </w:r>
      <w:r w:rsidR="00824518">
        <w:rPr>
          <w:rFonts w:cs="Arial"/>
        </w:rPr>
        <w:t>Chapter 102</w:t>
      </w:r>
      <w:r w:rsidR="00BA1404">
        <w:rPr>
          <w:rFonts w:cs="Arial"/>
        </w:rPr>
        <w:t xml:space="preserve">. In April </w:t>
      </w:r>
      <w:r w:rsidR="00363F5E">
        <w:rPr>
          <w:rFonts w:cs="Arial"/>
        </w:rPr>
        <w:t>2022, the Governor proposed “An Act investing in future opportunities for resiliency, workforce, and revitalized downtowns” (FORWARD)</w:t>
      </w:r>
      <w:r w:rsidR="00802D32">
        <w:rPr>
          <w:rFonts w:cs="Arial"/>
        </w:rPr>
        <w:t xml:space="preserve"> that would recommend spending items for the </w:t>
      </w:r>
      <w:r w:rsidR="00CE2F54">
        <w:rPr>
          <w:rFonts w:cs="Arial"/>
        </w:rPr>
        <w:t>unallocated $</w:t>
      </w:r>
      <w:r w:rsidR="00802D32">
        <w:rPr>
          <w:rFonts w:cs="Arial"/>
        </w:rPr>
        <w:t>2.3 billion in CSFRF resources.</w:t>
      </w:r>
      <w:r w:rsidR="00CE2F54">
        <w:rPr>
          <w:rFonts w:cs="Arial"/>
        </w:rPr>
        <w:t xml:space="preserve"> This legislation is pending</w:t>
      </w:r>
      <w:r w:rsidR="00E66C14">
        <w:rPr>
          <w:rFonts w:cs="Arial"/>
        </w:rPr>
        <w:t xml:space="preserve"> before </w:t>
      </w:r>
      <w:r w:rsidR="00AC47BD">
        <w:rPr>
          <w:rFonts w:cs="Arial"/>
        </w:rPr>
        <w:t>t</w:t>
      </w:r>
      <w:r w:rsidR="00E66C14">
        <w:rPr>
          <w:rFonts w:cs="Arial"/>
        </w:rPr>
        <w:t xml:space="preserve">he Massachusetts General Court. </w:t>
      </w:r>
      <w:r w:rsidR="00802D32">
        <w:rPr>
          <w:rFonts w:cs="Arial"/>
        </w:rPr>
        <w:t xml:space="preserve"> </w:t>
      </w:r>
      <w:r w:rsidR="00E94CC1">
        <w:rPr>
          <w:rFonts w:cs="Arial"/>
          <w:b/>
        </w:rPr>
        <w:br w:type="page"/>
      </w:r>
    </w:p>
    <w:p w14:paraId="72731E12" w14:textId="07C23E42" w:rsidR="00B90454" w:rsidRPr="00835E26" w:rsidRDefault="00B90454" w:rsidP="000A6192">
      <w:pPr>
        <w:pStyle w:val="Heading2"/>
        <w:spacing w:after="240"/>
      </w:pPr>
      <w:bookmarkStart w:id="2" w:name="_Toc109990561"/>
      <w:r w:rsidRPr="00285473">
        <w:lastRenderedPageBreak/>
        <w:t>Uses of Funds</w:t>
      </w:r>
      <w:bookmarkEnd w:id="2"/>
    </w:p>
    <w:p w14:paraId="077E70E1" w14:textId="20792C99" w:rsidR="00923E08" w:rsidRDefault="00923E08" w:rsidP="00B54244">
      <w:pPr>
        <w:rPr>
          <w:rFonts w:cs="Arial"/>
        </w:rPr>
      </w:pPr>
      <w:r w:rsidRPr="007D37AD">
        <w:rPr>
          <w:rFonts w:cs="Arial"/>
        </w:rPr>
        <w:t xml:space="preserve">The American Rescue Plan Act of 2021, Pub. L. 117-2 (March 11, 2021) (ARPA) allocated </w:t>
      </w:r>
      <w:r w:rsidRPr="006E04B9">
        <w:rPr>
          <w:rFonts w:cs="Arial"/>
        </w:rPr>
        <w:t>approximately $5.3 billion to the Commonwealth of Massachusetts through the Coronavirus State Fiscal Recovery Fund (CSFRF).</w:t>
      </w:r>
    </w:p>
    <w:p w14:paraId="13C16BC7" w14:textId="79D70817" w:rsidR="00B452F2" w:rsidRPr="00917318" w:rsidRDefault="00B452F2" w:rsidP="00F45BC5">
      <w:pPr>
        <w:pStyle w:val="Heading3"/>
        <w:spacing w:after="240"/>
      </w:pPr>
      <w:bookmarkStart w:id="3" w:name="_Toc109990562"/>
      <w:r w:rsidRPr="00917318">
        <w:t>Period 1</w:t>
      </w:r>
      <w:r w:rsidR="00CA4D5F" w:rsidRPr="00917318">
        <w:t>: Executive Action</w:t>
      </w:r>
      <w:bookmarkEnd w:id="3"/>
    </w:p>
    <w:p w14:paraId="0E09678E" w14:textId="05FBC8A4" w:rsidR="0022501D" w:rsidRDefault="009549A9" w:rsidP="00B54244">
      <w:pPr>
        <w:rPr>
          <w:rStyle w:val="normaltextrun"/>
          <w:rFonts w:cs="Arial"/>
        </w:rPr>
      </w:pPr>
      <w:r>
        <w:rPr>
          <w:rFonts w:cs="Arial"/>
        </w:rPr>
        <w:t xml:space="preserve">The Commonwealth received approximately $5.3 billion </w:t>
      </w:r>
      <w:r w:rsidR="0091571C">
        <w:rPr>
          <w:rFonts w:cs="Arial"/>
        </w:rPr>
        <w:t xml:space="preserve">as a single payment on May 19, </w:t>
      </w:r>
      <w:proofErr w:type="gramStart"/>
      <w:r w:rsidR="0091571C">
        <w:rPr>
          <w:rFonts w:cs="Arial"/>
        </w:rPr>
        <w:t>2021</w:t>
      </w:r>
      <w:proofErr w:type="gramEnd"/>
      <w:r w:rsidR="0091571C">
        <w:rPr>
          <w:rFonts w:cs="Arial"/>
        </w:rPr>
        <w:t xml:space="preserve"> and moved quickly to use these funds to support immediate needs. </w:t>
      </w:r>
      <w:r w:rsidR="0022501D">
        <w:rPr>
          <w:rFonts w:cs="Arial"/>
        </w:rPr>
        <w:t xml:space="preserve">These efforts included </w:t>
      </w:r>
      <w:r w:rsidR="0022501D" w:rsidRPr="00B54244">
        <w:rPr>
          <w:rStyle w:val="normaltextrun"/>
          <w:rFonts w:cs="Arial"/>
        </w:rPr>
        <w:t>Aid to Disproportionately Impacted Communities, COVID-19 Emergency Paid Sick Leave, and VaxMillions.</w:t>
      </w:r>
      <w:r w:rsidR="00B83A89">
        <w:rPr>
          <w:rStyle w:val="normaltextrun"/>
          <w:rFonts w:cs="Arial"/>
        </w:rPr>
        <w:t xml:space="preserve"> </w:t>
      </w:r>
    </w:p>
    <w:p w14:paraId="52807AEE" w14:textId="77777777" w:rsidR="00EE4B4B" w:rsidRDefault="00781A34" w:rsidP="00B54244">
      <w:pPr>
        <w:rPr>
          <w:rStyle w:val="normaltextrun"/>
          <w:rFonts w:cs="Arial"/>
        </w:rPr>
      </w:pPr>
      <w:r>
        <w:rPr>
          <w:rStyle w:val="normaltextrun"/>
          <w:rFonts w:cs="Arial"/>
        </w:rPr>
        <w:t>On June 28, 2021, the Massachusetts Legislature</w:t>
      </w:r>
      <w:r w:rsidR="00B973EF">
        <w:rPr>
          <w:rStyle w:val="normaltextrun"/>
          <w:rFonts w:cs="Arial"/>
        </w:rPr>
        <w:t xml:space="preserve"> made approximately $4.9 billion </w:t>
      </w:r>
      <w:r w:rsidR="00120755">
        <w:rPr>
          <w:rStyle w:val="normaltextrun"/>
          <w:rFonts w:cs="Arial"/>
        </w:rPr>
        <w:t>of the CSFRF allocation subject to legislative appropriation</w:t>
      </w:r>
      <w:r w:rsidR="00985436">
        <w:rPr>
          <w:rStyle w:val="normaltextrun"/>
          <w:rFonts w:cs="Arial"/>
        </w:rPr>
        <w:t>.</w:t>
      </w:r>
    </w:p>
    <w:p w14:paraId="02EA3E36" w14:textId="4E63667A" w:rsidR="00EE4B4B" w:rsidRDefault="006B5E03" w:rsidP="00EE4B4B">
      <w:pPr>
        <w:rPr>
          <w:rFonts w:cs="Arial"/>
        </w:rPr>
      </w:pPr>
      <w:r>
        <w:rPr>
          <w:rStyle w:val="normaltextrun"/>
          <w:rFonts w:cs="Arial"/>
        </w:rPr>
        <w:t xml:space="preserve">This </w:t>
      </w:r>
      <w:r w:rsidR="009371CF">
        <w:rPr>
          <w:rStyle w:val="normaltextrun"/>
          <w:rFonts w:cs="Arial"/>
        </w:rPr>
        <w:t>action left approximately</w:t>
      </w:r>
      <w:r w:rsidR="00EE4B4B" w:rsidRPr="00B54244">
        <w:rPr>
          <w:rStyle w:val="normaltextrun"/>
          <w:rFonts w:cs="Arial"/>
        </w:rPr>
        <w:t xml:space="preserve"> $200 million </w:t>
      </w:r>
      <w:r w:rsidR="00CA00B4">
        <w:rPr>
          <w:rStyle w:val="normaltextrun"/>
          <w:rFonts w:cs="Arial"/>
        </w:rPr>
        <w:t xml:space="preserve">available </w:t>
      </w:r>
      <w:r w:rsidR="00AE260A">
        <w:rPr>
          <w:rStyle w:val="normaltextrun"/>
          <w:rFonts w:cs="Arial"/>
        </w:rPr>
        <w:t>to the</w:t>
      </w:r>
      <w:r w:rsidR="00EE4B4B" w:rsidRPr="00B54244">
        <w:rPr>
          <w:rStyle w:val="normaltextrun"/>
          <w:rFonts w:cs="Arial"/>
        </w:rPr>
        <w:t xml:space="preserve"> Governor </w:t>
      </w:r>
      <w:r w:rsidR="00AE260A">
        <w:rPr>
          <w:rStyle w:val="normaltextrun"/>
          <w:rFonts w:cs="Arial"/>
        </w:rPr>
        <w:t>for</w:t>
      </w:r>
      <w:r w:rsidR="00EE4B4B" w:rsidRPr="00B54244">
        <w:rPr>
          <w:rStyle w:val="normaltextrun"/>
          <w:rFonts w:cs="Arial"/>
        </w:rPr>
        <w:t xml:space="preserve"> </w:t>
      </w:r>
      <w:r w:rsidR="00AE260A">
        <w:rPr>
          <w:rStyle w:val="normaltextrun"/>
          <w:rFonts w:cs="Arial"/>
        </w:rPr>
        <w:t>critical initiatives</w:t>
      </w:r>
      <w:r w:rsidR="00EE4B4B" w:rsidRPr="00B54244">
        <w:rPr>
          <w:rStyle w:val="normaltextrun"/>
          <w:rFonts w:cs="Arial"/>
        </w:rPr>
        <w:t xml:space="preserve">. These programs included: </w:t>
      </w:r>
      <w:proofErr w:type="spellStart"/>
      <w:r w:rsidR="00EE4B4B" w:rsidRPr="00B54244">
        <w:rPr>
          <w:rStyle w:val="normaltextrun"/>
          <w:rFonts w:cs="Arial"/>
        </w:rPr>
        <w:t>HireNow</w:t>
      </w:r>
      <w:proofErr w:type="spellEnd"/>
      <w:r w:rsidR="00E9620D">
        <w:rPr>
          <w:rStyle w:val="normaltextrun"/>
          <w:rFonts w:cs="Arial"/>
        </w:rPr>
        <w:t xml:space="preserve"> </w:t>
      </w:r>
      <w:r w:rsidR="007D7E6C">
        <w:rPr>
          <w:rStyle w:val="normaltextrun"/>
          <w:rFonts w:cs="Arial"/>
        </w:rPr>
        <w:t>Grant Program</w:t>
      </w:r>
      <w:r w:rsidR="00C839B4">
        <w:rPr>
          <w:rStyle w:val="normaltextrun"/>
          <w:rFonts w:cs="Arial"/>
        </w:rPr>
        <w:t>;</w:t>
      </w:r>
      <w:r w:rsidR="00EE4B4B" w:rsidRPr="00B54244">
        <w:rPr>
          <w:rStyle w:val="normaltextrun"/>
          <w:rFonts w:cs="Arial"/>
        </w:rPr>
        <w:t xml:space="preserve"> Health &amp; Human Services Workforce Stabilization Payments</w:t>
      </w:r>
      <w:r w:rsidR="00C839B4">
        <w:rPr>
          <w:rStyle w:val="normaltextrun"/>
          <w:rFonts w:cs="Arial"/>
        </w:rPr>
        <w:t>;</w:t>
      </w:r>
      <w:r w:rsidR="00EE4B4B" w:rsidRPr="00B54244">
        <w:rPr>
          <w:rStyle w:val="normaltextrun"/>
          <w:rFonts w:cs="Arial"/>
        </w:rPr>
        <w:t xml:space="preserve"> Chapter 766 Schools; Administrative Use; and Future of Work/Document Digitization. </w:t>
      </w:r>
    </w:p>
    <w:p w14:paraId="16AD3304" w14:textId="00E1586C" w:rsidR="00AD1F98" w:rsidRPr="009E2896" w:rsidRDefault="00AD1F98" w:rsidP="000A6192">
      <w:pPr>
        <w:pStyle w:val="Heading3"/>
        <w:spacing w:after="240"/>
      </w:pPr>
      <w:bookmarkStart w:id="4" w:name="_Toc109990563"/>
      <w:r w:rsidRPr="00554025">
        <w:rPr>
          <w:rStyle w:val="normaltextrun"/>
          <w:rFonts w:cs="Arial"/>
          <w:bCs/>
          <w:iCs/>
        </w:rPr>
        <w:t>Period 2:</w:t>
      </w:r>
      <w:r w:rsidR="00DA08C0" w:rsidRPr="00554025">
        <w:rPr>
          <w:rStyle w:val="normaltextrun"/>
          <w:rFonts w:cs="Arial"/>
          <w:bCs/>
          <w:iCs/>
        </w:rPr>
        <w:t xml:space="preserve"> Chapter 102</w:t>
      </w:r>
      <w:bookmarkEnd w:id="4"/>
    </w:p>
    <w:p w14:paraId="60EFE767" w14:textId="1FDD4A4B" w:rsidR="00645C5B" w:rsidRDefault="00645C5B" w:rsidP="00CC15AC">
      <w:pPr>
        <w:spacing w:line="276" w:lineRule="auto"/>
        <w:rPr>
          <w:rFonts w:cs="Arial"/>
        </w:rPr>
      </w:pPr>
      <w:r>
        <w:rPr>
          <w:rFonts w:cs="Arial"/>
        </w:rPr>
        <w:t xml:space="preserve">The Governor </w:t>
      </w:r>
      <w:r w:rsidR="004F4757">
        <w:rPr>
          <w:rFonts w:cs="Arial"/>
        </w:rPr>
        <w:t>recommended</w:t>
      </w:r>
      <w:r w:rsidR="00440169">
        <w:rPr>
          <w:rFonts w:cs="Arial"/>
        </w:rPr>
        <w:t xml:space="preserve"> </w:t>
      </w:r>
      <w:r w:rsidR="009D63FC">
        <w:rPr>
          <w:rFonts w:cs="Arial"/>
        </w:rPr>
        <w:t>$</w:t>
      </w:r>
      <w:r w:rsidR="005F7886">
        <w:rPr>
          <w:rFonts w:cs="Arial"/>
        </w:rPr>
        <w:t xml:space="preserve">2.9 </w:t>
      </w:r>
      <w:r w:rsidR="00541D21">
        <w:rPr>
          <w:rFonts w:cs="Arial"/>
        </w:rPr>
        <w:t>billion</w:t>
      </w:r>
      <w:r w:rsidR="005F7886">
        <w:rPr>
          <w:rFonts w:cs="Arial"/>
        </w:rPr>
        <w:t xml:space="preserve"> </w:t>
      </w:r>
      <w:r w:rsidR="00645ABD">
        <w:rPr>
          <w:rFonts w:cs="Arial"/>
        </w:rPr>
        <w:t xml:space="preserve">in CSFRF-supported spending </w:t>
      </w:r>
      <w:r w:rsidR="00F950B6">
        <w:rPr>
          <w:rFonts w:cs="Arial"/>
        </w:rPr>
        <w:t>for a range of</w:t>
      </w:r>
      <w:r w:rsidR="004F4757">
        <w:rPr>
          <w:rFonts w:cs="Arial"/>
        </w:rPr>
        <w:t xml:space="preserve"> </w:t>
      </w:r>
      <w:r w:rsidR="00635B05">
        <w:rPr>
          <w:rFonts w:cs="Arial"/>
        </w:rPr>
        <w:t xml:space="preserve">COVID response and recovery initiatives </w:t>
      </w:r>
      <w:r w:rsidR="00F950B6">
        <w:rPr>
          <w:rFonts w:cs="Arial"/>
        </w:rPr>
        <w:t>on</w:t>
      </w:r>
      <w:r w:rsidR="00645ABD">
        <w:rPr>
          <w:rFonts w:cs="Arial"/>
        </w:rPr>
        <w:t xml:space="preserve"> June 28, 2021</w:t>
      </w:r>
      <w:r w:rsidR="009D63FC">
        <w:rPr>
          <w:rFonts w:cs="Arial"/>
        </w:rPr>
        <w:t xml:space="preserve">. </w:t>
      </w:r>
      <w:r w:rsidR="004A69D6">
        <w:rPr>
          <w:rFonts w:cs="Arial"/>
        </w:rPr>
        <w:t xml:space="preserve">The Legislature held a series of </w:t>
      </w:r>
      <w:r w:rsidR="008308D3">
        <w:rPr>
          <w:rFonts w:cs="Arial"/>
        </w:rPr>
        <w:t>six</w:t>
      </w:r>
      <w:r w:rsidR="00554025">
        <w:rPr>
          <w:rFonts w:cs="Arial"/>
        </w:rPr>
        <w:t xml:space="preserve"> </w:t>
      </w:r>
      <w:r w:rsidR="004A69D6">
        <w:rPr>
          <w:rFonts w:cs="Arial"/>
        </w:rPr>
        <w:t>public hearings related to this proposal from July 2021 until October 2021.</w:t>
      </w:r>
    </w:p>
    <w:p w14:paraId="2A4E338B" w14:textId="0FB119B3" w:rsidR="00CC15AC" w:rsidRPr="00CC15AC" w:rsidRDefault="00CC15AC" w:rsidP="00CC15AC">
      <w:pPr>
        <w:spacing w:line="276" w:lineRule="auto"/>
        <w:rPr>
          <w:rFonts w:cs="Arial"/>
        </w:rPr>
      </w:pPr>
      <w:r w:rsidRPr="00CC15AC">
        <w:rPr>
          <w:rFonts w:cs="Arial"/>
        </w:rPr>
        <w:t>On December 13, 2021, Governor Baker signed</w:t>
      </w:r>
      <w:r w:rsidR="009D594E">
        <w:rPr>
          <w:rFonts w:cs="Arial"/>
        </w:rPr>
        <w:t xml:space="preserve"> Chapter 102,</w:t>
      </w:r>
      <w:r w:rsidRPr="00CC15AC">
        <w:rPr>
          <w:rFonts w:cs="Arial"/>
        </w:rPr>
        <w:t xml:space="preserve"> a $4 billion spending pla</w:t>
      </w:r>
      <w:r w:rsidR="009D594E">
        <w:rPr>
          <w:rFonts w:cs="Arial"/>
        </w:rPr>
        <w:t>n</w:t>
      </w:r>
      <w:r w:rsidRPr="00CC15AC">
        <w:rPr>
          <w:rFonts w:cs="Arial"/>
        </w:rPr>
        <w:t xml:space="preserve"> to support </w:t>
      </w:r>
      <w:r w:rsidR="009D594E">
        <w:rPr>
          <w:rFonts w:cs="Arial"/>
        </w:rPr>
        <w:t>r</w:t>
      </w:r>
      <w:r w:rsidRPr="00CC15AC">
        <w:rPr>
          <w:rFonts w:cs="Arial"/>
        </w:rPr>
        <w:t xml:space="preserve">ecovery from the COVID-19 pandemic with direct funding to health care, housing and homeownership, workforce development, and other key priorities. </w:t>
      </w:r>
      <w:r w:rsidR="009C3672">
        <w:rPr>
          <w:rFonts w:cs="Arial"/>
        </w:rPr>
        <w:t xml:space="preserve">The spending plan </w:t>
      </w:r>
      <w:r w:rsidRPr="00CC15AC">
        <w:rPr>
          <w:rFonts w:cs="Arial"/>
        </w:rPr>
        <w:t xml:space="preserve">authorized up to $2.5 billion in spending from the Commonwealth’s </w:t>
      </w:r>
      <w:r w:rsidR="009C3672">
        <w:rPr>
          <w:rFonts w:cs="Arial"/>
        </w:rPr>
        <w:t xml:space="preserve">total </w:t>
      </w:r>
      <w:r w:rsidRPr="00CC15AC">
        <w:rPr>
          <w:rFonts w:cs="Arial"/>
        </w:rPr>
        <w:t xml:space="preserve">CSFRF allocation. The remaining $1.45 billion was appropriated from the state fiscal year 2021 </w:t>
      </w:r>
      <w:r w:rsidR="00F93EAE">
        <w:rPr>
          <w:rFonts w:cs="Arial"/>
        </w:rPr>
        <w:t xml:space="preserve">budget </w:t>
      </w:r>
      <w:r w:rsidRPr="00CC15AC">
        <w:rPr>
          <w:rFonts w:cs="Arial"/>
        </w:rPr>
        <w:t>surplus.</w:t>
      </w:r>
    </w:p>
    <w:p w14:paraId="09088A49" w14:textId="510B9E4C" w:rsidR="00A150BB" w:rsidRDefault="00CC15AC" w:rsidP="000313B9">
      <w:pPr>
        <w:spacing w:line="276" w:lineRule="auto"/>
        <w:rPr>
          <w:rFonts w:cs="Arial"/>
        </w:rPr>
      </w:pPr>
      <w:r w:rsidRPr="00CC15AC">
        <w:rPr>
          <w:rFonts w:cs="Arial"/>
        </w:rPr>
        <w:t>Chapter 102</w:t>
      </w:r>
      <w:r w:rsidR="000C6625">
        <w:rPr>
          <w:rFonts w:cs="Arial"/>
        </w:rPr>
        <w:t xml:space="preserve"> requires</w:t>
      </w:r>
      <w:r w:rsidRPr="00CC15AC">
        <w:rPr>
          <w:rFonts w:cs="Arial"/>
        </w:rPr>
        <w:t xml:space="preserve"> the Secretary of </w:t>
      </w:r>
      <w:r w:rsidR="000C6625">
        <w:rPr>
          <w:rFonts w:cs="Arial"/>
        </w:rPr>
        <w:t xml:space="preserve">the Executive Office for </w:t>
      </w:r>
      <w:r w:rsidRPr="00CC15AC">
        <w:rPr>
          <w:rFonts w:cs="Arial"/>
        </w:rPr>
        <w:t>Administration and Finance to</w:t>
      </w:r>
      <w:r w:rsidR="00485BAE">
        <w:rPr>
          <w:rFonts w:cs="Arial"/>
        </w:rPr>
        <w:t xml:space="preserve"> assign </w:t>
      </w:r>
      <w:r w:rsidR="00CD5CFD">
        <w:rPr>
          <w:rFonts w:cs="Arial"/>
        </w:rPr>
        <w:t xml:space="preserve">spending programs </w:t>
      </w:r>
      <w:r w:rsidR="00FD6104">
        <w:rPr>
          <w:rFonts w:cs="Arial"/>
        </w:rPr>
        <w:t xml:space="preserve">to </w:t>
      </w:r>
      <w:r w:rsidR="009A2600">
        <w:rPr>
          <w:rFonts w:cs="Arial"/>
        </w:rPr>
        <w:t>federal or state revenue</w:t>
      </w:r>
      <w:r w:rsidR="00467DD5">
        <w:rPr>
          <w:rFonts w:cs="Arial"/>
        </w:rPr>
        <w:t xml:space="preserve"> based </w:t>
      </w:r>
      <w:r w:rsidR="00663090">
        <w:rPr>
          <w:rFonts w:cs="Arial"/>
        </w:rPr>
        <w:t>on</w:t>
      </w:r>
      <w:r w:rsidR="001867A2">
        <w:rPr>
          <w:rFonts w:cs="Arial"/>
        </w:rPr>
        <w:t xml:space="preserve"> federal grant eligibility guidelines and regulations.</w:t>
      </w:r>
      <w:r w:rsidR="00F05FA0">
        <w:rPr>
          <w:rFonts w:cs="Arial"/>
        </w:rPr>
        <w:t xml:space="preserve"> These</w:t>
      </w:r>
      <w:r w:rsidR="00271C24">
        <w:rPr>
          <w:rFonts w:cs="Arial"/>
        </w:rPr>
        <w:t xml:space="preserve"> </w:t>
      </w:r>
      <w:r w:rsidRPr="00CC15AC">
        <w:rPr>
          <w:rFonts w:cs="Arial"/>
        </w:rPr>
        <w:t>programs</w:t>
      </w:r>
      <w:r w:rsidR="00271C24">
        <w:rPr>
          <w:rFonts w:cs="Arial"/>
        </w:rPr>
        <w:t xml:space="preserve"> and projects</w:t>
      </w:r>
      <w:r w:rsidRPr="00CC15AC">
        <w:rPr>
          <w:rFonts w:cs="Arial"/>
        </w:rPr>
        <w:t xml:space="preserve"> continue to be </w:t>
      </w:r>
      <w:r w:rsidR="00471138">
        <w:rPr>
          <w:rFonts w:cs="Arial"/>
        </w:rPr>
        <w:t>designed</w:t>
      </w:r>
      <w:r w:rsidR="00471138" w:rsidRPr="00CC15AC">
        <w:rPr>
          <w:rFonts w:cs="Arial"/>
        </w:rPr>
        <w:t xml:space="preserve"> </w:t>
      </w:r>
      <w:r w:rsidRPr="00CC15AC">
        <w:rPr>
          <w:rFonts w:cs="Arial"/>
        </w:rPr>
        <w:t xml:space="preserve">and implemented across the Commonwealth. </w:t>
      </w:r>
    </w:p>
    <w:p w14:paraId="2385C70A" w14:textId="77777777" w:rsidR="000313B9" w:rsidRDefault="000313B9" w:rsidP="000313B9">
      <w:pPr>
        <w:spacing w:line="276" w:lineRule="auto"/>
        <w:rPr>
          <w:rFonts w:cs="Arial"/>
        </w:rPr>
      </w:pPr>
    </w:p>
    <w:p w14:paraId="2C8900CB" w14:textId="77777777" w:rsidR="000313B9" w:rsidRDefault="000313B9" w:rsidP="000313B9">
      <w:pPr>
        <w:spacing w:line="276" w:lineRule="auto"/>
        <w:rPr>
          <w:rFonts w:cs="Arial"/>
        </w:rPr>
      </w:pPr>
    </w:p>
    <w:p w14:paraId="7F9C8056" w14:textId="77777777" w:rsidR="000313B9" w:rsidRDefault="000313B9" w:rsidP="000313B9">
      <w:pPr>
        <w:spacing w:line="276" w:lineRule="auto"/>
        <w:rPr>
          <w:rFonts w:cs="Arial"/>
        </w:rPr>
      </w:pPr>
    </w:p>
    <w:p w14:paraId="08C89075" w14:textId="77777777" w:rsidR="000313B9" w:rsidRDefault="000313B9" w:rsidP="000313B9">
      <w:pPr>
        <w:spacing w:line="276" w:lineRule="auto"/>
        <w:rPr>
          <w:rFonts w:cs="Arial"/>
        </w:rPr>
      </w:pPr>
    </w:p>
    <w:p w14:paraId="5879DC36" w14:textId="77777777" w:rsidR="000313B9" w:rsidRDefault="000313B9" w:rsidP="000313B9">
      <w:pPr>
        <w:spacing w:line="276" w:lineRule="auto"/>
        <w:rPr>
          <w:rFonts w:cs="Arial"/>
        </w:rPr>
      </w:pPr>
    </w:p>
    <w:p w14:paraId="201848FF" w14:textId="77777777" w:rsidR="000313B9" w:rsidRDefault="000313B9" w:rsidP="000313B9">
      <w:pPr>
        <w:spacing w:line="276" w:lineRule="auto"/>
        <w:rPr>
          <w:rFonts w:cs="Arial"/>
        </w:rPr>
      </w:pPr>
    </w:p>
    <w:p w14:paraId="683EDDC2" w14:textId="77777777" w:rsidR="000313B9" w:rsidRDefault="000313B9" w:rsidP="000313B9">
      <w:pPr>
        <w:spacing w:line="276" w:lineRule="auto"/>
        <w:rPr>
          <w:rFonts w:cs="Arial"/>
        </w:rPr>
      </w:pPr>
    </w:p>
    <w:p w14:paraId="6296C690" w14:textId="6F7BADFB" w:rsidR="00E94CC1" w:rsidRDefault="00E94CC1" w:rsidP="00F45BC5">
      <w:pPr>
        <w:pStyle w:val="Heading4"/>
        <w:spacing w:after="240"/>
      </w:pPr>
      <w:r>
        <w:lastRenderedPageBreak/>
        <w:t>Planned Use of CSFRF Funds for the Commonwealth</w:t>
      </w:r>
    </w:p>
    <w:tbl>
      <w:tblPr>
        <w:tblW w:w="9355" w:type="dxa"/>
        <w:tblLook w:val="04A0" w:firstRow="1" w:lastRow="0" w:firstColumn="1" w:lastColumn="0" w:noHBand="0" w:noVBand="1"/>
      </w:tblPr>
      <w:tblGrid>
        <w:gridCol w:w="6630"/>
        <w:gridCol w:w="2725"/>
      </w:tblGrid>
      <w:tr w:rsidR="007A3E6D" w:rsidRPr="007A3E6D" w14:paraId="6D13D5B7" w14:textId="77777777" w:rsidTr="002B6673">
        <w:trPr>
          <w:trHeight w:val="239"/>
        </w:trPr>
        <w:tc>
          <w:tcPr>
            <w:tcW w:w="66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58D5E5B5" w14:textId="77777777" w:rsidR="007A3E6D" w:rsidRPr="007A3E6D" w:rsidRDefault="007A3E6D" w:rsidP="007A3E6D">
            <w:pPr>
              <w:spacing w:after="0" w:line="240" w:lineRule="auto"/>
              <w:rPr>
                <w:rFonts w:ascii="Calibri" w:eastAsia="Times New Roman" w:hAnsi="Calibri" w:cs="Calibri"/>
                <w:color w:val="FFFFFF"/>
              </w:rPr>
            </w:pPr>
            <w:r w:rsidRPr="007A3E6D">
              <w:rPr>
                <w:rFonts w:ascii="Calibri" w:eastAsia="Times New Roman" w:hAnsi="Calibri" w:cs="Calibri"/>
                <w:color w:val="FFFFFF"/>
              </w:rPr>
              <w:t xml:space="preserve">Project </w:t>
            </w:r>
          </w:p>
        </w:tc>
        <w:tc>
          <w:tcPr>
            <w:tcW w:w="2725" w:type="dxa"/>
            <w:tcBorders>
              <w:top w:val="single" w:sz="4" w:space="0" w:color="auto"/>
              <w:left w:val="nil"/>
              <w:bottom w:val="single" w:sz="4" w:space="0" w:color="auto"/>
              <w:right w:val="single" w:sz="4" w:space="0" w:color="auto"/>
            </w:tcBorders>
            <w:shd w:val="clear" w:color="000000" w:fill="203764"/>
            <w:noWrap/>
            <w:vAlign w:val="bottom"/>
            <w:hideMark/>
          </w:tcPr>
          <w:p w14:paraId="20DA2D98" w14:textId="77777777" w:rsidR="007A3E6D" w:rsidRPr="007A3E6D" w:rsidRDefault="007A3E6D" w:rsidP="007A3E6D">
            <w:pPr>
              <w:spacing w:after="0" w:line="240" w:lineRule="auto"/>
              <w:jc w:val="right"/>
              <w:rPr>
                <w:rFonts w:ascii="Calibri" w:eastAsia="Times New Roman" w:hAnsi="Calibri" w:cs="Calibri"/>
                <w:color w:val="FFFFFF"/>
              </w:rPr>
            </w:pPr>
            <w:r w:rsidRPr="007A3E6D">
              <w:rPr>
                <w:rFonts w:ascii="Calibri" w:eastAsia="Times New Roman" w:hAnsi="Calibri" w:cs="Calibri"/>
                <w:color w:val="FFFFFF"/>
              </w:rPr>
              <w:t xml:space="preserve"> CSFRF Obligation </w:t>
            </w:r>
          </w:p>
        </w:tc>
      </w:tr>
      <w:tr w:rsidR="007A3E6D" w:rsidRPr="007A3E6D" w14:paraId="21B8C36D" w14:textId="77777777" w:rsidTr="002B6673">
        <w:trPr>
          <w:trHeight w:val="239"/>
        </w:trPr>
        <w:tc>
          <w:tcPr>
            <w:tcW w:w="6630" w:type="dxa"/>
            <w:tcBorders>
              <w:top w:val="nil"/>
              <w:left w:val="single" w:sz="4" w:space="0" w:color="auto"/>
              <w:bottom w:val="single" w:sz="4" w:space="0" w:color="auto"/>
              <w:right w:val="single" w:sz="4" w:space="0" w:color="auto"/>
            </w:tcBorders>
            <w:noWrap/>
            <w:vAlign w:val="bottom"/>
            <w:hideMark/>
          </w:tcPr>
          <w:p w14:paraId="2CFAC1D8" w14:textId="77777777" w:rsidR="007A3E6D" w:rsidRPr="007A3E6D" w:rsidRDefault="007A3E6D" w:rsidP="007A3E6D">
            <w:pPr>
              <w:spacing w:after="0" w:line="240" w:lineRule="auto"/>
              <w:rPr>
                <w:rFonts w:ascii="Calibri" w:eastAsia="Times New Roman" w:hAnsi="Calibri" w:cs="Calibri"/>
                <w:color w:val="000000"/>
              </w:rPr>
            </w:pPr>
            <w:r w:rsidRPr="007A3E6D">
              <w:rPr>
                <w:rFonts w:ascii="Calibri" w:eastAsia="Times New Roman" w:hAnsi="Calibri" w:cs="Calibri"/>
                <w:color w:val="000000"/>
              </w:rPr>
              <w:t xml:space="preserve"> Aid to Disproportionately Impacted Communities </w:t>
            </w:r>
          </w:p>
        </w:tc>
        <w:tc>
          <w:tcPr>
            <w:tcW w:w="2725" w:type="dxa"/>
            <w:tcBorders>
              <w:top w:val="nil"/>
              <w:left w:val="nil"/>
              <w:bottom w:val="single" w:sz="4" w:space="0" w:color="auto"/>
              <w:right w:val="single" w:sz="4" w:space="0" w:color="auto"/>
            </w:tcBorders>
            <w:shd w:val="clear" w:color="000000" w:fill="FFFFFF"/>
            <w:noWrap/>
            <w:vAlign w:val="bottom"/>
            <w:hideMark/>
          </w:tcPr>
          <w:p w14:paraId="2AEB58C2" w14:textId="77777777" w:rsidR="007A3E6D" w:rsidRPr="007A3E6D" w:rsidRDefault="007A3E6D" w:rsidP="007A3E6D">
            <w:pPr>
              <w:spacing w:after="0" w:line="240" w:lineRule="auto"/>
              <w:jc w:val="right"/>
              <w:rPr>
                <w:rFonts w:ascii="Calibri" w:eastAsia="Times New Roman" w:hAnsi="Calibri" w:cs="Calibri"/>
                <w:color w:val="000000"/>
              </w:rPr>
            </w:pPr>
            <w:r w:rsidRPr="007A3E6D">
              <w:rPr>
                <w:rFonts w:ascii="Calibri" w:eastAsia="Times New Roman" w:hAnsi="Calibri" w:cs="Calibri"/>
                <w:color w:val="000000"/>
              </w:rPr>
              <w:t xml:space="preserve">                         109,080,277 </w:t>
            </w:r>
          </w:p>
        </w:tc>
      </w:tr>
      <w:tr w:rsidR="007A3E6D" w:rsidRPr="007A3E6D" w14:paraId="440E702B" w14:textId="77777777" w:rsidTr="002B6673">
        <w:trPr>
          <w:trHeight w:val="239"/>
        </w:trPr>
        <w:tc>
          <w:tcPr>
            <w:tcW w:w="6630" w:type="dxa"/>
            <w:tcBorders>
              <w:top w:val="nil"/>
              <w:left w:val="single" w:sz="4" w:space="0" w:color="auto"/>
              <w:bottom w:val="single" w:sz="4" w:space="0" w:color="auto"/>
              <w:right w:val="single" w:sz="4" w:space="0" w:color="auto"/>
            </w:tcBorders>
            <w:noWrap/>
            <w:vAlign w:val="bottom"/>
            <w:hideMark/>
          </w:tcPr>
          <w:p w14:paraId="482DE1DF" w14:textId="77777777" w:rsidR="007A3E6D" w:rsidRPr="007A3E6D" w:rsidRDefault="007A3E6D" w:rsidP="007A3E6D">
            <w:pPr>
              <w:spacing w:after="0" w:line="240" w:lineRule="auto"/>
              <w:rPr>
                <w:rFonts w:ascii="Calibri" w:eastAsia="Times New Roman" w:hAnsi="Calibri" w:cs="Calibri"/>
                <w:color w:val="000000"/>
              </w:rPr>
            </w:pPr>
            <w:r w:rsidRPr="007A3E6D">
              <w:rPr>
                <w:rFonts w:ascii="Calibri" w:eastAsia="Times New Roman" w:hAnsi="Calibri" w:cs="Calibri"/>
                <w:color w:val="000000"/>
              </w:rPr>
              <w:t xml:space="preserve"> COVID-19 Emergency Paid Sick Leave </w:t>
            </w:r>
          </w:p>
        </w:tc>
        <w:tc>
          <w:tcPr>
            <w:tcW w:w="2725" w:type="dxa"/>
            <w:tcBorders>
              <w:top w:val="nil"/>
              <w:left w:val="nil"/>
              <w:bottom w:val="single" w:sz="4" w:space="0" w:color="auto"/>
              <w:right w:val="single" w:sz="4" w:space="0" w:color="auto"/>
            </w:tcBorders>
            <w:noWrap/>
            <w:vAlign w:val="bottom"/>
            <w:hideMark/>
          </w:tcPr>
          <w:p w14:paraId="233F0779" w14:textId="77777777" w:rsidR="007A3E6D" w:rsidRPr="007A3E6D" w:rsidRDefault="007A3E6D" w:rsidP="007A3E6D">
            <w:pPr>
              <w:spacing w:after="0" w:line="240" w:lineRule="auto"/>
              <w:jc w:val="right"/>
              <w:rPr>
                <w:rFonts w:ascii="Calibri" w:eastAsia="Times New Roman" w:hAnsi="Calibri" w:cs="Calibri"/>
                <w:color w:val="000000"/>
              </w:rPr>
            </w:pPr>
            <w:r w:rsidRPr="007A3E6D">
              <w:rPr>
                <w:rFonts w:ascii="Calibri" w:eastAsia="Times New Roman" w:hAnsi="Calibri" w:cs="Calibri"/>
                <w:color w:val="000000"/>
              </w:rPr>
              <w:t xml:space="preserve">                         159,080,474 </w:t>
            </w:r>
          </w:p>
        </w:tc>
      </w:tr>
      <w:tr w:rsidR="007A3E6D" w:rsidRPr="007A3E6D" w14:paraId="49E2A06C" w14:textId="77777777" w:rsidTr="002B6673">
        <w:trPr>
          <w:trHeight w:val="239"/>
        </w:trPr>
        <w:tc>
          <w:tcPr>
            <w:tcW w:w="6630" w:type="dxa"/>
            <w:tcBorders>
              <w:top w:val="nil"/>
              <w:left w:val="single" w:sz="4" w:space="0" w:color="auto"/>
              <w:bottom w:val="single" w:sz="4" w:space="0" w:color="auto"/>
              <w:right w:val="single" w:sz="4" w:space="0" w:color="auto"/>
            </w:tcBorders>
            <w:noWrap/>
            <w:vAlign w:val="bottom"/>
            <w:hideMark/>
          </w:tcPr>
          <w:p w14:paraId="78F1F8D6" w14:textId="77777777" w:rsidR="007A3E6D" w:rsidRPr="007A3E6D" w:rsidRDefault="007A3E6D" w:rsidP="007A3E6D">
            <w:pPr>
              <w:spacing w:after="0" w:line="240" w:lineRule="auto"/>
              <w:rPr>
                <w:rFonts w:ascii="Calibri" w:eastAsia="Times New Roman" w:hAnsi="Calibri" w:cs="Calibri"/>
                <w:color w:val="000000"/>
              </w:rPr>
            </w:pPr>
            <w:r w:rsidRPr="007A3E6D">
              <w:rPr>
                <w:rFonts w:ascii="Calibri" w:eastAsia="Times New Roman" w:hAnsi="Calibri" w:cs="Calibri"/>
                <w:color w:val="000000"/>
              </w:rPr>
              <w:t xml:space="preserve"> Vaxmillions </w:t>
            </w:r>
          </w:p>
        </w:tc>
        <w:tc>
          <w:tcPr>
            <w:tcW w:w="2725" w:type="dxa"/>
            <w:tcBorders>
              <w:top w:val="nil"/>
              <w:left w:val="nil"/>
              <w:bottom w:val="single" w:sz="4" w:space="0" w:color="auto"/>
              <w:right w:val="single" w:sz="4" w:space="0" w:color="auto"/>
            </w:tcBorders>
            <w:shd w:val="clear" w:color="000000" w:fill="FFFFFF"/>
            <w:noWrap/>
            <w:vAlign w:val="bottom"/>
            <w:hideMark/>
          </w:tcPr>
          <w:p w14:paraId="75E41410" w14:textId="77777777" w:rsidR="007A3E6D" w:rsidRPr="007A3E6D" w:rsidRDefault="007A3E6D" w:rsidP="007A3E6D">
            <w:pPr>
              <w:spacing w:after="0" w:line="240" w:lineRule="auto"/>
              <w:jc w:val="right"/>
              <w:rPr>
                <w:rFonts w:ascii="Calibri" w:eastAsia="Times New Roman" w:hAnsi="Calibri" w:cs="Calibri"/>
                <w:color w:val="000000"/>
              </w:rPr>
            </w:pPr>
            <w:r w:rsidRPr="007A3E6D">
              <w:rPr>
                <w:rFonts w:ascii="Calibri" w:eastAsia="Times New Roman" w:hAnsi="Calibri" w:cs="Calibri"/>
                <w:color w:val="000000"/>
              </w:rPr>
              <w:t xml:space="preserve">                              8,202,547 </w:t>
            </w:r>
          </w:p>
        </w:tc>
      </w:tr>
      <w:tr w:rsidR="007A3E6D" w:rsidRPr="007A3E6D" w14:paraId="75D7FD9D" w14:textId="77777777" w:rsidTr="002B6673">
        <w:trPr>
          <w:trHeight w:val="239"/>
        </w:trPr>
        <w:tc>
          <w:tcPr>
            <w:tcW w:w="6630" w:type="dxa"/>
            <w:tcBorders>
              <w:top w:val="nil"/>
              <w:left w:val="single" w:sz="4" w:space="0" w:color="auto"/>
              <w:bottom w:val="single" w:sz="4" w:space="0" w:color="auto"/>
              <w:right w:val="single" w:sz="4" w:space="0" w:color="auto"/>
            </w:tcBorders>
            <w:noWrap/>
            <w:vAlign w:val="bottom"/>
            <w:hideMark/>
          </w:tcPr>
          <w:p w14:paraId="16313DC2" w14:textId="77777777" w:rsidR="007A3E6D" w:rsidRPr="007A3E6D" w:rsidRDefault="007A3E6D" w:rsidP="007A3E6D">
            <w:pPr>
              <w:spacing w:after="0" w:line="240" w:lineRule="auto"/>
              <w:rPr>
                <w:rFonts w:ascii="Calibri" w:eastAsia="Times New Roman" w:hAnsi="Calibri" w:cs="Calibri"/>
                <w:color w:val="000000"/>
              </w:rPr>
            </w:pPr>
            <w:r w:rsidRPr="007A3E6D">
              <w:rPr>
                <w:rFonts w:ascii="Calibri" w:eastAsia="Times New Roman" w:hAnsi="Calibri" w:cs="Calibri"/>
                <w:color w:val="000000"/>
              </w:rPr>
              <w:t xml:space="preserve"> Hire Now: Job Training </w:t>
            </w:r>
          </w:p>
        </w:tc>
        <w:tc>
          <w:tcPr>
            <w:tcW w:w="2725" w:type="dxa"/>
            <w:tcBorders>
              <w:top w:val="nil"/>
              <w:left w:val="nil"/>
              <w:bottom w:val="single" w:sz="4" w:space="0" w:color="auto"/>
              <w:right w:val="single" w:sz="4" w:space="0" w:color="auto"/>
            </w:tcBorders>
            <w:shd w:val="clear" w:color="000000" w:fill="FFFFFF"/>
            <w:noWrap/>
            <w:vAlign w:val="bottom"/>
            <w:hideMark/>
          </w:tcPr>
          <w:p w14:paraId="7A1AEBE1" w14:textId="77777777" w:rsidR="007A3E6D" w:rsidRPr="007A3E6D" w:rsidRDefault="007A3E6D" w:rsidP="007A3E6D">
            <w:pPr>
              <w:spacing w:after="0" w:line="240" w:lineRule="auto"/>
              <w:jc w:val="right"/>
              <w:rPr>
                <w:rFonts w:ascii="Calibri" w:eastAsia="Times New Roman" w:hAnsi="Calibri" w:cs="Calibri"/>
                <w:color w:val="000000"/>
              </w:rPr>
            </w:pPr>
            <w:r w:rsidRPr="007A3E6D">
              <w:rPr>
                <w:rFonts w:ascii="Calibri" w:eastAsia="Times New Roman" w:hAnsi="Calibri" w:cs="Calibri"/>
                <w:color w:val="000000"/>
              </w:rPr>
              <w:t xml:space="preserve">                            50,000,000 </w:t>
            </w:r>
          </w:p>
        </w:tc>
      </w:tr>
      <w:tr w:rsidR="007A3E6D" w:rsidRPr="007A3E6D" w14:paraId="3D7C5B9C" w14:textId="77777777" w:rsidTr="002B6673">
        <w:trPr>
          <w:trHeight w:val="239"/>
        </w:trPr>
        <w:tc>
          <w:tcPr>
            <w:tcW w:w="6630" w:type="dxa"/>
            <w:tcBorders>
              <w:top w:val="nil"/>
              <w:left w:val="single" w:sz="4" w:space="0" w:color="auto"/>
              <w:bottom w:val="single" w:sz="4" w:space="0" w:color="auto"/>
              <w:right w:val="single" w:sz="4" w:space="0" w:color="auto"/>
            </w:tcBorders>
            <w:noWrap/>
            <w:vAlign w:val="bottom"/>
            <w:hideMark/>
          </w:tcPr>
          <w:p w14:paraId="7A295902" w14:textId="77777777" w:rsidR="007A3E6D" w:rsidRPr="007A3E6D" w:rsidRDefault="007A3E6D" w:rsidP="007A3E6D">
            <w:pPr>
              <w:spacing w:after="0" w:line="240" w:lineRule="auto"/>
              <w:rPr>
                <w:rFonts w:ascii="Calibri" w:eastAsia="Times New Roman" w:hAnsi="Calibri" w:cs="Calibri"/>
                <w:color w:val="000000"/>
              </w:rPr>
            </w:pPr>
            <w:r w:rsidRPr="007A3E6D">
              <w:rPr>
                <w:rFonts w:ascii="Calibri" w:eastAsia="Times New Roman" w:hAnsi="Calibri" w:cs="Calibri"/>
                <w:color w:val="000000"/>
              </w:rPr>
              <w:t xml:space="preserve"> Health &amp; Human Services Workforce Stabilization Payments </w:t>
            </w:r>
          </w:p>
        </w:tc>
        <w:tc>
          <w:tcPr>
            <w:tcW w:w="2725" w:type="dxa"/>
            <w:tcBorders>
              <w:top w:val="nil"/>
              <w:left w:val="nil"/>
              <w:bottom w:val="single" w:sz="4" w:space="0" w:color="auto"/>
              <w:right w:val="single" w:sz="4" w:space="0" w:color="auto"/>
            </w:tcBorders>
            <w:shd w:val="clear" w:color="E2EFDA" w:fill="FFFFFF"/>
            <w:noWrap/>
            <w:vAlign w:val="bottom"/>
            <w:hideMark/>
          </w:tcPr>
          <w:p w14:paraId="1F488E00" w14:textId="77777777" w:rsidR="007A3E6D" w:rsidRPr="007A3E6D" w:rsidRDefault="007A3E6D" w:rsidP="007A3E6D">
            <w:pPr>
              <w:spacing w:after="0" w:line="240" w:lineRule="auto"/>
              <w:jc w:val="right"/>
              <w:rPr>
                <w:rFonts w:ascii="Calibri" w:eastAsia="Times New Roman" w:hAnsi="Calibri" w:cs="Calibri"/>
                <w:color w:val="000000"/>
              </w:rPr>
            </w:pPr>
            <w:r w:rsidRPr="007A3E6D">
              <w:rPr>
                <w:rFonts w:ascii="Calibri" w:eastAsia="Times New Roman" w:hAnsi="Calibri" w:cs="Calibri"/>
                <w:color w:val="000000"/>
              </w:rPr>
              <w:t xml:space="preserve">                            55,000,000 </w:t>
            </w:r>
          </w:p>
        </w:tc>
      </w:tr>
      <w:tr w:rsidR="007A3E6D" w:rsidRPr="007A3E6D" w14:paraId="08B3CC0E" w14:textId="77777777" w:rsidTr="002B6673">
        <w:trPr>
          <w:trHeight w:val="239"/>
        </w:trPr>
        <w:tc>
          <w:tcPr>
            <w:tcW w:w="6630" w:type="dxa"/>
            <w:tcBorders>
              <w:top w:val="nil"/>
              <w:left w:val="single" w:sz="4" w:space="0" w:color="auto"/>
              <w:bottom w:val="single" w:sz="4" w:space="0" w:color="auto"/>
              <w:right w:val="single" w:sz="4" w:space="0" w:color="auto"/>
            </w:tcBorders>
            <w:noWrap/>
            <w:vAlign w:val="bottom"/>
            <w:hideMark/>
          </w:tcPr>
          <w:p w14:paraId="66D33FB1" w14:textId="77777777" w:rsidR="007A3E6D" w:rsidRPr="007A3E6D" w:rsidRDefault="007A3E6D" w:rsidP="007A3E6D">
            <w:pPr>
              <w:spacing w:after="0" w:line="240" w:lineRule="auto"/>
              <w:rPr>
                <w:rFonts w:ascii="Calibri" w:eastAsia="Times New Roman" w:hAnsi="Calibri" w:cs="Calibri"/>
                <w:color w:val="000000"/>
              </w:rPr>
            </w:pPr>
            <w:r w:rsidRPr="007A3E6D">
              <w:rPr>
                <w:rFonts w:ascii="Calibri" w:eastAsia="Times New Roman" w:hAnsi="Calibri" w:cs="Calibri"/>
                <w:color w:val="000000"/>
              </w:rPr>
              <w:t xml:space="preserve"> Chapter 766 Schools </w:t>
            </w:r>
          </w:p>
        </w:tc>
        <w:tc>
          <w:tcPr>
            <w:tcW w:w="2725" w:type="dxa"/>
            <w:tcBorders>
              <w:top w:val="nil"/>
              <w:left w:val="nil"/>
              <w:bottom w:val="single" w:sz="4" w:space="0" w:color="auto"/>
              <w:right w:val="single" w:sz="4" w:space="0" w:color="auto"/>
            </w:tcBorders>
            <w:noWrap/>
            <w:vAlign w:val="bottom"/>
            <w:hideMark/>
          </w:tcPr>
          <w:p w14:paraId="513F6934" w14:textId="5F31A60E" w:rsidR="007A3E6D" w:rsidRPr="007A3E6D" w:rsidRDefault="007A3E6D" w:rsidP="007A3E6D">
            <w:pPr>
              <w:spacing w:after="0" w:line="240" w:lineRule="auto"/>
              <w:jc w:val="right"/>
              <w:rPr>
                <w:rFonts w:ascii="Calibri" w:eastAsia="Times New Roman" w:hAnsi="Calibri" w:cs="Calibri"/>
                <w:color w:val="000000"/>
              </w:rPr>
            </w:pPr>
            <w:r w:rsidRPr="007A3E6D">
              <w:rPr>
                <w:rFonts w:ascii="Calibri" w:eastAsia="Times New Roman" w:hAnsi="Calibri" w:cs="Calibri"/>
                <w:color w:val="000000"/>
              </w:rPr>
              <w:t xml:space="preserve">                            79,127,558 </w:t>
            </w:r>
          </w:p>
        </w:tc>
      </w:tr>
      <w:tr w:rsidR="007A3E6D" w:rsidRPr="007A3E6D" w14:paraId="66A8FA89" w14:textId="77777777" w:rsidTr="002B6673">
        <w:trPr>
          <w:trHeight w:val="239"/>
        </w:trPr>
        <w:tc>
          <w:tcPr>
            <w:tcW w:w="6630" w:type="dxa"/>
            <w:tcBorders>
              <w:top w:val="nil"/>
              <w:left w:val="single" w:sz="4" w:space="0" w:color="auto"/>
              <w:bottom w:val="single" w:sz="4" w:space="0" w:color="auto"/>
              <w:right w:val="single" w:sz="4" w:space="0" w:color="auto"/>
            </w:tcBorders>
            <w:noWrap/>
            <w:vAlign w:val="bottom"/>
            <w:hideMark/>
          </w:tcPr>
          <w:p w14:paraId="74A7F898" w14:textId="77777777" w:rsidR="007A3E6D" w:rsidRPr="007A3E6D" w:rsidRDefault="007A3E6D" w:rsidP="007A3E6D">
            <w:pPr>
              <w:spacing w:after="0" w:line="240" w:lineRule="auto"/>
              <w:rPr>
                <w:rFonts w:ascii="Calibri" w:eastAsia="Times New Roman" w:hAnsi="Calibri" w:cs="Calibri"/>
                <w:color w:val="000000"/>
              </w:rPr>
            </w:pPr>
            <w:r w:rsidRPr="007A3E6D">
              <w:rPr>
                <w:rFonts w:ascii="Calibri" w:eastAsia="Times New Roman" w:hAnsi="Calibri" w:cs="Calibri"/>
                <w:color w:val="000000"/>
              </w:rPr>
              <w:t xml:space="preserve"> Administrative Use </w:t>
            </w:r>
          </w:p>
        </w:tc>
        <w:tc>
          <w:tcPr>
            <w:tcW w:w="2725" w:type="dxa"/>
            <w:tcBorders>
              <w:top w:val="nil"/>
              <w:left w:val="nil"/>
              <w:bottom w:val="single" w:sz="4" w:space="0" w:color="auto"/>
              <w:right w:val="single" w:sz="4" w:space="0" w:color="auto"/>
            </w:tcBorders>
            <w:shd w:val="clear" w:color="000000" w:fill="FFFFFF"/>
            <w:noWrap/>
            <w:vAlign w:val="bottom"/>
            <w:hideMark/>
          </w:tcPr>
          <w:p w14:paraId="6AF8D24E" w14:textId="77777777" w:rsidR="007A3E6D" w:rsidRPr="007A3E6D" w:rsidRDefault="007A3E6D" w:rsidP="007A3E6D">
            <w:pPr>
              <w:spacing w:after="0" w:line="240" w:lineRule="auto"/>
              <w:jc w:val="right"/>
              <w:rPr>
                <w:rFonts w:ascii="Calibri" w:eastAsia="Times New Roman" w:hAnsi="Calibri" w:cs="Calibri"/>
                <w:color w:val="000000"/>
              </w:rPr>
            </w:pPr>
            <w:r w:rsidRPr="007A3E6D">
              <w:rPr>
                <w:rFonts w:ascii="Calibri" w:eastAsia="Times New Roman" w:hAnsi="Calibri" w:cs="Calibri"/>
                <w:color w:val="000000"/>
              </w:rPr>
              <w:t xml:space="preserve">                            16,500,000 </w:t>
            </w:r>
          </w:p>
        </w:tc>
      </w:tr>
      <w:tr w:rsidR="007A3E6D" w:rsidRPr="007A3E6D" w14:paraId="413A5A56" w14:textId="77777777" w:rsidTr="002B6673">
        <w:trPr>
          <w:trHeight w:val="239"/>
        </w:trPr>
        <w:tc>
          <w:tcPr>
            <w:tcW w:w="6630" w:type="dxa"/>
            <w:tcBorders>
              <w:top w:val="nil"/>
              <w:left w:val="single" w:sz="4" w:space="0" w:color="auto"/>
              <w:bottom w:val="single" w:sz="4" w:space="0" w:color="auto"/>
              <w:right w:val="single" w:sz="4" w:space="0" w:color="auto"/>
            </w:tcBorders>
            <w:noWrap/>
            <w:vAlign w:val="bottom"/>
            <w:hideMark/>
          </w:tcPr>
          <w:p w14:paraId="7BA051E0" w14:textId="77777777" w:rsidR="007A3E6D" w:rsidRPr="007A3E6D" w:rsidRDefault="007A3E6D" w:rsidP="007A3E6D">
            <w:pPr>
              <w:spacing w:after="0" w:line="240" w:lineRule="auto"/>
              <w:rPr>
                <w:rFonts w:ascii="Calibri" w:eastAsia="Times New Roman" w:hAnsi="Calibri" w:cs="Calibri"/>
                <w:color w:val="000000"/>
              </w:rPr>
            </w:pPr>
            <w:r w:rsidRPr="007A3E6D">
              <w:rPr>
                <w:rFonts w:ascii="Calibri" w:eastAsia="Times New Roman" w:hAnsi="Calibri" w:cs="Calibri"/>
                <w:color w:val="000000"/>
              </w:rPr>
              <w:t xml:space="preserve"> Future of Work/Document Digitization </w:t>
            </w:r>
          </w:p>
        </w:tc>
        <w:tc>
          <w:tcPr>
            <w:tcW w:w="2725" w:type="dxa"/>
            <w:tcBorders>
              <w:top w:val="nil"/>
              <w:left w:val="nil"/>
              <w:bottom w:val="single" w:sz="4" w:space="0" w:color="auto"/>
              <w:right w:val="single" w:sz="4" w:space="0" w:color="auto"/>
            </w:tcBorders>
            <w:shd w:val="clear" w:color="E2EFDA" w:fill="FFFFFF"/>
            <w:noWrap/>
            <w:vAlign w:val="bottom"/>
            <w:hideMark/>
          </w:tcPr>
          <w:p w14:paraId="50720518" w14:textId="77777777" w:rsidR="007A3E6D" w:rsidRPr="007A3E6D" w:rsidRDefault="007A3E6D" w:rsidP="007A3E6D">
            <w:pPr>
              <w:spacing w:after="0" w:line="240" w:lineRule="auto"/>
              <w:jc w:val="right"/>
              <w:rPr>
                <w:rFonts w:ascii="Calibri" w:eastAsia="Times New Roman" w:hAnsi="Calibri" w:cs="Calibri"/>
                <w:color w:val="000000"/>
              </w:rPr>
            </w:pPr>
            <w:r w:rsidRPr="007A3E6D">
              <w:rPr>
                <w:rFonts w:ascii="Calibri" w:eastAsia="Times New Roman" w:hAnsi="Calibri" w:cs="Calibri"/>
                <w:color w:val="000000"/>
              </w:rPr>
              <w:t xml:space="preserve">                              3,750,000 </w:t>
            </w:r>
          </w:p>
        </w:tc>
      </w:tr>
      <w:tr w:rsidR="007A3E6D" w:rsidRPr="007A3E6D" w14:paraId="6E94831B" w14:textId="77777777" w:rsidTr="002B6673">
        <w:trPr>
          <w:trHeight w:val="239"/>
        </w:trPr>
        <w:tc>
          <w:tcPr>
            <w:tcW w:w="6630" w:type="dxa"/>
            <w:tcBorders>
              <w:top w:val="nil"/>
              <w:left w:val="single" w:sz="4" w:space="0" w:color="auto"/>
              <w:bottom w:val="single" w:sz="4" w:space="0" w:color="auto"/>
              <w:right w:val="single" w:sz="4" w:space="0" w:color="auto"/>
            </w:tcBorders>
            <w:shd w:val="clear" w:color="E2EFDA" w:fill="FFFFFF"/>
            <w:noWrap/>
            <w:vAlign w:val="bottom"/>
            <w:hideMark/>
          </w:tcPr>
          <w:p w14:paraId="76A86F4E" w14:textId="77777777" w:rsidR="007A3E6D" w:rsidRPr="007A3E6D" w:rsidRDefault="007A3E6D" w:rsidP="007A3E6D">
            <w:pPr>
              <w:spacing w:after="0" w:line="240" w:lineRule="auto"/>
              <w:rPr>
                <w:rFonts w:ascii="Calibri" w:eastAsia="Times New Roman" w:hAnsi="Calibri" w:cs="Calibri"/>
                <w:color w:val="000000"/>
              </w:rPr>
            </w:pPr>
            <w:r w:rsidRPr="007A3E6D">
              <w:rPr>
                <w:rFonts w:ascii="Calibri" w:eastAsia="Times New Roman" w:hAnsi="Calibri" w:cs="Calibri"/>
                <w:color w:val="000000"/>
              </w:rPr>
              <w:t xml:space="preserve"> Premium Pay &amp; Side Letter Costs </w:t>
            </w:r>
          </w:p>
        </w:tc>
        <w:tc>
          <w:tcPr>
            <w:tcW w:w="2725" w:type="dxa"/>
            <w:tcBorders>
              <w:top w:val="nil"/>
              <w:left w:val="nil"/>
              <w:bottom w:val="single" w:sz="4" w:space="0" w:color="auto"/>
              <w:right w:val="single" w:sz="4" w:space="0" w:color="auto"/>
            </w:tcBorders>
            <w:shd w:val="clear" w:color="E2EFDA" w:fill="FFFFFF"/>
            <w:noWrap/>
            <w:vAlign w:val="bottom"/>
            <w:hideMark/>
          </w:tcPr>
          <w:p w14:paraId="36C2E9EA" w14:textId="77777777" w:rsidR="007A3E6D" w:rsidRPr="007A3E6D" w:rsidRDefault="007A3E6D" w:rsidP="007A3E6D">
            <w:pPr>
              <w:spacing w:after="0" w:line="240" w:lineRule="auto"/>
              <w:jc w:val="right"/>
              <w:rPr>
                <w:rFonts w:ascii="Calibri" w:eastAsia="Times New Roman" w:hAnsi="Calibri" w:cs="Calibri"/>
                <w:color w:val="000000"/>
              </w:rPr>
            </w:pPr>
            <w:r w:rsidRPr="007A3E6D">
              <w:rPr>
                <w:rFonts w:ascii="Calibri" w:eastAsia="Times New Roman" w:hAnsi="Calibri" w:cs="Calibri"/>
                <w:color w:val="000000"/>
              </w:rPr>
              <w:t xml:space="preserve">                         460,000,000 </w:t>
            </w:r>
          </w:p>
        </w:tc>
      </w:tr>
      <w:tr w:rsidR="007A3E6D" w:rsidRPr="007A3E6D" w14:paraId="1AA3505F" w14:textId="77777777" w:rsidTr="002B6673">
        <w:trPr>
          <w:trHeight w:val="239"/>
        </w:trPr>
        <w:tc>
          <w:tcPr>
            <w:tcW w:w="6630" w:type="dxa"/>
            <w:tcBorders>
              <w:top w:val="nil"/>
              <w:left w:val="single" w:sz="4" w:space="0" w:color="auto"/>
              <w:bottom w:val="single" w:sz="4" w:space="0" w:color="auto"/>
              <w:right w:val="single" w:sz="4" w:space="0" w:color="auto"/>
            </w:tcBorders>
            <w:shd w:val="clear" w:color="000000" w:fill="FFFFFF"/>
            <w:noWrap/>
            <w:vAlign w:val="bottom"/>
            <w:hideMark/>
          </w:tcPr>
          <w:p w14:paraId="52769F7D" w14:textId="77777777" w:rsidR="007A3E6D" w:rsidRPr="007A3E6D" w:rsidRDefault="007A3E6D" w:rsidP="007A3E6D">
            <w:pPr>
              <w:spacing w:after="0" w:line="240" w:lineRule="auto"/>
              <w:rPr>
                <w:rFonts w:ascii="Calibri" w:eastAsia="Times New Roman" w:hAnsi="Calibri" w:cs="Calibri"/>
                <w:color w:val="000000"/>
              </w:rPr>
            </w:pPr>
            <w:r w:rsidRPr="007A3E6D">
              <w:rPr>
                <w:rFonts w:ascii="Calibri" w:eastAsia="Times New Roman" w:hAnsi="Calibri" w:cs="Calibri"/>
                <w:color w:val="000000"/>
              </w:rPr>
              <w:t xml:space="preserve"> Homeownership Assistance </w:t>
            </w:r>
          </w:p>
        </w:tc>
        <w:tc>
          <w:tcPr>
            <w:tcW w:w="2725" w:type="dxa"/>
            <w:tcBorders>
              <w:top w:val="nil"/>
              <w:left w:val="nil"/>
              <w:bottom w:val="single" w:sz="4" w:space="0" w:color="auto"/>
              <w:right w:val="single" w:sz="4" w:space="0" w:color="auto"/>
            </w:tcBorders>
            <w:shd w:val="clear" w:color="000000" w:fill="FFFFFF"/>
            <w:noWrap/>
            <w:vAlign w:val="bottom"/>
            <w:hideMark/>
          </w:tcPr>
          <w:p w14:paraId="2BD161D7" w14:textId="77777777" w:rsidR="007A3E6D" w:rsidRPr="007A3E6D" w:rsidRDefault="007A3E6D" w:rsidP="007A3E6D">
            <w:pPr>
              <w:spacing w:after="0" w:line="240" w:lineRule="auto"/>
              <w:jc w:val="right"/>
              <w:rPr>
                <w:rFonts w:ascii="Calibri" w:eastAsia="Times New Roman" w:hAnsi="Calibri" w:cs="Calibri"/>
                <w:color w:val="000000"/>
              </w:rPr>
            </w:pPr>
            <w:r w:rsidRPr="007A3E6D">
              <w:rPr>
                <w:rFonts w:ascii="Calibri" w:eastAsia="Times New Roman" w:hAnsi="Calibri" w:cs="Calibri"/>
                <w:color w:val="000000"/>
              </w:rPr>
              <w:t xml:space="preserve">                            65,000,000 </w:t>
            </w:r>
          </w:p>
        </w:tc>
      </w:tr>
      <w:tr w:rsidR="007A3E6D" w:rsidRPr="007A3E6D" w14:paraId="192ACA2F" w14:textId="77777777" w:rsidTr="002B6673">
        <w:trPr>
          <w:trHeight w:val="239"/>
        </w:trPr>
        <w:tc>
          <w:tcPr>
            <w:tcW w:w="6630" w:type="dxa"/>
            <w:tcBorders>
              <w:top w:val="nil"/>
              <w:left w:val="single" w:sz="4" w:space="0" w:color="auto"/>
              <w:bottom w:val="single" w:sz="4" w:space="0" w:color="auto"/>
              <w:right w:val="single" w:sz="4" w:space="0" w:color="auto"/>
            </w:tcBorders>
            <w:shd w:val="clear" w:color="E2EFDA" w:fill="FFFFFF"/>
            <w:noWrap/>
            <w:vAlign w:val="bottom"/>
            <w:hideMark/>
          </w:tcPr>
          <w:p w14:paraId="064F0922" w14:textId="77777777" w:rsidR="007A3E6D" w:rsidRPr="007A3E6D" w:rsidRDefault="007A3E6D" w:rsidP="007A3E6D">
            <w:pPr>
              <w:spacing w:after="0" w:line="240" w:lineRule="auto"/>
              <w:rPr>
                <w:rFonts w:ascii="Calibri" w:eastAsia="Times New Roman" w:hAnsi="Calibri" w:cs="Calibri"/>
                <w:color w:val="000000"/>
              </w:rPr>
            </w:pPr>
            <w:r w:rsidRPr="007A3E6D">
              <w:rPr>
                <w:rFonts w:ascii="Calibri" w:eastAsia="Times New Roman" w:hAnsi="Calibri" w:cs="Calibri"/>
                <w:color w:val="000000"/>
              </w:rPr>
              <w:t xml:space="preserve"> Commonwealth Builder Program </w:t>
            </w:r>
          </w:p>
        </w:tc>
        <w:tc>
          <w:tcPr>
            <w:tcW w:w="2725" w:type="dxa"/>
            <w:tcBorders>
              <w:top w:val="nil"/>
              <w:left w:val="nil"/>
              <w:bottom w:val="single" w:sz="4" w:space="0" w:color="auto"/>
              <w:right w:val="single" w:sz="4" w:space="0" w:color="auto"/>
            </w:tcBorders>
            <w:shd w:val="clear" w:color="E2EFDA" w:fill="FFFFFF"/>
            <w:noWrap/>
            <w:vAlign w:val="bottom"/>
            <w:hideMark/>
          </w:tcPr>
          <w:p w14:paraId="211E0ECE" w14:textId="77777777" w:rsidR="007A3E6D" w:rsidRPr="007A3E6D" w:rsidRDefault="007A3E6D" w:rsidP="007A3E6D">
            <w:pPr>
              <w:spacing w:after="0" w:line="240" w:lineRule="auto"/>
              <w:jc w:val="right"/>
              <w:rPr>
                <w:rFonts w:ascii="Calibri" w:eastAsia="Times New Roman" w:hAnsi="Calibri" w:cs="Calibri"/>
                <w:color w:val="000000"/>
              </w:rPr>
            </w:pPr>
            <w:r w:rsidRPr="007A3E6D">
              <w:rPr>
                <w:rFonts w:ascii="Calibri" w:eastAsia="Times New Roman" w:hAnsi="Calibri" w:cs="Calibri"/>
                <w:color w:val="000000"/>
              </w:rPr>
              <w:t xml:space="preserve">                         115,000,000 </w:t>
            </w:r>
          </w:p>
        </w:tc>
      </w:tr>
      <w:tr w:rsidR="007A3E6D" w:rsidRPr="007A3E6D" w14:paraId="742EA0CF" w14:textId="77777777" w:rsidTr="002B6673">
        <w:trPr>
          <w:trHeight w:val="239"/>
        </w:trPr>
        <w:tc>
          <w:tcPr>
            <w:tcW w:w="6630" w:type="dxa"/>
            <w:tcBorders>
              <w:top w:val="nil"/>
              <w:left w:val="single" w:sz="4" w:space="0" w:color="auto"/>
              <w:bottom w:val="single" w:sz="4" w:space="0" w:color="auto"/>
              <w:right w:val="single" w:sz="4" w:space="0" w:color="auto"/>
            </w:tcBorders>
            <w:shd w:val="clear" w:color="000000" w:fill="FFFFFF"/>
            <w:noWrap/>
            <w:vAlign w:val="bottom"/>
            <w:hideMark/>
          </w:tcPr>
          <w:p w14:paraId="199B1C48" w14:textId="77777777" w:rsidR="007A3E6D" w:rsidRPr="007A3E6D" w:rsidRDefault="007A3E6D" w:rsidP="007A3E6D">
            <w:pPr>
              <w:spacing w:after="0" w:line="240" w:lineRule="auto"/>
              <w:rPr>
                <w:rFonts w:ascii="Calibri" w:eastAsia="Times New Roman" w:hAnsi="Calibri" w:cs="Calibri"/>
                <w:color w:val="000000"/>
              </w:rPr>
            </w:pPr>
            <w:r w:rsidRPr="007A3E6D">
              <w:rPr>
                <w:rFonts w:ascii="Calibri" w:eastAsia="Times New Roman" w:hAnsi="Calibri" w:cs="Calibri"/>
                <w:color w:val="000000"/>
              </w:rPr>
              <w:t xml:space="preserve"> Rental Housing Production/Affordable Housing </w:t>
            </w:r>
          </w:p>
        </w:tc>
        <w:tc>
          <w:tcPr>
            <w:tcW w:w="2725" w:type="dxa"/>
            <w:tcBorders>
              <w:top w:val="nil"/>
              <w:left w:val="nil"/>
              <w:bottom w:val="single" w:sz="4" w:space="0" w:color="auto"/>
              <w:right w:val="single" w:sz="4" w:space="0" w:color="auto"/>
            </w:tcBorders>
            <w:shd w:val="clear" w:color="000000" w:fill="FFFFFF"/>
            <w:noWrap/>
            <w:vAlign w:val="bottom"/>
            <w:hideMark/>
          </w:tcPr>
          <w:p w14:paraId="6E98BA43" w14:textId="77777777" w:rsidR="007A3E6D" w:rsidRPr="007A3E6D" w:rsidRDefault="007A3E6D" w:rsidP="007A3E6D">
            <w:pPr>
              <w:spacing w:after="0" w:line="240" w:lineRule="auto"/>
              <w:jc w:val="right"/>
              <w:rPr>
                <w:rFonts w:ascii="Calibri" w:eastAsia="Times New Roman" w:hAnsi="Calibri" w:cs="Calibri"/>
                <w:color w:val="000000"/>
              </w:rPr>
            </w:pPr>
            <w:r w:rsidRPr="007A3E6D">
              <w:rPr>
                <w:rFonts w:ascii="Calibri" w:eastAsia="Times New Roman" w:hAnsi="Calibri" w:cs="Calibri"/>
                <w:color w:val="000000"/>
              </w:rPr>
              <w:t xml:space="preserve">                         105,000,000 </w:t>
            </w:r>
          </w:p>
        </w:tc>
      </w:tr>
      <w:tr w:rsidR="007A3E6D" w:rsidRPr="007A3E6D" w14:paraId="4BF49DBE" w14:textId="77777777" w:rsidTr="002B6673">
        <w:trPr>
          <w:trHeight w:val="239"/>
        </w:trPr>
        <w:tc>
          <w:tcPr>
            <w:tcW w:w="6630" w:type="dxa"/>
            <w:tcBorders>
              <w:top w:val="nil"/>
              <w:left w:val="single" w:sz="4" w:space="0" w:color="auto"/>
              <w:bottom w:val="single" w:sz="4" w:space="0" w:color="auto"/>
              <w:right w:val="single" w:sz="4" w:space="0" w:color="auto"/>
            </w:tcBorders>
            <w:shd w:val="clear" w:color="E2EFDA" w:fill="FFFFFF"/>
            <w:noWrap/>
            <w:vAlign w:val="bottom"/>
            <w:hideMark/>
          </w:tcPr>
          <w:p w14:paraId="3BDC2ACC" w14:textId="77777777" w:rsidR="007A3E6D" w:rsidRPr="007A3E6D" w:rsidRDefault="007A3E6D" w:rsidP="007A3E6D">
            <w:pPr>
              <w:spacing w:after="0" w:line="240" w:lineRule="auto"/>
              <w:rPr>
                <w:rFonts w:ascii="Calibri" w:eastAsia="Times New Roman" w:hAnsi="Calibri" w:cs="Calibri"/>
                <w:color w:val="000000"/>
              </w:rPr>
            </w:pPr>
            <w:r w:rsidRPr="007A3E6D">
              <w:rPr>
                <w:rFonts w:ascii="Calibri" w:eastAsia="Times New Roman" w:hAnsi="Calibri" w:cs="Calibri"/>
                <w:color w:val="000000"/>
              </w:rPr>
              <w:t xml:space="preserve"> Senior and Veteran Housing/Supportive Housing </w:t>
            </w:r>
          </w:p>
        </w:tc>
        <w:tc>
          <w:tcPr>
            <w:tcW w:w="2725" w:type="dxa"/>
            <w:tcBorders>
              <w:top w:val="nil"/>
              <w:left w:val="nil"/>
              <w:bottom w:val="single" w:sz="4" w:space="0" w:color="auto"/>
              <w:right w:val="single" w:sz="4" w:space="0" w:color="auto"/>
            </w:tcBorders>
            <w:shd w:val="clear" w:color="E2EFDA" w:fill="FFFFFF"/>
            <w:noWrap/>
            <w:vAlign w:val="bottom"/>
            <w:hideMark/>
          </w:tcPr>
          <w:p w14:paraId="0862A8DB" w14:textId="77777777" w:rsidR="007A3E6D" w:rsidRPr="007A3E6D" w:rsidRDefault="007A3E6D" w:rsidP="007A3E6D">
            <w:pPr>
              <w:spacing w:after="0" w:line="240" w:lineRule="auto"/>
              <w:jc w:val="right"/>
              <w:rPr>
                <w:rFonts w:ascii="Calibri" w:eastAsia="Times New Roman" w:hAnsi="Calibri" w:cs="Calibri"/>
                <w:color w:val="000000"/>
              </w:rPr>
            </w:pPr>
            <w:r w:rsidRPr="007A3E6D">
              <w:rPr>
                <w:rFonts w:ascii="Calibri" w:eastAsia="Times New Roman" w:hAnsi="Calibri" w:cs="Calibri"/>
                <w:color w:val="000000"/>
              </w:rPr>
              <w:t xml:space="preserve">                         135,000,000 </w:t>
            </w:r>
          </w:p>
        </w:tc>
      </w:tr>
      <w:tr w:rsidR="007A3E6D" w:rsidRPr="007A3E6D" w14:paraId="6A07E1FE" w14:textId="77777777" w:rsidTr="002B6673">
        <w:trPr>
          <w:trHeight w:val="239"/>
        </w:trPr>
        <w:tc>
          <w:tcPr>
            <w:tcW w:w="6630" w:type="dxa"/>
            <w:tcBorders>
              <w:top w:val="nil"/>
              <w:left w:val="single" w:sz="4" w:space="0" w:color="auto"/>
              <w:bottom w:val="single" w:sz="4" w:space="0" w:color="auto"/>
              <w:right w:val="single" w:sz="4" w:space="0" w:color="auto"/>
            </w:tcBorders>
            <w:shd w:val="clear" w:color="000000" w:fill="FFFFFF"/>
            <w:noWrap/>
            <w:vAlign w:val="bottom"/>
            <w:hideMark/>
          </w:tcPr>
          <w:p w14:paraId="0254671B" w14:textId="77777777" w:rsidR="007A3E6D" w:rsidRPr="007A3E6D" w:rsidRDefault="007A3E6D" w:rsidP="007A3E6D">
            <w:pPr>
              <w:spacing w:after="0" w:line="240" w:lineRule="auto"/>
              <w:rPr>
                <w:rFonts w:ascii="Calibri" w:eastAsia="Times New Roman" w:hAnsi="Calibri" w:cs="Calibri"/>
                <w:color w:val="000000"/>
              </w:rPr>
            </w:pPr>
            <w:r w:rsidRPr="007A3E6D">
              <w:rPr>
                <w:rFonts w:ascii="Calibri" w:eastAsia="Times New Roman" w:hAnsi="Calibri" w:cs="Calibri"/>
                <w:color w:val="000000"/>
              </w:rPr>
              <w:t xml:space="preserve"> Public Housing Maintenance </w:t>
            </w:r>
          </w:p>
        </w:tc>
        <w:tc>
          <w:tcPr>
            <w:tcW w:w="2725" w:type="dxa"/>
            <w:tcBorders>
              <w:top w:val="nil"/>
              <w:left w:val="nil"/>
              <w:bottom w:val="single" w:sz="4" w:space="0" w:color="auto"/>
              <w:right w:val="single" w:sz="4" w:space="0" w:color="auto"/>
            </w:tcBorders>
            <w:shd w:val="clear" w:color="000000" w:fill="FFFFFF"/>
            <w:noWrap/>
            <w:vAlign w:val="bottom"/>
            <w:hideMark/>
          </w:tcPr>
          <w:p w14:paraId="7B042B8E" w14:textId="77777777" w:rsidR="007A3E6D" w:rsidRPr="007A3E6D" w:rsidRDefault="007A3E6D" w:rsidP="007A3E6D">
            <w:pPr>
              <w:spacing w:after="0" w:line="240" w:lineRule="auto"/>
              <w:jc w:val="right"/>
              <w:rPr>
                <w:rFonts w:ascii="Calibri" w:eastAsia="Times New Roman" w:hAnsi="Calibri" w:cs="Calibri"/>
                <w:color w:val="000000"/>
              </w:rPr>
            </w:pPr>
            <w:r w:rsidRPr="007A3E6D">
              <w:rPr>
                <w:rFonts w:ascii="Calibri" w:eastAsia="Times New Roman" w:hAnsi="Calibri" w:cs="Calibri"/>
                <w:color w:val="000000"/>
              </w:rPr>
              <w:t xml:space="preserve">                         150,000,000 </w:t>
            </w:r>
          </w:p>
        </w:tc>
      </w:tr>
      <w:tr w:rsidR="007A3E6D" w:rsidRPr="007A3E6D" w14:paraId="307D7D01" w14:textId="77777777" w:rsidTr="002B6673">
        <w:trPr>
          <w:trHeight w:val="239"/>
        </w:trPr>
        <w:tc>
          <w:tcPr>
            <w:tcW w:w="6630" w:type="dxa"/>
            <w:tcBorders>
              <w:top w:val="nil"/>
              <w:left w:val="single" w:sz="4" w:space="0" w:color="auto"/>
              <w:bottom w:val="single" w:sz="4" w:space="0" w:color="auto"/>
              <w:right w:val="single" w:sz="4" w:space="0" w:color="auto"/>
            </w:tcBorders>
            <w:shd w:val="clear" w:color="E2EFDA" w:fill="FFFFFF"/>
            <w:noWrap/>
            <w:vAlign w:val="bottom"/>
            <w:hideMark/>
          </w:tcPr>
          <w:p w14:paraId="4B75C456" w14:textId="77777777" w:rsidR="007A3E6D" w:rsidRPr="007A3E6D" w:rsidRDefault="007A3E6D" w:rsidP="007A3E6D">
            <w:pPr>
              <w:spacing w:after="0" w:line="240" w:lineRule="auto"/>
              <w:rPr>
                <w:rFonts w:ascii="Calibri" w:eastAsia="Times New Roman" w:hAnsi="Calibri" w:cs="Calibri"/>
                <w:color w:val="000000"/>
              </w:rPr>
            </w:pPr>
            <w:r w:rsidRPr="007A3E6D">
              <w:rPr>
                <w:rFonts w:ascii="Calibri" w:eastAsia="Times New Roman" w:hAnsi="Calibri" w:cs="Calibri"/>
                <w:color w:val="000000"/>
              </w:rPr>
              <w:t xml:space="preserve"> Local and Regional Public Health Systems </w:t>
            </w:r>
          </w:p>
        </w:tc>
        <w:tc>
          <w:tcPr>
            <w:tcW w:w="2725" w:type="dxa"/>
            <w:tcBorders>
              <w:top w:val="nil"/>
              <w:left w:val="nil"/>
              <w:bottom w:val="single" w:sz="4" w:space="0" w:color="auto"/>
              <w:right w:val="single" w:sz="4" w:space="0" w:color="auto"/>
            </w:tcBorders>
            <w:shd w:val="clear" w:color="E2EFDA" w:fill="FFFFFF"/>
            <w:noWrap/>
            <w:vAlign w:val="bottom"/>
            <w:hideMark/>
          </w:tcPr>
          <w:p w14:paraId="7FF9E2C4" w14:textId="77777777" w:rsidR="007A3E6D" w:rsidRPr="007A3E6D" w:rsidRDefault="007A3E6D" w:rsidP="007A3E6D">
            <w:pPr>
              <w:spacing w:after="0" w:line="240" w:lineRule="auto"/>
              <w:jc w:val="right"/>
              <w:rPr>
                <w:rFonts w:ascii="Calibri" w:eastAsia="Times New Roman" w:hAnsi="Calibri" w:cs="Calibri"/>
                <w:color w:val="000000"/>
              </w:rPr>
            </w:pPr>
            <w:r w:rsidRPr="007A3E6D">
              <w:rPr>
                <w:rFonts w:ascii="Calibri" w:eastAsia="Times New Roman" w:hAnsi="Calibri" w:cs="Calibri"/>
                <w:color w:val="000000"/>
              </w:rPr>
              <w:t xml:space="preserve">                         200,000,000 </w:t>
            </w:r>
          </w:p>
        </w:tc>
      </w:tr>
      <w:tr w:rsidR="007A3E6D" w:rsidRPr="007A3E6D" w14:paraId="4CC74E41" w14:textId="77777777" w:rsidTr="002B6673">
        <w:trPr>
          <w:trHeight w:val="239"/>
        </w:trPr>
        <w:tc>
          <w:tcPr>
            <w:tcW w:w="6630" w:type="dxa"/>
            <w:tcBorders>
              <w:top w:val="nil"/>
              <w:left w:val="single" w:sz="4" w:space="0" w:color="auto"/>
              <w:bottom w:val="single" w:sz="4" w:space="0" w:color="auto"/>
              <w:right w:val="single" w:sz="4" w:space="0" w:color="auto"/>
            </w:tcBorders>
            <w:shd w:val="clear" w:color="000000" w:fill="FFFFFF"/>
            <w:noWrap/>
            <w:vAlign w:val="bottom"/>
            <w:hideMark/>
          </w:tcPr>
          <w:p w14:paraId="59315652" w14:textId="77777777" w:rsidR="007A3E6D" w:rsidRPr="007A3E6D" w:rsidRDefault="007A3E6D" w:rsidP="007A3E6D">
            <w:pPr>
              <w:spacing w:after="0" w:line="240" w:lineRule="auto"/>
              <w:rPr>
                <w:rFonts w:ascii="Calibri" w:eastAsia="Times New Roman" w:hAnsi="Calibri" w:cs="Calibri"/>
                <w:color w:val="000000"/>
              </w:rPr>
            </w:pPr>
            <w:r w:rsidRPr="007A3E6D">
              <w:rPr>
                <w:rFonts w:ascii="Calibri" w:eastAsia="Times New Roman" w:hAnsi="Calibri" w:cs="Calibri"/>
                <w:color w:val="000000"/>
              </w:rPr>
              <w:t xml:space="preserve"> Behavioral Health and Addiction Services </w:t>
            </w:r>
          </w:p>
        </w:tc>
        <w:tc>
          <w:tcPr>
            <w:tcW w:w="2725" w:type="dxa"/>
            <w:tcBorders>
              <w:top w:val="nil"/>
              <w:left w:val="nil"/>
              <w:bottom w:val="single" w:sz="4" w:space="0" w:color="auto"/>
              <w:right w:val="single" w:sz="4" w:space="0" w:color="auto"/>
            </w:tcBorders>
            <w:shd w:val="clear" w:color="000000" w:fill="FFFFFF"/>
            <w:noWrap/>
            <w:vAlign w:val="bottom"/>
            <w:hideMark/>
          </w:tcPr>
          <w:p w14:paraId="54C96227" w14:textId="482696DB" w:rsidR="007A3E6D" w:rsidRPr="007A3E6D" w:rsidRDefault="007A3E6D" w:rsidP="007A3E6D">
            <w:pPr>
              <w:spacing w:after="0" w:line="240" w:lineRule="auto"/>
              <w:jc w:val="right"/>
              <w:rPr>
                <w:rFonts w:ascii="Calibri" w:eastAsia="Times New Roman" w:hAnsi="Calibri" w:cs="Calibri"/>
                <w:color w:val="000000"/>
              </w:rPr>
            </w:pPr>
            <w:r w:rsidRPr="007A3E6D">
              <w:rPr>
                <w:rFonts w:ascii="Calibri" w:eastAsia="Times New Roman" w:hAnsi="Calibri" w:cs="Calibri"/>
                <w:color w:val="000000"/>
              </w:rPr>
              <w:t xml:space="preserve">                         226,635,000 </w:t>
            </w:r>
          </w:p>
        </w:tc>
      </w:tr>
      <w:tr w:rsidR="007A3E6D" w:rsidRPr="007A3E6D" w14:paraId="2A0AADB9" w14:textId="77777777" w:rsidTr="002B6673">
        <w:trPr>
          <w:trHeight w:val="239"/>
        </w:trPr>
        <w:tc>
          <w:tcPr>
            <w:tcW w:w="6630" w:type="dxa"/>
            <w:tcBorders>
              <w:top w:val="nil"/>
              <w:left w:val="single" w:sz="4" w:space="0" w:color="auto"/>
              <w:bottom w:val="single" w:sz="4" w:space="0" w:color="auto"/>
              <w:right w:val="single" w:sz="4" w:space="0" w:color="auto"/>
            </w:tcBorders>
            <w:shd w:val="clear" w:color="E2EFDA" w:fill="FFFFFF"/>
            <w:noWrap/>
            <w:vAlign w:val="bottom"/>
            <w:hideMark/>
          </w:tcPr>
          <w:p w14:paraId="1511F686" w14:textId="77777777" w:rsidR="007A3E6D" w:rsidRPr="007A3E6D" w:rsidRDefault="007A3E6D" w:rsidP="007A3E6D">
            <w:pPr>
              <w:spacing w:after="0" w:line="240" w:lineRule="auto"/>
              <w:rPr>
                <w:rFonts w:ascii="Calibri" w:eastAsia="Times New Roman" w:hAnsi="Calibri" w:cs="Calibri"/>
                <w:color w:val="000000"/>
              </w:rPr>
            </w:pPr>
            <w:r w:rsidRPr="007A3E6D">
              <w:rPr>
                <w:rFonts w:ascii="Calibri" w:eastAsia="Times New Roman" w:hAnsi="Calibri" w:cs="Calibri"/>
                <w:color w:val="000000"/>
              </w:rPr>
              <w:t xml:space="preserve"> Fiscally Strained Hospitals </w:t>
            </w:r>
          </w:p>
        </w:tc>
        <w:tc>
          <w:tcPr>
            <w:tcW w:w="2725" w:type="dxa"/>
            <w:tcBorders>
              <w:top w:val="nil"/>
              <w:left w:val="nil"/>
              <w:bottom w:val="single" w:sz="4" w:space="0" w:color="auto"/>
              <w:right w:val="single" w:sz="4" w:space="0" w:color="auto"/>
            </w:tcBorders>
            <w:shd w:val="clear" w:color="E2EFDA" w:fill="FFFFFF"/>
            <w:noWrap/>
            <w:vAlign w:val="bottom"/>
            <w:hideMark/>
          </w:tcPr>
          <w:p w14:paraId="6D2B1D29" w14:textId="77777777" w:rsidR="007A3E6D" w:rsidRPr="007A3E6D" w:rsidRDefault="007A3E6D" w:rsidP="007A3E6D">
            <w:pPr>
              <w:spacing w:after="0" w:line="240" w:lineRule="auto"/>
              <w:jc w:val="right"/>
              <w:rPr>
                <w:rFonts w:ascii="Calibri" w:eastAsia="Times New Roman" w:hAnsi="Calibri" w:cs="Calibri"/>
                <w:color w:val="000000"/>
              </w:rPr>
            </w:pPr>
            <w:r w:rsidRPr="007A3E6D">
              <w:rPr>
                <w:rFonts w:ascii="Calibri" w:eastAsia="Times New Roman" w:hAnsi="Calibri" w:cs="Calibri"/>
                <w:color w:val="000000"/>
              </w:rPr>
              <w:t xml:space="preserve">                         255,000,000 </w:t>
            </w:r>
          </w:p>
        </w:tc>
      </w:tr>
      <w:tr w:rsidR="007A3E6D" w:rsidRPr="007A3E6D" w14:paraId="77106D01" w14:textId="77777777" w:rsidTr="002B6673">
        <w:trPr>
          <w:trHeight w:val="239"/>
        </w:trPr>
        <w:tc>
          <w:tcPr>
            <w:tcW w:w="6630" w:type="dxa"/>
            <w:tcBorders>
              <w:top w:val="nil"/>
              <w:left w:val="single" w:sz="4" w:space="0" w:color="auto"/>
              <w:bottom w:val="single" w:sz="4" w:space="0" w:color="auto"/>
              <w:right w:val="single" w:sz="4" w:space="0" w:color="auto"/>
            </w:tcBorders>
            <w:shd w:val="clear" w:color="000000" w:fill="FFFFFF"/>
            <w:noWrap/>
            <w:vAlign w:val="bottom"/>
            <w:hideMark/>
          </w:tcPr>
          <w:p w14:paraId="76B7678C" w14:textId="77777777" w:rsidR="007A3E6D" w:rsidRPr="007A3E6D" w:rsidRDefault="007A3E6D" w:rsidP="007A3E6D">
            <w:pPr>
              <w:spacing w:after="0" w:line="240" w:lineRule="auto"/>
              <w:rPr>
                <w:rFonts w:ascii="Calibri" w:eastAsia="Times New Roman" w:hAnsi="Calibri" w:cs="Calibri"/>
                <w:color w:val="000000"/>
              </w:rPr>
            </w:pPr>
            <w:r w:rsidRPr="007A3E6D">
              <w:rPr>
                <w:rFonts w:ascii="Calibri" w:eastAsia="Times New Roman" w:hAnsi="Calibri" w:cs="Calibri"/>
                <w:color w:val="000000"/>
              </w:rPr>
              <w:t xml:space="preserve"> Water and Sewer Infrastructure </w:t>
            </w:r>
          </w:p>
        </w:tc>
        <w:tc>
          <w:tcPr>
            <w:tcW w:w="2725" w:type="dxa"/>
            <w:tcBorders>
              <w:top w:val="nil"/>
              <w:left w:val="nil"/>
              <w:bottom w:val="single" w:sz="4" w:space="0" w:color="auto"/>
              <w:right w:val="single" w:sz="4" w:space="0" w:color="auto"/>
            </w:tcBorders>
            <w:shd w:val="clear" w:color="000000" w:fill="FFFFFF"/>
            <w:noWrap/>
            <w:vAlign w:val="bottom"/>
            <w:hideMark/>
          </w:tcPr>
          <w:p w14:paraId="750C61CA" w14:textId="77777777" w:rsidR="007A3E6D" w:rsidRPr="007A3E6D" w:rsidRDefault="007A3E6D" w:rsidP="007A3E6D">
            <w:pPr>
              <w:spacing w:after="0" w:line="240" w:lineRule="auto"/>
              <w:jc w:val="right"/>
              <w:rPr>
                <w:rFonts w:ascii="Calibri" w:eastAsia="Times New Roman" w:hAnsi="Calibri" w:cs="Calibri"/>
                <w:color w:val="000000"/>
              </w:rPr>
            </w:pPr>
            <w:r w:rsidRPr="007A3E6D">
              <w:rPr>
                <w:rFonts w:ascii="Calibri" w:eastAsia="Times New Roman" w:hAnsi="Calibri" w:cs="Calibri"/>
                <w:color w:val="000000"/>
              </w:rPr>
              <w:t xml:space="preserve">                            86,865,000 </w:t>
            </w:r>
          </w:p>
        </w:tc>
      </w:tr>
      <w:tr w:rsidR="007A3E6D" w:rsidRPr="007A3E6D" w14:paraId="719607E4" w14:textId="77777777" w:rsidTr="002B6673">
        <w:trPr>
          <w:trHeight w:val="239"/>
        </w:trPr>
        <w:tc>
          <w:tcPr>
            <w:tcW w:w="6630" w:type="dxa"/>
            <w:tcBorders>
              <w:top w:val="nil"/>
              <w:left w:val="single" w:sz="4" w:space="0" w:color="auto"/>
              <w:bottom w:val="single" w:sz="4" w:space="0" w:color="auto"/>
              <w:right w:val="single" w:sz="4" w:space="0" w:color="auto"/>
            </w:tcBorders>
            <w:shd w:val="clear" w:color="E2EFDA" w:fill="FFFFFF"/>
            <w:noWrap/>
            <w:vAlign w:val="bottom"/>
            <w:hideMark/>
          </w:tcPr>
          <w:p w14:paraId="4C32AB7C" w14:textId="77777777" w:rsidR="007A3E6D" w:rsidRPr="007A3E6D" w:rsidRDefault="007A3E6D" w:rsidP="007A3E6D">
            <w:pPr>
              <w:spacing w:after="0" w:line="240" w:lineRule="auto"/>
              <w:rPr>
                <w:rFonts w:ascii="Calibri" w:eastAsia="Times New Roman" w:hAnsi="Calibri" w:cs="Calibri"/>
                <w:color w:val="000000"/>
              </w:rPr>
            </w:pPr>
            <w:r w:rsidRPr="007A3E6D">
              <w:rPr>
                <w:rFonts w:ascii="Calibri" w:eastAsia="Times New Roman" w:hAnsi="Calibri" w:cs="Calibri"/>
                <w:color w:val="000000"/>
              </w:rPr>
              <w:t xml:space="preserve"> Workforce Development </w:t>
            </w:r>
          </w:p>
        </w:tc>
        <w:tc>
          <w:tcPr>
            <w:tcW w:w="2725" w:type="dxa"/>
            <w:tcBorders>
              <w:top w:val="nil"/>
              <w:left w:val="nil"/>
              <w:bottom w:val="single" w:sz="4" w:space="0" w:color="auto"/>
              <w:right w:val="single" w:sz="4" w:space="0" w:color="auto"/>
            </w:tcBorders>
            <w:shd w:val="clear" w:color="E2EFDA" w:fill="FFFFFF"/>
            <w:noWrap/>
            <w:vAlign w:val="bottom"/>
            <w:hideMark/>
          </w:tcPr>
          <w:p w14:paraId="4EE99215" w14:textId="77777777" w:rsidR="007A3E6D" w:rsidRPr="007A3E6D" w:rsidRDefault="007A3E6D" w:rsidP="007A3E6D">
            <w:pPr>
              <w:spacing w:after="0" w:line="240" w:lineRule="auto"/>
              <w:jc w:val="right"/>
              <w:rPr>
                <w:rFonts w:ascii="Calibri" w:eastAsia="Times New Roman" w:hAnsi="Calibri" w:cs="Calibri"/>
                <w:color w:val="000000"/>
              </w:rPr>
            </w:pPr>
            <w:r w:rsidRPr="007A3E6D">
              <w:rPr>
                <w:rFonts w:ascii="Calibri" w:eastAsia="Times New Roman" w:hAnsi="Calibri" w:cs="Calibri"/>
                <w:color w:val="000000"/>
              </w:rPr>
              <w:t xml:space="preserve">                            89,500,000 </w:t>
            </w:r>
          </w:p>
        </w:tc>
      </w:tr>
      <w:tr w:rsidR="007A3E6D" w:rsidRPr="007A3E6D" w14:paraId="6E29768E" w14:textId="77777777" w:rsidTr="002B6673">
        <w:trPr>
          <w:trHeight w:val="239"/>
        </w:trPr>
        <w:tc>
          <w:tcPr>
            <w:tcW w:w="6630" w:type="dxa"/>
            <w:tcBorders>
              <w:top w:val="nil"/>
              <w:left w:val="single" w:sz="4" w:space="0" w:color="auto"/>
              <w:bottom w:val="single" w:sz="4" w:space="0" w:color="auto"/>
              <w:right w:val="single" w:sz="4" w:space="0" w:color="auto"/>
            </w:tcBorders>
            <w:shd w:val="clear" w:color="000000" w:fill="FFFFFF"/>
            <w:noWrap/>
            <w:vAlign w:val="bottom"/>
            <w:hideMark/>
          </w:tcPr>
          <w:p w14:paraId="23B9B4FC" w14:textId="77777777" w:rsidR="007A3E6D" w:rsidRPr="007A3E6D" w:rsidRDefault="007A3E6D" w:rsidP="007A3E6D">
            <w:pPr>
              <w:spacing w:after="0" w:line="240" w:lineRule="auto"/>
              <w:rPr>
                <w:rFonts w:ascii="Calibri" w:eastAsia="Times New Roman" w:hAnsi="Calibri" w:cs="Calibri"/>
                <w:color w:val="000000"/>
              </w:rPr>
            </w:pPr>
            <w:r w:rsidRPr="007A3E6D">
              <w:rPr>
                <w:rFonts w:ascii="Calibri" w:eastAsia="Times New Roman" w:hAnsi="Calibri" w:cs="Calibri"/>
                <w:color w:val="000000"/>
              </w:rPr>
              <w:t xml:space="preserve"> Broadband Internet Access </w:t>
            </w:r>
          </w:p>
        </w:tc>
        <w:tc>
          <w:tcPr>
            <w:tcW w:w="2725" w:type="dxa"/>
            <w:tcBorders>
              <w:top w:val="nil"/>
              <w:left w:val="nil"/>
              <w:bottom w:val="single" w:sz="4" w:space="0" w:color="auto"/>
              <w:right w:val="single" w:sz="4" w:space="0" w:color="auto"/>
            </w:tcBorders>
            <w:shd w:val="clear" w:color="000000" w:fill="FFFFFF"/>
            <w:noWrap/>
            <w:vAlign w:val="bottom"/>
            <w:hideMark/>
          </w:tcPr>
          <w:p w14:paraId="2660E477" w14:textId="77777777" w:rsidR="007A3E6D" w:rsidRPr="007A3E6D" w:rsidRDefault="007A3E6D" w:rsidP="007A3E6D">
            <w:pPr>
              <w:spacing w:after="0" w:line="240" w:lineRule="auto"/>
              <w:jc w:val="right"/>
              <w:rPr>
                <w:rFonts w:ascii="Calibri" w:eastAsia="Times New Roman" w:hAnsi="Calibri" w:cs="Calibri"/>
                <w:color w:val="000000"/>
              </w:rPr>
            </w:pPr>
            <w:r w:rsidRPr="007A3E6D">
              <w:rPr>
                <w:rFonts w:ascii="Calibri" w:eastAsia="Times New Roman" w:hAnsi="Calibri" w:cs="Calibri"/>
                <w:color w:val="000000"/>
              </w:rPr>
              <w:t xml:space="preserve">                            50,000,000 </w:t>
            </w:r>
          </w:p>
        </w:tc>
      </w:tr>
      <w:tr w:rsidR="007A3E6D" w:rsidRPr="007A3E6D" w14:paraId="247368F6" w14:textId="77777777" w:rsidTr="002B6673">
        <w:trPr>
          <w:trHeight w:val="239"/>
        </w:trPr>
        <w:tc>
          <w:tcPr>
            <w:tcW w:w="6630" w:type="dxa"/>
            <w:tcBorders>
              <w:top w:val="nil"/>
              <w:left w:val="single" w:sz="4" w:space="0" w:color="auto"/>
              <w:bottom w:val="single" w:sz="4" w:space="0" w:color="auto"/>
              <w:right w:val="single" w:sz="4" w:space="0" w:color="auto"/>
            </w:tcBorders>
            <w:shd w:val="clear" w:color="E2EFDA" w:fill="FFFFFF"/>
            <w:noWrap/>
            <w:vAlign w:val="bottom"/>
            <w:hideMark/>
          </w:tcPr>
          <w:p w14:paraId="47B610CF" w14:textId="77777777" w:rsidR="007A3E6D" w:rsidRPr="007A3E6D" w:rsidRDefault="007A3E6D" w:rsidP="007A3E6D">
            <w:pPr>
              <w:spacing w:after="0" w:line="240" w:lineRule="auto"/>
              <w:rPr>
                <w:rFonts w:ascii="Calibri" w:eastAsia="Times New Roman" w:hAnsi="Calibri" w:cs="Calibri"/>
                <w:color w:val="000000"/>
              </w:rPr>
            </w:pPr>
            <w:r w:rsidRPr="007A3E6D">
              <w:rPr>
                <w:rFonts w:ascii="Calibri" w:eastAsia="Times New Roman" w:hAnsi="Calibri" w:cs="Calibri"/>
                <w:color w:val="000000"/>
              </w:rPr>
              <w:t xml:space="preserve"> Oversight Reserve </w:t>
            </w:r>
          </w:p>
        </w:tc>
        <w:tc>
          <w:tcPr>
            <w:tcW w:w="2725" w:type="dxa"/>
            <w:tcBorders>
              <w:top w:val="nil"/>
              <w:left w:val="nil"/>
              <w:bottom w:val="single" w:sz="4" w:space="0" w:color="auto"/>
              <w:right w:val="single" w:sz="4" w:space="0" w:color="auto"/>
            </w:tcBorders>
            <w:shd w:val="clear" w:color="E2EFDA" w:fill="FFFFFF"/>
            <w:noWrap/>
            <w:vAlign w:val="bottom"/>
            <w:hideMark/>
          </w:tcPr>
          <w:p w14:paraId="2EAFAC58" w14:textId="45C6B1DF" w:rsidR="007A3E6D" w:rsidRPr="007A3E6D" w:rsidRDefault="007A3E6D" w:rsidP="007A3E6D">
            <w:pPr>
              <w:spacing w:after="0" w:line="240" w:lineRule="auto"/>
              <w:jc w:val="right"/>
              <w:rPr>
                <w:rFonts w:ascii="Calibri" w:eastAsia="Times New Roman" w:hAnsi="Calibri" w:cs="Calibri"/>
                <w:color w:val="000000"/>
              </w:rPr>
            </w:pPr>
            <w:r w:rsidRPr="007A3E6D">
              <w:rPr>
                <w:rFonts w:ascii="Calibri" w:eastAsia="Times New Roman" w:hAnsi="Calibri" w:cs="Calibri"/>
                <w:color w:val="000000"/>
              </w:rPr>
              <w:t xml:space="preserve">                              </w:t>
            </w:r>
            <w:r w:rsidR="009A1B83">
              <w:rPr>
                <w:rFonts w:ascii="Calibri" w:eastAsia="Times New Roman" w:hAnsi="Calibri" w:cs="Calibri"/>
                <w:color w:val="000000"/>
              </w:rPr>
              <w:t>2,000</w:t>
            </w:r>
            <w:r w:rsidRPr="007A3E6D">
              <w:rPr>
                <w:rFonts w:ascii="Calibri" w:eastAsia="Times New Roman" w:hAnsi="Calibri" w:cs="Calibri"/>
                <w:color w:val="000000"/>
              </w:rPr>
              <w:t xml:space="preserve">,000 </w:t>
            </w:r>
          </w:p>
        </w:tc>
      </w:tr>
      <w:tr w:rsidR="007A3E6D" w:rsidRPr="007A3E6D" w14:paraId="54D0F294" w14:textId="77777777" w:rsidTr="002B6673">
        <w:trPr>
          <w:trHeight w:val="239"/>
        </w:trPr>
        <w:tc>
          <w:tcPr>
            <w:tcW w:w="6630" w:type="dxa"/>
            <w:tcBorders>
              <w:top w:val="nil"/>
              <w:left w:val="single" w:sz="4" w:space="0" w:color="auto"/>
              <w:bottom w:val="single" w:sz="4" w:space="0" w:color="auto"/>
              <w:right w:val="single" w:sz="4" w:space="0" w:color="auto"/>
            </w:tcBorders>
            <w:shd w:val="clear" w:color="000000" w:fill="FFFFFF"/>
            <w:noWrap/>
            <w:vAlign w:val="bottom"/>
            <w:hideMark/>
          </w:tcPr>
          <w:p w14:paraId="7A8E79A9" w14:textId="77777777" w:rsidR="007A3E6D" w:rsidRPr="007A3E6D" w:rsidRDefault="007A3E6D" w:rsidP="007A3E6D">
            <w:pPr>
              <w:spacing w:after="0" w:line="240" w:lineRule="auto"/>
              <w:rPr>
                <w:rFonts w:ascii="Calibri" w:eastAsia="Times New Roman" w:hAnsi="Calibri" w:cs="Calibri"/>
                <w:color w:val="000000"/>
              </w:rPr>
            </w:pPr>
            <w:r w:rsidRPr="007A3E6D">
              <w:rPr>
                <w:rFonts w:ascii="Calibri" w:eastAsia="Times New Roman" w:hAnsi="Calibri" w:cs="Calibri"/>
                <w:color w:val="000000"/>
              </w:rPr>
              <w:t xml:space="preserve"> DESE HVAC </w:t>
            </w:r>
          </w:p>
        </w:tc>
        <w:tc>
          <w:tcPr>
            <w:tcW w:w="2725" w:type="dxa"/>
            <w:tcBorders>
              <w:top w:val="nil"/>
              <w:left w:val="nil"/>
              <w:bottom w:val="single" w:sz="4" w:space="0" w:color="auto"/>
              <w:right w:val="single" w:sz="4" w:space="0" w:color="auto"/>
            </w:tcBorders>
            <w:shd w:val="clear" w:color="000000" w:fill="FFFFFF"/>
            <w:noWrap/>
            <w:vAlign w:val="bottom"/>
            <w:hideMark/>
          </w:tcPr>
          <w:p w14:paraId="46DE2F7F" w14:textId="77777777" w:rsidR="007A3E6D" w:rsidRPr="007A3E6D" w:rsidRDefault="007A3E6D" w:rsidP="007A3E6D">
            <w:pPr>
              <w:spacing w:after="0" w:line="240" w:lineRule="auto"/>
              <w:jc w:val="right"/>
              <w:rPr>
                <w:rFonts w:ascii="Calibri" w:eastAsia="Times New Roman" w:hAnsi="Calibri" w:cs="Calibri"/>
                <w:color w:val="000000"/>
              </w:rPr>
            </w:pPr>
            <w:r w:rsidRPr="007A3E6D">
              <w:rPr>
                <w:rFonts w:ascii="Calibri" w:eastAsia="Times New Roman" w:hAnsi="Calibri" w:cs="Calibri"/>
                <w:color w:val="000000"/>
              </w:rPr>
              <w:t xml:space="preserve">                         100,000,000 </w:t>
            </w:r>
          </w:p>
        </w:tc>
      </w:tr>
      <w:tr w:rsidR="007A3E6D" w:rsidRPr="007A3E6D" w14:paraId="59DC5FEB" w14:textId="77777777" w:rsidTr="002B6673">
        <w:trPr>
          <w:trHeight w:val="239"/>
        </w:trPr>
        <w:tc>
          <w:tcPr>
            <w:tcW w:w="6630" w:type="dxa"/>
            <w:tcBorders>
              <w:top w:val="nil"/>
              <w:left w:val="single" w:sz="4" w:space="0" w:color="auto"/>
              <w:bottom w:val="single" w:sz="4" w:space="0" w:color="auto"/>
              <w:right w:val="single" w:sz="4" w:space="0" w:color="auto"/>
            </w:tcBorders>
            <w:shd w:val="clear" w:color="000000" w:fill="FFFFFF"/>
            <w:noWrap/>
            <w:vAlign w:val="bottom"/>
            <w:hideMark/>
          </w:tcPr>
          <w:p w14:paraId="29A4D8DD" w14:textId="77777777" w:rsidR="007A3E6D" w:rsidRPr="007A3E6D" w:rsidRDefault="007A3E6D" w:rsidP="007A3E6D">
            <w:pPr>
              <w:spacing w:after="0" w:line="240" w:lineRule="auto"/>
              <w:rPr>
                <w:rFonts w:ascii="Calibri" w:eastAsia="Times New Roman" w:hAnsi="Calibri" w:cs="Calibri"/>
                <w:color w:val="000000"/>
              </w:rPr>
            </w:pPr>
            <w:r w:rsidRPr="007A3E6D">
              <w:rPr>
                <w:rFonts w:ascii="Calibri" w:eastAsia="Times New Roman" w:hAnsi="Calibri" w:cs="Calibri"/>
                <w:color w:val="000000"/>
              </w:rPr>
              <w:t xml:space="preserve"> Unemployment Compensation Trust Fund Transfer </w:t>
            </w:r>
          </w:p>
        </w:tc>
        <w:tc>
          <w:tcPr>
            <w:tcW w:w="2725" w:type="dxa"/>
            <w:tcBorders>
              <w:top w:val="nil"/>
              <w:left w:val="nil"/>
              <w:bottom w:val="single" w:sz="4" w:space="0" w:color="auto"/>
              <w:right w:val="single" w:sz="4" w:space="0" w:color="auto"/>
            </w:tcBorders>
            <w:shd w:val="clear" w:color="000000" w:fill="FFFFFF"/>
            <w:noWrap/>
            <w:vAlign w:val="bottom"/>
            <w:hideMark/>
          </w:tcPr>
          <w:p w14:paraId="34206556" w14:textId="77777777" w:rsidR="007A3E6D" w:rsidRPr="007A3E6D" w:rsidRDefault="007A3E6D" w:rsidP="007A3E6D">
            <w:pPr>
              <w:spacing w:after="0" w:line="240" w:lineRule="auto"/>
              <w:jc w:val="right"/>
              <w:rPr>
                <w:rFonts w:ascii="Calibri" w:eastAsia="Times New Roman" w:hAnsi="Calibri" w:cs="Calibri"/>
                <w:color w:val="000000"/>
              </w:rPr>
            </w:pPr>
            <w:r w:rsidRPr="007A3E6D">
              <w:rPr>
                <w:rFonts w:ascii="Calibri" w:eastAsia="Times New Roman" w:hAnsi="Calibri" w:cs="Calibri"/>
                <w:color w:val="000000"/>
              </w:rPr>
              <w:t xml:space="preserve">                         500,000,000 </w:t>
            </w:r>
          </w:p>
        </w:tc>
      </w:tr>
      <w:tr w:rsidR="007A3E6D" w:rsidRPr="007A3E6D" w14:paraId="157393B1" w14:textId="77777777" w:rsidTr="002B6673">
        <w:trPr>
          <w:trHeight w:val="239"/>
        </w:trPr>
        <w:tc>
          <w:tcPr>
            <w:tcW w:w="6630" w:type="dxa"/>
            <w:tcBorders>
              <w:top w:val="nil"/>
              <w:left w:val="single" w:sz="4" w:space="0" w:color="auto"/>
              <w:bottom w:val="single" w:sz="4" w:space="0" w:color="auto"/>
              <w:right w:val="single" w:sz="4" w:space="0" w:color="auto"/>
            </w:tcBorders>
            <w:shd w:val="clear" w:color="E2EFDA" w:fill="FFFFFF"/>
            <w:noWrap/>
            <w:vAlign w:val="bottom"/>
            <w:hideMark/>
          </w:tcPr>
          <w:p w14:paraId="7658A5BE" w14:textId="77777777" w:rsidR="007A3E6D" w:rsidRPr="007A3E6D" w:rsidRDefault="007A3E6D" w:rsidP="007A3E6D">
            <w:pPr>
              <w:spacing w:after="0" w:line="240" w:lineRule="auto"/>
              <w:rPr>
                <w:rFonts w:ascii="Calibri" w:eastAsia="Times New Roman" w:hAnsi="Calibri" w:cs="Calibri"/>
                <w:b/>
                <w:bCs/>
              </w:rPr>
            </w:pPr>
            <w:r w:rsidRPr="007A3E6D">
              <w:rPr>
                <w:rFonts w:ascii="Calibri" w:eastAsia="Times New Roman" w:hAnsi="Calibri" w:cs="Calibri"/>
                <w:b/>
                <w:bCs/>
              </w:rPr>
              <w:t xml:space="preserve"> Total </w:t>
            </w:r>
          </w:p>
        </w:tc>
        <w:tc>
          <w:tcPr>
            <w:tcW w:w="2725" w:type="dxa"/>
            <w:tcBorders>
              <w:top w:val="nil"/>
              <w:left w:val="nil"/>
              <w:bottom w:val="single" w:sz="4" w:space="0" w:color="auto"/>
              <w:right w:val="single" w:sz="4" w:space="0" w:color="auto"/>
            </w:tcBorders>
            <w:noWrap/>
            <w:vAlign w:val="bottom"/>
            <w:hideMark/>
          </w:tcPr>
          <w:p w14:paraId="41DB4F07" w14:textId="3F0BE3CE" w:rsidR="007A3E6D" w:rsidRPr="007A3E6D" w:rsidRDefault="007A3E6D" w:rsidP="007A3E6D">
            <w:pPr>
              <w:spacing w:after="0" w:line="240" w:lineRule="auto"/>
              <w:jc w:val="right"/>
              <w:rPr>
                <w:rFonts w:ascii="Calibri" w:eastAsia="Times New Roman" w:hAnsi="Calibri" w:cs="Calibri"/>
                <w:b/>
                <w:bCs/>
                <w:color w:val="000000"/>
              </w:rPr>
            </w:pPr>
            <w:r w:rsidRPr="007A3E6D">
              <w:rPr>
                <w:rFonts w:ascii="Calibri" w:eastAsia="Times New Roman" w:hAnsi="Calibri" w:cs="Calibri"/>
                <w:b/>
                <w:bCs/>
                <w:color w:val="000000"/>
              </w:rPr>
              <w:t xml:space="preserve">                     </w:t>
            </w:r>
            <w:r w:rsidR="00710812" w:rsidRPr="00710812">
              <w:rPr>
                <w:rFonts w:ascii="Calibri" w:eastAsia="Times New Roman" w:hAnsi="Calibri" w:cs="Calibri"/>
                <w:b/>
                <w:bCs/>
                <w:color w:val="000000"/>
              </w:rPr>
              <w:t xml:space="preserve"> </w:t>
            </w:r>
            <w:r w:rsidR="002B6673" w:rsidRPr="002B6673">
              <w:rPr>
                <w:rFonts w:ascii="Calibri" w:eastAsia="Times New Roman" w:hAnsi="Calibri" w:cs="Calibri"/>
                <w:b/>
                <w:bCs/>
                <w:color w:val="000000"/>
              </w:rPr>
              <w:t xml:space="preserve"> 3,0</w:t>
            </w:r>
            <w:r w:rsidR="00C8312F">
              <w:rPr>
                <w:rFonts w:ascii="Calibri" w:eastAsia="Times New Roman" w:hAnsi="Calibri" w:cs="Calibri"/>
                <w:b/>
                <w:bCs/>
                <w:color w:val="000000"/>
              </w:rPr>
              <w:t>2</w:t>
            </w:r>
            <w:r w:rsidR="002B6673" w:rsidRPr="002B6673">
              <w:rPr>
                <w:rFonts w:ascii="Calibri" w:eastAsia="Times New Roman" w:hAnsi="Calibri" w:cs="Calibri"/>
                <w:b/>
                <w:bCs/>
                <w:color w:val="000000"/>
              </w:rPr>
              <w:t>0,740,856</w:t>
            </w:r>
          </w:p>
        </w:tc>
      </w:tr>
    </w:tbl>
    <w:p w14:paraId="1E35F9B7" w14:textId="01CDEF0C" w:rsidR="00470D0B" w:rsidRPr="00C74BB7" w:rsidRDefault="00470D0B" w:rsidP="005C4673">
      <w:pPr>
        <w:rPr>
          <w:rFonts w:cs="Arial"/>
        </w:rPr>
      </w:pPr>
    </w:p>
    <w:p w14:paraId="68B96960" w14:textId="65F1C083" w:rsidR="005C4673" w:rsidRPr="00554025" w:rsidRDefault="005C4673" w:rsidP="000A6192">
      <w:pPr>
        <w:pStyle w:val="Heading3"/>
        <w:spacing w:after="240"/>
      </w:pPr>
      <w:bookmarkStart w:id="5" w:name="_Toc109990564"/>
      <w:r w:rsidRPr="00554025">
        <w:t>Period 3: FORWARD</w:t>
      </w:r>
      <w:bookmarkEnd w:id="5"/>
    </w:p>
    <w:p w14:paraId="5BB77BD1" w14:textId="0D2D1AC1" w:rsidR="00665EBD" w:rsidRPr="00665EBD" w:rsidRDefault="00665EBD" w:rsidP="00665EBD">
      <w:pPr>
        <w:rPr>
          <w:rFonts w:cs="Arial"/>
        </w:rPr>
      </w:pPr>
      <w:r w:rsidRPr="00665EBD">
        <w:rPr>
          <w:rFonts w:cs="Arial"/>
        </w:rPr>
        <w:t xml:space="preserve">On April 21, 2022, Governor Baker proposed “An Act Investing in Future Opportunities for Resiliency, Workforce, and Revitalization Downtown” (FORWARD). The legislation </w:t>
      </w:r>
      <w:r w:rsidR="005C4673">
        <w:rPr>
          <w:rFonts w:cs="Arial"/>
        </w:rPr>
        <w:t>proposed</w:t>
      </w:r>
      <w:r w:rsidR="00F25305">
        <w:rPr>
          <w:rFonts w:cs="Arial"/>
        </w:rPr>
        <w:t xml:space="preserve"> </w:t>
      </w:r>
      <w:r w:rsidR="00D61715">
        <w:rPr>
          <w:rFonts w:cs="Arial"/>
        </w:rPr>
        <w:t>uses for the Commonwealth’s</w:t>
      </w:r>
      <w:r w:rsidR="005C4673" w:rsidRPr="00665EBD">
        <w:rPr>
          <w:rFonts w:cs="Arial"/>
        </w:rPr>
        <w:t xml:space="preserve"> </w:t>
      </w:r>
      <w:r w:rsidRPr="00665EBD">
        <w:rPr>
          <w:rFonts w:cs="Arial"/>
        </w:rPr>
        <w:t>$2.3 billion</w:t>
      </w:r>
      <w:r w:rsidR="00D61715">
        <w:rPr>
          <w:rFonts w:cs="Arial"/>
        </w:rPr>
        <w:t xml:space="preserve"> unallocated CSFRF balance</w:t>
      </w:r>
      <w:r w:rsidRPr="00665EBD">
        <w:rPr>
          <w:rFonts w:cs="Arial"/>
        </w:rPr>
        <w:t xml:space="preserve">. </w:t>
      </w:r>
    </w:p>
    <w:p w14:paraId="2915D5E5" w14:textId="0C22EC15" w:rsidR="00665EBD" w:rsidRDefault="00665EBD" w:rsidP="00665EBD">
      <w:pPr>
        <w:rPr>
          <w:rFonts w:cs="Arial"/>
        </w:rPr>
      </w:pPr>
      <w:r w:rsidRPr="00665EBD">
        <w:rPr>
          <w:rFonts w:cs="Arial"/>
        </w:rPr>
        <w:t>The</w:t>
      </w:r>
      <w:r w:rsidR="00032224">
        <w:rPr>
          <w:rFonts w:cs="Arial"/>
        </w:rPr>
        <w:t xml:space="preserve"> proposed</w:t>
      </w:r>
      <w:r w:rsidRPr="00665EBD">
        <w:rPr>
          <w:rFonts w:cs="Arial"/>
        </w:rPr>
        <w:t xml:space="preserve"> FORWARD legislation include</w:t>
      </w:r>
      <w:r w:rsidR="00032224">
        <w:rPr>
          <w:rFonts w:cs="Arial"/>
        </w:rPr>
        <w:t>d</w:t>
      </w:r>
      <w:r w:rsidRPr="00665EBD">
        <w:rPr>
          <w:rFonts w:cs="Arial"/>
        </w:rPr>
        <w:t xml:space="preserve"> $1.2 billion in CSFRF funds for climate resiliency and preservation efforts, $413 million to support 100 state park and trail</w:t>
      </w:r>
      <w:r w:rsidR="00B234A6">
        <w:rPr>
          <w:rFonts w:cs="Arial"/>
        </w:rPr>
        <w:t xml:space="preserve"> projects</w:t>
      </w:r>
      <w:r w:rsidRPr="00665EBD">
        <w:rPr>
          <w:rFonts w:cs="Arial"/>
        </w:rPr>
        <w:t>, water and sewer improvements, environmental infrastructure grant programs, and $970 million for investments to support revitalizing the Commonwealth’s downtowns and communities. The legislation also include</w:t>
      </w:r>
      <w:r w:rsidR="00032224">
        <w:rPr>
          <w:rFonts w:cs="Arial"/>
        </w:rPr>
        <w:t>d</w:t>
      </w:r>
      <w:r w:rsidRPr="00665EBD">
        <w:rPr>
          <w:rFonts w:cs="Arial"/>
        </w:rPr>
        <w:t xml:space="preserve"> $325</w:t>
      </w:r>
      <w:r w:rsidR="00C3310E">
        <w:rPr>
          <w:rFonts w:cs="Arial"/>
        </w:rPr>
        <w:t xml:space="preserve"> million</w:t>
      </w:r>
      <w:r w:rsidRPr="00665EBD">
        <w:rPr>
          <w:rFonts w:cs="Arial"/>
        </w:rPr>
        <w:t xml:space="preserve"> in CSFRF funds for workforce efforts</w:t>
      </w:r>
      <w:r w:rsidR="00C3310E">
        <w:rPr>
          <w:rFonts w:cs="Arial"/>
        </w:rPr>
        <w:t xml:space="preserve">. </w:t>
      </w:r>
    </w:p>
    <w:p w14:paraId="14156EDD" w14:textId="412D0D77" w:rsidR="00A77CCF" w:rsidRDefault="0079031D">
      <w:pPr>
        <w:rPr>
          <w:rFonts w:cs="Arial"/>
        </w:rPr>
      </w:pPr>
      <w:r w:rsidRPr="00A0110C">
        <w:rPr>
          <w:rFonts w:cs="Arial"/>
        </w:rPr>
        <w:t xml:space="preserve">On July 11, 2022, </w:t>
      </w:r>
      <w:r w:rsidR="0051082C" w:rsidRPr="00A0110C">
        <w:rPr>
          <w:rFonts w:cs="Arial"/>
        </w:rPr>
        <w:t xml:space="preserve">the Massachusetts House of Representatives released </w:t>
      </w:r>
      <w:r w:rsidR="00001A28">
        <w:rPr>
          <w:rFonts w:cs="Arial"/>
        </w:rPr>
        <w:t xml:space="preserve">their </w:t>
      </w:r>
      <w:r w:rsidR="00922398" w:rsidRPr="00A0110C">
        <w:rPr>
          <w:rFonts w:cs="Arial"/>
        </w:rPr>
        <w:t xml:space="preserve">version of the </w:t>
      </w:r>
      <w:r w:rsidR="00F03AB8" w:rsidRPr="00A0110C">
        <w:rPr>
          <w:rFonts w:cs="Arial"/>
        </w:rPr>
        <w:t>FORWARD</w:t>
      </w:r>
      <w:r w:rsidR="00001A28">
        <w:rPr>
          <w:rFonts w:cs="Arial"/>
        </w:rPr>
        <w:t xml:space="preserve">, </w:t>
      </w:r>
      <w:r w:rsidR="00940221" w:rsidRPr="00A0110C">
        <w:rPr>
          <w:rFonts w:cs="Arial"/>
        </w:rPr>
        <w:t>a $2.</w:t>
      </w:r>
      <w:r w:rsidR="00001A28">
        <w:rPr>
          <w:rFonts w:cs="Arial"/>
        </w:rPr>
        <w:t>7</w:t>
      </w:r>
      <w:r w:rsidR="00940221" w:rsidRPr="00A0110C">
        <w:rPr>
          <w:rFonts w:cs="Arial"/>
        </w:rPr>
        <w:t xml:space="preserve"> billion package</w:t>
      </w:r>
      <w:r w:rsidR="00294597">
        <w:rPr>
          <w:rFonts w:cs="Arial"/>
        </w:rPr>
        <w:t xml:space="preserve"> supported by</w:t>
      </w:r>
      <w:r w:rsidR="000804FA">
        <w:rPr>
          <w:rFonts w:cs="Arial"/>
        </w:rPr>
        <w:t xml:space="preserve"> $1.43 billion from the CSFRF and $1.43 billion from the anticipated state fiscal year 2022 </w:t>
      </w:r>
      <w:r w:rsidR="000E7B1B">
        <w:rPr>
          <w:rFonts w:cs="Arial"/>
        </w:rPr>
        <w:t xml:space="preserve">budget surplus. The proposal requires the Secretary of Administration and Finance to assign </w:t>
      </w:r>
      <w:r w:rsidR="00C05F3D">
        <w:rPr>
          <w:rFonts w:cs="Arial"/>
        </w:rPr>
        <w:t>uses to revenue sources in the same fashion as Chapter 102. This legislation remains under consideration by the Legislatu</w:t>
      </w:r>
      <w:r w:rsidR="004272D4">
        <w:rPr>
          <w:rFonts w:cs="Arial"/>
        </w:rPr>
        <w:t>re.</w:t>
      </w:r>
      <w:r w:rsidR="00A0110C" w:rsidRPr="00A0110C">
        <w:rPr>
          <w:rFonts w:cs="Arial"/>
        </w:rPr>
        <w:t xml:space="preserve"> </w:t>
      </w:r>
    </w:p>
    <w:p w14:paraId="08C4A139" w14:textId="7A36B122" w:rsidR="00F47C0A" w:rsidRPr="00F47C0A" w:rsidRDefault="00F13A49" w:rsidP="00B03C9C">
      <w:pPr>
        <w:pStyle w:val="Heading4"/>
        <w:spacing w:after="240"/>
      </w:pPr>
      <w:r>
        <w:lastRenderedPageBreak/>
        <w:t>FORWARD Legislation Summary Table</w:t>
      </w:r>
    </w:p>
    <w:tbl>
      <w:tblPr>
        <w:tblW w:w="5000" w:type="pct"/>
        <w:tblLook w:val="04A0" w:firstRow="1" w:lastRow="0" w:firstColumn="1" w:lastColumn="0" w:noHBand="0" w:noVBand="1"/>
      </w:tblPr>
      <w:tblGrid>
        <w:gridCol w:w="6425"/>
        <w:gridCol w:w="2925"/>
      </w:tblGrid>
      <w:tr w:rsidR="00F47C0A" w:rsidRPr="00F47C0A" w14:paraId="2D7C45C3" w14:textId="77777777" w:rsidTr="00F47C0A">
        <w:trPr>
          <w:trHeight w:val="263"/>
        </w:trPr>
        <w:tc>
          <w:tcPr>
            <w:tcW w:w="3436" w:type="pct"/>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187E5C78" w14:textId="77777777" w:rsidR="00F47C0A" w:rsidRPr="00F47C0A" w:rsidRDefault="00F47C0A" w:rsidP="00F47C0A">
            <w:pPr>
              <w:spacing w:after="0" w:line="240" w:lineRule="auto"/>
              <w:rPr>
                <w:rFonts w:ascii="Calibri" w:eastAsia="Times New Roman" w:hAnsi="Calibri" w:cs="Calibri"/>
                <w:color w:val="FFFFFF"/>
              </w:rPr>
            </w:pPr>
            <w:r w:rsidRPr="00F47C0A">
              <w:rPr>
                <w:rFonts w:ascii="Calibri" w:eastAsia="Times New Roman" w:hAnsi="Calibri" w:cs="Calibri"/>
                <w:color w:val="FFFFFF"/>
              </w:rPr>
              <w:t>Project</w:t>
            </w:r>
          </w:p>
        </w:tc>
        <w:tc>
          <w:tcPr>
            <w:tcW w:w="1564" w:type="pct"/>
            <w:tcBorders>
              <w:top w:val="single" w:sz="4" w:space="0" w:color="auto"/>
              <w:left w:val="nil"/>
              <w:bottom w:val="single" w:sz="4" w:space="0" w:color="auto"/>
              <w:right w:val="single" w:sz="4" w:space="0" w:color="auto"/>
            </w:tcBorders>
            <w:shd w:val="clear" w:color="000000" w:fill="203764"/>
            <w:noWrap/>
            <w:vAlign w:val="bottom"/>
            <w:hideMark/>
          </w:tcPr>
          <w:p w14:paraId="42AE22DD" w14:textId="77777777" w:rsidR="00F47C0A" w:rsidRPr="00F47C0A" w:rsidRDefault="00F47C0A" w:rsidP="00B03C9C">
            <w:pPr>
              <w:spacing w:after="0" w:line="240" w:lineRule="auto"/>
              <w:jc w:val="right"/>
              <w:rPr>
                <w:rFonts w:ascii="Calibri" w:eastAsia="Times New Roman" w:hAnsi="Calibri" w:cs="Calibri"/>
                <w:color w:val="FFFFFF"/>
              </w:rPr>
            </w:pPr>
            <w:r w:rsidRPr="00F47C0A">
              <w:rPr>
                <w:rFonts w:ascii="Calibri" w:eastAsia="Times New Roman" w:hAnsi="Calibri" w:cs="Calibri"/>
                <w:color w:val="FFFFFF"/>
              </w:rPr>
              <w:t xml:space="preserve"> CSFRF Obligation </w:t>
            </w:r>
          </w:p>
        </w:tc>
      </w:tr>
      <w:tr w:rsidR="00F47C0A" w:rsidRPr="00F47C0A" w14:paraId="69F424C4" w14:textId="77777777" w:rsidTr="00F47C0A">
        <w:trPr>
          <w:trHeight w:val="144"/>
        </w:trPr>
        <w:tc>
          <w:tcPr>
            <w:tcW w:w="3436" w:type="pct"/>
            <w:tcBorders>
              <w:top w:val="nil"/>
              <w:left w:val="single" w:sz="4" w:space="0" w:color="auto"/>
              <w:bottom w:val="single" w:sz="4" w:space="0" w:color="auto"/>
              <w:right w:val="single" w:sz="4" w:space="0" w:color="auto"/>
            </w:tcBorders>
            <w:shd w:val="clear" w:color="E2EFDA" w:fill="FFFFFF"/>
            <w:noWrap/>
            <w:vAlign w:val="bottom"/>
            <w:hideMark/>
          </w:tcPr>
          <w:p w14:paraId="138D1CA3" w14:textId="2657E7AE" w:rsidR="00F47C0A" w:rsidRPr="00F47C0A" w:rsidRDefault="00F47C0A" w:rsidP="00F47C0A">
            <w:pPr>
              <w:spacing w:after="0" w:line="240" w:lineRule="auto"/>
              <w:rPr>
                <w:rFonts w:ascii="Calibri" w:eastAsia="Times New Roman" w:hAnsi="Calibri" w:cs="Calibri"/>
              </w:rPr>
            </w:pPr>
            <w:r w:rsidRPr="00F47C0A">
              <w:rPr>
                <w:rFonts w:ascii="Calibri" w:eastAsia="Times New Roman" w:hAnsi="Calibri" w:cs="Calibri"/>
              </w:rPr>
              <w:t>Fiscally Strained Hospitals</w:t>
            </w:r>
          </w:p>
        </w:tc>
        <w:tc>
          <w:tcPr>
            <w:tcW w:w="1564" w:type="pct"/>
            <w:tcBorders>
              <w:top w:val="nil"/>
              <w:left w:val="nil"/>
              <w:bottom w:val="single" w:sz="4" w:space="0" w:color="auto"/>
              <w:right w:val="single" w:sz="4" w:space="0" w:color="auto"/>
            </w:tcBorders>
            <w:shd w:val="clear" w:color="E2EFDA" w:fill="FFFFFF"/>
            <w:noWrap/>
            <w:vAlign w:val="bottom"/>
            <w:hideMark/>
          </w:tcPr>
          <w:p w14:paraId="2790680B" w14:textId="77777777" w:rsidR="00F47C0A" w:rsidRPr="00F47C0A" w:rsidRDefault="00F47C0A" w:rsidP="00F47C0A">
            <w:pPr>
              <w:spacing w:after="0" w:line="240" w:lineRule="auto"/>
              <w:jc w:val="right"/>
              <w:rPr>
                <w:rFonts w:ascii="Calibri" w:eastAsia="Times New Roman" w:hAnsi="Calibri" w:cs="Calibri"/>
              </w:rPr>
            </w:pPr>
            <w:r w:rsidRPr="00F47C0A">
              <w:rPr>
                <w:rFonts w:ascii="Calibri" w:eastAsia="Times New Roman" w:hAnsi="Calibri" w:cs="Calibri"/>
              </w:rPr>
              <w:t xml:space="preserve">                               250,000,000 </w:t>
            </w:r>
          </w:p>
        </w:tc>
      </w:tr>
      <w:tr w:rsidR="00F47C0A" w:rsidRPr="00F47C0A" w14:paraId="75F133E2" w14:textId="77777777" w:rsidTr="00F47C0A">
        <w:trPr>
          <w:trHeight w:val="144"/>
        </w:trPr>
        <w:tc>
          <w:tcPr>
            <w:tcW w:w="3436" w:type="pct"/>
            <w:tcBorders>
              <w:top w:val="nil"/>
              <w:left w:val="single" w:sz="4" w:space="0" w:color="auto"/>
              <w:bottom w:val="single" w:sz="4" w:space="0" w:color="auto"/>
              <w:right w:val="single" w:sz="4" w:space="0" w:color="auto"/>
            </w:tcBorders>
            <w:shd w:val="clear" w:color="000000" w:fill="FFFFFF"/>
            <w:noWrap/>
            <w:vAlign w:val="bottom"/>
            <w:hideMark/>
          </w:tcPr>
          <w:p w14:paraId="56336AF0" w14:textId="77777777" w:rsidR="00F47C0A" w:rsidRPr="00F47C0A" w:rsidRDefault="00F47C0A" w:rsidP="00F47C0A">
            <w:pPr>
              <w:spacing w:after="0" w:line="240" w:lineRule="auto"/>
              <w:rPr>
                <w:rFonts w:ascii="Calibri" w:eastAsia="Times New Roman" w:hAnsi="Calibri" w:cs="Calibri"/>
              </w:rPr>
            </w:pPr>
            <w:r w:rsidRPr="00F47C0A">
              <w:rPr>
                <w:rFonts w:ascii="Calibri" w:eastAsia="Times New Roman" w:hAnsi="Calibri" w:cs="Calibri"/>
              </w:rPr>
              <w:t>Workforce Development</w:t>
            </w:r>
          </w:p>
        </w:tc>
        <w:tc>
          <w:tcPr>
            <w:tcW w:w="1564" w:type="pct"/>
            <w:tcBorders>
              <w:top w:val="nil"/>
              <w:left w:val="nil"/>
              <w:bottom w:val="single" w:sz="4" w:space="0" w:color="auto"/>
              <w:right w:val="single" w:sz="4" w:space="0" w:color="auto"/>
            </w:tcBorders>
            <w:shd w:val="clear" w:color="000000" w:fill="FFFFFF"/>
            <w:noWrap/>
            <w:vAlign w:val="bottom"/>
            <w:hideMark/>
          </w:tcPr>
          <w:p w14:paraId="0D9A5D12" w14:textId="77777777" w:rsidR="00F47C0A" w:rsidRPr="00F47C0A" w:rsidRDefault="00F47C0A" w:rsidP="00F47C0A">
            <w:pPr>
              <w:spacing w:after="0" w:line="240" w:lineRule="auto"/>
              <w:jc w:val="right"/>
              <w:rPr>
                <w:rFonts w:ascii="Calibri" w:eastAsia="Times New Roman" w:hAnsi="Calibri" w:cs="Calibri"/>
              </w:rPr>
            </w:pPr>
            <w:r w:rsidRPr="00F47C0A">
              <w:rPr>
                <w:rFonts w:ascii="Calibri" w:eastAsia="Times New Roman" w:hAnsi="Calibri" w:cs="Calibri"/>
              </w:rPr>
              <w:t xml:space="preserve">                                  25,000,000 </w:t>
            </w:r>
          </w:p>
        </w:tc>
      </w:tr>
      <w:tr w:rsidR="00F47C0A" w:rsidRPr="00F47C0A" w14:paraId="574D83BA" w14:textId="77777777" w:rsidTr="00F47C0A">
        <w:trPr>
          <w:trHeight w:val="144"/>
        </w:trPr>
        <w:tc>
          <w:tcPr>
            <w:tcW w:w="3436" w:type="pct"/>
            <w:tcBorders>
              <w:top w:val="nil"/>
              <w:left w:val="single" w:sz="4" w:space="0" w:color="auto"/>
              <w:bottom w:val="single" w:sz="4" w:space="0" w:color="auto"/>
              <w:right w:val="single" w:sz="4" w:space="0" w:color="auto"/>
            </w:tcBorders>
            <w:shd w:val="clear" w:color="E2EFDA" w:fill="FFFFFF"/>
            <w:noWrap/>
            <w:vAlign w:val="bottom"/>
            <w:hideMark/>
          </w:tcPr>
          <w:p w14:paraId="416055B8" w14:textId="77777777" w:rsidR="00F47C0A" w:rsidRPr="00F47C0A" w:rsidRDefault="00F47C0A" w:rsidP="00F47C0A">
            <w:pPr>
              <w:spacing w:after="0" w:line="240" w:lineRule="auto"/>
              <w:rPr>
                <w:rFonts w:ascii="Calibri" w:eastAsia="Times New Roman" w:hAnsi="Calibri" w:cs="Calibri"/>
              </w:rPr>
            </w:pPr>
            <w:r w:rsidRPr="00F47C0A">
              <w:rPr>
                <w:rFonts w:ascii="Calibri" w:eastAsia="Times New Roman" w:hAnsi="Calibri" w:cs="Calibri"/>
              </w:rPr>
              <w:t>Community Planning Grants</w:t>
            </w:r>
          </w:p>
        </w:tc>
        <w:tc>
          <w:tcPr>
            <w:tcW w:w="1564" w:type="pct"/>
            <w:tcBorders>
              <w:top w:val="nil"/>
              <w:left w:val="nil"/>
              <w:bottom w:val="single" w:sz="4" w:space="0" w:color="auto"/>
              <w:right w:val="single" w:sz="4" w:space="0" w:color="auto"/>
            </w:tcBorders>
            <w:shd w:val="clear" w:color="E2EFDA" w:fill="FFFFFF"/>
            <w:noWrap/>
            <w:vAlign w:val="bottom"/>
            <w:hideMark/>
          </w:tcPr>
          <w:p w14:paraId="27C54DFC" w14:textId="77777777" w:rsidR="00F47C0A" w:rsidRPr="00F47C0A" w:rsidRDefault="00F47C0A" w:rsidP="00F47C0A">
            <w:pPr>
              <w:spacing w:after="0" w:line="240" w:lineRule="auto"/>
              <w:jc w:val="right"/>
              <w:rPr>
                <w:rFonts w:ascii="Calibri" w:eastAsia="Times New Roman" w:hAnsi="Calibri" w:cs="Calibri"/>
              </w:rPr>
            </w:pPr>
            <w:r w:rsidRPr="00F47C0A">
              <w:rPr>
                <w:rFonts w:ascii="Calibri" w:eastAsia="Times New Roman" w:hAnsi="Calibri" w:cs="Calibri"/>
              </w:rPr>
              <w:t xml:space="preserve">                                    1,276,680 </w:t>
            </w:r>
          </w:p>
        </w:tc>
      </w:tr>
      <w:tr w:rsidR="00F47C0A" w:rsidRPr="00F47C0A" w14:paraId="0A8D810C" w14:textId="77777777" w:rsidTr="00F47C0A">
        <w:trPr>
          <w:trHeight w:val="144"/>
        </w:trPr>
        <w:tc>
          <w:tcPr>
            <w:tcW w:w="3436" w:type="pct"/>
            <w:tcBorders>
              <w:top w:val="nil"/>
              <w:left w:val="single" w:sz="4" w:space="0" w:color="auto"/>
              <w:bottom w:val="single" w:sz="4" w:space="0" w:color="auto"/>
              <w:right w:val="single" w:sz="4" w:space="0" w:color="auto"/>
            </w:tcBorders>
            <w:shd w:val="clear" w:color="000000" w:fill="FFFFFF"/>
            <w:noWrap/>
            <w:vAlign w:val="bottom"/>
            <w:hideMark/>
          </w:tcPr>
          <w:p w14:paraId="53C365D7" w14:textId="77777777" w:rsidR="00F47C0A" w:rsidRPr="00F47C0A" w:rsidRDefault="00F47C0A" w:rsidP="00F47C0A">
            <w:pPr>
              <w:spacing w:after="0" w:line="240" w:lineRule="auto"/>
              <w:rPr>
                <w:rFonts w:ascii="Calibri" w:eastAsia="Times New Roman" w:hAnsi="Calibri" w:cs="Calibri"/>
              </w:rPr>
            </w:pPr>
            <w:r w:rsidRPr="00F47C0A">
              <w:rPr>
                <w:rFonts w:ascii="Calibri" w:eastAsia="Times New Roman" w:hAnsi="Calibri" w:cs="Calibri"/>
              </w:rPr>
              <w:t>Rural Development Grants</w:t>
            </w:r>
          </w:p>
        </w:tc>
        <w:tc>
          <w:tcPr>
            <w:tcW w:w="1564" w:type="pct"/>
            <w:tcBorders>
              <w:top w:val="nil"/>
              <w:left w:val="nil"/>
              <w:bottom w:val="single" w:sz="4" w:space="0" w:color="auto"/>
              <w:right w:val="single" w:sz="4" w:space="0" w:color="auto"/>
            </w:tcBorders>
            <w:shd w:val="clear" w:color="000000" w:fill="FFFFFF"/>
            <w:noWrap/>
            <w:vAlign w:val="bottom"/>
            <w:hideMark/>
          </w:tcPr>
          <w:p w14:paraId="0A26B8D5" w14:textId="77777777" w:rsidR="00F47C0A" w:rsidRPr="00F47C0A" w:rsidRDefault="00F47C0A" w:rsidP="00F47C0A">
            <w:pPr>
              <w:spacing w:after="0" w:line="240" w:lineRule="auto"/>
              <w:jc w:val="right"/>
              <w:rPr>
                <w:rFonts w:ascii="Calibri" w:eastAsia="Times New Roman" w:hAnsi="Calibri" w:cs="Calibri"/>
              </w:rPr>
            </w:pPr>
            <w:r w:rsidRPr="00F47C0A">
              <w:rPr>
                <w:rFonts w:ascii="Calibri" w:eastAsia="Times New Roman" w:hAnsi="Calibri" w:cs="Calibri"/>
              </w:rPr>
              <w:t xml:space="preserve">                                    3,558,677 </w:t>
            </w:r>
          </w:p>
        </w:tc>
      </w:tr>
      <w:tr w:rsidR="00F47C0A" w:rsidRPr="00F47C0A" w14:paraId="0AD74188" w14:textId="77777777" w:rsidTr="00F47C0A">
        <w:trPr>
          <w:trHeight w:val="144"/>
        </w:trPr>
        <w:tc>
          <w:tcPr>
            <w:tcW w:w="3436" w:type="pct"/>
            <w:tcBorders>
              <w:top w:val="nil"/>
              <w:left w:val="single" w:sz="4" w:space="0" w:color="auto"/>
              <w:bottom w:val="single" w:sz="4" w:space="0" w:color="auto"/>
              <w:right w:val="single" w:sz="4" w:space="0" w:color="auto"/>
            </w:tcBorders>
            <w:shd w:val="clear" w:color="E2EFDA" w:fill="FFFFFF"/>
            <w:noWrap/>
            <w:vAlign w:val="bottom"/>
            <w:hideMark/>
          </w:tcPr>
          <w:p w14:paraId="719C6FA4" w14:textId="77777777" w:rsidR="00F47C0A" w:rsidRPr="00F47C0A" w:rsidRDefault="00F47C0A" w:rsidP="00F47C0A">
            <w:pPr>
              <w:spacing w:after="0" w:line="240" w:lineRule="auto"/>
              <w:rPr>
                <w:rFonts w:ascii="Calibri" w:eastAsia="Times New Roman" w:hAnsi="Calibri" w:cs="Calibri"/>
              </w:rPr>
            </w:pPr>
            <w:proofErr w:type="spellStart"/>
            <w:r w:rsidRPr="00F47C0A">
              <w:rPr>
                <w:rFonts w:ascii="Calibri" w:eastAsia="Times New Roman" w:hAnsi="Calibri" w:cs="Calibri"/>
              </w:rPr>
              <w:t>MassWorks</w:t>
            </w:r>
            <w:proofErr w:type="spellEnd"/>
          </w:p>
        </w:tc>
        <w:tc>
          <w:tcPr>
            <w:tcW w:w="1564" w:type="pct"/>
            <w:tcBorders>
              <w:top w:val="nil"/>
              <w:left w:val="nil"/>
              <w:bottom w:val="single" w:sz="4" w:space="0" w:color="auto"/>
              <w:right w:val="single" w:sz="4" w:space="0" w:color="auto"/>
            </w:tcBorders>
            <w:shd w:val="clear" w:color="E2EFDA" w:fill="FFFFFF"/>
            <w:noWrap/>
            <w:vAlign w:val="bottom"/>
            <w:hideMark/>
          </w:tcPr>
          <w:p w14:paraId="1973CEF5" w14:textId="77777777" w:rsidR="00F47C0A" w:rsidRPr="00F47C0A" w:rsidRDefault="00F47C0A" w:rsidP="00F47C0A">
            <w:pPr>
              <w:spacing w:after="0" w:line="240" w:lineRule="auto"/>
              <w:jc w:val="right"/>
              <w:rPr>
                <w:rFonts w:ascii="Calibri" w:eastAsia="Times New Roman" w:hAnsi="Calibri" w:cs="Calibri"/>
              </w:rPr>
            </w:pPr>
            <w:r w:rsidRPr="00F47C0A">
              <w:rPr>
                <w:rFonts w:ascii="Calibri" w:eastAsia="Times New Roman" w:hAnsi="Calibri" w:cs="Calibri"/>
              </w:rPr>
              <w:t xml:space="preserve">                               147,362,100 </w:t>
            </w:r>
          </w:p>
        </w:tc>
      </w:tr>
      <w:tr w:rsidR="00F47C0A" w:rsidRPr="00F47C0A" w14:paraId="4E4EF8EA" w14:textId="77777777" w:rsidTr="00F47C0A">
        <w:trPr>
          <w:trHeight w:val="144"/>
        </w:trPr>
        <w:tc>
          <w:tcPr>
            <w:tcW w:w="3436" w:type="pct"/>
            <w:tcBorders>
              <w:top w:val="nil"/>
              <w:left w:val="single" w:sz="4" w:space="0" w:color="auto"/>
              <w:bottom w:val="single" w:sz="4" w:space="0" w:color="auto"/>
              <w:right w:val="single" w:sz="4" w:space="0" w:color="auto"/>
            </w:tcBorders>
            <w:shd w:val="clear" w:color="000000" w:fill="FFFFFF"/>
            <w:noWrap/>
            <w:vAlign w:val="bottom"/>
            <w:hideMark/>
          </w:tcPr>
          <w:p w14:paraId="7EF9BE8B" w14:textId="77777777" w:rsidR="00F47C0A" w:rsidRPr="00F47C0A" w:rsidRDefault="00F47C0A" w:rsidP="00F47C0A">
            <w:pPr>
              <w:spacing w:after="0" w:line="240" w:lineRule="auto"/>
              <w:rPr>
                <w:rFonts w:ascii="Calibri" w:eastAsia="Times New Roman" w:hAnsi="Calibri" w:cs="Calibri"/>
              </w:rPr>
            </w:pPr>
            <w:r w:rsidRPr="00F47C0A">
              <w:rPr>
                <w:rFonts w:ascii="Calibri" w:eastAsia="Times New Roman" w:hAnsi="Calibri" w:cs="Calibri"/>
              </w:rPr>
              <w:t>Underutilized Property Program Projects</w:t>
            </w:r>
          </w:p>
        </w:tc>
        <w:tc>
          <w:tcPr>
            <w:tcW w:w="1564" w:type="pct"/>
            <w:tcBorders>
              <w:top w:val="nil"/>
              <w:left w:val="nil"/>
              <w:bottom w:val="single" w:sz="4" w:space="0" w:color="auto"/>
              <w:right w:val="single" w:sz="4" w:space="0" w:color="auto"/>
            </w:tcBorders>
            <w:shd w:val="clear" w:color="000000" w:fill="FFFFFF"/>
            <w:noWrap/>
            <w:vAlign w:val="bottom"/>
            <w:hideMark/>
          </w:tcPr>
          <w:p w14:paraId="4E0FC6EB" w14:textId="77777777" w:rsidR="00F47C0A" w:rsidRPr="00F47C0A" w:rsidRDefault="00F47C0A" w:rsidP="00F47C0A">
            <w:pPr>
              <w:spacing w:after="0" w:line="240" w:lineRule="auto"/>
              <w:jc w:val="right"/>
              <w:rPr>
                <w:rFonts w:ascii="Calibri" w:eastAsia="Times New Roman" w:hAnsi="Calibri" w:cs="Calibri"/>
              </w:rPr>
            </w:pPr>
            <w:r w:rsidRPr="00F47C0A">
              <w:rPr>
                <w:rFonts w:ascii="Calibri" w:eastAsia="Times New Roman" w:hAnsi="Calibri" w:cs="Calibri"/>
              </w:rPr>
              <w:t xml:space="preserve">                                    8,266,208 </w:t>
            </w:r>
          </w:p>
        </w:tc>
      </w:tr>
      <w:tr w:rsidR="00F47C0A" w:rsidRPr="00F47C0A" w14:paraId="6192169F" w14:textId="77777777" w:rsidTr="00F47C0A">
        <w:trPr>
          <w:trHeight w:val="144"/>
        </w:trPr>
        <w:tc>
          <w:tcPr>
            <w:tcW w:w="3436" w:type="pct"/>
            <w:tcBorders>
              <w:top w:val="nil"/>
              <w:left w:val="single" w:sz="4" w:space="0" w:color="auto"/>
              <w:bottom w:val="single" w:sz="4" w:space="0" w:color="auto"/>
              <w:right w:val="single" w:sz="4" w:space="0" w:color="auto"/>
            </w:tcBorders>
            <w:shd w:val="clear" w:color="E2EFDA" w:fill="FFFFFF"/>
            <w:noWrap/>
            <w:vAlign w:val="bottom"/>
            <w:hideMark/>
          </w:tcPr>
          <w:p w14:paraId="46B01727" w14:textId="77777777" w:rsidR="00F47C0A" w:rsidRPr="00F47C0A" w:rsidRDefault="00F47C0A" w:rsidP="00F47C0A">
            <w:pPr>
              <w:spacing w:after="0" w:line="240" w:lineRule="auto"/>
              <w:rPr>
                <w:rFonts w:ascii="Calibri" w:eastAsia="Times New Roman" w:hAnsi="Calibri" w:cs="Calibri"/>
              </w:rPr>
            </w:pPr>
            <w:r w:rsidRPr="00F47C0A">
              <w:rPr>
                <w:rFonts w:ascii="Calibri" w:eastAsia="Times New Roman" w:hAnsi="Calibri" w:cs="Calibri"/>
              </w:rPr>
              <w:t>Brownfields Redevelopment Projects</w:t>
            </w:r>
          </w:p>
        </w:tc>
        <w:tc>
          <w:tcPr>
            <w:tcW w:w="1564" w:type="pct"/>
            <w:tcBorders>
              <w:top w:val="nil"/>
              <w:left w:val="nil"/>
              <w:bottom w:val="single" w:sz="4" w:space="0" w:color="auto"/>
              <w:right w:val="single" w:sz="4" w:space="0" w:color="auto"/>
            </w:tcBorders>
            <w:shd w:val="clear" w:color="E2EFDA" w:fill="FFFFFF"/>
            <w:noWrap/>
            <w:vAlign w:val="bottom"/>
            <w:hideMark/>
          </w:tcPr>
          <w:p w14:paraId="6C750D74" w14:textId="77777777" w:rsidR="00F47C0A" w:rsidRPr="00F47C0A" w:rsidRDefault="00F47C0A" w:rsidP="00F47C0A">
            <w:pPr>
              <w:spacing w:after="0" w:line="240" w:lineRule="auto"/>
              <w:jc w:val="right"/>
              <w:rPr>
                <w:rFonts w:ascii="Calibri" w:eastAsia="Times New Roman" w:hAnsi="Calibri" w:cs="Calibri"/>
              </w:rPr>
            </w:pPr>
            <w:r w:rsidRPr="00F47C0A">
              <w:rPr>
                <w:rFonts w:ascii="Calibri" w:eastAsia="Times New Roman" w:hAnsi="Calibri" w:cs="Calibri"/>
              </w:rPr>
              <w:t xml:space="preserve">                                    7,081,900 </w:t>
            </w:r>
          </w:p>
        </w:tc>
      </w:tr>
      <w:tr w:rsidR="00F47C0A" w:rsidRPr="00F47C0A" w14:paraId="3D24C78C" w14:textId="77777777" w:rsidTr="00F47C0A">
        <w:trPr>
          <w:trHeight w:val="144"/>
        </w:trPr>
        <w:tc>
          <w:tcPr>
            <w:tcW w:w="3436" w:type="pct"/>
            <w:tcBorders>
              <w:top w:val="nil"/>
              <w:left w:val="single" w:sz="4" w:space="0" w:color="auto"/>
              <w:bottom w:val="single" w:sz="4" w:space="0" w:color="auto"/>
              <w:right w:val="single" w:sz="4" w:space="0" w:color="auto"/>
            </w:tcBorders>
            <w:shd w:val="clear" w:color="000000" w:fill="FFFFFF"/>
            <w:noWrap/>
            <w:vAlign w:val="bottom"/>
            <w:hideMark/>
          </w:tcPr>
          <w:p w14:paraId="3C7AB8CA" w14:textId="77777777" w:rsidR="00F47C0A" w:rsidRPr="00F47C0A" w:rsidRDefault="00F47C0A" w:rsidP="00F47C0A">
            <w:pPr>
              <w:spacing w:after="0" w:line="240" w:lineRule="auto"/>
              <w:rPr>
                <w:rFonts w:ascii="Calibri" w:eastAsia="Times New Roman" w:hAnsi="Calibri" w:cs="Calibri"/>
              </w:rPr>
            </w:pPr>
            <w:r w:rsidRPr="00F47C0A">
              <w:rPr>
                <w:rFonts w:ascii="Calibri" w:eastAsia="Times New Roman" w:hAnsi="Calibri" w:cs="Calibri"/>
              </w:rPr>
              <w:t>Site Readiness Evaluation Projects</w:t>
            </w:r>
          </w:p>
        </w:tc>
        <w:tc>
          <w:tcPr>
            <w:tcW w:w="1564" w:type="pct"/>
            <w:tcBorders>
              <w:top w:val="nil"/>
              <w:left w:val="nil"/>
              <w:bottom w:val="single" w:sz="4" w:space="0" w:color="auto"/>
              <w:right w:val="single" w:sz="4" w:space="0" w:color="auto"/>
            </w:tcBorders>
            <w:shd w:val="clear" w:color="000000" w:fill="FFFFFF"/>
            <w:noWrap/>
            <w:vAlign w:val="bottom"/>
            <w:hideMark/>
          </w:tcPr>
          <w:p w14:paraId="4B0FEDDB" w14:textId="77777777" w:rsidR="00F47C0A" w:rsidRPr="00F47C0A" w:rsidRDefault="00F47C0A" w:rsidP="00F47C0A">
            <w:pPr>
              <w:spacing w:after="0" w:line="240" w:lineRule="auto"/>
              <w:jc w:val="right"/>
              <w:rPr>
                <w:rFonts w:ascii="Calibri" w:eastAsia="Times New Roman" w:hAnsi="Calibri" w:cs="Calibri"/>
              </w:rPr>
            </w:pPr>
            <w:r w:rsidRPr="00F47C0A">
              <w:rPr>
                <w:rFonts w:ascii="Calibri" w:eastAsia="Times New Roman" w:hAnsi="Calibri" w:cs="Calibri"/>
              </w:rPr>
              <w:t xml:space="preserve">                                  10,456,793 </w:t>
            </w:r>
          </w:p>
        </w:tc>
      </w:tr>
      <w:tr w:rsidR="00F47C0A" w:rsidRPr="00F47C0A" w14:paraId="73EBEA1B" w14:textId="77777777" w:rsidTr="00F47C0A">
        <w:trPr>
          <w:trHeight w:val="144"/>
        </w:trPr>
        <w:tc>
          <w:tcPr>
            <w:tcW w:w="3436" w:type="pct"/>
            <w:tcBorders>
              <w:top w:val="nil"/>
              <w:left w:val="single" w:sz="4" w:space="0" w:color="auto"/>
              <w:bottom w:val="single" w:sz="4" w:space="0" w:color="auto"/>
              <w:right w:val="single" w:sz="4" w:space="0" w:color="auto"/>
            </w:tcBorders>
            <w:shd w:val="clear" w:color="E2EFDA" w:fill="FFFFFF"/>
            <w:noWrap/>
            <w:vAlign w:val="bottom"/>
            <w:hideMark/>
          </w:tcPr>
          <w:p w14:paraId="4708094B" w14:textId="77777777" w:rsidR="00F47C0A" w:rsidRPr="00F47C0A" w:rsidRDefault="00F47C0A" w:rsidP="00F47C0A">
            <w:pPr>
              <w:spacing w:after="0" w:line="240" w:lineRule="auto"/>
              <w:rPr>
                <w:rFonts w:ascii="Calibri" w:eastAsia="Times New Roman" w:hAnsi="Calibri" w:cs="Calibri"/>
              </w:rPr>
            </w:pPr>
            <w:r w:rsidRPr="00F47C0A">
              <w:rPr>
                <w:rFonts w:ascii="Calibri" w:eastAsia="Times New Roman" w:hAnsi="Calibri" w:cs="Calibri"/>
              </w:rPr>
              <w:t>Housing Choice Grants</w:t>
            </w:r>
          </w:p>
        </w:tc>
        <w:tc>
          <w:tcPr>
            <w:tcW w:w="1564" w:type="pct"/>
            <w:tcBorders>
              <w:top w:val="nil"/>
              <w:left w:val="nil"/>
              <w:bottom w:val="single" w:sz="4" w:space="0" w:color="auto"/>
              <w:right w:val="single" w:sz="4" w:space="0" w:color="auto"/>
            </w:tcBorders>
            <w:shd w:val="clear" w:color="E2EFDA" w:fill="FFFFFF"/>
            <w:noWrap/>
            <w:vAlign w:val="bottom"/>
            <w:hideMark/>
          </w:tcPr>
          <w:p w14:paraId="1A596E5F" w14:textId="77777777" w:rsidR="00F47C0A" w:rsidRPr="00F47C0A" w:rsidRDefault="00F47C0A" w:rsidP="00F47C0A">
            <w:pPr>
              <w:spacing w:after="0" w:line="240" w:lineRule="auto"/>
              <w:jc w:val="right"/>
              <w:rPr>
                <w:rFonts w:ascii="Calibri" w:eastAsia="Times New Roman" w:hAnsi="Calibri" w:cs="Calibri"/>
              </w:rPr>
            </w:pPr>
            <w:r w:rsidRPr="00F47C0A">
              <w:rPr>
                <w:rFonts w:ascii="Calibri" w:eastAsia="Times New Roman" w:hAnsi="Calibri" w:cs="Calibri"/>
              </w:rPr>
              <w:t xml:space="preserve">                                       113,750 </w:t>
            </w:r>
          </w:p>
        </w:tc>
      </w:tr>
      <w:tr w:rsidR="00F47C0A" w:rsidRPr="00F47C0A" w14:paraId="06657C91" w14:textId="77777777" w:rsidTr="00F47C0A">
        <w:trPr>
          <w:trHeight w:val="144"/>
        </w:trPr>
        <w:tc>
          <w:tcPr>
            <w:tcW w:w="3436" w:type="pct"/>
            <w:tcBorders>
              <w:top w:val="nil"/>
              <w:left w:val="single" w:sz="4" w:space="0" w:color="auto"/>
              <w:bottom w:val="single" w:sz="4" w:space="0" w:color="auto"/>
              <w:right w:val="single" w:sz="4" w:space="0" w:color="auto"/>
            </w:tcBorders>
            <w:shd w:val="clear" w:color="000000" w:fill="FFFFFF"/>
            <w:noWrap/>
            <w:vAlign w:val="bottom"/>
            <w:hideMark/>
          </w:tcPr>
          <w:p w14:paraId="3C810578" w14:textId="77777777" w:rsidR="00F47C0A" w:rsidRPr="00F47C0A" w:rsidRDefault="00F47C0A" w:rsidP="00F47C0A">
            <w:pPr>
              <w:spacing w:after="0" w:line="240" w:lineRule="auto"/>
              <w:rPr>
                <w:rFonts w:ascii="Calibri" w:eastAsia="Times New Roman" w:hAnsi="Calibri" w:cs="Calibri"/>
              </w:rPr>
            </w:pPr>
            <w:r w:rsidRPr="00F47C0A">
              <w:rPr>
                <w:rFonts w:ascii="Calibri" w:eastAsia="Times New Roman" w:hAnsi="Calibri" w:cs="Calibri"/>
              </w:rPr>
              <w:t>Downtown Recovery Grants</w:t>
            </w:r>
          </w:p>
        </w:tc>
        <w:tc>
          <w:tcPr>
            <w:tcW w:w="1564" w:type="pct"/>
            <w:tcBorders>
              <w:top w:val="nil"/>
              <w:left w:val="nil"/>
              <w:bottom w:val="single" w:sz="4" w:space="0" w:color="auto"/>
              <w:right w:val="single" w:sz="4" w:space="0" w:color="auto"/>
            </w:tcBorders>
            <w:shd w:val="clear" w:color="000000" w:fill="FFFFFF"/>
            <w:noWrap/>
            <w:vAlign w:val="bottom"/>
            <w:hideMark/>
          </w:tcPr>
          <w:p w14:paraId="3CBBA995" w14:textId="77777777" w:rsidR="00F47C0A" w:rsidRPr="00F47C0A" w:rsidRDefault="00F47C0A" w:rsidP="00F47C0A">
            <w:pPr>
              <w:spacing w:after="0" w:line="240" w:lineRule="auto"/>
              <w:jc w:val="right"/>
              <w:rPr>
                <w:rFonts w:ascii="Calibri" w:eastAsia="Times New Roman" w:hAnsi="Calibri" w:cs="Calibri"/>
              </w:rPr>
            </w:pPr>
            <w:r w:rsidRPr="00F47C0A">
              <w:rPr>
                <w:rFonts w:ascii="Calibri" w:eastAsia="Times New Roman" w:hAnsi="Calibri" w:cs="Calibri"/>
              </w:rPr>
              <w:t xml:space="preserve">                               107,868,108 </w:t>
            </w:r>
          </w:p>
        </w:tc>
      </w:tr>
      <w:tr w:rsidR="00F47C0A" w:rsidRPr="00F47C0A" w14:paraId="39412DF8" w14:textId="77777777" w:rsidTr="00F47C0A">
        <w:trPr>
          <w:trHeight w:val="144"/>
        </w:trPr>
        <w:tc>
          <w:tcPr>
            <w:tcW w:w="3436" w:type="pct"/>
            <w:tcBorders>
              <w:top w:val="nil"/>
              <w:left w:val="single" w:sz="4" w:space="0" w:color="auto"/>
              <w:bottom w:val="single" w:sz="4" w:space="0" w:color="auto"/>
              <w:right w:val="single" w:sz="4" w:space="0" w:color="auto"/>
            </w:tcBorders>
            <w:shd w:val="clear" w:color="E2EFDA" w:fill="FFFFFF"/>
            <w:noWrap/>
            <w:vAlign w:val="bottom"/>
            <w:hideMark/>
          </w:tcPr>
          <w:p w14:paraId="7E688C6E" w14:textId="77777777" w:rsidR="00F47C0A" w:rsidRPr="00F47C0A" w:rsidRDefault="00F47C0A" w:rsidP="00F47C0A">
            <w:pPr>
              <w:spacing w:after="0" w:line="240" w:lineRule="auto"/>
              <w:rPr>
                <w:rFonts w:ascii="Calibri" w:eastAsia="Times New Roman" w:hAnsi="Calibri" w:cs="Calibri"/>
              </w:rPr>
            </w:pPr>
            <w:r w:rsidRPr="00F47C0A">
              <w:rPr>
                <w:rFonts w:ascii="Calibri" w:eastAsia="Times New Roman" w:hAnsi="Calibri" w:cs="Calibri"/>
              </w:rPr>
              <w:t>Community One Stop for Growth</w:t>
            </w:r>
          </w:p>
        </w:tc>
        <w:tc>
          <w:tcPr>
            <w:tcW w:w="1564" w:type="pct"/>
            <w:tcBorders>
              <w:top w:val="nil"/>
              <w:left w:val="nil"/>
              <w:bottom w:val="single" w:sz="4" w:space="0" w:color="auto"/>
              <w:right w:val="single" w:sz="4" w:space="0" w:color="auto"/>
            </w:tcBorders>
            <w:shd w:val="clear" w:color="E2EFDA" w:fill="FFFFFF"/>
            <w:noWrap/>
            <w:vAlign w:val="bottom"/>
            <w:hideMark/>
          </w:tcPr>
          <w:p w14:paraId="0BE05C4A" w14:textId="77777777" w:rsidR="00F47C0A" w:rsidRPr="00F47C0A" w:rsidRDefault="00F47C0A" w:rsidP="00F47C0A">
            <w:pPr>
              <w:spacing w:after="0" w:line="240" w:lineRule="auto"/>
              <w:jc w:val="right"/>
              <w:rPr>
                <w:rFonts w:ascii="Calibri" w:eastAsia="Times New Roman" w:hAnsi="Calibri" w:cs="Calibri"/>
              </w:rPr>
            </w:pPr>
            <w:r w:rsidRPr="00F47C0A">
              <w:rPr>
                <w:rFonts w:ascii="Calibri" w:eastAsia="Times New Roman" w:hAnsi="Calibri" w:cs="Calibri"/>
              </w:rPr>
              <w:t xml:space="preserve">                                  32,068,913 </w:t>
            </w:r>
          </w:p>
        </w:tc>
      </w:tr>
      <w:tr w:rsidR="00F47C0A" w:rsidRPr="00F47C0A" w14:paraId="135C14B1" w14:textId="77777777" w:rsidTr="00F47C0A">
        <w:trPr>
          <w:trHeight w:val="144"/>
        </w:trPr>
        <w:tc>
          <w:tcPr>
            <w:tcW w:w="3436" w:type="pct"/>
            <w:tcBorders>
              <w:top w:val="nil"/>
              <w:left w:val="single" w:sz="4" w:space="0" w:color="auto"/>
              <w:bottom w:val="single" w:sz="4" w:space="0" w:color="auto"/>
              <w:right w:val="single" w:sz="4" w:space="0" w:color="auto"/>
            </w:tcBorders>
            <w:shd w:val="clear" w:color="000000" w:fill="FFFFFF"/>
            <w:noWrap/>
            <w:vAlign w:val="bottom"/>
            <w:hideMark/>
          </w:tcPr>
          <w:p w14:paraId="148D4795" w14:textId="77777777" w:rsidR="00F47C0A" w:rsidRPr="00F47C0A" w:rsidRDefault="00F47C0A" w:rsidP="00F47C0A">
            <w:pPr>
              <w:spacing w:after="0" w:line="240" w:lineRule="auto"/>
              <w:rPr>
                <w:rFonts w:ascii="Calibri" w:eastAsia="Times New Roman" w:hAnsi="Calibri" w:cs="Calibri"/>
              </w:rPr>
            </w:pPr>
            <w:r w:rsidRPr="00F47C0A">
              <w:rPr>
                <w:rFonts w:ascii="Calibri" w:eastAsia="Times New Roman" w:hAnsi="Calibri" w:cs="Calibri"/>
              </w:rPr>
              <w:t>Coastal Infrastructure Projects</w:t>
            </w:r>
          </w:p>
        </w:tc>
        <w:tc>
          <w:tcPr>
            <w:tcW w:w="1564" w:type="pct"/>
            <w:tcBorders>
              <w:top w:val="nil"/>
              <w:left w:val="nil"/>
              <w:bottom w:val="single" w:sz="4" w:space="0" w:color="auto"/>
              <w:right w:val="single" w:sz="4" w:space="0" w:color="auto"/>
            </w:tcBorders>
            <w:shd w:val="clear" w:color="000000" w:fill="FFFFFF"/>
            <w:noWrap/>
            <w:vAlign w:val="bottom"/>
            <w:hideMark/>
          </w:tcPr>
          <w:p w14:paraId="0AFFD35C" w14:textId="77777777" w:rsidR="00F47C0A" w:rsidRPr="00F47C0A" w:rsidRDefault="00F47C0A" w:rsidP="00F47C0A">
            <w:pPr>
              <w:spacing w:after="0" w:line="240" w:lineRule="auto"/>
              <w:jc w:val="right"/>
              <w:rPr>
                <w:rFonts w:ascii="Calibri" w:eastAsia="Times New Roman" w:hAnsi="Calibri" w:cs="Calibri"/>
              </w:rPr>
            </w:pPr>
            <w:r w:rsidRPr="00F47C0A">
              <w:rPr>
                <w:rFonts w:ascii="Calibri" w:eastAsia="Times New Roman" w:hAnsi="Calibri" w:cs="Calibri"/>
              </w:rPr>
              <w:t xml:space="preserve">                                  97,208,000 </w:t>
            </w:r>
          </w:p>
        </w:tc>
      </w:tr>
      <w:tr w:rsidR="00F47C0A" w:rsidRPr="00F47C0A" w14:paraId="741405EE" w14:textId="77777777" w:rsidTr="00F47C0A">
        <w:trPr>
          <w:trHeight w:val="144"/>
        </w:trPr>
        <w:tc>
          <w:tcPr>
            <w:tcW w:w="3436" w:type="pct"/>
            <w:tcBorders>
              <w:top w:val="nil"/>
              <w:left w:val="single" w:sz="4" w:space="0" w:color="auto"/>
              <w:bottom w:val="single" w:sz="4" w:space="0" w:color="auto"/>
              <w:right w:val="single" w:sz="4" w:space="0" w:color="auto"/>
            </w:tcBorders>
            <w:shd w:val="clear" w:color="E2EFDA" w:fill="FFFFFF"/>
            <w:noWrap/>
            <w:vAlign w:val="bottom"/>
            <w:hideMark/>
          </w:tcPr>
          <w:p w14:paraId="4E927A7B" w14:textId="77777777" w:rsidR="00F47C0A" w:rsidRPr="00F47C0A" w:rsidRDefault="00F47C0A" w:rsidP="00F47C0A">
            <w:pPr>
              <w:spacing w:after="0" w:line="240" w:lineRule="auto"/>
              <w:rPr>
                <w:rFonts w:ascii="Calibri" w:eastAsia="Times New Roman" w:hAnsi="Calibri" w:cs="Calibri"/>
              </w:rPr>
            </w:pPr>
            <w:r w:rsidRPr="00F47C0A">
              <w:rPr>
                <w:rFonts w:ascii="Calibri" w:eastAsia="Times New Roman" w:hAnsi="Calibri" w:cs="Calibri"/>
              </w:rPr>
              <w:t>Water and Sewer Projects</w:t>
            </w:r>
          </w:p>
        </w:tc>
        <w:tc>
          <w:tcPr>
            <w:tcW w:w="1564" w:type="pct"/>
            <w:tcBorders>
              <w:top w:val="nil"/>
              <w:left w:val="nil"/>
              <w:bottom w:val="single" w:sz="4" w:space="0" w:color="auto"/>
              <w:right w:val="single" w:sz="4" w:space="0" w:color="auto"/>
            </w:tcBorders>
            <w:shd w:val="clear" w:color="E2EFDA" w:fill="FFFFFF"/>
            <w:noWrap/>
            <w:vAlign w:val="bottom"/>
            <w:hideMark/>
          </w:tcPr>
          <w:p w14:paraId="647192A7" w14:textId="77777777" w:rsidR="00F47C0A" w:rsidRPr="00F47C0A" w:rsidRDefault="00F47C0A" w:rsidP="00F47C0A">
            <w:pPr>
              <w:spacing w:after="0" w:line="240" w:lineRule="auto"/>
              <w:jc w:val="right"/>
              <w:rPr>
                <w:rFonts w:ascii="Calibri" w:eastAsia="Times New Roman" w:hAnsi="Calibri" w:cs="Calibri"/>
              </w:rPr>
            </w:pPr>
            <w:r w:rsidRPr="00F47C0A">
              <w:rPr>
                <w:rFonts w:ascii="Calibri" w:eastAsia="Times New Roman" w:hAnsi="Calibri" w:cs="Calibri"/>
              </w:rPr>
              <w:t xml:space="preserve">                                  64,000,000 </w:t>
            </w:r>
          </w:p>
        </w:tc>
      </w:tr>
      <w:tr w:rsidR="00F47C0A" w:rsidRPr="00F47C0A" w14:paraId="42070A5A" w14:textId="77777777" w:rsidTr="00F47C0A">
        <w:trPr>
          <w:trHeight w:val="144"/>
        </w:trPr>
        <w:tc>
          <w:tcPr>
            <w:tcW w:w="3436" w:type="pct"/>
            <w:tcBorders>
              <w:top w:val="nil"/>
              <w:left w:val="single" w:sz="4" w:space="0" w:color="auto"/>
              <w:bottom w:val="single" w:sz="4" w:space="0" w:color="auto"/>
              <w:right w:val="single" w:sz="4" w:space="0" w:color="auto"/>
            </w:tcBorders>
            <w:shd w:val="clear" w:color="000000" w:fill="FFFFFF"/>
            <w:noWrap/>
            <w:vAlign w:val="bottom"/>
            <w:hideMark/>
          </w:tcPr>
          <w:p w14:paraId="3F345F91" w14:textId="77777777" w:rsidR="00F47C0A" w:rsidRPr="00F47C0A" w:rsidRDefault="00F47C0A" w:rsidP="00F47C0A">
            <w:pPr>
              <w:spacing w:after="0" w:line="240" w:lineRule="auto"/>
              <w:rPr>
                <w:rFonts w:ascii="Calibri" w:eastAsia="Times New Roman" w:hAnsi="Calibri" w:cs="Calibri"/>
              </w:rPr>
            </w:pPr>
            <w:r w:rsidRPr="00F47C0A">
              <w:rPr>
                <w:rFonts w:ascii="Calibri" w:eastAsia="Times New Roman" w:hAnsi="Calibri" w:cs="Calibri"/>
              </w:rPr>
              <w:t>State Parks and Trails Projects</w:t>
            </w:r>
          </w:p>
        </w:tc>
        <w:tc>
          <w:tcPr>
            <w:tcW w:w="1564" w:type="pct"/>
            <w:tcBorders>
              <w:top w:val="nil"/>
              <w:left w:val="nil"/>
              <w:bottom w:val="single" w:sz="4" w:space="0" w:color="auto"/>
              <w:right w:val="single" w:sz="4" w:space="0" w:color="auto"/>
            </w:tcBorders>
            <w:shd w:val="clear" w:color="000000" w:fill="FFFFFF"/>
            <w:noWrap/>
            <w:vAlign w:val="bottom"/>
            <w:hideMark/>
          </w:tcPr>
          <w:p w14:paraId="57430AED" w14:textId="77777777" w:rsidR="00F47C0A" w:rsidRPr="00F47C0A" w:rsidRDefault="00F47C0A" w:rsidP="00F47C0A">
            <w:pPr>
              <w:spacing w:after="0" w:line="240" w:lineRule="auto"/>
              <w:jc w:val="right"/>
              <w:rPr>
                <w:rFonts w:ascii="Calibri" w:eastAsia="Times New Roman" w:hAnsi="Calibri" w:cs="Calibri"/>
              </w:rPr>
            </w:pPr>
            <w:r w:rsidRPr="00F47C0A">
              <w:rPr>
                <w:rFonts w:ascii="Calibri" w:eastAsia="Times New Roman" w:hAnsi="Calibri" w:cs="Calibri"/>
              </w:rPr>
              <w:t xml:space="preserve">                               231,600,000 </w:t>
            </w:r>
          </w:p>
        </w:tc>
      </w:tr>
      <w:tr w:rsidR="00F47C0A" w:rsidRPr="00F47C0A" w14:paraId="1583477A" w14:textId="77777777" w:rsidTr="00F47C0A">
        <w:trPr>
          <w:trHeight w:val="144"/>
        </w:trPr>
        <w:tc>
          <w:tcPr>
            <w:tcW w:w="3436" w:type="pct"/>
            <w:tcBorders>
              <w:top w:val="nil"/>
              <w:left w:val="single" w:sz="4" w:space="0" w:color="auto"/>
              <w:bottom w:val="single" w:sz="4" w:space="0" w:color="auto"/>
              <w:right w:val="single" w:sz="4" w:space="0" w:color="auto"/>
            </w:tcBorders>
            <w:shd w:val="clear" w:color="E2EFDA" w:fill="FFFFFF"/>
            <w:noWrap/>
            <w:vAlign w:val="bottom"/>
            <w:hideMark/>
          </w:tcPr>
          <w:p w14:paraId="2324F9E3" w14:textId="77777777" w:rsidR="00F47C0A" w:rsidRPr="00F47C0A" w:rsidRDefault="00F47C0A" w:rsidP="00F47C0A">
            <w:pPr>
              <w:spacing w:after="0" w:line="240" w:lineRule="auto"/>
              <w:rPr>
                <w:rFonts w:ascii="Calibri" w:eastAsia="Times New Roman" w:hAnsi="Calibri" w:cs="Calibri"/>
              </w:rPr>
            </w:pPr>
            <w:r w:rsidRPr="00F47C0A">
              <w:rPr>
                <w:rFonts w:ascii="Calibri" w:eastAsia="Times New Roman" w:hAnsi="Calibri" w:cs="Calibri"/>
              </w:rPr>
              <w:t>Clean Energy Investments</w:t>
            </w:r>
          </w:p>
        </w:tc>
        <w:tc>
          <w:tcPr>
            <w:tcW w:w="1564" w:type="pct"/>
            <w:tcBorders>
              <w:top w:val="nil"/>
              <w:left w:val="nil"/>
              <w:bottom w:val="single" w:sz="4" w:space="0" w:color="auto"/>
              <w:right w:val="single" w:sz="4" w:space="0" w:color="auto"/>
            </w:tcBorders>
            <w:shd w:val="clear" w:color="E2EFDA" w:fill="FFFFFF"/>
            <w:noWrap/>
            <w:vAlign w:val="bottom"/>
            <w:hideMark/>
          </w:tcPr>
          <w:p w14:paraId="5C932F1D" w14:textId="77777777" w:rsidR="00F47C0A" w:rsidRPr="00F47C0A" w:rsidRDefault="00F47C0A" w:rsidP="00F47C0A">
            <w:pPr>
              <w:spacing w:after="0" w:line="240" w:lineRule="auto"/>
              <w:jc w:val="right"/>
              <w:rPr>
                <w:rFonts w:ascii="Calibri" w:eastAsia="Times New Roman" w:hAnsi="Calibri" w:cs="Calibri"/>
              </w:rPr>
            </w:pPr>
            <w:r w:rsidRPr="00F47C0A">
              <w:rPr>
                <w:rFonts w:ascii="Calibri" w:eastAsia="Times New Roman" w:hAnsi="Calibri" w:cs="Calibri"/>
              </w:rPr>
              <w:t xml:space="preserve">                               750,000,000 </w:t>
            </w:r>
          </w:p>
        </w:tc>
      </w:tr>
      <w:tr w:rsidR="00F47C0A" w:rsidRPr="00F47C0A" w14:paraId="5A695C27" w14:textId="77777777" w:rsidTr="00F47C0A">
        <w:trPr>
          <w:trHeight w:val="144"/>
        </w:trPr>
        <w:tc>
          <w:tcPr>
            <w:tcW w:w="3436" w:type="pct"/>
            <w:tcBorders>
              <w:top w:val="nil"/>
              <w:left w:val="single" w:sz="4" w:space="0" w:color="auto"/>
              <w:bottom w:val="single" w:sz="4" w:space="0" w:color="auto"/>
              <w:right w:val="single" w:sz="4" w:space="0" w:color="auto"/>
            </w:tcBorders>
            <w:shd w:val="clear" w:color="000000" w:fill="FFFFFF"/>
            <w:noWrap/>
            <w:vAlign w:val="bottom"/>
            <w:hideMark/>
          </w:tcPr>
          <w:p w14:paraId="6859C1EC" w14:textId="77777777" w:rsidR="00F47C0A" w:rsidRPr="00F47C0A" w:rsidRDefault="00F47C0A" w:rsidP="00F47C0A">
            <w:pPr>
              <w:spacing w:after="0" w:line="240" w:lineRule="auto"/>
              <w:rPr>
                <w:rFonts w:ascii="Calibri" w:eastAsia="Times New Roman" w:hAnsi="Calibri" w:cs="Calibri"/>
              </w:rPr>
            </w:pPr>
            <w:r w:rsidRPr="00F47C0A">
              <w:rPr>
                <w:rFonts w:ascii="Calibri" w:eastAsia="Times New Roman" w:hAnsi="Calibri" w:cs="Calibri"/>
              </w:rPr>
              <w:t>Culverts Projects</w:t>
            </w:r>
          </w:p>
        </w:tc>
        <w:tc>
          <w:tcPr>
            <w:tcW w:w="1564" w:type="pct"/>
            <w:tcBorders>
              <w:top w:val="nil"/>
              <w:left w:val="nil"/>
              <w:bottom w:val="single" w:sz="4" w:space="0" w:color="auto"/>
              <w:right w:val="single" w:sz="4" w:space="0" w:color="auto"/>
            </w:tcBorders>
            <w:shd w:val="clear" w:color="000000" w:fill="FFFFFF"/>
            <w:noWrap/>
            <w:vAlign w:val="bottom"/>
            <w:hideMark/>
          </w:tcPr>
          <w:p w14:paraId="56717A30" w14:textId="77777777" w:rsidR="00F47C0A" w:rsidRPr="00F47C0A" w:rsidRDefault="00F47C0A" w:rsidP="00F47C0A">
            <w:pPr>
              <w:spacing w:after="0" w:line="240" w:lineRule="auto"/>
              <w:jc w:val="right"/>
              <w:rPr>
                <w:rFonts w:ascii="Calibri" w:eastAsia="Times New Roman" w:hAnsi="Calibri" w:cs="Calibri"/>
              </w:rPr>
            </w:pPr>
            <w:r w:rsidRPr="00F47C0A">
              <w:rPr>
                <w:rFonts w:ascii="Calibri" w:eastAsia="Times New Roman" w:hAnsi="Calibri" w:cs="Calibri"/>
              </w:rPr>
              <w:t xml:space="preserve">                                    1,387,000 </w:t>
            </w:r>
          </w:p>
        </w:tc>
      </w:tr>
      <w:tr w:rsidR="00F47C0A" w:rsidRPr="00F47C0A" w14:paraId="6F27D2F1" w14:textId="77777777" w:rsidTr="00F47C0A">
        <w:trPr>
          <w:trHeight w:val="144"/>
        </w:trPr>
        <w:tc>
          <w:tcPr>
            <w:tcW w:w="3436" w:type="pct"/>
            <w:tcBorders>
              <w:top w:val="nil"/>
              <w:left w:val="single" w:sz="4" w:space="0" w:color="auto"/>
              <w:bottom w:val="single" w:sz="4" w:space="0" w:color="auto"/>
              <w:right w:val="single" w:sz="4" w:space="0" w:color="auto"/>
            </w:tcBorders>
            <w:shd w:val="clear" w:color="E2EFDA" w:fill="FFFFFF"/>
            <w:noWrap/>
            <w:vAlign w:val="bottom"/>
            <w:hideMark/>
          </w:tcPr>
          <w:p w14:paraId="17012068" w14:textId="77777777" w:rsidR="00F47C0A" w:rsidRPr="00F47C0A" w:rsidRDefault="00F47C0A" w:rsidP="00F47C0A">
            <w:pPr>
              <w:spacing w:after="0" w:line="240" w:lineRule="auto"/>
              <w:rPr>
                <w:rFonts w:ascii="Calibri" w:eastAsia="Times New Roman" w:hAnsi="Calibri" w:cs="Calibri"/>
              </w:rPr>
            </w:pPr>
            <w:r w:rsidRPr="00F47C0A">
              <w:rPr>
                <w:rFonts w:ascii="Calibri" w:eastAsia="Times New Roman" w:hAnsi="Calibri" w:cs="Calibri"/>
              </w:rPr>
              <w:t>Environmental Remediation</w:t>
            </w:r>
          </w:p>
        </w:tc>
        <w:tc>
          <w:tcPr>
            <w:tcW w:w="1564" w:type="pct"/>
            <w:tcBorders>
              <w:top w:val="nil"/>
              <w:left w:val="nil"/>
              <w:bottom w:val="single" w:sz="4" w:space="0" w:color="auto"/>
              <w:right w:val="single" w:sz="4" w:space="0" w:color="auto"/>
            </w:tcBorders>
            <w:shd w:val="clear" w:color="E2EFDA" w:fill="FFFFFF"/>
            <w:noWrap/>
            <w:vAlign w:val="bottom"/>
            <w:hideMark/>
          </w:tcPr>
          <w:p w14:paraId="21450043" w14:textId="77777777" w:rsidR="00F47C0A" w:rsidRPr="00F47C0A" w:rsidRDefault="00F47C0A" w:rsidP="00F47C0A">
            <w:pPr>
              <w:spacing w:after="0" w:line="240" w:lineRule="auto"/>
              <w:jc w:val="right"/>
              <w:rPr>
                <w:rFonts w:ascii="Calibri" w:eastAsia="Times New Roman" w:hAnsi="Calibri" w:cs="Calibri"/>
              </w:rPr>
            </w:pPr>
            <w:r w:rsidRPr="00F47C0A">
              <w:rPr>
                <w:rFonts w:ascii="Calibri" w:eastAsia="Times New Roman" w:hAnsi="Calibri" w:cs="Calibri"/>
              </w:rPr>
              <w:t xml:space="preserve">                                       100,000 </w:t>
            </w:r>
          </w:p>
        </w:tc>
      </w:tr>
      <w:tr w:rsidR="00F47C0A" w:rsidRPr="00F47C0A" w14:paraId="6F9291DC" w14:textId="77777777" w:rsidTr="00F47C0A">
        <w:trPr>
          <w:trHeight w:val="144"/>
        </w:trPr>
        <w:tc>
          <w:tcPr>
            <w:tcW w:w="3436" w:type="pct"/>
            <w:tcBorders>
              <w:top w:val="nil"/>
              <w:left w:val="single" w:sz="4" w:space="0" w:color="auto"/>
              <w:bottom w:val="single" w:sz="4" w:space="0" w:color="auto"/>
              <w:right w:val="single" w:sz="4" w:space="0" w:color="auto"/>
            </w:tcBorders>
            <w:shd w:val="clear" w:color="000000" w:fill="FFFFFF"/>
            <w:noWrap/>
            <w:vAlign w:val="bottom"/>
            <w:hideMark/>
          </w:tcPr>
          <w:p w14:paraId="65D46820" w14:textId="77777777" w:rsidR="00F47C0A" w:rsidRPr="00F47C0A" w:rsidRDefault="00F47C0A" w:rsidP="00F47C0A">
            <w:pPr>
              <w:spacing w:after="0" w:line="240" w:lineRule="auto"/>
              <w:rPr>
                <w:rFonts w:ascii="Calibri" w:eastAsia="Times New Roman" w:hAnsi="Calibri" w:cs="Calibri"/>
              </w:rPr>
            </w:pPr>
            <w:r w:rsidRPr="00F47C0A">
              <w:rPr>
                <w:rFonts w:ascii="Calibri" w:eastAsia="Times New Roman" w:hAnsi="Calibri" w:cs="Calibri"/>
              </w:rPr>
              <w:t>Fishing and Boating Access</w:t>
            </w:r>
          </w:p>
        </w:tc>
        <w:tc>
          <w:tcPr>
            <w:tcW w:w="1564" w:type="pct"/>
            <w:tcBorders>
              <w:top w:val="nil"/>
              <w:left w:val="nil"/>
              <w:bottom w:val="single" w:sz="4" w:space="0" w:color="auto"/>
              <w:right w:val="single" w:sz="4" w:space="0" w:color="auto"/>
            </w:tcBorders>
            <w:shd w:val="clear" w:color="000000" w:fill="FFFFFF"/>
            <w:noWrap/>
            <w:vAlign w:val="bottom"/>
            <w:hideMark/>
          </w:tcPr>
          <w:p w14:paraId="20AB8824" w14:textId="77777777" w:rsidR="00F47C0A" w:rsidRPr="00F47C0A" w:rsidRDefault="00F47C0A" w:rsidP="00F47C0A">
            <w:pPr>
              <w:spacing w:after="0" w:line="240" w:lineRule="auto"/>
              <w:jc w:val="right"/>
              <w:rPr>
                <w:rFonts w:ascii="Calibri" w:eastAsia="Times New Roman" w:hAnsi="Calibri" w:cs="Calibri"/>
              </w:rPr>
            </w:pPr>
            <w:r w:rsidRPr="00F47C0A">
              <w:rPr>
                <w:rFonts w:ascii="Calibri" w:eastAsia="Times New Roman" w:hAnsi="Calibri" w:cs="Calibri"/>
              </w:rPr>
              <w:t xml:space="preserve">                                    7,438,000 </w:t>
            </w:r>
          </w:p>
        </w:tc>
      </w:tr>
      <w:tr w:rsidR="00F47C0A" w:rsidRPr="00F47C0A" w14:paraId="0F61ED16" w14:textId="77777777" w:rsidTr="00F47C0A">
        <w:trPr>
          <w:trHeight w:val="144"/>
        </w:trPr>
        <w:tc>
          <w:tcPr>
            <w:tcW w:w="3436" w:type="pct"/>
            <w:tcBorders>
              <w:top w:val="nil"/>
              <w:left w:val="single" w:sz="4" w:space="0" w:color="auto"/>
              <w:bottom w:val="single" w:sz="4" w:space="0" w:color="auto"/>
              <w:right w:val="single" w:sz="4" w:space="0" w:color="auto"/>
            </w:tcBorders>
            <w:shd w:val="clear" w:color="E2EFDA" w:fill="FFFFFF"/>
            <w:noWrap/>
            <w:vAlign w:val="bottom"/>
            <w:hideMark/>
          </w:tcPr>
          <w:p w14:paraId="64F29B62" w14:textId="77777777" w:rsidR="00F47C0A" w:rsidRPr="00F47C0A" w:rsidRDefault="00F47C0A" w:rsidP="00F47C0A">
            <w:pPr>
              <w:spacing w:after="0" w:line="240" w:lineRule="auto"/>
              <w:rPr>
                <w:rFonts w:ascii="Calibri" w:eastAsia="Times New Roman" w:hAnsi="Calibri" w:cs="Calibri"/>
              </w:rPr>
            </w:pPr>
            <w:r w:rsidRPr="00F47C0A">
              <w:rPr>
                <w:rFonts w:ascii="Calibri" w:eastAsia="Times New Roman" w:hAnsi="Calibri" w:cs="Calibri"/>
              </w:rPr>
              <w:t>Land Acquisition</w:t>
            </w:r>
          </w:p>
        </w:tc>
        <w:tc>
          <w:tcPr>
            <w:tcW w:w="1564" w:type="pct"/>
            <w:tcBorders>
              <w:top w:val="nil"/>
              <w:left w:val="nil"/>
              <w:bottom w:val="single" w:sz="4" w:space="0" w:color="auto"/>
              <w:right w:val="single" w:sz="4" w:space="0" w:color="auto"/>
            </w:tcBorders>
            <w:shd w:val="clear" w:color="E2EFDA" w:fill="FFFFFF"/>
            <w:noWrap/>
            <w:vAlign w:val="bottom"/>
            <w:hideMark/>
          </w:tcPr>
          <w:p w14:paraId="4A3FDF2F" w14:textId="77777777" w:rsidR="00F47C0A" w:rsidRPr="00F47C0A" w:rsidRDefault="00F47C0A" w:rsidP="00F47C0A">
            <w:pPr>
              <w:spacing w:after="0" w:line="240" w:lineRule="auto"/>
              <w:jc w:val="right"/>
              <w:rPr>
                <w:rFonts w:ascii="Calibri" w:eastAsia="Times New Roman" w:hAnsi="Calibri" w:cs="Calibri"/>
              </w:rPr>
            </w:pPr>
            <w:r w:rsidRPr="00F47C0A">
              <w:rPr>
                <w:rFonts w:ascii="Calibri" w:eastAsia="Times New Roman" w:hAnsi="Calibri" w:cs="Calibri"/>
              </w:rPr>
              <w:t xml:space="preserve">                                    3,550,000 </w:t>
            </w:r>
          </w:p>
        </w:tc>
      </w:tr>
      <w:tr w:rsidR="00F47C0A" w:rsidRPr="00F47C0A" w14:paraId="21B5312A" w14:textId="77777777" w:rsidTr="00F47C0A">
        <w:trPr>
          <w:trHeight w:val="144"/>
        </w:trPr>
        <w:tc>
          <w:tcPr>
            <w:tcW w:w="3436" w:type="pct"/>
            <w:tcBorders>
              <w:top w:val="nil"/>
              <w:left w:val="single" w:sz="4" w:space="0" w:color="auto"/>
              <w:bottom w:val="single" w:sz="4" w:space="0" w:color="auto"/>
              <w:right w:val="single" w:sz="4" w:space="0" w:color="auto"/>
            </w:tcBorders>
            <w:shd w:val="clear" w:color="000000" w:fill="FFFFFF"/>
            <w:noWrap/>
            <w:vAlign w:val="bottom"/>
            <w:hideMark/>
          </w:tcPr>
          <w:p w14:paraId="3AD124C2" w14:textId="77777777" w:rsidR="00F47C0A" w:rsidRPr="00F47C0A" w:rsidRDefault="00F47C0A" w:rsidP="00F47C0A">
            <w:pPr>
              <w:spacing w:after="0" w:line="240" w:lineRule="auto"/>
              <w:rPr>
                <w:rFonts w:ascii="Calibri" w:eastAsia="Times New Roman" w:hAnsi="Calibri" w:cs="Calibri"/>
              </w:rPr>
            </w:pPr>
            <w:r w:rsidRPr="00F47C0A">
              <w:rPr>
                <w:rFonts w:ascii="Calibri" w:eastAsia="Times New Roman" w:hAnsi="Calibri" w:cs="Calibri"/>
              </w:rPr>
              <w:t>Municipal Vulnerability Preparedness Grants</w:t>
            </w:r>
          </w:p>
        </w:tc>
        <w:tc>
          <w:tcPr>
            <w:tcW w:w="1564" w:type="pct"/>
            <w:tcBorders>
              <w:top w:val="nil"/>
              <w:left w:val="nil"/>
              <w:bottom w:val="single" w:sz="4" w:space="0" w:color="auto"/>
              <w:right w:val="single" w:sz="4" w:space="0" w:color="auto"/>
            </w:tcBorders>
            <w:shd w:val="clear" w:color="000000" w:fill="FFFFFF"/>
            <w:noWrap/>
            <w:vAlign w:val="bottom"/>
            <w:hideMark/>
          </w:tcPr>
          <w:p w14:paraId="047BF00F" w14:textId="77777777" w:rsidR="00F47C0A" w:rsidRPr="00F47C0A" w:rsidRDefault="00F47C0A" w:rsidP="00F47C0A">
            <w:pPr>
              <w:spacing w:after="0" w:line="240" w:lineRule="auto"/>
              <w:jc w:val="right"/>
              <w:rPr>
                <w:rFonts w:ascii="Calibri" w:eastAsia="Times New Roman" w:hAnsi="Calibri" w:cs="Calibri"/>
              </w:rPr>
            </w:pPr>
            <w:r w:rsidRPr="00F47C0A">
              <w:rPr>
                <w:rFonts w:ascii="Calibri" w:eastAsia="Times New Roman" w:hAnsi="Calibri" w:cs="Calibri"/>
              </w:rPr>
              <w:t xml:space="preserve">                                       900,000 </w:t>
            </w:r>
          </w:p>
        </w:tc>
      </w:tr>
      <w:tr w:rsidR="00F47C0A" w:rsidRPr="00F47C0A" w14:paraId="59FA98C1" w14:textId="77777777" w:rsidTr="00F47C0A">
        <w:trPr>
          <w:trHeight w:val="144"/>
        </w:trPr>
        <w:tc>
          <w:tcPr>
            <w:tcW w:w="3436" w:type="pct"/>
            <w:tcBorders>
              <w:top w:val="nil"/>
              <w:left w:val="single" w:sz="4" w:space="0" w:color="auto"/>
              <w:bottom w:val="single" w:sz="4" w:space="0" w:color="auto"/>
              <w:right w:val="single" w:sz="4" w:space="0" w:color="auto"/>
            </w:tcBorders>
            <w:shd w:val="clear" w:color="E2EFDA" w:fill="FFFFFF"/>
            <w:noWrap/>
            <w:vAlign w:val="bottom"/>
            <w:hideMark/>
          </w:tcPr>
          <w:p w14:paraId="3F2BD733" w14:textId="77777777" w:rsidR="00F47C0A" w:rsidRPr="00F47C0A" w:rsidRDefault="00F47C0A" w:rsidP="00F47C0A">
            <w:pPr>
              <w:spacing w:after="0" w:line="240" w:lineRule="auto"/>
              <w:rPr>
                <w:rFonts w:ascii="Calibri" w:eastAsia="Times New Roman" w:hAnsi="Calibri" w:cs="Calibri"/>
              </w:rPr>
            </w:pPr>
            <w:r w:rsidRPr="00F47C0A">
              <w:rPr>
                <w:rFonts w:ascii="Calibri" w:eastAsia="Times New Roman" w:hAnsi="Calibri" w:cs="Calibri"/>
              </w:rPr>
              <w:t>Resiliency &amp; Habitat</w:t>
            </w:r>
          </w:p>
        </w:tc>
        <w:tc>
          <w:tcPr>
            <w:tcW w:w="1564" w:type="pct"/>
            <w:tcBorders>
              <w:top w:val="nil"/>
              <w:left w:val="nil"/>
              <w:bottom w:val="single" w:sz="4" w:space="0" w:color="auto"/>
              <w:right w:val="single" w:sz="4" w:space="0" w:color="auto"/>
            </w:tcBorders>
            <w:shd w:val="clear" w:color="E2EFDA" w:fill="FFFFFF"/>
            <w:noWrap/>
            <w:vAlign w:val="bottom"/>
            <w:hideMark/>
          </w:tcPr>
          <w:p w14:paraId="0FEB892F" w14:textId="77777777" w:rsidR="00F47C0A" w:rsidRPr="00F47C0A" w:rsidRDefault="00F47C0A" w:rsidP="00F47C0A">
            <w:pPr>
              <w:spacing w:after="0" w:line="240" w:lineRule="auto"/>
              <w:jc w:val="right"/>
              <w:rPr>
                <w:rFonts w:ascii="Calibri" w:eastAsia="Times New Roman" w:hAnsi="Calibri" w:cs="Calibri"/>
              </w:rPr>
            </w:pPr>
            <w:r w:rsidRPr="00F47C0A">
              <w:rPr>
                <w:rFonts w:ascii="Calibri" w:eastAsia="Times New Roman" w:hAnsi="Calibri" w:cs="Calibri"/>
              </w:rPr>
              <w:t xml:space="preserve">                                    6,420,000 </w:t>
            </w:r>
          </w:p>
        </w:tc>
      </w:tr>
      <w:tr w:rsidR="00F47C0A" w:rsidRPr="00F47C0A" w14:paraId="7D6B9EBC" w14:textId="77777777" w:rsidTr="00F47C0A">
        <w:trPr>
          <w:trHeight w:val="144"/>
        </w:trPr>
        <w:tc>
          <w:tcPr>
            <w:tcW w:w="3436" w:type="pct"/>
            <w:tcBorders>
              <w:top w:val="nil"/>
              <w:left w:val="single" w:sz="4" w:space="0" w:color="auto"/>
              <w:bottom w:val="single" w:sz="4" w:space="0" w:color="auto"/>
              <w:right w:val="single" w:sz="4" w:space="0" w:color="auto"/>
            </w:tcBorders>
            <w:shd w:val="clear" w:color="000000" w:fill="FFFFFF"/>
            <w:noWrap/>
            <w:vAlign w:val="bottom"/>
            <w:hideMark/>
          </w:tcPr>
          <w:p w14:paraId="7DC3054B" w14:textId="77777777" w:rsidR="00F47C0A" w:rsidRPr="00F47C0A" w:rsidRDefault="00F47C0A" w:rsidP="00F47C0A">
            <w:pPr>
              <w:spacing w:after="0" w:line="240" w:lineRule="auto"/>
              <w:rPr>
                <w:rFonts w:ascii="Calibri" w:eastAsia="Times New Roman" w:hAnsi="Calibri" w:cs="Calibri"/>
              </w:rPr>
            </w:pPr>
            <w:r w:rsidRPr="00F47C0A">
              <w:rPr>
                <w:rFonts w:ascii="Calibri" w:eastAsia="Times New Roman" w:hAnsi="Calibri" w:cs="Calibri"/>
              </w:rPr>
              <w:t>Higher Education Capital Projects and Planning</w:t>
            </w:r>
          </w:p>
        </w:tc>
        <w:tc>
          <w:tcPr>
            <w:tcW w:w="1564" w:type="pct"/>
            <w:tcBorders>
              <w:top w:val="nil"/>
              <w:left w:val="nil"/>
              <w:bottom w:val="single" w:sz="4" w:space="0" w:color="auto"/>
              <w:right w:val="single" w:sz="4" w:space="0" w:color="auto"/>
            </w:tcBorders>
            <w:shd w:val="clear" w:color="000000" w:fill="FFFFFF"/>
            <w:noWrap/>
            <w:vAlign w:val="bottom"/>
            <w:hideMark/>
          </w:tcPr>
          <w:p w14:paraId="3DAEFEA4" w14:textId="77777777" w:rsidR="00F47C0A" w:rsidRPr="00F47C0A" w:rsidRDefault="00F47C0A" w:rsidP="00F47C0A">
            <w:pPr>
              <w:spacing w:after="0" w:line="240" w:lineRule="auto"/>
              <w:jc w:val="right"/>
              <w:rPr>
                <w:rFonts w:ascii="Calibri" w:eastAsia="Times New Roman" w:hAnsi="Calibri" w:cs="Calibri"/>
              </w:rPr>
            </w:pPr>
            <w:r w:rsidRPr="00F47C0A">
              <w:rPr>
                <w:rFonts w:ascii="Calibri" w:eastAsia="Times New Roman" w:hAnsi="Calibri" w:cs="Calibri"/>
              </w:rPr>
              <w:t xml:space="preserve">                                  35,000,000 </w:t>
            </w:r>
          </w:p>
        </w:tc>
      </w:tr>
      <w:tr w:rsidR="00F47C0A" w:rsidRPr="00F47C0A" w14:paraId="44639C78" w14:textId="77777777" w:rsidTr="00F47C0A">
        <w:trPr>
          <w:trHeight w:val="144"/>
        </w:trPr>
        <w:tc>
          <w:tcPr>
            <w:tcW w:w="3436" w:type="pct"/>
            <w:tcBorders>
              <w:top w:val="nil"/>
              <w:left w:val="single" w:sz="4" w:space="0" w:color="auto"/>
              <w:bottom w:val="single" w:sz="4" w:space="0" w:color="auto"/>
              <w:right w:val="single" w:sz="4" w:space="0" w:color="auto"/>
            </w:tcBorders>
            <w:shd w:val="clear" w:color="E2EFDA" w:fill="FFFFFF"/>
            <w:noWrap/>
            <w:vAlign w:val="bottom"/>
            <w:hideMark/>
          </w:tcPr>
          <w:p w14:paraId="24B5853D" w14:textId="77777777" w:rsidR="00F47C0A" w:rsidRPr="00F47C0A" w:rsidRDefault="00F47C0A" w:rsidP="00F47C0A">
            <w:pPr>
              <w:spacing w:after="0" w:line="240" w:lineRule="auto"/>
              <w:rPr>
                <w:rFonts w:ascii="Calibri" w:eastAsia="Times New Roman" w:hAnsi="Calibri" w:cs="Calibri"/>
              </w:rPr>
            </w:pPr>
            <w:r w:rsidRPr="00F47C0A">
              <w:rPr>
                <w:rFonts w:ascii="Calibri" w:eastAsia="Times New Roman" w:hAnsi="Calibri" w:cs="Calibri"/>
              </w:rPr>
              <w:t>Future of Work/Document Digitization</w:t>
            </w:r>
          </w:p>
        </w:tc>
        <w:tc>
          <w:tcPr>
            <w:tcW w:w="1564" w:type="pct"/>
            <w:tcBorders>
              <w:top w:val="nil"/>
              <w:left w:val="nil"/>
              <w:bottom w:val="single" w:sz="4" w:space="0" w:color="auto"/>
              <w:right w:val="single" w:sz="4" w:space="0" w:color="auto"/>
            </w:tcBorders>
            <w:shd w:val="clear" w:color="E2EFDA" w:fill="FFFFFF"/>
            <w:noWrap/>
            <w:vAlign w:val="bottom"/>
            <w:hideMark/>
          </w:tcPr>
          <w:p w14:paraId="62C54136" w14:textId="77777777" w:rsidR="00F47C0A" w:rsidRPr="00F47C0A" w:rsidRDefault="00F47C0A" w:rsidP="00F47C0A">
            <w:pPr>
              <w:spacing w:after="0" w:line="240" w:lineRule="auto"/>
              <w:jc w:val="right"/>
              <w:rPr>
                <w:rFonts w:ascii="Calibri" w:eastAsia="Times New Roman" w:hAnsi="Calibri" w:cs="Calibri"/>
              </w:rPr>
            </w:pPr>
            <w:r w:rsidRPr="00F47C0A">
              <w:rPr>
                <w:rFonts w:ascii="Calibri" w:eastAsia="Times New Roman" w:hAnsi="Calibri" w:cs="Calibri"/>
              </w:rPr>
              <w:t xml:space="preserve">                                  30,000,000 </w:t>
            </w:r>
          </w:p>
        </w:tc>
      </w:tr>
      <w:tr w:rsidR="00F47C0A" w:rsidRPr="00F47C0A" w14:paraId="429801CE" w14:textId="77777777" w:rsidTr="00F47C0A">
        <w:trPr>
          <w:trHeight w:val="144"/>
        </w:trPr>
        <w:tc>
          <w:tcPr>
            <w:tcW w:w="3436" w:type="pct"/>
            <w:tcBorders>
              <w:top w:val="nil"/>
              <w:left w:val="single" w:sz="4" w:space="0" w:color="auto"/>
              <w:bottom w:val="single" w:sz="4" w:space="0" w:color="auto"/>
              <w:right w:val="single" w:sz="4" w:space="0" w:color="auto"/>
            </w:tcBorders>
            <w:shd w:val="clear" w:color="000000" w:fill="FFFFFF"/>
            <w:noWrap/>
            <w:vAlign w:val="bottom"/>
            <w:hideMark/>
          </w:tcPr>
          <w:p w14:paraId="3C7677FE" w14:textId="77777777" w:rsidR="00F47C0A" w:rsidRPr="00F47C0A" w:rsidRDefault="00F47C0A" w:rsidP="00F47C0A">
            <w:pPr>
              <w:spacing w:after="0" w:line="240" w:lineRule="auto"/>
              <w:rPr>
                <w:rFonts w:ascii="Calibri" w:eastAsia="Times New Roman" w:hAnsi="Calibri" w:cs="Calibri"/>
              </w:rPr>
            </w:pPr>
            <w:r w:rsidRPr="00F47C0A">
              <w:rPr>
                <w:rFonts w:ascii="Calibri" w:eastAsia="Times New Roman" w:hAnsi="Calibri" w:cs="Calibri"/>
              </w:rPr>
              <w:t>COVID Reserve</w:t>
            </w:r>
          </w:p>
        </w:tc>
        <w:tc>
          <w:tcPr>
            <w:tcW w:w="1564" w:type="pct"/>
            <w:tcBorders>
              <w:top w:val="nil"/>
              <w:left w:val="nil"/>
              <w:bottom w:val="single" w:sz="4" w:space="0" w:color="auto"/>
              <w:right w:val="single" w:sz="4" w:space="0" w:color="auto"/>
            </w:tcBorders>
            <w:shd w:val="clear" w:color="000000" w:fill="FFFFFF"/>
            <w:noWrap/>
            <w:vAlign w:val="bottom"/>
            <w:hideMark/>
          </w:tcPr>
          <w:p w14:paraId="27E6214B" w14:textId="77777777" w:rsidR="00F47C0A" w:rsidRPr="00F47C0A" w:rsidRDefault="00F47C0A" w:rsidP="00F47C0A">
            <w:pPr>
              <w:spacing w:after="0" w:line="240" w:lineRule="auto"/>
              <w:jc w:val="right"/>
              <w:rPr>
                <w:rFonts w:ascii="Calibri" w:eastAsia="Times New Roman" w:hAnsi="Calibri" w:cs="Calibri"/>
              </w:rPr>
            </w:pPr>
            <w:r w:rsidRPr="00F47C0A">
              <w:rPr>
                <w:rFonts w:ascii="Calibri" w:eastAsia="Times New Roman" w:hAnsi="Calibri" w:cs="Calibri"/>
              </w:rPr>
              <w:t xml:space="preserve">                               100,000,000 </w:t>
            </w:r>
          </w:p>
        </w:tc>
      </w:tr>
      <w:tr w:rsidR="00F47C0A" w:rsidRPr="00F47C0A" w14:paraId="643C5E8E" w14:textId="77777777" w:rsidTr="00F47C0A">
        <w:trPr>
          <w:trHeight w:val="144"/>
        </w:trPr>
        <w:tc>
          <w:tcPr>
            <w:tcW w:w="3436" w:type="pct"/>
            <w:tcBorders>
              <w:top w:val="nil"/>
              <w:left w:val="single" w:sz="4" w:space="0" w:color="auto"/>
              <w:bottom w:val="single" w:sz="4" w:space="0" w:color="auto"/>
              <w:right w:val="single" w:sz="4" w:space="0" w:color="auto"/>
            </w:tcBorders>
            <w:shd w:val="clear" w:color="E2EFDA" w:fill="FFFFFF"/>
            <w:noWrap/>
            <w:vAlign w:val="bottom"/>
            <w:hideMark/>
          </w:tcPr>
          <w:p w14:paraId="5C8A0138" w14:textId="77777777" w:rsidR="00F47C0A" w:rsidRPr="00F47C0A" w:rsidRDefault="00F47C0A" w:rsidP="00F47C0A">
            <w:pPr>
              <w:spacing w:after="0" w:line="240" w:lineRule="auto"/>
              <w:rPr>
                <w:rFonts w:ascii="Calibri" w:eastAsia="Times New Roman" w:hAnsi="Calibri" w:cs="Calibri"/>
              </w:rPr>
            </w:pPr>
            <w:r w:rsidRPr="00F47C0A">
              <w:rPr>
                <w:rFonts w:ascii="Calibri" w:eastAsia="Times New Roman" w:hAnsi="Calibri" w:cs="Calibri"/>
              </w:rPr>
              <w:t>Administrative Use</w:t>
            </w:r>
          </w:p>
        </w:tc>
        <w:tc>
          <w:tcPr>
            <w:tcW w:w="1564" w:type="pct"/>
            <w:tcBorders>
              <w:top w:val="nil"/>
              <w:left w:val="nil"/>
              <w:bottom w:val="single" w:sz="4" w:space="0" w:color="auto"/>
              <w:right w:val="single" w:sz="4" w:space="0" w:color="auto"/>
            </w:tcBorders>
            <w:shd w:val="clear" w:color="E2EFDA" w:fill="FFFFFF"/>
            <w:noWrap/>
            <w:vAlign w:val="bottom"/>
            <w:hideMark/>
          </w:tcPr>
          <w:p w14:paraId="355DA2D4" w14:textId="77777777" w:rsidR="00F47C0A" w:rsidRPr="00F47C0A" w:rsidRDefault="00F47C0A" w:rsidP="00F47C0A">
            <w:pPr>
              <w:spacing w:after="0" w:line="240" w:lineRule="auto"/>
              <w:jc w:val="right"/>
              <w:rPr>
                <w:rFonts w:ascii="Calibri" w:eastAsia="Times New Roman" w:hAnsi="Calibri" w:cs="Calibri"/>
              </w:rPr>
            </w:pPr>
            <w:r w:rsidRPr="00F47C0A">
              <w:rPr>
                <w:rFonts w:ascii="Calibri" w:eastAsia="Times New Roman" w:hAnsi="Calibri" w:cs="Calibri"/>
              </w:rPr>
              <w:t xml:space="preserve">                                  25,000,000 </w:t>
            </w:r>
          </w:p>
        </w:tc>
      </w:tr>
      <w:tr w:rsidR="00F47C0A" w:rsidRPr="00F47C0A" w14:paraId="64A5B8DB" w14:textId="77777777" w:rsidTr="00F47C0A">
        <w:trPr>
          <w:trHeight w:val="144"/>
        </w:trPr>
        <w:tc>
          <w:tcPr>
            <w:tcW w:w="3436" w:type="pct"/>
            <w:tcBorders>
              <w:top w:val="nil"/>
              <w:left w:val="single" w:sz="4" w:space="0" w:color="auto"/>
              <w:bottom w:val="single" w:sz="4" w:space="0" w:color="auto"/>
              <w:right w:val="single" w:sz="4" w:space="0" w:color="auto"/>
            </w:tcBorders>
            <w:shd w:val="clear" w:color="000000" w:fill="FFFFFF"/>
            <w:noWrap/>
            <w:vAlign w:val="bottom"/>
            <w:hideMark/>
          </w:tcPr>
          <w:p w14:paraId="7B04489F" w14:textId="77777777" w:rsidR="00F47C0A" w:rsidRPr="00F47C0A" w:rsidRDefault="00F47C0A" w:rsidP="00F47C0A">
            <w:pPr>
              <w:spacing w:after="0" w:line="240" w:lineRule="auto"/>
              <w:rPr>
                <w:rFonts w:ascii="Calibri" w:eastAsia="Times New Roman" w:hAnsi="Calibri" w:cs="Calibri"/>
              </w:rPr>
            </w:pPr>
            <w:r w:rsidRPr="00F47C0A">
              <w:rPr>
                <w:rFonts w:ascii="Calibri" w:eastAsia="Times New Roman" w:hAnsi="Calibri" w:cs="Calibri"/>
              </w:rPr>
              <w:t>Administration &amp; Finance Special Projects</w:t>
            </w:r>
          </w:p>
        </w:tc>
        <w:tc>
          <w:tcPr>
            <w:tcW w:w="1564" w:type="pct"/>
            <w:tcBorders>
              <w:top w:val="nil"/>
              <w:left w:val="nil"/>
              <w:bottom w:val="single" w:sz="4" w:space="0" w:color="auto"/>
              <w:right w:val="single" w:sz="4" w:space="0" w:color="auto"/>
            </w:tcBorders>
            <w:shd w:val="clear" w:color="000000" w:fill="FFFFFF"/>
            <w:noWrap/>
            <w:vAlign w:val="bottom"/>
            <w:hideMark/>
          </w:tcPr>
          <w:p w14:paraId="6E62F033" w14:textId="77777777" w:rsidR="00F47C0A" w:rsidRPr="00F47C0A" w:rsidRDefault="00F47C0A" w:rsidP="00F47C0A">
            <w:pPr>
              <w:spacing w:after="0" w:line="240" w:lineRule="auto"/>
              <w:jc w:val="right"/>
              <w:rPr>
                <w:rFonts w:ascii="Calibri" w:eastAsia="Times New Roman" w:hAnsi="Calibri" w:cs="Calibri"/>
              </w:rPr>
            </w:pPr>
            <w:r w:rsidRPr="00F47C0A">
              <w:rPr>
                <w:rFonts w:ascii="Calibri" w:eastAsia="Times New Roman" w:hAnsi="Calibri" w:cs="Calibri"/>
              </w:rPr>
              <w:t xml:space="preserve">                                       500,000 </w:t>
            </w:r>
          </w:p>
        </w:tc>
      </w:tr>
      <w:tr w:rsidR="00F47C0A" w:rsidRPr="00F47C0A" w14:paraId="191F59B7" w14:textId="77777777" w:rsidTr="00F47C0A">
        <w:trPr>
          <w:trHeight w:val="144"/>
        </w:trPr>
        <w:tc>
          <w:tcPr>
            <w:tcW w:w="3436" w:type="pct"/>
            <w:tcBorders>
              <w:top w:val="nil"/>
              <w:left w:val="single" w:sz="4" w:space="0" w:color="auto"/>
              <w:bottom w:val="single" w:sz="4" w:space="0" w:color="auto"/>
              <w:right w:val="single" w:sz="4" w:space="0" w:color="auto"/>
            </w:tcBorders>
            <w:shd w:val="clear" w:color="E2EFDA" w:fill="FFFFFF"/>
            <w:noWrap/>
            <w:vAlign w:val="bottom"/>
            <w:hideMark/>
          </w:tcPr>
          <w:p w14:paraId="44B18BCA" w14:textId="77777777" w:rsidR="00F47C0A" w:rsidRPr="00F47C0A" w:rsidRDefault="00F47C0A" w:rsidP="00F47C0A">
            <w:pPr>
              <w:spacing w:after="0" w:line="240" w:lineRule="auto"/>
              <w:rPr>
                <w:rFonts w:ascii="Calibri" w:eastAsia="Times New Roman" w:hAnsi="Calibri" w:cs="Calibri"/>
              </w:rPr>
            </w:pPr>
            <w:r w:rsidRPr="00F47C0A">
              <w:rPr>
                <w:rFonts w:ascii="Calibri" w:eastAsia="Times New Roman" w:hAnsi="Calibri" w:cs="Calibri"/>
              </w:rPr>
              <w:t>Local Public Workforce Training Grants</w:t>
            </w:r>
          </w:p>
        </w:tc>
        <w:tc>
          <w:tcPr>
            <w:tcW w:w="1564" w:type="pct"/>
            <w:tcBorders>
              <w:top w:val="nil"/>
              <w:left w:val="nil"/>
              <w:bottom w:val="single" w:sz="4" w:space="0" w:color="auto"/>
              <w:right w:val="single" w:sz="4" w:space="0" w:color="auto"/>
            </w:tcBorders>
            <w:shd w:val="clear" w:color="E2EFDA" w:fill="FFFFFF"/>
            <w:noWrap/>
            <w:vAlign w:val="bottom"/>
            <w:hideMark/>
          </w:tcPr>
          <w:p w14:paraId="6A4CA33D" w14:textId="77777777" w:rsidR="00F47C0A" w:rsidRPr="00F47C0A" w:rsidRDefault="00F47C0A" w:rsidP="00F47C0A">
            <w:pPr>
              <w:spacing w:after="0" w:line="240" w:lineRule="auto"/>
              <w:jc w:val="right"/>
              <w:rPr>
                <w:rFonts w:ascii="Calibri" w:eastAsia="Times New Roman" w:hAnsi="Calibri" w:cs="Calibri"/>
              </w:rPr>
            </w:pPr>
            <w:r w:rsidRPr="00F47C0A">
              <w:rPr>
                <w:rFonts w:ascii="Calibri" w:eastAsia="Times New Roman" w:hAnsi="Calibri" w:cs="Calibri"/>
              </w:rPr>
              <w:t xml:space="preserve">                                  20,000,000 </w:t>
            </w:r>
          </w:p>
        </w:tc>
      </w:tr>
      <w:tr w:rsidR="00F47C0A" w:rsidRPr="00F47C0A" w14:paraId="3442C7F5" w14:textId="77777777" w:rsidTr="00F47C0A">
        <w:trPr>
          <w:trHeight w:val="144"/>
        </w:trPr>
        <w:tc>
          <w:tcPr>
            <w:tcW w:w="3436" w:type="pct"/>
            <w:tcBorders>
              <w:top w:val="nil"/>
              <w:left w:val="single" w:sz="4" w:space="0" w:color="auto"/>
              <w:bottom w:val="single" w:sz="4" w:space="0" w:color="auto"/>
              <w:right w:val="single" w:sz="4" w:space="0" w:color="auto"/>
            </w:tcBorders>
            <w:shd w:val="clear" w:color="000000" w:fill="FFFFFF"/>
            <w:noWrap/>
            <w:vAlign w:val="bottom"/>
            <w:hideMark/>
          </w:tcPr>
          <w:p w14:paraId="62C1934D" w14:textId="77777777" w:rsidR="00F47C0A" w:rsidRPr="00F47C0A" w:rsidRDefault="00F47C0A" w:rsidP="00F47C0A">
            <w:pPr>
              <w:spacing w:after="0" w:line="240" w:lineRule="auto"/>
              <w:rPr>
                <w:rFonts w:ascii="Calibri" w:eastAsia="Times New Roman" w:hAnsi="Calibri" w:cs="Calibri"/>
              </w:rPr>
            </w:pPr>
            <w:r w:rsidRPr="00F47C0A">
              <w:rPr>
                <w:rFonts w:ascii="Calibri" w:eastAsia="Times New Roman" w:hAnsi="Calibri" w:cs="Calibri"/>
              </w:rPr>
              <w:t>Unemployment Compensation Trust Fund Transfer</w:t>
            </w:r>
          </w:p>
        </w:tc>
        <w:tc>
          <w:tcPr>
            <w:tcW w:w="1564" w:type="pct"/>
            <w:tcBorders>
              <w:top w:val="nil"/>
              <w:left w:val="nil"/>
              <w:bottom w:val="single" w:sz="4" w:space="0" w:color="auto"/>
              <w:right w:val="single" w:sz="4" w:space="0" w:color="auto"/>
            </w:tcBorders>
            <w:shd w:val="clear" w:color="000000" w:fill="FFFFFF"/>
            <w:noWrap/>
            <w:vAlign w:val="bottom"/>
            <w:hideMark/>
          </w:tcPr>
          <w:p w14:paraId="373CD84D" w14:textId="77777777" w:rsidR="00F47C0A" w:rsidRPr="00F47C0A" w:rsidRDefault="00F47C0A" w:rsidP="00F47C0A">
            <w:pPr>
              <w:spacing w:after="0" w:line="240" w:lineRule="auto"/>
              <w:jc w:val="right"/>
              <w:rPr>
                <w:rFonts w:ascii="Calibri" w:eastAsia="Times New Roman" w:hAnsi="Calibri" w:cs="Calibri"/>
              </w:rPr>
            </w:pPr>
            <w:r w:rsidRPr="00F47C0A">
              <w:rPr>
                <w:rFonts w:ascii="Calibri" w:eastAsia="Times New Roman" w:hAnsi="Calibri" w:cs="Calibri"/>
              </w:rPr>
              <w:t xml:space="preserve">                               300,000,000 </w:t>
            </w:r>
          </w:p>
        </w:tc>
      </w:tr>
      <w:tr w:rsidR="00F47C0A" w:rsidRPr="00F47C0A" w14:paraId="19A700EF" w14:textId="77777777" w:rsidTr="00F47C0A">
        <w:trPr>
          <w:trHeight w:val="144"/>
        </w:trPr>
        <w:tc>
          <w:tcPr>
            <w:tcW w:w="3436" w:type="pct"/>
            <w:tcBorders>
              <w:top w:val="nil"/>
              <w:left w:val="single" w:sz="4" w:space="0" w:color="auto"/>
              <w:bottom w:val="single" w:sz="4" w:space="0" w:color="auto"/>
              <w:right w:val="single" w:sz="4" w:space="0" w:color="auto"/>
            </w:tcBorders>
            <w:shd w:val="clear" w:color="E2EFDA" w:fill="FFFFFF"/>
            <w:noWrap/>
            <w:vAlign w:val="bottom"/>
            <w:hideMark/>
          </w:tcPr>
          <w:p w14:paraId="00FDCE83" w14:textId="77777777" w:rsidR="00F47C0A" w:rsidRPr="00F47C0A" w:rsidRDefault="00F47C0A" w:rsidP="00F47C0A">
            <w:pPr>
              <w:spacing w:after="0" w:line="240" w:lineRule="auto"/>
              <w:rPr>
                <w:rFonts w:ascii="Calibri" w:eastAsia="Times New Roman" w:hAnsi="Calibri" w:cs="Calibri"/>
                <w:b/>
                <w:bCs/>
              </w:rPr>
            </w:pPr>
            <w:r w:rsidRPr="00F47C0A">
              <w:rPr>
                <w:rFonts w:ascii="Calibri" w:eastAsia="Times New Roman" w:hAnsi="Calibri" w:cs="Calibri"/>
                <w:b/>
                <w:bCs/>
              </w:rPr>
              <w:t>Total</w:t>
            </w:r>
          </w:p>
        </w:tc>
        <w:tc>
          <w:tcPr>
            <w:tcW w:w="1564" w:type="pct"/>
            <w:tcBorders>
              <w:top w:val="nil"/>
              <w:left w:val="nil"/>
              <w:bottom w:val="single" w:sz="4" w:space="0" w:color="auto"/>
              <w:right w:val="single" w:sz="4" w:space="0" w:color="auto"/>
            </w:tcBorders>
            <w:noWrap/>
            <w:vAlign w:val="bottom"/>
            <w:hideMark/>
          </w:tcPr>
          <w:p w14:paraId="23E8162A" w14:textId="77777777" w:rsidR="00F47C0A" w:rsidRPr="00F47C0A" w:rsidRDefault="00F47C0A" w:rsidP="00F47C0A">
            <w:pPr>
              <w:spacing w:after="0" w:line="240" w:lineRule="auto"/>
              <w:jc w:val="right"/>
              <w:rPr>
                <w:rFonts w:ascii="Calibri" w:eastAsia="Times New Roman" w:hAnsi="Calibri" w:cs="Calibri"/>
                <w:b/>
                <w:bCs/>
                <w:color w:val="000000"/>
              </w:rPr>
            </w:pPr>
            <w:r w:rsidRPr="00F47C0A">
              <w:rPr>
                <w:rFonts w:ascii="Calibri" w:eastAsia="Times New Roman" w:hAnsi="Calibri" w:cs="Calibri"/>
                <w:b/>
                <w:bCs/>
                <w:color w:val="000000"/>
              </w:rPr>
              <w:t xml:space="preserve">                           2,266,156,129 </w:t>
            </w:r>
          </w:p>
        </w:tc>
      </w:tr>
    </w:tbl>
    <w:p w14:paraId="2EE65099" w14:textId="30B070FE" w:rsidR="00F96039" w:rsidRPr="00A0110C" w:rsidRDefault="00F96039" w:rsidP="00A61155">
      <w:pPr>
        <w:rPr>
          <w:rFonts w:cs="Arial"/>
        </w:rPr>
      </w:pPr>
    </w:p>
    <w:p w14:paraId="7ADA8AC7" w14:textId="5F81B7E8" w:rsidR="00B90454" w:rsidRPr="00835E26" w:rsidRDefault="00B90454" w:rsidP="000A6192">
      <w:pPr>
        <w:pStyle w:val="Heading2"/>
        <w:spacing w:after="240"/>
      </w:pPr>
      <w:bookmarkStart w:id="6" w:name="_Toc109990565"/>
      <w:r w:rsidRPr="00285473">
        <w:t xml:space="preserve">Promoting </w:t>
      </w:r>
      <w:r w:rsidR="008D7631">
        <w:t>E</w:t>
      </w:r>
      <w:r w:rsidRPr="00285473">
        <w:t xml:space="preserve">quitable </w:t>
      </w:r>
      <w:r w:rsidR="008D7631">
        <w:t>O</w:t>
      </w:r>
      <w:r w:rsidRPr="00285473">
        <w:t xml:space="preserve">utcomes </w:t>
      </w:r>
      <w:r w:rsidR="00C01F08">
        <w:t>and Community En</w:t>
      </w:r>
      <w:r w:rsidR="008D7631">
        <w:t>gagement</w:t>
      </w:r>
      <w:bookmarkEnd w:id="6"/>
      <w:r w:rsidR="008D7631">
        <w:t xml:space="preserve"> </w:t>
      </w:r>
    </w:p>
    <w:p w14:paraId="4A23B907" w14:textId="2E9325DF" w:rsidR="009C0333" w:rsidRDefault="00E30496" w:rsidP="000A506B">
      <w:pPr>
        <w:spacing w:line="276" w:lineRule="auto"/>
        <w:rPr>
          <w:rFonts w:cs="Arial"/>
        </w:rPr>
      </w:pPr>
      <w:r>
        <w:rPr>
          <w:rFonts w:cs="Arial"/>
        </w:rPr>
        <w:t>The Commonwealth</w:t>
      </w:r>
      <w:r w:rsidR="00A14B08">
        <w:rPr>
          <w:rFonts w:cs="Arial"/>
        </w:rPr>
        <w:t xml:space="preserve"> </w:t>
      </w:r>
      <w:r w:rsidR="007B1AE2">
        <w:rPr>
          <w:rFonts w:cs="Arial"/>
        </w:rPr>
        <w:t>has worked with</w:t>
      </w:r>
      <w:r>
        <w:rPr>
          <w:rFonts w:cs="Arial"/>
        </w:rPr>
        <w:t xml:space="preserve"> a range of</w:t>
      </w:r>
      <w:r w:rsidR="007B1AE2">
        <w:rPr>
          <w:rFonts w:cs="Arial"/>
        </w:rPr>
        <w:t xml:space="preserve"> stakeholders</w:t>
      </w:r>
      <w:r>
        <w:rPr>
          <w:rFonts w:cs="Arial"/>
        </w:rPr>
        <w:t xml:space="preserve"> </w:t>
      </w:r>
      <w:r w:rsidR="00B26E3F">
        <w:rPr>
          <w:rFonts w:cs="Arial"/>
        </w:rPr>
        <w:t xml:space="preserve">to propose and implement CSFRF programs that address </w:t>
      </w:r>
      <w:r w:rsidR="009857F1">
        <w:rPr>
          <w:rFonts w:cs="Arial"/>
        </w:rPr>
        <w:t xml:space="preserve">the needs of residents who have </w:t>
      </w:r>
      <w:r w:rsidR="0013490B">
        <w:rPr>
          <w:rFonts w:cs="Arial"/>
        </w:rPr>
        <w:t>been disproportionately</w:t>
      </w:r>
      <w:r w:rsidR="00B26E3F">
        <w:rPr>
          <w:rFonts w:cs="Arial"/>
        </w:rPr>
        <w:t xml:space="preserve"> affected by the COVID-19 pandemic</w:t>
      </w:r>
      <w:r w:rsidR="00E52F36">
        <w:rPr>
          <w:rFonts w:cs="Arial"/>
        </w:rPr>
        <w:t xml:space="preserve"> and </w:t>
      </w:r>
      <w:r w:rsidR="00274F3E">
        <w:rPr>
          <w:rFonts w:cs="Arial"/>
        </w:rPr>
        <w:t xml:space="preserve">to </w:t>
      </w:r>
      <w:r w:rsidR="00E52F36">
        <w:rPr>
          <w:rFonts w:cs="Arial"/>
        </w:rPr>
        <w:t xml:space="preserve">increase access to </w:t>
      </w:r>
      <w:r w:rsidR="00FD452C">
        <w:rPr>
          <w:rFonts w:cs="Arial"/>
        </w:rPr>
        <w:t>CSFRF funding.</w:t>
      </w:r>
      <w:r w:rsidR="009B7449">
        <w:rPr>
          <w:rFonts w:cs="Arial"/>
        </w:rPr>
        <w:t xml:space="preserve"> </w:t>
      </w:r>
      <w:r w:rsidR="00BF4B9D">
        <w:rPr>
          <w:rFonts w:cs="Arial"/>
        </w:rPr>
        <w:t xml:space="preserve">Prior to the passage of Chapter 102 of the Acts of 2021, </w:t>
      </w:r>
      <w:r w:rsidR="001E68B7">
        <w:rPr>
          <w:rFonts w:cs="Arial"/>
        </w:rPr>
        <w:t xml:space="preserve">additional aid to disproportionately impacted communities and the paid sick leave program </w:t>
      </w:r>
      <w:r w:rsidR="001A2184">
        <w:rPr>
          <w:rFonts w:cs="Arial"/>
        </w:rPr>
        <w:t xml:space="preserve">were </w:t>
      </w:r>
      <w:r w:rsidR="00063F0E">
        <w:rPr>
          <w:rFonts w:cs="Arial"/>
        </w:rPr>
        <w:t xml:space="preserve">created and implemented </w:t>
      </w:r>
      <w:r w:rsidR="00B402E2">
        <w:rPr>
          <w:rFonts w:cs="Arial"/>
        </w:rPr>
        <w:t xml:space="preserve">to </w:t>
      </w:r>
      <w:r w:rsidR="009310E3">
        <w:rPr>
          <w:rFonts w:cs="Arial"/>
        </w:rPr>
        <w:t xml:space="preserve">respond to the </w:t>
      </w:r>
      <w:r w:rsidR="003F5839">
        <w:rPr>
          <w:rFonts w:cs="Arial"/>
        </w:rPr>
        <w:t xml:space="preserve">disparities </w:t>
      </w:r>
      <w:r w:rsidR="00402682">
        <w:rPr>
          <w:rFonts w:cs="Arial"/>
        </w:rPr>
        <w:t>heightened</w:t>
      </w:r>
      <w:r w:rsidR="004B23C5">
        <w:rPr>
          <w:rFonts w:cs="Arial"/>
        </w:rPr>
        <w:t xml:space="preserve"> by</w:t>
      </w:r>
      <w:r w:rsidR="003F5839">
        <w:rPr>
          <w:rFonts w:cs="Arial"/>
        </w:rPr>
        <w:t xml:space="preserve"> the pandemic. </w:t>
      </w:r>
    </w:p>
    <w:p w14:paraId="727C1661" w14:textId="5C67BC2E" w:rsidR="00A14B08" w:rsidRDefault="240DEBFE" w:rsidP="000A506B">
      <w:pPr>
        <w:spacing w:line="276" w:lineRule="auto"/>
        <w:rPr>
          <w:rFonts w:cs="Arial"/>
        </w:rPr>
      </w:pPr>
      <w:r w:rsidRPr="7684FD1A">
        <w:rPr>
          <w:rFonts w:cs="Arial"/>
        </w:rPr>
        <w:t>While</w:t>
      </w:r>
      <w:r w:rsidR="2FBE44DA" w:rsidRPr="7684FD1A">
        <w:rPr>
          <w:rFonts w:cs="Arial"/>
        </w:rPr>
        <w:t xml:space="preserve"> the initial </w:t>
      </w:r>
      <w:r w:rsidR="262A7ED7" w:rsidRPr="7684FD1A">
        <w:rPr>
          <w:rFonts w:cs="Arial"/>
        </w:rPr>
        <w:t xml:space="preserve">Coronavirus Local Fiscal Recovery Fund (CLFRF) </w:t>
      </w:r>
      <w:r w:rsidR="30D86EFB" w:rsidRPr="7684FD1A">
        <w:rPr>
          <w:rFonts w:cs="Arial"/>
        </w:rPr>
        <w:t>provided</w:t>
      </w:r>
      <w:r w:rsidR="37D378AA" w:rsidRPr="7684FD1A">
        <w:rPr>
          <w:rFonts w:cs="Arial"/>
        </w:rPr>
        <w:t xml:space="preserve"> funding</w:t>
      </w:r>
      <w:r w:rsidR="30D86EFB" w:rsidRPr="7684FD1A">
        <w:rPr>
          <w:rFonts w:cs="Arial"/>
        </w:rPr>
        <w:t xml:space="preserve"> to counties, cities, and towns in Massachusetts, </w:t>
      </w:r>
      <w:r w:rsidR="1C6E89F1" w:rsidRPr="7684FD1A">
        <w:rPr>
          <w:rFonts w:cs="Arial"/>
        </w:rPr>
        <w:t xml:space="preserve">the Commonwealth allocated an additional </w:t>
      </w:r>
      <w:r w:rsidR="262A7ED7" w:rsidRPr="7684FD1A">
        <w:rPr>
          <w:rFonts w:cs="Arial"/>
        </w:rPr>
        <w:t xml:space="preserve">$109.1 million from the CSFRF to </w:t>
      </w:r>
      <w:r w:rsidR="5DCFF8E2" w:rsidRPr="7684FD1A">
        <w:rPr>
          <w:rFonts w:cs="Arial"/>
        </w:rPr>
        <w:t xml:space="preserve">four communities </w:t>
      </w:r>
      <w:r w:rsidR="6DCA188F" w:rsidRPr="7684FD1A">
        <w:rPr>
          <w:rFonts w:cs="Arial"/>
        </w:rPr>
        <w:t xml:space="preserve">that were designated </w:t>
      </w:r>
      <w:r w:rsidR="56BCA220" w:rsidRPr="7684FD1A">
        <w:rPr>
          <w:rFonts w:cs="Arial"/>
        </w:rPr>
        <w:t xml:space="preserve">as hardest hit </w:t>
      </w:r>
      <w:r w:rsidR="7026CEC0" w:rsidRPr="7684FD1A">
        <w:rPr>
          <w:rFonts w:cs="Arial"/>
        </w:rPr>
        <w:t xml:space="preserve">by the Massachusetts Department of Public Health </w:t>
      </w:r>
      <w:r w:rsidR="5DCFF8E2" w:rsidRPr="7684FD1A">
        <w:rPr>
          <w:rFonts w:cs="Arial"/>
        </w:rPr>
        <w:t>– Chelsea, Everett, Methuen, and Randolph</w:t>
      </w:r>
      <w:r w:rsidR="6DCA188F" w:rsidRPr="7684FD1A">
        <w:rPr>
          <w:rFonts w:cs="Arial"/>
        </w:rPr>
        <w:t xml:space="preserve">. </w:t>
      </w:r>
    </w:p>
    <w:p w14:paraId="4AEC8766" w14:textId="41B799ED" w:rsidR="008B38A4" w:rsidRDefault="000100DE" w:rsidP="000A506B">
      <w:pPr>
        <w:spacing w:line="276" w:lineRule="auto"/>
        <w:rPr>
          <w:rFonts w:cs="Arial"/>
        </w:rPr>
      </w:pPr>
      <w:r>
        <w:rPr>
          <w:rFonts w:cs="Arial"/>
        </w:rPr>
        <w:lastRenderedPageBreak/>
        <w:t xml:space="preserve">The Paid Sick Leave Program </w:t>
      </w:r>
      <w:r w:rsidR="00796270">
        <w:rPr>
          <w:rFonts w:cs="Arial"/>
        </w:rPr>
        <w:t>reimbursed eligible employers for the cost of providing COVID-19</w:t>
      </w:r>
      <w:r w:rsidR="00641C10">
        <w:rPr>
          <w:rFonts w:cs="Arial"/>
        </w:rPr>
        <w:t>-</w:t>
      </w:r>
      <w:r w:rsidR="00796270">
        <w:rPr>
          <w:rFonts w:cs="Arial"/>
        </w:rPr>
        <w:t xml:space="preserve">related paid sick leave for all employees that </w:t>
      </w:r>
      <w:r w:rsidR="00E17017">
        <w:rPr>
          <w:rFonts w:cs="Arial"/>
        </w:rPr>
        <w:t>needed leave time for illness, quarantine, and vaccinations</w:t>
      </w:r>
      <w:r w:rsidR="00546812">
        <w:rPr>
          <w:rFonts w:cs="Arial"/>
        </w:rPr>
        <w:t xml:space="preserve">. The Commonwealth </w:t>
      </w:r>
      <w:r w:rsidR="00126D1B">
        <w:rPr>
          <w:rFonts w:cs="Arial"/>
        </w:rPr>
        <w:t xml:space="preserve">ensured that all employees, especially those that </w:t>
      </w:r>
      <w:r w:rsidR="00493E48">
        <w:rPr>
          <w:rFonts w:cs="Arial"/>
        </w:rPr>
        <w:t>are lower-wage workers</w:t>
      </w:r>
      <w:r w:rsidR="00C7098E">
        <w:rPr>
          <w:rFonts w:cs="Arial"/>
        </w:rPr>
        <w:t xml:space="preserve">, had access to paid sick leave. The program conducted outreach to employers, employees, and healthcare providers to </w:t>
      </w:r>
      <w:r w:rsidR="00522ABF">
        <w:rPr>
          <w:rFonts w:cs="Arial"/>
        </w:rPr>
        <w:t xml:space="preserve">increase awareness of the resource being provided. </w:t>
      </w:r>
    </w:p>
    <w:p w14:paraId="2BBB8848" w14:textId="5846A0FF" w:rsidR="00376621" w:rsidRPr="00376621" w:rsidRDefault="006E4C30" w:rsidP="000A506B">
      <w:pPr>
        <w:spacing w:line="276" w:lineRule="auto"/>
        <w:rPr>
          <w:rFonts w:cs="Arial"/>
        </w:rPr>
      </w:pPr>
      <w:r>
        <w:rPr>
          <w:rFonts w:cs="Arial"/>
        </w:rPr>
        <w:t>Chapter 102 also created</w:t>
      </w:r>
      <w:r w:rsidR="00BA4A54">
        <w:rPr>
          <w:rFonts w:cs="Arial"/>
        </w:rPr>
        <w:t xml:space="preserve"> </w:t>
      </w:r>
      <w:r>
        <w:rPr>
          <w:rFonts w:cs="Arial"/>
        </w:rPr>
        <w:t>a</w:t>
      </w:r>
      <w:r w:rsidR="00BA4A54" w:rsidRPr="00376621">
        <w:rPr>
          <w:rFonts w:cs="Arial"/>
        </w:rPr>
        <w:t xml:space="preserve"> Federal Funds Equity and Accountability Review Panel</w:t>
      </w:r>
      <w:r>
        <w:rPr>
          <w:rFonts w:cs="Arial"/>
        </w:rPr>
        <w:t xml:space="preserve"> charged with</w:t>
      </w:r>
      <w:r w:rsidR="00376621" w:rsidRPr="00376621">
        <w:rPr>
          <w:rFonts w:cs="Arial"/>
        </w:rPr>
        <w:t xml:space="preserve"> tracking how the CSFRF</w:t>
      </w:r>
      <w:r w:rsidR="00E57ED6">
        <w:rPr>
          <w:rFonts w:cs="Arial"/>
        </w:rPr>
        <w:t>-supported spending is distributed</w:t>
      </w:r>
      <w:r w:rsidR="00376621" w:rsidRPr="00376621">
        <w:rPr>
          <w:rFonts w:cs="Arial"/>
        </w:rPr>
        <w:t xml:space="preserve"> throughout the Commonwealth.</w:t>
      </w:r>
      <w:r w:rsidR="00E57ED6" w:rsidRPr="00376621" w:rsidDel="00E57ED6">
        <w:rPr>
          <w:rFonts w:cs="Arial"/>
        </w:rPr>
        <w:t xml:space="preserve"> </w:t>
      </w:r>
    </w:p>
    <w:p w14:paraId="7A800C0E" w14:textId="3D94CDE7" w:rsidR="00B732E7" w:rsidRDefault="00376621" w:rsidP="000A506B">
      <w:pPr>
        <w:spacing w:line="276" w:lineRule="auto"/>
        <w:rPr>
          <w:rFonts w:cs="Arial"/>
        </w:rPr>
      </w:pPr>
      <w:bookmarkStart w:id="7" w:name="OLE_LINK2"/>
      <w:r w:rsidRPr="00376621">
        <w:rPr>
          <w:rFonts w:cs="Arial"/>
        </w:rPr>
        <w:t xml:space="preserve">The Panel is </w:t>
      </w:r>
      <w:r w:rsidR="00E57ED6">
        <w:rPr>
          <w:rFonts w:cs="Arial"/>
        </w:rPr>
        <w:t>working</w:t>
      </w:r>
      <w:r w:rsidR="00E57ED6" w:rsidRPr="00376621">
        <w:rPr>
          <w:rFonts w:cs="Arial"/>
        </w:rPr>
        <w:t xml:space="preserve"> </w:t>
      </w:r>
      <w:r w:rsidRPr="00376621">
        <w:rPr>
          <w:rFonts w:cs="Arial"/>
        </w:rPr>
        <w:t xml:space="preserve">to create a </w:t>
      </w:r>
      <w:r w:rsidR="00E57ED6">
        <w:rPr>
          <w:rFonts w:cs="Arial"/>
        </w:rPr>
        <w:t>website</w:t>
      </w:r>
      <w:r w:rsidRPr="00376621">
        <w:rPr>
          <w:rFonts w:cs="Arial"/>
        </w:rPr>
        <w:t xml:space="preserve"> to track the amount and percentage, by </w:t>
      </w:r>
      <w:r w:rsidR="00E57ED6">
        <w:rPr>
          <w:rFonts w:cs="Arial"/>
        </w:rPr>
        <w:t>policy area</w:t>
      </w:r>
      <w:r w:rsidRPr="00376621">
        <w:rPr>
          <w:rFonts w:cs="Arial"/>
        </w:rPr>
        <w:t xml:space="preserve">, </w:t>
      </w:r>
      <w:r w:rsidR="00E57ED6">
        <w:rPr>
          <w:rFonts w:cs="Arial"/>
        </w:rPr>
        <w:t>CSFRF</w:t>
      </w:r>
      <w:r w:rsidRPr="00376621">
        <w:rPr>
          <w:rFonts w:cs="Arial"/>
        </w:rPr>
        <w:t xml:space="preserve"> funds </w:t>
      </w:r>
      <w:r w:rsidR="00BC6AFC">
        <w:rPr>
          <w:rFonts w:cs="Arial"/>
        </w:rPr>
        <w:t>allocated</w:t>
      </w:r>
      <w:r w:rsidRPr="00376621">
        <w:rPr>
          <w:rFonts w:cs="Arial"/>
        </w:rPr>
        <w:t xml:space="preserve"> to </w:t>
      </w:r>
      <w:r w:rsidR="00401906">
        <w:rPr>
          <w:rFonts w:cs="Arial"/>
        </w:rPr>
        <w:t>communities that were</w:t>
      </w:r>
      <w:r w:rsidRPr="00376621">
        <w:rPr>
          <w:rFonts w:cs="Arial"/>
        </w:rPr>
        <w:t xml:space="preserve"> disproportionally impacted</w:t>
      </w:r>
      <w:r w:rsidR="00401906">
        <w:rPr>
          <w:rFonts w:cs="Arial"/>
        </w:rPr>
        <w:t xml:space="preserve"> by COVID-19</w:t>
      </w:r>
      <w:r w:rsidRPr="00376621">
        <w:rPr>
          <w:rFonts w:cs="Arial"/>
        </w:rPr>
        <w:t xml:space="preserve">, environmental justice populations or communities with a high vulnerability index, contracts and subcontracts awarded to diverse businesses, and spending by zip code. The Panel is responsible for setting allocation goals for the percentage of funds </w:t>
      </w:r>
      <w:r w:rsidR="003905A1">
        <w:rPr>
          <w:rFonts w:cs="Arial"/>
        </w:rPr>
        <w:t xml:space="preserve">distributed </w:t>
      </w:r>
      <w:r w:rsidRPr="00376621">
        <w:rPr>
          <w:rFonts w:cs="Arial"/>
        </w:rPr>
        <w:t xml:space="preserve">to disproportionately impacted communities and tracking whether the funds are reaching the allocation goals. The Panel will make recommendations for improvements on spending and data collection throughout the process. </w:t>
      </w:r>
      <w:bookmarkEnd w:id="7"/>
    </w:p>
    <w:p w14:paraId="1626E847" w14:textId="77777777" w:rsidR="00040C6C" w:rsidRPr="006122AF" w:rsidRDefault="00040C6C" w:rsidP="000A6192">
      <w:pPr>
        <w:pStyle w:val="Heading2"/>
        <w:spacing w:after="240"/>
        <w:rPr>
          <w:bCs/>
        </w:rPr>
      </w:pPr>
      <w:bookmarkStart w:id="8" w:name="_Toc109990566"/>
      <w:r w:rsidRPr="00856CAC">
        <w:t>Labor Practices</w:t>
      </w:r>
      <w:bookmarkEnd w:id="8"/>
      <w:r w:rsidRPr="00856CAC">
        <w:t xml:space="preserve"> </w:t>
      </w:r>
    </w:p>
    <w:p w14:paraId="46223E54" w14:textId="009DD289" w:rsidR="00B732E7" w:rsidRPr="002D3584" w:rsidRDefault="008500A3" w:rsidP="002D3584">
      <w:pPr>
        <w:tabs>
          <w:tab w:val="left" w:pos="7050"/>
        </w:tabs>
        <w:spacing w:before="240" w:line="276" w:lineRule="auto"/>
        <w:rPr>
          <w:rFonts w:cs="Arial"/>
          <w:i/>
          <w:iCs/>
        </w:rPr>
      </w:pPr>
      <w:r>
        <w:rPr>
          <w:rFonts w:cs="Arial"/>
        </w:rPr>
        <w:t>T</w:t>
      </w:r>
      <w:r w:rsidR="006175B5" w:rsidRPr="002928B2">
        <w:rPr>
          <w:rFonts w:cs="Arial"/>
        </w:rPr>
        <w:t xml:space="preserve">he Commonwealth of Massachusetts has not allocated </w:t>
      </w:r>
      <w:r w:rsidR="00796559">
        <w:rPr>
          <w:rFonts w:cs="Arial"/>
        </w:rPr>
        <w:t xml:space="preserve">CSFRF </w:t>
      </w:r>
      <w:r w:rsidR="006175B5" w:rsidRPr="002928B2">
        <w:rPr>
          <w:rFonts w:cs="Arial"/>
        </w:rPr>
        <w:t>to infrastructure projects</w:t>
      </w:r>
      <w:r>
        <w:rPr>
          <w:rFonts w:cs="Arial"/>
        </w:rPr>
        <w:t xml:space="preserve"> as of the date of this report</w:t>
      </w:r>
      <w:r w:rsidR="006175B5" w:rsidRPr="002928B2">
        <w:rPr>
          <w:rFonts w:cs="Arial"/>
        </w:rPr>
        <w:t xml:space="preserve">. </w:t>
      </w:r>
      <w:r w:rsidR="00D571E7" w:rsidRPr="002928B2">
        <w:rPr>
          <w:rFonts w:cs="Arial"/>
        </w:rPr>
        <w:t xml:space="preserve">As projects are planned and agreements are finalized, the Commonwealth will take steps to ensure that the labor and contract practices provide prompt, effective, and efficient delivery for high-quality infrastructure projects. </w:t>
      </w:r>
      <w:r w:rsidR="00D66A0E" w:rsidRPr="002928B2">
        <w:rPr>
          <w:rFonts w:cs="Arial"/>
        </w:rPr>
        <w:t xml:space="preserve">Furthermore, the Commonwealth will seek to utilize project labor agreements, community benefits agreements, prevailing wage requirements, and local hiring </w:t>
      </w:r>
      <w:r w:rsidR="00FA5F06" w:rsidRPr="002928B2">
        <w:rPr>
          <w:rFonts w:cs="Arial"/>
        </w:rPr>
        <w:t xml:space="preserve">in </w:t>
      </w:r>
      <w:r w:rsidR="002928B2" w:rsidRPr="002928B2">
        <w:rPr>
          <w:rFonts w:cs="Arial"/>
        </w:rPr>
        <w:t xml:space="preserve">infrastructure </w:t>
      </w:r>
      <w:r w:rsidR="00FA5F06" w:rsidRPr="002928B2">
        <w:rPr>
          <w:rFonts w:cs="Arial"/>
        </w:rPr>
        <w:t xml:space="preserve">projects. The execution of these workforce practices will be communicated in future </w:t>
      </w:r>
      <w:r w:rsidR="002928B2" w:rsidRPr="002928B2">
        <w:rPr>
          <w:rFonts w:cs="Arial"/>
        </w:rPr>
        <w:t xml:space="preserve">recovery plans submitted to the U.S. Treasury. </w:t>
      </w:r>
    </w:p>
    <w:p w14:paraId="365A9C50" w14:textId="77777777" w:rsidR="006122AF" w:rsidRDefault="00040C6C" w:rsidP="000A6192">
      <w:pPr>
        <w:pStyle w:val="Heading2"/>
        <w:spacing w:after="240"/>
      </w:pPr>
      <w:bookmarkStart w:id="9" w:name="_Toc109990567"/>
      <w:r w:rsidRPr="006122AF">
        <w:t>Use of Evidence</w:t>
      </w:r>
      <w:bookmarkEnd w:id="9"/>
      <w:r w:rsidRPr="006122AF">
        <w:t xml:space="preserve"> </w:t>
      </w:r>
    </w:p>
    <w:p w14:paraId="7DE8B3A5" w14:textId="68071D33" w:rsidR="004E4D42" w:rsidRDefault="00F31BD9" w:rsidP="00277340">
      <w:pPr>
        <w:tabs>
          <w:tab w:val="left" w:pos="7050"/>
        </w:tabs>
        <w:rPr>
          <w:rFonts w:cs="Arial"/>
          <w:iCs/>
        </w:rPr>
      </w:pPr>
      <w:r>
        <w:rPr>
          <w:rFonts w:cs="Arial"/>
          <w:iCs/>
        </w:rPr>
        <w:t>T</w:t>
      </w:r>
      <w:r w:rsidR="004E4D42" w:rsidRPr="004E4D42">
        <w:rPr>
          <w:rFonts w:cs="Arial"/>
          <w:iCs/>
        </w:rPr>
        <w:t xml:space="preserve">he Commonwealth continues to </w:t>
      </w:r>
      <w:r w:rsidR="009F3B6E">
        <w:rPr>
          <w:rFonts w:cs="Arial"/>
          <w:iCs/>
        </w:rPr>
        <w:t>leverage</w:t>
      </w:r>
      <w:r w:rsidR="004E4D42" w:rsidRPr="004E4D42">
        <w:rPr>
          <w:rFonts w:cs="Arial"/>
          <w:iCs/>
        </w:rPr>
        <w:t xml:space="preserve"> two strategic themes based on the </w:t>
      </w:r>
      <w:hyperlink r:id="rId11" w:history="1">
        <w:r w:rsidR="004E4D42" w:rsidRPr="00A75BD8">
          <w:rPr>
            <w:rStyle w:val="Hyperlink"/>
            <w:rFonts w:cs="Arial"/>
            <w:iCs/>
          </w:rPr>
          <w:t>Results for American 2020 State Standard of Excellence</w:t>
        </w:r>
      </w:hyperlink>
      <w:r w:rsidR="004E4D42">
        <w:rPr>
          <w:rFonts w:cs="Arial"/>
          <w:iCs/>
        </w:rPr>
        <w:t xml:space="preserve"> </w:t>
      </w:r>
      <w:r>
        <w:rPr>
          <w:rFonts w:cs="Arial"/>
          <w:iCs/>
        </w:rPr>
        <w:t>t</w:t>
      </w:r>
      <w:r w:rsidRPr="004E4D42">
        <w:rPr>
          <w:rFonts w:cs="Arial"/>
          <w:iCs/>
        </w:rPr>
        <w:t>o provide a framework for the use of evidence-based interventions in its Recovery Plan</w:t>
      </w:r>
      <w:r w:rsidR="005F7DE7">
        <w:rPr>
          <w:rFonts w:cs="Arial"/>
          <w:iCs/>
        </w:rPr>
        <w:t>. These themes</w:t>
      </w:r>
      <w:r w:rsidRPr="004E4D42">
        <w:rPr>
          <w:rFonts w:cs="Arial"/>
          <w:iCs/>
        </w:rPr>
        <w:t xml:space="preserve"> </w:t>
      </w:r>
      <w:r w:rsidR="004E4D42">
        <w:rPr>
          <w:rFonts w:cs="Arial"/>
          <w:iCs/>
        </w:rPr>
        <w:t>includ</w:t>
      </w:r>
      <w:r w:rsidR="005F7DE7">
        <w:rPr>
          <w:rFonts w:cs="Arial"/>
          <w:iCs/>
        </w:rPr>
        <w:t>e</w:t>
      </w:r>
      <w:r w:rsidR="004E4D42">
        <w:rPr>
          <w:rFonts w:cs="Arial"/>
          <w:iCs/>
        </w:rPr>
        <w:t xml:space="preserve">: </w:t>
      </w:r>
    </w:p>
    <w:p w14:paraId="31A73A59" w14:textId="77777777" w:rsidR="004E4D42" w:rsidRPr="004E4D42" w:rsidRDefault="004E4D42" w:rsidP="004E4D42">
      <w:pPr>
        <w:pStyle w:val="ListParagraph"/>
        <w:numPr>
          <w:ilvl w:val="0"/>
          <w:numId w:val="44"/>
        </w:numPr>
        <w:tabs>
          <w:tab w:val="left" w:pos="7050"/>
        </w:tabs>
        <w:rPr>
          <w:rFonts w:cs="Arial"/>
          <w:iCs/>
        </w:rPr>
      </w:pPr>
      <w:r w:rsidRPr="004E4D42">
        <w:rPr>
          <w:rFonts w:cs="Arial"/>
          <w:iCs/>
        </w:rPr>
        <w:t xml:space="preserve">Using project budgets to build and focus state evaluation capacity and resources on evidence-based investments </w:t>
      </w:r>
    </w:p>
    <w:p w14:paraId="5020ACB1" w14:textId="33F05EAB" w:rsidR="00405B95" w:rsidRPr="002026DE" w:rsidRDefault="004E4D42" w:rsidP="00277340">
      <w:pPr>
        <w:pStyle w:val="ListParagraph"/>
        <w:numPr>
          <w:ilvl w:val="0"/>
          <w:numId w:val="44"/>
        </w:numPr>
        <w:tabs>
          <w:tab w:val="left" w:pos="7050"/>
        </w:tabs>
        <w:rPr>
          <w:rFonts w:cs="Arial"/>
          <w:iCs/>
        </w:rPr>
      </w:pPr>
      <w:r w:rsidRPr="004E4D42">
        <w:rPr>
          <w:rFonts w:cs="Arial"/>
          <w:iCs/>
        </w:rPr>
        <w:t>Directing grant and contract spending towards interventions with evidence of effectiveness to deliver results and encourage innovation</w:t>
      </w:r>
    </w:p>
    <w:p w14:paraId="6E01ED9C" w14:textId="1A1BFD10" w:rsidR="00AC17EB" w:rsidRPr="00AC3456" w:rsidRDefault="00AC17EB" w:rsidP="00AC17EB">
      <w:pPr>
        <w:tabs>
          <w:tab w:val="left" w:pos="7050"/>
        </w:tabs>
        <w:rPr>
          <w:rFonts w:cs="Arial"/>
        </w:rPr>
      </w:pPr>
      <w:r w:rsidRPr="00AC3456">
        <w:rPr>
          <w:rFonts w:cs="Arial"/>
        </w:rPr>
        <w:t xml:space="preserve">Balancing the need for expedited implementation of Recovery Plan projects with the inherent challenges of major institutional process changes, a project budgeting process that emphasizes evidence-based investments will be integrated as much as possible into the Commonwealth’s broader systematic approach to managing results. In directing grants and contracts as part of project planning and implementation, the Commonwealth </w:t>
      </w:r>
      <w:r w:rsidR="00CB7E6F">
        <w:rPr>
          <w:rFonts w:cs="Arial"/>
        </w:rPr>
        <w:t xml:space="preserve">has looked, and will continue to look, </w:t>
      </w:r>
      <w:r w:rsidRPr="00AC3456">
        <w:rPr>
          <w:rFonts w:cs="Arial"/>
        </w:rPr>
        <w:t>for programs that could deliver services or support that is critical to achieving Recovery Plan outcomes by evaluating each program’s:</w:t>
      </w:r>
    </w:p>
    <w:p w14:paraId="3A92CCC8" w14:textId="77777777" w:rsidR="00EC17DE" w:rsidRPr="00AC3456" w:rsidRDefault="00EC17DE" w:rsidP="00AC17EB">
      <w:pPr>
        <w:pStyle w:val="ListParagraph"/>
        <w:numPr>
          <w:ilvl w:val="0"/>
          <w:numId w:val="43"/>
        </w:numPr>
        <w:tabs>
          <w:tab w:val="left" w:pos="7050"/>
        </w:tabs>
        <w:rPr>
          <w:rFonts w:cs="Arial"/>
        </w:rPr>
      </w:pPr>
      <w:r w:rsidRPr="00AC3456">
        <w:rPr>
          <w:rFonts w:cs="Arial"/>
        </w:rPr>
        <w:t>Purpose – What is provided through the program?</w:t>
      </w:r>
    </w:p>
    <w:p w14:paraId="39CFA680" w14:textId="77777777" w:rsidR="00EC17DE" w:rsidRPr="00AC3456" w:rsidRDefault="00EC17DE" w:rsidP="00AC17EB">
      <w:pPr>
        <w:pStyle w:val="ListParagraph"/>
        <w:numPr>
          <w:ilvl w:val="0"/>
          <w:numId w:val="43"/>
        </w:numPr>
        <w:tabs>
          <w:tab w:val="left" w:pos="7050"/>
        </w:tabs>
        <w:rPr>
          <w:rFonts w:cs="Arial"/>
        </w:rPr>
      </w:pPr>
      <w:r w:rsidRPr="00AC3456">
        <w:rPr>
          <w:rFonts w:cs="Arial"/>
        </w:rPr>
        <w:lastRenderedPageBreak/>
        <w:t xml:space="preserve">Target Population – To which communities will the program’s support/funds go directly? </w:t>
      </w:r>
    </w:p>
    <w:p w14:paraId="2234F7D6" w14:textId="77777777" w:rsidR="00EC17DE" w:rsidRPr="00AC3456" w:rsidRDefault="00EC17DE" w:rsidP="00AC17EB">
      <w:pPr>
        <w:pStyle w:val="ListParagraph"/>
        <w:numPr>
          <w:ilvl w:val="0"/>
          <w:numId w:val="43"/>
        </w:numPr>
        <w:tabs>
          <w:tab w:val="left" w:pos="7050"/>
        </w:tabs>
        <w:rPr>
          <w:rFonts w:cs="Arial"/>
        </w:rPr>
      </w:pPr>
      <w:r w:rsidRPr="00AC3456">
        <w:rPr>
          <w:rFonts w:cs="Arial"/>
        </w:rPr>
        <w:t>Equity Focus – Does the program specifically and intentionally focus on underserved populations?</w:t>
      </w:r>
    </w:p>
    <w:p w14:paraId="52E96675" w14:textId="77777777" w:rsidR="008B53CF" w:rsidRPr="00AC3456" w:rsidRDefault="00EC17DE" w:rsidP="00AC17EB">
      <w:pPr>
        <w:pStyle w:val="ListParagraph"/>
        <w:numPr>
          <w:ilvl w:val="0"/>
          <w:numId w:val="43"/>
        </w:numPr>
        <w:tabs>
          <w:tab w:val="left" w:pos="7050"/>
        </w:tabs>
        <w:rPr>
          <w:rFonts w:cs="Arial"/>
        </w:rPr>
      </w:pPr>
      <w:r w:rsidRPr="00AC3456">
        <w:rPr>
          <w:rFonts w:cs="Arial"/>
        </w:rPr>
        <w:t xml:space="preserve">Potential Evidence Base – What program outputs are measured? What is the program’s intended outcome, and is it measured? </w:t>
      </w:r>
    </w:p>
    <w:p w14:paraId="42555EFE" w14:textId="17970550" w:rsidR="00044222" w:rsidRDefault="00002E72" w:rsidP="008B53CF">
      <w:pPr>
        <w:tabs>
          <w:tab w:val="left" w:pos="7050"/>
        </w:tabs>
        <w:rPr>
          <w:rFonts w:cs="Arial"/>
        </w:rPr>
      </w:pPr>
      <w:r w:rsidRPr="00AC3456">
        <w:rPr>
          <w:rFonts w:cs="Arial"/>
        </w:rPr>
        <w:t>The Commonwealth</w:t>
      </w:r>
      <w:r w:rsidR="00044222">
        <w:rPr>
          <w:rFonts w:cs="Arial"/>
        </w:rPr>
        <w:t xml:space="preserve">’s allocation of </w:t>
      </w:r>
      <w:r w:rsidR="00FC4421">
        <w:rPr>
          <w:rFonts w:cs="Arial"/>
        </w:rPr>
        <w:t>CS</w:t>
      </w:r>
      <w:r w:rsidR="008510E4">
        <w:rPr>
          <w:rFonts w:cs="Arial"/>
        </w:rPr>
        <w:t xml:space="preserve">FRF to the four disproportionately impacted </w:t>
      </w:r>
      <w:r w:rsidR="00044222">
        <w:rPr>
          <w:rFonts w:cs="Arial"/>
        </w:rPr>
        <w:t xml:space="preserve">“hardest hit” </w:t>
      </w:r>
      <w:r w:rsidR="008510E4">
        <w:rPr>
          <w:rFonts w:cs="Arial"/>
        </w:rPr>
        <w:t>communities</w:t>
      </w:r>
      <w:r w:rsidR="003B44E2">
        <w:rPr>
          <w:rFonts w:cs="Arial"/>
        </w:rPr>
        <w:t xml:space="preserve"> and the VaxMillions giveaway</w:t>
      </w:r>
      <w:r w:rsidR="00044222">
        <w:rPr>
          <w:rFonts w:cs="Arial"/>
        </w:rPr>
        <w:t xml:space="preserve"> demonstrate this framework</w:t>
      </w:r>
      <w:r w:rsidR="003B44E2">
        <w:rPr>
          <w:rFonts w:cs="Arial"/>
        </w:rPr>
        <w:t xml:space="preserve">. The allocation of </w:t>
      </w:r>
      <w:r w:rsidR="00FC4421">
        <w:rPr>
          <w:rFonts w:cs="Arial"/>
        </w:rPr>
        <w:t>CS</w:t>
      </w:r>
      <w:r w:rsidR="003B44E2">
        <w:rPr>
          <w:rFonts w:cs="Arial"/>
        </w:rPr>
        <w:t>FRF to Chelsea, Everett, Methuen and Randolph</w:t>
      </w:r>
      <w:r w:rsidR="00044222">
        <w:rPr>
          <w:rFonts w:cs="Arial"/>
        </w:rPr>
        <w:t xml:space="preserve"> was intended to support communities that were </w:t>
      </w:r>
      <w:r w:rsidR="00937BA4">
        <w:rPr>
          <w:rFonts w:cs="Arial"/>
        </w:rPr>
        <w:t>disproportionately</w:t>
      </w:r>
      <w:r w:rsidR="00044222">
        <w:rPr>
          <w:rFonts w:cs="Arial"/>
        </w:rPr>
        <w:t xml:space="preserve"> impacted by the COVID-19 pandemic</w:t>
      </w:r>
      <w:r w:rsidR="00332BD5">
        <w:rPr>
          <w:rFonts w:cs="Arial"/>
        </w:rPr>
        <w:t xml:space="preserve"> and populations that were deemed by the Treasury to be disproportionately impacted. </w:t>
      </w:r>
      <w:r w:rsidR="007E20F2">
        <w:rPr>
          <w:rFonts w:cs="Arial"/>
        </w:rPr>
        <w:t xml:space="preserve">As a result, the funds are being deployed with a focus on equity – to ensure that </w:t>
      </w:r>
      <w:r w:rsidR="006C69BA">
        <w:rPr>
          <w:rFonts w:cs="Arial"/>
        </w:rPr>
        <w:t>the Commonwealth’s hardest-hit constituents are receiving the support they need as these communities respond to and recover from COVID-19.</w:t>
      </w:r>
      <w:r w:rsidR="00605E1E">
        <w:rPr>
          <w:rFonts w:cs="Arial"/>
        </w:rPr>
        <w:t xml:space="preserve"> The outputs of this program will be measured through the required reports that these communities are responsible for as subrecipients of the Commonwealth. </w:t>
      </w:r>
      <w:r w:rsidR="00504F88">
        <w:rPr>
          <w:rFonts w:cs="Arial"/>
        </w:rPr>
        <w:t xml:space="preserve">Additionally, as the Commonwealth’s </w:t>
      </w:r>
      <w:r w:rsidR="0054307F">
        <w:rPr>
          <w:rFonts w:cs="Arial"/>
        </w:rPr>
        <w:t xml:space="preserve">Equity Panel continues to build out its target allocation </w:t>
      </w:r>
      <w:r w:rsidR="00F84A16" w:rsidRPr="00376621">
        <w:rPr>
          <w:rFonts w:cs="Arial"/>
        </w:rPr>
        <w:t xml:space="preserve">goals for the percentage of funds allocated to disproportionately impacted communities and </w:t>
      </w:r>
      <w:r w:rsidR="00504F88">
        <w:rPr>
          <w:rFonts w:cs="Arial"/>
        </w:rPr>
        <w:t>continue</w:t>
      </w:r>
      <w:r w:rsidR="006476B7">
        <w:rPr>
          <w:rFonts w:cs="Arial"/>
        </w:rPr>
        <w:t>s</w:t>
      </w:r>
      <w:r w:rsidR="00504F88">
        <w:rPr>
          <w:rFonts w:cs="Arial"/>
        </w:rPr>
        <w:t xml:space="preserve"> t</w:t>
      </w:r>
      <w:r w:rsidR="00F84A16" w:rsidRPr="00376621">
        <w:rPr>
          <w:rFonts w:cs="Arial"/>
        </w:rPr>
        <w:t>racking whether the funds are reaching the allocation goals</w:t>
      </w:r>
      <w:r w:rsidR="00F84A16">
        <w:rPr>
          <w:rFonts w:cs="Arial"/>
        </w:rPr>
        <w:t xml:space="preserve">, the output of </w:t>
      </w:r>
      <w:r w:rsidR="00504F88">
        <w:rPr>
          <w:rFonts w:cs="Arial"/>
        </w:rPr>
        <w:t>this</w:t>
      </w:r>
      <w:r w:rsidR="00F84A16">
        <w:rPr>
          <w:rFonts w:cs="Arial"/>
        </w:rPr>
        <w:t xml:space="preserve"> funding will be measurable</w:t>
      </w:r>
      <w:r w:rsidR="00504F88">
        <w:rPr>
          <w:rFonts w:cs="Arial"/>
        </w:rPr>
        <w:t xml:space="preserve">. </w:t>
      </w:r>
    </w:p>
    <w:p w14:paraId="524334EE" w14:textId="7CFEB7D2" w:rsidR="00307BC2" w:rsidRDefault="00CE46CD" w:rsidP="008B53CF">
      <w:pPr>
        <w:tabs>
          <w:tab w:val="left" w:pos="7050"/>
        </w:tabs>
        <w:rPr>
          <w:rFonts w:cs="Arial"/>
        </w:rPr>
      </w:pPr>
      <w:r>
        <w:rPr>
          <w:rFonts w:cs="Arial"/>
        </w:rPr>
        <w:t>Furthermore, t</w:t>
      </w:r>
      <w:r w:rsidR="003B44E2">
        <w:rPr>
          <w:rFonts w:cs="Arial"/>
        </w:rPr>
        <w:t xml:space="preserve">he Commonwealth’s allocation of </w:t>
      </w:r>
      <w:r w:rsidR="00FC4421">
        <w:rPr>
          <w:rFonts w:cs="Arial"/>
        </w:rPr>
        <w:t>CS</w:t>
      </w:r>
      <w:r w:rsidR="003B44E2">
        <w:rPr>
          <w:rFonts w:cs="Arial"/>
        </w:rPr>
        <w:t xml:space="preserve">FRF to the VaxMillions </w:t>
      </w:r>
      <w:r w:rsidR="00FA6403">
        <w:rPr>
          <w:rFonts w:cs="Arial"/>
        </w:rPr>
        <w:t xml:space="preserve">demonstrates the framework as the program was designed to encourage vaccination </w:t>
      </w:r>
      <w:r>
        <w:rPr>
          <w:rFonts w:cs="Arial"/>
        </w:rPr>
        <w:t>for</w:t>
      </w:r>
      <w:r w:rsidR="00FA6403">
        <w:rPr>
          <w:rFonts w:cs="Arial"/>
        </w:rPr>
        <w:t xml:space="preserve"> vaccine-hesitant populations that had been disproportionately impacted by the pandemic. The </w:t>
      </w:r>
      <w:r w:rsidR="00DF5793">
        <w:rPr>
          <w:rFonts w:cs="Arial"/>
        </w:rPr>
        <w:t xml:space="preserve">goal of the program is to increase the number of vaccinated individuals </w:t>
      </w:r>
      <w:r w:rsidR="00EB52A8">
        <w:rPr>
          <w:rFonts w:cs="Arial"/>
        </w:rPr>
        <w:t>in</w:t>
      </w:r>
      <w:r w:rsidR="00DF5793">
        <w:rPr>
          <w:rFonts w:cs="Arial"/>
        </w:rPr>
        <w:t xml:space="preserve"> the Commonwealth and is measured by the number of vaccine doses </w:t>
      </w:r>
      <w:r w:rsidR="00D41F91">
        <w:rPr>
          <w:rFonts w:cs="Arial"/>
        </w:rPr>
        <w:t xml:space="preserve">administered. This data is publicly available and based on the </w:t>
      </w:r>
      <w:r w:rsidR="000636EF" w:rsidRPr="00E95113">
        <w:rPr>
          <w:rFonts w:cs="Arial"/>
        </w:rPr>
        <w:t>534,202 vaccine doses administered</w:t>
      </w:r>
      <w:r w:rsidR="000636EF">
        <w:rPr>
          <w:rFonts w:cs="Arial"/>
        </w:rPr>
        <w:t xml:space="preserve"> over the course of the program, </w:t>
      </w:r>
      <w:r w:rsidR="00D41F91">
        <w:rPr>
          <w:rFonts w:cs="Arial"/>
        </w:rPr>
        <w:t xml:space="preserve">the goal of the program was achieved. </w:t>
      </w:r>
      <w:r w:rsidR="00FA6403">
        <w:rPr>
          <w:rFonts w:cs="Arial"/>
        </w:rPr>
        <w:t xml:space="preserve"> </w:t>
      </w:r>
    </w:p>
    <w:p w14:paraId="0485BA0D" w14:textId="7FC7D649" w:rsidR="00D02AA3" w:rsidRDefault="00EC17DE" w:rsidP="00294E64">
      <w:pPr>
        <w:tabs>
          <w:tab w:val="left" w:pos="7050"/>
        </w:tabs>
        <w:rPr>
          <w:rFonts w:cs="Arial"/>
        </w:rPr>
      </w:pPr>
      <w:r w:rsidRPr="00AC3456">
        <w:rPr>
          <w:rFonts w:cs="Arial"/>
        </w:rPr>
        <w:t xml:space="preserve">A detailed description of the Commonwealth’s </w:t>
      </w:r>
      <w:r w:rsidR="001F2BE4">
        <w:rPr>
          <w:rFonts w:cs="Arial"/>
        </w:rPr>
        <w:t xml:space="preserve">initial </w:t>
      </w:r>
      <w:r w:rsidRPr="00AC3456">
        <w:rPr>
          <w:rFonts w:cs="Arial"/>
        </w:rPr>
        <w:t>framework for use of evidence-based interventions is presented in Appendix I.</w:t>
      </w:r>
    </w:p>
    <w:p w14:paraId="6333DEE6" w14:textId="530561EB" w:rsidR="00294E64" w:rsidRPr="00294E64" w:rsidRDefault="00E94CC1" w:rsidP="00E94CC1">
      <w:pPr>
        <w:rPr>
          <w:rFonts w:cs="Arial"/>
        </w:rPr>
      </w:pPr>
      <w:r>
        <w:rPr>
          <w:rFonts w:cs="Arial"/>
        </w:rPr>
        <w:br w:type="page"/>
      </w:r>
    </w:p>
    <w:p w14:paraId="4F46A42E" w14:textId="5D1E96E6" w:rsidR="00195853" w:rsidRPr="00807051" w:rsidRDefault="0068053D" w:rsidP="000A6192">
      <w:pPr>
        <w:pStyle w:val="Heading1"/>
        <w:spacing w:after="240"/>
      </w:pPr>
      <w:bookmarkStart w:id="10" w:name="_Toc109990568"/>
      <w:r w:rsidRPr="00807051">
        <w:lastRenderedPageBreak/>
        <w:t>P</w:t>
      </w:r>
      <w:r w:rsidR="00723C66">
        <w:t>roject Inventory</w:t>
      </w:r>
      <w:bookmarkEnd w:id="10"/>
    </w:p>
    <w:p w14:paraId="784D7E00" w14:textId="63BCEE03" w:rsidR="005964DA" w:rsidRPr="005964DA" w:rsidRDefault="005964DA" w:rsidP="00CC3763">
      <w:pPr>
        <w:spacing w:after="0"/>
        <w:rPr>
          <w:rFonts w:cs="Arial"/>
          <w:b/>
          <w:sz w:val="24"/>
          <w:szCs w:val="24"/>
        </w:rPr>
      </w:pPr>
      <w:r w:rsidRPr="00F7115F">
        <w:rPr>
          <w:rFonts w:cs="Arial"/>
          <w:b/>
          <w:sz w:val="24"/>
          <w:szCs w:val="24"/>
        </w:rPr>
        <w:t>Essential Employee Fund</w:t>
      </w:r>
    </w:p>
    <w:p w14:paraId="4FE7CB39" w14:textId="493C0689" w:rsidR="005964DA" w:rsidRPr="005964DA" w:rsidRDefault="005964DA" w:rsidP="00CC3763">
      <w:pPr>
        <w:spacing w:after="0"/>
        <w:rPr>
          <w:rFonts w:cs="Arial"/>
          <w:b/>
          <w:sz w:val="24"/>
          <w:szCs w:val="24"/>
        </w:rPr>
      </w:pPr>
      <w:r w:rsidRPr="005964DA">
        <w:rPr>
          <w:rFonts w:cs="Arial"/>
          <w:b/>
          <w:sz w:val="24"/>
          <w:szCs w:val="24"/>
        </w:rPr>
        <w:t xml:space="preserve">Project Identification Number: </w:t>
      </w:r>
      <w:r w:rsidR="00975853" w:rsidRPr="00F7115F">
        <w:rPr>
          <w:rFonts w:cs="Arial"/>
          <w:b/>
          <w:sz w:val="24"/>
          <w:szCs w:val="24"/>
        </w:rPr>
        <w:t>E</w:t>
      </w:r>
      <w:r w:rsidR="00CF750D">
        <w:rPr>
          <w:rFonts w:cs="Arial"/>
          <w:b/>
          <w:sz w:val="24"/>
          <w:szCs w:val="24"/>
        </w:rPr>
        <w:t>E</w:t>
      </w:r>
      <w:r w:rsidR="00975853" w:rsidRPr="00F7115F">
        <w:rPr>
          <w:rFonts w:cs="Arial"/>
          <w:b/>
          <w:sz w:val="24"/>
          <w:szCs w:val="24"/>
        </w:rPr>
        <w:t>SEMPL</w:t>
      </w:r>
      <w:r w:rsidR="00357660" w:rsidRPr="00F7115F">
        <w:rPr>
          <w:rFonts w:cs="Arial"/>
          <w:b/>
          <w:sz w:val="24"/>
          <w:szCs w:val="24"/>
        </w:rPr>
        <w:t>PAY</w:t>
      </w:r>
    </w:p>
    <w:p w14:paraId="0A6C220D" w14:textId="66DF1462" w:rsidR="005964DA" w:rsidRPr="005964DA" w:rsidRDefault="005964DA" w:rsidP="00CC3763">
      <w:pPr>
        <w:spacing w:after="0"/>
        <w:rPr>
          <w:rFonts w:cs="Arial"/>
          <w:b/>
          <w:sz w:val="24"/>
          <w:szCs w:val="24"/>
        </w:rPr>
      </w:pPr>
      <w:r w:rsidRPr="005964DA">
        <w:rPr>
          <w:rFonts w:cs="Arial"/>
          <w:b/>
          <w:sz w:val="24"/>
          <w:szCs w:val="24"/>
        </w:rPr>
        <w:t xml:space="preserve">Funding amount: </w:t>
      </w:r>
      <w:r w:rsidR="00444BE1" w:rsidRPr="00F7115F">
        <w:rPr>
          <w:rFonts w:cs="Arial"/>
          <w:b/>
          <w:sz w:val="24"/>
          <w:szCs w:val="24"/>
        </w:rPr>
        <w:t>$460,000,000</w:t>
      </w:r>
    </w:p>
    <w:p w14:paraId="3CFBF914" w14:textId="7934DD67" w:rsidR="00CC3763" w:rsidRDefault="005964DA" w:rsidP="003D0CA5">
      <w:pPr>
        <w:spacing w:after="0"/>
        <w:rPr>
          <w:rFonts w:cs="Arial"/>
          <w:b/>
          <w:sz w:val="24"/>
          <w:szCs w:val="24"/>
        </w:rPr>
      </w:pPr>
      <w:r w:rsidRPr="005964DA">
        <w:rPr>
          <w:rFonts w:cs="Arial"/>
          <w:b/>
          <w:sz w:val="24"/>
          <w:szCs w:val="24"/>
        </w:rPr>
        <w:t xml:space="preserve">Project Expenditure Category: </w:t>
      </w:r>
      <w:r w:rsidR="00444BE1" w:rsidRPr="00F7115F">
        <w:rPr>
          <w:rFonts w:cs="Arial"/>
          <w:b/>
          <w:sz w:val="24"/>
          <w:szCs w:val="24"/>
        </w:rPr>
        <w:t>2-Negative Economic Impacts</w:t>
      </w:r>
    </w:p>
    <w:p w14:paraId="3F72B68B" w14:textId="77777777" w:rsidR="003D0CA5" w:rsidRPr="003D0CA5" w:rsidRDefault="003D0CA5" w:rsidP="003D0CA5">
      <w:pPr>
        <w:spacing w:after="0"/>
        <w:rPr>
          <w:rFonts w:cs="Arial"/>
          <w:b/>
          <w:sz w:val="24"/>
          <w:szCs w:val="24"/>
        </w:rPr>
      </w:pPr>
    </w:p>
    <w:p w14:paraId="01F59732" w14:textId="02F99CAB" w:rsidR="00360D95" w:rsidRPr="005964DA" w:rsidRDefault="005964DA" w:rsidP="005964DA">
      <w:pPr>
        <w:rPr>
          <w:rFonts w:cs="Arial"/>
          <w:color w:val="44546A" w:themeColor="text2"/>
        </w:rPr>
      </w:pPr>
      <w:r w:rsidRPr="005964DA">
        <w:rPr>
          <w:rFonts w:cs="Arial"/>
          <w:color w:val="44546A" w:themeColor="text2"/>
        </w:rPr>
        <w:t>Project Overview</w:t>
      </w:r>
    </w:p>
    <w:p w14:paraId="5A225BA3" w14:textId="77777777" w:rsidR="00157FE7" w:rsidRPr="00157FE7" w:rsidRDefault="00157FE7" w:rsidP="00157FE7">
      <w:pPr>
        <w:rPr>
          <w:rFonts w:cs="Arial"/>
        </w:rPr>
      </w:pPr>
      <w:r w:rsidRPr="00157FE7">
        <w:rPr>
          <w:rFonts w:cs="Arial"/>
        </w:rPr>
        <w:t xml:space="preserve">The Commonwealth has allocated $460 million for the COVID-19 Essential Employee Premium Pay Fund which will provide payments to 500,000 lower-wage frontline workers. The essential worker program will be implemented in three rounds. </w:t>
      </w:r>
    </w:p>
    <w:p w14:paraId="732255C0" w14:textId="332829FD" w:rsidR="00157FE7" w:rsidRPr="00157FE7" w:rsidRDefault="00157FE7" w:rsidP="00157FE7">
      <w:pPr>
        <w:rPr>
          <w:rFonts w:cs="Arial"/>
        </w:rPr>
      </w:pPr>
      <w:r w:rsidRPr="00157FE7">
        <w:rPr>
          <w:rFonts w:cs="Arial"/>
        </w:rPr>
        <w:t xml:space="preserve">The first round of $500 payments was determined </w:t>
      </w:r>
      <w:r w:rsidRPr="00157FE7" w:rsidDel="005F08FE">
        <w:rPr>
          <w:rFonts w:cs="Arial"/>
        </w:rPr>
        <w:t xml:space="preserve">by using </w:t>
      </w:r>
      <w:r w:rsidRPr="00157FE7">
        <w:rPr>
          <w:rFonts w:cs="Arial"/>
        </w:rPr>
        <w:t xml:space="preserve">the following parameters: recipient must have filed a 2020 Massachusetts tax return; been a Massachusetts resident in 2020 or lived in Massachusetts between March 10 and December 31 in 2020; earned income of at least $12,750 in 2020; and had a total household income at or below 300% of the federal poverty level in 2020. Additionally, a recipient could not have received unemployment compensation in 2020. The first round of payments was announced on February 8, </w:t>
      </w:r>
      <w:r w:rsidRPr="00157FE7" w:rsidDel="001B409B">
        <w:rPr>
          <w:rFonts w:cs="Arial"/>
        </w:rPr>
        <w:t>2022</w:t>
      </w:r>
      <w:r w:rsidR="00307B50">
        <w:rPr>
          <w:rFonts w:cs="Arial"/>
        </w:rPr>
        <w:t>,</w:t>
      </w:r>
      <w:r w:rsidRPr="00157FE7" w:rsidDel="001B409B">
        <w:rPr>
          <w:rFonts w:cs="Arial"/>
        </w:rPr>
        <w:t xml:space="preserve"> </w:t>
      </w:r>
      <w:r w:rsidRPr="00157FE7">
        <w:rPr>
          <w:rFonts w:cs="Arial"/>
        </w:rPr>
        <w:t xml:space="preserve">and </w:t>
      </w:r>
      <w:r w:rsidR="00307B50">
        <w:rPr>
          <w:rFonts w:cs="Arial"/>
        </w:rPr>
        <w:t>payments were</w:t>
      </w:r>
      <w:r w:rsidR="00307B50" w:rsidRPr="00157FE7">
        <w:rPr>
          <w:rFonts w:cs="Arial"/>
        </w:rPr>
        <w:t xml:space="preserve"> </w:t>
      </w:r>
      <w:r w:rsidRPr="00157FE7">
        <w:rPr>
          <w:rFonts w:cs="Arial"/>
        </w:rPr>
        <w:t>distributed to recipients by the end of March</w:t>
      </w:r>
      <w:r w:rsidR="00B242F9">
        <w:rPr>
          <w:rFonts w:cs="Arial"/>
        </w:rPr>
        <w:t xml:space="preserve"> 2022. </w:t>
      </w:r>
    </w:p>
    <w:p w14:paraId="0740A947" w14:textId="6D737E41" w:rsidR="00157FE7" w:rsidRPr="00157FE7" w:rsidRDefault="00B242F9" w:rsidP="00157FE7">
      <w:pPr>
        <w:rPr>
          <w:rFonts w:cs="Arial"/>
        </w:rPr>
      </w:pPr>
      <w:r>
        <w:rPr>
          <w:rFonts w:cs="Arial"/>
        </w:rPr>
        <w:t xml:space="preserve">Eligibility for the </w:t>
      </w:r>
      <w:r w:rsidR="00157FE7" w:rsidRPr="00157FE7">
        <w:rPr>
          <w:rFonts w:cs="Arial"/>
        </w:rPr>
        <w:t xml:space="preserve">second round of $500 payments was determined </w:t>
      </w:r>
      <w:r>
        <w:rPr>
          <w:rFonts w:cs="Arial"/>
        </w:rPr>
        <w:t>by</w:t>
      </w:r>
      <w:r w:rsidR="00157FE7" w:rsidRPr="00157FE7">
        <w:rPr>
          <w:rFonts w:cs="Arial"/>
        </w:rPr>
        <w:t xml:space="preserve"> the following parameters: recipients must have filed a 2021 tax return; been a resident on or before June 15, 2021, or a part year resident that lived in Massachusetts between January 1 and June 15 in 2021; earned an income of at least $13,500 in 2021; and had a total household income at or below 300% of the federal poverty level in 2021.</w:t>
      </w:r>
      <w:r w:rsidR="00B4005A">
        <w:rPr>
          <w:rFonts w:cs="Arial"/>
        </w:rPr>
        <w:t xml:space="preserve"> </w:t>
      </w:r>
      <w:r w:rsidR="00157FE7" w:rsidRPr="00157FE7">
        <w:rPr>
          <w:rFonts w:cs="Arial"/>
        </w:rPr>
        <w:t>The second round of payments was announced on May 19, 2022</w:t>
      </w:r>
      <w:r>
        <w:rPr>
          <w:rFonts w:cs="Arial"/>
        </w:rPr>
        <w:t>,</w:t>
      </w:r>
      <w:r w:rsidR="00157FE7" w:rsidRPr="00157FE7">
        <w:rPr>
          <w:rFonts w:cs="Arial"/>
        </w:rPr>
        <w:t xml:space="preserve"> and </w:t>
      </w:r>
      <w:r>
        <w:rPr>
          <w:rFonts w:cs="Arial"/>
        </w:rPr>
        <w:t xml:space="preserve">payments </w:t>
      </w:r>
      <w:r w:rsidR="00157FE7" w:rsidRPr="00157FE7">
        <w:rPr>
          <w:rFonts w:cs="Arial"/>
        </w:rPr>
        <w:t>were distributed to recipients in June</w:t>
      </w:r>
      <w:r>
        <w:rPr>
          <w:rFonts w:cs="Arial"/>
        </w:rPr>
        <w:t xml:space="preserve"> 2022</w:t>
      </w:r>
      <w:r w:rsidR="00157FE7" w:rsidRPr="00157FE7">
        <w:rPr>
          <w:rFonts w:cs="Arial"/>
        </w:rPr>
        <w:t xml:space="preserve">. </w:t>
      </w:r>
    </w:p>
    <w:p w14:paraId="56AACC74" w14:textId="02BF84A5" w:rsidR="00157FE7" w:rsidRPr="00157FE7" w:rsidRDefault="00157FE7" w:rsidP="00157FE7">
      <w:pPr>
        <w:rPr>
          <w:rFonts w:cs="Arial"/>
        </w:rPr>
      </w:pPr>
      <w:r w:rsidRPr="00157FE7">
        <w:rPr>
          <w:rFonts w:cs="Arial"/>
        </w:rPr>
        <w:t xml:space="preserve">Additional information on plans to disburse funds remaining after June </w:t>
      </w:r>
      <w:r w:rsidR="00B242F9">
        <w:rPr>
          <w:rFonts w:cs="Arial"/>
        </w:rPr>
        <w:t xml:space="preserve">2022 </w:t>
      </w:r>
      <w:r w:rsidRPr="00157FE7">
        <w:rPr>
          <w:rFonts w:cs="Arial"/>
        </w:rPr>
        <w:t>will be announced later this year</w:t>
      </w:r>
      <w:r w:rsidR="00B242F9">
        <w:rPr>
          <w:rFonts w:cs="Arial"/>
        </w:rPr>
        <w:t xml:space="preserve">. </w:t>
      </w:r>
      <w:r w:rsidRPr="00157FE7">
        <w:rPr>
          <w:rFonts w:cs="Arial"/>
        </w:rPr>
        <w:t xml:space="preserve"> </w:t>
      </w:r>
    </w:p>
    <w:p w14:paraId="2E001C29" w14:textId="0440EC82" w:rsidR="005964DA" w:rsidRPr="005964DA" w:rsidRDefault="005964DA" w:rsidP="005964DA">
      <w:pPr>
        <w:rPr>
          <w:rFonts w:cs="Arial"/>
          <w:color w:val="44546A" w:themeColor="text2"/>
        </w:rPr>
      </w:pPr>
      <w:r w:rsidRPr="005964DA">
        <w:rPr>
          <w:rFonts w:cs="Arial"/>
          <w:color w:val="44546A" w:themeColor="text2"/>
        </w:rPr>
        <w:t>Performance Report</w:t>
      </w:r>
    </w:p>
    <w:p w14:paraId="2C37BF25" w14:textId="47EE6BFA" w:rsidR="003D0CA5" w:rsidRPr="003D0CA5" w:rsidRDefault="004806A5" w:rsidP="003D0CA5">
      <w:pPr>
        <w:rPr>
          <w:rFonts w:cs="Arial"/>
        </w:rPr>
      </w:pPr>
      <w:r w:rsidRPr="004806A5">
        <w:rPr>
          <w:rFonts w:cs="Arial"/>
        </w:rPr>
        <w:t xml:space="preserve">The Department of Revenue reported that 750,867 households have received Essential Employee Premium Pay payments in rounds one and two of the </w:t>
      </w:r>
      <w:r w:rsidR="00CA3C07" w:rsidRPr="004806A5">
        <w:rPr>
          <w:rFonts w:cs="Arial"/>
        </w:rPr>
        <w:t>program.</w:t>
      </w:r>
      <w:r w:rsidR="00CA3C07">
        <w:rPr>
          <w:rFonts w:cs="Arial"/>
        </w:rPr>
        <w:t xml:space="preserve"> </w:t>
      </w:r>
      <w:r w:rsidR="00CA3C07" w:rsidRPr="004806A5">
        <w:rPr>
          <w:rFonts w:cs="Arial"/>
        </w:rPr>
        <w:t>To</w:t>
      </w:r>
      <w:r w:rsidRPr="004806A5">
        <w:rPr>
          <w:rFonts w:cs="Arial"/>
        </w:rPr>
        <w:t xml:space="preserve"> determine the number of households that received payments, the Department of Revenue defined household by tax return status</w:t>
      </w:r>
      <w:r w:rsidRPr="005A6D35">
        <w:rPr>
          <w:rFonts w:cs="Arial"/>
        </w:rPr>
        <w:t>. $</w:t>
      </w:r>
      <w:r w:rsidR="000A2E13">
        <w:rPr>
          <w:rFonts w:cs="Arial"/>
        </w:rPr>
        <w:t>386</w:t>
      </w:r>
      <w:r w:rsidR="0005619A">
        <w:rPr>
          <w:rFonts w:cs="Arial"/>
        </w:rPr>
        <w:t xml:space="preserve">,287,500 </w:t>
      </w:r>
      <w:r w:rsidR="005A6D35">
        <w:rPr>
          <w:rFonts w:cs="Arial"/>
        </w:rPr>
        <w:t>has</w:t>
      </w:r>
      <w:r w:rsidRPr="004806A5">
        <w:rPr>
          <w:rFonts w:cs="Arial"/>
        </w:rPr>
        <w:t xml:space="preserve"> been allocated for the first two rounds of the program.   </w:t>
      </w:r>
    </w:p>
    <w:p w14:paraId="5799D218" w14:textId="62547DD8" w:rsidR="00785C5E" w:rsidRPr="005964DA" w:rsidRDefault="00785C5E" w:rsidP="00CC3763">
      <w:pPr>
        <w:spacing w:after="0"/>
        <w:rPr>
          <w:rFonts w:cs="Arial"/>
          <w:b/>
          <w:sz w:val="24"/>
          <w:szCs w:val="24"/>
        </w:rPr>
      </w:pPr>
      <w:r w:rsidRPr="00F7115F">
        <w:rPr>
          <w:rFonts w:cs="Arial"/>
          <w:b/>
          <w:sz w:val="24"/>
          <w:szCs w:val="24"/>
        </w:rPr>
        <w:t>Administrative Costs</w:t>
      </w:r>
    </w:p>
    <w:p w14:paraId="431DB8D0" w14:textId="1EC22D2E" w:rsidR="00785C5E" w:rsidRPr="005964DA" w:rsidRDefault="00785C5E" w:rsidP="00CC3763">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CSFANDADMI</w:t>
      </w:r>
    </w:p>
    <w:p w14:paraId="6647D216" w14:textId="5906C62A" w:rsidR="00785C5E" w:rsidRPr="005964DA" w:rsidRDefault="00785C5E" w:rsidP="00CC3763">
      <w:pPr>
        <w:spacing w:after="0"/>
        <w:rPr>
          <w:rFonts w:cs="Arial"/>
          <w:b/>
          <w:sz w:val="24"/>
          <w:szCs w:val="24"/>
        </w:rPr>
      </w:pPr>
      <w:r w:rsidRPr="005964DA">
        <w:rPr>
          <w:rFonts w:cs="Arial"/>
          <w:b/>
          <w:sz w:val="24"/>
          <w:szCs w:val="24"/>
        </w:rPr>
        <w:t xml:space="preserve">Funding amount: </w:t>
      </w:r>
      <w:r w:rsidRPr="00F7115F">
        <w:rPr>
          <w:rFonts w:cs="Arial"/>
          <w:b/>
          <w:sz w:val="24"/>
          <w:szCs w:val="24"/>
        </w:rPr>
        <w:t>$</w:t>
      </w:r>
      <w:r w:rsidR="00C30F04" w:rsidRPr="00F7115F">
        <w:rPr>
          <w:rFonts w:cs="Arial"/>
          <w:b/>
          <w:sz w:val="24"/>
          <w:szCs w:val="24"/>
        </w:rPr>
        <w:t>15</w:t>
      </w:r>
      <w:r w:rsidRPr="00F7115F">
        <w:rPr>
          <w:rFonts w:cs="Arial"/>
          <w:b/>
          <w:sz w:val="24"/>
          <w:szCs w:val="24"/>
        </w:rPr>
        <w:t>,000,000</w:t>
      </w:r>
    </w:p>
    <w:p w14:paraId="6C537D9E" w14:textId="4404E0B6" w:rsidR="00785C5E" w:rsidRPr="00F7115F" w:rsidRDefault="00785C5E" w:rsidP="00CC3763">
      <w:pPr>
        <w:spacing w:after="0"/>
        <w:rPr>
          <w:rFonts w:cs="Arial"/>
          <w:b/>
          <w:sz w:val="24"/>
          <w:szCs w:val="24"/>
        </w:rPr>
      </w:pPr>
      <w:r w:rsidRPr="005964DA">
        <w:rPr>
          <w:rFonts w:cs="Arial"/>
          <w:b/>
          <w:sz w:val="24"/>
          <w:szCs w:val="24"/>
        </w:rPr>
        <w:t xml:space="preserve">Project Expenditure Category: </w:t>
      </w:r>
      <w:r w:rsidR="00A27486" w:rsidRPr="00F7115F">
        <w:rPr>
          <w:rFonts w:cs="Arial"/>
          <w:b/>
          <w:sz w:val="24"/>
          <w:szCs w:val="24"/>
        </w:rPr>
        <w:t>7-Administrative Costs</w:t>
      </w:r>
    </w:p>
    <w:p w14:paraId="45835CF0" w14:textId="77777777" w:rsidR="00CC3763" w:rsidRPr="005964DA" w:rsidRDefault="00CC3763" w:rsidP="00CC3763">
      <w:pPr>
        <w:spacing w:after="0"/>
        <w:rPr>
          <w:rFonts w:cs="Arial"/>
        </w:rPr>
      </w:pPr>
    </w:p>
    <w:p w14:paraId="5A06F841" w14:textId="77777777" w:rsidR="00785C5E" w:rsidRPr="005964DA" w:rsidRDefault="00785C5E" w:rsidP="00785C5E">
      <w:pPr>
        <w:rPr>
          <w:rFonts w:cs="Arial"/>
          <w:color w:val="44546A" w:themeColor="text2"/>
        </w:rPr>
      </w:pPr>
      <w:r w:rsidRPr="005964DA">
        <w:rPr>
          <w:rFonts w:cs="Arial"/>
          <w:color w:val="44546A" w:themeColor="text2"/>
        </w:rPr>
        <w:t>Project Overview</w:t>
      </w:r>
    </w:p>
    <w:p w14:paraId="657B36FC" w14:textId="77777777" w:rsidR="00A27486" w:rsidRPr="005C48AC" w:rsidRDefault="00A27486" w:rsidP="00785C5E">
      <w:pPr>
        <w:rPr>
          <w:rFonts w:cs="Arial"/>
        </w:rPr>
      </w:pPr>
      <w:r w:rsidRPr="005C48AC">
        <w:rPr>
          <w:rFonts w:cs="Arial"/>
        </w:rPr>
        <w:t>The Commonwealth has allocated $15 million to cover administrative costs for the Coronavirus State Fiscal Recovery Fund. This investment will fund the Federal Funds Office payroll and consultant support to ensure compliance with all applicable laws, regulations, and reporting requirements.</w:t>
      </w:r>
    </w:p>
    <w:p w14:paraId="088BC27C" w14:textId="1461DE8F" w:rsidR="007F34EB" w:rsidRPr="005964DA" w:rsidRDefault="00C643A0" w:rsidP="00623D03">
      <w:pPr>
        <w:spacing w:after="0"/>
        <w:rPr>
          <w:rFonts w:cs="Arial"/>
          <w:b/>
          <w:sz w:val="24"/>
          <w:szCs w:val="24"/>
        </w:rPr>
      </w:pPr>
      <w:r w:rsidRPr="00F7115F">
        <w:rPr>
          <w:rFonts w:cs="Arial"/>
          <w:b/>
          <w:sz w:val="24"/>
          <w:szCs w:val="24"/>
        </w:rPr>
        <w:lastRenderedPageBreak/>
        <w:t>Unemployment Compensation Trust Fund Transfer</w:t>
      </w:r>
    </w:p>
    <w:p w14:paraId="74B0D075" w14:textId="1B09B824" w:rsidR="007F34EB" w:rsidRPr="005964DA" w:rsidRDefault="007F34EB" w:rsidP="00623D03">
      <w:pPr>
        <w:spacing w:after="0"/>
        <w:rPr>
          <w:rFonts w:cs="Arial"/>
          <w:b/>
          <w:sz w:val="24"/>
          <w:szCs w:val="24"/>
        </w:rPr>
      </w:pPr>
      <w:r w:rsidRPr="005964DA">
        <w:rPr>
          <w:rFonts w:cs="Arial"/>
          <w:b/>
          <w:sz w:val="24"/>
          <w:szCs w:val="24"/>
        </w:rPr>
        <w:t xml:space="preserve">Project Identification Number: </w:t>
      </w:r>
      <w:r w:rsidR="00C643A0" w:rsidRPr="00F7115F">
        <w:rPr>
          <w:rFonts w:cs="Arial"/>
          <w:b/>
          <w:sz w:val="24"/>
          <w:szCs w:val="24"/>
        </w:rPr>
        <w:t>REPAYUIADV</w:t>
      </w:r>
    </w:p>
    <w:p w14:paraId="3E3A1F4A" w14:textId="6FE816B4" w:rsidR="007F34EB" w:rsidRPr="005964DA" w:rsidRDefault="007F34EB" w:rsidP="00623D03">
      <w:pPr>
        <w:spacing w:after="0"/>
        <w:rPr>
          <w:rFonts w:cs="Arial"/>
          <w:b/>
          <w:sz w:val="24"/>
          <w:szCs w:val="24"/>
        </w:rPr>
      </w:pPr>
      <w:r w:rsidRPr="005964DA">
        <w:rPr>
          <w:rFonts w:cs="Arial"/>
          <w:b/>
          <w:sz w:val="24"/>
          <w:szCs w:val="24"/>
        </w:rPr>
        <w:t xml:space="preserve">Funding amount: </w:t>
      </w:r>
      <w:r w:rsidRPr="00F7115F">
        <w:rPr>
          <w:rFonts w:cs="Arial"/>
          <w:b/>
          <w:sz w:val="24"/>
          <w:szCs w:val="24"/>
        </w:rPr>
        <w:t>$</w:t>
      </w:r>
      <w:r w:rsidR="00C643A0" w:rsidRPr="00F7115F">
        <w:rPr>
          <w:rFonts w:cs="Arial"/>
          <w:b/>
          <w:sz w:val="24"/>
          <w:szCs w:val="24"/>
        </w:rPr>
        <w:t>500</w:t>
      </w:r>
      <w:r w:rsidRPr="00F7115F">
        <w:rPr>
          <w:rFonts w:cs="Arial"/>
          <w:b/>
          <w:sz w:val="24"/>
          <w:szCs w:val="24"/>
        </w:rPr>
        <w:t>,000,000</w:t>
      </w:r>
    </w:p>
    <w:p w14:paraId="4800D76F" w14:textId="46E63327" w:rsidR="00623D03" w:rsidRDefault="007F34EB" w:rsidP="00623D03">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2-Negative Economic Impacts</w:t>
      </w:r>
    </w:p>
    <w:p w14:paraId="6221B97A" w14:textId="77777777" w:rsidR="003D0CA5" w:rsidRPr="003D0CA5" w:rsidRDefault="003D0CA5" w:rsidP="00623D03">
      <w:pPr>
        <w:spacing w:after="0"/>
        <w:rPr>
          <w:rFonts w:cs="Arial"/>
          <w:b/>
          <w:sz w:val="24"/>
          <w:szCs w:val="24"/>
        </w:rPr>
      </w:pPr>
    </w:p>
    <w:p w14:paraId="6827F90C" w14:textId="77777777" w:rsidR="007F34EB" w:rsidRPr="005964DA" w:rsidRDefault="007F34EB" w:rsidP="007F34EB">
      <w:pPr>
        <w:rPr>
          <w:rFonts w:cs="Arial"/>
          <w:color w:val="44546A" w:themeColor="text2"/>
        </w:rPr>
      </w:pPr>
      <w:r w:rsidRPr="005964DA">
        <w:rPr>
          <w:rFonts w:cs="Arial"/>
          <w:color w:val="44546A" w:themeColor="text2"/>
        </w:rPr>
        <w:t>Project Overview</w:t>
      </w:r>
    </w:p>
    <w:p w14:paraId="12548742" w14:textId="57960B10" w:rsidR="00F06271" w:rsidRPr="00F06271" w:rsidRDefault="00F06271" w:rsidP="007F34EB">
      <w:pPr>
        <w:rPr>
          <w:rFonts w:cs="Arial"/>
        </w:rPr>
      </w:pPr>
      <w:r w:rsidRPr="00F06271">
        <w:rPr>
          <w:rFonts w:cs="Arial"/>
        </w:rPr>
        <w:t>The Commonwealth has allocated $500 million to repay the federal government for Title XII Advances on the Commonwealth's Unemployment Trust Fund. The Commonwealth has an outstanding obligation of $2.3 billion to the federal government for Title XII Advances that were necessary to provide pandemic benefits to the Commonwealth’s residents</w:t>
      </w:r>
      <w:r w:rsidR="00606C9B">
        <w:rPr>
          <w:rFonts w:cs="Arial"/>
        </w:rPr>
        <w:t>.</w:t>
      </w:r>
    </w:p>
    <w:p w14:paraId="74CD0F06" w14:textId="25328BBE" w:rsidR="008073D2" w:rsidRPr="00F7115F" w:rsidRDefault="008073D2" w:rsidP="00CC3763">
      <w:pPr>
        <w:spacing w:after="0"/>
        <w:rPr>
          <w:rFonts w:cs="Arial"/>
          <w:b/>
          <w:sz w:val="24"/>
          <w:szCs w:val="24"/>
        </w:rPr>
      </w:pPr>
      <w:r w:rsidRPr="00F7115F">
        <w:rPr>
          <w:rFonts w:cs="Arial"/>
          <w:b/>
          <w:sz w:val="24"/>
          <w:szCs w:val="24"/>
        </w:rPr>
        <w:t>Emergency Assistance to Approved Special Education Schools (EAASES) – Workforce</w:t>
      </w:r>
      <w:r w:rsidR="004C67CC">
        <w:rPr>
          <w:rFonts w:cs="Arial"/>
          <w:b/>
          <w:sz w:val="24"/>
          <w:szCs w:val="24"/>
        </w:rPr>
        <w:t xml:space="preserve"> (Chapter 766 Schools)</w:t>
      </w:r>
    </w:p>
    <w:p w14:paraId="49335176" w14:textId="2066D015" w:rsidR="00CC3763" w:rsidRPr="005964DA" w:rsidRDefault="00CC3763" w:rsidP="00CC3763">
      <w:pPr>
        <w:spacing w:after="0"/>
        <w:rPr>
          <w:rFonts w:cs="Arial"/>
          <w:b/>
          <w:sz w:val="24"/>
          <w:szCs w:val="24"/>
        </w:rPr>
      </w:pPr>
      <w:r w:rsidRPr="005964DA">
        <w:rPr>
          <w:rFonts w:cs="Arial"/>
          <w:b/>
          <w:sz w:val="24"/>
          <w:szCs w:val="24"/>
        </w:rPr>
        <w:t xml:space="preserve">Project Identification Number: </w:t>
      </w:r>
      <w:r w:rsidR="008073D2" w:rsidRPr="00F7115F">
        <w:rPr>
          <w:rFonts w:cs="Arial"/>
          <w:b/>
          <w:sz w:val="24"/>
          <w:szCs w:val="24"/>
        </w:rPr>
        <w:t>CSFDOEC766</w:t>
      </w:r>
    </w:p>
    <w:p w14:paraId="50C8EAD7" w14:textId="280F11A8" w:rsidR="00CC3763" w:rsidRPr="005964DA" w:rsidRDefault="00CC3763" w:rsidP="00CC3763">
      <w:pPr>
        <w:spacing w:after="0"/>
        <w:rPr>
          <w:rFonts w:cs="Arial"/>
          <w:b/>
          <w:sz w:val="24"/>
          <w:szCs w:val="24"/>
        </w:rPr>
      </w:pPr>
      <w:r w:rsidRPr="005964DA">
        <w:rPr>
          <w:rFonts w:cs="Arial"/>
          <w:b/>
          <w:sz w:val="24"/>
          <w:szCs w:val="24"/>
        </w:rPr>
        <w:t xml:space="preserve">Funding amount: </w:t>
      </w:r>
      <w:r w:rsidRPr="00F7115F">
        <w:rPr>
          <w:rFonts w:cs="Arial"/>
          <w:b/>
          <w:sz w:val="24"/>
          <w:szCs w:val="24"/>
        </w:rPr>
        <w:t>$</w:t>
      </w:r>
      <w:r w:rsidR="008073D2" w:rsidRPr="00F7115F">
        <w:rPr>
          <w:rFonts w:cs="Arial"/>
          <w:b/>
          <w:sz w:val="24"/>
          <w:szCs w:val="24"/>
        </w:rPr>
        <w:t>80</w:t>
      </w:r>
      <w:r w:rsidR="00950E4C" w:rsidRPr="00F7115F">
        <w:rPr>
          <w:rFonts w:cs="Arial"/>
          <w:b/>
          <w:sz w:val="24"/>
          <w:szCs w:val="24"/>
        </w:rPr>
        <w:t>,000,000</w:t>
      </w:r>
    </w:p>
    <w:p w14:paraId="062D1ED8" w14:textId="54801CFD" w:rsidR="00CC3763" w:rsidRDefault="00CC3763" w:rsidP="003D0CA5">
      <w:pPr>
        <w:spacing w:after="0"/>
        <w:rPr>
          <w:rFonts w:cs="Arial"/>
          <w:b/>
          <w:sz w:val="24"/>
          <w:szCs w:val="24"/>
        </w:rPr>
      </w:pPr>
      <w:r w:rsidRPr="005964DA">
        <w:rPr>
          <w:rFonts w:cs="Arial"/>
          <w:b/>
          <w:sz w:val="24"/>
          <w:szCs w:val="24"/>
        </w:rPr>
        <w:t xml:space="preserve">Project Expenditure Category: </w:t>
      </w:r>
      <w:r w:rsidR="00950E4C" w:rsidRPr="00F7115F">
        <w:rPr>
          <w:rFonts w:cs="Arial"/>
          <w:b/>
          <w:sz w:val="24"/>
          <w:szCs w:val="24"/>
        </w:rPr>
        <w:t>6-Revenue Replacement</w:t>
      </w:r>
    </w:p>
    <w:p w14:paraId="5621F22E" w14:textId="77777777" w:rsidR="003D0CA5" w:rsidRPr="003D0CA5" w:rsidRDefault="003D0CA5" w:rsidP="003D0CA5">
      <w:pPr>
        <w:spacing w:after="0"/>
        <w:rPr>
          <w:rFonts w:cs="Arial"/>
          <w:b/>
          <w:sz w:val="24"/>
          <w:szCs w:val="24"/>
        </w:rPr>
      </w:pPr>
    </w:p>
    <w:p w14:paraId="0C0502BD" w14:textId="77777777" w:rsidR="00CC3763" w:rsidRPr="005964DA" w:rsidRDefault="00CC3763" w:rsidP="00CC3763">
      <w:pPr>
        <w:rPr>
          <w:rFonts w:cs="Arial"/>
          <w:color w:val="44546A" w:themeColor="text2"/>
        </w:rPr>
      </w:pPr>
      <w:r w:rsidRPr="005964DA">
        <w:rPr>
          <w:rFonts w:cs="Arial"/>
          <w:color w:val="44546A" w:themeColor="text2"/>
        </w:rPr>
        <w:t>Project Overview</w:t>
      </w:r>
    </w:p>
    <w:p w14:paraId="4C6ED933" w14:textId="24944520" w:rsidR="00652836" w:rsidRDefault="00652836" w:rsidP="00CC3763">
      <w:pPr>
        <w:rPr>
          <w:rFonts w:cs="Arial"/>
        </w:rPr>
      </w:pPr>
      <w:r w:rsidRPr="00652836">
        <w:rPr>
          <w:rFonts w:cs="Arial"/>
        </w:rPr>
        <w:t xml:space="preserve">This grant opportunity is aimed at strengthening and stabilizing the workforce in approved private special education day and residential school programs. The Commonwealth has allocated </w:t>
      </w:r>
      <w:r w:rsidR="00EB52A8">
        <w:rPr>
          <w:rFonts w:cs="Arial"/>
        </w:rPr>
        <w:t>CSFRF</w:t>
      </w:r>
      <w:r w:rsidRPr="00652836">
        <w:rPr>
          <w:rFonts w:cs="Arial"/>
        </w:rPr>
        <w:t xml:space="preserve"> for the approved private special education day and residential programs to assist approved programs with maintaining and strengthening the workforce needed to provide services to Massachusetts special education students. In response to the economic and other impacts of COVID-19 on recipients and the available workforce, these grants will increase recruitment, hiring and retention of qualified and eligible staff which </w:t>
      </w:r>
      <w:r w:rsidR="00717E8A">
        <w:rPr>
          <w:rFonts w:cs="Arial"/>
        </w:rPr>
        <w:t xml:space="preserve">in turn will </w:t>
      </w:r>
      <w:r w:rsidRPr="00652836">
        <w:rPr>
          <w:rFonts w:cs="Arial"/>
        </w:rPr>
        <w:t>increase the number of Massachusetts students who may be enrolled in the programs and have access to direct care, educational, and other services provided to enrolled students.</w:t>
      </w:r>
    </w:p>
    <w:p w14:paraId="560CDA92" w14:textId="1BA96405" w:rsidR="00CC3763" w:rsidRPr="005964DA" w:rsidRDefault="00CC3763" w:rsidP="00CC3763">
      <w:pPr>
        <w:rPr>
          <w:rFonts w:cs="Arial"/>
          <w:color w:val="44546A" w:themeColor="text2"/>
        </w:rPr>
      </w:pPr>
      <w:r w:rsidRPr="005964DA">
        <w:rPr>
          <w:rFonts w:cs="Arial"/>
          <w:color w:val="44546A" w:themeColor="text2"/>
        </w:rPr>
        <w:t>Performance Report</w:t>
      </w:r>
    </w:p>
    <w:p w14:paraId="4629F51F" w14:textId="166ABC00" w:rsidR="00CC3763" w:rsidRPr="004806A5" w:rsidRDefault="00CC3763" w:rsidP="00CC3763">
      <w:pPr>
        <w:rPr>
          <w:rFonts w:cs="Arial"/>
        </w:rPr>
      </w:pPr>
      <w:r w:rsidRPr="004806A5">
        <w:rPr>
          <w:rFonts w:cs="Arial"/>
        </w:rPr>
        <w:t xml:space="preserve">The Department of </w:t>
      </w:r>
      <w:r w:rsidR="00AB7AF6">
        <w:rPr>
          <w:rFonts w:cs="Arial"/>
        </w:rPr>
        <w:t xml:space="preserve">Elementary and Secondary </w:t>
      </w:r>
      <w:r w:rsidR="00070A99">
        <w:rPr>
          <w:rFonts w:cs="Arial"/>
        </w:rPr>
        <w:t xml:space="preserve">Education will be collecting information on </w:t>
      </w:r>
      <w:proofErr w:type="gramStart"/>
      <w:r w:rsidR="00070A99">
        <w:rPr>
          <w:rFonts w:cs="Arial"/>
        </w:rPr>
        <w:t>all of</w:t>
      </w:r>
      <w:proofErr w:type="gramEnd"/>
      <w:r w:rsidR="00070A99">
        <w:rPr>
          <w:rFonts w:cs="Arial"/>
        </w:rPr>
        <w:t xml:space="preserve"> the Commonwealth schools that received funding </w:t>
      </w:r>
      <w:r w:rsidR="00623D03">
        <w:rPr>
          <w:rFonts w:cs="Arial"/>
        </w:rPr>
        <w:t xml:space="preserve">in the Summer of 2022. They will be collecting data on number of staff retained, number of staff recruited, and number of students served. </w:t>
      </w:r>
    </w:p>
    <w:p w14:paraId="3AD4A7AD" w14:textId="028DF007" w:rsidR="00623D03" w:rsidRPr="00F7115F" w:rsidRDefault="00763462" w:rsidP="00623D03">
      <w:pPr>
        <w:spacing w:after="0"/>
        <w:rPr>
          <w:rFonts w:cs="Arial"/>
          <w:b/>
          <w:sz w:val="24"/>
          <w:szCs w:val="24"/>
        </w:rPr>
      </w:pPr>
      <w:r w:rsidRPr="00F7115F">
        <w:rPr>
          <w:rFonts w:cs="Arial"/>
          <w:b/>
          <w:sz w:val="24"/>
          <w:szCs w:val="24"/>
        </w:rPr>
        <w:t>VaxMillions Giveaway</w:t>
      </w:r>
    </w:p>
    <w:p w14:paraId="0B315EE2" w14:textId="7F2FDCA0" w:rsidR="00623D03" w:rsidRPr="005964DA" w:rsidRDefault="00623D03" w:rsidP="00623D03">
      <w:pPr>
        <w:spacing w:after="0"/>
        <w:rPr>
          <w:rFonts w:cs="Arial"/>
          <w:b/>
          <w:sz w:val="24"/>
          <w:szCs w:val="24"/>
        </w:rPr>
      </w:pPr>
      <w:r w:rsidRPr="005964DA">
        <w:rPr>
          <w:rFonts w:cs="Arial"/>
          <w:b/>
          <w:sz w:val="24"/>
          <w:szCs w:val="24"/>
        </w:rPr>
        <w:t xml:space="preserve">Project Identification Number: </w:t>
      </w:r>
      <w:r w:rsidR="00763462" w:rsidRPr="00F7115F">
        <w:rPr>
          <w:rFonts w:cs="Arial"/>
          <w:b/>
          <w:sz w:val="24"/>
          <w:szCs w:val="24"/>
        </w:rPr>
        <w:t>CSFANFVAXM</w:t>
      </w:r>
    </w:p>
    <w:p w14:paraId="0011BF13" w14:textId="4B884165" w:rsidR="00623D03" w:rsidRPr="005964DA" w:rsidRDefault="00623D03" w:rsidP="00623D03">
      <w:pPr>
        <w:spacing w:after="0"/>
        <w:rPr>
          <w:rFonts w:cs="Arial"/>
          <w:b/>
          <w:sz w:val="24"/>
          <w:szCs w:val="24"/>
        </w:rPr>
      </w:pPr>
      <w:r w:rsidRPr="005964DA">
        <w:rPr>
          <w:rFonts w:cs="Arial"/>
          <w:b/>
          <w:sz w:val="24"/>
          <w:szCs w:val="24"/>
        </w:rPr>
        <w:t xml:space="preserve">Funding amount: </w:t>
      </w:r>
      <w:r w:rsidRPr="00F7115F">
        <w:rPr>
          <w:rFonts w:cs="Arial"/>
          <w:b/>
          <w:sz w:val="24"/>
          <w:szCs w:val="24"/>
        </w:rPr>
        <w:t>$</w:t>
      </w:r>
      <w:r w:rsidR="00CF7A89" w:rsidRPr="00CF7A89">
        <w:rPr>
          <w:rFonts w:cs="Arial"/>
          <w:b/>
          <w:sz w:val="24"/>
          <w:szCs w:val="24"/>
        </w:rPr>
        <w:t xml:space="preserve"> 8,202,546.85</w:t>
      </w:r>
    </w:p>
    <w:p w14:paraId="67335125" w14:textId="62FFD04E" w:rsidR="00623D03" w:rsidRDefault="00623D03" w:rsidP="003D0CA5">
      <w:pPr>
        <w:spacing w:after="0"/>
        <w:rPr>
          <w:rFonts w:cs="Arial"/>
          <w:b/>
          <w:sz w:val="24"/>
          <w:szCs w:val="24"/>
        </w:rPr>
      </w:pPr>
      <w:r w:rsidRPr="005964DA">
        <w:rPr>
          <w:rFonts w:cs="Arial"/>
          <w:b/>
          <w:sz w:val="24"/>
          <w:szCs w:val="24"/>
        </w:rPr>
        <w:t xml:space="preserve">Project Expenditure Category: </w:t>
      </w:r>
      <w:r w:rsidR="00763462" w:rsidRPr="00F7115F">
        <w:rPr>
          <w:rFonts w:cs="Arial"/>
          <w:b/>
          <w:sz w:val="24"/>
          <w:szCs w:val="24"/>
        </w:rPr>
        <w:t>1-Public Health</w:t>
      </w:r>
    </w:p>
    <w:p w14:paraId="63DD68BA" w14:textId="77777777" w:rsidR="003D0CA5" w:rsidRPr="003D0CA5" w:rsidRDefault="003D0CA5" w:rsidP="003D0CA5">
      <w:pPr>
        <w:spacing w:after="0"/>
        <w:rPr>
          <w:rFonts w:cs="Arial"/>
          <w:b/>
          <w:sz w:val="24"/>
          <w:szCs w:val="24"/>
        </w:rPr>
      </w:pPr>
    </w:p>
    <w:p w14:paraId="36BCD368" w14:textId="77777777" w:rsidR="00623D03" w:rsidRPr="005964DA" w:rsidRDefault="00623D03" w:rsidP="00623D03">
      <w:pPr>
        <w:rPr>
          <w:rFonts w:cs="Arial"/>
          <w:color w:val="44546A" w:themeColor="text2"/>
        </w:rPr>
      </w:pPr>
      <w:r w:rsidRPr="005964DA">
        <w:rPr>
          <w:rFonts w:cs="Arial"/>
          <w:color w:val="44546A" w:themeColor="text2"/>
        </w:rPr>
        <w:t>Project Overview</w:t>
      </w:r>
    </w:p>
    <w:p w14:paraId="13C0F886" w14:textId="77777777" w:rsidR="007D5726" w:rsidRPr="007D5726" w:rsidRDefault="007D5726" w:rsidP="007D5726">
      <w:pPr>
        <w:rPr>
          <w:rFonts w:cs="Arial"/>
        </w:rPr>
      </w:pPr>
      <w:r w:rsidRPr="007D5726">
        <w:rPr>
          <w:rFonts w:cs="Arial"/>
        </w:rPr>
        <w:t xml:space="preserve">The Commonwealth launched the </w:t>
      </w:r>
      <w:hyperlink r:id="rId12">
        <w:r w:rsidRPr="007D5726">
          <w:rPr>
            <w:rStyle w:val="Hyperlink"/>
            <w:rFonts w:cs="Arial"/>
          </w:rPr>
          <w:t>Massachusetts VaxMillions Giveaway</w:t>
        </w:r>
      </w:hyperlink>
      <w:r w:rsidRPr="007D5726">
        <w:rPr>
          <w:rFonts w:cs="Arial"/>
        </w:rPr>
        <w:t xml:space="preserve"> (VaxMillions) on July 1, 2021 as one of many strategies to increase awareness of the availability and efficacy of the COVID-19 vaccines and to encourage residents to get vaccinated. The main goal of the VaxMillions program was to increase the number of fully vaccinated individuals within the Commonwealth. VaxMillions supported this effort in two ways by: (1) attracting public attention </w:t>
      </w:r>
      <w:r w:rsidRPr="007D5726">
        <w:rPr>
          <w:rFonts w:cs="Arial"/>
        </w:rPr>
        <w:lastRenderedPageBreak/>
        <w:t>to and excitement about the Commonwealth’s ongoing vaccination efforts and (2) offering potentially life-changing prizes as incentives for individuals who were</w:t>
      </w:r>
      <w:r w:rsidRPr="007D5726" w:rsidDel="0017694A">
        <w:rPr>
          <w:rFonts w:cs="Arial"/>
        </w:rPr>
        <w:t xml:space="preserve"> </w:t>
      </w:r>
      <w:r w:rsidRPr="007D5726">
        <w:rPr>
          <w:rFonts w:cs="Arial"/>
        </w:rPr>
        <w:t>hesitant or unenthusiastic about receiving initial vaccination or about returning for their second vaccine dose. </w:t>
      </w:r>
    </w:p>
    <w:p w14:paraId="6D0AED7E" w14:textId="77777777" w:rsidR="007D5726" w:rsidRPr="007D5726" w:rsidRDefault="007D5726" w:rsidP="007D5726">
      <w:pPr>
        <w:rPr>
          <w:rFonts w:cs="Arial"/>
        </w:rPr>
      </w:pPr>
      <w:r w:rsidRPr="007D5726">
        <w:rPr>
          <w:rFonts w:cs="Arial"/>
        </w:rPr>
        <w:t xml:space="preserve">VaxMillions was just one of the initiatives the Commonwealth has undertaken to incentivize COVID-19 vaccination. Other initiatives (not funded by CSFRF) include: (1) Red Sox Week – a week of vaccination events with Red Sox themed attractions, a display of the team's trophies, and a raffle to win tickets to a Red Sox game; (2) Dunkin Week – a week of vaccination events offering free coffee and chances to win free coffee for a year; (3) mobile pop-up clinics – offering grocery gift cards or passes to museums and other attractions; and (4) the Vax Bus tour – which drove through more than 15 cities and towns throughout the month of July. </w:t>
      </w:r>
    </w:p>
    <w:p w14:paraId="792D03C3" w14:textId="77777777" w:rsidR="00623D03" w:rsidRPr="005964DA" w:rsidRDefault="00623D03" w:rsidP="00623D03">
      <w:pPr>
        <w:rPr>
          <w:rFonts w:cs="Arial"/>
          <w:color w:val="44546A" w:themeColor="text2"/>
        </w:rPr>
      </w:pPr>
      <w:r w:rsidRPr="005964DA">
        <w:rPr>
          <w:rFonts w:cs="Arial"/>
          <w:color w:val="44546A" w:themeColor="text2"/>
        </w:rPr>
        <w:t>Performance Report</w:t>
      </w:r>
    </w:p>
    <w:p w14:paraId="7D97D959" w14:textId="77777777" w:rsidR="00E95113" w:rsidRPr="00E95113" w:rsidRDefault="00E95113" w:rsidP="00E95113">
      <w:pPr>
        <w:rPr>
          <w:rFonts w:cs="Arial"/>
        </w:rPr>
      </w:pPr>
      <w:r w:rsidRPr="00E95113">
        <w:rPr>
          <w:rFonts w:cs="Arial"/>
        </w:rPr>
        <w:t xml:space="preserve">Over the course of the program, 2.5 million people in the Commonwealth registered – 2.35 million adult registrants and 167,000 children between the ages of 12 and 17 years old. The five $1 million winners and the five $300,000 scholarship winners were announced weekly from July 29, </w:t>
      </w:r>
      <w:proofErr w:type="gramStart"/>
      <w:r w:rsidRPr="00E95113">
        <w:rPr>
          <w:rFonts w:cs="Arial"/>
        </w:rPr>
        <w:t>2021</w:t>
      </w:r>
      <w:proofErr w:type="gramEnd"/>
      <w:r w:rsidRPr="00E95113">
        <w:rPr>
          <w:rFonts w:cs="Arial"/>
        </w:rPr>
        <w:t xml:space="preserve"> through August 26, 2021. The ten winners lived across the Commonwealth in Leominster, Conway, Lowell, Rockland, Attleboro, Reading, Billerica, Norwood, Weymouth, and Chelsea. </w:t>
      </w:r>
    </w:p>
    <w:p w14:paraId="457A283D" w14:textId="3F952582" w:rsidR="00E95113" w:rsidRPr="00E95113" w:rsidRDefault="00D2708C" w:rsidP="00E95113">
      <w:pPr>
        <w:rPr>
          <w:rFonts w:cs="Arial"/>
        </w:rPr>
      </w:pPr>
      <w:r>
        <w:rPr>
          <w:rFonts w:cs="Arial"/>
        </w:rPr>
        <w:t>Over</w:t>
      </w:r>
      <w:r w:rsidR="00E95113" w:rsidRPr="00E95113">
        <w:rPr>
          <w:rFonts w:cs="Arial"/>
        </w:rPr>
        <w:t xml:space="preserve"> 400,000 Commonwealth residents became fully vaccinated against COVID-19 throughout the duration of the program. </w:t>
      </w:r>
    </w:p>
    <w:p w14:paraId="7A667E34" w14:textId="77777777" w:rsidR="00E95113" w:rsidRPr="00E95113" w:rsidRDefault="00E95113" w:rsidP="00E95113">
      <w:pPr>
        <w:rPr>
          <w:rFonts w:cs="Arial"/>
        </w:rPr>
      </w:pPr>
      <w:r w:rsidRPr="00E95113">
        <w:rPr>
          <w:rFonts w:cs="Arial"/>
        </w:rPr>
        <w:t xml:space="preserve">The media campaign contracted to engage participants in the program made 25.4 million online impressions, 320,000 social media engagements, and over 6,090 AM/FM radio spots between June 2021 and August 2021. </w:t>
      </w:r>
    </w:p>
    <w:p w14:paraId="37CD4DBC" w14:textId="38DA88C2" w:rsidR="00AE70F7" w:rsidRPr="00F7115F" w:rsidRDefault="00AE70F7" w:rsidP="00AE70F7">
      <w:pPr>
        <w:spacing w:after="0"/>
        <w:rPr>
          <w:rFonts w:cs="Arial"/>
          <w:b/>
          <w:sz w:val="24"/>
          <w:szCs w:val="24"/>
        </w:rPr>
      </w:pPr>
      <w:r w:rsidRPr="00F7115F">
        <w:rPr>
          <w:rFonts w:cs="Arial"/>
          <w:b/>
          <w:sz w:val="24"/>
          <w:szCs w:val="24"/>
        </w:rPr>
        <w:t>Aid to Dispro</w:t>
      </w:r>
      <w:r w:rsidR="00D022BE" w:rsidRPr="00F7115F">
        <w:rPr>
          <w:rFonts w:cs="Arial"/>
          <w:b/>
          <w:sz w:val="24"/>
          <w:szCs w:val="24"/>
        </w:rPr>
        <w:t>portionately Impacted Communities</w:t>
      </w:r>
    </w:p>
    <w:p w14:paraId="5A2BF0C0" w14:textId="2B2C471F" w:rsidR="00AE70F7" w:rsidRPr="005964DA" w:rsidRDefault="00AE70F7" w:rsidP="00AE70F7">
      <w:pPr>
        <w:spacing w:after="0"/>
        <w:rPr>
          <w:rFonts w:cs="Arial"/>
          <w:b/>
          <w:sz w:val="24"/>
          <w:szCs w:val="24"/>
        </w:rPr>
      </w:pPr>
      <w:r w:rsidRPr="005964DA">
        <w:rPr>
          <w:rFonts w:cs="Arial"/>
          <w:b/>
          <w:sz w:val="24"/>
          <w:szCs w:val="24"/>
        </w:rPr>
        <w:t xml:space="preserve">Project Identification Number: </w:t>
      </w:r>
      <w:r w:rsidR="00D022BE" w:rsidRPr="00F7115F">
        <w:rPr>
          <w:rFonts w:cs="Arial"/>
          <w:b/>
          <w:sz w:val="24"/>
          <w:szCs w:val="24"/>
        </w:rPr>
        <w:t>CSFDORADIC</w:t>
      </w:r>
    </w:p>
    <w:p w14:paraId="62BFCC37" w14:textId="2C371AE9" w:rsidR="00AE70F7" w:rsidRPr="005964DA" w:rsidRDefault="00AE70F7" w:rsidP="00AE70F7">
      <w:pPr>
        <w:spacing w:after="0"/>
        <w:rPr>
          <w:rFonts w:cs="Arial"/>
          <w:b/>
          <w:sz w:val="24"/>
          <w:szCs w:val="24"/>
        </w:rPr>
      </w:pPr>
      <w:r w:rsidRPr="005964DA">
        <w:rPr>
          <w:rFonts w:cs="Arial"/>
          <w:b/>
          <w:sz w:val="24"/>
          <w:szCs w:val="24"/>
        </w:rPr>
        <w:t xml:space="preserve">Funding amount: </w:t>
      </w:r>
      <w:r w:rsidRPr="00F7115F">
        <w:rPr>
          <w:rFonts w:cs="Arial"/>
          <w:b/>
          <w:sz w:val="24"/>
          <w:szCs w:val="24"/>
        </w:rPr>
        <w:t>$10</w:t>
      </w:r>
      <w:r w:rsidR="00D022BE" w:rsidRPr="00F7115F">
        <w:rPr>
          <w:rFonts w:cs="Arial"/>
          <w:b/>
          <w:sz w:val="24"/>
          <w:szCs w:val="24"/>
        </w:rPr>
        <w:t>9,080,277</w:t>
      </w:r>
    </w:p>
    <w:p w14:paraId="6CF9685A" w14:textId="41455476" w:rsidR="00AE70F7" w:rsidRDefault="00AE70F7" w:rsidP="007D2798">
      <w:pPr>
        <w:spacing w:after="0"/>
        <w:rPr>
          <w:rFonts w:cs="Arial"/>
          <w:b/>
          <w:sz w:val="24"/>
          <w:szCs w:val="24"/>
        </w:rPr>
      </w:pPr>
      <w:r w:rsidRPr="005964DA">
        <w:rPr>
          <w:rFonts w:cs="Arial"/>
          <w:b/>
          <w:sz w:val="24"/>
          <w:szCs w:val="24"/>
        </w:rPr>
        <w:t xml:space="preserve">Project Expenditure Category: </w:t>
      </w:r>
      <w:r w:rsidR="009236E4" w:rsidRPr="00F7115F">
        <w:rPr>
          <w:rFonts w:cs="Arial"/>
          <w:b/>
          <w:sz w:val="24"/>
          <w:szCs w:val="24"/>
        </w:rPr>
        <w:t>6-Revenue Replacement</w:t>
      </w:r>
    </w:p>
    <w:p w14:paraId="168C3CD2" w14:textId="77777777" w:rsidR="007D2798" w:rsidRPr="007D2798" w:rsidRDefault="007D2798" w:rsidP="007D2798">
      <w:pPr>
        <w:spacing w:after="0"/>
        <w:rPr>
          <w:rFonts w:cs="Arial"/>
          <w:b/>
          <w:sz w:val="24"/>
          <w:szCs w:val="24"/>
        </w:rPr>
      </w:pPr>
    </w:p>
    <w:p w14:paraId="3725286D" w14:textId="77777777" w:rsidR="00AE70F7" w:rsidRPr="005964DA" w:rsidRDefault="00AE70F7" w:rsidP="00AE70F7">
      <w:pPr>
        <w:rPr>
          <w:rFonts w:cs="Arial"/>
          <w:color w:val="44546A" w:themeColor="text2"/>
        </w:rPr>
      </w:pPr>
      <w:r w:rsidRPr="005964DA">
        <w:rPr>
          <w:rFonts w:cs="Arial"/>
          <w:color w:val="44546A" w:themeColor="text2"/>
        </w:rPr>
        <w:t>Project Overview</w:t>
      </w:r>
    </w:p>
    <w:p w14:paraId="40872ECD" w14:textId="77777777" w:rsidR="008D2313" w:rsidRPr="008D2313" w:rsidRDefault="008D2313" w:rsidP="008D2313">
      <w:pPr>
        <w:rPr>
          <w:rFonts w:cs="Arial"/>
        </w:rPr>
      </w:pPr>
      <w:r w:rsidRPr="008D2313">
        <w:rPr>
          <w:rFonts w:cs="Arial"/>
        </w:rPr>
        <w:t>The Commonwealth has allocated $109.1 million from the CSFRF to provide aid to disproportionately impacted communities. The four communities – Chelsea, Everett, Methuen, and Randolph – were designated as “hardest hit” communities by the Massachusetts Department of Public Health. Due to the CLFRF funding formula for local governments, they were set to receive a disproportionately smaller amount of federal funding compared to other hard-hit communities. Additional funds from the state’s CSFRF allocation were distributed as follows:</w:t>
      </w:r>
    </w:p>
    <w:p w14:paraId="1D1B5623" w14:textId="77777777" w:rsidR="008D2313" w:rsidRPr="008D2313" w:rsidRDefault="008D2313" w:rsidP="000313B9">
      <w:pPr>
        <w:numPr>
          <w:ilvl w:val="0"/>
          <w:numId w:val="45"/>
        </w:numPr>
        <w:spacing w:after="0"/>
        <w:rPr>
          <w:rFonts w:cs="Arial"/>
        </w:rPr>
      </w:pPr>
      <w:r w:rsidRPr="008D2313">
        <w:rPr>
          <w:rFonts w:cs="Arial"/>
        </w:rPr>
        <w:t>Chelsea - $28.5 million</w:t>
      </w:r>
    </w:p>
    <w:p w14:paraId="3CC44ED6" w14:textId="77777777" w:rsidR="008D2313" w:rsidRPr="008D2313" w:rsidRDefault="008D2313" w:rsidP="000313B9">
      <w:pPr>
        <w:numPr>
          <w:ilvl w:val="0"/>
          <w:numId w:val="45"/>
        </w:numPr>
        <w:spacing w:after="0"/>
        <w:rPr>
          <w:rFonts w:cs="Arial"/>
        </w:rPr>
      </w:pPr>
      <w:r w:rsidRPr="008D2313">
        <w:rPr>
          <w:rFonts w:cs="Arial"/>
        </w:rPr>
        <w:t>Everett - $33.3 million</w:t>
      </w:r>
    </w:p>
    <w:p w14:paraId="52114494" w14:textId="77777777" w:rsidR="008D2313" w:rsidRPr="008D2313" w:rsidRDefault="008D2313" w:rsidP="000313B9">
      <w:pPr>
        <w:numPr>
          <w:ilvl w:val="0"/>
          <w:numId w:val="45"/>
        </w:numPr>
        <w:spacing w:after="0"/>
        <w:rPr>
          <w:rFonts w:cs="Arial"/>
        </w:rPr>
      </w:pPr>
      <w:r w:rsidRPr="008D2313">
        <w:rPr>
          <w:rFonts w:cs="Arial"/>
        </w:rPr>
        <w:t xml:space="preserve">Methuen - $26.3 million </w:t>
      </w:r>
    </w:p>
    <w:p w14:paraId="7B80BDA0" w14:textId="77777777" w:rsidR="008D2313" w:rsidRDefault="008D2313" w:rsidP="000313B9">
      <w:pPr>
        <w:numPr>
          <w:ilvl w:val="0"/>
          <w:numId w:val="45"/>
        </w:numPr>
        <w:spacing w:after="0"/>
        <w:rPr>
          <w:rFonts w:cs="Arial"/>
        </w:rPr>
      </w:pPr>
      <w:r w:rsidRPr="008D2313">
        <w:rPr>
          <w:rFonts w:cs="Arial"/>
        </w:rPr>
        <w:t>Randolph - $21.0 million</w:t>
      </w:r>
    </w:p>
    <w:p w14:paraId="20CAB040" w14:textId="77777777" w:rsidR="000313B9" w:rsidRPr="008D2313" w:rsidRDefault="000313B9" w:rsidP="000313B9">
      <w:pPr>
        <w:spacing w:after="0"/>
        <w:ind w:left="720"/>
        <w:rPr>
          <w:rFonts w:cs="Arial"/>
        </w:rPr>
      </w:pPr>
    </w:p>
    <w:p w14:paraId="14F7977E" w14:textId="77777777" w:rsidR="008D2313" w:rsidRPr="008D2313" w:rsidRDefault="008D2313" w:rsidP="008D2313">
      <w:pPr>
        <w:rPr>
          <w:rFonts w:cs="Arial"/>
        </w:rPr>
      </w:pPr>
      <w:r w:rsidRPr="008D2313">
        <w:rPr>
          <w:rFonts w:cs="Arial"/>
        </w:rPr>
        <w:t xml:space="preserve">The four municipalities can use the finding to support costs related to the COVID-19 pandemic, including direct response efforts, addressing negative economic impacts, replacing revenue lost </w:t>
      </w:r>
      <w:r w:rsidRPr="008D2313">
        <w:rPr>
          <w:rFonts w:cs="Arial"/>
        </w:rPr>
        <w:lastRenderedPageBreak/>
        <w:t xml:space="preserve">during the pandemic, making investments in water, sewer, broadband infrastructure, and other eligible needs. </w:t>
      </w:r>
    </w:p>
    <w:p w14:paraId="224CA0EF" w14:textId="77777777" w:rsidR="00AE70F7" w:rsidRPr="005964DA" w:rsidRDefault="00AE70F7" w:rsidP="00AE70F7">
      <w:pPr>
        <w:rPr>
          <w:rFonts w:cs="Arial"/>
          <w:color w:val="44546A" w:themeColor="text2"/>
        </w:rPr>
      </w:pPr>
      <w:r w:rsidRPr="005964DA">
        <w:rPr>
          <w:rFonts w:cs="Arial"/>
          <w:color w:val="44546A" w:themeColor="text2"/>
        </w:rPr>
        <w:t>Performance Report</w:t>
      </w:r>
    </w:p>
    <w:p w14:paraId="7F88AAFE" w14:textId="1693B245" w:rsidR="00AE70F7" w:rsidRPr="00E95113" w:rsidRDefault="000B53EB" w:rsidP="00AE70F7">
      <w:pPr>
        <w:rPr>
          <w:rFonts w:cs="Arial"/>
        </w:rPr>
      </w:pPr>
      <w:r>
        <w:rPr>
          <w:rFonts w:cs="Arial"/>
        </w:rPr>
        <w:t xml:space="preserve">The Commonwealth will continue to collect </w:t>
      </w:r>
      <w:r w:rsidR="000F0E4F">
        <w:rPr>
          <w:rFonts w:cs="Arial"/>
        </w:rPr>
        <w:t xml:space="preserve">data from the four communities on a quarterly basis through reports. The Recovery Performance Plan 2023 will include additional information on projects the communities have funded. </w:t>
      </w:r>
    </w:p>
    <w:p w14:paraId="13768908" w14:textId="77777777" w:rsidR="00F7115F" w:rsidRPr="00F7115F" w:rsidRDefault="002A2B46" w:rsidP="008724F0">
      <w:pPr>
        <w:spacing w:after="0"/>
        <w:rPr>
          <w:rFonts w:cs="Arial"/>
          <w:b/>
          <w:bCs/>
          <w:sz w:val="24"/>
          <w:szCs w:val="24"/>
        </w:rPr>
      </w:pPr>
      <w:r w:rsidRPr="00F7115F">
        <w:rPr>
          <w:rFonts w:cs="Arial"/>
          <w:b/>
          <w:sz w:val="24"/>
          <w:szCs w:val="24"/>
        </w:rPr>
        <w:t xml:space="preserve">Health &amp; Human Services Workforce Stabilization </w:t>
      </w:r>
      <w:r w:rsidRPr="00F7115F">
        <w:rPr>
          <w:rFonts w:cs="Arial"/>
          <w:b/>
          <w:bCs/>
          <w:sz w:val="24"/>
          <w:szCs w:val="24"/>
        </w:rPr>
        <w:t>Payments</w:t>
      </w:r>
    </w:p>
    <w:p w14:paraId="71FF5096" w14:textId="28139CE3" w:rsidR="008724F0" w:rsidRPr="005964DA" w:rsidRDefault="008724F0" w:rsidP="008724F0">
      <w:pPr>
        <w:spacing w:after="0"/>
        <w:rPr>
          <w:rFonts w:cs="Arial"/>
          <w:b/>
          <w:sz w:val="24"/>
          <w:szCs w:val="24"/>
        </w:rPr>
      </w:pPr>
      <w:r w:rsidRPr="005964DA">
        <w:rPr>
          <w:rFonts w:cs="Arial"/>
          <w:b/>
          <w:bCs/>
          <w:sz w:val="24"/>
          <w:szCs w:val="24"/>
        </w:rPr>
        <w:t>Project</w:t>
      </w:r>
      <w:r w:rsidRPr="005964DA">
        <w:rPr>
          <w:rFonts w:cs="Arial"/>
          <w:b/>
          <w:sz w:val="24"/>
          <w:szCs w:val="24"/>
        </w:rPr>
        <w:t xml:space="preserve"> Identification Number: </w:t>
      </w:r>
      <w:r w:rsidR="002A2B46" w:rsidRPr="00F7115F">
        <w:rPr>
          <w:rFonts w:cs="Arial"/>
          <w:b/>
          <w:sz w:val="24"/>
          <w:szCs w:val="24"/>
        </w:rPr>
        <w:t>CSFEHSWF01</w:t>
      </w:r>
    </w:p>
    <w:p w14:paraId="6AC39196" w14:textId="120C5407" w:rsidR="008724F0" w:rsidRPr="005964DA" w:rsidRDefault="008724F0" w:rsidP="008724F0">
      <w:pPr>
        <w:spacing w:after="0"/>
        <w:rPr>
          <w:rFonts w:cs="Arial"/>
          <w:b/>
          <w:sz w:val="24"/>
          <w:szCs w:val="24"/>
        </w:rPr>
      </w:pPr>
      <w:r w:rsidRPr="005964DA">
        <w:rPr>
          <w:rFonts w:cs="Arial"/>
          <w:b/>
          <w:sz w:val="24"/>
          <w:szCs w:val="24"/>
        </w:rPr>
        <w:t xml:space="preserve">Funding amount: </w:t>
      </w:r>
      <w:r w:rsidRPr="00F7115F">
        <w:rPr>
          <w:rFonts w:cs="Arial"/>
          <w:b/>
          <w:sz w:val="24"/>
          <w:szCs w:val="24"/>
        </w:rPr>
        <w:t>$</w:t>
      </w:r>
      <w:r w:rsidR="002A2B46" w:rsidRPr="00F7115F">
        <w:rPr>
          <w:rFonts w:cs="Arial"/>
          <w:b/>
          <w:sz w:val="24"/>
          <w:szCs w:val="24"/>
        </w:rPr>
        <w:t>55</w:t>
      </w:r>
      <w:r w:rsidRPr="00F7115F">
        <w:rPr>
          <w:rFonts w:cs="Arial"/>
          <w:b/>
          <w:sz w:val="24"/>
          <w:szCs w:val="24"/>
        </w:rPr>
        <w:t>,000,000</w:t>
      </w:r>
    </w:p>
    <w:p w14:paraId="1CE0CA72" w14:textId="0EFD78E8" w:rsidR="008724F0" w:rsidRDefault="008724F0" w:rsidP="003D0CA5">
      <w:pPr>
        <w:spacing w:after="0"/>
        <w:rPr>
          <w:rFonts w:cs="Arial"/>
          <w:b/>
          <w:sz w:val="24"/>
          <w:szCs w:val="24"/>
        </w:rPr>
      </w:pPr>
      <w:r w:rsidRPr="005964DA">
        <w:rPr>
          <w:rFonts w:cs="Arial"/>
          <w:b/>
          <w:sz w:val="24"/>
          <w:szCs w:val="24"/>
        </w:rPr>
        <w:t xml:space="preserve">Project Expenditure Category: </w:t>
      </w:r>
      <w:r w:rsidR="002A2B46" w:rsidRPr="00F7115F">
        <w:rPr>
          <w:rFonts w:cs="Arial"/>
          <w:b/>
          <w:sz w:val="24"/>
          <w:szCs w:val="24"/>
        </w:rPr>
        <w:t>1-Public Health</w:t>
      </w:r>
    </w:p>
    <w:p w14:paraId="73F86ACE" w14:textId="77777777" w:rsidR="003D0CA5" w:rsidRPr="003D0CA5" w:rsidRDefault="003D0CA5" w:rsidP="003D0CA5">
      <w:pPr>
        <w:spacing w:after="0"/>
        <w:rPr>
          <w:rFonts w:cs="Arial"/>
          <w:b/>
          <w:sz w:val="24"/>
          <w:szCs w:val="24"/>
        </w:rPr>
      </w:pPr>
    </w:p>
    <w:p w14:paraId="76C33DC5" w14:textId="77777777" w:rsidR="008724F0" w:rsidRPr="005964DA" w:rsidRDefault="008724F0" w:rsidP="008724F0">
      <w:pPr>
        <w:rPr>
          <w:rFonts w:cs="Arial"/>
          <w:color w:val="44546A" w:themeColor="text2"/>
        </w:rPr>
      </w:pPr>
      <w:r w:rsidRPr="005964DA">
        <w:rPr>
          <w:rFonts w:cs="Arial"/>
          <w:color w:val="44546A" w:themeColor="text2"/>
        </w:rPr>
        <w:t>Project Overview</w:t>
      </w:r>
    </w:p>
    <w:p w14:paraId="3F72DD51" w14:textId="6463E9C5" w:rsidR="004B2710" w:rsidRDefault="009518A9" w:rsidP="008724F0">
      <w:pPr>
        <w:rPr>
          <w:rFonts w:cs="Arial"/>
        </w:rPr>
      </w:pPr>
      <w:r>
        <w:rPr>
          <w:rFonts w:cs="Arial"/>
        </w:rPr>
        <w:t>The Executive Office of Health and Human Services (</w:t>
      </w:r>
      <w:r w:rsidR="004B2710" w:rsidRPr="004B2710">
        <w:rPr>
          <w:rFonts w:cs="Arial"/>
        </w:rPr>
        <w:t>EOHHS</w:t>
      </w:r>
      <w:r w:rsidR="00341525">
        <w:rPr>
          <w:rFonts w:cs="Arial"/>
        </w:rPr>
        <w:t>)</w:t>
      </w:r>
      <w:r w:rsidR="00955AD8">
        <w:rPr>
          <w:rFonts w:cs="Arial"/>
        </w:rPr>
        <w:t xml:space="preserve"> provided</w:t>
      </w:r>
      <w:r w:rsidR="004B2710" w:rsidRPr="004B2710">
        <w:rPr>
          <w:rFonts w:cs="Arial"/>
        </w:rPr>
        <w:t xml:space="preserve"> immediate time-limited rate enhancements from July through December 2021 to address the current workforce crisis in health and human services </w:t>
      </w:r>
      <w:proofErr w:type="gramStart"/>
      <w:r w:rsidR="004B2710" w:rsidRPr="004B2710">
        <w:rPr>
          <w:rFonts w:cs="Arial"/>
        </w:rPr>
        <w:t>as a result of</w:t>
      </w:r>
      <w:proofErr w:type="gramEnd"/>
      <w:r w:rsidR="004B2710" w:rsidRPr="004B2710">
        <w:rPr>
          <w:rFonts w:cs="Arial"/>
        </w:rPr>
        <w:t xml:space="preserve"> the COVID-19 public health emergency. This investment aimed at strengthening and stabilizing the state’s health and human services workforce. Provider</w:t>
      </w:r>
      <w:r w:rsidR="002B7985">
        <w:rPr>
          <w:rFonts w:cs="Arial"/>
        </w:rPr>
        <w:t>s</w:t>
      </w:r>
      <w:r w:rsidR="004B2710" w:rsidRPr="004B2710">
        <w:rPr>
          <w:rFonts w:cs="Arial"/>
        </w:rPr>
        <w:t xml:space="preserve"> receive</w:t>
      </w:r>
      <w:r w:rsidR="00955AD8">
        <w:rPr>
          <w:rFonts w:cs="Arial"/>
        </w:rPr>
        <w:t>d</w:t>
      </w:r>
      <w:r w:rsidR="004B2710" w:rsidRPr="004B2710">
        <w:rPr>
          <w:rFonts w:cs="Arial"/>
        </w:rPr>
        <w:t xml:space="preserve"> funds directly from the agency purchasing their services as a one-time, lump sum payment calculated based on recent actual spending. As a condition of receipt of these additional funds, eligible provider agencies complete</w:t>
      </w:r>
      <w:r w:rsidR="00955AD8">
        <w:rPr>
          <w:rFonts w:cs="Arial"/>
        </w:rPr>
        <w:t xml:space="preserve">d </w:t>
      </w:r>
      <w:r w:rsidR="004B2710" w:rsidRPr="004B2710">
        <w:rPr>
          <w:rFonts w:cs="Arial"/>
        </w:rPr>
        <w:t xml:space="preserve">an attestation assuring EOHHS that they will use at least 90% of the funds for direct care workforce development, which could include hiring and retention bonuses and other categories of worker compensation. </w:t>
      </w:r>
    </w:p>
    <w:p w14:paraId="00CFA475" w14:textId="48376DB9" w:rsidR="004B2710" w:rsidRDefault="004B2710" w:rsidP="008724F0">
      <w:pPr>
        <w:rPr>
          <w:rFonts w:cs="Arial"/>
        </w:rPr>
      </w:pPr>
      <w:r w:rsidRPr="004B2710">
        <w:rPr>
          <w:rFonts w:cs="Arial"/>
        </w:rPr>
        <w:t>Additionally, provider agencies that receive</w:t>
      </w:r>
      <w:r w:rsidR="00955AD8">
        <w:rPr>
          <w:rFonts w:cs="Arial"/>
        </w:rPr>
        <w:t>d</w:t>
      </w:r>
      <w:r w:rsidRPr="004B2710">
        <w:rPr>
          <w:rFonts w:cs="Arial"/>
        </w:rPr>
        <w:t xml:space="preserve"> enhanced funds are required to submit a spending report to EOHHS that accounts for how the enhanced funds were used. It is estimated that state agencies will receive the requisite funds for this project in mid- to late-August </w:t>
      </w:r>
      <w:r w:rsidR="00C90A31">
        <w:rPr>
          <w:rFonts w:cs="Arial"/>
        </w:rPr>
        <w:t xml:space="preserve">2022 </w:t>
      </w:r>
      <w:r w:rsidRPr="004B2710">
        <w:rPr>
          <w:rFonts w:cs="Arial"/>
        </w:rPr>
        <w:t xml:space="preserve">and disburse to providers shortly thereafter. </w:t>
      </w:r>
    </w:p>
    <w:p w14:paraId="79C496E8" w14:textId="722B43A9" w:rsidR="008724F0" w:rsidRPr="005964DA" w:rsidRDefault="008724F0" w:rsidP="008724F0">
      <w:pPr>
        <w:rPr>
          <w:rFonts w:cs="Arial"/>
          <w:color w:val="44546A" w:themeColor="text2"/>
        </w:rPr>
      </w:pPr>
      <w:r w:rsidRPr="005964DA">
        <w:rPr>
          <w:rFonts w:cs="Arial"/>
          <w:color w:val="44546A" w:themeColor="text2"/>
        </w:rPr>
        <w:t>Performance Report</w:t>
      </w:r>
    </w:p>
    <w:p w14:paraId="05DE4E2D" w14:textId="6E935170" w:rsidR="008724F0" w:rsidRPr="004806A5" w:rsidRDefault="00AE0512" w:rsidP="008724F0">
      <w:pPr>
        <w:rPr>
          <w:rFonts w:cs="Arial"/>
        </w:rPr>
      </w:pPr>
      <w:r>
        <w:rPr>
          <w:rFonts w:cs="Arial"/>
        </w:rPr>
        <w:t>EOHHS</w:t>
      </w:r>
      <w:r w:rsidR="00FA0EFB">
        <w:rPr>
          <w:rFonts w:cs="Arial"/>
        </w:rPr>
        <w:t xml:space="preserve"> will be collecting data </w:t>
      </w:r>
      <w:r w:rsidR="00835C98">
        <w:rPr>
          <w:rFonts w:cs="Arial"/>
        </w:rPr>
        <w:t xml:space="preserve">on </w:t>
      </w:r>
      <w:r w:rsidR="003C4B4A">
        <w:rPr>
          <w:rFonts w:cs="Arial"/>
        </w:rPr>
        <w:t>c</w:t>
      </w:r>
      <w:r w:rsidR="00FA0EFB" w:rsidRPr="00FA0EFB">
        <w:rPr>
          <w:rFonts w:cs="Arial"/>
        </w:rPr>
        <w:t xml:space="preserve">hange in total workforce numbers, change in retention ratios, change in open job postings, reduction in overtime billing, </w:t>
      </w:r>
      <w:r w:rsidR="00B26313">
        <w:rPr>
          <w:rFonts w:cs="Arial"/>
        </w:rPr>
        <w:t>n</w:t>
      </w:r>
      <w:r w:rsidR="001E1A43" w:rsidRPr="00FA0EFB">
        <w:rPr>
          <w:rFonts w:cs="Arial"/>
        </w:rPr>
        <w:t>umber</w:t>
      </w:r>
      <w:r w:rsidR="00FA0EFB" w:rsidRPr="00FA0EFB">
        <w:rPr>
          <w:rFonts w:cs="Arial"/>
        </w:rPr>
        <w:t xml:space="preserve"> of payments made, </w:t>
      </w:r>
      <w:r w:rsidR="00B26313">
        <w:rPr>
          <w:rFonts w:cs="Arial"/>
        </w:rPr>
        <w:t>and</w:t>
      </w:r>
      <w:r w:rsidR="001E1A43" w:rsidRPr="00FA0EFB">
        <w:rPr>
          <w:rFonts w:cs="Arial"/>
        </w:rPr>
        <w:t xml:space="preserve"> </w:t>
      </w:r>
      <w:r w:rsidR="00FA0EFB" w:rsidRPr="00FA0EFB">
        <w:rPr>
          <w:rFonts w:cs="Arial"/>
        </w:rPr>
        <w:t>number of workers who received retention or recruitment bonuses</w:t>
      </w:r>
      <w:r w:rsidR="00B26313">
        <w:rPr>
          <w:rFonts w:cs="Arial"/>
        </w:rPr>
        <w:t>. This information</w:t>
      </w:r>
      <w:r w:rsidR="00FA0EFB" w:rsidRPr="00FA0EFB">
        <w:rPr>
          <w:rFonts w:cs="Arial"/>
        </w:rPr>
        <w:t xml:space="preserve"> </w:t>
      </w:r>
      <w:r w:rsidR="008315BE">
        <w:rPr>
          <w:rFonts w:cs="Arial"/>
        </w:rPr>
        <w:t xml:space="preserve">will be collected </w:t>
      </w:r>
      <w:r w:rsidR="003B7DDD">
        <w:rPr>
          <w:rFonts w:cs="Arial"/>
        </w:rPr>
        <w:t>at the end of the program</w:t>
      </w:r>
      <w:r w:rsidR="00C90A31">
        <w:rPr>
          <w:rFonts w:cs="Arial"/>
        </w:rPr>
        <w:t xml:space="preserve"> and will be reported in subsequent annual performance reports</w:t>
      </w:r>
      <w:r w:rsidR="003B7DDD">
        <w:rPr>
          <w:rFonts w:cs="Arial"/>
        </w:rPr>
        <w:t>.</w:t>
      </w:r>
    </w:p>
    <w:p w14:paraId="6038EFAE" w14:textId="77777777" w:rsidR="003157A9" w:rsidRPr="00F7115F" w:rsidRDefault="003157A9" w:rsidP="003B7DDD">
      <w:pPr>
        <w:spacing w:after="0"/>
        <w:rPr>
          <w:rFonts w:cs="Arial"/>
          <w:b/>
          <w:sz w:val="24"/>
          <w:szCs w:val="24"/>
        </w:rPr>
      </w:pPr>
      <w:r w:rsidRPr="00F7115F">
        <w:rPr>
          <w:rFonts w:cs="Arial"/>
          <w:b/>
          <w:sz w:val="24"/>
          <w:szCs w:val="24"/>
        </w:rPr>
        <w:t>COVID-19 Temporary Paid Sick Leave Program</w:t>
      </w:r>
    </w:p>
    <w:p w14:paraId="564308AC" w14:textId="4192DF76" w:rsidR="003B7DDD" w:rsidRPr="005964DA" w:rsidRDefault="003B7DDD" w:rsidP="003B7DDD">
      <w:pPr>
        <w:spacing w:after="0"/>
        <w:rPr>
          <w:rFonts w:cs="Arial"/>
          <w:b/>
          <w:sz w:val="24"/>
          <w:szCs w:val="24"/>
        </w:rPr>
      </w:pPr>
      <w:r w:rsidRPr="005964DA">
        <w:rPr>
          <w:rFonts w:cs="Arial"/>
          <w:b/>
          <w:sz w:val="24"/>
          <w:szCs w:val="24"/>
        </w:rPr>
        <w:t xml:space="preserve">Number: </w:t>
      </w:r>
      <w:r w:rsidRPr="00F7115F">
        <w:rPr>
          <w:rFonts w:cs="Arial"/>
          <w:b/>
          <w:sz w:val="24"/>
          <w:szCs w:val="24"/>
        </w:rPr>
        <w:t>CSF</w:t>
      </w:r>
      <w:r w:rsidR="009E42B2" w:rsidRPr="00F7115F">
        <w:rPr>
          <w:rFonts w:cs="Arial"/>
          <w:b/>
          <w:sz w:val="24"/>
          <w:szCs w:val="24"/>
        </w:rPr>
        <w:t>DOREPSL</w:t>
      </w:r>
    </w:p>
    <w:p w14:paraId="64B07F8E" w14:textId="7BAE8E4B" w:rsidR="003B7DDD" w:rsidRPr="00E23FEA" w:rsidRDefault="003B7DDD" w:rsidP="00DA58E0">
      <w:pPr>
        <w:spacing w:after="0"/>
        <w:rPr>
          <w:rFonts w:asciiTheme="minorHAnsi" w:hAnsiTheme="minorHAnsi"/>
        </w:rPr>
      </w:pPr>
      <w:r w:rsidRPr="005964DA">
        <w:rPr>
          <w:rFonts w:cs="Arial"/>
          <w:b/>
          <w:sz w:val="24"/>
          <w:szCs w:val="24"/>
        </w:rPr>
        <w:t xml:space="preserve">Funding </w:t>
      </w:r>
      <w:r w:rsidRPr="005F47EF">
        <w:rPr>
          <w:rFonts w:cs="Arial"/>
          <w:b/>
          <w:sz w:val="24"/>
          <w:szCs w:val="24"/>
        </w:rPr>
        <w:t xml:space="preserve">amount: </w:t>
      </w:r>
      <w:r w:rsidR="005F47EF" w:rsidRPr="005F47EF">
        <w:rPr>
          <w:rFonts w:cs="Arial"/>
          <w:b/>
          <w:sz w:val="24"/>
          <w:szCs w:val="24"/>
          <w:shd w:val="clear" w:color="auto" w:fill="FAF9F8"/>
        </w:rPr>
        <w:t>$</w:t>
      </w:r>
      <w:r w:rsidR="00ED438F" w:rsidRPr="00ED438F">
        <w:rPr>
          <w:rFonts w:cs="Arial"/>
          <w:b/>
          <w:sz w:val="24"/>
          <w:szCs w:val="24"/>
          <w:shd w:val="clear" w:color="auto" w:fill="FAF9F8"/>
        </w:rPr>
        <w:t xml:space="preserve"> </w:t>
      </w:r>
      <w:r w:rsidR="00ED438F">
        <w:rPr>
          <w:rFonts w:cs="Arial"/>
          <w:b/>
          <w:sz w:val="24"/>
          <w:szCs w:val="24"/>
          <w:shd w:val="clear" w:color="auto" w:fill="FAF9F8"/>
        </w:rPr>
        <w:t>159,080</w:t>
      </w:r>
      <w:r w:rsidR="00E23FEA">
        <w:rPr>
          <w:rFonts w:cs="Arial"/>
          <w:b/>
          <w:sz w:val="24"/>
          <w:szCs w:val="24"/>
          <w:shd w:val="clear" w:color="auto" w:fill="FAF9F8"/>
        </w:rPr>
        <w:t>,473</w:t>
      </w:r>
    </w:p>
    <w:p w14:paraId="621A58F4" w14:textId="77777777" w:rsidR="003B7DDD" w:rsidRPr="005964DA" w:rsidRDefault="003B7DDD" w:rsidP="003B7DDD">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1-Public Health</w:t>
      </w:r>
    </w:p>
    <w:p w14:paraId="27D377D6" w14:textId="77777777" w:rsidR="003B7DDD" w:rsidRDefault="003B7DDD" w:rsidP="003B7DDD">
      <w:pPr>
        <w:rPr>
          <w:rFonts w:cs="Arial"/>
          <w:b/>
          <w:bCs/>
          <w:i/>
          <w:iCs/>
          <w:color w:val="44546A" w:themeColor="text2"/>
          <w:u w:val="single"/>
        </w:rPr>
      </w:pPr>
    </w:p>
    <w:p w14:paraId="76A9157F" w14:textId="77777777" w:rsidR="003B7DDD" w:rsidRPr="005964DA" w:rsidRDefault="003B7DDD" w:rsidP="003B7DDD">
      <w:pPr>
        <w:rPr>
          <w:rFonts w:cs="Arial"/>
          <w:color w:val="44546A" w:themeColor="text2"/>
        </w:rPr>
      </w:pPr>
      <w:r w:rsidRPr="005964DA">
        <w:rPr>
          <w:rFonts w:cs="Arial"/>
          <w:color w:val="44546A" w:themeColor="text2"/>
        </w:rPr>
        <w:t>Project Overview</w:t>
      </w:r>
    </w:p>
    <w:p w14:paraId="4B46D2E5" w14:textId="77777777" w:rsidR="00480CB1" w:rsidRPr="00A3401A" w:rsidRDefault="00480CB1" w:rsidP="00480CB1">
      <w:pPr>
        <w:spacing w:line="276" w:lineRule="auto"/>
        <w:rPr>
          <w:rFonts w:cs="Arial"/>
        </w:rPr>
      </w:pPr>
      <w:r w:rsidRPr="00A3401A">
        <w:rPr>
          <w:rFonts w:cs="Arial"/>
        </w:rPr>
        <w:t>Massachusetts allocated $75 million from the CSFRF to the Paid Sick Leave Program to respond to the COVID-19 public health emergency. The</w:t>
      </w:r>
      <w:r w:rsidRPr="00A3401A" w:rsidDel="00B12A8B">
        <w:rPr>
          <w:rFonts w:cs="Arial"/>
        </w:rPr>
        <w:t xml:space="preserve"> </w:t>
      </w:r>
      <w:r w:rsidRPr="00A3401A">
        <w:rPr>
          <w:rFonts w:cs="Arial"/>
        </w:rPr>
        <w:t xml:space="preserve">goal of this program was to reduce job-related obstacles for Massachusetts residents who were recovering from, quarantining for, </w:t>
      </w:r>
      <w:r w:rsidRPr="00A3401A">
        <w:rPr>
          <w:rFonts w:cs="Arial"/>
        </w:rPr>
        <w:lastRenderedPageBreak/>
        <w:t xml:space="preserve">and/or being vaccinated against COVID-19. In particular, the program was intended to support lower-wage workers who may not otherwise have access to paid sick leave. </w:t>
      </w:r>
    </w:p>
    <w:p w14:paraId="77156EBC" w14:textId="77777777" w:rsidR="00480CB1" w:rsidRPr="009E4E1D" w:rsidRDefault="00480CB1" w:rsidP="00480CB1">
      <w:pPr>
        <w:spacing w:line="276" w:lineRule="auto"/>
        <w:rPr>
          <w:rFonts w:cs="Times New Roman"/>
        </w:rPr>
      </w:pPr>
      <w:r w:rsidRPr="00A3401A">
        <w:rPr>
          <w:rFonts w:cs="Arial"/>
        </w:rPr>
        <w:t>A total of $75 million was transferred to the COVID-19 Massachusetts Emergency Paid Sick Leave Fund in June 2021. The Massachusetts Legislature authorized an additional $25 million for the program in the Acts of 2022 Chapter 22. The original law included a provision to reimburse costs submitted before the end of the program but not otherwise covered within the appropriation amount. The program concluded on March 15, 2022, but</w:t>
      </w:r>
      <w:r w:rsidRPr="00A3401A" w:rsidDel="00B9311C">
        <w:rPr>
          <w:rFonts w:cs="Arial"/>
        </w:rPr>
        <w:t xml:space="preserve"> </w:t>
      </w:r>
      <w:r w:rsidRPr="00A3401A">
        <w:rPr>
          <w:rFonts w:cs="Arial"/>
        </w:rPr>
        <w:t xml:space="preserve">employers were able to apply for reimbursement to the Commonwealth until April 29, 2022. The total cost of the program was approximately $160 million. </w:t>
      </w:r>
    </w:p>
    <w:p w14:paraId="267CB606" w14:textId="77777777" w:rsidR="003B7DDD" w:rsidRPr="005964DA" w:rsidRDefault="003B7DDD" w:rsidP="003B7DDD">
      <w:pPr>
        <w:rPr>
          <w:rFonts w:cs="Arial"/>
          <w:color w:val="44546A" w:themeColor="text2"/>
        </w:rPr>
      </w:pPr>
      <w:r w:rsidRPr="005964DA">
        <w:rPr>
          <w:rFonts w:cs="Arial"/>
          <w:color w:val="44546A" w:themeColor="text2"/>
        </w:rPr>
        <w:t>Performance Report</w:t>
      </w:r>
    </w:p>
    <w:p w14:paraId="7BCD748D" w14:textId="4E362AC4" w:rsidR="000D25DD" w:rsidRPr="000D25DD" w:rsidRDefault="000D25DD" w:rsidP="000D25DD">
      <w:pPr>
        <w:rPr>
          <w:rFonts w:cs="Arial"/>
        </w:rPr>
      </w:pPr>
      <w:r w:rsidRPr="000D25DD">
        <w:rPr>
          <w:rFonts w:cs="Arial"/>
        </w:rPr>
        <w:t xml:space="preserve">The Department of Revenue reported in </w:t>
      </w:r>
      <w:r w:rsidR="008E2DA3">
        <w:rPr>
          <w:rFonts w:cs="Arial"/>
        </w:rPr>
        <w:t>June</w:t>
      </w:r>
      <w:r w:rsidRPr="000D25DD">
        <w:rPr>
          <w:rFonts w:cs="Arial"/>
        </w:rPr>
        <w:t xml:space="preserve"> 202</w:t>
      </w:r>
      <w:r w:rsidR="008E2DA3">
        <w:rPr>
          <w:rFonts w:cs="Arial"/>
        </w:rPr>
        <w:t>2</w:t>
      </w:r>
      <w:r w:rsidRPr="000D25DD">
        <w:rPr>
          <w:rFonts w:cs="Arial"/>
        </w:rPr>
        <w:t xml:space="preserve">, </w:t>
      </w:r>
      <w:r w:rsidR="008E2DA3">
        <w:rPr>
          <w:rFonts w:cs="Arial"/>
        </w:rPr>
        <w:t>43,788</w:t>
      </w:r>
      <w:r w:rsidRPr="000D25DD">
        <w:rPr>
          <w:rFonts w:cs="Arial"/>
        </w:rPr>
        <w:t xml:space="preserve"> payments had been processed and paid out. The total amount of reimbursement processed and paid out was $</w:t>
      </w:r>
      <w:r w:rsidR="007D0BB5">
        <w:rPr>
          <w:rFonts w:cs="Arial"/>
        </w:rPr>
        <w:t>15</w:t>
      </w:r>
      <w:r w:rsidR="00C839B4">
        <w:rPr>
          <w:rFonts w:cs="Arial"/>
        </w:rPr>
        <w:t>9,080,473</w:t>
      </w:r>
      <w:r w:rsidRPr="000D25DD">
        <w:rPr>
          <w:rFonts w:cs="Arial"/>
        </w:rPr>
        <w:t xml:space="preserve">.  </w:t>
      </w:r>
    </w:p>
    <w:p w14:paraId="69D4B761" w14:textId="06C3E103" w:rsidR="00022A19" w:rsidRPr="005964DA" w:rsidRDefault="00022A19" w:rsidP="00022A19">
      <w:pPr>
        <w:spacing w:after="0"/>
        <w:rPr>
          <w:rFonts w:cs="Arial"/>
          <w:b/>
          <w:sz w:val="24"/>
          <w:szCs w:val="24"/>
        </w:rPr>
      </w:pPr>
      <w:r w:rsidRPr="00F7115F">
        <w:rPr>
          <w:rFonts w:cs="Arial"/>
          <w:b/>
          <w:sz w:val="24"/>
          <w:szCs w:val="24"/>
        </w:rPr>
        <w:t>Fiscally Strained Hospital</w:t>
      </w:r>
    </w:p>
    <w:p w14:paraId="208BE69F" w14:textId="46A6B596" w:rsidR="00022A19" w:rsidRPr="005964DA" w:rsidRDefault="00022A19" w:rsidP="00022A19">
      <w:pPr>
        <w:spacing w:after="0"/>
        <w:rPr>
          <w:rFonts w:cs="Arial"/>
          <w:b/>
          <w:sz w:val="24"/>
          <w:szCs w:val="24"/>
        </w:rPr>
      </w:pPr>
      <w:r w:rsidRPr="005964DA">
        <w:rPr>
          <w:rFonts w:cs="Arial"/>
          <w:b/>
          <w:sz w:val="24"/>
          <w:szCs w:val="24"/>
        </w:rPr>
        <w:t xml:space="preserve">Project Identification Number: </w:t>
      </w:r>
      <w:r w:rsidR="00914682" w:rsidRPr="00F7115F">
        <w:rPr>
          <w:rFonts w:cs="Arial"/>
          <w:b/>
          <w:sz w:val="24"/>
          <w:szCs w:val="24"/>
        </w:rPr>
        <w:t>CSFEHSFD01</w:t>
      </w:r>
    </w:p>
    <w:p w14:paraId="321B2832" w14:textId="51B3CA9D" w:rsidR="00022A19" w:rsidRPr="005964DA" w:rsidRDefault="00022A19" w:rsidP="00022A19">
      <w:pPr>
        <w:spacing w:after="0"/>
        <w:rPr>
          <w:rFonts w:cs="Arial"/>
          <w:b/>
          <w:sz w:val="24"/>
          <w:szCs w:val="24"/>
        </w:rPr>
      </w:pPr>
      <w:r w:rsidRPr="005964DA">
        <w:rPr>
          <w:rFonts w:cs="Arial"/>
          <w:b/>
          <w:sz w:val="24"/>
          <w:szCs w:val="24"/>
        </w:rPr>
        <w:t xml:space="preserve">Funding amount: </w:t>
      </w:r>
      <w:r w:rsidRPr="00F7115F">
        <w:rPr>
          <w:rFonts w:cs="Arial"/>
          <w:b/>
          <w:sz w:val="24"/>
          <w:szCs w:val="24"/>
        </w:rPr>
        <w:t>$</w:t>
      </w:r>
      <w:r w:rsidR="00667A7B" w:rsidRPr="00F7115F">
        <w:rPr>
          <w:rFonts w:cs="Arial"/>
          <w:b/>
          <w:sz w:val="24"/>
          <w:szCs w:val="24"/>
        </w:rPr>
        <w:t>250</w:t>
      </w:r>
      <w:r w:rsidRPr="00F7115F">
        <w:rPr>
          <w:rFonts w:cs="Arial"/>
          <w:b/>
          <w:sz w:val="24"/>
          <w:szCs w:val="24"/>
        </w:rPr>
        <w:t>,000,000</w:t>
      </w:r>
      <w:r w:rsidR="00667A7B" w:rsidRPr="00F7115F">
        <w:rPr>
          <w:rFonts w:cs="Arial"/>
          <w:b/>
          <w:sz w:val="24"/>
          <w:szCs w:val="24"/>
        </w:rPr>
        <w:t>.00</w:t>
      </w:r>
    </w:p>
    <w:p w14:paraId="30DFE91B" w14:textId="507D648E" w:rsidR="00022A19" w:rsidRDefault="00022A19" w:rsidP="007D2798">
      <w:pPr>
        <w:spacing w:after="0"/>
        <w:rPr>
          <w:rFonts w:cs="Arial"/>
          <w:b/>
          <w:sz w:val="24"/>
          <w:szCs w:val="24"/>
        </w:rPr>
      </w:pPr>
      <w:r w:rsidRPr="005964DA">
        <w:rPr>
          <w:rFonts w:cs="Arial"/>
          <w:b/>
          <w:sz w:val="24"/>
          <w:szCs w:val="24"/>
        </w:rPr>
        <w:t xml:space="preserve">Project Expenditure Category: </w:t>
      </w:r>
      <w:r w:rsidR="00FE694E" w:rsidRPr="00F7115F">
        <w:rPr>
          <w:rFonts w:cs="Arial"/>
          <w:b/>
          <w:sz w:val="24"/>
          <w:szCs w:val="24"/>
        </w:rPr>
        <w:t>1-Public Health</w:t>
      </w:r>
    </w:p>
    <w:p w14:paraId="6BE1038A" w14:textId="77777777" w:rsidR="007D2798" w:rsidRPr="007D2798" w:rsidRDefault="007D2798" w:rsidP="007D2798">
      <w:pPr>
        <w:spacing w:after="0"/>
        <w:rPr>
          <w:rFonts w:cs="Arial"/>
          <w:b/>
          <w:sz w:val="24"/>
          <w:szCs w:val="24"/>
        </w:rPr>
      </w:pPr>
    </w:p>
    <w:p w14:paraId="18FE9118" w14:textId="77777777" w:rsidR="00022A19" w:rsidRPr="005964DA" w:rsidRDefault="00022A19" w:rsidP="00022A19">
      <w:pPr>
        <w:rPr>
          <w:rFonts w:cs="Arial"/>
          <w:color w:val="44546A" w:themeColor="text2"/>
        </w:rPr>
      </w:pPr>
      <w:r w:rsidRPr="005964DA">
        <w:rPr>
          <w:rFonts w:cs="Arial"/>
          <w:color w:val="44546A" w:themeColor="text2"/>
        </w:rPr>
        <w:t>Project Overview</w:t>
      </w:r>
    </w:p>
    <w:p w14:paraId="2064AADA" w14:textId="77777777" w:rsidR="00E20FFC" w:rsidRPr="00E20FFC" w:rsidRDefault="00E20FFC" w:rsidP="00E20FFC">
      <w:pPr>
        <w:rPr>
          <w:rFonts w:cs="Arial"/>
        </w:rPr>
      </w:pPr>
      <w:r w:rsidRPr="00E20FFC">
        <w:rPr>
          <w:rFonts w:cs="Arial"/>
        </w:rPr>
        <w:t xml:space="preserve">The COVID-19 Public Health Emergency Hospital Relief Trust Fund provides financial support to eligible hospitals and affiliated hospital health care providers to prevent, prepare for, and respond to COVID-19. The program seeks to ensure the continued availability of hospital services in Massachusetts during and after the end of the pandemic. </w:t>
      </w:r>
    </w:p>
    <w:p w14:paraId="50FB3739" w14:textId="77777777" w:rsidR="00E20FFC" w:rsidRPr="00E20FFC" w:rsidRDefault="00E20FFC" w:rsidP="00E20FFC">
      <w:pPr>
        <w:rPr>
          <w:rFonts w:cs="Arial"/>
          <w:i/>
          <w:iCs/>
        </w:rPr>
      </w:pPr>
      <w:r w:rsidRPr="00E20FFC">
        <w:rPr>
          <w:rFonts w:cs="Arial"/>
        </w:rPr>
        <w:t xml:space="preserve">The program also aims to prevent any further deterioration in provider fiscal performance. The program is organized into tiers to determine where the largest sum of grants should be provided – the most fiscally strained hospitals. The following is the breakdown of the tiers: </w:t>
      </w:r>
    </w:p>
    <w:p w14:paraId="5082713A" w14:textId="77777777" w:rsidR="00E20FFC" w:rsidRPr="00E20FFC" w:rsidRDefault="00E20FFC" w:rsidP="00E20FFC">
      <w:pPr>
        <w:pStyle w:val="ListParagraph"/>
        <w:numPr>
          <w:ilvl w:val="0"/>
          <w:numId w:val="46"/>
        </w:numPr>
        <w:rPr>
          <w:rFonts w:cs="Arial"/>
        </w:rPr>
      </w:pPr>
      <w:r w:rsidRPr="00E20FFC">
        <w:rPr>
          <w:rFonts w:cs="Arial"/>
        </w:rPr>
        <w:t>Tiers 1 and 2 include Massachusetts hospitals with the highest Medicaid payer mix (Medicaid revenues as a proportion of total revenues),</w:t>
      </w:r>
    </w:p>
    <w:p w14:paraId="373EB103" w14:textId="77777777" w:rsidR="00E20FFC" w:rsidRPr="00E20FFC" w:rsidRDefault="00E20FFC" w:rsidP="00E20FFC">
      <w:pPr>
        <w:pStyle w:val="ListParagraph"/>
        <w:numPr>
          <w:ilvl w:val="0"/>
          <w:numId w:val="46"/>
        </w:numPr>
        <w:rPr>
          <w:rFonts w:cs="Arial"/>
        </w:rPr>
      </w:pPr>
      <w:r w:rsidRPr="00E20FFC">
        <w:rPr>
          <w:rFonts w:cs="Arial"/>
        </w:rPr>
        <w:t>Tier 3 recognizes independent acute hospitals (hospitals that do not have the backing of a system) that are not eligible for tier 1 or 2,</w:t>
      </w:r>
    </w:p>
    <w:p w14:paraId="7B198BFD" w14:textId="77777777" w:rsidR="00E20FFC" w:rsidRPr="00E20FFC" w:rsidRDefault="00E20FFC" w:rsidP="00E20FFC">
      <w:pPr>
        <w:pStyle w:val="ListParagraph"/>
        <w:numPr>
          <w:ilvl w:val="0"/>
          <w:numId w:val="46"/>
        </w:numPr>
        <w:rPr>
          <w:rFonts w:cs="Arial"/>
        </w:rPr>
      </w:pPr>
      <w:r w:rsidRPr="00E20FFC">
        <w:rPr>
          <w:rFonts w:cs="Arial"/>
        </w:rPr>
        <w:t>Tiers 4 and 5 guarantee that non-acute hospitals or hospital systems that responded to the pandemic receive some funding if they are not affiliated with any other hospital that received funding in tier 1, 2 or 3,</w:t>
      </w:r>
    </w:p>
    <w:p w14:paraId="1E1C6931" w14:textId="77777777" w:rsidR="00E20FFC" w:rsidRPr="00E20FFC" w:rsidRDefault="00E20FFC" w:rsidP="00E20FFC">
      <w:pPr>
        <w:pStyle w:val="ListParagraph"/>
        <w:numPr>
          <w:ilvl w:val="0"/>
          <w:numId w:val="46"/>
        </w:numPr>
        <w:rPr>
          <w:rFonts w:cs="Arial"/>
        </w:rPr>
      </w:pPr>
      <w:r w:rsidRPr="00E20FFC">
        <w:rPr>
          <w:rFonts w:cs="Arial"/>
        </w:rPr>
        <w:t xml:space="preserve">Tier 6 respondents are the least fiscally strained hospitals/systems in the state.  </w:t>
      </w:r>
    </w:p>
    <w:p w14:paraId="12491C88" w14:textId="77777777" w:rsidR="00022A19" w:rsidRPr="005964DA" w:rsidRDefault="00022A19" w:rsidP="00022A19">
      <w:pPr>
        <w:rPr>
          <w:rFonts w:cs="Arial"/>
          <w:color w:val="44546A" w:themeColor="text2"/>
        </w:rPr>
      </w:pPr>
      <w:r w:rsidRPr="005964DA">
        <w:rPr>
          <w:rFonts w:cs="Arial"/>
          <w:color w:val="44546A" w:themeColor="text2"/>
        </w:rPr>
        <w:t>Performance Report</w:t>
      </w:r>
    </w:p>
    <w:p w14:paraId="1AC69B2F" w14:textId="41FB1BAF" w:rsidR="00E7335B" w:rsidRPr="00E7335B" w:rsidRDefault="00E7335B" w:rsidP="00E7335B">
      <w:pPr>
        <w:rPr>
          <w:rFonts w:cs="Arial"/>
        </w:rPr>
      </w:pPr>
      <w:r w:rsidRPr="00E7335B">
        <w:rPr>
          <w:rFonts w:cs="Arial"/>
        </w:rPr>
        <w:t>As providers are awarded grants from the program, they are required to report on a quarterly basis</w:t>
      </w:r>
      <w:r w:rsidR="00965547">
        <w:rPr>
          <w:rFonts w:cs="Arial"/>
        </w:rPr>
        <w:t>,</w:t>
      </w:r>
      <w:r w:rsidRPr="00E7335B">
        <w:rPr>
          <w:rFonts w:cs="Arial"/>
        </w:rPr>
        <w:t xml:space="preserve"> the operating margin, the non-operating margin, and the total margin. The recipients will continue to report quarterly until their payment agreement expires. </w:t>
      </w:r>
    </w:p>
    <w:p w14:paraId="26A0271F" w14:textId="11EBA885" w:rsidR="00E94CC1" w:rsidRDefault="00E7335B" w:rsidP="00807051">
      <w:pPr>
        <w:rPr>
          <w:rFonts w:cs="Arial"/>
        </w:rPr>
      </w:pPr>
      <w:r w:rsidRPr="00E7335B">
        <w:rPr>
          <w:rFonts w:cs="Arial"/>
        </w:rPr>
        <w:t xml:space="preserve">The program began in the Spring of 2022 and the collection of the performance indicators is projected to be completed by the beginning of August 2022. A report of these indicators will be included in the Recovery Performance Plan Report in August 2023. </w:t>
      </w:r>
    </w:p>
    <w:p w14:paraId="182480BF" w14:textId="4DAAFF52" w:rsidR="00EE1E3A" w:rsidRPr="00F45BC5" w:rsidRDefault="00723C66" w:rsidP="00F45BC5">
      <w:pPr>
        <w:pStyle w:val="Heading1"/>
        <w:spacing w:after="240"/>
        <w:rPr>
          <w:rFonts w:cs="Arial"/>
        </w:rPr>
      </w:pPr>
      <w:bookmarkStart w:id="11" w:name="_Toc109990569"/>
      <w:r>
        <w:lastRenderedPageBreak/>
        <w:t>Tax Offset Provision</w:t>
      </w:r>
      <w:bookmarkEnd w:id="11"/>
    </w:p>
    <w:p w14:paraId="3E247438" w14:textId="2182A6AC" w:rsidR="000A6192" w:rsidRPr="00E94CC1" w:rsidRDefault="00EE1E3A" w:rsidP="00E94CC1">
      <w:pPr>
        <w:rPr>
          <w:rFonts w:cs="Arial"/>
          <w:b/>
          <w:bCs/>
        </w:rPr>
      </w:pPr>
      <w:r>
        <w:rPr>
          <w:rFonts w:cs="Arial"/>
        </w:rPr>
        <w:t xml:space="preserve">The Commonwealth of Massachusetts </w:t>
      </w:r>
      <w:r w:rsidR="000F381B">
        <w:rPr>
          <w:rFonts w:cs="Arial"/>
        </w:rPr>
        <w:t>has no revenue-reducing covered changes to report for the re</w:t>
      </w:r>
      <w:r w:rsidR="009C262A">
        <w:rPr>
          <w:rFonts w:cs="Arial"/>
        </w:rPr>
        <w:t xml:space="preserve">quested fiscal year and for future fiscal years. </w:t>
      </w:r>
      <w:r w:rsidR="00E94CC1">
        <w:rPr>
          <w:rFonts w:cs="Arial"/>
          <w:b/>
          <w:bCs/>
        </w:rPr>
        <w:br w:type="page"/>
      </w:r>
    </w:p>
    <w:p w14:paraId="6D5CEB4A" w14:textId="756EB4F6" w:rsidR="000A6192" w:rsidRDefault="00980A1A" w:rsidP="00F45BC5">
      <w:pPr>
        <w:pStyle w:val="Heading1"/>
        <w:spacing w:after="240"/>
      </w:pPr>
      <w:bookmarkStart w:id="12" w:name="_Toc109990570"/>
      <w:r>
        <w:lastRenderedPageBreak/>
        <w:t>A</w:t>
      </w:r>
      <w:r w:rsidR="00723C66">
        <w:t>ppendix</w:t>
      </w:r>
      <w:bookmarkEnd w:id="12"/>
    </w:p>
    <w:p w14:paraId="29A32C64" w14:textId="7B89F51B" w:rsidR="00003E71" w:rsidRDefault="000A6192" w:rsidP="00E94CC1">
      <w:pPr>
        <w:pStyle w:val="Heading2"/>
        <w:spacing w:after="240"/>
      </w:pPr>
      <w:bookmarkStart w:id="13" w:name="_Toc109990571"/>
      <w:r>
        <w:t>Appendix I</w:t>
      </w:r>
      <w:r w:rsidR="00B3480A">
        <w:t>:</w:t>
      </w:r>
      <w:r w:rsidR="00003E71">
        <w:t xml:space="preserve"> Framework for Use of Evidence-Based Interventions</w:t>
      </w:r>
      <w:bookmarkEnd w:id="13"/>
    </w:p>
    <w:p w14:paraId="73EAB637" w14:textId="77777777" w:rsidR="00003E71" w:rsidRPr="0091680B" w:rsidRDefault="00003E71" w:rsidP="00B25583">
      <w:pPr>
        <w:rPr>
          <w:rFonts w:cs="Arial"/>
        </w:rPr>
      </w:pPr>
      <w:r w:rsidRPr="00E94CC1">
        <w:rPr>
          <w:rFonts w:eastAsia="Calibri" w:cs="Arial"/>
        </w:rPr>
        <w:t>In developing Massachusetts' proposed Recovery Plan, the Commonwealth has focused on directing funds to existing programs that have a track record of strong implementation and outcomes, but that lack sufficient resources to meet demand and need for their services.  As the Administration and the Legislature work together to refine and implement Massachusetts’ Recovery Plan, the Commonwealth will develop a plan for project selection and performance monitoring in which, wherever possible, the Commonwealth will apply CSFRF funds to projects that are evidence-based interventions designed to achieve</w:t>
      </w:r>
      <w:r w:rsidRPr="0091680B">
        <w:rPr>
          <w:rFonts w:eastAsia="Calibri" w:cs="Arial"/>
        </w:rPr>
        <w:t xml:space="preserve"> defined, measurable outcomes that materially support our communities’ recovery from the effects of the COVID-19 pandemic.  Such evidence-based projects will:</w:t>
      </w:r>
    </w:p>
    <w:p w14:paraId="0E5D5D89" w14:textId="390887F9" w:rsidR="00003E71" w:rsidRPr="009704DB" w:rsidRDefault="00003E71" w:rsidP="0072783E">
      <w:pPr>
        <w:pStyle w:val="ListParagraph"/>
        <w:numPr>
          <w:ilvl w:val="0"/>
          <w:numId w:val="51"/>
        </w:numPr>
        <w:rPr>
          <w:rFonts w:eastAsiaTheme="minorEastAsia" w:cs="Arial"/>
        </w:rPr>
      </w:pPr>
      <w:r w:rsidRPr="0072783E">
        <w:rPr>
          <w:rFonts w:eastAsia="Calibri" w:cs="Arial"/>
        </w:rPr>
        <w:t>Demonstrate statistically significant effects on improving relevant community outcomes based on evidence</w:t>
      </w:r>
      <w:r w:rsidRPr="0091680B">
        <w:rPr>
          <w:rStyle w:val="FootnoteReference"/>
          <w:rFonts w:eastAsia="Calibri" w:cs="Arial"/>
        </w:rPr>
        <w:footnoteReference w:id="2"/>
      </w:r>
      <w:r w:rsidRPr="0072783E">
        <w:rPr>
          <w:rFonts w:eastAsia="Calibri" w:cs="Arial"/>
        </w:rPr>
        <w:t xml:space="preserve"> from well-designed and well-implemented experimental studies; or</w:t>
      </w:r>
    </w:p>
    <w:p w14:paraId="2EDA067F" w14:textId="0C521840" w:rsidR="00003E71" w:rsidRPr="009704DB" w:rsidRDefault="00003E71" w:rsidP="0072783E">
      <w:pPr>
        <w:pStyle w:val="ListParagraph"/>
        <w:numPr>
          <w:ilvl w:val="0"/>
          <w:numId w:val="51"/>
        </w:numPr>
        <w:rPr>
          <w:rFonts w:cs="Arial"/>
        </w:rPr>
      </w:pPr>
      <w:r w:rsidRPr="0072783E">
        <w:rPr>
          <w:rFonts w:eastAsia="Calibri" w:cs="Arial"/>
        </w:rPr>
        <w:t>Demonstrate a rationale based on high-quality research findings or positive evaluation that such interventions are likely to improve relevant community outcomes; and</w:t>
      </w:r>
    </w:p>
    <w:p w14:paraId="7D37F2AD" w14:textId="77777777" w:rsidR="00003E71" w:rsidRPr="009704DB" w:rsidRDefault="00003E71" w:rsidP="0072783E">
      <w:pPr>
        <w:pStyle w:val="ListParagraph"/>
        <w:numPr>
          <w:ilvl w:val="0"/>
          <w:numId w:val="51"/>
        </w:numPr>
        <w:rPr>
          <w:rFonts w:cs="Arial"/>
        </w:rPr>
      </w:pPr>
      <w:r w:rsidRPr="0072783E">
        <w:rPr>
          <w:rFonts w:eastAsia="Calibri" w:cs="Arial"/>
        </w:rPr>
        <w:t>Include ongoing efforts to examine the effects of such interventions.</w:t>
      </w:r>
    </w:p>
    <w:p w14:paraId="6665CE0E" w14:textId="77777777" w:rsidR="00003E71" w:rsidRPr="0091680B" w:rsidRDefault="00003E71" w:rsidP="00B25583">
      <w:pPr>
        <w:rPr>
          <w:rFonts w:cs="Arial"/>
        </w:rPr>
      </w:pPr>
      <w:r w:rsidRPr="0091680B">
        <w:rPr>
          <w:rFonts w:eastAsia="Calibri" w:cs="Arial"/>
        </w:rPr>
        <w:t>For all projects identified as “evidence-based” in the Public Health (Expenditure Category 1), Negative Economic Impacts (Expenditure Category 2), and Services to Disproportionately Impacted Communities (Expenditure Category 3) Categories, the Commonwealth will specify clear project goals, evidence bases, and the dollar amounts of total project spending allocated towards evidence-based interventions.</w:t>
      </w:r>
    </w:p>
    <w:p w14:paraId="6A9EEEFC" w14:textId="77777777" w:rsidR="00003E71" w:rsidRPr="0091680B" w:rsidRDefault="00003E71" w:rsidP="00B25583">
      <w:pPr>
        <w:rPr>
          <w:rFonts w:cs="Arial"/>
        </w:rPr>
      </w:pPr>
      <w:bookmarkStart w:id="14" w:name="_Toc79124682"/>
      <w:bookmarkStart w:id="15" w:name="_Toc79129283"/>
      <w:bookmarkStart w:id="16" w:name="_Toc79143149"/>
      <w:bookmarkStart w:id="17" w:name="_Toc79563355"/>
      <w:bookmarkStart w:id="18" w:name="_Toc79563472"/>
      <w:bookmarkStart w:id="19" w:name="_Toc79566570"/>
      <w:bookmarkStart w:id="20" w:name="_Toc79576816"/>
      <w:bookmarkStart w:id="21" w:name="_Toc79959997"/>
      <w:bookmarkStart w:id="22" w:name="_Toc80613729"/>
      <w:r w:rsidRPr="0091680B">
        <w:rPr>
          <w:rFonts w:eastAsia="Calibri Light" w:cs="Arial"/>
        </w:rPr>
        <w:t>Framework Themes</w:t>
      </w:r>
      <w:bookmarkEnd w:id="14"/>
      <w:bookmarkEnd w:id="15"/>
      <w:bookmarkEnd w:id="16"/>
      <w:bookmarkEnd w:id="17"/>
      <w:bookmarkEnd w:id="18"/>
      <w:bookmarkEnd w:id="19"/>
      <w:bookmarkEnd w:id="20"/>
      <w:bookmarkEnd w:id="21"/>
      <w:bookmarkEnd w:id="22"/>
    </w:p>
    <w:p w14:paraId="6E433C12" w14:textId="77777777" w:rsidR="00003E71" w:rsidRPr="0091680B" w:rsidRDefault="00003E71" w:rsidP="00B25583">
      <w:pPr>
        <w:rPr>
          <w:rFonts w:cs="Arial"/>
        </w:rPr>
      </w:pPr>
      <w:r w:rsidRPr="0091680B">
        <w:rPr>
          <w:rFonts w:eastAsia="Calibri" w:cs="Arial"/>
        </w:rPr>
        <w:t xml:space="preserve">To provide a framework for use of evidence-based interventions in its Recovery Plan, the Commonwealth will emphasize two strategic themes described in the </w:t>
      </w:r>
      <w:hyperlink r:id="rId13">
        <w:r w:rsidRPr="0091680B">
          <w:rPr>
            <w:rStyle w:val="Hyperlink"/>
            <w:rFonts w:eastAsia="Calibri" w:cs="Arial"/>
          </w:rPr>
          <w:t>Results for America 2020 State Standard of Excellence</w:t>
        </w:r>
      </w:hyperlink>
      <w:r w:rsidRPr="0091680B">
        <w:rPr>
          <w:rFonts w:eastAsia="Calibri" w:cs="Arial"/>
        </w:rPr>
        <w:t>:</w:t>
      </w:r>
    </w:p>
    <w:p w14:paraId="2464686A" w14:textId="77777777" w:rsidR="00003E71" w:rsidRPr="0091680B" w:rsidRDefault="00003E71" w:rsidP="00B25583">
      <w:pPr>
        <w:rPr>
          <w:rFonts w:eastAsiaTheme="minorEastAsia" w:cs="Arial"/>
        </w:rPr>
      </w:pPr>
      <w:r w:rsidRPr="0091680B">
        <w:rPr>
          <w:rFonts w:eastAsia="Calibri" w:cs="Arial"/>
        </w:rPr>
        <w:t>Using project budgets to build and focus state evaluation capacity and resources on evidence-based investments</w:t>
      </w:r>
    </w:p>
    <w:p w14:paraId="3B06774F" w14:textId="77777777" w:rsidR="00003E71" w:rsidRPr="00360EBB" w:rsidRDefault="00003E71" w:rsidP="0072783E">
      <w:pPr>
        <w:pStyle w:val="ListParagraph"/>
        <w:numPr>
          <w:ilvl w:val="0"/>
          <w:numId w:val="52"/>
        </w:numPr>
        <w:rPr>
          <w:rFonts w:eastAsiaTheme="minorEastAsia" w:cs="Arial"/>
        </w:rPr>
      </w:pPr>
      <w:r w:rsidRPr="0072783E">
        <w:rPr>
          <w:rFonts w:eastAsia="Calibri" w:cs="Arial"/>
        </w:rPr>
        <w:t>Directing grant and contract spending towards interventions with evidence of effectiveness to deliver results and encourage innovation</w:t>
      </w:r>
    </w:p>
    <w:p w14:paraId="021BF283" w14:textId="77777777" w:rsidR="00003E71" w:rsidRPr="00360EBB" w:rsidRDefault="00003E71" w:rsidP="0072783E">
      <w:pPr>
        <w:pStyle w:val="ListParagraph"/>
        <w:numPr>
          <w:ilvl w:val="0"/>
          <w:numId w:val="52"/>
        </w:numPr>
        <w:rPr>
          <w:rFonts w:cs="Arial"/>
        </w:rPr>
      </w:pPr>
      <w:r w:rsidRPr="0072783E">
        <w:rPr>
          <w:rFonts w:eastAsia="Calibri" w:cs="Arial"/>
        </w:rPr>
        <w:t>Key actions related to these strategic themes are described briefly below.</w:t>
      </w:r>
    </w:p>
    <w:p w14:paraId="053332C8" w14:textId="77777777" w:rsidR="00003E71" w:rsidRPr="0091680B" w:rsidRDefault="00003E71" w:rsidP="00B25583">
      <w:pPr>
        <w:rPr>
          <w:rFonts w:cs="Arial"/>
        </w:rPr>
      </w:pPr>
      <w:r w:rsidRPr="0091680B">
        <w:rPr>
          <w:rFonts w:eastAsia="Calibri Light" w:cs="Arial"/>
          <w:color w:val="1F3763"/>
        </w:rPr>
        <w:t>Using Project Budgets to Build and Focus Evaluation Capacity</w:t>
      </w:r>
    </w:p>
    <w:p w14:paraId="393CCBA9" w14:textId="77777777" w:rsidR="00E94CC1" w:rsidRDefault="00003E71" w:rsidP="00B25583">
      <w:pPr>
        <w:rPr>
          <w:rFonts w:cs="Arial"/>
        </w:rPr>
      </w:pPr>
      <w:r w:rsidRPr="0091680B">
        <w:rPr>
          <w:rFonts w:eastAsia="Calibri" w:cs="Arial"/>
        </w:rPr>
        <w:t xml:space="preserve">When evaluating and approving Recovery Plan project proposals, the Commonwealth will aim to follow a budget decision-making process that gives preference to </w:t>
      </w:r>
      <w:hyperlink r:id="rId14" w:anchor="page=15">
        <w:r w:rsidRPr="0091680B">
          <w:rPr>
            <w:rStyle w:val="Hyperlink"/>
            <w:rFonts w:eastAsia="Calibri" w:cs="Arial"/>
          </w:rPr>
          <w:t>requests with evidence</w:t>
        </w:r>
      </w:hyperlink>
      <w:r w:rsidRPr="0091680B">
        <w:rPr>
          <w:rFonts w:eastAsia="Calibri" w:cs="Arial"/>
        </w:rPr>
        <w:t xml:space="preserve"> and data related to quantifiable material outcomes (i.e., not just counts of inputs and outputs).  As part of this process, the Commonwealth will give higher priority to requests that are supported </w:t>
      </w:r>
      <w:r w:rsidRPr="0091680B">
        <w:rPr>
          <w:rFonts w:eastAsia="Calibri" w:cs="Arial"/>
        </w:rPr>
        <w:lastRenderedPageBreak/>
        <w:t xml:space="preserve">by higher tiers of evidence following </w:t>
      </w:r>
      <w:r w:rsidRPr="0091680B">
        <w:rPr>
          <w:rFonts w:cs="Arial"/>
        </w:rPr>
        <w:br/>
      </w:r>
      <w:hyperlink r:id="rId15" w:anchor="page=14">
        <w:r w:rsidRPr="0091680B">
          <w:rPr>
            <w:rStyle w:val="Hyperlink"/>
            <w:rFonts w:eastAsia="Calibri" w:cs="Arial"/>
          </w:rPr>
          <w:t>a model similar to that developed by the Colorado Evidence-Based Policy Collaborative</w:t>
        </w:r>
      </w:hyperlink>
      <w:r w:rsidRPr="0091680B">
        <w:rPr>
          <w:rFonts w:eastAsia="Calibri" w:cs="Arial"/>
        </w:rPr>
        <w:t xml:space="preserve"> (depicted below).</w:t>
      </w:r>
    </w:p>
    <w:p w14:paraId="27047A01" w14:textId="5D73A98F" w:rsidR="00003E71" w:rsidRPr="00E94CC1" w:rsidRDefault="00003E71" w:rsidP="00B25583">
      <w:pPr>
        <w:rPr>
          <w:rFonts w:eastAsia="Calibri" w:cs="Arial"/>
        </w:rPr>
      </w:pPr>
      <w:r w:rsidRPr="0091680B">
        <w:rPr>
          <w:rFonts w:eastAsia="Calibri Light" w:cs="Arial"/>
          <w:i/>
          <w:color w:val="2F5496" w:themeColor="accent1" w:themeShade="BF"/>
        </w:rPr>
        <w:t>Colorado Evidence Continuum</w:t>
      </w:r>
    </w:p>
    <w:p w14:paraId="71C93547" w14:textId="77777777" w:rsidR="00003E71" w:rsidRPr="0091680B" w:rsidRDefault="00003E71" w:rsidP="00B25583">
      <w:pPr>
        <w:rPr>
          <w:rFonts w:cs="Arial"/>
        </w:rPr>
      </w:pPr>
      <w:r w:rsidRPr="0091680B">
        <w:rPr>
          <w:rFonts w:cs="Arial"/>
          <w:noProof/>
        </w:rPr>
        <w:drawing>
          <wp:inline distT="0" distB="0" distL="0" distR="0" wp14:anchorId="5AAAA64F" wp14:editId="034E972D">
            <wp:extent cx="6400800" cy="3200400"/>
            <wp:effectExtent l="0" t="0" r="0" b="0"/>
            <wp:docPr id="9" name="Picture 9" descr="This is a visualization of the Colorado Evidence Continuum for the effective implementation of evidence based budgeting. Step 1 is designing the program, step 2 is identifying outputs, step 3 is assessing outcomes, step 4 is attaining initial evidence, and step 5 is attaining causal ev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9" descr="This is a visualization of the Colorado Evidence Continuum for the effective implementation of evidence based budgeting. Step 1 is designing the program, step 2 is identifying outputs, step 3 is assessing outcomes, step 4 is attaining initial evidence, and step 5 is attaining causal evidence."/>
                    <pic:cNvPicPr preferRelativeResize="0">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00800" cy="3200400"/>
                    </a:xfrm>
                    <a:prstGeom prst="rect">
                      <a:avLst/>
                    </a:prstGeom>
                    <a:noFill/>
                    <a:ln>
                      <a:noFill/>
                    </a:ln>
                  </pic:spPr>
                </pic:pic>
              </a:graphicData>
            </a:graphic>
          </wp:inline>
        </w:drawing>
      </w:r>
    </w:p>
    <w:p w14:paraId="4F0DD87B" w14:textId="77777777" w:rsidR="00003E71" w:rsidRPr="0091680B" w:rsidRDefault="00003E71" w:rsidP="00B25583">
      <w:pPr>
        <w:rPr>
          <w:rFonts w:cs="Arial"/>
        </w:rPr>
      </w:pPr>
      <w:r w:rsidRPr="0091680B">
        <w:rPr>
          <w:rFonts w:eastAsia="Calibri" w:cs="Arial"/>
        </w:rPr>
        <w:t>The project budget decision-making process also will give preference to new programs that do not yet have an evidence base, but that do have strong data that demonstrates quantifiable outcomes.</w:t>
      </w:r>
    </w:p>
    <w:p w14:paraId="6136D1E7" w14:textId="77777777" w:rsidR="00003E71" w:rsidRPr="0091680B" w:rsidRDefault="00003E71" w:rsidP="00B25583">
      <w:pPr>
        <w:rPr>
          <w:rFonts w:cs="Arial"/>
        </w:rPr>
      </w:pPr>
      <w:r w:rsidRPr="0091680B">
        <w:rPr>
          <w:rFonts w:eastAsia="Calibri" w:cs="Arial"/>
        </w:rPr>
        <w:t>Beyond giving preference to requests with evidence, the Commonwealth’s Recovery Plan project budgeting may establish a standard funding allocation to build agencies’/recipients’ capacity to evaluate programs (e.g., 1% with a cap on the total amount).  This is especially relevant for new programs where it is important to design the evaluations and metrics that will be used to measure the success of proposed initiatives.</w:t>
      </w:r>
    </w:p>
    <w:p w14:paraId="0F1F885A" w14:textId="77777777" w:rsidR="00003E71" w:rsidRPr="0091680B" w:rsidRDefault="00003E71" w:rsidP="00B25583">
      <w:pPr>
        <w:rPr>
          <w:rFonts w:cs="Arial"/>
        </w:rPr>
      </w:pPr>
      <w:r w:rsidRPr="0091680B">
        <w:rPr>
          <w:rFonts w:eastAsia="Calibri" w:cs="Arial"/>
        </w:rPr>
        <w:t>Balancing the need for expedited implementation of Recovery Plan projects with the inherent challenges of major institutional process changes, the project budgeting process will be integrated as much as possible into the Commonwealth’s broader systematic approach to managing results.</w:t>
      </w:r>
    </w:p>
    <w:p w14:paraId="47BE9AB8" w14:textId="77777777" w:rsidR="00003E71" w:rsidRPr="0091680B" w:rsidRDefault="00003E71" w:rsidP="00B25583">
      <w:pPr>
        <w:rPr>
          <w:rFonts w:cs="Arial"/>
        </w:rPr>
      </w:pPr>
      <w:r w:rsidRPr="0091680B">
        <w:rPr>
          <w:rFonts w:eastAsia="Calibri Light" w:cs="Arial"/>
          <w:color w:val="1F3763"/>
        </w:rPr>
        <w:t>Directing Grants and Contracts Towards Interventions with Evidence of Effectiveness</w:t>
      </w:r>
    </w:p>
    <w:p w14:paraId="76425D42" w14:textId="77777777" w:rsidR="00003E71" w:rsidRPr="0091680B" w:rsidRDefault="00003E71" w:rsidP="00B25583">
      <w:pPr>
        <w:rPr>
          <w:rFonts w:eastAsia="Calibri" w:cs="Arial"/>
        </w:rPr>
      </w:pPr>
      <w:r w:rsidRPr="0091680B">
        <w:rPr>
          <w:rFonts w:eastAsia="Calibri" w:cs="Arial"/>
        </w:rPr>
        <w:t xml:space="preserve">As part of the implementation of its Recovery Plan, the Commonwealth also will seek to identify relevant existing programs where results could be improved, including those not achieving desired policy outcomes or equity goals. When evaluating existing programs for inclusion in the Recovery Plan – including those run by grantees and contractors – the Commonwealth will determine if program outcomes can be improved by using </w:t>
      </w:r>
      <w:hyperlink r:id="rId17">
        <w:r w:rsidRPr="0091680B">
          <w:rPr>
            <w:rStyle w:val="Hyperlink"/>
            <w:rFonts w:eastAsia="Calibri" w:cs="Arial"/>
          </w:rPr>
          <w:t>evidence of effectiveness to allocate funds</w:t>
        </w:r>
      </w:hyperlink>
      <w:r w:rsidRPr="0091680B">
        <w:rPr>
          <w:rFonts w:eastAsia="Calibri" w:cs="Arial"/>
        </w:rPr>
        <w:t xml:space="preserve"> to more effective practices or providers. If this cannot be accomplished within the </w:t>
      </w:r>
      <w:r w:rsidRPr="0091680B">
        <w:rPr>
          <w:rFonts w:eastAsia="Calibri" w:cs="Arial"/>
        </w:rPr>
        <w:lastRenderedPageBreak/>
        <w:t>Recovery Plan timeline, CSFRF aid will be directed to other programs that are more likely to achieve the desired outcomes within the desired timeframe.</w:t>
      </w:r>
    </w:p>
    <w:p w14:paraId="6B0093B3" w14:textId="77777777" w:rsidR="00003E71" w:rsidRPr="0091680B" w:rsidRDefault="00003E71" w:rsidP="00B25583">
      <w:pPr>
        <w:rPr>
          <w:rFonts w:eastAsia="Calibri" w:cs="Arial"/>
        </w:rPr>
      </w:pPr>
      <w:r w:rsidRPr="0091680B">
        <w:rPr>
          <w:rFonts w:eastAsia="Calibri" w:cs="Arial"/>
        </w:rPr>
        <w:t>As part of this evaluation process, state agencies and programs may be assessed for their potential to successfully redirect funding themselves when outcomes are not achieved.  Incentives may be provided to promote innovation in program development and overall operational improvement.  For example, departments may be encouraged and authorized to shift CSFRF funds away from non-performing programs to automatically keep a percentage of their original funding to spend on other innovative programs, especially those that help community organizations build their evidence bases.</w:t>
      </w:r>
    </w:p>
    <w:p w14:paraId="102F3B6F" w14:textId="77777777" w:rsidR="00003E71" w:rsidRPr="0091680B" w:rsidRDefault="00003E71" w:rsidP="00B25583">
      <w:pPr>
        <w:rPr>
          <w:rFonts w:eastAsia="Calibri" w:cs="Arial"/>
        </w:rPr>
      </w:pPr>
      <w:r w:rsidRPr="0091680B">
        <w:rPr>
          <w:rFonts w:eastAsia="Calibri" w:cs="Arial"/>
        </w:rPr>
        <w:t>In identifying candidates for inclusion in the Recovery Plan among existing programs, the Commonwealth will look for programs that could deliver services or support critical to plan and consider each program’s:</w:t>
      </w:r>
    </w:p>
    <w:p w14:paraId="7F07B91C" w14:textId="77777777" w:rsidR="00003E71" w:rsidRPr="00360EBB" w:rsidRDefault="00003E71" w:rsidP="0072783E">
      <w:pPr>
        <w:pStyle w:val="ListParagraph"/>
        <w:numPr>
          <w:ilvl w:val="0"/>
          <w:numId w:val="53"/>
        </w:numPr>
        <w:rPr>
          <w:rFonts w:eastAsiaTheme="minorEastAsia" w:cs="Arial"/>
        </w:rPr>
      </w:pPr>
      <w:r w:rsidRPr="00360EBB">
        <w:rPr>
          <w:rFonts w:eastAsiaTheme="minorEastAsia" w:cs="Arial"/>
        </w:rPr>
        <w:t xml:space="preserve">Purpose – </w:t>
      </w:r>
      <w:r w:rsidRPr="00360EBB">
        <w:rPr>
          <w:rFonts w:cs="Arial"/>
        </w:rPr>
        <w:t>What is provided through the program?</w:t>
      </w:r>
    </w:p>
    <w:p w14:paraId="66555251" w14:textId="77777777" w:rsidR="00003E71" w:rsidRPr="00360EBB" w:rsidRDefault="00003E71" w:rsidP="0072783E">
      <w:pPr>
        <w:pStyle w:val="ListParagraph"/>
        <w:numPr>
          <w:ilvl w:val="0"/>
          <w:numId w:val="53"/>
        </w:numPr>
        <w:rPr>
          <w:rFonts w:eastAsiaTheme="minorEastAsia" w:cs="Arial"/>
        </w:rPr>
      </w:pPr>
      <w:r w:rsidRPr="00360EBB">
        <w:rPr>
          <w:rFonts w:cs="Arial"/>
        </w:rPr>
        <w:t>Target Population – To which communities will the program’s support/funds go directly?</w:t>
      </w:r>
    </w:p>
    <w:p w14:paraId="7243E409" w14:textId="77777777" w:rsidR="00003E71" w:rsidRPr="00360EBB" w:rsidRDefault="00003E71" w:rsidP="0072783E">
      <w:pPr>
        <w:pStyle w:val="ListParagraph"/>
        <w:numPr>
          <w:ilvl w:val="0"/>
          <w:numId w:val="53"/>
        </w:numPr>
        <w:rPr>
          <w:rFonts w:eastAsiaTheme="minorEastAsia" w:cs="Arial"/>
        </w:rPr>
      </w:pPr>
      <w:r w:rsidRPr="00360EBB">
        <w:rPr>
          <w:rFonts w:cs="Arial"/>
        </w:rPr>
        <w:t>Equity Focus – Does the program specifically and intentionally focus on underserved populations?</w:t>
      </w:r>
    </w:p>
    <w:p w14:paraId="31901BB7" w14:textId="77777777" w:rsidR="00003E71" w:rsidRPr="00360EBB" w:rsidRDefault="00003E71" w:rsidP="0072783E">
      <w:pPr>
        <w:pStyle w:val="ListParagraph"/>
        <w:numPr>
          <w:ilvl w:val="0"/>
          <w:numId w:val="53"/>
        </w:numPr>
        <w:rPr>
          <w:rFonts w:eastAsiaTheme="minorEastAsia" w:cs="Arial"/>
        </w:rPr>
      </w:pPr>
      <w:r w:rsidRPr="00360EBB">
        <w:rPr>
          <w:rFonts w:cs="Arial"/>
        </w:rPr>
        <w:t>Potential Evidence Base – What program outputs are measured? What is the program’s intended outcome, and is it measured?</w:t>
      </w:r>
    </w:p>
    <w:p w14:paraId="00840B6F" w14:textId="77777777" w:rsidR="00003E71" w:rsidRPr="0091680B" w:rsidRDefault="00003E71" w:rsidP="00B25583">
      <w:pPr>
        <w:rPr>
          <w:rFonts w:eastAsiaTheme="minorEastAsia" w:cs="Arial"/>
        </w:rPr>
      </w:pPr>
      <w:r w:rsidRPr="0091680B">
        <w:rPr>
          <w:rFonts w:eastAsiaTheme="minorEastAsia" w:cs="Arial"/>
        </w:rPr>
        <w:t>Examples of the types of program purpose, target population, equity focus, and evidence base characteristics to be considered when evaluating existing programs for the Recovery Plan are presented in the following table.</w:t>
      </w:r>
    </w:p>
    <w:p w14:paraId="64B74D88" w14:textId="77777777" w:rsidR="00003E71" w:rsidRPr="0091680B" w:rsidRDefault="00003E71" w:rsidP="00B25583">
      <w:pPr>
        <w:rPr>
          <w:rFonts w:cs="Arial"/>
        </w:rPr>
      </w:pPr>
      <w:r w:rsidRPr="0091680B">
        <w:rPr>
          <w:rFonts w:cs="Arial"/>
        </w:rPr>
        <w:t>Characteristics to Be Considered When Evaluating Recovery Plan Candidate Programs</w:t>
      </w:r>
    </w:p>
    <w:tbl>
      <w:tblPr>
        <w:tblStyle w:val="TableGrid"/>
        <w:tblW w:w="10250" w:type="dxa"/>
        <w:tblLayout w:type="fixed"/>
        <w:tblLook w:val="06A0" w:firstRow="1" w:lastRow="0" w:firstColumn="1" w:lastColumn="0" w:noHBand="1" w:noVBand="1"/>
      </w:tblPr>
      <w:tblGrid>
        <w:gridCol w:w="2780"/>
        <w:gridCol w:w="2790"/>
        <w:gridCol w:w="2700"/>
        <w:gridCol w:w="1980"/>
      </w:tblGrid>
      <w:tr w:rsidR="00003E71" w:rsidRPr="0091680B" w14:paraId="778E97E3" w14:textId="77777777" w:rsidTr="0086690E">
        <w:trPr>
          <w:trHeight w:val="630"/>
          <w:tblHeader/>
        </w:trPr>
        <w:tc>
          <w:tcPr>
            <w:tcW w:w="2780" w:type="dxa"/>
            <w:tcBorders>
              <w:top w:val="single" w:sz="8" w:space="0" w:color="auto"/>
              <w:left w:val="single" w:sz="8" w:space="0" w:color="auto"/>
              <w:bottom w:val="nil"/>
              <w:right w:val="single" w:sz="8" w:space="0" w:color="auto"/>
            </w:tcBorders>
            <w:shd w:val="clear" w:color="auto" w:fill="1F3864" w:themeFill="accent1" w:themeFillShade="80"/>
            <w:vAlign w:val="bottom"/>
          </w:tcPr>
          <w:p w14:paraId="67263AB0" w14:textId="77777777" w:rsidR="00003E71" w:rsidRPr="0091680B" w:rsidRDefault="00003E71" w:rsidP="00B25583">
            <w:pPr>
              <w:rPr>
                <w:rFonts w:cs="Arial"/>
              </w:rPr>
            </w:pPr>
            <w:r w:rsidRPr="0091680B">
              <w:rPr>
                <w:rFonts w:eastAsia="Times New Roman" w:cs="Arial"/>
                <w:b/>
                <w:bCs/>
                <w:color w:val="FFFFFF" w:themeColor="background1"/>
              </w:rPr>
              <w:t>Program Purpose</w:t>
            </w:r>
          </w:p>
        </w:tc>
        <w:tc>
          <w:tcPr>
            <w:tcW w:w="2790" w:type="dxa"/>
            <w:tcBorders>
              <w:top w:val="single" w:sz="8" w:space="0" w:color="auto"/>
              <w:left w:val="single" w:sz="8" w:space="0" w:color="auto"/>
              <w:bottom w:val="nil"/>
              <w:right w:val="single" w:sz="8" w:space="0" w:color="auto"/>
            </w:tcBorders>
            <w:shd w:val="clear" w:color="auto" w:fill="1F3864" w:themeFill="accent1" w:themeFillShade="80"/>
            <w:vAlign w:val="bottom"/>
          </w:tcPr>
          <w:p w14:paraId="40A666E7" w14:textId="77777777" w:rsidR="00003E71" w:rsidRPr="0091680B" w:rsidRDefault="00003E71" w:rsidP="00B25583">
            <w:pPr>
              <w:rPr>
                <w:rFonts w:eastAsia="Times New Roman" w:cs="Arial"/>
                <w:b/>
                <w:bCs/>
                <w:color w:val="FFFFFF" w:themeColor="background1"/>
              </w:rPr>
            </w:pPr>
            <w:r w:rsidRPr="0091680B">
              <w:rPr>
                <w:rFonts w:eastAsia="Times New Roman" w:cs="Arial"/>
                <w:b/>
                <w:bCs/>
                <w:color w:val="FFFFFF" w:themeColor="background1"/>
              </w:rPr>
              <w:t>Target Population</w:t>
            </w:r>
          </w:p>
        </w:tc>
        <w:tc>
          <w:tcPr>
            <w:tcW w:w="2700" w:type="dxa"/>
            <w:tcBorders>
              <w:top w:val="single" w:sz="8" w:space="0" w:color="auto"/>
              <w:left w:val="single" w:sz="8" w:space="0" w:color="auto"/>
              <w:bottom w:val="nil"/>
              <w:right w:val="single" w:sz="8" w:space="0" w:color="auto"/>
            </w:tcBorders>
            <w:shd w:val="clear" w:color="auto" w:fill="1F3864" w:themeFill="accent1" w:themeFillShade="80"/>
            <w:vAlign w:val="bottom"/>
          </w:tcPr>
          <w:p w14:paraId="4AC67426" w14:textId="77777777" w:rsidR="00003E71" w:rsidRPr="0091680B" w:rsidRDefault="00003E71" w:rsidP="00B25583">
            <w:pPr>
              <w:rPr>
                <w:rFonts w:cs="Arial"/>
              </w:rPr>
            </w:pPr>
            <w:r w:rsidRPr="0091680B">
              <w:rPr>
                <w:rFonts w:eastAsia="Times New Roman" w:cs="Arial"/>
                <w:b/>
                <w:bCs/>
                <w:color w:val="FFFFFF" w:themeColor="background1"/>
              </w:rPr>
              <w:t xml:space="preserve">Equity Focus on </w:t>
            </w:r>
            <w:r w:rsidRPr="0091680B">
              <w:rPr>
                <w:rFonts w:eastAsia="Times New Roman" w:cs="Arial"/>
                <w:b/>
                <w:bCs/>
                <w:color w:val="FFFFFF" w:themeColor="background1"/>
              </w:rPr>
              <w:br/>
              <w:t>Underserved Populations</w:t>
            </w:r>
          </w:p>
        </w:tc>
        <w:tc>
          <w:tcPr>
            <w:tcW w:w="1980" w:type="dxa"/>
            <w:tcBorders>
              <w:top w:val="single" w:sz="8" w:space="0" w:color="auto"/>
              <w:left w:val="single" w:sz="8" w:space="0" w:color="auto"/>
              <w:bottom w:val="nil"/>
              <w:right w:val="single" w:sz="8" w:space="0" w:color="auto"/>
            </w:tcBorders>
            <w:shd w:val="clear" w:color="auto" w:fill="1F3864" w:themeFill="accent1" w:themeFillShade="80"/>
            <w:vAlign w:val="bottom"/>
          </w:tcPr>
          <w:p w14:paraId="3A62B38A" w14:textId="77777777" w:rsidR="00003E71" w:rsidRPr="0091680B" w:rsidRDefault="00003E71" w:rsidP="00B25583">
            <w:pPr>
              <w:rPr>
                <w:rFonts w:cs="Arial"/>
              </w:rPr>
            </w:pPr>
            <w:r w:rsidRPr="0091680B">
              <w:rPr>
                <w:rFonts w:eastAsia="Times New Roman" w:cs="Arial"/>
                <w:b/>
                <w:bCs/>
                <w:color w:val="FFFFFF" w:themeColor="background1"/>
              </w:rPr>
              <w:t xml:space="preserve">Potential </w:t>
            </w:r>
            <w:r w:rsidRPr="0091680B">
              <w:rPr>
                <w:rFonts w:eastAsia="Times New Roman" w:cs="Arial"/>
                <w:b/>
                <w:bCs/>
                <w:color w:val="FFFFFF" w:themeColor="background1"/>
              </w:rPr>
              <w:br/>
              <w:t>Evidence Base</w:t>
            </w:r>
          </w:p>
        </w:tc>
      </w:tr>
      <w:tr w:rsidR="00003E71" w:rsidRPr="0091680B" w14:paraId="08103544" w14:textId="77777777" w:rsidTr="0086690E">
        <w:trPr>
          <w:trHeight w:val="480"/>
        </w:trPr>
        <w:tc>
          <w:tcPr>
            <w:tcW w:w="2780" w:type="dxa"/>
            <w:tcBorders>
              <w:top w:val="nil"/>
              <w:left w:val="single" w:sz="8" w:space="0" w:color="auto"/>
              <w:bottom w:val="single" w:sz="8" w:space="0" w:color="auto"/>
              <w:right w:val="single" w:sz="8" w:space="0" w:color="auto"/>
            </w:tcBorders>
          </w:tcPr>
          <w:p w14:paraId="3465C8BD"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Provision of Capital</w:t>
            </w:r>
          </w:p>
          <w:p w14:paraId="3FD2DC71"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Equity investment</w:t>
            </w:r>
          </w:p>
          <w:p w14:paraId="175FB677"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Grants</w:t>
            </w:r>
          </w:p>
          <w:p w14:paraId="4DE7BDC9"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Loans/guarantees</w:t>
            </w:r>
          </w:p>
          <w:p w14:paraId="4E689798" w14:textId="77777777" w:rsidR="00003E71" w:rsidRPr="0091680B" w:rsidRDefault="00003E71" w:rsidP="00B25583">
            <w:pPr>
              <w:rPr>
                <w:rFonts w:eastAsia="Times New Roman" w:cs="Arial"/>
                <w:color w:val="000000" w:themeColor="text1"/>
              </w:rPr>
            </w:pPr>
          </w:p>
          <w:p w14:paraId="1D8C7850"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Capacity Development</w:t>
            </w:r>
          </w:p>
          <w:p w14:paraId="30F06397"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Technical assistance</w:t>
            </w:r>
          </w:p>
          <w:p w14:paraId="1129591F" w14:textId="77777777" w:rsidR="00003E71" w:rsidRPr="0091680B" w:rsidRDefault="00003E71" w:rsidP="00B25583">
            <w:pPr>
              <w:rPr>
                <w:rFonts w:cs="Arial"/>
              </w:rPr>
            </w:pPr>
            <w:r w:rsidRPr="0091680B">
              <w:rPr>
                <w:rFonts w:eastAsia="Times New Roman" w:cs="Arial"/>
                <w:color w:val="000000" w:themeColor="text1"/>
              </w:rPr>
              <w:t>Skills development</w:t>
            </w:r>
          </w:p>
          <w:p w14:paraId="7A4CB5C0" w14:textId="77777777" w:rsidR="00003E71" w:rsidRPr="0091680B" w:rsidRDefault="00003E71" w:rsidP="00B25583">
            <w:pPr>
              <w:rPr>
                <w:rFonts w:eastAsia="Times New Roman" w:cs="Arial"/>
                <w:color w:val="000000" w:themeColor="text1"/>
              </w:rPr>
            </w:pPr>
          </w:p>
          <w:p w14:paraId="6BE58F7E" w14:textId="77777777" w:rsidR="00003E71" w:rsidRPr="0091680B" w:rsidRDefault="00003E71" w:rsidP="00B25583">
            <w:pPr>
              <w:rPr>
                <w:rFonts w:cs="Arial"/>
              </w:rPr>
            </w:pPr>
            <w:r w:rsidRPr="0091680B">
              <w:rPr>
                <w:rFonts w:eastAsia="Times New Roman" w:cs="Arial"/>
                <w:color w:val="000000" w:themeColor="text1"/>
              </w:rPr>
              <w:t>Other Technical Support</w:t>
            </w:r>
          </w:p>
          <w:p w14:paraId="60BEC1A5"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Real estate development</w:t>
            </w:r>
          </w:p>
          <w:p w14:paraId="1117ADF0"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Resource sharing/ networking</w:t>
            </w:r>
          </w:p>
        </w:tc>
        <w:tc>
          <w:tcPr>
            <w:tcW w:w="2790" w:type="dxa"/>
            <w:tcBorders>
              <w:top w:val="nil"/>
              <w:left w:val="single" w:sz="8" w:space="0" w:color="auto"/>
              <w:bottom w:val="single" w:sz="8" w:space="0" w:color="auto"/>
              <w:right w:val="single" w:sz="8" w:space="0" w:color="auto"/>
            </w:tcBorders>
          </w:tcPr>
          <w:p w14:paraId="54787F3E"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Private Sector</w:t>
            </w:r>
          </w:p>
          <w:p w14:paraId="2DB64A10"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Tech, innovation, life science businesses</w:t>
            </w:r>
          </w:p>
          <w:p w14:paraId="454407CD"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Developers</w:t>
            </w:r>
          </w:p>
          <w:p w14:paraId="5DEC21F5"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 xml:space="preserve">Manufacturers </w:t>
            </w:r>
          </w:p>
          <w:p w14:paraId="46DF8FB7"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Neighborhood small businesses</w:t>
            </w:r>
          </w:p>
          <w:p w14:paraId="099945E9"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Other small businesses</w:t>
            </w:r>
          </w:p>
          <w:p w14:paraId="581BBABC" w14:textId="77777777" w:rsidR="00003E71" w:rsidRPr="0091680B" w:rsidRDefault="00003E71" w:rsidP="00B25583">
            <w:pPr>
              <w:rPr>
                <w:rFonts w:eastAsia="Times New Roman" w:cs="Arial"/>
                <w:color w:val="000000" w:themeColor="text1"/>
              </w:rPr>
            </w:pPr>
          </w:p>
          <w:p w14:paraId="3AD795E4"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Civic Sector</w:t>
            </w:r>
          </w:p>
          <w:p w14:paraId="7B9E0C43"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Educational institutions</w:t>
            </w:r>
          </w:p>
          <w:p w14:paraId="79496EA2"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Hospitals/medical centers</w:t>
            </w:r>
          </w:p>
          <w:p w14:paraId="11262647"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Research institutions</w:t>
            </w:r>
          </w:p>
          <w:p w14:paraId="7F973B25"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Arts/culture centers</w:t>
            </w:r>
          </w:p>
          <w:p w14:paraId="67C4F3F9"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Other community organizations</w:t>
            </w:r>
          </w:p>
          <w:p w14:paraId="09D08947" w14:textId="77777777" w:rsidR="00003E71" w:rsidRPr="0091680B" w:rsidRDefault="00003E71" w:rsidP="00B25583">
            <w:pPr>
              <w:rPr>
                <w:rFonts w:eastAsia="Times New Roman" w:cs="Arial"/>
                <w:color w:val="000000" w:themeColor="text1"/>
              </w:rPr>
            </w:pPr>
          </w:p>
          <w:p w14:paraId="202F18E6"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Other Constituents</w:t>
            </w:r>
          </w:p>
          <w:p w14:paraId="49DAFA8F"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Municipalities</w:t>
            </w:r>
          </w:p>
          <w:p w14:paraId="39A397D3" w14:textId="3F8EA295" w:rsidR="00003E71" w:rsidRPr="0091680B" w:rsidRDefault="00003E71" w:rsidP="00B25583">
            <w:pPr>
              <w:rPr>
                <w:rFonts w:eastAsia="Times New Roman" w:cs="Arial"/>
                <w:color w:val="000000" w:themeColor="text1"/>
              </w:rPr>
            </w:pPr>
            <w:r w:rsidRPr="0091680B">
              <w:rPr>
                <w:rFonts w:eastAsia="Times New Roman" w:cs="Arial"/>
                <w:color w:val="000000" w:themeColor="text1"/>
              </w:rPr>
              <w:t>Individuals</w:t>
            </w:r>
          </w:p>
        </w:tc>
        <w:tc>
          <w:tcPr>
            <w:tcW w:w="2700" w:type="dxa"/>
            <w:tcBorders>
              <w:top w:val="nil"/>
              <w:left w:val="single" w:sz="8" w:space="0" w:color="auto"/>
              <w:bottom w:val="single" w:sz="8" w:space="0" w:color="auto"/>
              <w:right w:val="single" w:sz="8" w:space="0" w:color="auto"/>
            </w:tcBorders>
          </w:tcPr>
          <w:p w14:paraId="54044A80"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Low-to-moderate income residents and communities</w:t>
            </w:r>
          </w:p>
          <w:p w14:paraId="43AAE9F7" w14:textId="77777777" w:rsidR="00003E71" w:rsidRPr="0091680B" w:rsidRDefault="00003E71" w:rsidP="00B25583">
            <w:pPr>
              <w:rPr>
                <w:rFonts w:eastAsia="Times New Roman" w:cs="Arial"/>
                <w:color w:val="000000" w:themeColor="text1"/>
              </w:rPr>
            </w:pPr>
          </w:p>
          <w:p w14:paraId="0EDE7DED"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Underrepresented racial/ ethnic minorities</w:t>
            </w:r>
          </w:p>
          <w:p w14:paraId="0891B4BC" w14:textId="77777777" w:rsidR="00003E71" w:rsidRPr="0091680B" w:rsidRDefault="00003E71" w:rsidP="00B25583">
            <w:pPr>
              <w:rPr>
                <w:rFonts w:eastAsia="Times New Roman" w:cs="Arial"/>
                <w:color w:val="000000" w:themeColor="text1"/>
              </w:rPr>
            </w:pPr>
          </w:p>
          <w:p w14:paraId="58CF3649"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Women</w:t>
            </w:r>
          </w:p>
          <w:p w14:paraId="20626BE2" w14:textId="77777777" w:rsidR="00003E71" w:rsidRPr="0091680B" w:rsidRDefault="00003E71" w:rsidP="00B25583">
            <w:pPr>
              <w:rPr>
                <w:rFonts w:eastAsia="Times New Roman" w:cs="Arial"/>
                <w:color w:val="000000" w:themeColor="text1"/>
              </w:rPr>
            </w:pPr>
          </w:p>
          <w:p w14:paraId="7AD17D03"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Youth</w:t>
            </w:r>
          </w:p>
          <w:p w14:paraId="51B5D9F8" w14:textId="77777777" w:rsidR="00003E71" w:rsidRPr="0091680B" w:rsidRDefault="00003E71" w:rsidP="00B25583">
            <w:pPr>
              <w:rPr>
                <w:rFonts w:eastAsia="Times New Roman" w:cs="Arial"/>
                <w:color w:val="000000" w:themeColor="text1"/>
              </w:rPr>
            </w:pPr>
          </w:p>
          <w:p w14:paraId="4877DEED"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LGBTQ</w:t>
            </w:r>
          </w:p>
          <w:p w14:paraId="39B01027" w14:textId="77777777" w:rsidR="00003E71" w:rsidRPr="0091680B" w:rsidRDefault="00003E71" w:rsidP="00B25583">
            <w:pPr>
              <w:rPr>
                <w:rFonts w:eastAsia="Times New Roman" w:cs="Arial"/>
                <w:color w:val="000000" w:themeColor="text1"/>
              </w:rPr>
            </w:pPr>
          </w:p>
          <w:p w14:paraId="32686AC8"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Veterans</w:t>
            </w:r>
          </w:p>
        </w:tc>
        <w:tc>
          <w:tcPr>
            <w:tcW w:w="1980" w:type="dxa"/>
            <w:tcBorders>
              <w:top w:val="nil"/>
              <w:left w:val="single" w:sz="8" w:space="0" w:color="auto"/>
              <w:bottom w:val="single" w:sz="8" w:space="0" w:color="auto"/>
              <w:right w:val="single" w:sz="8" w:space="0" w:color="auto"/>
            </w:tcBorders>
          </w:tcPr>
          <w:p w14:paraId="6AD5407D"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Measurement of outputs</w:t>
            </w:r>
          </w:p>
          <w:p w14:paraId="1217E057" w14:textId="77777777" w:rsidR="00003E71" w:rsidRPr="0091680B" w:rsidRDefault="00003E71" w:rsidP="00B25583">
            <w:pPr>
              <w:rPr>
                <w:rFonts w:eastAsia="Times New Roman" w:cs="Arial"/>
                <w:color w:val="000000" w:themeColor="text1"/>
              </w:rPr>
            </w:pPr>
          </w:p>
          <w:p w14:paraId="390636DB"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Definition and measurement of outcomes</w:t>
            </w:r>
          </w:p>
          <w:p w14:paraId="3E7353D0" w14:textId="77777777" w:rsidR="00003E71" w:rsidRPr="0091680B" w:rsidRDefault="00003E71" w:rsidP="00B25583">
            <w:pPr>
              <w:rPr>
                <w:rFonts w:eastAsia="Times New Roman" w:cs="Arial"/>
                <w:color w:val="000000" w:themeColor="text1"/>
              </w:rPr>
            </w:pPr>
          </w:p>
          <w:p w14:paraId="69632DBF"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Established measurement systems</w:t>
            </w:r>
          </w:p>
          <w:p w14:paraId="1CDEFAC4" w14:textId="77777777" w:rsidR="00003E71" w:rsidRPr="0091680B" w:rsidRDefault="00003E71" w:rsidP="00B25583">
            <w:pPr>
              <w:rPr>
                <w:rFonts w:eastAsia="Times New Roman" w:cs="Arial"/>
                <w:color w:val="000000" w:themeColor="text1"/>
              </w:rPr>
            </w:pPr>
          </w:p>
          <w:p w14:paraId="3146E6C7"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Track record of measurement and reporting</w:t>
            </w:r>
          </w:p>
        </w:tc>
      </w:tr>
    </w:tbl>
    <w:p w14:paraId="70D8246D" w14:textId="77777777" w:rsidR="00003E71" w:rsidRPr="0091680B" w:rsidRDefault="00003E71" w:rsidP="00B25583">
      <w:pPr>
        <w:rPr>
          <w:rFonts w:eastAsiaTheme="minorEastAsia" w:cs="Arial"/>
        </w:rPr>
      </w:pPr>
      <w:bookmarkStart w:id="23" w:name="_Toc79124683"/>
      <w:bookmarkStart w:id="24" w:name="_Toc79129284"/>
    </w:p>
    <w:p w14:paraId="578E9115" w14:textId="6C5DDDC5" w:rsidR="00003E71" w:rsidRPr="0091680B" w:rsidRDefault="00003E71" w:rsidP="00B25583">
      <w:pPr>
        <w:rPr>
          <w:rFonts w:eastAsia="Calibri Light" w:cs="Arial"/>
          <w:color w:val="2F5496" w:themeColor="accent1" w:themeShade="BF"/>
        </w:rPr>
      </w:pPr>
      <w:bookmarkStart w:id="25" w:name="_Toc79143150"/>
      <w:bookmarkStart w:id="26" w:name="_Toc79563356"/>
      <w:bookmarkStart w:id="27" w:name="_Toc79563473"/>
      <w:bookmarkStart w:id="28" w:name="_Toc79566571"/>
      <w:bookmarkStart w:id="29" w:name="_Toc79576817"/>
      <w:bookmarkStart w:id="30" w:name="_Toc79959998"/>
      <w:bookmarkStart w:id="31" w:name="_Toc80613730"/>
      <w:r w:rsidRPr="0091680B">
        <w:rPr>
          <w:rFonts w:eastAsia="Calibri Light" w:cs="Arial"/>
        </w:rPr>
        <w:t>Framework Application Examples</w:t>
      </w:r>
      <w:bookmarkEnd w:id="23"/>
      <w:bookmarkEnd w:id="24"/>
      <w:bookmarkEnd w:id="25"/>
      <w:bookmarkEnd w:id="26"/>
      <w:bookmarkEnd w:id="27"/>
      <w:bookmarkEnd w:id="28"/>
      <w:bookmarkEnd w:id="29"/>
      <w:bookmarkEnd w:id="30"/>
      <w:bookmarkEnd w:id="31"/>
    </w:p>
    <w:p w14:paraId="1360C379" w14:textId="77777777" w:rsidR="00003E71" w:rsidRPr="0091680B" w:rsidRDefault="00003E71" w:rsidP="00B25583">
      <w:pPr>
        <w:rPr>
          <w:rFonts w:eastAsia="Calibri" w:cs="Arial"/>
        </w:rPr>
      </w:pPr>
      <w:r w:rsidRPr="0091680B">
        <w:rPr>
          <w:rFonts w:eastAsia="Calibri" w:cs="Arial"/>
        </w:rPr>
        <w:t>Representative examples of the Commonwealth’s experience applying the Evidence-Based Intervention Framework described in this appendix are presented below.</w:t>
      </w:r>
    </w:p>
    <w:p w14:paraId="0237C191" w14:textId="77777777" w:rsidR="00003E71" w:rsidRPr="0091680B" w:rsidRDefault="00003E71" w:rsidP="00B25583">
      <w:pPr>
        <w:rPr>
          <w:rFonts w:cs="Arial"/>
        </w:rPr>
      </w:pPr>
      <w:r w:rsidRPr="0091680B">
        <w:rPr>
          <w:rFonts w:cs="Arial"/>
        </w:rPr>
        <w:t>School Redesign Grant Program</w:t>
      </w:r>
    </w:p>
    <w:p w14:paraId="30098B87" w14:textId="77777777" w:rsidR="00003E71" w:rsidRPr="0091680B" w:rsidRDefault="00003E71" w:rsidP="00B25583">
      <w:pPr>
        <w:rPr>
          <w:rFonts w:eastAsia="Calibri" w:cs="Arial"/>
        </w:rPr>
      </w:pPr>
      <w:r w:rsidRPr="0091680B">
        <w:rPr>
          <w:rFonts w:eastAsia="Calibri" w:cs="Arial"/>
        </w:rPr>
        <w:t>The Massachusetts Department of Elementary and Secondary Education distributes competitive federal funds through the </w:t>
      </w:r>
      <w:hyperlink r:id="rId18">
        <w:r w:rsidRPr="0091680B">
          <w:rPr>
            <w:rStyle w:val="Hyperlink"/>
            <w:rFonts w:eastAsia="Calibri" w:cs="Arial"/>
          </w:rPr>
          <w:t>School Redesign Grant</w:t>
        </w:r>
      </w:hyperlink>
      <w:r w:rsidRPr="0091680B">
        <w:rPr>
          <w:rFonts w:eastAsia="Calibri" w:cs="Arial"/>
        </w:rPr>
        <w:t> to help districts improve their lowest-performing schools. The schools and districts, in partnership with the state, develop a </w:t>
      </w:r>
      <w:hyperlink r:id="rId19">
        <w:r w:rsidRPr="0091680B">
          <w:rPr>
            <w:rStyle w:val="Hyperlink"/>
            <w:rFonts w:eastAsia="Calibri" w:cs="Arial"/>
          </w:rPr>
          <w:t>sustainable improvement plan</w:t>
        </w:r>
      </w:hyperlink>
      <w:r w:rsidRPr="0091680B">
        <w:rPr>
          <w:rFonts w:eastAsia="Calibri" w:cs="Arial"/>
        </w:rPr>
        <w:t>, which guides the approach to rapid school improvement. The state requires that the plan, in order to meet both state and federal requirements, </w:t>
      </w:r>
      <w:hyperlink r:id="rId20" w:anchor="accordion">
        <w:r w:rsidRPr="0091680B">
          <w:rPr>
            <w:rStyle w:val="Hyperlink"/>
            <w:rFonts w:eastAsia="Calibri" w:cs="Arial"/>
          </w:rPr>
          <w:t>must incorporate</w:t>
        </w:r>
      </w:hyperlink>
      <w:r w:rsidRPr="0091680B">
        <w:rPr>
          <w:rFonts w:eastAsia="Calibri" w:cs="Arial"/>
        </w:rPr>
        <w:t> at least one strategy backed by evidence that meets the criteria from one of the top three evidence tiers </w:t>
      </w:r>
      <w:hyperlink r:id="rId21">
        <w:r w:rsidRPr="0091680B">
          <w:rPr>
            <w:rStyle w:val="Hyperlink"/>
            <w:rFonts w:eastAsia="Calibri" w:cs="Arial"/>
          </w:rPr>
          <w:t>as defined by ESSA</w:t>
        </w:r>
      </w:hyperlink>
      <w:r w:rsidRPr="0091680B">
        <w:rPr>
          <w:rFonts w:eastAsia="Calibri" w:cs="Arial"/>
        </w:rPr>
        <w:t>. The Department provides support to potential applicants on using evidence-based practices through its </w:t>
      </w:r>
      <w:hyperlink r:id="rId22">
        <w:r w:rsidRPr="0091680B">
          <w:rPr>
            <w:rStyle w:val="Hyperlink"/>
            <w:rFonts w:eastAsia="Calibri" w:cs="Arial"/>
          </w:rPr>
          <w:t>How Do We Know Initiative</w:t>
        </w:r>
      </w:hyperlink>
      <w:r w:rsidRPr="0091680B">
        <w:rPr>
          <w:rFonts w:eastAsia="Calibri" w:cs="Arial"/>
        </w:rPr>
        <w:t>.</w:t>
      </w:r>
    </w:p>
    <w:p w14:paraId="793A8831" w14:textId="77777777" w:rsidR="00003E71" w:rsidRPr="0091680B" w:rsidRDefault="00003E71" w:rsidP="00B25583">
      <w:pPr>
        <w:rPr>
          <w:rFonts w:cs="Arial"/>
        </w:rPr>
      </w:pPr>
      <w:r w:rsidRPr="0091680B">
        <w:rPr>
          <w:rFonts w:cs="Arial"/>
        </w:rPr>
        <w:t>Pathways to Economic Advancement Program</w:t>
      </w:r>
    </w:p>
    <w:p w14:paraId="5587C1F3" w14:textId="77777777" w:rsidR="00003E71" w:rsidRPr="0091680B" w:rsidRDefault="00003E71" w:rsidP="00B25583">
      <w:pPr>
        <w:rPr>
          <w:rFonts w:eastAsia="Calibri" w:cs="Arial"/>
        </w:rPr>
      </w:pPr>
      <w:r w:rsidRPr="0091680B">
        <w:rPr>
          <w:rFonts w:eastAsia="Calibri" w:cs="Arial"/>
        </w:rPr>
        <w:t>The Commonwealth's Pathways to Economic Advancement program uses an innovative “Pay for Success” funding model in which private sector investors provide upfront capital to scale promising programs, and the government pays back the investors only if the programs achieve predetermined outcomes.  This was the first Pay for Success project in the country to focus exclusively on workforce development, specifically on increasing access to programs that assist adult English-language learners in making successful transitions to employment, higher wage jobs, and higher education.  Through the Pathways to Economic Advancement, in 2016 the Commonwealth contracted with Jewish Vocational Service (JVS) and Social Finance to conduct an evaluation of JVS' English for Advancement program (</w:t>
      </w:r>
      <w:proofErr w:type="spellStart"/>
      <w:r w:rsidRPr="0091680B">
        <w:rPr>
          <w:rFonts w:eastAsia="Calibri" w:cs="Arial"/>
        </w:rPr>
        <w:t>EfA</w:t>
      </w:r>
      <w:proofErr w:type="spellEnd"/>
      <w:r w:rsidRPr="0091680B">
        <w:rPr>
          <w:rFonts w:eastAsia="Calibri" w:cs="Arial"/>
        </w:rPr>
        <w:t xml:space="preserve">).  </w:t>
      </w:r>
      <w:proofErr w:type="spellStart"/>
      <w:r w:rsidRPr="0091680B">
        <w:rPr>
          <w:rFonts w:eastAsia="Calibri" w:cs="Arial"/>
        </w:rPr>
        <w:t>EfA</w:t>
      </w:r>
      <w:proofErr w:type="spellEnd"/>
      <w:r w:rsidRPr="0091680B">
        <w:rPr>
          <w:rFonts w:eastAsia="Calibri" w:cs="Arial"/>
        </w:rPr>
        <w:t xml:space="preserve"> provides adult English-language learners in the Boston area with employment-focused language instruction, career coaching, and job placement assistance to help them obtain employment or advance to a better job. A report on the evaluation was released in November 2020 and found that </w:t>
      </w:r>
      <w:proofErr w:type="spellStart"/>
      <w:r w:rsidRPr="0091680B">
        <w:rPr>
          <w:rFonts w:eastAsia="Calibri" w:cs="Arial"/>
        </w:rPr>
        <w:t>EfA</w:t>
      </w:r>
      <w:proofErr w:type="spellEnd"/>
      <w:r w:rsidRPr="0091680B">
        <w:rPr>
          <w:rFonts w:eastAsia="Calibri" w:cs="Arial"/>
        </w:rPr>
        <w:t xml:space="preserve"> had a significant impact on annual earnings for program participants over the two years after entering the program.</w:t>
      </w:r>
      <w:r w:rsidRPr="0091680B">
        <w:rPr>
          <w:rStyle w:val="FootnoteReference"/>
          <w:rFonts w:eastAsia="Calibri" w:cs="Arial"/>
        </w:rPr>
        <w:footnoteReference w:id="3"/>
      </w:r>
    </w:p>
    <w:p w14:paraId="542874BF" w14:textId="77777777" w:rsidR="00003E71" w:rsidRPr="0091680B" w:rsidRDefault="00003E71" w:rsidP="00B25583">
      <w:pPr>
        <w:rPr>
          <w:rFonts w:cs="Arial"/>
        </w:rPr>
      </w:pPr>
      <w:r w:rsidRPr="0091680B">
        <w:rPr>
          <w:rFonts w:cs="Arial"/>
        </w:rPr>
        <w:t>Student Learning Time Program Support</w:t>
      </w:r>
    </w:p>
    <w:p w14:paraId="2F13ABB0" w14:textId="77777777" w:rsidR="00003E71" w:rsidRPr="0091680B" w:rsidRDefault="00003E71" w:rsidP="00B25583">
      <w:pPr>
        <w:rPr>
          <w:rFonts w:eastAsia="Calibri" w:cs="Arial"/>
          <w:snapToGrid w:val="0"/>
        </w:rPr>
      </w:pPr>
      <w:r w:rsidRPr="0091680B">
        <w:rPr>
          <w:rFonts w:eastAsia="Calibri" w:cs="Arial"/>
          <w:snapToGrid w:val="0"/>
        </w:rPr>
        <w:t xml:space="preserve">For </w:t>
      </w:r>
      <w:proofErr w:type="gramStart"/>
      <w:r w:rsidRPr="0091680B">
        <w:rPr>
          <w:rFonts w:eastAsia="Calibri" w:cs="Arial"/>
          <w:snapToGrid w:val="0"/>
        </w:rPr>
        <w:t>the vast majority of</w:t>
      </w:r>
      <w:proofErr w:type="gramEnd"/>
      <w:r w:rsidRPr="0091680B">
        <w:rPr>
          <w:rFonts w:eastAsia="Calibri" w:cs="Arial"/>
          <w:snapToGrid w:val="0"/>
        </w:rPr>
        <w:t xml:space="preserve"> students, in-person learning is a critical component of their academic growth and social-emotional wellbeing. However, because of the COVID-19 pandemic, many Massachusetts school districts had to provide virtual learning environments during the 2020-2021 school year. To help these districts successfully provide virtual learning for students and inform the public of the results of their efforts, the Massachusetts Department of Elementary and Secondary Education developed the </w:t>
      </w:r>
      <w:hyperlink r:id="rId23" w:tgtFrame="_blank" w:history="1">
        <w:r w:rsidRPr="0091680B">
          <w:rPr>
            <w:rStyle w:val="Hyperlink"/>
            <w:rFonts w:cs="Arial"/>
          </w:rPr>
          <w:t>Student Learning Time</w:t>
        </w:r>
      </w:hyperlink>
      <w:r w:rsidRPr="0091680B">
        <w:rPr>
          <w:rFonts w:eastAsia="Calibri" w:cs="Arial"/>
          <w:snapToGrid w:val="0"/>
        </w:rPr>
        <w:t xml:space="preserve"> dashboard. The dashboard provides information about how districts and schools are meeting student learning requirements for students during the pandemic.</w:t>
      </w:r>
    </w:p>
    <w:p w14:paraId="6D45272A" w14:textId="20AE52C9" w:rsidR="000A6192" w:rsidRDefault="000A6192" w:rsidP="000A6192">
      <w:pPr>
        <w:pStyle w:val="Heading2"/>
      </w:pPr>
    </w:p>
    <w:p w14:paraId="6F6490FB" w14:textId="77777777" w:rsidR="000A6192" w:rsidRPr="000A6192" w:rsidRDefault="000A6192" w:rsidP="000A6192"/>
    <w:sectPr w:rsidR="000A6192" w:rsidRPr="000A6192" w:rsidSect="00F366B0">
      <w:footerReference w:type="default" r:id="rId24"/>
      <w:footerReference w:type="first" r:id="rId25"/>
      <w:pgSz w:w="12240" w:h="15840"/>
      <w:pgMar w:top="1440" w:right="1440" w:bottom="1440" w:left="1440" w:header="720" w:footer="58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B6C76" w14:textId="77777777" w:rsidR="003F5F5A" w:rsidRDefault="003F5F5A" w:rsidP="00B90454">
      <w:pPr>
        <w:spacing w:after="0" w:line="240" w:lineRule="auto"/>
      </w:pPr>
      <w:r>
        <w:separator/>
      </w:r>
    </w:p>
  </w:endnote>
  <w:endnote w:type="continuationSeparator" w:id="0">
    <w:p w14:paraId="3E1B639E" w14:textId="77777777" w:rsidR="003F5F5A" w:rsidRDefault="003F5F5A" w:rsidP="00B90454">
      <w:pPr>
        <w:spacing w:after="0" w:line="240" w:lineRule="auto"/>
      </w:pPr>
      <w:r>
        <w:continuationSeparator/>
      </w:r>
    </w:p>
  </w:endnote>
  <w:endnote w:type="continuationNotice" w:id="1">
    <w:p w14:paraId="3905DDFA" w14:textId="77777777" w:rsidR="003F5F5A" w:rsidRDefault="003F5F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48D8F" w14:textId="77777777" w:rsidR="002060C0" w:rsidRDefault="002060C0" w:rsidP="00EA3B2C">
    <w:pPr>
      <w:pStyle w:val="Footer"/>
      <w:rPr>
        <w:rFonts w:cs="Arial"/>
        <w:sz w:val="20"/>
        <w:szCs w:val="20"/>
      </w:rPr>
    </w:pPr>
  </w:p>
  <w:p w14:paraId="6715CC61" w14:textId="77777777" w:rsidR="002060C0" w:rsidRDefault="002060C0" w:rsidP="00EA3B2C">
    <w:pPr>
      <w:pStyle w:val="Footer"/>
      <w:rPr>
        <w:rFonts w:cs="Arial"/>
        <w:sz w:val="20"/>
        <w:szCs w:val="20"/>
      </w:rPr>
    </w:pPr>
  </w:p>
  <w:p w14:paraId="39323CD4" w14:textId="5C18EDC8" w:rsidR="002060C0" w:rsidRPr="00F366B0" w:rsidRDefault="003912CA" w:rsidP="00F366B0">
    <w:pPr>
      <w:pStyle w:val="Footer"/>
      <w:rPr>
        <w:rFonts w:cs="Arial"/>
        <w:sz w:val="20"/>
        <w:szCs w:val="20"/>
      </w:rPr>
    </w:pPr>
    <w:r>
      <w:rPr>
        <w:rFonts w:cs="Arial"/>
        <w:sz w:val="20"/>
        <w:szCs w:val="20"/>
      </w:rPr>
      <w:t>Commonwealth of Massachusetts</w:t>
    </w:r>
    <w:r w:rsidR="002060C0" w:rsidRPr="00F366B0">
      <w:rPr>
        <w:rFonts w:cs="Arial"/>
        <w:sz w:val="20"/>
        <w:szCs w:val="20"/>
      </w:rPr>
      <w:t xml:space="preserve"> 20</w:t>
    </w:r>
    <w:r w:rsidR="002060C0">
      <w:rPr>
        <w:rFonts w:cs="Arial"/>
        <w:sz w:val="20"/>
        <w:szCs w:val="20"/>
      </w:rPr>
      <w:t>2</w:t>
    </w:r>
    <w:r>
      <w:rPr>
        <w:rFonts w:cs="Arial"/>
        <w:sz w:val="20"/>
        <w:szCs w:val="20"/>
      </w:rPr>
      <w:t>2</w:t>
    </w:r>
    <w:r w:rsidR="002060C0" w:rsidRPr="00F366B0">
      <w:rPr>
        <w:rFonts w:cs="Arial"/>
        <w:sz w:val="20"/>
        <w:szCs w:val="20"/>
      </w:rPr>
      <w:t xml:space="preserve"> Recovery Plan</w:t>
    </w:r>
    <w:r w:rsidR="002060C0">
      <w:rPr>
        <w:rFonts w:cs="Arial"/>
        <w:sz w:val="20"/>
        <w:szCs w:val="20"/>
      </w:rPr>
      <w:t xml:space="preserve"> Performance Report</w:t>
    </w:r>
    <w:r w:rsidR="002060C0" w:rsidRPr="00F366B0">
      <w:rPr>
        <w:rFonts w:cs="Arial"/>
        <w:sz w:val="20"/>
        <w:szCs w:val="20"/>
      </w:rPr>
      <w:tab/>
    </w:r>
    <w:sdt>
      <w:sdtPr>
        <w:rPr>
          <w:rFonts w:cs="Arial"/>
          <w:sz w:val="20"/>
          <w:szCs w:val="20"/>
        </w:rPr>
        <w:id w:val="-738778960"/>
        <w:docPartObj>
          <w:docPartGallery w:val="Page Numbers (Bottom of Page)"/>
          <w:docPartUnique/>
        </w:docPartObj>
      </w:sdtPr>
      <w:sdtEndPr>
        <w:rPr>
          <w:noProof/>
        </w:rPr>
      </w:sdtEndPr>
      <w:sdtContent>
        <w:r w:rsidR="002060C0" w:rsidRPr="00F366B0">
          <w:rPr>
            <w:rFonts w:cs="Arial"/>
            <w:sz w:val="20"/>
            <w:szCs w:val="20"/>
          </w:rPr>
          <w:fldChar w:fldCharType="begin"/>
        </w:r>
        <w:r w:rsidR="002060C0" w:rsidRPr="00F366B0">
          <w:rPr>
            <w:rFonts w:cs="Arial"/>
            <w:sz w:val="20"/>
            <w:szCs w:val="20"/>
          </w:rPr>
          <w:instrText xml:space="preserve"> PAGE   \* MERGEFORMAT </w:instrText>
        </w:r>
        <w:r w:rsidR="002060C0" w:rsidRPr="00F366B0">
          <w:rPr>
            <w:rFonts w:cs="Arial"/>
            <w:sz w:val="20"/>
            <w:szCs w:val="20"/>
          </w:rPr>
          <w:fldChar w:fldCharType="separate"/>
        </w:r>
        <w:r w:rsidR="002060C0" w:rsidRPr="00F366B0">
          <w:rPr>
            <w:rFonts w:cs="Arial"/>
            <w:noProof/>
            <w:sz w:val="20"/>
            <w:szCs w:val="20"/>
          </w:rPr>
          <w:t>2</w:t>
        </w:r>
        <w:r w:rsidR="002060C0" w:rsidRPr="00F366B0">
          <w:rPr>
            <w:rFonts w:cs="Arial"/>
            <w:noProof/>
            <w:sz w:val="20"/>
            <w:szCs w:val="20"/>
          </w:rPr>
          <w:fldChar w:fldCharType="end"/>
        </w:r>
        <w:r w:rsidR="002060C0" w:rsidRPr="00FD4AA2">
          <w:rPr>
            <w:b/>
            <w:bCs/>
            <w:sz w:val="20"/>
            <w:szCs w:val="20"/>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D2A39" w14:textId="77777777" w:rsidR="002060C0" w:rsidRPr="00F366B0" w:rsidRDefault="002060C0" w:rsidP="00FD4AA2">
    <w:pPr>
      <w:pStyle w:val="Header"/>
      <w:rPr>
        <w:rFonts w:cs="Arial"/>
      </w:rPr>
    </w:pPr>
  </w:p>
  <w:p w14:paraId="1004145F" w14:textId="39D182C7" w:rsidR="002060C0" w:rsidRPr="00361A07" w:rsidRDefault="002060C0" w:rsidP="00361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033D6" w14:textId="77777777" w:rsidR="003F5F5A" w:rsidRDefault="003F5F5A" w:rsidP="00B90454">
      <w:pPr>
        <w:spacing w:after="0" w:line="240" w:lineRule="auto"/>
      </w:pPr>
      <w:r>
        <w:separator/>
      </w:r>
    </w:p>
  </w:footnote>
  <w:footnote w:type="continuationSeparator" w:id="0">
    <w:p w14:paraId="3B2E1475" w14:textId="77777777" w:rsidR="003F5F5A" w:rsidRDefault="003F5F5A" w:rsidP="00B90454">
      <w:pPr>
        <w:spacing w:after="0" w:line="240" w:lineRule="auto"/>
      </w:pPr>
      <w:r>
        <w:continuationSeparator/>
      </w:r>
    </w:p>
  </w:footnote>
  <w:footnote w:type="continuationNotice" w:id="1">
    <w:p w14:paraId="5ED258F3" w14:textId="77777777" w:rsidR="003F5F5A" w:rsidRDefault="003F5F5A">
      <w:pPr>
        <w:spacing w:after="0" w:line="240" w:lineRule="auto"/>
      </w:pPr>
    </w:p>
  </w:footnote>
  <w:footnote w:id="2">
    <w:p w14:paraId="271C5F44" w14:textId="77777777" w:rsidR="00003E71" w:rsidRDefault="00003E71" w:rsidP="00003E71">
      <w:pPr>
        <w:spacing w:after="0" w:line="257" w:lineRule="auto"/>
        <w:rPr>
          <w:rFonts w:ascii="Calibri" w:eastAsia="Calibri" w:hAnsi="Calibri" w:cs="Calibri"/>
          <w:sz w:val="16"/>
          <w:szCs w:val="16"/>
        </w:rPr>
      </w:pPr>
      <w:r w:rsidRPr="77BD44A6">
        <w:rPr>
          <w:rStyle w:val="FootnoteReference"/>
          <w:sz w:val="20"/>
          <w:szCs w:val="20"/>
        </w:rPr>
        <w:footnoteRef/>
      </w:r>
      <w:r w:rsidRPr="77BD44A6">
        <w:rPr>
          <w:sz w:val="20"/>
          <w:szCs w:val="20"/>
        </w:rPr>
        <w:t xml:space="preserve"> </w:t>
      </w:r>
      <w:r w:rsidRPr="77BD44A6">
        <w:rPr>
          <w:rFonts w:ascii="Calibri" w:eastAsia="Calibri" w:hAnsi="Calibri" w:cs="Calibri"/>
          <w:sz w:val="16"/>
          <w:szCs w:val="16"/>
        </w:rPr>
        <w:t xml:space="preserve">Valid evidence includes: i) strong evidence from at least one well-designed, well-implemented experimental study; ii) moderate evidence from at least one well-designed, well-implemented experimental study; or iii) promising evidence from at least one well-designed, well-implemented correlational study with statistical controls for selection bias.  [Derived from the definition of “evidence-based intervention” included in Title VIII of the Elementary and Secondary Education Act of 1965 (ESEA), as amended by </w:t>
      </w:r>
      <w:proofErr w:type="gramStart"/>
      <w:r w:rsidRPr="77BD44A6">
        <w:rPr>
          <w:rFonts w:ascii="Calibri" w:eastAsia="Calibri" w:hAnsi="Calibri" w:cs="Calibri"/>
          <w:sz w:val="16"/>
          <w:szCs w:val="16"/>
        </w:rPr>
        <w:t>the Every</w:t>
      </w:r>
      <w:proofErr w:type="gramEnd"/>
      <w:r w:rsidRPr="77BD44A6">
        <w:rPr>
          <w:rFonts w:ascii="Calibri" w:eastAsia="Calibri" w:hAnsi="Calibri" w:cs="Calibri"/>
          <w:sz w:val="16"/>
          <w:szCs w:val="16"/>
        </w:rPr>
        <w:t xml:space="preserve"> Student Succeeds Act of 2015 (ESSA).]</w:t>
      </w:r>
    </w:p>
  </w:footnote>
  <w:footnote w:id="3">
    <w:p w14:paraId="067F8CA6" w14:textId="77777777" w:rsidR="00003E71" w:rsidRPr="002D352D" w:rsidRDefault="00003E71" w:rsidP="00003E71">
      <w:pPr>
        <w:pStyle w:val="FootnoteText"/>
      </w:pPr>
      <w:r>
        <w:rPr>
          <w:rStyle w:val="FootnoteReference"/>
        </w:rPr>
        <w:footnoteRef/>
      </w:r>
      <w:r w:rsidRPr="5069A0E7">
        <w:rPr>
          <w:sz w:val="16"/>
          <w:szCs w:val="16"/>
        </w:rPr>
        <w:t xml:space="preserve"> Anne </w:t>
      </w:r>
      <w:proofErr w:type="spellStart"/>
      <w:r w:rsidRPr="5069A0E7">
        <w:rPr>
          <w:sz w:val="16"/>
          <w:szCs w:val="16"/>
        </w:rPr>
        <w:t>Roder</w:t>
      </w:r>
      <w:proofErr w:type="spellEnd"/>
      <w:r w:rsidRPr="5069A0E7">
        <w:rPr>
          <w:sz w:val="16"/>
          <w:szCs w:val="16"/>
        </w:rPr>
        <w:t xml:space="preserve"> and Mark Elliot, </w:t>
      </w:r>
      <w:r w:rsidRPr="5069A0E7">
        <w:rPr>
          <w:i/>
          <w:iCs/>
          <w:sz w:val="16"/>
          <w:szCs w:val="16"/>
        </w:rPr>
        <w:t>Stepping Up: Interim Findings on JVS Boston's English for Advancement Show Large Earnings Gains</w:t>
      </w:r>
      <w:r w:rsidRPr="5069A0E7">
        <w:rPr>
          <w:sz w:val="16"/>
          <w:szCs w:val="16"/>
        </w:rPr>
        <w:t xml:space="preserve"> (Economic Mobility Corporation,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5F1D"/>
    <w:multiLevelType w:val="hybridMultilevel"/>
    <w:tmpl w:val="3DC404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A61A4"/>
    <w:multiLevelType w:val="hybridMultilevel"/>
    <w:tmpl w:val="5D144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C65F3"/>
    <w:multiLevelType w:val="hybridMultilevel"/>
    <w:tmpl w:val="E7B244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FC6F6E"/>
    <w:multiLevelType w:val="hybridMultilevel"/>
    <w:tmpl w:val="4626B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4163F"/>
    <w:multiLevelType w:val="hybridMultilevel"/>
    <w:tmpl w:val="239ED7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187812"/>
    <w:multiLevelType w:val="hybridMultilevel"/>
    <w:tmpl w:val="185E2AA4"/>
    <w:lvl w:ilvl="0" w:tplc="89EE1B24">
      <w:start w:val="1"/>
      <w:numFmt w:val="decimal"/>
      <w:lvlText w:val="%1."/>
      <w:lvlJc w:val="left"/>
      <w:pPr>
        <w:ind w:left="2520" w:hanging="360"/>
      </w:pPr>
      <w:rPr>
        <w:rFonts w:hint="default"/>
      </w:rPr>
    </w:lvl>
    <w:lvl w:ilvl="1" w:tplc="04090001">
      <w:start w:val="1"/>
      <w:numFmt w:val="bullet"/>
      <w:lvlText w:val=""/>
      <w:lvlJc w:val="left"/>
      <w:pPr>
        <w:ind w:left="3240" w:hanging="360"/>
      </w:pPr>
      <w:rPr>
        <w:rFonts w:ascii="Symbol" w:hAnsi="Symbol" w:hint="default"/>
      </w:rPr>
    </w:lvl>
    <w:lvl w:ilvl="2" w:tplc="0409001B">
      <w:start w:val="1"/>
      <w:numFmt w:val="lowerRoman"/>
      <w:lvlText w:val="%3."/>
      <w:lvlJc w:val="right"/>
      <w:pPr>
        <w:ind w:left="3960" w:hanging="180"/>
      </w:pPr>
    </w:lvl>
    <w:lvl w:ilvl="3" w:tplc="52283720">
      <w:start w:val="1"/>
      <w:numFmt w:val="upperLetter"/>
      <w:lvlText w:val="%4."/>
      <w:lvlJc w:val="left"/>
      <w:pPr>
        <w:ind w:left="1080" w:hanging="360"/>
      </w:pPr>
      <w:rPr>
        <w:rFonts w:hint="default"/>
      </w:r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ABC5B3C"/>
    <w:multiLevelType w:val="hybridMultilevel"/>
    <w:tmpl w:val="A4DC09F4"/>
    <w:lvl w:ilvl="0" w:tplc="04090019">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032C86"/>
    <w:multiLevelType w:val="hybridMultilevel"/>
    <w:tmpl w:val="9E06B63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345CCA"/>
    <w:multiLevelType w:val="hybridMultilevel"/>
    <w:tmpl w:val="E9CE2A9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FB71E2"/>
    <w:multiLevelType w:val="hybridMultilevel"/>
    <w:tmpl w:val="7AB62DA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360" w:hanging="180"/>
      </w:pPr>
    </w:lvl>
    <w:lvl w:ilvl="3" w:tplc="0409000F">
      <w:start w:val="1"/>
      <w:numFmt w:val="decimal"/>
      <w:lvlText w:val="%4."/>
      <w:lvlJc w:val="left"/>
      <w:pPr>
        <w:ind w:left="360" w:hanging="360"/>
      </w:pPr>
    </w:lvl>
    <w:lvl w:ilvl="4" w:tplc="04090001">
      <w:start w:val="1"/>
      <w:numFmt w:val="bullet"/>
      <w:lvlText w:val=""/>
      <w:lvlJc w:val="left"/>
      <w:pPr>
        <w:ind w:left="1080" w:hanging="360"/>
      </w:pPr>
      <w:rPr>
        <w:rFonts w:ascii="Symbol" w:hAnsi="Symbol" w:hint="default"/>
      </w:r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0" w15:restartNumberingAfterBreak="0">
    <w:nsid w:val="22490AC0"/>
    <w:multiLevelType w:val="hybridMultilevel"/>
    <w:tmpl w:val="1C344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5B788E"/>
    <w:multiLevelType w:val="hybridMultilevel"/>
    <w:tmpl w:val="827A0092"/>
    <w:lvl w:ilvl="0" w:tplc="04090019">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651A63"/>
    <w:multiLevelType w:val="hybridMultilevel"/>
    <w:tmpl w:val="D868D05A"/>
    <w:lvl w:ilvl="0" w:tplc="04090019">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250319"/>
    <w:multiLevelType w:val="hybridMultilevel"/>
    <w:tmpl w:val="B38456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267C66"/>
    <w:multiLevelType w:val="hybridMultilevel"/>
    <w:tmpl w:val="49E2B660"/>
    <w:lvl w:ilvl="0" w:tplc="52283720">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127F50"/>
    <w:multiLevelType w:val="hybridMultilevel"/>
    <w:tmpl w:val="E9CE2A9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6E6739"/>
    <w:multiLevelType w:val="hybridMultilevel"/>
    <w:tmpl w:val="9406259A"/>
    <w:lvl w:ilvl="0" w:tplc="B5BC8C8E">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7" w15:restartNumberingAfterBreak="0">
    <w:nsid w:val="36A643FF"/>
    <w:multiLevelType w:val="hybridMultilevel"/>
    <w:tmpl w:val="BD70E862"/>
    <w:lvl w:ilvl="0" w:tplc="7602A0A6">
      <w:start w:val="1"/>
      <w:numFmt w:val="bullet"/>
      <w:lvlText w:val="•"/>
      <w:lvlJc w:val="left"/>
      <w:pPr>
        <w:tabs>
          <w:tab w:val="num" w:pos="720"/>
        </w:tabs>
        <w:ind w:left="720" w:hanging="360"/>
      </w:pPr>
      <w:rPr>
        <w:rFonts w:ascii="Arial" w:hAnsi="Arial" w:hint="default"/>
      </w:rPr>
    </w:lvl>
    <w:lvl w:ilvl="1" w:tplc="B0704BC2" w:tentative="1">
      <w:start w:val="1"/>
      <w:numFmt w:val="bullet"/>
      <w:lvlText w:val="•"/>
      <w:lvlJc w:val="left"/>
      <w:pPr>
        <w:tabs>
          <w:tab w:val="num" w:pos="1440"/>
        </w:tabs>
        <w:ind w:left="1440" w:hanging="360"/>
      </w:pPr>
      <w:rPr>
        <w:rFonts w:ascii="Arial" w:hAnsi="Arial" w:hint="default"/>
      </w:rPr>
    </w:lvl>
    <w:lvl w:ilvl="2" w:tplc="DBEEC58E" w:tentative="1">
      <w:start w:val="1"/>
      <w:numFmt w:val="bullet"/>
      <w:lvlText w:val="•"/>
      <w:lvlJc w:val="left"/>
      <w:pPr>
        <w:tabs>
          <w:tab w:val="num" w:pos="2160"/>
        </w:tabs>
        <w:ind w:left="2160" w:hanging="360"/>
      </w:pPr>
      <w:rPr>
        <w:rFonts w:ascii="Arial" w:hAnsi="Arial" w:hint="default"/>
      </w:rPr>
    </w:lvl>
    <w:lvl w:ilvl="3" w:tplc="80604144" w:tentative="1">
      <w:start w:val="1"/>
      <w:numFmt w:val="bullet"/>
      <w:lvlText w:val="•"/>
      <w:lvlJc w:val="left"/>
      <w:pPr>
        <w:tabs>
          <w:tab w:val="num" w:pos="2880"/>
        </w:tabs>
        <w:ind w:left="2880" w:hanging="360"/>
      </w:pPr>
      <w:rPr>
        <w:rFonts w:ascii="Arial" w:hAnsi="Arial" w:hint="default"/>
      </w:rPr>
    </w:lvl>
    <w:lvl w:ilvl="4" w:tplc="52420B98" w:tentative="1">
      <w:start w:val="1"/>
      <w:numFmt w:val="bullet"/>
      <w:lvlText w:val="•"/>
      <w:lvlJc w:val="left"/>
      <w:pPr>
        <w:tabs>
          <w:tab w:val="num" w:pos="3600"/>
        </w:tabs>
        <w:ind w:left="3600" w:hanging="360"/>
      </w:pPr>
      <w:rPr>
        <w:rFonts w:ascii="Arial" w:hAnsi="Arial" w:hint="default"/>
      </w:rPr>
    </w:lvl>
    <w:lvl w:ilvl="5" w:tplc="4B4062E2" w:tentative="1">
      <w:start w:val="1"/>
      <w:numFmt w:val="bullet"/>
      <w:lvlText w:val="•"/>
      <w:lvlJc w:val="left"/>
      <w:pPr>
        <w:tabs>
          <w:tab w:val="num" w:pos="4320"/>
        </w:tabs>
        <w:ind w:left="4320" w:hanging="360"/>
      </w:pPr>
      <w:rPr>
        <w:rFonts w:ascii="Arial" w:hAnsi="Arial" w:hint="default"/>
      </w:rPr>
    </w:lvl>
    <w:lvl w:ilvl="6" w:tplc="CF9E58A0" w:tentative="1">
      <w:start w:val="1"/>
      <w:numFmt w:val="bullet"/>
      <w:lvlText w:val="•"/>
      <w:lvlJc w:val="left"/>
      <w:pPr>
        <w:tabs>
          <w:tab w:val="num" w:pos="5040"/>
        </w:tabs>
        <w:ind w:left="5040" w:hanging="360"/>
      </w:pPr>
      <w:rPr>
        <w:rFonts w:ascii="Arial" w:hAnsi="Arial" w:hint="default"/>
      </w:rPr>
    </w:lvl>
    <w:lvl w:ilvl="7" w:tplc="8B70EB9C" w:tentative="1">
      <w:start w:val="1"/>
      <w:numFmt w:val="bullet"/>
      <w:lvlText w:val="•"/>
      <w:lvlJc w:val="left"/>
      <w:pPr>
        <w:tabs>
          <w:tab w:val="num" w:pos="5760"/>
        </w:tabs>
        <w:ind w:left="5760" w:hanging="360"/>
      </w:pPr>
      <w:rPr>
        <w:rFonts w:ascii="Arial" w:hAnsi="Arial" w:hint="default"/>
      </w:rPr>
    </w:lvl>
    <w:lvl w:ilvl="8" w:tplc="7A521A0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71300BB"/>
    <w:multiLevelType w:val="hybridMultilevel"/>
    <w:tmpl w:val="DA42D28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B6D78C5"/>
    <w:multiLevelType w:val="hybridMultilevel"/>
    <w:tmpl w:val="D7FC6ED4"/>
    <w:lvl w:ilvl="0" w:tplc="04090019">
      <w:start w:val="1"/>
      <w:numFmt w:val="lowerLetter"/>
      <w:lvlText w:val="%1."/>
      <w:lvlJc w:val="left"/>
      <w:pPr>
        <w:ind w:left="0" w:hanging="360"/>
      </w:pPr>
      <w:rPr>
        <w:rFont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15:restartNumberingAfterBreak="0">
    <w:nsid w:val="3D325994"/>
    <w:multiLevelType w:val="hybridMultilevel"/>
    <w:tmpl w:val="BD56105E"/>
    <w:lvl w:ilvl="0" w:tplc="52283720">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8F55D7"/>
    <w:multiLevelType w:val="hybridMultilevel"/>
    <w:tmpl w:val="74D8DDDA"/>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ED77A5"/>
    <w:multiLevelType w:val="hybridMultilevel"/>
    <w:tmpl w:val="3918E100"/>
    <w:lvl w:ilvl="0" w:tplc="89EE1B24">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9">
      <w:start w:val="1"/>
      <w:numFmt w:val="lowerLetter"/>
      <w:lvlText w:val="%3."/>
      <w:lvlJc w:val="left"/>
      <w:pPr>
        <w:ind w:left="3960" w:hanging="180"/>
      </w:pPr>
    </w:lvl>
    <w:lvl w:ilvl="3" w:tplc="04090001">
      <w:start w:val="1"/>
      <w:numFmt w:val="bullet"/>
      <w:lvlText w:val=""/>
      <w:lvlJc w:val="left"/>
      <w:pPr>
        <w:ind w:left="4680" w:hanging="360"/>
      </w:pPr>
      <w:rPr>
        <w:rFonts w:ascii="Symbol" w:hAnsi="Symbol" w:hint="default"/>
      </w:r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3E0A44BC"/>
    <w:multiLevelType w:val="hybridMultilevel"/>
    <w:tmpl w:val="9D88F092"/>
    <w:lvl w:ilvl="0" w:tplc="DB805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C540CA"/>
    <w:multiLevelType w:val="hybridMultilevel"/>
    <w:tmpl w:val="ABBC0124"/>
    <w:lvl w:ilvl="0" w:tplc="3BE06BA4">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E62EF5"/>
    <w:multiLevelType w:val="hybridMultilevel"/>
    <w:tmpl w:val="5292319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2D072A2"/>
    <w:multiLevelType w:val="hybridMultilevel"/>
    <w:tmpl w:val="DEE0D86A"/>
    <w:lvl w:ilvl="0" w:tplc="52283720">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C04D30"/>
    <w:multiLevelType w:val="hybridMultilevel"/>
    <w:tmpl w:val="FFFFFFFF"/>
    <w:lvl w:ilvl="0" w:tplc="90B28FB4">
      <w:start w:val="1"/>
      <w:numFmt w:val="bullet"/>
      <w:lvlText w:val="·"/>
      <w:lvlJc w:val="left"/>
      <w:pPr>
        <w:ind w:left="360" w:hanging="360"/>
      </w:pPr>
      <w:rPr>
        <w:rFonts w:ascii="Symbol" w:hAnsi="Symbol" w:hint="default"/>
      </w:rPr>
    </w:lvl>
    <w:lvl w:ilvl="1" w:tplc="772077B2">
      <w:start w:val="1"/>
      <w:numFmt w:val="bullet"/>
      <w:lvlText w:val="o"/>
      <w:lvlJc w:val="left"/>
      <w:pPr>
        <w:ind w:left="1080" w:hanging="360"/>
      </w:pPr>
      <w:rPr>
        <w:rFonts w:ascii="Courier New" w:hAnsi="Courier New" w:hint="default"/>
      </w:rPr>
    </w:lvl>
    <w:lvl w:ilvl="2" w:tplc="53C6491A">
      <w:start w:val="1"/>
      <w:numFmt w:val="bullet"/>
      <w:lvlText w:val=""/>
      <w:lvlJc w:val="left"/>
      <w:pPr>
        <w:ind w:left="1800" w:hanging="360"/>
      </w:pPr>
      <w:rPr>
        <w:rFonts w:ascii="Wingdings" w:hAnsi="Wingdings" w:hint="default"/>
      </w:rPr>
    </w:lvl>
    <w:lvl w:ilvl="3" w:tplc="FFBC7EE8">
      <w:start w:val="1"/>
      <w:numFmt w:val="bullet"/>
      <w:lvlText w:val=""/>
      <w:lvlJc w:val="left"/>
      <w:pPr>
        <w:ind w:left="2520" w:hanging="360"/>
      </w:pPr>
      <w:rPr>
        <w:rFonts w:ascii="Symbol" w:hAnsi="Symbol" w:hint="default"/>
      </w:rPr>
    </w:lvl>
    <w:lvl w:ilvl="4" w:tplc="0B60ACC2">
      <w:start w:val="1"/>
      <w:numFmt w:val="bullet"/>
      <w:lvlText w:val="o"/>
      <w:lvlJc w:val="left"/>
      <w:pPr>
        <w:ind w:left="3240" w:hanging="360"/>
      </w:pPr>
      <w:rPr>
        <w:rFonts w:ascii="Courier New" w:hAnsi="Courier New" w:hint="default"/>
      </w:rPr>
    </w:lvl>
    <w:lvl w:ilvl="5" w:tplc="3CBC5F4A">
      <w:start w:val="1"/>
      <w:numFmt w:val="bullet"/>
      <w:lvlText w:val=""/>
      <w:lvlJc w:val="left"/>
      <w:pPr>
        <w:ind w:left="3960" w:hanging="360"/>
      </w:pPr>
      <w:rPr>
        <w:rFonts w:ascii="Wingdings" w:hAnsi="Wingdings" w:hint="default"/>
      </w:rPr>
    </w:lvl>
    <w:lvl w:ilvl="6" w:tplc="06124F98">
      <w:start w:val="1"/>
      <w:numFmt w:val="bullet"/>
      <w:lvlText w:val=""/>
      <w:lvlJc w:val="left"/>
      <w:pPr>
        <w:ind w:left="4680" w:hanging="360"/>
      </w:pPr>
      <w:rPr>
        <w:rFonts w:ascii="Symbol" w:hAnsi="Symbol" w:hint="default"/>
      </w:rPr>
    </w:lvl>
    <w:lvl w:ilvl="7" w:tplc="FE42E4B0">
      <w:start w:val="1"/>
      <w:numFmt w:val="bullet"/>
      <w:lvlText w:val="o"/>
      <w:lvlJc w:val="left"/>
      <w:pPr>
        <w:ind w:left="5400" w:hanging="360"/>
      </w:pPr>
      <w:rPr>
        <w:rFonts w:ascii="Courier New" w:hAnsi="Courier New" w:hint="default"/>
      </w:rPr>
    </w:lvl>
    <w:lvl w:ilvl="8" w:tplc="EBB4FA06">
      <w:start w:val="1"/>
      <w:numFmt w:val="bullet"/>
      <w:lvlText w:val=""/>
      <w:lvlJc w:val="left"/>
      <w:pPr>
        <w:ind w:left="6120" w:hanging="360"/>
      </w:pPr>
      <w:rPr>
        <w:rFonts w:ascii="Wingdings" w:hAnsi="Wingdings" w:hint="default"/>
      </w:rPr>
    </w:lvl>
  </w:abstractNum>
  <w:abstractNum w:abstractNumId="28" w15:restartNumberingAfterBreak="0">
    <w:nsid w:val="456508A6"/>
    <w:multiLevelType w:val="hybridMultilevel"/>
    <w:tmpl w:val="D8BC518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77D4454"/>
    <w:multiLevelType w:val="hybridMultilevel"/>
    <w:tmpl w:val="E9CE2A9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8510980"/>
    <w:multiLevelType w:val="hybridMultilevel"/>
    <w:tmpl w:val="5ADA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1119BA"/>
    <w:multiLevelType w:val="hybridMultilevel"/>
    <w:tmpl w:val="FFFFFFFF"/>
    <w:lvl w:ilvl="0" w:tplc="112AF89C">
      <w:start w:val="1"/>
      <w:numFmt w:val="bullet"/>
      <w:lvlText w:val="·"/>
      <w:lvlJc w:val="left"/>
      <w:pPr>
        <w:ind w:left="360" w:hanging="360"/>
      </w:pPr>
      <w:rPr>
        <w:rFonts w:ascii="Symbol" w:hAnsi="Symbol" w:hint="default"/>
      </w:rPr>
    </w:lvl>
    <w:lvl w:ilvl="1" w:tplc="3C0CE76A">
      <w:start w:val="1"/>
      <w:numFmt w:val="bullet"/>
      <w:lvlText w:val="o"/>
      <w:lvlJc w:val="left"/>
      <w:pPr>
        <w:ind w:left="1080" w:hanging="360"/>
      </w:pPr>
      <w:rPr>
        <w:rFonts w:ascii="Courier New" w:hAnsi="Courier New" w:hint="default"/>
      </w:rPr>
    </w:lvl>
    <w:lvl w:ilvl="2" w:tplc="63BEFC22">
      <w:start w:val="1"/>
      <w:numFmt w:val="bullet"/>
      <w:lvlText w:val=""/>
      <w:lvlJc w:val="left"/>
      <w:pPr>
        <w:ind w:left="1800" w:hanging="360"/>
      </w:pPr>
      <w:rPr>
        <w:rFonts w:ascii="Wingdings" w:hAnsi="Wingdings" w:hint="default"/>
      </w:rPr>
    </w:lvl>
    <w:lvl w:ilvl="3" w:tplc="48402804">
      <w:start w:val="1"/>
      <w:numFmt w:val="bullet"/>
      <w:lvlText w:val=""/>
      <w:lvlJc w:val="left"/>
      <w:pPr>
        <w:ind w:left="2520" w:hanging="360"/>
      </w:pPr>
      <w:rPr>
        <w:rFonts w:ascii="Symbol" w:hAnsi="Symbol" w:hint="default"/>
      </w:rPr>
    </w:lvl>
    <w:lvl w:ilvl="4" w:tplc="A13C1A70">
      <w:start w:val="1"/>
      <w:numFmt w:val="bullet"/>
      <w:lvlText w:val="o"/>
      <w:lvlJc w:val="left"/>
      <w:pPr>
        <w:ind w:left="3240" w:hanging="360"/>
      </w:pPr>
      <w:rPr>
        <w:rFonts w:ascii="Courier New" w:hAnsi="Courier New" w:hint="default"/>
      </w:rPr>
    </w:lvl>
    <w:lvl w:ilvl="5" w:tplc="97485056">
      <w:start w:val="1"/>
      <w:numFmt w:val="bullet"/>
      <w:lvlText w:val=""/>
      <w:lvlJc w:val="left"/>
      <w:pPr>
        <w:ind w:left="3960" w:hanging="360"/>
      </w:pPr>
      <w:rPr>
        <w:rFonts w:ascii="Wingdings" w:hAnsi="Wingdings" w:hint="default"/>
      </w:rPr>
    </w:lvl>
    <w:lvl w:ilvl="6" w:tplc="6C7A20FA">
      <w:start w:val="1"/>
      <w:numFmt w:val="bullet"/>
      <w:lvlText w:val=""/>
      <w:lvlJc w:val="left"/>
      <w:pPr>
        <w:ind w:left="4680" w:hanging="360"/>
      </w:pPr>
      <w:rPr>
        <w:rFonts w:ascii="Symbol" w:hAnsi="Symbol" w:hint="default"/>
      </w:rPr>
    </w:lvl>
    <w:lvl w:ilvl="7" w:tplc="6FAEBE18">
      <w:start w:val="1"/>
      <w:numFmt w:val="bullet"/>
      <w:lvlText w:val="o"/>
      <w:lvlJc w:val="left"/>
      <w:pPr>
        <w:ind w:left="5400" w:hanging="360"/>
      </w:pPr>
      <w:rPr>
        <w:rFonts w:ascii="Courier New" w:hAnsi="Courier New" w:hint="default"/>
      </w:rPr>
    </w:lvl>
    <w:lvl w:ilvl="8" w:tplc="369C6B2E">
      <w:start w:val="1"/>
      <w:numFmt w:val="bullet"/>
      <w:lvlText w:val=""/>
      <w:lvlJc w:val="left"/>
      <w:pPr>
        <w:ind w:left="6120" w:hanging="360"/>
      </w:pPr>
      <w:rPr>
        <w:rFonts w:ascii="Wingdings" w:hAnsi="Wingdings" w:hint="default"/>
      </w:rPr>
    </w:lvl>
  </w:abstractNum>
  <w:abstractNum w:abstractNumId="32" w15:restartNumberingAfterBreak="0">
    <w:nsid w:val="4C0B0DAB"/>
    <w:multiLevelType w:val="hybridMultilevel"/>
    <w:tmpl w:val="19DC75AC"/>
    <w:lvl w:ilvl="0" w:tplc="3BE06BA4">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EB61DD"/>
    <w:multiLevelType w:val="hybridMultilevel"/>
    <w:tmpl w:val="4C769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2669DF"/>
    <w:multiLevelType w:val="hybridMultilevel"/>
    <w:tmpl w:val="80829DCA"/>
    <w:lvl w:ilvl="0" w:tplc="45C4F9CC">
      <w:start w:val="1"/>
      <w:numFmt w:val="lowerLetter"/>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360" w:hanging="180"/>
      </w:pPr>
    </w:lvl>
    <w:lvl w:ilvl="3" w:tplc="0409000F">
      <w:start w:val="1"/>
      <w:numFmt w:val="decimal"/>
      <w:lvlText w:val="%4."/>
      <w:lvlJc w:val="left"/>
      <w:pPr>
        <w:ind w:left="360" w:hanging="360"/>
      </w:pPr>
    </w:lvl>
    <w:lvl w:ilvl="4" w:tplc="04090001">
      <w:start w:val="1"/>
      <w:numFmt w:val="bullet"/>
      <w:lvlText w:val=""/>
      <w:lvlJc w:val="left"/>
      <w:pPr>
        <w:ind w:left="1080" w:hanging="360"/>
      </w:pPr>
      <w:rPr>
        <w:rFonts w:ascii="Symbol" w:hAnsi="Symbol" w:hint="default"/>
      </w:r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35" w15:restartNumberingAfterBreak="0">
    <w:nsid w:val="52AA0B70"/>
    <w:multiLevelType w:val="hybridMultilevel"/>
    <w:tmpl w:val="3930438E"/>
    <w:lvl w:ilvl="0" w:tplc="A58EB712">
      <w:start w:val="7"/>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04318E"/>
    <w:multiLevelType w:val="hybridMultilevel"/>
    <w:tmpl w:val="ACBA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5A0BD7"/>
    <w:multiLevelType w:val="hybridMultilevel"/>
    <w:tmpl w:val="DE388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D745F6"/>
    <w:multiLevelType w:val="hybridMultilevel"/>
    <w:tmpl w:val="3E5498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9EE4D15"/>
    <w:multiLevelType w:val="hybridMultilevel"/>
    <w:tmpl w:val="E5DE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746A5B"/>
    <w:multiLevelType w:val="hybridMultilevel"/>
    <w:tmpl w:val="CCA2128C"/>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C795BD5"/>
    <w:multiLevelType w:val="hybridMultilevel"/>
    <w:tmpl w:val="864A2B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FFA3622"/>
    <w:multiLevelType w:val="hybridMultilevel"/>
    <w:tmpl w:val="057835F4"/>
    <w:lvl w:ilvl="0" w:tplc="3BE06BA4">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06129BB"/>
    <w:multiLevelType w:val="hybridMultilevel"/>
    <w:tmpl w:val="4F247944"/>
    <w:lvl w:ilvl="0" w:tplc="3BE06BA4">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5F73EC"/>
    <w:multiLevelType w:val="hybridMultilevel"/>
    <w:tmpl w:val="85D816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5F06EB8"/>
    <w:multiLevelType w:val="hybridMultilevel"/>
    <w:tmpl w:val="D526BC48"/>
    <w:lvl w:ilvl="0" w:tplc="04090019">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C496A94"/>
    <w:multiLevelType w:val="hybridMultilevel"/>
    <w:tmpl w:val="DA0241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D593983"/>
    <w:multiLevelType w:val="hybridMultilevel"/>
    <w:tmpl w:val="2168DC34"/>
    <w:lvl w:ilvl="0" w:tplc="04090019">
      <w:start w:val="1"/>
      <w:numFmt w:val="lowerLetter"/>
      <w:lvlText w:val="%1."/>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8" w15:restartNumberingAfterBreak="0">
    <w:nsid w:val="6F0C7067"/>
    <w:multiLevelType w:val="hybridMultilevel"/>
    <w:tmpl w:val="01989C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0D9175C"/>
    <w:multiLevelType w:val="hybridMultilevel"/>
    <w:tmpl w:val="C1F09E32"/>
    <w:lvl w:ilvl="0" w:tplc="7986A02C">
      <w:start w:val="1"/>
      <w:numFmt w:val="lowerRoman"/>
      <w:lvlText w:val="%1."/>
      <w:lvlJc w:val="right"/>
      <w:pPr>
        <w:ind w:left="1800" w:hanging="360"/>
      </w:pPr>
      <w:rPr>
        <w:rFonts w:hint="default"/>
        <w:b/>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74C45337"/>
    <w:multiLevelType w:val="hybridMultilevel"/>
    <w:tmpl w:val="72968376"/>
    <w:lvl w:ilvl="0" w:tplc="3BE06BA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89D6BCF"/>
    <w:multiLevelType w:val="hybridMultilevel"/>
    <w:tmpl w:val="8A766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93E06C4"/>
    <w:multiLevelType w:val="hybridMultilevel"/>
    <w:tmpl w:val="74A8B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5726761">
    <w:abstractNumId w:val="52"/>
  </w:num>
  <w:num w:numId="2" w16cid:durableId="2111772176">
    <w:abstractNumId w:val="35"/>
  </w:num>
  <w:num w:numId="3" w16cid:durableId="966930115">
    <w:abstractNumId w:val="5"/>
  </w:num>
  <w:num w:numId="4" w16cid:durableId="356397869">
    <w:abstractNumId w:val="22"/>
  </w:num>
  <w:num w:numId="5" w16cid:durableId="622541903">
    <w:abstractNumId w:val="8"/>
  </w:num>
  <w:num w:numId="6" w16cid:durableId="1659504342">
    <w:abstractNumId w:val="18"/>
  </w:num>
  <w:num w:numId="7" w16cid:durableId="2027368378">
    <w:abstractNumId w:val="40"/>
  </w:num>
  <w:num w:numId="8" w16cid:durableId="400717590">
    <w:abstractNumId w:val="23"/>
  </w:num>
  <w:num w:numId="9" w16cid:durableId="280693676">
    <w:abstractNumId w:val="26"/>
  </w:num>
  <w:num w:numId="10" w16cid:durableId="953631085">
    <w:abstractNumId w:val="29"/>
  </w:num>
  <w:num w:numId="11" w16cid:durableId="1601452145">
    <w:abstractNumId w:val="21"/>
  </w:num>
  <w:num w:numId="12" w16cid:durableId="1739472649">
    <w:abstractNumId w:val="13"/>
  </w:num>
  <w:num w:numId="13" w16cid:durableId="549001884">
    <w:abstractNumId w:val="25"/>
  </w:num>
  <w:num w:numId="14" w16cid:durableId="1984970261">
    <w:abstractNumId w:val="17"/>
  </w:num>
  <w:num w:numId="15" w16cid:durableId="144200122">
    <w:abstractNumId w:val="14"/>
  </w:num>
  <w:num w:numId="16" w16cid:durableId="1827621545">
    <w:abstractNumId w:val="20"/>
  </w:num>
  <w:num w:numId="17" w16cid:durableId="767238262">
    <w:abstractNumId w:val="15"/>
  </w:num>
  <w:num w:numId="18" w16cid:durableId="531384848">
    <w:abstractNumId w:val="34"/>
  </w:num>
  <w:num w:numId="19" w16cid:durableId="1283923166">
    <w:abstractNumId w:val="50"/>
  </w:num>
  <w:num w:numId="20" w16cid:durableId="1433553927">
    <w:abstractNumId w:val="0"/>
  </w:num>
  <w:num w:numId="21" w16cid:durableId="1870335102">
    <w:abstractNumId w:val="2"/>
  </w:num>
  <w:num w:numId="22" w16cid:durableId="1617181333">
    <w:abstractNumId w:val="30"/>
  </w:num>
  <w:num w:numId="23" w16cid:durableId="1942106662">
    <w:abstractNumId w:val="24"/>
  </w:num>
  <w:num w:numId="24" w16cid:durableId="1951432581">
    <w:abstractNumId w:val="43"/>
  </w:num>
  <w:num w:numId="25" w16cid:durableId="2102024550">
    <w:abstractNumId w:val="32"/>
  </w:num>
  <w:num w:numId="26" w16cid:durableId="237374232">
    <w:abstractNumId w:val="42"/>
  </w:num>
  <w:num w:numId="27" w16cid:durableId="658576341">
    <w:abstractNumId w:val="41"/>
  </w:num>
  <w:num w:numId="28" w16cid:durableId="444420245">
    <w:abstractNumId w:val="49"/>
  </w:num>
  <w:num w:numId="29" w16cid:durableId="1660648924">
    <w:abstractNumId w:val="33"/>
  </w:num>
  <w:num w:numId="30" w16cid:durableId="653215575">
    <w:abstractNumId w:val="9"/>
  </w:num>
  <w:num w:numId="31" w16cid:durableId="1456365017">
    <w:abstractNumId w:val="19"/>
  </w:num>
  <w:num w:numId="32" w16cid:durableId="1418013971">
    <w:abstractNumId w:val="47"/>
  </w:num>
  <w:num w:numId="33" w16cid:durableId="612447463">
    <w:abstractNumId w:val="28"/>
  </w:num>
  <w:num w:numId="34" w16cid:durableId="1793597554">
    <w:abstractNumId w:val="7"/>
  </w:num>
  <w:num w:numId="35" w16cid:durableId="2013995096">
    <w:abstractNumId w:val="6"/>
  </w:num>
  <w:num w:numId="36" w16cid:durableId="2138529031">
    <w:abstractNumId w:val="11"/>
  </w:num>
  <w:num w:numId="37" w16cid:durableId="1614558647">
    <w:abstractNumId w:val="12"/>
  </w:num>
  <w:num w:numId="38" w16cid:durableId="756824365">
    <w:abstractNumId w:val="45"/>
  </w:num>
  <w:num w:numId="39" w16cid:durableId="424302708">
    <w:abstractNumId w:val="16"/>
  </w:num>
  <w:num w:numId="40" w16cid:durableId="180708416">
    <w:abstractNumId w:val="44"/>
  </w:num>
  <w:num w:numId="41" w16cid:durableId="1899633477">
    <w:abstractNumId w:val="46"/>
  </w:num>
  <w:num w:numId="42" w16cid:durableId="1525166561">
    <w:abstractNumId w:val="10"/>
  </w:num>
  <w:num w:numId="43" w16cid:durableId="1263221180">
    <w:abstractNumId w:val="37"/>
  </w:num>
  <w:num w:numId="44" w16cid:durableId="849367666">
    <w:abstractNumId w:val="51"/>
  </w:num>
  <w:num w:numId="45" w16cid:durableId="1284580606">
    <w:abstractNumId w:val="36"/>
  </w:num>
  <w:num w:numId="46" w16cid:durableId="687100367">
    <w:abstractNumId w:val="4"/>
  </w:num>
  <w:num w:numId="47" w16cid:durableId="1681470957">
    <w:abstractNumId w:val="31"/>
  </w:num>
  <w:num w:numId="48" w16cid:durableId="111704794">
    <w:abstractNumId w:val="27"/>
  </w:num>
  <w:num w:numId="49" w16cid:durableId="1636793012">
    <w:abstractNumId w:val="38"/>
  </w:num>
  <w:num w:numId="50" w16cid:durableId="785587913">
    <w:abstractNumId w:val="48"/>
  </w:num>
  <w:num w:numId="51" w16cid:durableId="1122502943">
    <w:abstractNumId w:val="3"/>
  </w:num>
  <w:num w:numId="52" w16cid:durableId="1609511320">
    <w:abstractNumId w:val="39"/>
  </w:num>
  <w:num w:numId="53" w16cid:durableId="1916431390">
    <w:abstractNumId w:val="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K0NLcwNTY3NTazNDZU0lEKTi0uzszPAykwrAUAVtX/3SwAAAA="/>
  </w:docVars>
  <w:rsids>
    <w:rsidRoot w:val="00B90454"/>
    <w:rsid w:val="00001A28"/>
    <w:rsid w:val="00002C79"/>
    <w:rsid w:val="00002E72"/>
    <w:rsid w:val="00003867"/>
    <w:rsid w:val="00003E71"/>
    <w:rsid w:val="00004197"/>
    <w:rsid w:val="00005DDA"/>
    <w:rsid w:val="00007EF7"/>
    <w:rsid w:val="000100DE"/>
    <w:rsid w:val="0001211E"/>
    <w:rsid w:val="00012BF8"/>
    <w:rsid w:val="000134C6"/>
    <w:rsid w:val="00013AE4"/>
    <w:rsid w:val="00013F99"/>
    <w:rsid w:val="0001410C"/>
    <w:rsid w:val="00016BA1"/>
    <w:rsid w:val="00017D88"/>
    <w:rsid w:val="00022643"/>
    <w:rsid w:val="00022A19"/>
    <w:rsid w:val="00023F35"/>
    <w:rsid w:val="00025908"/>
    <w:rsid w:val="000260F8"/>
    <w:rsid w:val="000313B9"/>
    <w:rsid w:val="00032224"/>
    <w:rsid w:val="00037064"/>
    <w:rsid w:val="00037961"/>
    <w:rsid w:val="0004009D"/>
    <w:rsid w:val="00040531"/>
    <w:rsid w:val="00040C6C"/>
    <w:rsid w:val="000431E2"/>
    <w:rsid w:val="00044222"/>
    <w:rsid w:val="0004470C"/>
    <w:rsid w:val="00045804"/>
    <w:rsid w:val="000475E8"/>
    <w:rsid w:val="00047721"/>
    <w:rsid w:val="000503BD"/>
    <w:rsid w:val="0005103C"/>
    <w:rsid w:val="00051CAD"/>
    <w:rsid w:val="00055A98"/>
    <w:rsid w:val="0005619A"/>
    <w:rsid w:val="00060803"/>
    <w:rsid w:val="00062656"/>
    <w:rsid w:val="000636EF"/>
    <w:rsid w:val="00063C82"/>
    <w:rsid w:val="00063F0E"/>
    <w:rsid w:val="00066ECB"/>
    <w:rsid w:val="00070796"/>
    <w:rsid w:val="00070A99"/>
    <w:rsid w:val="000715D5"/>
    <w:rsid w:val="0007390E"/>
    <w:rsid w:val="000740D8"/>
    <w:rsid w:val="000757DE"/>
    <w:rsid w:val="00075FF8"/>
    <w:rsid w:val="0007601B"/>
    <w:rsid w:val="000800C1"/>
    <w:rsid w:val="000804FA"/>
    <w:rsid w:val="00087176"/>
    <w:rsid w:val="0009517B"/>
    <w:rsid w:val="000964EA"/>
    <w:rsid w:val="00096F21"/>
    <w:rsid w:val="000A001D"/>
    <w:rsid w:val="000A1EC0"/>
    <w:rsid w:val="000A1EE4"/>
    <w:rsid w:val="000A2E13"/>
    <w:rsid w:val="000A506B"/>
    <w:rsid w:val="000A6192"/>
    <w:rsid w:val="000A69E5"/>
    <w:rsid w:val="000A7B30"/>
    <w:rsid w:val="000B0AAA"/>
    <w:rsid w:val="000B43C7"/>
    <w:rsid w:val="000B53EB"/>
    <w:rsid w:val="000B55A7"/>
    <w:rsid w:val="000B5C73"/>
    <w:rsid w:val="000C1A11"/>
    <w:rsid w:val="000C3740"/>
    <w:rsid w:val="000C5730"/>
    <w:rsid w:val="000C6625"/>
    <w:rsid w:val="000C7531"/>
    <w:rsid w:val="000D0416"/>
    <w:rsid w:val="000D0958"/>
    <w:rsid w:val="000D0ECC"/>
    <w:rsid w:val="000D129F"/>
    <w:rsid w:val="000D1514"/>
    <w:rsid w:val="000D1E66"/>
    <w:rsid w:val="000D21FF"/>
    <w:rsid w:val="000D25DD"/>
    <w:rsid w:val="000D31C8"/>
    <w:rsid w:val="000D3F12"/>
    <w:rsid w:val="000D5758"/>
    <w:rsid w:val="000D62D0"/>
    <w:rsid w:val="000E12F1"/>
    <w:rsid w:val="000E4C85"/>
    <w:rsid w:val="000E565A"/>
    <w:rsid w:val="000E56D4"/>
    <w:rsid w:val="000E69BB"/>
    <w:rsid w:val="000E736C"/>
    <w:rsid w:val="000E7B1B"/>
    <w:rsid w:val="000F0E4F"/>
    <w:rsid w:val="000F1486"/>
    <w:rsid w:val="000F381B"/>
    <w:rsid w:val="000F3DBE"/>
    <w:rsid w:val="000F494B"/>
    <w:rsid w:val="000F5956"/>
    <w:rsid w:val="000F5DB2"/>
    <w:rsid w:val="000F6FCF"/>
    <w:rsid w:val="000F7B54"/>
    <w:rsid w:val="00100962"/>
    <w:rsid w:val="00105C90"/>
    <w:rsid w:val="001064FB"/>
    <w:rsid w:val="00107A0E"/>
    <w:rsid w:val="001102B6"/>
    <w:rsid w:val="0011115B"/>
    <w:rsid w:val="001130AB"/>
    <w:rsid w:val="0011333D"/>
    <w:rsid w:val="00114917"/>
    <w:rsid w:val="001179D8"/>
    <w:rsid w:val="00120687"/>
    <w:rsid w:val="00120755"/>
    <w:rsid w:val="00120F48"/>
    <w:rsid w:val="0012141C"/>
    <w:rsid w:val="00121EAD"/>
    <w:rsid w:val="00122ADE"/>
    <w:rsid w:val="0012462E"/>
    <w:rsid w:val="00126D1B"/>
    <w:rsid w:val="00126D7D"/>
    <w:rsid w:val="00127090"/>
    <w:rsid w:val="00130924"/>
    <w:rsid w:val="0013140C"/>
    <w:rsid w:val="00132C68"/>
    <w:rsid w:val="0013490B"/>
    <w:rsid w:val="0013531A"/>
    <w:rsid w:val="00135C72"/>
    <w:rsid w:val="00142B63"/>
    <w:rsid w:val="00143E4C"/>
    <w:rsid w:val="001453EF"/>
    <w:rsid w:val="001455A3"/>
    <w:rsid w:val="00146311"/>
    <w:rsid w:val="00152139"/>
    <w:rsid w:val="0015397D"/>
    <w:rsid w:val="00153B5A"/>
    <w:rsid w:val="00154D94"/>
    <w:rsid w:val="00156F9E"/>
    <w:rsid w:val="00157236"/>
    <w:rsid w:val="00157A0B"/>
    <w:rsid w:val="00157FAF"/>
    <w:rsid w:val="00157FE7"/>
    <w:rsid w:val="00160311"/>
    <w:rsid w:val="001608DF"/>
    <w:rsid w:val="00161987"/>
    <w:rsid w:val="001647CA"/>
    <w:rsid w:val="001654DB"/>
    <w:rsid w:val="00167010"/>
    <w:rsid w:val="0016793D"/>
    <w:rsid w:val="00170823"/>
    <w:rsid w:val="0017212B"/>
    <w:rsid w:val="00174FBD"/>
    <w:rsid w:val="00177E8F"/>
    <w:rsid w:val="00180CBE"/>
    <w:rsid w:val="00181946"/>
    <w:rsid w:val="00181BB1"/>
    <w:rsid w:val="001838AD"/>
    <w:rsid w:val="001851B5"/>
    <w:rsid w:val="001854A0"/>
    <w:rsid w:val="00186100"/>
    <w:rsid w:val="001867A2"/>
    <w:rsid w:val="00187342"/>
    <w:rsid w:val="00187BFB"/>
    <w:rsid w:val="0019233E"/>
    <w:rsid w:val="001953F2"/>
    <w:rsid w:val="0019543C"/>
    <w:rsid w:val="00195853"/>
    <w:rsid w:val="001976FF"/>
    <w:rsid w:val="00197BCC"/>
    <w:rsid w:val="001A180C"/>
    <w:rsid w:val="001A2184"/>
    <w:rsid w:val="001A5303"/>
    <w:rsid w:val="001A670E"/>
    <w:rsid w:val="001B017C"/>
    <w:rsid w:val="001B0D4D"/>
    <w:rsid w:val="001B3814"/>
    <w:rsid w:val="001B422A"/>
    <w:rsid w:val="001B4963"/>
    <w:rsid w:val="001B53C0"/>
    <w:rsid w:val="001B678F"/>
    <w:rsid w:val="001C0603"/>
    <w:rsid w:val="001C2446"/>
    <w:rsid w:val="001C2C65"/>
    <w:rsid w:val="001C2E47"/>
    <w:rsid w:val="001C4DB3"/>
    <w:rsid w:val="001C5399"/>
    <w:rsid w:val="001C5936"/>
    <w:rsid w:val="001D0489"/>
    <w:rsid w:val="001D12EF"/>
    <w:rsid w:val="001D19DD"/>
    <w:rsid w:val="001D47BC"/>
    <w:rsid w:val="001D790A"/>
    <w:rsid w:val="001E13AE"/>
    <w:rsid w:val="001E1A43"/>
    <w:rsid w:val="001E2186"/>
    <w:rsid w:val="001E4EDD"/>
    <w:rsid w:val="001E5F72"/>
    <w:rsid w:val="001E68B7"/>
    <w:rsid w:val="001E6ABF"/>
    <w:rsid w:val="001F1FCD"/>
    <w:rsid w:val="001F2028"/>
    <w:rsid w:val="001F2AF8"/>
    <w:rsid w:val="001F2B9A"/>
    <w:rsid w:val="001F2BE4"/>
    <w:rsid w:val="001F5215"/>
    <w:rsid w:val="001F6756"/>
    <w:rsid w:val="001F74F7"/>
    <w:rsid w:val="0020011A"/>
    <w:rsid w:val="00200956"/>
    <w:rsid w:val="002026DE"/>
    <w:rsid w:val="00202D80"/>
    <w:rsid w:val="002053A7"/>
    <w:rsid w:val="00205558"/>
    <w:rsid w:val="00205E08"/>
    <w:rsid w:val="002060C0"/>
    <w:rsid w:val="00206A37"/>
    <w:rsid w:val="0020797C"/>
    <w:rsid w:val="00207AC8"/>
    <w:rsid w:val="002102E2"/>
    <w:rsid w:val="00210FF3"/>
    <w:rsid w:val="002115E5"/>
    <w:rsid w:val="0021419D"/>
    <w:rsid w:val="00214FA9"/>
    <w:rsid w:val="002155DE"/>
    <w:rsid w:val="00215B3D"/>
    <w:rsid w:val="0021608F"/>
    <w:rsid w:val="00220F5E"/>
    <w:rsid w:val="002213A6"/>
    <w:rsid w:val="00221E52"/>
    <w:rsid w:val="00221EEA"/>
    <w:rsid w:val="00223748"/>
    <w:rsid w:val="002237F4"/>
    <w:rsid w:val="00224545"/>
    <w:rsid w:val="0022501D"/>
    <w:rsid w:val="0022609D"/>
    <w:rsid w:val="00226802"/>
    <w:rsid w:val="002301A1"/>
    <w:rsid w:val="00230EA7"/>
    <w:rsid w:val="00231BE0"/>
    <w:rsid w:val="00232DBF"/>
    <w:rsid w:val="0023366A"/>
    <w:rsid w:val="002352A0"/>
    <w:rsid w:val="002354FA"/>
    <w:rsid w:val="00236DA5"/>
    <w:rsid w:val="00236E54"/>
    <w:rsid w:val="00237AD1"/>
    <w:rsid w:val="00240553"/>
    <w:rsid w:val="002408E9"/>
    <w:rsid w:val="00241E3F"/>
    <w:rsid w:val="0024496A"/>
    <w:rsid w:val="002456D6"/>
    <w:rsid w:val="002466EE"/>
    <w:rsid w:val="002510BF"/>
    <w:rsid w:val="00255128"/>
    <w:rsid w:val="00255F2B"/>
    <w:rsid w:val="00255FD7"/>
    <w:rsid w:val="002561B0"/>
    <w:rsid w:val="0025676B"/>
    <w:rsid w:val="00256A60"/>
    <w:rsid w:val="00256BDC"/>
    <w:rsid w:val="00256D21"/>
    <w:rsid w:val="00257161"/>
    <w:rsid w:val="00262A08"/>
    <w:rsid w:val="0026311F"/>
    <w:rsid w:val="00263C57"/>
    <w:rsid w:val="00264143"/>
    <w:rsid w:val="00266A82"/>
    <w:rsid w:val="00271C24"/>
    <w:rsid w:val="0027354E"/>
    <w:rsid w:val="002740E9"/>
    <w:rsid w:val="00274BFE"/>
    <w:rsid w:val="00274C3C"/>
    <w:rsid w:val="00274F3E"/>
    <w:rsid w:val="0027591A"/>
    <w:rsid w:val="00276FEA"/>
    <w:rsid w:val="00277340"/>
    <w:rsid w:val="0027743F"/>
    <w:rsid w:val="00282A1A"/>
    <w:rsid w:val="002853E4"/>
    <w:rsid w:val="00285473"/>
    <w:rsid w:val="00285DC0"/>
    <w:rsid w:val="002863FC"/>
    <w:rsid w:val="002928B2"/>
    <w:rsid w:val="0029338B"/>
    <w:rsid w:val="00294597"/>
    <w:rsid w:val="00294E64"/>
    <w:rsid w:val="00295CE0"/>
    <w:rsid w:val="00295F81"/>
    <w:rsid w:val="00295F92"/>
    <w:rsid w:val="00296209"/>
    <w:rsid w:val="00297615"/>
    <w:rsid w:val="002A2B46"/>
    <w:rsid w:val="002A40A5"/>
    <w:rsid w:val="002B017A"/>
    <w:rsid w:val="002B0F1D"/>
    <w:rsid w:val="002B16E8"/>
    <w:rsid w:val="002B3183"/>
    <w:rsid w:val="002B403C"/>
    <w:rsid w:val="002B6673"/>
    <w:rsid w:val="002B7985"/>
    <w:rsid w:val="002B7E5D"/>
    <w:rsid w:val="002C3708"/>
    <w:rsid w:val="002C3F01"/>
    <w:rsid w:val="002C486B"/>
    <w:rsid w:val="002D0531"/>
    <w:rsid w:val="002D09BB"/>
    <w:rsid w:val="002D0B3D"/>
    <w:rsid w:val="002D135E"/>
    <w:rsid w:val="002D270A"/>
    <w:rsid w:val="002D3584"/>
    <w:rsid w:val="002D5B91"/>
    <w:rsid w:val="002E1F6D"/>
    <w:rsid w:val="002E2502"/>
    <w:rsid w:val="002E49CF"/>
    <w:rsid w:val="002E6E3E"/>
    <w:rsid w:val="002E7E80"/>
    <w:rsid w:val="002F06C0"/>
    <w:rsid w:val="002F0CAF"/>
    <w:rsid w:val="002F19DB"/>
    <w:rsid w:val="002F311F"/>
    <w:rsid w:val="002F4825"/>
    <w:rsid w:val="002F4FC8"/>
    <w:rsid w:val="0030780F"/>
    <w:rsid w:val="00307B50"/>
    <w:rsid w:val="00307BC2"/>
    <w:rsid w:val="003105A0"/>
    <w:rsid w:val="00314001"/>
    <w:rsid w:val="00315248"/>
    <w:rsid w:val="003157A9"/>
    <w:rsid w:val="00316438"/>
    <w:rsid w:val="003202D5"/>
    <w:rsid w:val="00320E8A"/>
    <w:rsid w:val="00321A59"/>
    <w:rsid w:val="00327DC4"/>
    <w:rsid w:val="00332BD5"/>
    <w:rsid w:val="0033370B"/>
    <w:rsid w:val="00336F45"/>
    <w:rsid w:val="00340DBB"/>
    <w:rsid w:val="00341525"/>
    <w:rsid w:val="003448CB"/>
    <w:rsid w:val="00344D67"/>
    <w:rsid w:val="0034636B"/>
    <w:rsid w:val="00346623"/>
    <w:rsid w:val="00350196"/>
    <w:rsid w:val="0035031B"/>
    <w:rsid w:val="00350845"/>
    <w:rsid w:val="00350B43"/>
    <w:rsid w:val="003519D4"/>
    <w:rsid w:val="00352C09"/>
    <w:rsid w:val="00354E67"/>
    <w:rsid w:val="0035556A"/>
    <w:rsid w:val="003555C0"/>
    <w:rsid w:val="00356484"/>
    <w:rsid w:val="00357660"/>
    <w:rsid w:val="00357724"/>
    <w:rsid w:val="00357F38"/>
    <w:rsid w:val="00360D95"/>
    <w:rsid w:val="00360EBB"/>
    <w:rsid w:val="0036160B"/>
    <w:rsid w:val="00361A07"/>
    <w:rsid w:val="00361A1A"/>
    <w:rsid w:val="00361A64"/>
    <w:rsid w:val="00361C3C"/>
    <w:rsid w:val="00361E7C"/>
    <w:rsid w:val="003627C0"/>
    <w:rsid w:val="00362EA5"/>
    <w:rsid w:val="00363C09"/>
    <w:rsid w:val="00363F5E"/>
    <w:rsid w:val="003642E8"/>
    <w:rsid w:val="00365D3F"/>
    <w:rsid w:val="00366787"/>
    <w:rsid w:val="003677C6"/>
    <w:rsid w:val="003677D3"/>
    <w:rsid w:val="0037222E"/>
    <w:rsid w:val="0037316F"/>
    <w:rsid w:val="00375003"/>
    <w:rsid w:val="00376621"/>
    <w:rsid w:val="00380D62"/>
    <w:rsid w:val="00384835"/>
    <w:rsid w:val="003901CF"/>
    <w:rsid w:val="003905A1"/>
    <w:rsid w:val="003912CA"/>
    <w:rsid w:val="00391FCE"/>
    <w:rsid w:val="00394AC8"/>
    <w:rsid w:val="0039798E"/>
    <w:rsid w:val="003A00EB"/>
    <w:rsid w:val="003A0EA2"/>
    <w:rsid w:val="003A543E"/>
    <w:rsid w:val="003B37AC"/>
    <w:rsid w:val="003B44E2"/>
    <w:rsid w:val="003B7DDD"/>
    <w:rsid w:val="003C1C7A"/>
    <w:rsid w:val="003C2C63"/>
    <w:rsid w:val="003C3707"/>
    <w:rsid w:val="003C4B4A"/>
    <w:rsid w:val="003C7B5E"/>
    <w:rsid w:val="003D0252"/>
    <w:rsid w:val="003D029E"/>
    <w:rsid w:val="003D0CA5"/>
    <w:rsid w:val="003D64E4"/>
    <w:rsid w:val="003D6716"/>
    <w:rsid w:val="003E0931"/>
    <w:rsid w:val="003E0DD4"/>
    <w:rsid w:val="003E1ECB"/>
    <w:rsid w:val="003E2F44"/>
    <w:rsid w:val="003E46F7"/>
    <w:rsid w:val="003E59A9"/>
    <w:rsid w:val="003E7641"/>
    <w:rsid w:val="003F0531"/>
    <w:rsid w:val="003F2BEB"/>
    <w:rsid w:val="003F2E8C"/>
    <w:rsid w:val="003F2EDE"/>
    <w:rsid w:val="003F4555"/>
    <w:rsid w:val="003F4CED"/>
    <w:rsid w:val="003F5839"/>
    <w:rsid w:val="003F5F5A"/>
    <w:rsid w:val="003F614A"/>
    <w:rsid w:val="003F7C81"/>
    <w:rsid w:val="00400119"/>
    <w:rsid w:val="00401906"/>
    <w:rsid w:val="00402682"/>
    <w:rsid w:val="004028F0"/>
    <w:rsid w:val="0040556A"/>
    <w:rsid w:val="004059A0"/>
    <w:rsid w:val="00405B95"/>
    <w:rsid w:val="00406F54"/>
    <w:rsid w:val="00410965"/>
    <w:rsid w:val="00410F9B"/>
    <w:rsid w:val="0041178E"/>
    <w:rsid w:val="00413EFD"/>
    <w:rsid w:val="00414A2F"/>
    <w:rsid w:val="00415E96"/>
    <w:rsid w:val="004176FE"/>
    <w:rsid w:val="00417845"/>
    <w:rsid w:val="00417DE5"/>
    <w:rsid w:val="004216B9"/>
    <w:rsid w:val="00423EB0"/>
    <w:rsid w:val="004245BC"/>
    <w:rsid w:val="00424E35"/>
    <w:rsid w:val="004272D4"/>
    <w:rsid w:val="004311B4"/>
    <w:rsid w:val="0043127B"/>
    <w:rsid w:val="0043191E"/>
    <w:rsid w:val="00431C77"/>
    <w:rsid w:val="00432205"/>
    <w:rsid w:val="0043229A"/>
    <w:rsid w:val="0043263C"/>
    <w:rsid w:val="00434374"/>
    <w:rsid w:val="00434C0D"/>
    <w:rsid w:val="00434D8F"/>
    <w:rsid w:val="00440169"/>
    <w:rsid w:val="00442547"/>
    <w:rsid w:val="0044392C"/>
    <w:rsid w:val="004441A2"/>
    <w:rsid w:val="00444706"/>
    <w:rsid w:val="00444BE1"/>
    <w:rsid w:val="00452FA1"/>
    <w:rsid w:val="00454568"/>
    <w:rsid w:val="00454912"/>
    <w:rsid w:val="004552AD"/>
    <w:rsid w:val="00455AAA"/>
    <w:rsid w:val="00455E3C"/>
    <w:rsid w:val="00456FA9"/>
    <w:rsid w:val="00460082"/>
    <w:rsid w:val="00462584"/>
    <w:rsid w:val="00464BE3"/>
    <w:rsid w:val="00466E9D"/>
    <w:rsid w:val="00467DD5"/>
    <w:rsid w:val="0047086B"/>
    <w:rsid w:val="00470D0B"/>
    <w:rsid w:val="00471138"/>
    <w:rsid w:val="00476158"/>
    <w:rsid w:val="00476B16"/>
    <w:rsid w:val="00476EB4"/>
    <w:rsid w:val="004806A5"/>
    <w:rsid w:val="004808B1"/>
    <w:rsid w:val="00480CB1"/>
    <w:rsid w:val="00482E8B"/>
    <w:rsid w:val="0048499D"/>
    <w:rsid w:val="00485BAE"/>
    <w:rsid w:val="00486599"/>
    <w:rsid w:val="00490CBC"/>
    <w:rsid w:val="00491AE7"/>
    <w:rsid w:val="00493E48"/>
    <w:rsid w:val="00495D6D"/>
    <w:rsid w:val="004A0A9B"/>
    <w:rsid w:val="004A2428"/>
    <w:rsid w:val="004A69D6"/>
    <w:rsid w:val="004B23C5"/>
    <w:rsid w:val="004B2710"/>
    <w:rsid w:val="004B3556"/>
    <w:rsid w:val="004B3CBE"/>
    <w:rsid w:val="004B55C2"/>
    <w:rsid w:val="004B66F9"/>
    <w:rsid w:val="004B7C1E"/>
    <w:rsid w:val="004B7CAC"/>
    <w:rsid w:val="004C209C"/>
    <w:rsid w:val="004C2C5A"/>
    <w:rsid w:val="004C5C83"/>
    <w:rsid w:val="004C65F5"/>
    <w:rsid w:val="004C67CC"/>
    <w:rsid w:val="004C6FA0"/>
    <w:rsid w:val="004D1A22"/>
    <w:rsid w:val="004D3706"/>
    <w:rsid w:val="004D4D3A"/>
    <w:rsid w:val="004D50AA"/>
    <w:rsid w:val="004E14AF"/>
    <w:rsid w:val="004E2318"/>
    <w:rsid w:val="004E4029"/>
    <w:rsid w:val="004E4206"/>
    <w:rsid w:val="004E4D42"/>
    <w:rsid w:val="004E4F22"/>
    <w:rsid w:val="004E5398"/>
    <w:rsid w:val="004E569D"/>
    <w:rsid w:val="004E5EB4"/>
    <w:rsid w:val="004E687E"/>
    <w:rsid w:val="004F1B2C"/>
    <w:rsid w:val="004F2F0F"/>
    <w:rsid w:val="004F4757"/>
    <w:rsid w:val="004F59A7"/>
    <w:rsid w:val="004F7B0E"/>
    <w:rsid w:val="004F7CC6"/>
    <w:rsid w:val="005028AE"/>
    <w:rsid w:val="00502AAA"/>
    <w:rsid w:val="00503165"/>
    <w:rsid w:val="00504F88"/>
    <w:rsid w:val="0051082C"/>
    <w:rsid w:val="00510C22"/>
    <w:rsid w:val="00511AC4"/>
    <w:rsid w:val="0051406B"/>
    <w:rsid w:val="00515942"/>
    <w:rsid w:val="00515BB6"/>
    <w:rsid w:val="00517652"/>
    <w:rsid w:val="00522ABF"/>
    <w:rsid w:val="00525DF9"/>
    <w:rsid w:val="00527FC7"/>
    <w:rsid w:val="0053178B"/>
    <w:rsid w:val="00534EB7"/>
    <w:rsid w:val="005377FD"/>
    <w:rsid w:val="005402D8"/>
    <w:rsid w:val="005413F3"/>
    <w:rsid w:val="00541C14"/>
    <w:rsid w:val="00541D21"/>
    <w:rsid w:val="0054307F"/>
    <w:rsid w:val="00544E0A"/>
    <w:rsid w:val="00546812"/>
    <w:rsid w:val="00546D70"/>
    <w:rsid w:val="00550213"/>
    <w:rsid w:val="0055090B"/>
    <w:rsid w:val="00551EB0"/>
    <w:rsid w:val="00554025"/>
    <w:rsid w:val="005546D4"/>
    <w:rsid w:val="005551A8"/>
    <w:rsid w:val="00561F91"/>
    <w:rsid w:val="00562485"/>
    <w:rsid w:val="00562D0D"/>
    <w:rsid w:val="00563133"/>
    <w:rsid w:val="00565AAB"/>
    <w:rsid w:val="00567CF4"/>
    <w:rsid w:val="00567F8B"/>
    <w:rsid w:val="00567FCA"/>
    <w:rsid w:val="00572BDA"/>
    <w:rsid w:val="00575073"/>
    <w:rsid w:val="005756C9"/>
    <w:rsid w:val="00576AAB"/>
    <w:rsid w:val="00576B3D"/>
    <w:rsid w:val="00580129"/>
    <w:rsid w:val="005830A5"/>
    <w:rsid w:val="005859BA"/>
    <w:rsid w:val="00586BB5"/>
    <w:rsid w:val="005904A1"/>
    <w:rsid w:val="005904E4"/>
    <w:rsid w:val="005920E1"/>
    <w:rsid w:val="005933AA"/>
    <w:rsid w:val="00594FBE"/>
    <w:rsid w:val="0059513A"/>
    <w:rsid w:val="00596162"/>
    <w:rsid w:val="005962E9"/>
    <w:rsid w:val="005964DA"/>
    <w:rsid w:val="005973FC"/>
    <w:rsid w:val="005A0A95"/>
    <w:rsid w:val="005A32CF"/>
    <w:rsid w:val="005A3CCA"/>
    <w:rsid w:val="005A6618"/>
    <w:rsid w:val="005A6D35"/>
    <w:rsid w:val="005A6FFA"/>
    <w:rsid w:val="005A7655"/>
    <w:rsid w:val="005A7995"/>
    <w:rsid w:val="005B01E4"/>
    <w:rsid w:val="005B0663"/>
    <w:rsid w:val="005B27BE"/>
    <w:rsid w:val="005B2963"/>
    <w:rsid w:val="005B2D3B"/>
    <w:rsid w:val="005B384F"/>
    <w:rsid w:val="005B52E4"/>
    <w:rsid w:val="005B751B"/>
    <w:rsid w:val="005C04F2"/>
    <w:rsid w:val="005C2B00"/>
    <w:rsid w:val="005C4673"/>
    <w:rsid w:val="005C48AC"/>
    <w:rsid w:val="005C4DB3"/>
    <w:rsid w:val="005C6E8C"/>
    <w:rsid w:val="005D389E"/>
    <w:rsid w:val="005D7930"/>
    <w:rsid w:val="005E0B4C"/>
    <w:rsid w:val="005E2C97"/>
    <w:rsid w:val="005E2E64"/>
    <w:rsid w:val="005E34A6"/>
    <w:rsid w:val="005E3B9E"/>
    <w:rsid w:val="005E3C76"/>
    <w:rsid w:val="005E6186"/>
    <w:rsid w:val="005E6B54"/>
    <w:rsid w:val="005F0487"/>
    <w:rsid w:val="005F3848"/>
    <w:rsid w:val="005F3872"/>
    <w:rsid w:val="005F3CFE"/>
    <w:rsid w:val="005F47EF"/>
    <w:rsid w:val="005F4CE3"/>
    <w:rsid w:val="005F5090"/>
    <w:rsid w:val="005F537B"/>
    <w:rsid w:val="005F7886"/>
    <w:rsid w:val="005F7DE7"/>
    <w:rsid w:val="00601E8C"/>
    <w:rsid w:val="00603D84"/>
    <w:rsid w:val="0060436B"/>
    <w:rsid w:val="00605000"/>
    <w:rsid w:val="00605E1E"/>
    <w:rsid w:val="006064E7"/>
    <w:rsid w:val="00606C9B"/>
    <w:rsid w:val="00607BA9"/>
    <w:rsid w:val="006122AF"/>
    <w:rsid w:val="006126F4"/>
    <w:rsid w:val="00614E44"/>
    <w:rsid w:val="006175B5"/>
    <w:rsid w:val="00617E0A"/>
    <w:rsid w:val="00621539"/>
    <w:rsid w:val="006220C8"/>
    <w:rsid w:val="006220E4"/>
    <w:rsid w:val="006224BF"/>
    <w:rsid w:val="00623D03"/>
    <w:rsid w:val="00623F29"/>
    <w:rsid w:val="006244C2"/>
    <w:rsid w:val="00625C88"/>
    <w:rsid w:val="00626DCA"/>
    <w:rsid w:val="00630A7C"/>
    <w:rsid w:val="00630AFD"/>
    <w:rsid w:val="00631B77"/>
    <w:rsid w:val="006329BB"/>
    <w:rsid w:val="00635B05"/>
    <w:rsid w:val="00636F22"/>
    <w:rsid w:val="006371DF"/>
    <w:rsid w:val="00641B11"/>
    <w:rsid w:val="00641C10"/>
    <w:rsid w:val="00643310"/>
    <w:rsid w:val="00643DAA"/>
    <w:rsid w:val="00643EE4"/>
    <w:rsid w:val="00644110"/>
    <w:rsid w:val="00644803"/>
    <w:rsid w:val="006456DC"/>
    <w:rsid w:val="00645ABD"/>
    <w:rsid w:val="00645C5B"/>
    <w:rsid w:val="006476B7"/>
    <w:rsid w:val="00652836"/>
    <w:rsid w:val="00652AAE"/>
    <w:rsid w:val="00653207"/>
    <w:rsid w:val="006538B4"/>
    <w:rsid w:val="00655318"/>
    <w:rsid w:val="0065651D"/>
    <w:rsid w:val="00656575"/>
    <w:rsid w:val="00661917"/>
    <w:rsid w:val="0066196F"/>
    <w:rsid w:val="00662CF3"/>
    <w:rsid w:val="00663090"/>
    <w:rsid w:val="00665EBD"/>
    <w:rsid w:val="00666839"/>
    <w:rsid w:val="00666F7D"/>
    <w:rsid w:val="006679BF"/>
    <w:rsid w:val="00667A36"/>
    <w:rsid w:val="00667A7B"/>
    <w:rsid w:val="0067376A"/>
    <w:rsid w:val="00673DE7"/>
    <w:rsid w:val="006760C1"/>
    <w:rsid w:val="00676A1D"/>
    <w:rsid w:val="00677D45"/>
    <w:rsid w:val="0068053D"/>
    <w:rsid w:val="006821DE"/>
    <w:rsid w:val="00687D88"/>
    <w:rsid w:val="00690192"/>
    <w:rsid w:val="00691764"/>
    <w:rsid w:val="00693BA7"/>
    <w:rsid w:val="00694D0B"/>
    <w:rsid w:val="00695623"/>
    <w:rsid w:val="006A0D1A"/>
    <w:rsid w:val="006A10A8"/>
    <w:rsid w:val="006A15A4"/>
    <w:rsid w:val="006A20D1"/>
    <w:rsid w:val="006A3000"/>
    <w:rsid w:val="006A49E9"/>
    <w:rsid w:val="006A55AA"/>
    <w:rsid w:val="006A67B2"/>
    <w:rsid w:val="006A69AA"/>
    <w:rsid w:val="006B31FC"/>
    <w:rsid w:val="006B4BBE"/>
    <w:rsid w:val="006B50A4"/>
    <w:rsid w:val="006B5E03"/>
    <w:rsid w:val="006B7506"/>
    <w:rsid w:val="006C00B1"/>
    <w:rsid w:val="006C092E"/>
    <w:rsid w:val="006C1B35"/>
    <w:rsid w:val="006C2F3F"/>
    <w:rsid w:val="006C4873"/>
    <w:rsid w:val="006C4A3A"/>
    <w:rsid w:val="006C5C77"/>
    <w:rsid w:val="006C60D1"/>
    <w:rsid w:val="006C69BA"/>
    <w:rsid w:val="006C7B5B"/>
    <w:rsid w:val="006D15FA"/>
    <w:rsid w:val="006D32A7"/>
    <w:rsid w:val="006D3B75"/>
    <w:rsid w:val="006D3EA6"/>
    <w:rsid w:val="006D5974"/>
    <w:rsid w:val="006D5E04"/>
    <w:rsid w:val="006E04B9"/>
    <w:rsid w:val="006E2FA4"/>
    <w:rsid w:val="006E3EA4"/>
    <w:rsid w:val="006E4971"/>
    <w:rsid w:val="006E4C30"/>
    <w:rsid w:val="006E659B"/>
    <w:rsid w:val="006E6FF2"/>
    <w:rsid w:val="006F0426"/>
    <w:rsid w:val="006F11DB"/>
    <w:rsid w:val="006F28E9"/>
    <w:rsid w:val="006F4267"/>
    <w:rsid w:val="007025C2"/>
    <w:rsid w:val="0070571C"/>
    <w:rsid w:val="00710812"/>
    <w:rsid w:val="00712BDD"/>
    <w:rsid w:val="00712EB6"/>
    <w:rsid w:val="00717E8A"/>
    <w:rsid w:val="00717FCC"/>
    <w:rsid w:val="00720E08"/>
    <w:rsid w:val="007228FE"/>
    <w:rsid w:val="0072303F"/>
    <w:rsid w:val="00723C66"/>
    <w:rsid w:val="007256EE"/>
    <w:rsid w:val="00725931"/>
    <w:rsid w:val="007264A2"/>
    <w:rsid w:val="0072783E"/>
    <w:rsid w:val="00732338"/>
    <w:rsid w:val="007338F2"/>
    <w:rsid w:val="007359C5"/>
    <w:rsid w:val="00740FBF"/>
    <w:rsid w:val="007412F3"/>
    <w:rsid w:val="00743797"/>
    <w:rsid w:val="00743B5E"/>
    <w:rsid w:val="007466F9"/>
    <w:rsid w:val="00752BDC"/>
    <w:rsid w:val="0075341E"/>
    <w:rsid w:val="00753C05"/>
    <w:rsid w:val="00754DA4"/>
    <w:rsid w:val="0075514D"/>
    <w:rsid w:val="00755915"/>
    <w:rsid w:val="00755B1A"/>
    <w:rsid w:val="00755E86"/>
    <w:rsid w:val="00756191"/>
    <w:rsid w:val="00757DCF"/>
    <w:rsid w:val="00763462"/>
    <w:rsid w:val="00765351"/>
    <w:rsid w:val="00767FAE"/>
    <w:rsid w:val="00773373"/>
    <w:rsid w:val="007770E0"/>
    <w:rsid w:val="00780D15"/>
    <w:rsid w:val="00781A34"/>
    <w:rsid w:val="00783071"/>
    <w:rsid w:val="0078323B"/>
    <w:rsid w:val="007842F9"/>
    <w:rsid w:val="0078436F"/>
    <w:rsid w:val="00785C5E"/>
    <w:rsid w:val="007865E9"/>
    <w:rsid w:val="0079031D"/>
    <w:rsid w:val="00793A2C"/>
    <w:rsid w:val="007953FB"/>
    <w:rsid w:val="00796270"/>
    <w:rsid w:val="00796469"/>
    <w:rsid w:val="00796559"/>
    <w:rsid w:val="007970C0"/>
    <w:rsid w:val="007A114E"/>
    <w:rsid w:val="007A2240"/>
    <w:rsid w:val="007A3E6D"/>
    <w:rsid w:val="007A4B86"/>
    <w:rsid w:val="007A5AF5"/>
    <w:rsid w:val="007A7D10"/>
    <w:rsid w:val="007B0A15"/>
    <w:rsid w:val="007B0A68"/>
    <w:rsid w:val="007B0B05"/>
    <w:rsid w:val="007B1AE2"/>
    <w:rsid w:val="007B3EF9"/>
    <w:rsid w:val="007B7B7D"/>
    <w:rsid w:val="007C05D4"/>
    <w:rsid w:val="007C2D22"/>
    <w:rsid w:val="007C42F6"/>
    <w:rsid w:val="007C4FAE"/>
    <w:rsid w:val="007C684C"/>
    <w:rsid w:val="007C6C3A"/>
    <w:rsid w:val="007C6DF5"/>
    <w:rsid w:val="007D0AA6"/>
    <w:rsid w:val="007D0BB5"/>
    <w:rsid w:val="007D2256"/>
    <w:rsid w:val="007D2798"/>
    <w:rsid w:val="007D30F4"/>
    <w:rsid w:val="007D37AD"/>
    <w:rsid w:val="007D4792"/>
    <w:rsid w:val="007D5726"/>
    <w:rsid w:val="007D7050"/>
    <w:rsid w:val="007D7E6C"/>
    <w:rsid w:val="007E20F2"/>
    <w:rsid w:val="007E48F9"/>
    <w:rsid w:val="007E7027"/>
    <w:rsid w:val="007F0712"/>
    <w:rsid w:val="007F0752"/>
    <w:rsid w:val="007F3098"/>
    <w:rsid w:val="007F34EB"/>
    <w:rsid w:val="007F35E4"/>
    <w:rsid w:val="007F5D26"/>
    <w:rsid w:val="007F5E02"/>
    <w:rsid w:val="007F687D"/>
    <w:rsid w:val="007F6EAD"/>
    <w:rsid w:val="007F77B2"/>
    <w:rsid w:val="00801E87"/>
    <w:rsid w:val="00802D32"/>
    <w:rsid w:val="00803D22"/>
    <w:rsid w:val="00807051"/>
    <w:rsid w:val="008073D2"/>
    <w:rsid w:val="00810E2D"/>
    <w:rsid w:val="0081212C"/>
    <w:rsid w:val="00813720"/>
    <w:rsid w:val="008145DC"/>
    <w:rsid w:val="008149EF"/>
    <w:rsid w:val="00815C10"/>
    <w:rsid w:val="00816B72"/>
    <w:rsid w:val="0082297A"/>
    <w:rsid w:val="00823901"/>
    <w:rsid w:val="00824518"/>
    <w:rsid w:val="00825EEF"/>
    <w:rsid w:val="00826725"/>
    <w:rsid w:val="00826B40"/>
    <w:rsid w:val="00827E66"/>
    <w:rsid w:val="00827E9E"/>
    <w:rsid w:val="00827EC9"/>
    <w:rsid w:val="008308D3"/>
    <w:rsid w:val="00830C2E"/>
    <w:rsid w:val="008315BE"/>
    <w:rsid w:val="00831C32"/>
    <w:rsid w:val="0083202A"/>
    <w:rsid w:val="00832B45"/>
    <w:rsid w:val="00832B67"/>
    <w:rsid w:val="00835C98"/>
    <w:rsid w:val="00835E26"/>
    <w:rsid w:val="008367AC"/>
    <w:rsid w:val="008367E4"/>
    <w:rsid w:val="00837964"/>
    <w:rsid w:val="0084060F"/>
    <w:rsid w:val="0084124F"/>
    <w:rsid w:val="00841435"/>
    <w:rsid w:val="008445B4"/>
    <w:rsid w:val="008449C3"/>
    <w:rsid w:val="008455EF"/>
    <w:rsid w:val="00845AA1"/>
    <w:rsid w:val="0084637E"/>
    <w:rsid w:val="0084638D"/>
    <w:rsid w:val="008500A3"/>
    <w:rsid w:val="008510E4"/>
    <w:rsid w:val="0085190F"/>
    <w:rsid w:val="00851E85"/>
    <w:rsid w:val="00852C0C"/>
    <w:rsid w:val="00852E47"/>
    <w:rsid w:val="00853163"/>
    <w:rsid w:val="00854267"/>
    <w:rsid w:val="00854D5D"/>
    <w:rsid w:val="00856061"/>
    <w:rsid w:val="00856CAC"/>
    <w:rsid w:val="00857179"/>
    <w:rsid w:val="00860D9B"/>
    <w:rsid w:val="00861C9E"/>
    <w:rsid w:val="0086336C"/>
    <w:rsid w:val="00864DA8"/>
    <w:rsid w:val="00866688"/>
    <w:rsid w:val="0086690E"/>
    <w:rsid w:val="008724F0"/>
    <w:rsid w:val="0087398B"/>
    <w:rsid w:val="0087520F"/>
    <w:rsid w:val="0087535F"/>
    <w:rsid w:val="00875B5E"/>
    <w:rsid w:val="008805DA"/>
    <w:rsid w:val="00881287"/>
    <w:rsid w:val="00881303"/>
    <w:rsid w:val="00881A7B"/>
    <w:rsid w:val="008820F8"/>
    <w:rsid w:val="00884D75"/>
    <w:rsid w:val="00886907"/>
    <w:rsid w:val="00893E99"/>
    <w:rsid w:val="00894CAC"/>
    <w:rsid w:val="008954AD"/>
    <w:rsid w:val="00896C26"/>
    <w:rsid w:val="00897C5A"/>
    <w:rsid w:val="008A461F"/>
    <w:rsid w:val="008A4AE1"/>
    <w:rsid w:val="008B319D"/>
    <w:rsid w:val="008B359C"/>
    <w:rsid w:val="008B38A4"/>
    <w:rsid w:val="008B53CF"/>
    <w:rsid w:val="008B74BB"/>
    <w:rsid w:val="008C06FE"/>
    <w:rsid w:val="008C0A12"/>
    <w:rsid w:val="008C12FB"/>
    <w:rsid w:val="008C1C06"/>
    <w:rsid w:val="008C261F"/>
    <w:rsid w:val="008C2ADD"/>
    <w:rsid w:val="008C4713"/>
    <w:rsid w:val="008C48E1"/>
    <w:rsid w:val="008C5DBE"/>
    <w:rsid w:val="008C6B69"/>
    <w:rsid w:val="008C6D29"/>
    <w:rsid w:val="008D2313"/>
    <w:rsid w:val="008D7631"/>
    <w:rsid w:val="008D768E"/>
    <w:rsid w:val="008E0667"/>
    <w:rsid w:val="008E1265"/>
    <w:rsid w:val="008E2DA3"/>
    <w:rsid w:val="008E32AF"/>
    <w:rsid w:val="008E4641"/>
    <w:rsid w:val="008E469E"/>
    <w:rsid w:val="008E52B6"/>
    <w:rsid w:val="008E5E6A"/>
    <w:rsid w:val="008F0992"/>
    <w:rsid w:val="008F6B48"/>
    <w:rsid w:val="008F758F"/>
    <w:rsid w:val="009011D7"/>
    <w:rsid w:val="00901664"/>
    <w:rsid w:val="00904AA0"/>
    <w:rsid w:val="0090667D"/>
    <w:rsid w:val="0090763C"/>
    <w:rsid w:val="00907D23"/>
    <w:rsid w:val="00910F1E"/>
    <w:rsid w:val="009125C6"/>
    <w:rsid w:val="009129B9"/>
    <w:rsid w:val="00914682"/>
    <w:rsid w:val="0091571C"/>
    <w:rsid w:val="0091618B"/>
    <w:rsid w:val="0091680B"/>
    <w:rsid w:val="0091687E"/>
    <w:rsid w:val="00916FD8"/>
    <w:rsid w:val="00917281"/>
    <w:rsid w:val="00917318"/>
    <w:rsid w:val="00917355"/>
    <w:rsid w:val="0092062F"/>
    <w:rsid w:val="00922269"/>
    <w:rsid w:val="00922398"/>
    <w:rsid w:val="009236E4"/>
    <w:rsid w:val="00923E08"/>
    <w:rsid w:val="009246ED"/>
    <w:rsid w:val="009261A5"/>
    <w:rsid w:val="009262F7"/>
    <w:rsid w:val="00927B6F"/>
    <w:rsid w:val="009304FB"/>
    <w:rsid w:val="009310E3"/>
    <w:rsid w:val="00931501"/>
    <w:rsid w:val="00932DD1"/>
    <w:rsid w:val="009333EE"/>
    <w:rsid w:val="00933762"/>
    <w:rsid w:val="00935FFD"/>
    <w:rsid w:val="009362E5"/>
    <w:rsid w:val="00936715"/>
    <w:rsid w:val="009371CF"/>
    <w:rsid w:val="00937BA4"/>
    <w:rsid w:val="0094006C"/>
    <w:rsid w:val="00940221"/>
    <w:rsid w:val="00940576"/>
    <w:rsid w:val="00940BF1"/>
    <w:rsid w:val="00942267"/>
    <w:rsid w:val="00942683"/>
    <w:rsid w:val="00942FEF"/>
    <w:rsid w:val="009448BB"/>
    <w:rsid w:val="00950C9C"/>
    <w:rsid w:val="00950E4C"/>
    <w:rsid w:val="009516E1"/>
    <w:rsid w:val="009518A9"/>
    <w:rsid w:val="00951901"/>
    <w:rsid w:val="00952DDE"/>
    <w:rsid w:val="00953367"/>
    <w:rsid w:val="00953E65"/>
    <w:rsid w:val="009540B2"/>
    <w:rsid w:val="009549A9"/>
    <w:rsid w:val="00955A54"/>
    <w:rsid w:val="00955AD8"/>
    <w:rsid w:val="009567D0"/>
    <w:rsid w:val="00957D03"/>
    <w:rsid w:val="00961C4E"/>
    <w:rsid w:val="0096279B"/>
    <w:rsid w:val="009628B1"/>
    <w:rsid w:val="0096300E"/>
    <w:rsid w:val="00964045"/>
    <w:rsid w:val="00965547"/>
    <w:rsid w:val="00965E71"/>
    <w:rsid w:val="009704DB"/>
    <w:rsid w:val="00971262"/>
    <w:rsid w:val="00974C4A"/>
    <w:rsid w:val="00975853"/>
    <w:rsid w:val="00980739"/>
    <w:rsid w:val="00980A1A"/>
    <w:rsid w:val="00981C65"/>
    <w:rsid w:val="00982E62"/>
    <w:rsid w:val="0098376B"/>
    <w:rsid w:val="00985436"/>
    <w:rsid w:val="009856CB"/>
    <w:rsid w:val="009857F1"/>
    <w:rsid w:val="00992DDC"/>
    <w:rsid w:val="0099323E"/>
    <w:rsid w:val="0099410C"/>
    <w:rsid w:val="009955E9"/>
    <w:rsid w:val="009A022B"/>
    <w:rsid w:val="009A1B83"/>
    <w:rsid w:val="009A2600"/>
    <w:rsid w:val="009A3B9A"/>
    <w:rsid w:val="009A408B"/>
    <w:rsid w:val="009A445C"/>
    <w:rsid w:val="009A4C82"/>
    <w:rsid w:val="009A65AE"/>
    <w:rsid w:val="009B07B4"/>
    <w:rsid w:val="009B2C51"/>
    <w:rsid w:val="009B3174"/>
    <w:rsid w:val="009B4CE7"/>
    <w:rsid w:val="009B607F"/>
    <w:rsid w:val="009B6818"/>
    <w:rsid w:val="009B7449"/>
    <w:rsid w:val="009B7E74"/>
    <w:rsid w:val="009C0333"/>
    <w:rsid w:val="009C262A"/>
    <w:rsid w:val="009C3672"/>
    <w:rsid w:val="009C375B"/>
    <w:rsid w:val="009C5C57"/>
    <w:rsid w:val="009C5F1A"/>
    <w:rsid w:val="009D142C"/>
    <w:rsid w:val="009D1624"/>
    <w:rsid w:val="009D2386"/>
    <w:rsid w:val="009D30A9"/>
    <w:rsid w:val="009D594E"/>
    <w:rsid w:val="009D63FC"/>
    <w:rsid w:val="009E0003"/>
    <w:rsid w:val="009E2896"/>
    <w:rsid w:val="009E42B2"/>
    <w:rsid w:val="009E4E9B"/>
    <w:rsid w:val="009E7EC8"/>
    <w:rsid w:val="009F09AC"/>
    <w:rsid w:val="009F3B6E"/>
    <w:rsid w:val="009F638D"/>
    <w:rsid w:val="009F641F"/>
    <w:rsid w:val="009F6A95"/>
    <w:rsid w:val="00A0043C"/>
    <w:rsid w:val="00A00F87"/>
    <w:rsid w:val="00A0110C"/>
    <w:rsid w:val="00A01D86"/>
    <w:rsid w:val="00A052E2"/>
    <w:rsid w:val="00A05CF7"/>
    <w:rsid w:val="00A06B43"/>
    <w:rsid w:val="00A10FD9"/>
    <w:rsid w:val="00A12D0E"/>
    <w:rsid w:val="00A14B08"/>
    <w:rsid w:val="00A150BB"/>
    <w:rsid w:val="00A16E58"/>
    <w:rsid w:val="00A2036F"/>
    <w:rsid w:val="00A20EC8"/>
    <w:rsid w:val="00A20F00"/>
    <w:rsid w:val="00A217FC"/>
    <w:rsid w:val="00A23472"/>
    <w:rsid w:val="00A24692"/>
    <w:rsid w:val="00A25AD8"/>
    <w:rsid w:val="00A27486"/>
    <w:rsid w:val="00A314D8"/>
    <w:rsid w:val="00A3401A"/>
    <w:rsid w:val="00A3597C"/>
    <w:rsid w:val="00A4192D"/>
    <w:rsid w:val="00A4525D"/>
    <w:rsid w:val="00A4651C"/>
    <w:rsid w:val="00A47ED4"/>
    <w:rsid w:val="00A51272"/>
    <w:rsid w:val="00A515DF"/>
    <w:rsid w:val="00A521B4"/>
    <w:rsid w:val="00A54F56"/>
    <w:rsid w:val="00A5729D"/>
    <w:rsid w:val="00A60D32"/>
    <w:rsid w:val="00A61155"/>
    <w:rsid w:val="00A61FA8"/>
    <w:rsid w:val="00A6252E"/>
    <w:rsid w:val="00A6366C"/>
    <w:rsid w:val="00A71B73"/>
    <w:rsid w:val="00A71F4E"/>
    <w:rsid w:val="00A7268E"/>
    <w:rsid w:val="00A73D81"/>
    <w:rsid w:val="00A75BD8"/>
    <w:rsid w:val="00A77CCF"/>
    <w:rsid w:val="00A81BC3"/>
    <w:rsid w:val="00A834EC"/>
    <w:rsid w:val="00A866CA"/>
    <w:rsid w:val="00A93036"/>
    <w:rsid w:val="00A93DA6"/>
    <w:rsid w:val="00A94593"/>
    <w:rsid w:val="00A9559D"/>
    <w:rsid w:val="00AA053C"/>
    <w:rsid w:val="00AA12AA"/>
    <w:rsid w:val="00AA2339"/>
    <w:rsid w:val="00AA2E9A"/>
    <w:rsid w:val="00AA38DA"/>
    <w:rsid w:val="00AA605A"/>
    <w:rsid w:val="00AA750D"/>
    <w:rsid w:val="00AB1BE3"/>
    <w:rsid w:val="00AB24B1"/>
    <w:rsid w:val="00AB4BBB"/>
    <w:rsid w:val="00AB6F7E"/>
    <w:rsid w:val="00AB7AF6"/>
    <w:rsid w:val="00AC17EB"/>
    <w:rsid w:val="00AC337B"/>
    <w:rsid w:val="00AC3456"/>
    <w:rsid w:val="00AC47BD"/>
    <w:rsid w:val="00AC4B51"/>
    <w:rsid w:val="00AC57CA"/>
    <w:rsid w:val="00AC6CBD"/>
    <w:rsid w:val="00AD1F98"/>
    <w:rsid w:val="00AD3BC3"/>
    <w:rsid w:val="00AD62B6"/>
    <w:rsid w:val="00AD7356"/>
    <w:rsid w:val="00AE0512"/>
    <w:rsid w:val="00AE0F1A"/>
    <w:rsid w:val="00AE16F7"/>
    <w:rsid w:val="00AE260A"/>
    <w:rsid w:val="00AE27FF"/>
    <w:rsid w:val="00AE2C05"/>
    <w:rsid w:val="00AE4A4E"/>
    <w:rsid w:val="00AE50C2"/>
    <w:rsid w:val="00AE678D"/>
    <w:rsid w:val="00AE6C26"/>
    <w:rsid w:val="00AE6FBA"/>
    <w:rsid w:val="00AE70F7"/>
    <w:rsid w:val="00AF0D2F"/>
    <w:rsid w:val="00AF2601"/>
    <w:rsid w:val="00AF4571"/>
    <w:rsid w:val="00AF60B3"/>
    <w:rsid w:val="00AF7C74"/>
    <w:rsid w:val="00B01633"/>
    <w:rsid w:val="00B01F47"/>
    <w:rsid w:val="00B02DD7"/>
    <w:rsid w:val="00B03C9C"/>
    <w:rsid w:val="00B065D0"/>
    <w:rsid w:val="00B07876"/>
    <w:rsid w:val="00B108D5"/>
    <w:rsid w:val="00B10B83"/>
    <w:rsid w:val="00B111A1"/>
    <w:rsid w:val="00B14744"/>
    <w:rsid w:val="00B165DC"/>
    <w:rsid w:val="00B174EC"/>
    <w:rsid w:val="00B233FE"/>
    <w:rsid w:val="00B234A6"/>
    <w:rsid w:val="00B242F9"/>
    <w:rsid w:val="00B25583"/>
    <w:rsid w:val="00B255B3"/>
    <w:rsid w:val="00B25ABF"/>
    <w:rsid w:val="00B26313"/>
    <w:rsid w:val="00B26782"/>
    <w:rsid w:val="00B26E3F"/>
    <w:rsid w:val="00B2762D"/>
    <w:rsid w:val="00B332B4"/>
    <w:rsid w:val="00B3480A"/>
    <w:rsid w:val="00B349B9"/>
    <w:rsid w:val="00B350BA"/>
    <w:rsid w:val="00B35872"/>
    <w:rsid w:val="00B37B22"/>
    <w:rsid w:val="00B4005A"/>
    <w:rsid w:val="00B402E2"/>
    <w:rsid w:val="00B407B0"/>
    <w:rsid w:val="00B41418"/>
    <w:rsid w:val="00B42019"/>
    <w:rsid w:val="00B42192"/>
    <w:rsid w:val="00B428FA"/>
    <w:rsid w:val="00B42E3C"/>
    <w:rsid w:val="00B42F34"/>
    <w:rsid w:val="00B44790"/>
    <w:rsid w:val="00B452F2"/>
    <w:rsid w:val="00B504B3"/>
    <w:rsid w:val="00B538C6"/>
    <w:rsid w:val="00B54244"/>
    <w:rsid w:val="00B56C6C"/>
    <w:rsid w:val="00B60555"/>
    <w:rsid w:val="00B6135D"/>
    <w:rsid w:val="00B62674"/>
    <w:rsid w:val="00B62775"/>
    <w:rsid w:val="00B64401"/>
    <w:rsid w:val="00B64D90"/>
    <w:rsid w:val="00B67146"/>
    <w:rsid w:val="00B7119F"/>
    <w:rsid w:val="00B732E7"/>
    <w:rsid w:val="00B73A9F"/>
    <w:rsid w:val="00B73CE7"/>
    <w:rsid w:val="00B75648"/>
    <w:rsid w:val="00B75B68"/>
    <w:rsid w:val="00B815DF"/>
    <w:rsid w:val="00B8167F"/>
    <w:rsid w:val="00B819E0"/>
    <w:rsid w:val="00B83A89"/>
    <w:rsid w:val="00B849B0"/>
    <w:rsid w:val="00B85CC8"/>
    <w:rsid w:val="00B86399"/>
    <w:rsid w:val="00B87FD9"/>
    <w:rsid w:val="00B90454"/>
    <w:rsid w:val="00B90E68"/>
    <w:rsid w:val="00B930C4"/>
    <w:rsid w:val="00B933E3"/>
    <w:rsid w:val="00B9369D"/>
    <w:rsid w:val="00B973EF"/>
    <w:rsid w:val="00B97B35"/>
    <w:rsid w:val="00BA1404"/>
    <w:rsid w:val="00BA161F"/>
    <w:rsid w:val="00BA3779"/>
    <w:rsid w:val="00BA42F1"/>
    <w:rsid w:val="00BA4A54"/>
    <w:rsid w:val="00BA6EAC"/>
    <w:rsid w:val="00BB0466"/>
    <w:rsid w:val="00BB20B4"/>
    <w:rsid w:val="00BB2DD0"/>
    <w:rsid w:val="00BB5248"/>
    <w:rsid w:val="00BB6DF9"/>
    <w:rsid w:val="00BB7FB8"/>
    <w:rsid w:val="00BC042D"/>
    <w:rsid w:val="00BC19E5"/>
    <w:rsid w:val="00BC33B9"/>
    <w:rsid w:val="00BC39B2"/>
    <w:rsid w:val="00BC3A41"/>
    <w:rsid w:val="00BC57E9"/>
    <w:rsid w:val="00BC5C04"/>
    <w:rsid w:val="00BC6AFC"/>
    <w:rsid w:val="00BC7227"/>
    <w:rsid w:val="00BC7538"/>
    <w:rsid w:val="00BD19A4"/>
    <w:rsid w:val="00BD3789"/>
    <w:rsid w:val="00BE0AA0"/>
    <w:rsid w:val="00BE1445"/>
    <w:rsid w:val="00BE2AF6"/>
    <w:rsid w:val="00BE438E"/>
    <w:rsid w:val="00BE48C2"/>
    <w:rsid w:val="00BE4D0C"/>
    <w:rsid w:val="00BE4FFD"/>
    <w:rsid w:val="00BE5401"/>
    <w:rsid w:val="00BE5EB1"/>
    <w:rsid w:val="00BE6CB7"/>
    <w:rsid w:val="00BF4B9D"/>
    <w:rsid w:val="00BF4C1A"/>
    <w:rsid w:val="00BF6703"/>
    <w:rsid w:val="00BF6A3D"/>
    <w:rsid w:val="00C01F08"/>
    <w:rsid w:val="00C036A7"/>
    <w:rsid w:val="00C05A64"/>
    <w:rsid w:val="00C05F3D"/>
    <w:rsid w:val="00C060EB"/>
    <w:rsid w:val="00C079C4"/>
    <w:rsid w:val="00C100DF"/>
    <w:rsid w:val="00C153E3"/>
    <w:rsid w:val="00C15AEB"/>
    <w:rsid w:val="00C1647A"/>
    <w:rsid w:val="00C16E29"/>
    <w:rsid w:val="00C175DF"/>
    <w:rsid w:val="00C21AB8"/>
    <w:rsid w:val="00C2445E"/>
    <w:rsid w:val="00C251E5"/>
    <w:rsid w:val="00C259B6"/>
    <w:rsid w:val="00C276DE"/>
    <w:rsid w:val="00C278C5"/>
    <w:rsid w:val="00C30F04"/>
    <w:rsid w:val="00C324B1"/>
    <w:rsid w:val="00C32767"/>
    <w:rsid w:val="00C3310E"/>
    <w:rsid w:val="00C331F0"/>
    <w:rsid w:val="00C33293"/>
    <w:rsid w:val="00C35639"/>
    <w:rsid w:val="00C35BCA"/>
    <w:rsid w:val="00C370D8"/>
    <w:rsid w:val="00C41C6C"/>
    <w:rsid w:val="00C441B4"/>
    <w:rsid w:val="00C44AC5"/>
    <w:rsid w:val="00C457F4"/>
    <w:rsid w:val="00C45E88"/>
    <w:rsid w:val="00C47EEF"/>
    <w:rsid w:val="00C511D3"/>
    <w:rsid w:val="00C52B23"/>
    <w:rsid w:val="00C53A3D"/>
    <w:rsid w:val="00C55462"/>
    <w:rsid w:val="00C56C0A"/>
    <w:rsid w:val="00C604B3"/>
    <w:rsid w:val="00C619B1"/>
    <w:rsid w:val="00C6235F"/>
    <w:rsid w:val="00C643A0"/>
    <w:rsid w:val="00C6507E"/>
    <w:rsid w:val="00C65BD4"/>
    <w:rsid w:val="00C67440"/>
    <w:rsid w:val="00C67E97"/>
    <w:rsid w:val="00C7098E"/>
    <w:rsid w:val="00C7134D"/>
    <w:rsid w:val="00C7207F"/>
    <w:rsid w:val="00C7274D"/>
    <w:rsid w:val="00C72F47"/>
    <w:rsid w:val="00C74429"/>
    <w:rsid w:val="00C7460B"/>
    <w:rsid w:val="00C74BB7"/>
    <w:rsid w:val="00C758E7"/>
    <w:rsid w:val="00C804F2"/>
    <w:rsid w:val="00C8084B"/>
    <w:rsid w:val="00C825BF"/>
    <w:rsid w:val="00C8312F"/>
    <w:rsid w:val="00C83728"/>
    <w:rsid w:val="00C839B4"/>
    <w:rsid w:val="00C83E93"/>
    <w:rsid w:val="00C84951"/>
    <w:rsid w:val="00C85A35"/>
    <w:rsid w:val="00C86AD5"/>
    <w:rsid w:val="00C87062"/>
    <w:rsid w:val="00C90A31"/>
    <w:rsid w:val="00C91B08"/>
    <w:rsid w:val="00C91B1B"/>
    <w:rsid w:val="00C921F2"/>
    <w:rsid w:val="00C92308"/>
    <w:rsid w:val="00C927E5"/>
    <w:rsid w:val="00C94908"/>
    <w:rsid w:val="00C969AA"/>
    <w:rsid w:val="00C96D0B"/>
    <w:rsid w:val="00C96EB7"/>
    <w:rsid w:val="00C97DB1"/>
    <w:rsid w:val="00CA00B4"/>
    <w:rsid w:val="00CA1699"/>
    <w:rsid w:val="00CA17D8"/>
    <w:rsid w:val="00CA28EF"/>
    <w:rsid w:val="00CA3329"/>
    <w:rsid w:val="00CA3C07"/>
    <w:rsid w:val="00CA4D5F"/>
    <w:rsid w:val="00CA6D8A"/>
    <w:rsid w:val="00CA6FF9"/>
    <w:rsid w:val="00CA7EDE"/>
    <w:rsid w:val="00CB0B0A"/>
    <w:rsid w:val="00CB303A"/>
    <w:rsid w:val="00CB4E53"/>
    <w:rsid w:val="00CB62BD"/>
    <w:rsid w:val="00CB67B9"/>
    <w:rsid w:val="00CB7E6F"/>
    <w:rsid w:val="00CC04AE"/>
    <w:rsid w:val="00CC15AC"/>
    <w:rsid w:val="00CC203A"/>
    <w:rsid w:val="00CC3763"/>
    <w:rsid w:val="00CC4587"/>
    <w:rsid w:val="00CC4B84"/>
    <w:rsid w:val="00CC68F7"/>
    <w:rsid w:val="00CC7486"/>
    <w:rsid w:val="00CD2B89"/>
    <w:rsid w:val="00CD2EE0"/>
    <w:rsid w:val="00CD457B"/>
    <w:rsid w:val="00CD48A1"/>
    <w:rsid w:val="00CD5CFD"/>
    <w:rsid w:val="00CD69F4"/>
    <w:rsid w:val="00CE1C68"/>
    <w:rsid w:val="00CE1EE7"/>
    <w:rsid w:val="00CE26F7"/>
    <w:rsid w:val="00CE276C"/>
    <w:rsid w:val="00CE2F54"/>
    <w:rsid w:val="00CE3403"/>
    <w:rsid w:val="00CE3AD5"/>
    <w:rsid w:val="00CE43FD"/>
    <w:rsid w:val="00CE46CD"/>
    <w:rsid w:val="00CE6267"/>
    <w:rsid w:val="00CE730D"/>
    <w:rsid w:val="00CF08AB"/>
    <w:rsid w:val="00CF1155"/>
    <w:rsid w:val="00CF1729"/>
    <w:rsid w:val="00CF2438"/>
    <w:rsid w:val="00CF28C1"/>
    <w:rsid w:val="00CF3E76"/>
    <w:rsid w:val="00CF4901"/>
    <w:rsid w:val="00CF5A33"/>
    <w:rsid w:val="00CF5D6B"/>
    <w:rsid w:val="00CF69C2"/>
    <w:rsid w:val="00CF72E1"/>
    <w:rsid w:val="00CF750D"/>
    <w:rsid w:val="00CF7586"/>
    <w:rsid w:val="00CF7A89"/>
    <w:rsid w:val="00CF7ABC"/>
    <w:rsid w:val="00D0044D"/>
    <w:rsid w:val="00D022BE"/>
    <w:rsid w:val="00D02684"/>
    <w:rsid w:val="00D02AA3"/>
    <w:rsid w:val="00D03311"/>
    <w:rsid w:val="00D06731"/>
    <w:rsid w:val="00D0779E"/>
    <w:rsid w:val="00D11099"/>
    <w:rsid w:val="00D12196"/>
    <w:rsid w:val="00D127CB"/>
    <w:rsid w:val="00D145C9"/>
    <w:rsid w:val="00D1490B"/>
    <w:rsid w:val="00D17284"/>
    <w:rsid w:val="00D173B7"/>
    <w:rsid w:val="00D21EFF"/>
    <w:rsid w:val="00D2278F"/>
    <w:rsid w:val="00D23674"/>
    <w:rsid w:val="00D262A4"/>
    <w:rsid w:val="00D26F17"/>
    <w:rsid w:val="00D2708C"/>
    <w:rsid w:val="00D27551"/>
    <w:rsid w:val="00D27F63"/>
    <w:rsid w:val="00D318E5"/>
    <w:rsid w:val="00D31E70"/>
    <w:rsid w:val="00D408D7"/>
    <w:rsid w:val="00D41D6C"/>
    <w:rsid w:val="00D41F91"/>
    <w:rsid w:val="00D43884"/>
    <w:rsid w:val="00D463C0"/>
    <w:rsid w:val="00D50F95"/>
    <w:rsid w:val="00D5239F"/>
    <w:rsid w:val="00D528BD"/>
    <w:rsid w:val="00D52A17"/>
    <w:rsid w:val="00D52E1B"/>
    <w:rsid w:val="00D530D8"/>
    <w:rsid w:val="00D571E7"/>
    <w:rsid w:val="00D57D01"/>
    <w:rsid w:val="00D61715"/>
    <w:rsid w:val="00D628AD"/>
    <w:rsid w:val="00D638D8"/>
    <w:rsid w:val="00D63A87"/>
    <w:rsid w:val="00D644DB"/>
    <w:rsid w:val="00D66A0E"/>
    <w:rsid w:val="00D704DE"/>
    <w:rsid w:val="00D708A9"/>
    <w:rsid w:val="00D72D9B"/>
    <w:rsid w:val="00D730B1"/>
    <w:rsid w:val="00D7575B"/>
    <w:rsid w:val="00D75EF5"/>
    <w:rsid w:val="00D77239"/>
    <w:rsid w:val="00D77328"/>
    <w:rsid w:val="00D8069D"/>
    <w:rsid w:val="00D80F30"/>
    <w:rsid w:val="00D812E6"/>
    <w:rsid w:val="00D81666"/>
    <w:rsid w:val="00D82DF7"/>
    <w:rsid w:val="00D83686"/>
    <w:rsid w:val="00D85373"/>
    <w:rsid w:val="00D85AE9"/>
    <w:rsid w:val="00D87BE1"/>
    <w:rsid w:val="00D92F63"/>
    <w:rsid w:val="00D93090"/>
    <w:rsid w:val="00D9403D"/>
    <w:rsid w:val="00D946D1"/>
    <w:rsid w:val="00D97F5A"/>
    <w:rsid w:val="00DA078C"/>
    <w:rsid w:val="00DA08C0"/>
    <w:rsid w:val="00DA12C0"/>
    <w:rsid w:val="00DA40BC"/>
    <w:rsid w:val="00DA5727"/>
    <w:rsid w:val="00DA58E0"/>
    <w:rsid w:val="00DB150E"/>
    <w:rsid w:val="00DB18A2"/>
    <w:rsid w:val="00DB4509"/>
    <w:rsid w:val="00DB6AF8"/>
    <w:rsid w:val="00DC1B7B"/>
    <w:rsid w:val="00DC3935"/>
    <w:rsid w:val="00DC3C4F"/>
    <w:rsid w:val="00DC7A44"/>
    <w:rsid w:val="00DD1A20"/>
    <w:rsid w:val="00DD24AE"/>
    <w:rsid w:val="00DD410F"/>
    <w:rsid w:val="00DD6429"/>
    <w:rsid w:val="00DD670A"/>
    <w:rsid w:val="00DE2563"/>
    <w:rsid w:val="00DE32A7"/>
    <w:rsid w:val="00DE35C1"/>
    <w:rsid w:val="00DE3882"/>
    <w:rsid w:val="00DE4373"/>
    <w:rsid w:val="00DE4B94"/>
    <w:rsid w:val="00DE57ED"/>
    <w:rsid w:val="00DE6471"/>
    <w:rsid w:val="00DE6752"/>
    <w:rsid w:val="00DF1AA0"/>
    <w:rsid w:val="00DF32F4"/>
    <w:rsid w:val="00DF44EB"/>
    <w:rsid w:val="00DF5793"/>
    <w:rsid w:val="00E01342"/>
    <w:rsid w:val="00E022E4"/>
    <w:rsid w:val="00E026B6"/>
    <w:rsid w:val="00E03854"/>
    <w:rsid w:val="00E050C8"/>
    <w:rsid w:val="00E075E9"/>
    <w:rsid w:val="00E10127"/>
    <w:rsid w:val="00E1067F"/>
    <w:rsid w:val="00E10E1E"/>
    <w:rsid w:val="00E1201C"/>
    <w:rsid w:val="00E12BCF"/>
    <w:rsid w:val="00E16B73"/>
    <w:rsid w:val="00E16D76"/>
    <w:rsid w:val="00E17017"/>
    <w:rsid w:val="00E17AB4"/>
    <w:rsid w:val="00E17F2C"/>
    <w:rsid w:val="00E20831"/>
    <w:rsid w:val="00E20FFC"/>
    <w:rsid w:val="00E223BB"/>
    <w:rsid w:val="00E23D43"/>
    <w:rsid w:val="00E23D7B"/>
    <w:rsid w:val="00E23FEA"/>
    <w:rsid w:val="00E250D8"/>
    <w:rsid w:val="00E30496"/>
    <w:rsid w:val="00E32257"/>
    <w:rsid w:val="00E323F2"/>
    <w:rsid w:val="00E326B7"/>
    <w:rsid w:val="00E3329F"/>
    <w:rsid w:val="00E33362"/>
    <w:rsid w:val="00E33F98"/>
    <w:rsid w:val="00E35BF5"/>
    <w:rsid w:val="00E36CE0"/>
    <w:rsid w:val="00E37AE8"/>
    <w:rsid w:val="00E40A75"/>
    <w:rsid w:val="00E40D72"/>
    <w:rsid w:val="00E420BE"/>
    <w:rsid w:val="00E45EE4"/>
    <w:rsid w:val="00E500F3"/>
    <w:rsid w:val="00E5104E"/>
    <w:rsid w:val="00E52807"/>
    <w:rsid w:val="00E52F36"/>
    <w:rsid w:val="00E538A0"/>
    <w:rsid w:val="00E53FF0"/>
    <w:rsid w:val="00E556C4"/>
    <w:rsid w:val="00E57A5D"/>
    <w:rsid w:val="00E57E4A"/>
    <w:rsid w:val="00E57ED6"/>
    <w:rsid w:val="00E614D1"/>
    <w:rsid w:val="00E624CC"/>
    <w:rsid w:val="00E62DB7"/>
    <w:rsid w:val="00E63E7A"/>
    <w:rsid w:val="00E66C01"/>
    <w:rsid w:val="00E66C14"/>
    <w:rsid w:val="00E70605"/>
    <w:rsid w:val="00E70ECE"/>
    <w:rsid w:val="00E70EF5"/>
    <w:rsid w:val="00E7225B"/>
    <w:rsid w:val="00E724E6"/>
    <w:rsid w:val="00E7335B"/>
    <w:rsid w:val="00E74127"/>
    <w:rsid w:val="00E7504C"/>
    <w:rsid w:val="00E77D30"/>
    <w:rsid w:val="00E82A5E"/>
    <w:rsid w:val="00E8408E"/>
    <w:rsid w:val="00E8649A"/>
    <w:rsid w:val="00E87E32"/>
    <w:rsid w:val="00E87F22"/>
    <w:rsid w:val="00E9003E"/>
    <w:rsid w:val="00E94089"/>
    <w:rsid w:val="00E94CC1"/>
    <w:rsid w:val="00E95113"/>
    <w:rsid w:val="00E9620D"/>
    <w:rsid w:val="00E97FC8"/>
    <w:rsid w:val="00EA11D4"/>
    <w:rsid w:val="00EA357C"/>
    <w:rsid w:val="00EA3B2C"/>
    <w:rsid w:val="00EA78E9"/>
    <w:rsid w:val="00EB138C"/>
    <w:rsid w:val="00EB1E7C"/>
    <w:rsid w:val="00EB259B"/>
    <w:rsid w:val="00EB52A8"/>
    <w:rsid w:val="00EB5494"/>
    <w:rsid w:val="00EC17DE"/>
    <w:rsid w:val="00EC27E6"/>
    <w:rsid w:val="00EC32D0"/>
    <w:rsid w:val="00EC5148"/>
    <w:rsid w:val="00EC7B48"/>
    <w:rsid w:val="00ED061C"/>
    <w:rsid w:val="00ED1B1C"/>
    <w:rsid w:val="00ED438F"/>
    <w:rsid w:val="00ED4830"/>
    <w:rsid w:val="00ED4F5D"/>
    <w:rsid w:val="00ED51C1"/>
    <w:rsid w:val="00ED74BC"/>
    <w:rsid w:val="00EE1E3A"/>
    <w:rsid w:val="00EE25DC"/>
    <w:rsid w:val="00EE4B4B"/>
    <w:rsid w:val="00EE7BB8"/>
    <w:rsid w:val="00EF030C"/>
    <w:rsid w:val="00EF0759"/>
    <w:rsid w:val="00EF4696"/>
    <w:rsid w:val="00EF556F"/>
    <w:rsid w:val="00F01926"/>
    <w:rsid w:val="00F0325F"/>
    <w:rsid w:val="00F037E0"/>
    <w:rsid w:val="00F03AB8"/>
    <w:rsid w:val="00F0452F"/>
    <w:rsid w:val="00F046F6"/>
    <w:rsid w:val="00F05FA0"/>
    <w:rsid w:val="00F06271"/>
    <w:rsid w:val="00F120DA"/>
    <w:rsid w:val="00F123C7"/>
    <w:rsid w:val="00F12FE2"/>
    <w:rsid w:val="00F13A49"/>
    <w:rsid w:val="00F142A8"/>
    <w:rsid w:val="00F155D4"/>
    <w:rsid w:val="00F21D1E"/>
    <w:rsid w:val="00F22217"/>
    <w:rsid w:val="00F22895"/>
    <w:rsid w:val="00F23926"/>
    <w:rsid w:val="00F25305"/>
    <w:rsid w:val="00F25FDB"/>
    <w:rsid w:val="00F260FB"/>
    <w:rsid w:val="00F30F80"/>
    <w:rsid w:val="00F31BD9"/>
    <w:rsid w:val="00F336C7"/>
    <w:rsid w:val="00F366B0"/>
    <w:rsid w:val="00F42112"/>
    <w:rsid w:val="00F425D4"/>
    <w:rsid w:val="00F43410"/>
    <w:rsid w:val="00F43C0F"/>
    <w:rsid w:val="00F43E2F"/>
    <w:rsid w:val="00F44745"/>
    <w:rsid w:val="00F45BC5"/>
    <w:rsid w:val="00F4647E"/>
    <w:rsid w:val="00F46AF7"/>
    <w:rsid w:val="00F46BA3"/>
    <w:rsid w:val="00F47C0A"/>
    <w:rsid w:val="00F50DC7"/>
    <w:rsid w:val="00F53250"/>
    <w:rsid w:val="00F54359"/>
    <w:rsid w:val="00F543F0"/>
    <w:rsid w:val="00F55F89"/>
    <w:rsid w:val="00F562A9"/>
    <w:rsid w:val="00F63CB1"/>
    <w:rsid w:val="00F64148"/>
    <w:rsid w:val="00F65200"/>
    <w:rsid w:val="00F66385"/>
    <w:rsid w:val="00F664E6"/>
    <w:rsid w:val="00F7115F"/>
    <w:rsid w:val="00F724FC"/>
    <w:rsid w:val="00F7294F"/>
    <w:rsid w:val="00F7628F"/>
    <w:rsid w:val="00F769FF"/>
    <w:rsid w:val="00F8276A"/>
    <w:rsid w:val="00F84074"/>
    <w:rsid w:val="00F84A16"/>
    <w:rsid w:val="00F858C8"/>
    <w:rsid w:val="00F85F95"/>
    <w:rsid w:val="00F86D4B"/>
    <w:rsid w:val="00F87CB0"/>
    <w:rsid w:val="00F90CA6"/>
    <w:rsid w:val="00F910C6"/>
    <w:rsid w:val="00F93EAE"/>
    <w:rsid w:val="00F94E19"/>
    <w:rsid w:val="00F950B6"/>
    <w:rsid w:val="00F9584C"/>
    <w:rsid w:val="00F96039"/>
    <w:rsid w:val="00F972F2"/>
    <w:rsid w:val="00FA0EFB"/>
    <w:rsid w:val="00FA3341"/>
    <w:rsid w:val="00FA546C"/>
    <w:rsid w:val="00FA5527"/>
    <w:rsid w:val="00FA5F06"/>
    <w:rsid w:val="00FA6403"/>
    <w:rsid w:val="00FA681D"/>
    <w:rsid w:val="00FB0DE8"/>
    <w:rsid w:val="00FB2FB7"/>
    <w:rsid w:val="00FB321F"/>
    <w:rsid w:val="00FB3912"/>
    <w:rsid w:val="00FB51BC"/>
    <w:rsid w:val="00FB6C76"/>
    <w:rsid w:val="00FB6E51"/>
    <w:rsid w:val="00FC1985"/>
    <w:rsid w:val="00FC4421"/>
    <w:rsid w:val="00FC54DC"/>
    <w:rsid w:val="00FC66D0"/>
    <w:rsid w:val="00FC7074"/>
    <w:rsid w:val="00FD0C9C"/>
    <w:rsid w:val="00FD1B6B"/>
    <w:rsid w:val="00FD38EB"/>
    <w:rsid w:val="00FD452C"/>
    <w:rsid w:val="00FD4AA2"/>
    <w:rsid w:val="00FD6104"/>
    <w:rsid w:val="00FD6F01"/>
    <w:rsid w:val="00FE0079"/>
    <w:rsid w:val="00FE2333"/>
    <w:rsid w:val="00FE383B"/>
    <w:rsid w:val="00FE4B38"/>
    <w:rsid w:val="00FE60B2"/>
    <w:rsid w:val="00FE694E"/>
    <w:rsid w:val="00FE78DF"/>
    <w:rsid w:val="00FE7FBE"/>
    <w:rsid w:val="00FF4CBF"/>
    <w:rsid w:val="00FF71BB"/>
    <w:rsid w:val="1C6E89F1"/>
    <w:rsid w:val="240DEBFE"/>
    <w:rsid w:val="262A7ED7"/>
    <w:rsid w:val="2FAA693B"/>
    <w:rsid w:val="2FBE44DA"/>
    <w:rsid w:val="30D86EFB"/>
    <w:rsid w:val="37D378AA"/>
    <w:rsid w:val="56BCA220"/>
    <w:rsid w:val="5DCFF8E2"/>
    <w:rsid w:val="6DCA188F"/>
    <w:rsid w:val="7026CEC0"/>
    <w:rsid w:val="7684FD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A5161"/>
  <w15:chartTrackingRefBased/>
  <w15:docId w15:val="{4443D37B-2D23-42B9-B439-F4E9BC900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583"/>
    <w:rPr>
      <w:rFonts w:ascii="Arial" w:hAnsi="Arial"/>
    </w:rPr>
  </w:style>
  <w:style w:type="paragraph" w:styleId="Heading1">
    <w:name w:val="heading 1"/>
    <w:basedOn w:val="Normal"/>
    <w:next w:val="Normal"/>
    <w:link w:val="Heading1Char"/>
    <w:uiPriority w:val="9"/>
    <w:qFormat/>
    <w:rsid w:val="000A6192"/>
    <w:pPr>
      <w:keepNext/>
      <w:keepLines/>
      <w:spacing w:before="240" w:after="0"/>
      <w:outlineLvl w:val="0"/>
    </w:pPr>
    <w:rPr>
      <w:rFonts w:eastAsiaTheme="majorEastAsia" w:cstheme="majorBidi"/>
      <w:b/>
      <w:sz w:val="24"/>
      <w:szCs w:val="32"/>
      <w:u w:val="single"/>
    </w:rPr>
  </w:style>
  <w:style w:type="paragraph" w:styleId="Heading2">
    <w:name w:val="heading 2"/>
    <w:basedOn w:val="Normal"/>
    <w:next w:val="Normal"/>
    <w:link w:val="Heading2Char"/>
    <w:uiPriority w:val="9"/>
    <w:unhideWhenUsed/>
    <w:qFormat/>
    <w:rsid w:val="000A6192"/>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0A6192"/>
    <w:pPr>
      <w:keepNext/>
      <w:keepLines/>
      <w:spacing w:before="40" w:after="0"/>
      <w:outlineLvl w:val="2"/>
    </w:pPr>
    <w:rPr>
      <w:rFonts w:eastAsiaTheme="majorEastAsia" w:cstheme="majorBidi"/>
      <w:b/>
      <w:i/>
      <w:color w:val="000000" w:themeColor="text1"/>
      <w:szCs w:val="24"/>
    </w:rPr>
  </w:style>
  <w:style w:type="paragraph" w:styleId="Heading4">
    <w:name w:val="heading 4"/>
    <w:basedOn w:val="Normal"/>
    <w:next w:val="Normal"/>
    <w:link w:val="Heading4Char"/>
    <w:uiPriority w:val="9"/>
    <w:unhideWhenUsed/>
    <w:qFormat/>
    <w:rsid w:val="007953FB"/>
    <w:pPr>
      <w:keepNext/>
      <w:keepLines/>
      <w:spacing w:before="40" w:after="0"/>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90454"/>
    <w:pPr>
      <w:ind w:left="720"/>
      <w:contextualSpacing/>
    </w:pPr>
  </w:style>
  <w:style w:type="table" w:styleId="TableGrid">
    <w:name w:val="Table Grid"/>
    <w:basedOn w:val="TableNormal"/>
    <w:uiPriority w:val="39"/>
    <w:rsid w:val="00B90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0454"/>
    <w:rPr>
      <w:sz w:val="16"/>
      <w:szCs w:val="16"/>
    </w:rPr>
  </w:style>
  <w:style w:type="paragraph" w:styleId="CommentText">
    <w:name w:val="annotation text"/>
    <w:basedOn w:val="Normal"/>
    <w:link w:val="CommentTextChar"/>
    <w:uiPriority w:val="99"/>
    <w:unhideWhenUsed/>
    <w:rsid w:val="00B90454"/>
    <w:pPr>
      <w:spacing w:line="240" w:lineRule="auto"/>
    </w:pPr>
    <w:rPr>
      <w:sz w:val="20"/>
      <w:szCs w:val="20"/>
    </w:rPr>
  </w:style>
  <w:style w:type="character" w:customStyle="1" w:styleId="CommentTextChar">
    <w:name w:val="Comment Text Char"/>
    <w:basedOn w:val="DefaultParagraphFont"/>
    <w:link w:val="CommentText"/>
    <w:uiPriority w:val="99"/>
    <w:rsid w:val="00B90454"/>
    <w:rPr>
      <w:sz w:val="20"/>
      <w:szCs w:val="20"/>
    </w:rPr>
  </w:style>
  <w:style w:type="paragraph" w:styleId="BalloonText">
    <w:name w:val="Balloon Text"/>
    <w:basedOn w:val="Normal"/>
    <w:link w:val="BalloonTextChar"/>
    <w:uiPriority w:val="99"/>
    <w:semiHidden/>
    <w:unhideWhenUsed/>
    <w:rsid w:val="00B904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454"/>
    <w:rPr>
      <w:rFonts w:ascii="Segoe UI" w:hAnsi="Segoe UI" w:cs="Segoe UI"/>
      <w:sz w:val="18"/>
      <w:szCs w:val="18"/>
    </w:rPr>
  </w:style>
  <w:style w:type="paragraph" w:styleId="Header">
    <w:name w:val="header"/>
    <w:basedOn w:val="Normal"/>
    <w:link w:val="HeaderChar"/>
    <w:uiPriority w:val="99"/>
    <w:unhideWhenUsed/>
    <w:rsid w:val="00822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97A"/>
  </w:style>
  <w:style w:type="paragraph" w:styleId="Footer">
    <w:name w:val="footer"/>
    <w:basedOn w:val="Normal"/>
    <w:link w:val="FooterChar"/>
    <w:uiPriority w:val="99"/>
    <w:unhideWhenUsed/>
    <w:rsid w:val="00822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97A"/>
  </w:style>
  <w:style w:type="paragraph" w:styleId="CommentSubject">
    <w:name w:val="annotation subject"/>
    <w:basedOn w:val="CommentText"/>
    <w:next w:val="CommentText"/>
    <w:link w:val="CommentSubjectChar"/>
    <w:uiPriority w:val="99"/>
    <w:semiHidden/>
    <w:unhideWhenUsed/>
    <w:rsid w:val="00FC66D0"/>
    <w:rPr>
      <w:b/>
      <w:bCs/>
    </w:rPr>
  </w:style>
  <w:style w:type="character" w:customStyle="1" w:styleId="CommentSubjectChar">
    <w:name w:val="Comment Subject Char"/>
    <w:basedOn w:val="CommentTextChar"/>
    <w:link w:val="CommentSubject"/>
    <w:uiPriority w:val="99"/>
    <w:semiHidden/>
    <w:rsid w:val="00FC66D0"/>
    <w:rPr>
      <w:b/>
      <w:bCs/>
      <w:sz w:val="20"/>
      <w:szCs w:val="20"/>
    </w:rPr>
  </w:style>
  <w:style w:type="paragraph" w:styleId="Revision">
    <w:name w:val="Revision"/>
    <w:hidden/>
    <w:uiPriority w:val="99"/>
    <w:semiHidden/>
    <w:rsid w:val="00D93090"/>
    <w:pPr>
      <w:spacing w:after="0" w:line="240" w:lineRule="auto"/>
    </w:pPr>
  </w:style>
  <w:style w:type="character" w:styleId="Hyperlink">
    <w:name w:val="Hyperlink"/>
    <w:basedOn w:val="DefaultParagraphFont"/>
    <w:uiPriority w:val="99"/>
    <w:unhideWhenUsed/>
    <w:rsid w:val="00D93090"/>
    <w:rPr>
      <w:color w:val="0563C1" w:themeColor="hyperlink"/>
      <w:u w:val="single"/>
    </w:rPr>
  </w:style>
  <w:style w:type="character" w:styleId="UnresolvedMention">
    <w:name w:val="Unresolved Mention"/>
    <w:basedOn w:val="DefaultParagraphFont"/>
    <w:uiPriority w:val="99"/>
    <w:unhideWhenUsed/>
    <w:rsid w:val="00D93090"/>
    <w:rPr>
      <w:color w:val="605E5C"/>
      <w:shd w:val="clear" w:color="auto" w:fill="E1DFDD"/>
    </w:rPr>
  </w:style>
  <w:style w:type="paragraph" w:customStyle="1" w:styleId="Default">
    <w:name w:val="Default"/>
    <w:rsid w:val="00D93090"/>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EA3B2C"/>
    <w:pPr>
      <w:spacing w:after="0" w:line="240" w:lineRule="auto"/>
    </w:pPr>
  </w:style>
  <w:style w:type="paragraph" w:styleId="FootnoteText">
    <w:name w:val="footnote text"/>
    <w:basedOn w:val="Normal"/>
    <w:link w:val="FootnoteTextChar"/>
    <w:uiPriority w:val="99"/>
    <w:unhideWhenUsed/>
    <w:rsid w:val="00793A2C"/>
    <w:pPr>
      <w:spacing w:after="0" w:line="240" w:lineRule="auto"/>
    </w:pPr>
    <w:rPr>
      <w:sz w:val="20"/>
      <w:szCs w:val="20"/>
    </w:rPr>
  </w:style>
  <w:style w:type="character" w:customStyle="1" w:styleId="FootnoteTextChar">
    <w:name w:val="Footnote Text Char"/>
    <w:basedOn w:val="DefaultParagraphFont"/>
    <w:link w:val="FootnoteText"/>
    <w:uiPriority w:val="99"/>
    <w:rsid w:val="00793A2C"/>
    <w:rPr>
      <w:sz w:val="20"/>
      <w:szCs w:val="20"/>
    </w:rPr>
  </w:style>
  <w:style w:type="character" w:styleId="FootnoteReference">
    <w:name w:val="footnote reference"/>
    <w:basedOn w:val="DefaultParagraphFont"/>
    <w:uiPriority w:val="99"/>
    <w:semiHidden/>
    <w:unhideWhenUsed/>
    <w:rsid w:val="00793A2C"/>
    <w:rPr>
      <w:vertAlign w:val="superscript"/>
    </w:rPr>
  </w:style>
  <w:style w:type="character" w:customStyle="1" w:styleId="Heading1Char">
    <w:name w:val="Heading 1 Char"/>
    <w:basedOn w:val="DefaultParagraphFont"/>
    <w:link w:val="Heading1"/>
    <w:uiPriority w:val="9"/>
    <w:rsid w:val="000A6192"/>
    <w:rPr>
      <w:rFonts w:ascii="Arial" w:eastAsiaTheme="majorEastAsia" w:hAnsi="Arial" w:cstheme="majorBidi"/>
      <w:b/>
      <w:sz w:val="24"/>
      <w:szCs w:val="32"/>
      <w:u w:val="single"/>
    </w:rPr>
  </w:style>
  <w:style w:type="paragraph" w:styleId="TOCHeading">
    <w:name w:val="TOC Heading"/>
    <w:basedOn w:val="Heading1"/>
    <w:next w:val="Normal"/>
    <w:uiPriority w:val="39"/>
    <w:unhideWhenUsed/>
    <w:qFormat/>
    <w:rsid w:val="00296209"/>
    <w:pPr>
      <w:outlineLvl w:val="9"/>
    </w:pPr>
  </w:style>
  <w:style w:type="paragraph" w:styleId="TOC2">
    <w:name w:val="toc 2"/>
    <w:basedOn w:val="Normal"/>
    <w:next w:val="Normal"/>
    <w:autoRedefine/>
    <w:uiPriority w:val="39"/>
    <w:unhideWhenUsed/>
    <w:rsid w:val="00296209"/>
    <w:pPr>
      <w:spacing w:after="100"/>
      <w:ind w:left="220"/>
    </w:pPr>
    <w:rPr>
      <w:rFonts w:eastAsiaTheme="minorEastAsia" w:cs="Times New Roman"/>
    </w:rPr>
  </w:style>
  <w:style w:type="paragraph" w:styleId="TOC1">
    <w:name w:val="toc 1"/>
    <w:basedOn w:val="Normal"/>
    <w:next w:val="Normal"/>
    <w:autoRedefine/>
    <w:uiPriority w:val="39"/>
    <w:unhideWhenUsed/>
    <w:rsid w:val="0068053D"/>
    <w:pPr>
      <w:spacing w:after="100"/>
    </w:pPr>
    <w:rPr>
      <w:rFonts w:eastAsiaTheme="minorEastAsia" w:cs="Times New Roman"/>
      <w:b/>
      <w:bCs/>
    </w:rPr>
  </w:style>
  <w:style w:type="paragraph" w:styleId="TOC3">
    <w:name w:val="toc 3"/>
    <w:basedOn w:val="Normal"/>
    <w:next w:val="Normal"/>
    <w:autoRedefine/>
    <w:uiPriority w:val="39"/>
    <w:unhideWhenUsed/>
    <w:rsid w:val="00296209"/>
    <w:pPr>
      <w:spacing w:after="100"/>
      <w:ind w:left="440"/>
    </w:pPr>
    <w:rPr>
      <w:rFonts w:eastAsiaTheme="minorEastAsia" w:cs="Times New Roman"/>
    </w:rPr>
  </w:style>
  <w:style w:type="paragraph" w:styleId="NormalWeb">
    <w:name w:val="Normal (Web)"/>
    <w:basedOn w:val="Normal"/>
    <w:uiPriority w:val="99"/>
    <w:semiHidden/>
    <w:unhideWhenUsed/>
    <w:rsid w:val="00E23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E23D7B"/>
  </w:style>
  <w:style w:type="character" w:customStyle="1" w:styleId="normaltextrun">
    <w:name w:val="normaltextrun"/>
    <w:basedOn w:val="DefaultParagraphFont"/>
    <w:rsid w:val="00655318"/>
  </w:style>
  <w:style w:type="paragraph" w:styleId="Title">
    <w:name w:val="Title"/>
    <w:basedOn w:val="Normal"/>
    <w:next w:val="Normal"/>
    <w:link w:val="TitleChar"/>
    <w:uiPriority w:val="10"/>
    <w:qFormat/>
    <w:rsid w:val="000A6192"/>
    <w:pPr>
      <w:spacing w:after="0"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0A6192"/>
    <w:rPr>
      <w:rFonts w:ascii="Arial" w:eastAsiaTheme="majorEastAsia" w:hAnsi="Arial" w:cstheme="majorBidi"/>
      <w:spacing w:val="-10"/>
      <w:kern w:val="28"/>
      <w:sz w:val="52"/>
      <w:szCs w:val="56"/>
    </w:rPr>
  </w:style>
  <w:style w:type="character" w:customStyle="1" w:styleId="Heading2Char">
    <w:name w:val="Heading 2 Char"/>
    <w:basedOn w:val="DefaultParagraphFont"/>
    <w:link w:val="Heading2"/>
    <w:uiPriority w:val="9"/>
    <w:rsid w:val="000A6192"/>
    <w:rPr>
      <w:rFonts w:ascii="Arial" w:eastAsiaTheme="majorEastAsia" w:hAnsi="Arial" w:cstheme="majorBidi"/>
      <w:b/>
      <w:color w:val="000000" w:themeColor="text1"/>
      <w:szCs w:val="26"/>
    </w:rPr>
  </w:style>
  <w:style w:type="character" w:customStyle="1" w:styleId="Heading3Char">
    <w:name w:val="Heading 3 Char"/>
    <w:basedOn w:val="DefaultParagraphFont"/>
    <w:link w:val="Heading3"/>
    <w:uiPriority w:val="9"/>
    <w:rsid w:val="000A6192"/>
    <w:rPr>
      <w:rFonts w:ascii="Arial" w:eastAsiaTheme="majorEastAsia" w:hAnsi="Arial" w:cstheme="majorBidi"/>
      <w:b/>
      <w:i/>
      <w:color w:val="000000" w:themeColor="text1"/>
      <w:szCs w:val="24"/>
    </w:rPr>
  </w:style>
  <w:style w:type="character" w:customStyle="1" w:styleId="Heading4Char">
    <w:name w:val="Heading 4 Char"/>
    <w:basedOn w:val="DefaultParagraphFont"/>
    <w:link w:val="Heading4"/>
    <w:uiPriority w:val="9"/>
    <w:rsid w:val="007953FB"/>
    <w:rPr>
      <w:rFonts w:ascii="Arial" w:eastAsiaTheme="majorEastAsia" w:hAnsi="Arial" w:cstheme="majorBidi"/>
      <w:b/>
      <w:iCs/>
      <w:color w:val="2F5496" w:themeColor="accent1" w:themeShade="BF"/>
    </w:rPr>
  </w:style>
  <w:style w:type="character" w:styleId="Mention">
    <w:name w:val="Mention"/>
    <w:basedOn w:val="DefaultParagraphFont"/>
    <w:uiPriority w:val="99"/>
    <w:unhideWhenUsed/>
    <w:rsid w:val="001453E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562193">
      <w:bodyDiv w:val="1"/>
      <w:marLeft w:val="0"/>
      <w:marRight w:val="0"/>
      <w:marTop w:val="0"/>
      <w:marBottom w:val="0"/>
      <w:divBdr>
        <w:top w:val="none" w:sz="0" w:space="0" w:color="auto"/>
        <w:left w:val="none" w:sz="0" w:space="0" w:color="auto"/>
        <w:bottom w:val="none" w:sz="0" w:space="0" w:color="auto"/>
        <w:right w:val="none" w:sz="0" w:space="0" w:color="auto"/>
      </w:divBdr>
    </w:div>
    <w:div w:id="741223666">
      <w:bodyDiv w:val="1"/>
      <w:marLeft w:val="0"/>
      <w:marRight w:val="0"/>
      <w:marTop w:val="0"/>
      <w:marBottom w:val="0"/>
      <w:divBdr>
        <w:top w:val="none" w:sz="0" w:space="0" w:color="auto"/>
        <w:left w:val="none" w:sz="0" w:space="0" w:color="auto"/>
        <w:bottom w:val="none" w:sz="0" w:space="0" w:color="auto"/>
        <w:right w:val="none" w:sz="0" w:space="0" w:color="auto"/>
      </w:divBdr>
    </w:div>
    <w:div w:id="797724404">
      <w:bodyDiv w:val="1"/>
      <w:marLeft w:val="0"/>
      <w:marRight w:val="0"/>
      <w:marTop w:val="0"/>
      <w:marBottom w:val="0"/>
      <w:divBdr>
        <w:top w:val="none" w:sz="0" w:space="0" w:color="auto"/>
        <w:left w:val="none" w:sz="0" w:space="0" w:color="auto"/>
        <w:bottom w:val="none" w:sz="0" w:space="0" w:color="auto"/>
        <w:right w:val="none" w:sz="0" w:space="0" w:color="auto"/>
      </w:divBdr>
    </w:div>
    <w:div w:id="1023365263">
      <w:bodyDiv w:val="1"/>
      <w:marLeft w:val="0"/>
      <w:marRight w:val="0"/>
      <w:marTop w:val="0"/>
      <w:marBottom w:val="0"/>
      <w:divBdr>
        <w:top w:val="none" w:sz="0" w:space="0" w:color="auto"/>
        <w:left w:val="none" w:sz="0" w:space="0" w:color="auto"/>
        <w:bottom w:val="none" w:sz="0" w:space="0" w:color="auto"/>
        <w:right w:val="none" w:sz="0" w:space="0" w:color="auto"/>
      </w:divBdr>
    </w:div>
    <w:div w:id="1163617257">
      <w:bodyDiv w:val="1"/>
      <w:marLeft w:val="0"/>
      <w:marRight w:val="0"/>
      <w:marTop w:val="0"/>
      <w:marBottom w:val="0"/>
      <w:divBdr>
        <w:top w:val="none" w:sz="0" w:space="0" w:color="auto"/>
        <w:left w:val="none" w:sz="0" w:space="0" w:color="auto"/>
        <w:bottom w:val="none" w:sz="0" w:space="0" w:color="auto"/>
        <w:right w:val="none" w:sz="0" w:space="0" w:color="auto"/>
      </w:divBdr>
    </w:div>
    <w:div w:id="1173036485">
      <w:bodyDiv w:val="1"/>
      <w:marLeft w:val="0"/>
      <w:marRight w:val="0"/>
      <w:marTop w:val="0"/>
      <w:marBottom w:val="0"/>
      <w:divBdr>
        <w:top w:val="none" w:sz="0" w:space="0" w:color="auto"/>
        <w:left w:val="none" w:sz="0" w:space="0" w:color="auto"/>
        <w:bottom w:val="none" w:sz="0" w:space="0" w:color="auto"/>
        <w:right w:val="none" w:sz="0" w:space="0" w:color="auto"/>
      </w:divBdr>
    </w:div>
    <w:div w:id="1269311256">
      <w:bodyDiv w:val="1"/>
      <w:marLeft w:val="0"/>
      <w:marRight w:val="0"/>
      <w:marTop w:val="0"/>
      <w:marBottom w:val="0"/>
      <w:divBdr>
        <w:top w:val="none" w:sz="0" w:space="0" w:color="auto"/>
        <w:left w:val="none" w:sz="0" w:space="0" w:color="auto"/>
        <w:bottom w:val="none" w:sz="0" w:space="0" w:color="auto"/>
        <w:right w:val="none" w:sz="0" w:space="0" w:color="auto"/>
      </w:divBdr>
    </w:div>
    <w:div w:id="1322277215">
      <w:bodyDiv w:val="1"/>
      <w:marLeft w:val="0"/>
      <w:marRight w:val="0"/>
      <w:marTop w:val="0"/>
      <w:marBottom w:val="0"/>
      <w:divBdr>
        <w:top w:val="none" w:sz="0" w:space="0" w:color="auto"/>
        <w:left w:val="none" w:sz="0" w:space="0" w:color="auto"/>
        <w:bottom w:val="none" w:sz="0" w:space="0" w:color="auto"/>
        <w:right w:val="none" w:sz="0" w:space="0" w:color="auto"/>
      </w:divBdr>
    </w:div>
    <w:div w:id="1490174324">
      <w:bodyDiv w:val="1"/>
      <w:marLeft w:val="0"/>
      <w:marRight w:val="0"/>
      <w:marTop w:val="0"/>
      <w:marBottom w:val="0"/>
      <w:divBdr>
        <w:top w:val="none" w:sz="0" w:space="0" w:color="auto"/>
        <w:left w:val="none" w:sz="0" w:space="0" w:color="auto"/>
        <w:bottom w:val="none" w:sz="0" w:space="0" w:color="auto"/>
        <w:right w:val="none" w:sz="0" w:space="0" w:color="auto"/>
      </w:divBdr>
    </w:div>
    <w:div w:id="1525173811">
      <w:bodyDiv w:val="1"/>
      <w:marLeft w:val="0"/>
      <w:marRight w:val="0"/>
      <w:marTop w:val="0"/>
      <w:marBottom w:val="0"/>
      <w:divBdr>
        <w:top w:val="none" w:sz="0" w:space="0" w:color="auto"/>
        <w:left w:val="none" w:sz="0" w:space="0" w:color="auto"/>
        <w:bottom w:val="none" w:sz="0" w:space="0" w:color="auto"/>
        <w:right w:val="none" w:sz="0" w:space="0" w:color="auto"/>
      </w:divBdr>
    </w:div>
    <w:div w:id="1533879440">
      <w:bodyDiv w:val="1"/>
      <w:marLeft w:val="0"/>
      <w:marRight w:val="0"/>
      <w:marTop w:val="0"/>
      <w:marBottom w:val="0"/>
      <w:divBdr>
        <w:top w:val="none" w:sz="0" w:space="0" w:color="auto"/>
        <w:left w:val="none" w:sz="0" w:space="0" w:color="auto"/>
        <w:bottom w:val="none" w:sz="0" w:space="0" w:color="auto"/>
        <w:right w:val="none" w:sz="0" w:space="0" w:color="auto"/>
      </w:divBdr>
      <w:divsChild>
        <w:div w:id="1168642175">
          <w:marLeft w:val="274"/>
          <w:marRight w:val="0"/>
          <w:marTop w:val="0"/>
          <w:marBottom w:val="0"/>
          <w:divBdr>
            <w:top w:val="none" w:sz="0" w:space="0" w:color="auto"/>
            <w:left w:val="none" w:sz="0" w:space="0" w:color="auto"/>
            <w:bottom w:val="none" w:sz="0" w:space="0" w:color="auto"/>
            <w:right w:val="none" w:sz="0" w:space="0" w:color="auto"/>
          </w:divBdr>
        </w:div>
      </w:divsChild>
    </w:div>
    <w:div w:id="1539587967">
      <w:bodyDiv w:val="1"/>
      <w:marLeft w:val="0"/>
      <w:marRight w:val="0"/>
      <w:marTop w:val="0"/>
      <w:marBottom w:val="0"/>
      <w:divBdr>
        <w:top w:val="none" w:sz="0" w:space="0" w:color="auto"/>
        <w:left w:val="none" w:sz="0" w:space="0" w:color="auto"/>
        <w:bottom w:val="none" w:sz="0" w:space="0" w:color="auto"/>
        <w:right w:val="none" w:sz="0" w:space="0" w:color="auto"/>
      </w:divBdr>
    </w:div>
    <w:div w:id="1644118687">
      <w:bodyDiv w:val="1"/>
      <w:marLeft w:val="0"/>
      <w:marRight w:val="0"/>
      <w:marTop w:val="0"/>
      <w:marBottom w:val="0"/>
      <w:divBdr>
        <w:top w:val="none" w:sz="0" w:space="0" w:color="auto"/>
        <w:left w:val="none" w:sz="0" w:space="0" w:color="auto"/>
        <w:bottom w:val="none" w:sz="0" w:space="0" w:color="auto"/>
        <w:right w:val="none" w:sz="0" w:space="0" w:color="auto"/>
      </w:divBdr>
    </w:div>
    <w:div w:id="1939752802">
      <w:bodyDiv w:val="1"/>
      <w:marLeft w:val="0"/>
      <w:marRight w:val="0"/>
      <w:marTop w:val="0"/>
      <w:marBottom w:val="0"/>
      <w:divBdr>
        <w:top w:val="none" w:sz="0" w:space="0" w:color="auto"/>
        <w:left w:val="none" w:sz="0" w:space="0" w:color="auto"/>
        <w:bottom w:val="none" w:sz="0" w:space="0" w:color="auto"/>
        <w:right w:val="none" w:sz="0" w:space="0" w:color="auto"/>
      </w:divBdr>
    </w:div>
    <w:div w:id="2043938635">
      <w:bodyDiv w:val="1"/>
      <w:marLeft w:val="0"/>
      <w:marRight w:val="0"/>
      <w:marTop w:val="0"/>
      <w:marBottom w:val="0"/>
      <w:divBdr>
        <w:top w:val="none" w:sz="0" w:space="0" w:color="auto"/>
        <w:left w:val="none" w:sz="0" w:space="0" w:color="auto"/>
        <w:bottom w:val="none" w:sz="0" w:space="0" w:color="auto"/>
        <w:right w:val="none" w:sz="0" w:space="0" w:color="auto"/>
      </w:divBdr>
    </w:div>
    <w:div w:id="212711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0state.results4america.org/" TargetMode="External"/><Relationship Id="rId18" Type="http://schemas.openxmlformats.org/officeDocument/2006/relationships/hyperlink" Target="http://www.doe.mass.edu/turnaround/redesig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d.gov/policy/elsec/leg/essa/guidanceuseseinvestment.pdf" TargetMode="External"/><Relationship Id="rId7" Type="http://schemas.openxmlformats.org/officeDocument/2006/relationships/settings" Target="settings.xml"/><Relationship Id="rId12" Type="http://schemas.openxmlformats.org/officeDocument/2006/relationships/hyperlink" Target="https://www.mass.gov/massachusetts-vaxmillions-giveaway" TargetMode="External"/><Relationship Id="rId17" Type="http://schemas.openxmlformats.org/officeDocument/2006/relationships/hyperlink" Target="https://docs.google.com/document/d/1lbeULUGXJxQ53pAPebjAHTRXWcaAILv3u7koi6BkxQA/edi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http://www.doe.mass.edu/turnaround/level4/guidance.html?section=strategi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8226;%09Using%20project%20budgets%20to%20build%20and%20focus%20state%20evaluation%20capacity%20and%20resources%20on%20evidence-based%20investment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leg.colorado.gov/sites/default/files/ebp_12-11-2018.pdf" TargetMode="External"/><Relationship Id="rId23" Type="http://schemas.openxmlformats.org/officeDocument/2006/relationships/hyperlink" Target="https://urldefense.proofpoint.com/v2/url?u=https-3A__public.tableau.com_app_profile_massachusettsdese_viz_StudentLearningTimeDashboard_SLT&amp;d=DwMFAg&amp;c=eIGjsITfXP_y-DLLX0uEHXJvU8nOHrUK8IrwNKOtkVU&amp;r=u6aHpTAg3wQk5usyUV4jJtlxiGFkjMCe669l0GPJE3s&amp;m=RocEM75pQmqDz-oAKyJlYyVT6IfNeaLgzNT8QPFMGC4&amp;s=noROvQw7YUbc7ol9cTHFgQH_l9EasZstkCWrVmNLfps&amp;e=" TargetMode="External"/><Relationship Id="rId10" Type="http://schemas.openxmlformats.org/officeDocument/2006/relationships/endnotes" Target="endnotes.xml"/><Relationship Id="rId19" Type="http://schemas.openxmlformats.org/officeDocument/2006/relationships/hyperlink" Target="http://www.doe.mass.edu/turnaround/level4/guidanc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bo.ms.gov/pdfs/obrsforms/2021_budget_instructions.pdf" TargetMode="External"/><Relationship Id="rId22" Type="http://schemas.openxmlformats.org/officeDocument/2006/relationships/hyperlink" Target="http://www.doe.mass.edu/research/howdoweknow/"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d3fc6d-0329-44eb-acde-fee98b7e96fa">
      <Terms xmlns="http://schemas.microsoft.com/office/infopath/2007/PartnerControls"/>
    </lcf76f155ced4ddcb4097134ff3c332f>
    <TaxCatchAll xmlns="71edd43e-718e-4f82-9145-3875adf2a1d5" xsi:nil="true"/>
    <SharedWithUsers xmlns="71edd43e-718e-4f82-9145-3875adf2a1d5">
      <UserInfo>
        <DisplayName>Braza, Robert A (A&amp;F)</DisplayName>
        <AccountId>478</AccountId>
        <AccountType/>
      </UserInfo>
      <UserInfo>
        <DisplayName>Fahle, Heath (A&amp;F)</DisplayName>
        <AccountId>13</AccountId>
        <AccountType/>
      </UserInfo>
      <UserInfo>
        <DisplayName>Berdy, Katharine J.</DisplayName>
        <AccountId>107</AccountId>
        <AccountType/>
      </UserInfo>
      <UserInfo>
        <DisplayName>Littmann, Danielle (A&amp;F)</DisplayName>
        <AccountId>476</AccountId>
        <AccountType/>
      </UserInfo>
      <UserInfo>
        <DisplayName>Cowdell, James M. (A&amp;F)</DisplayName>
        <AccountId>102</AccountId>
        <AccountType/>
      </UserInfo>
      <UserInfo>
        <DisplayName>Capone, Sophia (A&amp;F)</DisplayName>
        <AccountId>81</AccountId>
        <AccountType/>
      </UserInfo>
      <UserInfo>
        <DisplayName>Hornby, Catharine (A&amp;F)</DisplayName>
        <AccountId>23</AccountId>
        <AccountType/>
      </UserInfo>
      <UserInfo>
        <DisplayName>Ellis, Dana (A&amp;F)</DisplayName>
        <AccountId>15</AccountId>
        <AccountType/>
      </UserInfo>
      <UserInfo>
        <DisplayName>Dutch, Brendan S. (A&amp;F)</DisplayName>
        <AccountId>27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E95B6BB7C9A442BF76651FCC540C11" ma:contentTypeVersion="16" ma:contentTypeDescription="Create a new document." ma:contentTypeScope="" ma:versionID="ec4ad1e2a710e1788cc7b13677d83dff">
  <xsd:schema xmlns:xsd="http://www.w3.org/2001/XMLSchema" xmlns:xs="http://www.w3.org/2001/XMLSchema" xmlns:p="http://schemas.microsoft.com/office/2006/metadata/properties" xmlns:ns2="6dd3fc6d-0329-44eb-acde-fee98b7e96fa" xmlns:ns3="71edd43e-718e-4f82-9145-3875adf2a1d5" targetNamespace="http://schemas.microsoft.com/office/2006/metadata/properties" ma:root="true" ma:fieldsID="5622acc9c5eba2e33c4f2781fc056f2b" ns2:_="" ns3:_="">
    <xsd:import namespace="6dd3fc6d-0329-44eb-acde-fee98b7e96fa"/>
    <xsd:import namespace="71edd43e-718e-4f82-9145-3875adf2a1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3fc6d-0329-44eb-acde-fee98b7e9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edd43e-718e-4f82-9145-3875adf2a1d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0fc7d9-7446-4235-a222-e1c2d93a21c6}" ma:internalName="TaxCatchAll" ma:showField="CatchAllData" ma:web="71edd43e-718e-4f82-9145-3875adf2a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924A7-91FC-4EED-8A0E-1F513314674E}">
  <ds:schemaRefs>
    <ds:schemaRef ds:uri="http://schemas.microsoft.com/office/2006/metadata/properties"/>
    <ds:schemaRef ds:uri="http://schemas.microsoft.com/office/infopath/2007/PartnerControls"/>
    <ds:schemaRef ds:uri="6dd3fc6d-0329-44eb-acde-fee98b7e96fa"/>
    <ds:schemaRef ds:uri="71edd43e-718e-4f82-9145-3875adf2a1d5"/>
  </ds:schemaRefs>
</ds:datastoreItem>
</file>

<file path=customXml/itemProps2.xml><?xml version="1.0" encoding="utf-8"?>
<ds:datastoreItem xmlns:ds="http://schemas.openxmlformats.org/officeDocument/2006/customXml" ds:itemID="{57157364-F900-4D97-9CEE-746AF7247549}">
  <ds:schemaRefs>
    <ds:schemaRef ds:uri="http://schemas.microsoft.com/sharepoint/v3/contenttype/forms"/>
  </ds:schemaRefs>
</ds:datastoreItem>
</file>

<file path=customXml/itemProps3.xml><?xml version="1.0" encoding="utf-8"?>
<ds:datastoreItem xmlns:ds="http://schemas.openxmlformats.org/officeDocument/2006/customXml" ds:itemID="{B879C90C-704E-46A4-B772-9F465BDD2A55}"/>
</file>

<file path=customXml/itemProps4.xml><?xml version="1.0" encoding="utf-8"?>
<ds:datastoreItem xmlns:ds="http://schemas.openxmlformats.org/officeDocument/2006/customXml" ds:itemID="{B7823BB6-7063-4559-99F1-51615470718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18</Pages>
  <Words>6193</Words>
  <Characters>35304</Characters>
  <Application>Microsoft Office Word</Application>
  <DocSecurity>0</DocSecurity>
  <Lines>294</Lines>
  <Paragraphs>82</Paragraphs>
  <ScaleCrop>false</ScaleCrop>
  <Company/>
  <LinksUpToDate>false</LinksUpToDate>
  <CharactersWithSpaces>41415</CharactersWithSpaces>
  <SharedDoc>false</SharedDoc>
  <HLinks>
    <vt:vector size="150" baseType="variant">
      <vt:variant>
        <vt:i4>6881280</vt:i4>
      </vt:variant>
      <vt:variant>
        <vt:i4>114</vt:i4>
      </vt:variant>
      <vt:variant>
        <vt:i4>0</vt:i4>
      </vt:variant>
      <vt:variant>
        <vt:i4>5</vt:i4>
      </vt:variant>
      <vt:variant>
        <vt:lpwstr>https://urldefense.proofpoint.com/v2/url?u=https-3A__public.tableau.com_app_profile_massachusettsdese_viz_StudentLearningTimeDashboard_SLT&amp;d=DwMFAg&amp;c=eIGjsITfXP_y-DLLX0uEHXJvU8nOHrUK8IrwNKOtkVU&amp;r=u6aHpTAg3wQk5usyUV4jJtlxiGFkjMCe669l0GPJE3s&amp;m=RocEM75pQmqDz-oAKyJlYyVT6IfNeaLgzNT8QPFMGC4&amp;s=noROvQw7YUbc7ol9cTHFgQH_l9EasZstkCWrVmNLfps&amp;e=</vt:lpwstr>
      </vt:variant>
      <vt:variant>
        <vt:lpwstr/>
      </vt:variant>
      <vt:variant>
        <vt:i4>4653127</vt:i4>
      </vt:variant>
      <vt:variant>
        <vt:i4>111</vt:i4>
      </vt:variant>
      <vt:variant>
        <vt:i4>0</vt:i4>
      </vt:variant>
      <vt:variant>
        <vt:i4>5</vt:i4>
      </vt:variant>
      <vt:variant>
        <vt:lpwstr>http://www.doe.mass.edu/research/howdoweknow/</vt:lpwstr>
      </vt:variant>
      <vt:variant>
        <vt:lpwstr/>
      </vt:variant>
      <vt:variant>
        <vt:i4>4915276</vt:i4>
      </vt:variant>
      <vt:variant>
        <vt:i4>108</vt:i4>
      </vt:variant>
      <vt:variant>
        <vt:i4>0</vt:i4>
      </vt:variant>
      <vt:variant>
        <vt:i4>5</vt:i4>
      </vt:variant>
      <vt:variant>
        <vt:lpwstr>https://ed.gov/policy/elsec/leg/essa/guidanceuseseinvestment.pdf</vt:lpwstr>
      </vt:variant>
      <vt:variant>
        <vt:lpwstr/>
      </vt:variant>
      <vt:variant>
        <vt:i4>852040</vt:i4>
      </vt:variant>
      <vt:variant>
        <vt:i4>105</vt:i4>
      </vt:variant>
      <vt:variant>
        <vt:i4>0</vt:i4>
      </vt:variant>
      <vt:variant>
        <vt:i4>5</vt:i4>
      </vt:variant>
      <vt:variant>
        <vt:lpwstr>http://www.doe.mass.edu/turnaround/level4/guidance.html?section=strategic</vt:lpwstr>
      </vt:variant>
      <vt:variant>
        <vt:lpwstr>accordion</vt:lpwstr>
      </vt:variant>
      <vt:variant>
        <vt:i4>7274552</vt:i4>
      </vt:variant>
      <vt:variant>
        <vt:i4>102</vt:i4>
      </vt:variant>
      <vt:variant>
        <vt:i4>0</vt:i4>
      </vt:variant>
      <vt:variant>
        <vt:i4>5</vt:i4>
      </vt:variant>
      <vt:variant>
        <vt:lpwstr>http://www.doe.mass.edu/turnaround/level4/guidance.html</vt:lpwstr>
      </vt:variant>
      <vt:variant>
        <vt:lpwstr/>
      </vt:variant>
      <vt:variant>
        <vt:i4>262237</vt:i4>
      </vt:variant>
      <vt:variant>
        <vt:i4>99</vt:i4>
      </vt:variant>
      <vt:variant>
        <vt:i4>0</vt:i4>
      </vt:variant>
      <vt:variant>
        <vt:i4>5</vt:i4>
      </vt:variant>
      <vt:variant>
        <vt:lpwstr>http://www.doe.mass.edu/turnaround/redesign/</vt:lpwstr>
      </vt:variant>
      <vt:variant>
        <vt:lpwstr/>
      </vt:variant>
      <vt:variant>
        <vt:i4>1507417</vt:i4>
      </vt:variant>
      <vt:variant>
        <vt:i4>96</vt:i4>
      </vt:variant>
      <vt:variant>
        <vt:i4>0</vt:i4>
      </vt:variant>
      <vt:variant>
        <vt:i4>5</vt:i4>
      </vt:variant>
      <vt:variant>
        <vt:lpwstr>https://docs.google.com/document/d/1lbeULUGXJxQ53pAPebjAHTRXWcaAILv3u7koi6BkxQA/edit</vt:lpwstr>
      </vt:variant>
      <vt:variant>
        <vt:lpwstr/>
      </vt:variant>
      <vt:variant>
        <vt:i4>983098</vt:i4>
      </vt:variant>
      <vt:variant>
        <vt:i4>93</vt:i4>
      </vt:variant>
      <vt:variant>
        <vt:i4>0</vt:i4>
      </vt:variant>
      <vt:variant>
        <vt:i4>5</vt:i4>
      </vt:variant>
      <vt:variant>
        <vt:lpwstr>https://leg.colorado.gov/sites/default/files/ebp_12-11-2018.pdf</vt:lpwstr>
      </vt:variant>
      <vt:variant>
        <vt:lpwstr>page=14</vt:lpwstr>
      </vt:variant>
      <vt:variant>
        <vt:i4>786459</vt:i4>
      </vt:variant>
      <vt:variant>
        <vt:i4>90</vt:i4>
      </vt:variant>
      <vt:variant>
        <vt:i4>0</vt:i4>
      </vt:variant>
      <vt:variant>
        <vt:i4>5</vt:i4>
      </vt:variant>
      <vt:variant>
        <vt:lpwstr>http://www.lbo.ms.gov/pdfs/obrsforms/2021_budget_instructions.pdf</vt:lpwstr>
      </vt:variant>
      <vt:variant>
        <vt:lpwstr>page=15</vt:lpwstr>
      </vt:variant>
      <vt:variant>
        <vt:i4>6291501</vt:i4>
      </vt:variant>
      <vt:variant>
        <vt:i4>87</vt:i4>
      </vt:variant>
      <vt:variant>
        <vt:i4>0</vt:i4>
      </vt:variant>
      <vt:variant>
        <vt:i4>5</vt:i4>
      </vt:variant>
      <vt:variant>
        <vt:lpwstr>https://2020state.results4america.org/</vt:lpwstr>
      </vt:variant>
      <vt:variant>
        <vt:lpwstr/>
      </vt:variant>
      <vt:variant>
        <vt:i4>3014713</vt:i4>
      </vt:variant>
      <vt:variant>
        <vt:i4>84</vt:i4>
      </vt:variant>
      <vt:variant>
        <vt:i4>0</vt:i4>
      </vt:variant>
      <vt:variant>
        <vt:i4>5</vt:i4>
      </vt:variant>
      <vt:variant>
        <vt:lpwstr>https://www.mass.gov/massachusetts-vaxmillions-giveaway</vt:lpwstr>
      </vt:variant>
      <vt:variant>
        <vt:lpwstr/>
      </vt:variant>
      <vt:variant>
        <vt:i4>537067522</vt:i4>
      </vt:variant>
      <vt:variant>
        <vt:i4>81</vt:i4>
      </vt:variant>
      <vt:variant>
        <vt:i4>0</vt:i4>
      </vt:variant>
      <vt:variant>
        <vt:i4>5</vt:i4>
      </vt:variant>
      <vt:variant>
        <vt:lpwstr>mailto:•%09Using%20project%20budgets%20to%20build%20and%20focus%20state%20evaluation%20capacity%20and%20resources%20on%20evidence-based%20investments</vt:lpwstr>
      </vt:variant>
      <vt:variant>
        <vt:lpwstr/>
      </vt:variant>
      <vt:variant>
        <vt:i4>1638452</vt:i4>
      </vt:variant>
      <vt:variant>
        <vt:i4>74</vt:i4>
      </vt:variant>
      <vt:variant>
        <vt:i4>0</vt:i4>
      </vt:variant>
      <vt:variant>
        <vt:i4>5</vt:i4>
      </vt:variant>
      <vt:variant>
        <vt:lpwstr/>
      </vt:variant>
      <vt:variant>
        <vt:lpwstr>_Toc109990571</vt:lpwstr>
      </vt:variant>
      <vt:variant>
        <vt:i4>1638452</vt:i4>
      </vt:variant>
      <vt:variant>
        <vt:i4>68</vt:i4>
      </vt:variant>
      <vt:variant>
        <vt:i4>0</vt:i4>
      </vt:variant>
      <vt:variant>
        <vt:i4>5</vt:i4>
      </vt:variant>
      <vt:variant>
        <vt:lpwstr/>
      </vt:variant>
      <vt:variant>
        <vt:lpwstr>_Toc109990570</vt:lpwstr>
      </vt:variant>
      <vt:variant>
        <vt:i4>1572916</vt:i4>
      </vt:variant>
      <vt:variant>
        <vt:i4>62</vt:i4>
      </vt:variant>
      <vt:variant>
        <vt:i4>0</vt:i4>
      </vt:variant>
      <vt:variant>
        <vt:i4>5</vt:i4>
      </vt:variant>
      <vt:variant>
        <vt:lpwstr/>
      </vt:variant>
      <vt:variant>
        <vt:lpwstr>_Toc109990569</vt:lpwstr>
      </vt:variant>
      <vt:variant>
        <vt:i4>1572916</vt:i4>
      </vt:variant>
      <vt:variant>
        <vt:i4>56</vt:i4>
      </vt:variant>
      <vt:variant>
        <vt:i4>0</vt:i4>
      </vt:variant>
      <vt:variant>
        <vt:i4>5</vt:i4>
      </vt:variant>
      <vt:variant>
        <vt:lpwstr/>
      </vt:variant>
      <vt:variant>
        <vt:lpwstr>_Toc109990568</vt:lpwstr>
      </vt:variant>
      <vt:variant>
        <vt:i4>1572916</vt:i4>
      </vt:variant>
      <vt:variant>
        <vt:i4>50</vt:i4>
      </vt:variant>
      <vt:variant>
        <vt:i4>0</vt:i4>
      </vt:variant>
      <vt:variant>
        <vt:i4>5</vt:i4>
      </vt:variant>
      <vt:variant>
        <vt:lpwstr/>
      </vt:variant>
      <vt:variant>
        <vt:lpwstr>_Toc109990567</vt:lpwstr>
      </vt:variant>
      <vt:variant>
        <vt:i4>1572916</vt:i4>
      </vt:variant>
      <vt:variant>
        <vt:i4>44</vt:i4>
      </vt:variant>
      <vt:variant>
        <vt:i4>0</vt:i4>
      </vt:variant>
      <vt:variant>
        <vt:i4>5</vt:i4>
      </vt:variant>
      <vt:variant>
        <vt:lpwstr/>
      </vt:variant>
      <vt:variant>
        <vt:lpwstr>_Toc109990566</vt:lpwstr>
      </vt:variant>
      <vt:variant>
        <vt:i4>1572916</vt:i4>
      </vt:variant>
      <vt:variant>
        <vt:i4>38</vt:i4>
      </vt:variant>
      <vt:variant>
        <vt:i4>0</vt:i4>
      </vt:variant>
      <vt:variant>
        <vt:i4>5</vt:i4>
      </vt:variant>
      <vt:variant>
        <vt:lpwstr/>
      </vt:variant>
      <vt:variant>
        <vt:lpwstr>_Toc109990565</vt:lpwstr>
      </vt:variant>
      <vt:variant>
        <vt:i4>1572916</vt:i4>
      </vt:variant>
      <vt:variant>
        <vt:i4>32</vt:i4>
      </vt:variant>
      <vt:variant>
        <vt:i4>0</vt:i4>
      </vt:variant>
      <vt:variant>
        <vt:i4>5</vt:i4>
      </vt:variant>
      <vt:variant>
        <vt:lpwstr/>
      </vt:variant>
      <vt:variant>
        <vt:lpwstr>_Toc109990564</vt:lpwstr>
      </vt:variant>
      <vt:variant>
        <vt:i4>1572916</vt:i4>
      </vt:variant>
      <vt:variant>
        <vt:i4>26</vt:i4>
      </vt:variant>
      <vt:variant>
        <vt:i4>0</vt:i4>
      </vt:variant>
      <vt:variant>
        <vt:i4>5</vt:i4>
      </vt:variant>
      <vt:variant>
        <vt:lpwstr/>
      </vt:variant>
      <vt:variant>
        <vt:lpwstr>_Toc109990563</vt:lpwstr>
      </vt:variant>
      <vt:variant>
        <vt:i4>1572916</vt:i4>
      </vt:variant>
      <vt:variant>
        <vt:i4>20</vt:i4>
      </vt:variant>
      <vt:variant>
        <vt:i4>0</vt:i4>
      </vt:variant>
      <vt:variant>
        <vt:i4>5</vt:i4>
      </vt:variant>
      <vt:variant>
        <vt:lpwstr/>
      </vt:variant>
      <vt:variant>
        <vt:lpwstr>_Toc109990562</vt:lpwstr>
      </vt:variant>
      <vt:variant>
        <vt:i4>1572916</vt:i4>
      </vt:variant>
      <vt:variant>
        <vt:i4>14</vt:i4>
      </vt:variant>
      <vt:variant>
        <vt:i4>0</vt:i4>
      </vt:variant>
      <vt:variant>
        <vt:i4>5</vt:i4>
      </vt:variant>
      <vt:variant>
        <vt:lpwstr/>
      </vt:variant>
      <vt:variant>
        <vt:lpwstr>_Toc109990561</vt:lpwstr>
      </vt:variant>
      <vt:variant>
        <vt:i4>1572916</vt:i4>
      </vt:variant>
      <vt:variant>
        <vt:i4>8</vt:i4>
      </vt:variant>
      <vt:variant>
        <vt:i4>0</vt:i4>
      </vt:variant>
      <vt:variant>
        <vt:i4>5</vt:i4>
      </vt:variant>
      <vt:variant>
        <vt:lpwstr/>
      </vt:variant>
      <vt:variant>
        <vt:lpwstr>_Toc109990560</vt:lpwstr>
      </vt:variant>
      <vt:variant>
        <vt:i4>1769524</vt:i4>
      </vt:variant>
      <vt:variant>
        <vt:i4>2</vt:i4>
      </vt:variant>
      <vt:variant>
        <vt:i4>0</vt:i4>
      </vt:variant>
      <vt:variant>
        <vt:i4>5</vt:i4>
      </vt:variant>
      <vt:variant>
        <vt:lpwstr/>
      </vt:variant>
      <vt:variant>
        <vt:lpwstr>_Toc109990559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Littmann, Danielle (A&amp;F)</dc:creator>
  <cp:keywords/>
  <dc:description/>
  <cp:lastModifiedBy>Deaconn, Andra (A&amp;F)</cp:lastModifiedBy>
  <cp:revision>3</cp:revision>
  <cp:lastPrinted>2022-07-29T17:52:00Z</cp:lastPrinted>
  <dcterms:created xsi:type="dcterms:W3CDTF">2025-11-25T21:15:00Z</dcterms:created>
  <dcterms:modified xsi:type="dcterms:W3CDTF">2025-11-25T21:18:00Z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0x01010030E95B6BB7C9A442BF76651FCC540C11</vt:lpwstr>
  </property>
</Properties>
</file>