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B938BD">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0CB6BE00" w:rsidR="009654D7" w:rsidRPr="009D4FC2" w:rsidRDefault="00036655" w:rsidP="00EA42C3">
            <w:pPr>
              <w:spacing w:after="0"/>
              <w:contextualSpacing/>
              <w:rPr>
                <w:rFonts w:eastAsia="Times New Roman" w:cs="Times New Roman"/>
                <w:color w:val="000000"/>
              </w:rPr>
            </w:pPr>
            <w:r>
              <w:rPr>
                <w:rFonts w:eastAsia="Times New Roman" w:cs="Times New Roman"/>
                <w:color w:val="000000"/>
              </w:rPr>
              <w:t xml:space="preserve">Clinical and Supports Options, Inc. </w:t>
            </w:r>
          </w:p>
        </w:tc>
      </w:tr>
      <w:tr w:rsidR="009654D7" w:rsidRPr="009D4FC2" w14:paraId="3C0DDF07" w14:textId="77777777" w:rsidTr="00B938BD">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29DBE5E4" w:rsidR="009654D7" w:rsidRPr="009D4FC2" w:rsidRDefault="00036655" w:rsidP="00EA42C3">
            <w:pPr>
              <w:spacing w:after="0"/>
              <w:contextualSpacing/>
              <w:rPr>
                <w:rFonts w:eastAsia="Times New Roman" w:cs="Times New Roman"/>
                <w:color w:val="000000"/>
              </w:rPr>
            </w:pPr>
            <w:r>
              <w:rPr>
                <w:rFonts w:eastAsia="Times New Roman" w:cs="Times New Roman"/>
                <w:color w:val="000000"/>
              </w:rPr>
              <w:t xml:space="preserve">One Arch Place, Greenfield, MA 01301 </w:t>
            </w:r>
          </w:p>
        </w:tc>
      </w:tr>
    </w:tbl>
    <w:p w14:paraId="4D346742" w14:textId="6505DADB"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39E9258E" w14:textId="76CBCB91" w:rsidR="00110E69" w:rsidRDefault="00110E69" w:rsidP="00110E6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Clinical and Support Option’s (CSO) Community Partner Program provides care coordination services within four counties of Western Massachusetts, including Franklin, Hampshire, Berkshire, and part of the </w:t>
      </w:r>
      <w:r w:rsidR="0033198D">
        <w:rPr>
          <w:rStyle w:val="normaltextrun"/>
          <w:rFonts w:ascii="Calibri" w:eastAsiaTheme="majorEastAsia" w:hAnsi="Calibri" w:cs="Calibri"/>
          <w:color w:val="000000"/>
        </w:rPr>
        <w:t xml:space="preserve">North </w:t>
      </w:r>
      <w:proofErr w:type="spellStart"/>
      <w:r>
        <w:rPr>
          <w:rStyle w:val="normaltextrun"/>
          <w:rFonts w:ascii="Calibri" w:eastAsiaTheme="majorEastAsia" w:hAnsi="Calibri" w:cs="Calibri"/>
          <w:color w:val="000000"/>
        </w:rPr>
        <w:t>Quabbin</w:t>
      </w:r>
      <w:proofErr w:type="spellEnd"/>
      <w:r>
        <w:rPr>
          <w:rStyle w:val="normaltextrun"/>
          <w:rFonts w:ascii="Calibri" w:eastAsiaTheme="majorEastAsia" w:hAnsi="Calibri" w:cs="Calibri"/>
          <w:color w:val="000000"/>
        </w:rPr>
        <w:t xml:space="preserve"> service area to MassHealth members. The CSO CP program incorporates a</w:t>
      </w:r>
      <w:r w:rsidR="00036655">
        <w:rPr>
          <w:rStyle w:val="normaltextrun"/>
          <w:rFonts w:ascii="Calibri" w:eastAsiaTheme="majorEastAsia" w:hAnsi="Calibri" w:cs="Calibri"/>
          <w:color w:val="000000"/>
        </w:rPr>
        <w:t xml:space="preserve"> </w:t>
      </w:r>
      <w:r>
        <w:rPr>
          <w:rStyle w:val="normaltextrun"/>
          <w:rFonts w:ascii="Calibri" w:eastAsiaTheme="majorEastAsia" w:hAnsi="Calibri" w:cs="Calibri"/>
          <w:color w:val="000000"/>
        </w:rPr>
        <w:t>trauma-informed holistic approach to provide person-centered treatment to individuals experiencing mental illness, substance use disorders, and medical co-morbidities. Our dedicated multidisciplinary team consists of licensed clinical social workers, registered nurses, care coordinators, and administrative support staff working together to provide comprehensive and individualized care coordination services.  </w:t>
      </w:r>
      <w:r>
        <w:rPr>
          <w:rStyle w:val="eop"/>
          <w:rFonts w:ascii="Calibri" w:hAnsi="Calibri" w:cs="Calibri"/>
          <w:color w:val="000000"/>
        </w:rPr>
        <w:t> </w:t>
      </w:r>
    </w:p>
    <w:p w14:paraId="40528D41" w14:textId="18C0011D" w:rsidR="00110E69" w:rsidRDefault="00110E69" w:rsidP="00110E6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CSO’s provision of comprehensive, holistic services to individuals with multiple and complex issues focuses on supporting people in their progress toward self-sufficiency with a strong emphasis on social determinants of health. To do so, we commit to excellence in our services. At the same time, we collaborate </w:t>
      </w:r>
      <w:r w:rsidR="00036655">
        <w:rPr>
          <w:rStyle w:val="normaltextrun"/>
          <w:rFonts w:ascii="Calibri" w:eastAsiaTheme="majorEastAsia" w:hAnsi="Calibri" w:cs="Calibri"/>
          <w:color w:val="000000"/>
        </w:rPr>
        <w:t xml:space="preserve">internally and </w:t>
      </w:r>
      <w:r>
        <w:rPr>
          <w:rStyle w:val="normaltextrun"/>
          <w:rFonts w:ascii="Calibri" w:eastAsiaTheme="majorEastAsia" w:hAnsi="Calibri" w:cs="Calibri"/>
          <w:color w:val="000000"/>
        </w:rPr>
        <w:t>externally with community agencies, providers, and regional social services to establish and participate in a comprehensive system of assistance and resources for our communities. </w:t>
      </w:r>
      <w:r>
        <w:rPr>
          <w:rStyle w:val="eop"/>
          <w:rFonts w:ascii="Calibri" w:hAnsi="Calibri" w:cs="Calibri"/>
          <w:color w:val="000000"/>
        </w:rPr>
        <w:t> </w:t>
      </w:r>
    </w:p>
    <w:p w14:paraId="3A01DA32" w14:textId="1C251714" w:rsidR="00110E69" w:rsidRDefault="00110E69" w:rsidP="00110E6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In 2021, the CP team continues to build relationships in the community and, with eight ACO’s/MCOs, utilize data to improve workflow processes and provide best care practices to shared clients. We have streamlined internal procedures and continue to experience learning opportunities that enhance CP programmatically and administratively. </w:t>
      </w:r>
      <w:r w:rsidR="00036655">
        <w:rPr>
          <w:rStyle w:val="normaltextrun"/>
          <w:rFonts w:ascii="Calibri" w:eastAsiaTheme="majorEastAsia" w:hAnsi="Calibri" w:cs="Calibri"/>
          <w:color w:val="000000"/>
        </w:rPr>
        <w:t xml:space="preserve">During </w:t>
      </w:r>
      <w:r>
        <w:rPr>
          <w:rStyle w:val="normaltextrun"/>
          <w:rFonts w:ascii="Calibri" w:eastAsiaTheme="majorEastAsia" w:hAnsi="Calibri" w:cs="Calibri"/>
          <w:color w:val="000000"/>
        </w:rPr>
        <w:t>2021, we have seen improvements in turn-around times for deliverables and staff retention, despite challenges related to COVID-19.  Our Franklin and Berkshire County clinic locations have each gained a care coordinator during this reporting period, allowing for efficient delivery of care coordination.</w:t>
      </w:r>
      <w:r>
        <w:rPr>
          <w:rStyle w:val="eop"/>
          <w:rFonts w:ascii="Calibri" w:hAnsi="Calibri" w:cs="Calibri"/>
          <w:color w:val="000000"/>
        </w:rPr>
        <w:t> </w:t>
      </w:r>
    </w:p>
    <w:p w14:paraId="741C72FF" w14:textId="77777777" w:rsidR="00110E69" w:rsidRDefault="00110E69" w:rsidP="00110E6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The care coordination skills of our committed team provide person-centered, flexible, creative services and support to members. Building on solid community and agency relationships, we provide resource navigation to members guided by their goals and multidisciplinary treatment planning. CSO’s development of proficient systems around documentation enables staff to spend more time with clients, supporting them to set and reach various goals. Most </w:t>
      </w:r>
      <w:r>
        <w:rPr>
          <w:rStyle w:val="normaltextrun"/>
          <w:rFonts w:ascii="Calibri" w:eastAsiaTheme="majorEastAsia" w:hAnsi="Calibri" w:cs="Calibri"/>
          <w:color w:val="000000"/>
        </w:rPr>
        <w:lastRenderedPageBreak/>
        <w:t>importantly, many of our members demonstrated progress and achieved goals with the support of the CP Program. </w:t>
      </w:r>
      <w:r>
        <w:rPr>
          <w:rStyle w:val="eop"/>
          <w:rFonts w:ascii="Calibri" w:hAnsi="Calibri" w:cs="Calibri"/>
          <w:color w:val="000000"/>
        </w:rPr>
        <w:t> </w:t>
      </w:r>
    </w:p>
    <w:p w14:paraId="0274A1BE" w14:textId="77777777" w:rsidR="00110E69" w:rsidRDefault="00110E69" w:rsidP="00110E6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CP has experienced continued success with engagement despite pandemic-related barriers as we find clients accepting of support and have access to phones, WIFI, or stable living arrangements during eviction moratoriums. Telehealth has been an effective tool in engagement and connecting to our participants during this unprecedented time.  </w:t>
      </w:r>
      <w:r>
        <w:rPr>
          <w:rStyle w:val="eop"/>
          <w:rFonts w:ascii="Calibri" w:hAnsi="Calibri" w:cs="Calibri"/>
          <w:color w:val="000000"/>
        </w:rPr>
        <w:t> </w:t>
      </w:r>
    </w:p>
    <w:p w14:paraId="337E3270" w14:textId="56E1C737" w:rsidR="008D381A" w:rsidRDefault="00110E69" w:rsidP="00B938BD">
      <w:pPr>
        <w:pStyle w:val="paragraph"/>
        <w:spacing w:before="0" w:beforeAutospacing="0" w:after="0" w:afterAutospacing="0"/>
        <w:textAlignment w:val="baseline"/>
      </w:pPr>
      <w:r>
        <w:rPr>
          <w:rStyle w:val="normaltextrun"/>
          <w:rFonts w:ascii="Calibri" w:eastAsiaTheme="majorEastAsia" w:hAnsi="Calibri" w:cs="Calibri"/>
          <w:color w:val="000000"/>
        </w:rPr>
        <w:t>Ongoing communication with MassHealth through monthly meetings and weekly office hours has helped us keep on top of evolving policies and program developments, especially COVID leniencies. Our learning curve continues to evolve as we work collaboratively with MassHealth to identify effective processes, work through barriers, and glean lessons learned to effect change in the lives of those we provide service.  </w:t>
      </w:r>
      <w:r>
        <w:rPr>
          <w:rStyle w:val="eop"/>
          <w:rFonts w:ascii="Calibri" w:hAnsi="Calibri" w:cs="Calibri"/>
          <w:color w:val="000000"/>
        </w:rPr>
        <w:t> </w:t>
      </w:r>
      <w:r w:rsidR="008D381A">
        <w:t xml:space="preserve"> </w:t>
      </w:r>
    </w:p>
    <w:p w14:paraId="1E07FCE9" w14:textId="77777777" w:rsidR="008D381A" w:rsidRDefault="008D381A" w:rsidP="002C551F">
      <w:pPr>
        <w:spacing w:after="160" w:line="259" w:lineRule="auto"/>
        <w:rPr>
          <w:rFonts w:eastAsia="Times New Roman" w:cs="Times New Roman"/>
        </w:rPr>
      </w:pPr>
    </w:p>
    <w:sectPr w:rsidR="008D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29387939">
    <w:abstractNumId w:val="4"/>
  </w:num>
  <w:num w:numId="2" w16cid:durableId="1948198168">
    <w:abstractNumId w:val="4"/>
  </w:num>
  <w:num w:numId="3" w16cid:durableId="157237856">
    <w:abstractNumId w:val="4"/>
  </w:num>
  <w:num w:numId="4" w16cid:durableId="599487627">
    <w:abstractNumId w:val="4"/>
  </w:num>
  <w:num w:numId="5" w16cid:durableId="972709252">
    <w:abstractNumId w:val="5"/>
  </w:num>
  <w:num w:numId="6" w16cid:durableId="1014459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167615">
    <w:abstractNumId w:val="18"/>
  </w:num>
  <w:num w:numId="8" w16cid:durableId="1597249555">
    <w:abstractNumId w:val="8"/>
  </w:num>
  <w:num w:numId="9" w16cid:durableId="743454601">
    <w:abstractNumId w:val="20"/>
  </w:num>
  <w:num w:numId="10" w16cid:durableId="156307589">
    <w:abstractNumId w:val="2"/>
  </w:num>
  <w:num w:numId="11" w16cid:durableId="543952918">
    <w:abstractNumId w:val="17"/>
  </w:num>
  <w:num w:numId="12" w16cid:durableId="1339237469">
    <w:abstractNumId w:val="9"/>
  </w:num>
  <w:num w:numId="13" w16cid:durableId="1552880815">
    <w:abstractNumId w:val="19"/>
  </w:num>
  <w:num w:numId="14" w16cid:durableId="9454538">
    <w:abstractNumId w:val="3"/>
  </w:num>
  <w:num w:numId="15" w16cid:durableId="168451588">
    <w:abstractNumId w:val="4"/>
  </w:num>
  <w:num w:numId="16" w16cid:durableId="292441064">
    <w:abstractNumId w:val="13"/>
    <w:lvlOverride w:ilvl="0">
      <w:startOverride w:val="1"/>
    </w:lvlOverride>
  </w:num>
  <w:num w:numId="17" w16cid:durableId="849489243">
    <w:abstractNumId w:val="16"/>
  </w:num>
  <w:num w:numId="18" w16cid:durableId="1776559187">
    <w:abstractNumId w:val="0"/>
  </w:num>
  <w:num w:numId="19" w16cid:durableId="1036858683">
    <w:abstractNumId w:val="10"/>
  </w:num>
  <w:num w:numId="20" w16cid:durableId="966011403">
    <w:abstractNumId w:val="15"/>
  </w:num>
  <w:num w:numId="21" w16cid:durableId="1669601839">
    <w:abstractNumId w:val="11"/>
  </w:num>
  <w:num w:numId="22" w16cid:durableId="832990701">
    <w:abstractNumId w:val="1"/>
  </w:num>
  <w:num w:numId="23" w16cid:durableId="1288968695">
    <w:abstractNumId w:val="6"/>
  </w:num>
  <w:num w:numId="24" w16cid:durableId="878051719">
    <w:abstractNumId w:val="7"/>
  </w:num>
  <w:num w:numId="25" w16cid:durableId="1662734228">
    <w:abstractNumId w:val="12"/>
  </w:num>
  <w:num w:numId="26" w16cid:durableId="141241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36655"/>
    <w:rsid w:val="000822CF"/>
    <w:rsid w:val="000839C1"/>
    <w:rsid w:val="0009566E"/>
    <w:rsid w:val="000B54F1"/>
    <w:rsid w:val="000E5F21"/>
    <w:rsid w:val="000E7920"/>
    <w:rsid w:val="000F275C"/>
    <w:rsid w:val="000F3DCC"/>
    <w:rsid w:val="000F63B7"/>
    <w:rsid w:val="001024DD"/>
    <w:rsid w:val="00110E69"/>
    <w:rsid w:val="00121A34"/>
    <w:rsid w:val="001609E3"/>
    <w:rsid w:val="001A1463"/>
    <w:rsid w:val="001A2B2E"/>
    <w:rsid w:val="001A4875"/>
    <w:rsid w:val="001E6009"/>
    <w:rsid w:val="001F2084"/>
    <w:rsid w:val="002055CF"/>
    <w:rsid w:val="00226D41"/>
    <w:rsid w:val="002368D3"/>
    <w:rsid w:val="00240D97"/>
    <w:rsid w:val="00275549"/>
    <w:rsid w:val="00276DFD"/>
    <w:rsid w:val="00282CA5"/>
    <w:rsid w:val="0029710B"/>
    <w:rsid w:val="002B64BF"/>
    <w:rsid w:val="002B7E92"/>
    <w:rsid w:val="002C14E3"/>
    <w:rsid w:val="002C271C"/>
    <w:rsid w:val="002C551F"/>
    <w:rsid w:val="002E3564"/>
    <w:rsid w:val="002E7401"/>
    <w:rsid w:val="002F1BFE"/>
    <w:rsid w:val="00300671"/>
    <w:rsid w:val="00300C35"/>
    <w:rsid w:val="00322492"/>
    <w:rsid w:val="00331063"/>
    <w:rsid w:val="0033198D"/>
    <w:rsid w:val="00335DE2"/>
    <w:rsid w:val="00343DE0"/>
    <w:rsid w:val="00394DF6"/>
    <w:rsid w:val="0039585C"/>
    <w:rsid w:val="003A582B"/>
    <w:rsid w:val="003B0780"/>
    <w:rsid w:val="003C430E"/>
    <w:rsid w:val="003C4EE6"/>
    <w:rsid w:val="003C5494"/>
    <w:rsid w:val="003D2D28"/>
    <w:rsid w:val="003E381E"/>
    <w:rsid w:val="003F145A"/>
    <w:rsid w:val="00417A0B"/>
    <w:rsid w:val="00427CA9"/>
    <w:rsid w:val="004339D7"/>
    <w:rsid w:val="0044466E"/>
    <w:rsid w:val="00461D55"/>
    <w:rsid w:val="004659A7"/>
    <w:rsid w:val="0047487E"/>
    <w:rsid w:val="00497F61"/>
    <w:rsid w:val="004B595B"/>
    <w:rsid w:val="004C741A"/>
    <w:rsid w:val="004E0296"/>
    <w:rsid w:val="004F5FCC"/>
    <w:rsid w:val="00506262"/>
    <w:rsid w:val="00514EE1"/>
    <w:rsid w:val="00522EEE"/>
    <w:rsid w:val="00534D89"/>
    <w:rsid w:val="00535ADB"/>
    <w:rsid w:val="005951E7"/>
    <w:rsid w:val="00595BD4"/>
    <w:rsid w:val="005A1337"/>
    <w:rsid w:val="005B31E0"/>
    <w:rsid w:val="00615BBA"/>
    <w:rsid w:val="00633B0E"/>
    <w:rsid w:val="00645474"/>
    <w:rsid w:val="00662194"/>
    <w:rsid w:val="00676D3D"/>
    <w:rsid w:val="00691F3B"/>
    <w:rsid w:val="006A2543"/>
    <w:rsid w:val="006B5495"/>
    <w:rsid w:val="006B6EC7"/>
    <w:rsid w:val="006D2F33"/>
    <w:rsid w:val="006D5E74"/>
    <w:rsid w:val="00703FF2"/>
    <w:rsid w:val="00705352"/>
    <w:rsid w:val="007079BD"/>
    <w:rsid w:val="00727D4C"/>
    <w:rsid w:val="00766846"/>
    <w:rsid w:val="00774F57"/>
    <w:rsid w:val="007923D1"/>
    <w:rsid w:val="007B2797"/>
    <w:rsid w:val="007C1606"/>
    <w:rsid w:val="007C2F88"/>
    <w:rsid w:val="007D6D8A"/>
    <w:rsid w:val="00801050"/>
    <w:rsid w:val="008262D4"/>
    <w:rsid w:val="0083507E"/>
    <w:rsid w:val="008A4ED9"/>
    <w:rsid w:val="008B1F9A"/>
    <w:rsid w:val="008B26A1"/>
    <w:rsid w:val="008C1D78"/>
    <w:rsid w:val="008D381A"/>
    <w:rsid w:val="008E527B"/>
    <w:rsid w:val="009017F0"/>
    <w:rsid w:val="00907AB4"/>
    <w:rsid w:val="00922598"/>
    <w:rsid w:val="00925B2D"/>
    <w:rsid w:val="009633E3"/>
    <w:rsid w:val="009654D7"/>
    <w:rsid w:val="00986D6F"/>
    <w:rsid w:val="009A1FB7"/>
    <w:rsid w:val="009A7450"/>
    <w:rsid w:val="009B0DDC"/>
    <w:rsid w:val="009B0E06"/>
    <w:rsid w:val="009B3466"/>
    <w:rsid w:val="009C0591"/>
    <w:rsid w:val="009C743A"/>
    <w:rsid w:val="009D3717"/>
    <w:rsid w:val="009E1937"/>
    <w:rsid w:val="009E6FE3"/>
    <w:rsid w:val="009F5E39"/>
    <w:rsid w:val="00A415B8"/>
    <w:rsid w:val="00A67B96"/>
    <w:rsid w:val="00A758BE"/>
    <w:rsid w:val="00A905C4"/>
    <w:rsid w:val="00AA3039"/>
    <w:rsid w:val="00AD0D4D"/>
    <w:rsid w:val="00AD330B"/>
    <w:rsid w:val="00B22768"/>
    <w:rsid w:val="00B33F3F"/>
    <w:rsid w:val="00B36478"/>
    <w:rsid w:val="00B377AF"/>
    <w:rsid w:val="00B456C3"/>
    <w:rsid w:val="00B66CFD"/>
    <w:rsid w:val="00B70116"/>
    <w:rsid w:val="00B938BD"/>
    <w:rsid w:val="00BC0125"/>
    <w:rsid w:val="00BC17B9"/>
    <w:rsid w:val="00BD434D"/>
    <w:rsid w:val="00C00E94"/>
    <w:rsid w:val="00C14C85"/>
    <w:rsid w:val="00C36193"/>
    <w:rsid w:val="00C7469C"/>
    <w:rsid w:val="00C75F19"/>
    <w:rsid w:val="00CA3D9E"/>
    <w:rsid w:val="00CB2D19"/>
    <w:rsid w:val="00CE4397"/>
    <w:rsid w:val="00D0308D"/>
    <w:rsid w:val="00D12C1E"/>
    <w:rsid w:val="00D204A7"/>
    <w:rsid w:val="00D43A06"/>
    <w:rsid w:val="00D46D22"/>
    <w:rsid w:val="00D777DA"/>
    <w:rsid w:val="00D801E2"/>
    <w:rsid w:val="00DA0752"/>
    <w:rsid w:val="00DC5475"/>
    <w:rsid w:val="00DE3101"/>
    <w:rsid w:val="00E024BC"/>
    <w:rsid w:val="00E1159A"/>
    <w:rsid w:val="00E12516"/>
    <w:rsid w:val="00E16780"/>
    <w:rsid w:val="00E3162D"/>
    <w:rsid w:val="00E46A0B"/>
    <w:rsid w:val="00E4764E"/>
    <w:rsid w:val="00E62CAF"/>
    <w:rsid w:val="00E82AEB"/>
    <w:rsid w:val="00E917B7"/>
    <w:rsid w:val="00EA3403"/>
    <w:rsid w:val="00EA42C3"/>
    <w:rsid w:val="00EB4A8C"/>
    <w:rsid w:val="00EC5272"/>
    <w:rsid w:val="00ED1CB3"/>
    <w:rsid w:val="00EE0292"/>
    <w:rsid w:val="00EF501B"/>
    <w:rsid w:val="00EF5C33"/>
    <w:rsid w:val="00F11BFE"/>
    <w:rsid w:val="00F21088"/>
    <w:rsid w:val="00F243A4"/>
    <w:rsid w:val="00F273FF"/>
    <w:rsid w:val="00F33093"/>
    <w:rsid w:val="00F4300A"/>
    <w:rsid w:val="00F5193A"/>
    <w:rsid w:val="00F635E2"/>
    <w:rsid w:val="00F7764A"/>
    <w:rsid w:val="00F922B2"/>
    <w:rsid w:val="00F932A4"/>
    <w:rsid w:val="00FA54A4"/>
    <w:rsid w:val="00FB65F8"/>
    <w:rsid w:val="00FD533F"/>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paragraph">
    <w:name w:val="paragraph"/>
    <w:basedOn w:val="Normal"/>
    <w:rsid w:val="00110E69"/>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110E69"/>
  </w:style>
  <w:style w:type="character" w:customStyle="1" w:styleId="eop">
    <w:name w:val="eop"/>
    <w:basedOn w:val="DefaultParagraphFont"/>
    <w:rsid w:val="00110E69"/>
  </w:style>
  <w:style w:type="table" w:styleId="TableGridLight">
    <w:name w:val="Grid Table Light"/>
    <w:basedOn w:val="TableNormal"/>
    <w:uiPriority w:val="40"/>
    <w:rsid w:val="00B938B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92381">
      <w:bodyDiv w:val="1"/>
      <w:marLeft w:val="0"/>
      <w:marRight w:val="0"/>
      <w:marTop w:val="0"/>
      <w:marBottom w:val="0"/>
      <w:divBdr>
        <w:top w:val="none" w:sz="0" w:space="0" w:color="auto"/>
        <w:left w:val="none" w:sz="0" w:space="0" w:color="auto"/>
        <w:bottom w:val="none" w:sz="0" w:space="0" w:color="auto"/>
        <w:right w:val="none" w:sz="0" w:space="0" w:color="auto"/>
      </w:divBdr>
      <w:divsChild>
        <w:div w:id="468866750">
          <w:marLeft w:val="0"/>
          <w:marRight w:val="0"/>
          <w:marTop w:val="0"/>
          <w:marBottom w:val="0"/>
          <w:divBdr>
            <w:top w:val="none" w:sz="0" w:space="0" w:color="auto"/>
            <w:left w:val="none" w:sz="0" w:space="0" w:color="auto"/>
            <w:bottom w:val="none" w:sz="0" w:space="0" w:color="auto"/>
            <w:right w:val="none" w:sz="0" w:space="0" w:color="auto"/>
          </w:divBdr>
        </w:div>
        <w:div w:id="1223520691">
          <w:marLeft w:val="0"/>
          <w:marRight w:val="0"/>
          <w:marTop w:val="0"/>
          <w:marBottom w:val="0"/>
          <w:divBdr>
            <w:top w:val="none" w:sz="0" w:space="0" w:color="auto"/>
            <w:left w:val="none" w:sz="0" w:space="0" w:color="auto"/>
            <w:bottom w:val="none" w:sz="0" w:space="0" w:color="auto"/>
            <w:right w:val="none" w:sz="0" w:space="0" w:color="auto"/>
          </w:divBdr>
        </w:div>
        <w:div w:id="145586401">
          <w:marLeft w:val="0"/>
          <w:marRight w:val="0"/>
          <w:marTop w:val="0"/>
          <w:marBottom w:val="0"/>
          <w:divBdr>
            <w:top w:val="none" w:sz="0" w:space="0" w:color="auto"/>
            <w:left w:val="none" w:sz="0" w:space="0" w:color="auto"/>
            <w:bottom w:val="none" w:sz="0" w:space="0" w:color="auto"/>
            <w:right w:val="none" w:sz="0" w:space="0" w:color="auto"/>
          </w:divBdr>
        </w:div>
        <w:div w:id="1884708905">
          <w:marLeft w:val="0"/>
          <w:marRight w:val="0"/>
          <w:marTop w:val="0"/>
          <w:marBottom w:val="0"/>
          <w:divBdr>
            <w:top w:val="none" w:sz="0" w:space="0" w:color="auto"/>
            <w:left w:val="none" w:sz="0" w:space="0" w:color="auto"/>
            <w:bottom w:val="none" w:sz="0" w:space="0" w:color="auto"/>
            <w:right w:val="none" w:sz="0" w:space="0" w:color="auto"/>
          </w:divBdr>
        </w:div>
      </w:divsChild>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863398252">
      <w:bodyDiv w:val="1"/>
      <w:marLeft w:val="0"/>
      <w:marRight w:val="0"/>
      <w:marTop w:val="0"/>
      <w:marBottom w:val="0"/>
      <w:divBdr>
        <w:top w:val="none" w:sz="0" w:space="0" w:color="auto"/>
        <w:left w:val="none" w:sz="0" w:space="0" w:color="auto"/>
        <w:bottom w:val="none" w:sz="0" w:space="0" w:color="auto"/>
        <w:right w:val="none" w:sz="0" w:space="0" w:color="auto"/>
      </w:divBdr>
      <w:divsChild>
        <w:div w:id="2068217193">
          <w:marLeft w:val="0"/>
          <w:marRight w:val="0"/>
          <w:marTop w:val="0"/>
          <w:marBottom w:val="0"/>
          <w:divBdr>
            <w:top w:val="none" w:sz="0" w:space="0" w:color="auto"/>
            <w:left w:val="none" w:sz="0" w:space="0" w:color="auto"/>
            <w:bottom w:val="none" w:sz="0" w:space="0" w:color="auto"/>
            <w:right w:val="none" w:sz="0" w:space="0" w:color="auto"/>
          </w:divBdr>
        </w:div>
        <w:div w:id="1202285502">
          <w:marLeft w:val="0"/>
          <w:marRight w:val="0"/>
          <w:marTop w:val="0"/>
          <w:marBottom w:val="0"/>
          <w:divBdr>
            <w:top w:val="none" w:sz="0" w:space="0" w:color="auto"/>
            <w:left w:val="none" w:sz="0" w:space="0" w:color="auto"/>
            <w:bottom w:val="none" w:sz="0" w:space="0" w:color="auto"/>
            <w:right w:val="none" w:sz="0" w:space="0" w:color="auto"/>
          </w:divBdr>
        </w:div>
        <w:div w:id="1913346751">
          <w:marLeft w:val="0"/>
          <w:marRight w:val="0"/>
          <w:marTop w:val="0"/>
          <w:marBottom w:val="0"/>
          <w:divBdr>
            <w:top w:val="none" w:sz="0" w:space="0" w:color="auto"/>
            <w:left w:val="none" w:sz="0" w:space="0" w:color="auto"/>
            <w:bottom w:val="none" w:sz="0" w:space="0" w:color="auto"/>
            <w:right w:val="none" w:sz="0" w:space="0" w:color="auto"/>
          </w:divBdr>
        </w:div>
        <w:div w:id="1983458255">
          <w:marLeft w:val="0"/>
          <w:marRight w:val="0"/>
          <w:marTop w:val="0"/>
          <w:marBottom w:val="0"/>
          <w:divBdr>
            <w:top w:val="none" w:sz="0" w:space="0" w:color="auto"/>
            <w:left w:val="none" w:sz="0" w:space="0" w:color="auto"/>
            <w:bottom w:val="none" w:sz="0" w:space="0" w:color="auto"/>
            <w:right w:val="none" w:sz="0" w:space="0" w:color="auto"/>
          </w:divBdr>
        </w:div>
      </w:divsChild>
    </w:div>
    <w:div w:id="1453982491">
      <w:bodyDiv w:val="1"/>
      <w:marLeft w:val="0"/>
      <w:marRight w:val="0"/>
      <w:marTop w:val="0"/>
      <w:marBottom w:val="0"/>
      <w:divBdr>
        <w:top w:val="none" w:sz="0" w:space="0" w:color="auto"/>
        <w:left w:val="none" w:sz="0" w:space="0" w:color="auto"/>
        <w:bottom w:val="none" w:sz="0" w:space="0" w:color="auto"/>
        <w:right w:val="none" w:sz="0" w:space="0" w:color="auto"/>
      </w:divBdr>
      <w:divsChild>
        <w:div w:id="1729838024">
          <w:marLeft w:val="0"/>
          <w:marRight w:val="0"/>
          <w:marTop w:val="0"/>
          <w:marBottom w:val="0"/>
          <w:divBdr>
            <w:top w:val="none" w:sz="0" w:space="0" w:color="auto"/>
            <w:left w:val="none" w:sz="0" w:space="0" w:color="auto"/>
            <w:bottom w:val="none" w:sz="0" w:space="0" w:color="auto"/>
            <w:right w:val="none" w:sz="0" w:space="0" w:color="auto"/>
          </w:divBdr>
        </w:div>
        <w:div w:id="1938828427">
          <w:marLeft w:val="0"/>
          <w:marRight w:val="0"/>
          <w:marTop w:val="0"/>
          <w:marBottom w:val="0"/>
          <w:divBdr>
            <w:top w:val="none" w:sz="0" w:space="0" w:color="auto"/>
            <w:left w:val="none" w:sz="0" w:space="0" w:color="auto"/>
            <w:bottom w:val="none" w:sz="0" w:space="0" w:color="auto"/>
            <w:right w:val="none" w:sz="0" w:space="0" w:color="auto"/>
          </w:divBdr>
        </w:div>
        <w:div w:id="1794056476">
          <w:marLeft w:val="0"/>
          <w:marRight w:val="0"/>
          <w:marTop w:val="0"/>
          <w:marBottom w:val="0"/>
          <w:divBdr>
            <w:top w:val="none" w:sz="0" w:space="0" w:color="auto"/>
            <w:left w:val="none" w:sz="0" w:space="0" w:color="auto"/>
            <w:bottom w:val="none" w:sz="0" w:space="0" w:color="auto"/>
            <w:right w:val="none" w:sz="0" w:space="0" w:color="auto"/>
          </w:divBdr>
        </w:div>
        <w:div w:id="1270352455">
          <w:marLeft w:val="0"/>
          <w:marRight w:val="0"/>
          <w:marTop w:val="0"/>
          <w:marBottom w:val="0"/>
          <w:divBdr>
            <w:top w:val="none" w:sz="0" w:space="0" w:color="auto"/>
            <w:left w:val="none" w:sz="0" w:space="0" w:color="auto"/>
            <w:bottom w:val="none" w:sz="0" w:space="0" w:color="auto"/>
            <w:right w:val="none" w:sz="0" w:space="0" w:color="auto"/>
          </w:divBdr>
        </w:div>
      </w:divsChild>
    </w:div>
    <w:div w:id="1603949077">
      <w:bodyDiv w:val="1"/>
      <w:marLeft w:val="0"/>
      <w:marRight w:val="0"/>
      <w:marTop w:val="0"/>
      <w:marBottom w:val="0"/>
      <w:divBdr>
        <w:top w:val="none" w:sz="0" w:space="0" w:color="auto"/>
        <w:left w:val="none" w:sz="0" w:space="0" w:color="auto"/>
        <w:bottom w:val="none" w:sz="0" w:space="0" w:color="auto"/>
        <w:right w:val="none" w:sz="0" w:space="0" w:color="auto"/>
      </w:divBdr>
      <w:divsChild>
        <w:div w:id="437019470">
          <w:marLeft w:val="0"/>
          <w:marRight w:val="0"/>
          <w:marTop w:val="0"/>
          <w:marBottom w:val="0"/>
          <w:divBdr>
            <w:top w:val="none" w:sz="0" w:space="0" w:color="auto"/>
            <w:left w:val="none" w:sz="0" w:space="0" w:color="auto"/>
            <w:bottom w:val="none" w:sz="0" w:space="0" w:color="auto"/>
            <w:right w:val="none" w:sz="0" w:space="0" w:color="auto"/>
          </w:divBdr>
        </w:div>
        <w:div w:id="1493136839">
          <w:marLeft w:val="0"/>
          <w:marRight w:val="0"/>
          <w:marTop w:val="0"/>
          <w:marBottom w:val="0"/>
          <w:divBdr>
            <w:top w:val="none" w:sz="0" w:space="0" w:color="auto"/>
            <w:left w:val="none" w:sz="0" w:space="0" w:color="auto"/>
            <w:bottom w:val="none" w:sz="0" w:space="0" w:color="auto"/>
            <w:right w:val="none" w:sz="0" w:space="0" w:color="auto"/>
          </w:divBdr>
        </w:div>
        <w:div w:id="149948402">
          <w:marLeft w:val="0"/>
          <w:marRight w:val="0"/>
          <w:marTop w:val="0"/>
          <w:marBottom w:val="0"/>
          <w:divBdr>
            <w:top w:val="none" w:sz="0" w:space="0" w:color="auto"/>
            <w:left w:val="none" w:sz="0" w:space="0" w:color="auto"/>
            <w:bottom w:val="none" w:sz="0" w:space="0" w:color="auto"/>
            <w:right w:val="none" w:sz="0" w:space="0" w:color="auto"/>
          </w:divBdr>
        </w:div>
        <w:div w:id="1324089629">
          <w:marLeft w:val="0"/>
          <w:marRight w:val="0"/>
          <w:marTop w:val="0"/>
          <w:marBottom w:val="0"/>
          <w:divBdr>
            <w:top w:val="none" w:sz="0" w:space="0" w:color="auto"/>
            <w:left w:val="none" w:sz="0" w:space="0" w:color="auto"/>
            <w:bottom w:val="none" w:sz="0" w:space="0" w:color="auto"/>
            <w:right w:val="none" w:sz="0" w:space="0" w:color="auto"/>
          </w:divBdr>
        </w:div>
        <w:div w:id="733629284">
          <w:marLeft w:val="0"/>
          <w:marRight w:val="0"/>
          <w:marTop w:val="0"/>
          <w:marBottom w:val="0"/>
          <w:divBdr>
            <w:top w:val="none" w:sz="0" w:space="0" w:color="auto"/>
            <w:left w:val="none" w:sz="0" w:space="0" w:color="auto"/>
            <w:bottom w:val="none" w:sz="0" w:space="0" w:color="auto"/>
            <w:right w:val="none" w:sz="0" w:space="0" w:color="auto"/>
          </w:divBdr>
        </w:div>
      </w:divsChild>
    </w:div>
    <w:div w:id="1905949972">
      <w:bodyDiv w:val="1"/>
      <w:marLeft w:val="0"/>
      <w:marRight w:val="0"/>
      <w:marTop w:val="0"/>
      <w:marBottom w:val="0"/>
      <w:divBdr>
        <w:top w:val="none" w:sz="0" w:space="0" w:color="auto"/>
        <w:left w:val="none" w:sz="0" w:space="0" w:color="auto"/>
        <w:bottom w:val="none" w:sz="0" w:space="0" w:color="auto"/>
        <w:right w:val="none" w:sz="0" w:space="0" w:color="auto"/>
      </w:divBdr>
      <w:divsChild>
        <w:div w:id="1424448640">
          <w:marLeft w:val="0"/>
          <w:marRight w:val="0"/>
          <w:marTop w:val="0"/>
          <w:marBottom w:val="0"/>
          <w:divBdr>
            <w:top w:val="none" w:sz="0" w:space="0" w:color="auto"/>
            <w:left w:val="none" w:sz="0" w:space="0" w:color="auto"/>
            <w:bottom w:val="none" w:sz="0" w:space="0" w:color="auto"/>
            <w:right w:val="none" w:sz="0" w:space="0" w:color="auto"/>
          </w:divBdr>
        </w:div>
        <w:div w:id="790365045">
          <w:marLeft w:val="0"/>
          <w:marRight w:val="0"/>
          <w:marTop w:val="0"/>
          <w:marBottom w:val="0"/>
          <w:divBdr>
            <w:top w:val="none" w:sz="0" w:space="0" w:color="auto"/>
            <w:left w:val="none" w:sz="0" w:space="0" w:color="auto"/>
            <w:bottom w:val="none" w:sz="0" w:space="0" w:color="auto"/>
            <w:right w:val="none" w:sz="0" w:space="0" w:color="auto"/>
          </w:divBdr>
        </w:div>
        <w:div w:id="383217053">
          <w:marLeft w:val="0"/>
          <w:marRight w:val="0"/>
          <w:marTop w:val="0"/>
          <w:marBottom w:val="0"/>
          <w:divBdr>
            <w:top w:val="none" w:sz="0" w:space="0" w:color="auto"/>
            <w:left w:val="none" w:sz="0" w:space="0" w:color="auto"/>
            <w:bottom w:val="none" w:sz="0" w:space="0" w:color="auto"/>
            <w:right w:val="none" w:sz="0" w:space="0" w:color="auto"/>
          </w:divBdr>
        </w:div>
        <w:div w:id="14627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CE632-806C-4003-8BC6-C4C5905B4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415D3-4E1E-41C7-86D8-A640AE52EE47}">
  <ds:schemaRefs>
    <ds:schemaRef ds:uri="http://schemas.openxmlformats.org/officeDocument/2006/bibliography"/>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2022-10-05T22:07:00Z</dcterms:created>
  <dcterms:modified xsi:type="dcterms:W3CDTF">2022-10-05T22:08:00Z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