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31" w:rsidRDefault="00537031" w:rsidP="00BA1B21">
      <w:pPr>
        <w:jc w:val="center"/>
        <w:rPr>
          <w:rFonts w:ascii="Bookman" w:hAnsi="Bookman"/>
          <w:i/>
          <w:iCs/>
          <w:color w:val="333399"/>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27pt;width:66.75pt;height:81pt;z-index:-251657728;mso-wrap-edited:f">
            <v:imagedata r:id="rId7" o:title=""/>
          </v:shape>
        </w:pict>
      </w:r>
      <w:r>
        <w:rPr>
          <w:rFonts w:ascii="Bookman" w:hAnsi="Bookman"/>
          <w:i/>
          <w:iCs/>
          <w:color w:val="333399"/>
          <w:sz w:val="28"/>
        </w:rPr>
        <w:t xml:space="preserve">The </w:t>
      </w:r>
      <w:smartTag w:uri="urn:schemas-microsoft-com:office:smarttags" w:element="PlaceType">
        <w:smartTag w:uri="urn:schemas-microsoft-com:office:smarttags" w:element="place">
          <w:smartTag w:uri="urn:schemas-microsoft-com:office:smarttags" w:element="PlaceType">
            <w:r>
              <w:rPr>
                <w:rFonts w:ascii="Bookman" w:hAnsi="Bookman"/>
                <w:i/>
                <w:iCs/>
                <w:color w:val="333399"/>
                <w:sz w:val="28"/>
              </w:rPr>
              <w:t>Commonwealth</w:t>
            </w:r>
          </w:smartTag>
          <w:r>
            <w:rPr>
              <w:rFonts w:ascii="Bookman" w:hAnsi="Bookman"/>
              <w:i/>
              <w:iCs/>
              <w:color w:val="333399"/>
              <w:sz w:val="28"/>
            </w:rPr>
            <w:t xml:space="preserve"> of </w:t>
          </w:r>
          <w:smartTag w:uri="urn:schemas-microsoft-com:office:smarttags" w:element="PlaceName">
            <w:r>
              <w:rPr>
                <w:rFonts w:ascii="Bookman" w:hAnsi="Bookman"/>
                <w:i/>
                <w:iCs/>
                <w:color w:val="333399"/>
                <w:sz w:val="28"/>
              </w:rPr>
              <w:t>Massachusetts</w:t>
            </w:r>
          </w:smartTag>
        </w:smartTag>
      </w:smartTag>
    </w:p>
    <w:p w:rsidR="00537031" w:rsidRDefault="00537031" w:rsidP="00BA1B21">
      <w:pPr>
        <w:jc w:val="center"/>
        <w:rPr>
          <w:rFonts w:ascii="Bookman" w:hAnsi="Bookman"/>
          <w:i/>
          <w:iCs/>
          <w:color w:val="333399"/>
          <w:sz w:val="28"/>
        </w:rPr>
      </w:pPr>
      <w:r>
        <w:rPr>
          <w:rFonts w:ascii="Bookman" w:hAnsi="Bookman"/>
          <w:i/>
          <w:iCs/>
          <w:color w:val="333399"/>
          <w:sz w:val="28"/>
        </w:rPr>
        <w:t>Executive Office of Health and Human Services</w:t>
      </w:r>
    </w:p>
    <w:p w:rsidR="00537031" w:rsidRDefault="00537031" w:rsidP="00BA1B21">
      <w:pPr>
        <w:jc w:val="center"/>
        <w:rPr>
          <w:rFonts w:ascii="Bookman" w:hAnsi="Bookman"/>
          <w:i/>
          <w:iCs/>
          <w:color w:val="333399"/>
          <w:sz w:val="28"/>
        </w:rPr>
      </w:pPr>
      <w:smartTag w:uri="urn:schemas-microsoft-com:office:smarttags" w:element="Street">
        <w:smartTag w:uri="urn:schemas-microsoft-com:office:smarttags" w:element="address">
          <w:r>
            <w:rPr>
              <w:rFonts w:ascii="Bookman" w:hAnsi="Bookman"/>
              <w:i/>
              <w:iCs/>
              <w:color w:val="333399"/>
              <w:sz w:val="28"/>
            </w:rPr>
            <w:t>One Ashburton Place</w:t>
          </w:r>
        </w:smartTag>
      </w:smartTag>
      <w:r>
        <w:rPr>
          <w:rFonts w:ascii="Bookman" w:hAnsi="Bookman"/>
          <w:i/>
          <w:iCs/>
          <w:color w:val="333399"/>
          <w:sz w:val="28"/>
        </w:rPr>
        <w:t>, Room 1109</w:t>
      </w:r>
    </w:p>
    <w:p w:rsidR="00537031" w:rsidRPr="00F82206" w:rsidRDefault="00537031" w:rsidP="00BA1B21">
      <w:pPr>
        <w:pStyle w:val="Heading2"/>
      </w:pPr>
      <w:r>
        <w:rPr>
          <w:noProof/>
        </w:rPr>
        <w:pict>
          <v:shapetype id="_x0000_t202" coordsize="21600,21600" o:spt="202" path="m,l,21600r21600,l21600,xe">
            <v:stroke joinstyle="miter"/>
            <v:path gradientshapeok="t" o:connecttype="rect"/>
          </v:shapetype>
          <v:shape id="_x0000_s1027" type="#_x0000_t202" style="position:absolute;left:0;text-align:left;margin-left:-27.5pt;margin-top:15.4pt;width:110pt;height:81pt;z-index:-251659776;mso-wrap-edited:f" filled="f" stroked="f">
            <v:textbox style="mso-next-textbox:#_x0000_s1027">
              <w:txbxContent>
                <w:p w:rsidR="00537031" w:rsidRDefault="00537031" w:rsidP="00BA1B21">
                  <w:pPr>
                    <w:jc w:val="center"/>
                    <w:rPr>
                      <w:rFonts w:ascii="Bookman" w:hAnsi="Bookman"/>
                      <w:color w:val="333399"/>
                      <w:sz w:val="16"/>
                    </w:rPr>
                  </w:pPr>
                  <w:r>
                    <w:rPr>
                      <w:sz w:val="16"/>
                    </w:rPr>
                    <w:t>DEVAL L. PATRICK</w:t>
                  </w:r>
                </w:p>
                <w:p w:rsidR="00537031" w:rsidRDefault="00537031" w:rsidP="00BA1B21">
                  <w:pPr>
                    <w:jc w:val="center"/>
                    <w:rPr>
                      <w:rFonts w:ascii="Bookman" w:hAnsi="Bookman"/>
                      <w:color w:val="333399"/>
                      <w:sz w:val="16"/>
                    </w:rPr>
                  </w:pPr>
                  <w:r>
                    <w:rPr>
                      <w:i/>
                      <w:iCs/>
                      <w:sz w:val="16"/>
                    </w:rPr>
                    <w:t>Governor</w:t>
                  </w:r>
                </w:p>
                <w:p w:rsidR="00537031" w:rsidRPr="00393EBD" w:rsidRDefault="00537031" w:rsidP="00BA1B21">
                  <w:pPr>
                    <w:rPr>
                      <w:rFonts w:ascii="Bookman" w:hAnsi="Bookman"/>
                      <w:color w:val="333399"/>
                      <w:sz w:val="16"/>
                      <w:szCs w:val="16"/>
                    </w:rPr>
                  </w:pPr>
                </w:p>
                <w:p w:rsidR="00537031" w:rsidRDefault="00537031" w:rsidP="00BA1B21">
                  <w:pPr>
                    <w:jc w:val="center"/>
                    <w:rPr>
                      <w:rFonts w:ascii="Bookman" w:hAnsi="Bookman"/>
                      <w:color w:val="333399"/>
                      <w:sz w:val="16"/>
                    </w:rPr>
                  </w:pPr>
                  <w:r w:rsidRPr="00E14BB9">
                    <w:rPr>
                      <w:rFonts w:ascii="Bookman" w:hAnsi="Bookman"/>
                      <w:color w:val="333399"/>
                      <w:sz w:val="16"/>
                    </w:rPr>
                    <w:t>J</w:t>
                  </w:r>
                  <w:r>
                    <w:rPr>
                      <w:rFonts w:ascii="Bookman" w:hAnsi="Bookman"/>
                      <w:color w:val="333399"/>
                      <w:sz w:val="16"/>
                    </w:rPr>
                    <w:t>OHN POLANOWICZ</w:t>
                  </w:r>
                  <w:r w:rsidRPr="00E14BB9">
                    <w:rPr>
                      <w:rFonts w:ascii="Bookman" w:hAnsi="Bookman"/>
                      <w:color w:val="333399"/>
                      <w:sz w:val="16"/>
                    </w:rPr>
                    <w:t>.</w:t>
                  </w:r>
                </w:p>
                <w:p w:rsidR="00537031" w:rsidRDefault="00537031" w:rsidP="00BA1B21">
                  <w:pPr>
                    <w:jc w:val="center"/>
                    <w:rPr>
                      <w:rFonts w:ascii="Bookman" w:hAnsi="Bookman"/>
                      <w:color w:val="333399"/>
                      <w:sz w:val="16"/>
                    </w:rPr>
                  </w:pPr>
                  <w:r>
                    <w:rPr>
                      <w:rFonts w:ascii="Bookman" w:hAnsi="Bookman"/>
                      <w:color w:val="333399"/>
                      <w:sz w:val="16"/>
                    </w:rPr>
                    <w:t>Secretary</w:t>
                  </w:r>
                </w:p>
              </w:txbxContent>
            </v:textbox>
          </v:shape>
        </w:pict>
      </w:r>
      <w:smartTag w:uri="urn:schemas-microsoft-com:office:smarttags" w:element="place">
        <w:smartTag w:uri="urn:schemas-microsoft-com:office:smarttags" w:element="City">
          <w:r>
            <w:t>Boston</w:t>
          </w:r>
        </w:smartTag>
        <w:r>
          <w:t xml:space="preserve">, </w:t>
        </w:r>
        <w:smartTag w:uri="urn:schemas-microsoft-com:office:smarttags" w:element="PostalCode">
          <w:smartTag w:uri="urn:schemas-microsoft-com:office:smarttags" w:element="State">
            <w:r>
              <w:t>MA</w:t>
            </w:r>
          </w:smartTag>
        </w:smartTag>
        <w:r>
          <w:t xml:space="preserve">  </w:t>
        </w:r>
        <w:smartTag w:uri="urn:schemas-microsoft-com:office:smarttags" w:element="place">
          <w:r>
            <w:t>02108</w:t>
          </w:r>
        </w:smartTag>
      </w:smartTag>
      <w:r>
        <w:t xml:space="preserve"> </w:t>
      </w:r>
    </w:p>
    <w:p w:rsidR="00537031" w:rsidRDefault="00537031" w:rsidP="00BA1B21">
      <w:pPr>
        <w:pStyle w:val="Heading1"/>
        <w:tabs>
          <w:tab w:val="left" w:pos="900"/>
        </w:tabs>
        <w:jc w:val="left"/>
        <w:rPr>
          <w:color w:val="333399"/>
        </w:rPr>
      </w:pPr>
      <w:r>
        <w:rPr>
          <w:noProof/>
        </w:rPr>
        <w:pict>
          <v:shape id="_x0000_s1028" type="#_x0000_t202" style="position:absolute;margin-left:418pt;margin-top:8.55pt;width:115.5pt;height:54pt;z-index:-251658752;mso-wrap-edited:f" filled="f" stroked="f">
            <v:textbox style="mso-next-textbox:#_x0000_s1028">
              <w:txbxContent>
                <w:p w:rsidR="00537031" w:rsidRDefault="00537031" w:rsidP="00BA1B21">
                  <w:pPr>
                    <w:jc w:val="center"/>
                    <w:rPr>
                      <w:rFonts w:ascii="Bookman" w:hAnsi="Bookman"/>
                      <w:color w:val="333399"/>
                      <w:sz w:val="8"/>
                    </w:rPr>
                  </w:pPr>
                </w:p>
                <w:p w:rsidR="00537031" w:rsidRPr="00F82206" w:rsidRDefault="00537031" w:rsidP="00BA1B21">
                  <w:pPr>
                    <w:rPr>
                      <w:rFonts w:ascii="Bookman" w:hAnsi="Bookman"/>
                      <w:color w:val="666699"/>
                      <w:sz w:val="16"/>
                      <w:szCs w:val="16"/>
                    </w:rPr>
                  </w:pPr>
                  <w:r w:rsidRPr="00F82206">
                    <w:rPr>
                      <w:rFonts w:ascii="Bookman" w:hAnsi="Bookman"/>
                      <w:color w:val="666699"/>
                      <w:sz w:val="16"/>
                      <w:szCs w:val="16"/>
                    </w:rPr>
                    <w:t>Tel.:  617-573-1600</w:t>
                  </w:r>
                </w:p>
                <w:p w:rsidR="00537031" w:rsidRPr="00F82206" w:rsidRDefault="00537031" w:rsidP="00BA1B21">
                  <w:pPr>
                    <w:rPr>
                      <w:rFonts w:ascii="Bookman" w:hAnsi="Bookman"/>
                      <w:color w:val="666699"/>
                      <w:sz w:val="16"/>
                      <w:szCs w:val="16"/>
                    </w:rPr>
                  </w:pPr>
                  <w:r w:rsidRPr="00F82206">
                    <w:rPr>
                      <w:rFonts w:ascii="Bookman" w:hAnsi="Bookman"/>
                      <w:color w:val="666699"/>
                      <w:sz w:val="16"/>
                      <w:szCs w:val="16"/>
                    </w:rPr>
                    <w:t>Fax:  617-573-1890</w:t>
                  </w:r>
                </w:p>
                <w:p w:rsidR="00537031" w:rsidRPr="00F82206" w:rsidRDefault="00537031" w:rsidP="00BA1B21">
                  <w:pPr>
                    <w:rPr>
                      <w:rFonts w:ascii="Bookman" w:hAnsi="Bookman"/>
                      <w:color w:val="666699"/>
                      <w:sz w:val="16"/>
                      <w:szCs w:val="16"/>
                    </w:rPr>
                  </w:pPr>
                  <w:r w:rsidRPr="00F82206">
                    <w:rPr>
                      <w:rFonts w:ascii="Bookman" w:hAnsi="Bookman"/>
                      <w:color w:val="666699"/>
                      <w:sz w:val="16"/>
                      <w:szCs w:val="16"/>
                    </w:rPr>
                    <w:t>www.mass.gov/eohhs</w:t>
                  </w:r>
                </w:p>
              </w:txbxContent>
            </v:textbox>
          </v:shape>
        </w:pict>
      </w:r>
    </w:p>
    <w:p w:rsidR="00537031" w:rsidRDefault="00537031" w:rsidP="00BA1B21"/>
    <w:p w:rsidR="00537031" w:rsidRDefault="00537031" w:rsidP="00BA1B21">
      <w:pPr>
        <w:tabs>
          <w:tab w:val="left" w:pos="1110"/>
          <w:tab w:val="left" w:pos="1440"/>
          <w:tab w:val="center" w:pos="4925"/>
        </w:tabs>
        <w:rPr>
          <w:rFonts w:ascii="Bookman" w:hAnsi="Bookman"/>
          <w:sz w:val="16"/>
        </w:rPr>
      </w:pPr>
      <w:r>
        <w:rPr>
          <w:rFonts w:ascii="Bookman" w:hAnsi="Bookman"/>
          <w:sz w:val="16"/>
        </w:rPr>
        <w:tab/>
      </w:r>
      <w:r>
        <w:rPr>
          <w:rFonts w:ascii="Bookman" w:hAnsi="Bookman"/>
          <w:sz w:val="16"/>
        </w:rPr>
        <w:tab/>
      </w:r>
    </w:p>
    <w:p w:rsidR="00537031" w:rsidRDefault="00537031" w:rsidP="00BA1B21">
      <w:pPr>
        <w:rPr>
          <w:rFonts w:ascii="Bookman" w:hAnsi="Bookman"/>
          <w:sz w:val="16"/>
        </w:rPr>
      </w:pPr>
    </w:p>
    <w:p w:rsidR="00537031" w:rsidRDefault="00537031" w:rsidP="00BA1B21">
      <w:pPr>
        <w:jc w:val="center"/>
      </w:pPr>
    </w:p>
    <w:p w:rsidR="00537031" w:rsidRDefault="00537031" w:rsidP="00BA1B21">
      <w:pPr>
        <w:rPr>
          <w:b/>
        </w:rPr>
      </w:pPr>
    </w:p>
    <w:p w:rsidR="00537031" w:rsidRDefault="00537031" w:rsidP="006D02D9">
      <w:pPr>
        <w:jc w:val="center"/>
        <w:rPr>
          <w:b/>
          <w:sz w:val="24"/>
        </w:rPr>
      </w:pPr>
    </w:p>
    <w:p w:rsidR="00537031" w:rsidRDefault="00537031" w:rsidP="006D02D9">
      <w:pPr>
        <w:jc w:val="center"/>
        <w:rPr>
          <w:b/>
          <w:sz w:val="24"/>
        </w:rPr>
      </w:pPr>
    </w:p>
    <w:p w:rsidR="00537031" w:rsidRDefault="00537031" w:rsidP="006D02D9">
      <w:pPr>
        <w:jc w:val="center"/>
        <w:rPr>
          <w:b/>
          <w:sz w:val="24"/>
        </w:rPr>
      </w:pPr>
    </w:p>
    <w:p w:rsidR="00537031" w:rsidRDefault="00537031" w:rsidP="006D02D9">
      <w:pPr>
        <w:jc w:val="center"/>
        <w:rPr>
          <w:b/>
          <w:sz w:val="24"/>
        </w:rPr>
      </w:pPr>
    </w:p>
    <w:p w:rsidR="00537031" w:rsidRDefault="00537031" w:rsidP="006D02D9">
      <w:pPr>
        <w:jc w:val="center"/>
        <w:rPr>
          <w:b/>
          <w:sz w:val="24"/>
        </w:rPr>
      </w:pPr>
    </w:p>
    <w:p w:rsidR="00537031" w:rsidRDefault="00537031" w:rsidP="006D02D9">
      <w:pPr>
        <w:jc w:val="center"/>
        <w:rPr>
          <w:b/>
          <w:sz w:val="24"/>
        </w:rPr>
      </w:pPr>
    </w:p>
    <w:p w:rsidR="00537031" w:rsidRPr="002F5368" w:rsidRDefault="00537031" w:rsidP="006D02D9">
      <w:pPr>
        <w:jc w:val="center"/>
        <w:rPr>
          <w:b/>
          <w:sz w:val="26"/>
          <w:szCs w:val="26"/>
        </w:rPr>
      </w:pPr>
    </w:p>
    <w:p w:rsidR="00537031" w:rsidRPr="002F5368" w:rsidRDefault="00537031" w:rsidP="006D02D9">
      <w:pPr>
        <w:jc w:val="center"/>
        <w:rPr>
          <w:b/>
          <w:sz w:val="24"/>
          <w:szCs w:val="24"/>
        </w:rPr>
      </w:pPr>
      <w:r w:rsidRPr="002F5368">
        <w:rPr>
          <w:b/>
          <w:sz w:val="24"/>
          <w:szCs w:val="24"/>
        </w:rPr>
        <w:t xml:space="preserve">Medication Administration Program (MAP) </w:t>
      </w:r>
    </w:p>
    <w:p w:rsidR="00537031" w:rsidRPr="002F5368" w:rsidRDefault="00537031" w:rsidP="006D02D9">
      <w:pPr>
        <w:jc w:val="center"/>
        <w:rPr>
          <w:sz w:val="24"/>
          <w:szCs w:val="24"/>
        </w:rPr>
      </w:pPr>
      <w:r w:rsidRPr="002F5368">
        <w:rPr>
          <w:b/>
          <w:sz w:val="24"/>
          <w:szCs w:val="24"/>
        </w:rPr>
        <w:t>Advisory</w:t>
      </w:r>
    </w:p>
    <w:p w:rsidR="00537031" w:rsidRPr="00ED4068" w:rsidRDefault="00537031" w:rsidP="006D02D9">
      <w:pPr>
        <w:rPr>
          <w:sz w:val="28"/>
          <w:szCs w:val="28"/>
        </w:rPr>
      </w:pPr>
    </w:p>
    <w:p w:rsidR="00537031" w:rsidRPr="002F5368" w:rsidRDefault="00537031" w:rsidP="006D02D9">
      <w:pPr>
        <w:rPr>
          <w:szCs w:val="22"/>
        </w:rPr>
      </w:pPr>
    </w:p>
    <w:p w:rsidR="00537031" w:rsidRPr="002F5368" w:rsidRDefault="00537031" w:rsidP="006D02D9">
      <w:pPr>
        <w:rPr>
          <w:szCs w:val="22"/>
        </w:rPr>
      </w:pPr>
      <w:r w:rsidRPr="002F5368">
        <w:rPr>
          <w:szCs w:val="22"/>
        </w:rPr>
        <w:t>TO:</w:t>
      </w:r>
      <w:r w:rsidRPr="002F5368">
        <w:rPr>
          <w:szCs w:val="22"/>
        </w:rPr>
        <w:tab/>
      </w:r>
      <w:r w:rsidRPr="002F5368">
        <w:rPr>
          <w:szCs w:val="22"/>
        </w:rPr>
        <w:tab/>
        <w:t>Executive Directors</w:t>
      </w:r>
    </w:p>
    <w:p w:rsidR="00537031" w:rsidRPr="002F5368" w:rsidRDefault="00537031" w:rsidP="006D02D9">
      <w:pPr>
        <w:rPr>
          <w:szCs w:val="22"/>
        </w:rPr>
      </w:pPr>
      <w:r w:rsidRPr="002F5368">
        <w:rPr>
          <w:szCs w:val="22"/>
        </w:rPr>
        <w:tab/>
      </w:r>
      <w:r w:rsidRPr="002F5368">
        <w:rPr>
          <w:szCs w:val="22"/>
        </w:rPr>
        <w:tab/>
      </w:r>
      <w:r w:rsidRPr="002F5368">
        <w:rPr>
          <w:i/>
          <w:szCs w:val="22"/>
        </w:rPr>
        <w:t>Caring Together</w:t>
      </w:r>
      <w:r w:rsidRPr="002F5368">
        <w:rPr>
          <w:szCs w:val="22"/>
        </w:rPr>
        <w:t xml:space="preserve"> Contract Agencies</w:t>
      </w:r>
    </w:p>
    <w:p w:rsidR="00537031" w:rsidRPr="002F5368" w:rsidRDefault="00537031" w:rsidP="006D02D9">
      <w:pPr>
        <w:rPr>
          <w:szCs w:val="22"/>
        </w:rPr>
      </w:pPr>
    </w:p>
    <w:p w:rsidR="00537031" w:rsidRPr="002F5368" w:rsidRDefault="00537031" w:rsidP="006D02D9">
      <w:pPr>
        <w:rPr>
          <w:szCs w:val="22"/>
        </w:rPr>
      </w:pPr>
      <w:r w:rsidRPr="002F5368">
        <w:rPr>
          <w:szCs w:val="22"/>
        </w:rPr>
        <w:t>FROM:</w:t>
      </w:r>
      <w:r w:rsidRPr="002F5368">
        <w:rPr>
          <w:szCs w:val="22"/>
        </w:rPr>
        <w:tab/>
      </w:r>
      <w:r>
        <w:rPr>
          <w:szCs w:val="22"/>
        </w:rPr>
        <w:tab/>
      </w:r>
      <w:r w:rsidRPr="002F5368">
        <w:rPr>
          <w:szCs w:val="22"/>
        </w:rPr>
        <w:t>Walter Polesky</w:t>
      </w:r>
    </w:p>
    <w:p w:rsidR="00537031" w:rsidRPr="002F5368" w:rsidRDefault="00537031" w:rsidP="006D02D9">
      <w:pPr>
        <w:rPr>
          <w:szCs w:val="22"/>
        </w:rPr>
      </w:pPr>
      <w:r w:rsidRPr="002F5368">
        <w:rPr>
          <w:szCs w:val="22"/>
        </w:rPr>
        <w:tab/>
      </w:r>
      <w:r w:rsidRPr="002F5368">
        <w:rPr>
          <w:szCs w:val="22"/>
        </w:rPr>
        <w:tab/>
        <w:t>Director, DMH MAP</w:t>
      </w:r>
    </w:p>
    <w:p w:rsidR="00537031" w:rsidRPr="002F5368" w:rsidRDefault="00537031" w:rsidP="006D02D9">
      <w:pPr>
        <w:rPr>
          <w:szCs w:val="22"/>
        </w:rPr>
      </w:pPr>
      <w:r w:rsidRPr="002F5368">
        <w:rPr>
          <w:szCs w:val="22"/>
        </w:rPr>
        <w:tab/>
      </w:r>
      <w:r w:rsidRPr="002F5368">
        <w:rPr>
          <w:szCs w:val="22"/>
        </w:rPr>
        <w:tab/>
      </w:r>
    </w:p>
    <w:p w:rsidR="00537031" w:rsidRPr="002F5368" w:rsidRDefault="00537031" w:rsidP="006D02D9">
      <w:pPr>
        <w:rPr>
          <w:szCs w:val="22"/>
        </w:rPr>
      </w:pPr>
      <w:r w:rsidRPr="002F5368">
        <w:rPr>
          <w:szCs w:val="22"/>
        </w:rPr>
        <w:tab/>
      </w:r>
      <w:r w:rsidRPr="002F5368">
        <w:rPr>
          <w:szCs w:val="22"/>
        </w:rPr>
        <w:tab/>
        <w:t>Carminda Jimen</w:t>
      </w:r>
      <w:r>
        <w:rPr>
          <w:szCs w:val="22"/>
        </w:rPr>
        <w:t>e</w:t>
      </w:r>
      <w:r w:rsidRPr="002F5368">
        <w:rPr>
          <w:szCs w:val="22"/>
        </w:rPr>
        <w:t>z</w:t>
      </w:r>
    </w:p>
    <w:p w:rsidR="00537031" w:rsidRPr="002F5368" w:rsidRDefault="00537031" w:rsidP="006D02D9">
      <w:pPr>
        <w:rPr>
          <w:szCs w:val="22"/>
        </w:rPr>
      </w:pPr>
      <w:r w:rsidRPr="002F5368">
        <w:rPr>
          <w:szCs w:val="22"/>
        </w:rPr>
        <w:tab/>
      </w:r>
      <w:r w:rsidRPr="002F5368">
        <w:rPr>
          <w:szCs w:val="22"/>
        </w:rPr>
        <w:tab/>
        <w:t>DCF MAP Liason</w:t>
      </w:r>
    </w:p>
    <w:p w:rsidR="00537031" w:rsidRPr="002F5368" w:rsidRDefault="00537031" w:rsidP="006D02D9">
      <w:pPr>
        <w:rPr>
          <w:szCs w:val="22"/>
        </w:rPr>
      </w:pPr>
    </w:p>
    <w:p w:rsidR="00537031" w:rsidRPr="002F5368" w:rsidRDefault="00537031" w:rsidP="006D02D9">
      <w:pPr>
        <w:rPr>
          <w:szCs w:val="22"/>
        </w:rPr>
      </w:pPr>
      <w:r w:rsidRPr="002F5368">
        <w:rPr>
          <w:szCs w:val="22"/>
        </w:rPr>
        <w:t>DATE:</w:t>
      </w:r>
      <w:r w:rsidRPr="002F5368">
        <w:rPr>
          <w:szCs w:val="22"/>
        </w:rPr>
        <w:tab/>
      </w:r>
      <w:r w:rsidRPr="002F5368">
        <w:rPr>
          <w:szCs w:val="22"/>
        </w:rPr>
        <w:tab/>
        <w:t>January 14, 2014</w:t>
      </w:r>
    </w:p>
    <w:p w:rsidR="00537031" w:rsidRPr="002F5368" w:rsidRDefault="00537031" w:rsidP="006D02D9">
      <w:pPr>
        <w:rPr>
          <w:szCs w:val="22"/>
        </w:rPr>
      </w:pPr>
    </w:p>
    <w:p w:rsidR="00537031" w:rsidRPr="002F5368" w:rsidRDefault="00537031" w:rsidP="006D02D9">
      <w:pPr>
        <w:ind w:left="1440" w:hanging="1440"/>
        <w:rPr>
          <w:szCs w:val="22"/>
          <w:u w:val="single"/>
        </w:rPr>
      </w:pPr>
      <w:r w:rsidRPr="002F5368">
        <w:rPr>
          <w:szCs w:val="22"/>
        </w:rPr>
        <w:t>RE:</w:t>
      </w:r>
      <w:r w:rsidRPr="002F5368">
        <w:rPr>
          <w:szCs w:val="22"/>
        </w:rPr>
        <w:tab/>
      </w:r>
      <w:r w:rsidRPr="002F5368">
        <w:rPr>
          <w:szCs w:val="22"/>
          <w:u w:val="single"/>
        </w:rPr>
        <w:t>Protocol for Return of LOA Medication Into DMH/DCF Youth Programs</w:t>
      </w:r>
    </w:p>
    <w:p w:rsidR="00537031" w:rsidRDefault="00537031" w:rsidP="006D02D9">
      <w:pPr>
        <w:rPr>
          <w:sz w:val="24"/>
        </w:rPr>
      </w:pPr>
      <w:r>
        <w:rPr>
          <w:sz w:val="24"/>
          <w:u w:val="single"/>
        </w:rPr>
        <w:tab/>
      </w:r>
      <w:r>
        <w:rPr>
          <w:sz w:val="24"/>
        </w:rPr>
        <w:t>___________________________________________________________</w:t>
      </w:r>
    </w:p>
    <w:p w:rsidR="00537031" w:rsidRPr="00B23468" w:rsidRDefault="00537031" w:rsidP="006D02D9">
      <w:pPr>
        <w:jc w:val="center"/>
        <w:rPr>
          <w:b/>
        </w:rPr>
      </w:pPr>
    </w:p>
    <w:p w:rsidR="00537031" w:rsidRPr="002F5368" w:rsidRDefault="00537031" w:rsidP="006D02D9">
      <w:pPr>
        <w:numPr>
          <w:ilvl w:val="0"/>
          <w:numId w:val="4"/>
        </w:numPr>
        <w:rPr>
          <w:szCs w:val="22"/>
        </w:rPr>
      </w:pPr>
      <w:r w:rsidRPr="002F5368">
        <w:rPr>
          <w:szCs w:val="22"/>
        </w:rPr>
        <w:t>All medication leaving the youth program for a ‘leave of absence’ (LOA) must be supplied by the pharmacy in tamper resistant packaging, e.g., blister/bubble packs, tamper-resistant cassettes, and should be</w:t>
      </w:r>
    </w:p>
    <w:p w:rsidR="00537031" w:rsidRPr="002F5368" w:rsidRDefault="00537031" w:rsidP="006D02D9">
      <w:pPr>
        <w:numPr>
          <w:ilvl w:val="1"/>
          <w:numId w:val="4"/>
        </w:numPr>
        <w:rPr>
          <w:szCs w:val="22"/>
        </w:rPr>
      </w:pPr>
      <w:r w:rsidRPr="002F5368">
        <w:rPr>
          <w:szCs w:val="22"/>
        </w:rPr>
        <w:t>labeled in accordance with MAP policy 10-4(1)(a); and,</w:t>
      </w:r>
    </w:p>
    <w:p w:rsidR="00537031" w:rsidRPr="002F5368" w:rsidRDefault="00537031" w:rsidP="006D02D9">
      <w:pPr>
        <w:numPr>
          <w:ilvl w:val="1"/>
          <w:numId w:val="4"/>
        </w:numPr>
        <w:rPr>
          <w:szCs w:val="22"/>
        </w:rPr>
      </w:pPr>
      <w:r w:rsidRPr="002F5368">
        <w:rPr>
          <w:szCs w:val="22"/>
        </w:rPr>
        <w:t>adhere to MAP policies 11-1, 11-2, and 11-3.</w:t>
      </w:r>
    </w:p>
    <w:p w:rsidR="00537031" w:rsidRPr="002F5368" w:rsidRDefault="00537031" w:rsidP="006D02D9">
      <w:pPr>
        <w:ind w:left="1080"/>
        <w:rPr>
          <w:szCs w:val="22"/>
        </w:rPr>
      </w:pPr>
    </w:p>
    <w:p w:rsidR="00537031" w:rsidRPr="002F5368" w:rsidRDefault="00537031" w:rsidP="006D02D9">
      <w:pPr>
        <w:numPr>
          <w:ilvl w:val="0"/>
          <w:numId w:val="4"/>
        </w:numPr>
        <w:rPr>
          <w:szCs w:val="22"/>
        </w:rPr>
      </w:pPr>
      <w:r w:rsidRPr="002F5368">
        <w:rPr>
          <w:szCs w:val="22"/>
        </w:rPr>
        <w:t>The amount of medication permitted to leave a program under this protocol is limited to a seven-day supply.</w:t>
      </w:r>
    </w:p>
    <w:p w:rsidR="00537031" w:rsidRPr="002F5368" w:rsidRDefault="00537031" w:rsidP="006D02D9">
      <w:pPr>
        <w:ind w:left="1620"/>
        <w:rPr>
          <w:i/>
          <w:szCs w:val="22"/>
        </w:rPr>
      </w:pPr>
    </w:p>
    <w:p w:rsidR="00537031" w:rsidRPr="002F5368" w:rsidRDefault="00537031" w:rsidP="006D02D9">
      <w:pPr>
        <w:ind w:left="720" w:hanging="360"/>
        <w:rPr>
          <w:szCs w:val="22"/>
        </w:rPr>
      </w:pPr>
      <w:r w:rsidRPr="002F5368">
        <w:rPr>
          <w:szCs w:val="22"/>
        </w:rPr>
        <w:t>3.</w:t>
      </w:r>
      <w:r w:rsidRPr="002F5368">
        <w:rPr>
          <w:szCs w:val="22"/>
        </w:rPr>
        <w:tab/>
        <w:t xml:space="preserve">Upon the individual’s return to the program, the original Medication Release Document (MRD) or dated Leave of Absence (LOA) form must be reviewed, regardless of whether or not medication is returned. </w:t>
      </w:r>
    </w:p>
    <w:p w:rsidR="00537031" w:rsidRPr="002F5368" w:rsidRDefault="00537031" w:rsidP="006D02D9">
      <w:pPr>
        <w:numPr>
          <w:ilvl w:val="1"/>
          <w:numId w:val="4"/>
        </w:numPr>
        <w:rPr>
          <w:szCs w:val="22"/>
        </w:rPr>
      </w:pPr>
      <w:r w:rsidRPr="002F5368">
        <w:rPr>
          <w:szCs w:val="22"/>
        </w:rPr>
        <w:t xml:space="preserve">If </w:t>
      </w:r>
      <w:r w:rsidRPr="002F5368">
        <w:rPr>
          <w:szCs w:val="22"/>
          <w:u w:val="single"/>
        </w:rPr>
        <w:t xml:space="preserve">medication </w:t>
      </w:r>
      <w:r w:rsidRPr="002F5368">
        <w:rPr>
          <w:i/>
          <w:szCs w:val="22"/>
          <w:u w:val="single"/>
        </w:rPr>
        <w:t>is</w:t>
      </w:r>
      <w:r w:rsidRPr="002F5368">
        <w:rPr>
          <w:szCs w:val="22"/>
          <w:u w:val="single"/>
        </w:rPr>
        <w:t xml:space="preserve"> returned</w:t>
      </w:r>
      <w:r w:rsidRPr="002F5368">
        <w:rPr>
          <w:szCs w:val="22"/>
        </w:rPr>
        <w:t>, two</w:t>
      </w:r>
      <w:r w:rsidRPr="002F5368">
        <w:rPr>
          <w:b/>
          <w:szCs w:val="22"/>
        </w:rPr>
        <w:t xml:space="preserve"> </w:t>
      </w:r>
      <w:r w:rsidRPr="002F5368">
        <w:rPr>
          <w:szCs w:val="22"/>
        </w:rPr>
        <w:t>MAP Certified staff, one of whom is in a supervisory role, or a Certified staff person and a licensed nurse must</w:t>
      </w:r>
    </w:p>
    <w:p w:rsidR="00537031" w:rsidRPr="002F5368" w:rsidRDefault="00537031" w:rsidP="006D02D9">
      <w:pPr>
        <w:numPr>
          <w:ilvl w:val="2"/>
          <w:numId w:val="4"/>
        </w:numPr>
        <w:rPr>
          <w:szCs w:val="22"/>
        </w:rPr>
      </w:pPr>
      <w:r w:rsidRPr="002F5368">
        <w:rPr>
          <w:szCs w:val="22"/>
        </w:rPr>
        <w:t>attest as to whether or not there is any evidence of tampering to any medication being returned; and,</w:t>
      </w:r>
    </w:p>
    <w:p w:rsidR="00537031" w:rsidRPr="002F5368" w:rsidRDefault="00537031" w:rsidP="006D02D9">
      <w:pPr>
        <w:numPr>
          <w:ilvl w:val="2"/>
          <w:numId w:val="4"/>
        </w:numPr>
        <w:rPr>
          <w:szCs w:val="22"/>
        </w:rPr>
      </w:pPr>
      <w:r w:rsidRPr="002F5368">
        <w:rPr>
          <w:szCs w:val="22"/>
        </w:rPr>
        <w:t>perform a reconciliation count, based upon the amount of medication that left the program, to determine if all medication appears to have been  administered in accordance with the HCP orders while out of the program. The returned medications are then stored according to MAP policy but are not to be used until they have been inspected and approved for use by the Nurse Monitor.</w:t>
      </w:r>
    </w:p>
    <w:p w:rsidR="00537031" w:rsidRPr="002F5368" w:rsidRDefault="00537031" w:rsidP="006D02D9">
      <w:pPr>
        <w:ind w:left="2700"/>
        <w:rPr>
          <w:szCs w:val="22"/>
        </w:rPr>
      </w:pPr>
      <w:r w:rsidRPr="002F5368">
        <w:rPr>
          <w:szCs w:val="22"/>
        </w:rPr>
        <w:t>a. if any discrepancies are found, the Program Director and the program’s Nurse Monitor should be notified immediately for further follow-up</w:t>
      </w:r>
    </w:p>
    <w:p w:rsidR="00537031" w:rsidRPr="002F5368" w:rsidRDefault="00537031" w:rsidP="006D02D9">
      <w:pPr>
        <w:numPr>
          <w:ilvl w:val="1"/>
          <w:numId w:val="4"/>
        </w:numPr>
        <w:rPr>
          <w:szCs w:val="22"/>
        </w:rPr>
      </w:pPr>
      <w:r w:rsidRPr="002F5368">
        <w:rPr>
          <w:szCs w:val="22"/>
        </w:rPr>
        <w:t xml:space="preserve">If </w:t>
      </w:r>
      <w:r w:rsidRPr="002F5368">
        <w:rPr>
          <w:szCs w:val="22"/>
          <w:u w:val="single"/>
        </w:rPr>
        <w:t xml:space="preserve">medication </w:t>
      </w:r>
      <w:r w:rsidRPr="002F5368">
        <w:rPr>
          <w:i/>
          <w:szCs w:val="22"/>
          <w:u w:val="single"/>
        </w:rPr>
        <w:t>is not</w:t>
      </w:r>
      <w:r w:rsidRPr="002F5368">
        <w:rPr>
          <w:szCs w:val="22"/>
          <w:u w:val="single"/>
        </w:rPr>
        <w:t xml:space="preserve"> returned,</w:t>
      </w:r>
      <w:r w:rsidRPr="002F5368">
        <w:rPr>
          <w:szCs w:val="22"/>
        </w:rPr>
        <w:t xml:space="preserve"> two MAP Certified staff, one of whom is in a supervisory role, or a Certified staff person and a licensed nurse must</w:t>
      </w:r>
    </w:p>
    <w:p w:rsidR="00537031" w:rsidRPr="002F5368" w:rsidRDefault="00537031" w:rsidP="006D02D9">
      <w:pPr>
        <w:numPr>
          <w:ilvl w:val="2"/>
          <w:numId w:val="4"/>
        </w:numPr>
        <w:rPr>
          <w:szCs w:val="22"/>
        </w:rPr>
      </w:pPr>
      <w:r w:rsidRPr="002F5368">
        <w:rPr>
          <w:szCs w:val="22"/>
        </w:rPr>
        <w:t>note whether or not there is any discrepancy between the amount of medication that left the program and that which should have been returned based on the HCP order and the length of the individual’s absence from the program.</w:t>
      </w:r>
    </w:p>
    <w:p w:rsidR="00537031" w:rsidRPr="002F5368" w:rsidRDefault="00537031" w:rsidP="006D02D9">
      <w:pPr>
        <w:ind w:left="2700"/>
        <w:rPr>
          <w:szCs w:val="22"/>
        </w:rPr>
      </w:pPr>
      <w:r w:rsidRPr="002F5368">
        <w:rPr>
          <w:szCs w:val="22"/>
        </w:rPr>
        <w:t>a. if any discrepancies are found, the Program Director and the program’s Nurse Monitor should be notified immediately for further follow-up</w:t>
      </w:r>
    </w:p>
    <w:p w:rsidR="00537031" w:rsidRPr="002F5368" w:rsidRDefault="00537031" w:rsidP="006D02D9">
      <w:pPr>
        <w:ind w:left="2160"/>
        <w:rPr>
          <w:szCs w:val="22"/>
        </w:rPr>
      </w:pPr>
    </w:p>
    <w:p w:rsidR="00537031" w:rsidRPr="002F5368" w:rsidRDefault="00537031" w:rsidP="006D02D9">
      <w:pPr>
        <w:numPr>
          <w:ilvl w:val="0"/>
          <w:numId w:val="4"/>
        </w:numPr>
        <w:rPr>
          <w:szCs w:val="22"/>
        </w:rPr>
      </w:pPr>
      <w:r w:rsidRPr="002F5368">
        <w:rPr>
          <w:szCs w:val="22"/>
        </w:rPr>
        <w:t>The original Medication Release Document or LOA form must be reviewed and signed by the program’s Nurse Monitor and any returned medications inspected by the Nurse Monitor. The returned medications can then be made available for use.</w:t>
      </w:r>
    </w:p>
    <w:p w:rsidR="00537031" w:rsidRPr="002F5368" w:rsidRDefault="00537031" w:rsidP="006D02D9">
      <w:pPr>
        <w:numPr>
          <w:ilvl w:val="1"/>
          <w:numId w:val="4"/>
        </w:numPr>
        <w:rPr>
          <w:szCs w:val="22"/>
        </w:rPr>
      </w:pPr>
      <w:r w:rsidRPr="002F5368">
        <w:rPr>
          <w:szCs w:val="22"/>
        </w:rPr>
        <w:t xml:space="preserve">Following the Nurse Monitor review, the original Medication Release Document or LOA form should be filed in individual’s record. </w:t>
      </w:r>
    </w:p>
    <w:p w:rsidR="00537031" w:rsidRPr="002F5368" w:rsidRDefault="00537031" w:rsidP="006D02D9">
      <w:pPr>
        <w:ind w:left="1080"/>
        <w:rPr>
          <w:szCs w:val="22"/>
        </w:rPr>
      </w:pPr>
    </w:p>
    <w:p w:rsidR="00537031" w:rsidRPr="002F5368" w:rsidRDefault="00537031" w:rsidP="006D02D9">
      <w:pPr>
        <w:numPr>
          <w:ilvl w:val="0"/>
          <w:numId w:val="4"/>
        </w:numPr>
        <w:rPr>
          <w:szCs w:val="22"/>
        </w:rPr>
      </w:pPr>
      <w:r w:rsidRPr="002F5368">
        <w:rPr>
          <w:szCs w:val="22"/>
        </w:rPr>
        <w:t>Programs must have in place a LOA policy or protocol, approved by DMH/DCF, that addresses how any discrepancies are addressed administratively and clinically</w:t>
      </w:r>
      <w:r w:rsidRPr="002F5368">
        <w:rPr>
          <w:b/>
          <w:szCs w:val="22"/>
        </w:rPr>
        <w:t>.</w:t>
      </w:r>
    </w:p>
    <w:sectPr w:rsidR="00537031" w:rsidRPr="002F5368" w:rsidSect="000545D9">
      <w:headerReference w:type="default" r:id="rId8"/>
      <w:type w:val="continuous"/>
      <w:pgSz w:w="12240" w:h="15840" w:code="1"/>
      <w:pgMar w:top="720" w:right="1195" w:bottom="720" w:left="1195" w:header="720" w:footer="4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031" w:rsidRDefault="00537031">
      <w:r>
        <w:separator/>
      </w:r>
    </w:p>
  </w:endnote>
  <w:endnote w:type="continuationSeparator" w:id="0">
    <w:p w:rsidR="00537031" w:rsidRDefault="00537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031" w:rsidRDefault="00537031">
      <w:r>
        <w:separator/>
      </w:r>
    </w:p>
  </w:footnote>
  <w:footnote w:type="continuationSeparator" w:id="0">
    <w:p w:rsidR="00537031" w:rsidRDefault="00537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31" w:rsidRDefault="00537031" w:rsidP="005E3543">
    <w:pPr>
      <w:rPr>
        <w:b/>
      </w:rPr>
    </w:pPr>
    <w:r w:rsidRPr="00607278">
      <w:rPr>
        <w:highlight w:val="yellow"/>
      </w:rPr>
      <w:t>&lt;Name&gt;</w:t>
    </w:r>
  </w:p>
  <w:p w:rsidR="00537031" w:rsidRPr="009B4EA7" w:rsidRDefault="00537031" w:rsidP="005E3543">
    <w:r w:rsidRPr="0018217A">
      <w:rPr>
        <w:highlight w:val="yellow"/>
      </w:rPr>
      <w:t xml:space="preserve"> __, 2013</w:t>
    </w:r>
  </w:p>
  <w:p w:rsidR="00537031" w:rsidRPr="009B4EA7" w:rsidRDefault="00537031" w:rsidP="005E3543">
    <w:r w:rsidRPr="009B4EA7">
      <w:t>Page</w:t>
    </w:r>
    <w:r>
      <w:t xml:space="preserve"> 3</w:t>
    </w:r>
  </w:p>
  <w:p w:rsidR="00537031" w:rsidRDefault="00537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472E9"/>
    <w:multiLevelType w:val="hybridMultilevel"/>
    <w:tmpl w:val="6F42B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09077F1"/>
    <w:multiLevelType w:val="hybridMultilevel"/>
    <w:tmpl w:val="6774492C"/>
    <w:lvl w:ilvl="0" w:tplc="0F62979E">
      <w:start w:val="1"/>
      <w:numFmt w:val="bullet"/>
      <w:lvlText w:val=""/>
      <w:lvlJc w:val="left"/>
      <w:pPr>
        <w:tabs>
          <w:tab w:val="num" w:pos="7794"/>
        </w:tabs>
        <w:ind w:left="7866" w:hanging="1026"/>
      </w:pPr>
      <w:rPr>
        <w:rFonts w:ascii="Symbol" w:hAnsi="Symbol" w:hint="default"/>
        <w:b w:val="0"/>
        <w:i w:val="0"/>
        <w:sz w:val="22"/>
      </w:rPr>
    </w:lvl>
    <w:lvl w:ilvl="1" w:tplc="0F62979E">
      <w:start w:val="1"/>
      <w:numFmt w:val="bullet"/>
      <w:lvlText w:val=""/>
      <w:lvlJc w:val="left"/>
      <w:pPr>
        <w:tabs>
          <w:tab w:val="num" w:pos="1284"/>
        </w:tabs>
        <w:ind w:left="1356" w:hanging="1026"/>
      </w:pPr>
      <w:rPr>
        <w:rFonts w:ascii="Symbol" w:hAnsi="Symbo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1A8678A"/>
    <w:multiLevelType w:val="hybridMultilevel"/>
    <w:tmpl w:val="E4F8A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E723AE"/>
    <w:multiLevelType w:val="hybridMultilevel"/>
    <w:tmpl w:val="E0720322"/>
    <w:lvl w:ilvl="0" w:tplc="E9C6E002">
      <w:start w:val="1"/>
      <w:numFmt w:val="decimal"/>
      <w:lvlText w:val="%1."/>
      <w:lvlJc w:val="left"/>
      <w:pPr>
        <w:tabs>
          <w:tab w:val="num" w:pos="720"/>
        </w:tabs>
        <w:ind w:left="720" w:hanging="360"/>
      </w:pPr>
      <w:rPr>
        <w:rFonts w:cs="Times New Roman" w:hint="default"/>
        <w:i w:val="0"/>
        <w:effect w:val="none"/>
      </w:rPr>
    </w:lvl>
    <w:lvl w:ilvl="1" w:tplc="A208AB94">
      <w:start w:val="1"/>
      <w:numFmt w:val="lowerLetter"/>
      <w:lvlText w:val="%2."/>
      <w:lvlJc w:val="left"/>
      <w:pPr>
        <w:tabs>
          <w:tab w:val="num" w:pos="1440"/>
        </w:tabs>
        <w:ind w:left="1440" w:hanging="360"/>
      </w:pPr>
      <w:rPr>
        <w:rFonts w:cs="Times New Roman" w:hint="default"/>
        <w:i w:val="0"/>
      </w:rPr>
    </w:lvl>
    <w:lvl w:ilvl="2" w:tplc="04090013">
      <w:start w:val="1"/>
      <w:numFmt w:val="upperRoman"/>
      <w:lvlText w:val="%3."/>
      <w:lvlJc w:val="right"/>
      <w:pPr>
        <w:tabs>
          <w:tab w:val="num" w:pos="2160"/>
        </w:tabs>
        <w:ind w:left="2160" w:hanging="180"/>
      </w:pPr>
      <w:rPr>
        <w:rFonts w:cs="Times New Roman" w:hint="default"/>
        <w:i w:val="0"/>
        <w:effect w:val="none"/>
      </w:rPr>
    </w:lvl>
    <w:lvl w:ilvl="3" w:tplc="0409000F">
      <w:start w:val="1"/>
      <w:numFmt w:val="decimal"/>
      <w:lvlText w:val="%4."/>
      <w:lvlJc w:val="left"/>
      <w:pPr>
        <w:tabs>
          <w:tab w:val="num" w:pos="2880"/>
        </w:tabs>
        <w:ind w:left="2880" w:hanging="360"/>
      </w:pPr>
      <w:rPr>
        <w:rFonts w:cs="Times New Roman" w:hint="default"/>
        <w:effect w:val="none"/>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5"/>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B21"/>
    <w:rsid w:val="000418CE"/>
    <w:rsid w:val="000545D9"/>
    <w:rsid w:val="000C1D98"/>
    <w:rsid w:val="000C481E"/>
    <w:rsid w:val="0013012A"/>
    <w:rsid w:val="0018217A"/>
    <w:rsid w:val="001A21E5"/>
    <w:rsid w:val="001B1DDC"/>
    <w:rsid w:val="002F5368"/>
    <w:rsid w:val="00393EBD"/>
    <w:rsid w:val="00537031"/>
    <w:rsid w:val="00595086"/>
    <w:rsid w:val="005E3543"/>
    <w:rsid w:val="00607278"/>
    <w:rsid w:val="006D02D9"/>
    <w:rsid w:val="00806154"/>
    <w:rsid w:val="00807841"/>
    <w:rsid w:val="00870779"/>
    <w:rsid w:val="008B466D"/>
    <w:rsid w:val="009B4EA7"/>
    <w:rsid w:val="009F08CB"/>
    <w:rsid w:val="00A072ED"/>
    <w:rsid w:val="00A65C12"/>
    <w:rsid w:val="00B04201"/>
    <w:rsid w:val="00B11D63"/>
    <w:rsid w:val="00B23468"/>
    <w:rsid w:val="00B77A64"/>
    <w:rsid w:val="00BA1B21"/>
    <w:rsid w:val="00CF4B02"/>
    <w:rsid w:val="00DD5767"/>
    <w:rsid w:val="00E12398"/>
    <w:rsid w:val="00E14BB9"/>
    <w:rsid w:val="00E179B7"/>
    <w:rsid w:val="00ED4068"/>
    <w:rsid w:val="00EE62BD"/>
    <w:rsid w:val="00F611D6"/>
    <w:rsid w:val="00F82206"/>
    <w:rsid w:val="00FF14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21"/>
    <w:rPr>
      <w:rFonts w:ascii="Arial" w:hAnsi="Arial" w:cs="Arial"/>
      <w:szCs w:val="20"/>
    </w:rPr>
  </w:style>
  <w:style w:type="paragraph" w:styleId="Heading1">
    <w:name w:val="heading 1"/>
    <w:basedOn w:val="Normal"/>
    <w:next w:val="Normal"/>
    <w:link w:val="Heading1Char"/>
    <w:uiPriority w:val="99"/>
    <w:qFormat/>
    <w:rsid w:val="00BA1B21"/>
    <w:pPr>
      <w:keepNext/>
      <w:jc w:val="center"/>
      <w:outlineLvl w:val="0"/>
    </w:pPr>
    <w:rPr>
      <w:rFonts w:ascii="Bookman" w:hAnsi="Bookman"/>
      <w:i/>
      <w:iCs/>
      <w:sz w:val="28"/>
    </w:rPr>
  </w:style>
  <w:style w:type="paragraph" w:styleId="Heading2">
    <w:name w:val="heading 2"/>
    <w:basedOn w:val="Normal"/>
    <w:next w:val="Normal"/>
    <w:link w:val="Heading2Char"/>
    <w:uiPriority w:val="99"/>
    <w:qFormat/>
    <w:rsid w:val="00BA1B21"/>
    <w:pPr>
      <w:keepNext/>
      <w:jc w:val="center"/>
      <w:outlineLvl w:val="1"/>
    </w:pPr>
    <w:rPr>
      <w:rFonts w:ascii="Bookman" w:hAnsi="Bookman"/>
      <w:i/>
      <w:iCs/>
      <w:color w:val="333399"/>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5EF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BA1B21"/>
    <w:pPr>
      <w:tabs>
        <w:tab w:val="center" w:pos="4320"/>
        <w:tab w:val="right" w:pos="8640"/>
      </w:tabs>
    </w:pPr>
  </w:style>
  <w:style w:type="character" w:customStyle="1" w:styleId="HeaderChar">
    <w:name w:val="Header Char"/>
    <w:basedOn w:val="DefaultParagraphFont"/>
    <w:link w:val="Header"/>
    <w:uiPriority w:val="99"/>
    <w:semiHidden/>
    <w:rsid w:val="00DE5EF2"/>
    <w:rPr>
      <w:rFonts w:ascii="Arial" w:hAnsi="Arial" w:cs="Arial"/>
      <w:szCs w:val="20"/>
    </w:rPr>
  </w:style>
  <w:style w:type="paragraph" w:styleId="Footer">
    <w:name w:val="footer"/>
    <w:basedOn w:val="Normal"/>
    <w:link w:val="FooterChar"/>
    <w:uiPriority w:val="99"/>
    <w:rsid w:val="00B11D63"/>
    <w:pPr>
      <w:tabs>
        <w:tab w:val="center" w:pos="4680"/>
        <w:tab w:val="right" w:pos="9360"/>
      </w:tabs>
    </w:pPr>
    <w:rPr>
      <w:rFonts w:cs="Times New Roman"/>
    </w:rPr>
  </w:style>
  <w:style w:type="character" w:customStyle="1" w:styleId="FooterChar">
    <w:name w:val="Footer Char"/>
    <w:basedOn w:val="DefaultParagraphFont"/>
    <w:link w:val="Footer"/>
    <w:uiPriority w:val="99"/>
    <w:locked/>
    <w:rsid w:val="00B11D63"/>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436</Words>
  <Characters>2490</Characters>
  <Application>Microsoft Office Outlook</Application>
  <DocSecurity>0</DocSecurity>
  <Lines>0</Lines>
  <Paragraphs>0</Paragraphs>
  <ScaleCrop>false</ScaleCrop>
  <Company>Commonwealth of MA</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2014-02-04T15:51:00Z</dcterms:created>
  <dc:creator>MGREENO</dc:creator>
  <lastModifiedBy>DSSSupervisor</lastModifiedBy>
  <dcterms:modified xsi:type="dcterms:W3CDTF">2014-02-04T15:51:00Z</dcterms:modified>
  <revision>2</revision>
  <dc:title>The Commonwealth of Massachusetts</dc:title>
</coreProperties>
</file>