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9DECA"/>
  <w:body>
    <w:p w14:paraId="0DCA318C" w14:textId="77777777" w:rsidR="00720B9B" w:rsidRPr="00183483" w:rsidRDefault="00720B9B" w:rsidP="007240D3">
      <w:pPr>
        <w:rPr>
          <w:rFonts w:ascii="Calibri" w:hAnsi="Calibri" w:cs="Calibri"/>
          <w:b/>
        </w:rPr>
      </w:pPr>
    </w:p>
    <w:p w14:paraId="20DB8DC5" w14:textId="77777777" w:rsidR="007F1FA6" w:rsidRPr="00183483" w:rsidRDefault="00EE30BF" w:rsidP="00EE30BF">
      <w:pPr>
        <w:jc w:val="center"/>
        <w:rPr>
          <w:rFonts w:ascii="Calibri" w:hAnsi="Calibri" w:cs="Calibri"/>
          <w:b/>
        </w:rPr>
      </w:pPr>
      <w:r w:rsidRPr="00183483">
        <w:rPr>
          <w:rFonts w:ascii="Calibri" w:hAnsi="Calibri" w:cs="Calibri"/>
          <w:b/>
        </w:rPr>
        <w:t>DIVISION OF ADMINISTRATIVE LAW APPEALS</w:t>
      </w:r>
      <w:r w:rsidR="001349F2" w:rsidRPr="00183483">
        <w:rPr>
          <w:rFonts w:ascii="Calibri" w:hAnsi="Calibri" w:cs="Calibri"/>
          <w:b/>
        </w:rPr>
        <w:t xml:space="preserve"> (DALA)</w:t>
      </w:r>
    </w:p>
    <w:p w14:paraId="21DA841A" w14:textId="77777777" w:rsidR="005E1828" w:rsidRPr="00183483" w:rsidRDefault="00010748" w:rsidP="00720B9B">
      <w:pPr>
        <w:jc w:val="center"/>
        <w:rPr>
          <w:rFonts w:ascii="Calibri" w:hAnsi="Calibri" w:cs="Calibri"/>
          <w:b/>
        </w:rPr>
      </w:pPr>
      <w:r w:rsidRPr="00183483">
        <w:rPr>
          <w:rFonts w:ascii="Calibri" w:hAnsi="Calibri" w:cs="Calibri"/>
          <w:b/>
        </w:rPr>
        <w:t>20</w:t>
      </w:r>
      <w:r w:rsidR="005E5555" w:rsidRPr="00183483">
        <w:rPr>
          <w:rFonts w:ascii="Calibri" w:hAnsi="Calibri" w:cs="Calibri"/>
          <w:b/>
        </w:rPr>
        <w:t>20</w:t>
      </w:r>
      <w:r w:rsidR="00EE30BF" w:rsidRPr="00183483">
        <w:rPr>
          <w:rFonts w:ascii="Calibri" w:hAnsi="Calibri" w:cs="Calibri"/>
          <w:b/>
        </w:rPr>
        <w:t xml:space="preserve"> REPORT TO THE GENERAL COURT</w:t>
      </w:r>
      <w:r w:rsidR="00A70676" w:rsidRPr="00183483">
        <w:rPr>
          <w:rFonts w:ascii="Calibri" w:hAnsi="Calibri" w:cs="Calibri"/>
          <w:b/>
        </w:rPr>
        <w:t xml:space="preserve"> PURSUANT TO § 4H OF CHAPTER 7 OF THE GENERAL LAWS</w:t>
      </w:r>
      <w:r w:rsidR="00016D98" w:rsidRPr="00183483">
        <w:rPr>
          <w:rFonts w:ascii="Calibri" w:hAnsi="Calibri" w:cs="Calibri"/>
        </w:rPr>
        <w:t xml:space="preserve"> </w:t>
      </w:r>
    </w:p>
    <w:p w14:paraId="570AA280" w14:textId="77777777" w:rsidR="00EE30BF" w:rsidRPr="00183483" w:rsidRDefault="00EE30BF" w:rsidP="00EE30BF">
      <w:pPr>
        <w:rPr>
          <w:rFonts w:ascii="Calibri" w:hAnsi="Calibri" w:cs="Calibri"/>
          <w:b/>
        </w:rPr>
      </w:pPr>
    </w:p>
    <w:p w14:paraId="4E08E629" w14:textId="2A45A19E" w:rsidR="005E2242" w:rsidRPr="00183483" w:rsidRDefault="00DB24AD" w:rsidP="00A924D8">
      <w:pPr>
        <w:spacing w:line="480" w:lineRule="auto"/>
        <w:ind w:firstLine="720"/>
        <w:rPr>
          <w:rFonts w:ascii="Calibri" w:hAnsi="Calibri" w:cs="Calibri"/>
        </w:rPr>
      </w:pPr>
      <w:r w:rsidRPr="00183483">
        <w:rPr>
          <w:rFonts w:ascii="Calibri" w:hAnsi="Calibri" w:cs="Calibri"/>
        </w:rPr>
        <w:t>W</w:t>
      </w:r>
      <w:r w:rsidR="00F20467" w:rsidRPr="00183483">
        <w:rPr>
          <w:rFonts w:ascii="Calibri" w:hAnsi="Calibri" w:cs="Calibri"/>
        </w:rPr>
        <w:t>e provide</w:t>
      </w:r>
      <w:r w:rsidR="001F5C7C" w:rsidRPr="00183483">
        <w:rPr>
          <w:rFonts w:ascii="Calibri" w:hAnsi="Calibri" w:cs="Calibri"/>
        </w:rPr>
        <w:t xml:space="preserve"> this overview </w:t>
      </w:r>
      <w:r w:rsidR="005E2242" w:rsidRPr="00183483">
        <w:rPr>
          <w:rFonts w:ascii="Calibri" w:hAnsi="Calibri" w:cs="Calibri"/>
        </w:rPr>
        <w:t xml:space="preserve">of </w:t>
      </w:r>
      <w:r w:rsidR="00F20467" w:rsidRPr="00183483">
        <w:rPr>
          <w:rFonts w:ascii="Calibri" w:hAnsi="Calibri" w:cs="Calibri"/>
        </w:rPr>
        <w:t>DALA’s performance</w:t>
      </w:r>
      <w:r w:rsidR="005E5555" w:rsidRPr="00183483">
        <w:rPr>
          <w:rFonts w:ascii="Calibri" w:hAnsi="Calibri" w:cs="Calibri"/>
        </w:rPr>
        <w:t xml:space="preserve"> during 2020</w:t>
      </w:r>
      <w:r w:rsidRPr="00183483">
        <w:rPr>
          <w:rFonts w:ascii="Calibri" w:hAnsi="Calibri" w:cs="Calibri"/>
        </w:rPr>
        <w:t>, pursuant to G.L. c. 7, § 4H</w:t>
      </w:r>
      <w:r w:rsidR="005E2242" w:rsidRPr="00183483">
        <w:rPr>
          <w:rFonts w:ascii="Calibri" w:hAnsi="Calibri" w:cs="Calibri"/>
        </w:rPr>
        <w:t xml:space="preserve">.  </w:t>
      </w:r>
      <w:r w:rsidR="0029051D" w:rsidRPr="00183483">
        <w:rPr>
          <w:rFonts w:ascii="Calibri" w:hAnsi="Calibri" w:cs="Calibri"/>
        </w:rPr>
        <w:t>In 2020, l</w:t>
      </w:r>
      <w:r w:rsidR="005E5555" w:rsidRPr="00183483">
        <w:rPr>
          <w:rFonts w:ascii="Calibri" w:hAnsi="Calibri" w:cs="Calibri"/>
        </w:rPr>
        <w:t>ike the rest of the world, DALA confronted challenges operating while the COVID-19 pandemic raged.</w:t>
      </w:r>
      <w:r w:rsidR="005B41A2" w:rsidRPr="00183483">
        <w:rPr>
          <w:rFonts w:ascii="Calibri" w:hAnsi="Calibri" w:cs="Calibri"/>
        </w:rPr>
        <w:t xml:space="preserve"> We are pleased to report that DALA was able to </w:t>
      </w:r>
      <w:r w:rsidR="00A46BC4" w:rsidRPr="00183483">
        <w:rPr>
          <w:rFonts w:ascii="Calibri" w:hAnsi="Calibri" w:cs="Calibri"/>
        </w:rPr>
        <w:t>develop the to</w:t>
      </w:r>
      <w:r w:rsidR="001B3141" w:rsidRPr="00183483">
        <w:rPr>
          <w:rFonts w:ascii="Calibri" w:hAnsi="Calibri" w:cs="Calibri"/>
        </w:rPr>
        <w:t>o</w:t>
      </w:r>
      <w:r w:rsidR="00A46BC4" w:rsidRPr="00183483">
        <w:rPr>
          <w:rFonts w:ascii="Calibri" w:hAnsi="Calibri" w:cs="Calibri"/>
        </w:rPr>
        <w:t xml:space="preserve">ls it needs to </w:t>
      </w:r>
      <w:r w:rsidR="005B41A2" w:rsidRPr="00183483">
        <w:rPr>
          <w:rFonts w:ascii="Calibri" w:hAnsi="Calibri" w:cs="Calibri"/>
        </w:rPr>
        <w:t>provide the people of Massachusetts with their due process protections while protecting the health of its staff and doing its part to slow the spread of COVID-19.</w:t>
      </w:r>
    </w:p>
    <w:p w14:paraId="46728EAE" w14:textId="77777777" w:rsidR="005E5555" w:rsidRPr="00183483" w:rsidRDefault="00EB18BB" w:rsidP="002437F8">
      <w:pPr>
        <w:numPr>
          <w:ilvl w:val="0"/>
          <w:numId w:val="15"/>
        </w:numPr>
        <w:spacing w:line="480" w:lineRule="auto"/>
        <w:rPr>
          <w:rFonts w:ascii="Calibri" w:hAnsi="Calibri" w:cs="Calibri"/>
        </w:rPr>
      </w:pPr>
      <w:r w:rsidRPr="00183483">
        <w:rPr>
          <w:rFonts w:ascii="Calibri" w:hAnsi="Calibri" w:cs="Calibri"/>
          <w:b/>
        </w:rPr>
        <w:t>E</w:t>
      </w:r>
      <w:r w:rsidR="00E31F63" w:rsidRPr="00183483">
        <w:rPr>
          <w:rFonts w:ascii="Calibri" w:hAnsi="Calibri" w:cs="Calibri"/>
          <w:b/>
        </w:rPr>
        <w:t>XECUTIVE SUMMARY</w:t>
      </w:r>
    </w:p>
    <w:p w14:paraId="33D8969B" w14:textId="10976252" w:rsidR="00394149" w:rsidRPr="00183483" w:rsidRDefault="00112FBA" w:rsidP="001B3D9D">
      <w:pPr>
        <w:spacing w:line="480" w:lineRule="auto"/>
        <w:ind w:firstLine="720"/>
        <w:rPr>
          <w:rFonts w:ascii="Calibri" w:hAnsi="Calibri" w:cs="Calibri"/>
        </w:rPr>
      </w:pPr>
      <w:r w:rsidRPr="00183483">
        <w:rPr>
          <w:rFonts w:ascii="Calibri" w:hAnsi="Calibri" w:cs="Calibri"/>
        </w:rPr>
        <w:t>DALA is responsible for providing individuals and state agencies with fair and impartial hearings in the most efficient manner possible.  The agency</w:t>
      </w:r>
      <w:r w:rsidRPr="00183483">
        <w:rPr>
          <w:rFonts w:ascii="Calibri" w:hAnsi="Calibri" w:cs="Calibri"/>
          <w:b/>
        </w:rPr>
        <w:t xml:space="preserve"> </w:t>
      </w:r>
      <w:r w:rsidR="00FF04D1" w:rsidRPr="00183483">
        <w:rPr>
          <w:rFonts w:ascii="Calibri" w:hAnsi="Calibri" w:cs="Calibri"/>
        </w:rPr>
        <w:t xml:space="preserve">is made up of two </w:t>
      </w:r>
      <w:r w:rsidRPr="00183483">
        <w:rPr>
          <w:rFonts w:ascii="Calibri" w:hAnsi="Calibri" w:cs="Calibri"/>
        </w:rPr>
        <w:t xml:space="preserve">independent </w:t>
      </w:r>
      <w:r w:rsidR="00FF04D1" w:rsidRPr="00183483">
        <w:rPr>
          <w:rFonts w:ascii="Calibri" w:hAnsi="Calibri" w:cs="Calibri"/>
        </w:rPr>
        <w:t>units:</w:t>
      </w:r>
      <w:r w:rsidR="00B27360" w:rsidRPr="00183483">
        <w:rPr>
          <w:rFonts w:ascii="Calibri" w:hAnsi="Calibri" w:cs="Calibri"/>
        </w:rPr>
        <w:t xml:space="preserve"> the General Jurisdiction Unit </w:t>
      </w:r>
      <w:r w:rsidR="00DC1EBF" w:rsidRPr="00183483">
        <w:rPr>
          <w:rFonts w:ascii="Calibri" w:hAnsi="Calibri" w:cs="Calibri"/>
        </w:rPr>
        <w:t xml:space="preserve">(“GJU”) and </w:t>
      </w:r>
      <w:r w:rsidR="00FF04D1" w:rsidRPr="00183483">
        <w:rPr>
          <w:rFonts w:ascii="Calibri" w:hAnsi="Calibri" w:cs="Calibri"/>
        </w:rPr>
        <w:t>the Bure</w:t>
      </w:r>
      <w:r w:rsidR="00C814A2" w:rsidRPr="00183483">
        <w:rPr>
          <w:rFonts w:ascii="Calibri" w:hAnsi="Calibri" w:cs="Calibri"/>
        </w:rPr>
        <w:t>au of Special Education Appeals</w:t>
      </w:r>
      <w:r w:rsidR="00FF04D1" w:rsidRPr="00183483">
        <w:rPr>
          <w:rFonts w:ascii="Calibri" w:hAnsi="Calibri" w:cs="Calibri"/>
        </w:rPr>
        <w:t xml:space="preserve"> (</w:t>
      </w:r>
      <w:r w:rsidR="00DC1EBF" w:rsidRPr="00183483">
        <w:rPr>
          <w:rFonts w:ascii="Calibri" w:hAnsi="Calibri" w:cs="Calibri"/>
        </w:rPr>
        <w:t>“</w:t>
      </w:r>
      <w:r w:rsidR="00FF04D1" w:rsidRPr="00183483">
        <w:rPr>
          <w:rFonts w:ascii="Calibri" w:hAnsi="Calibri" w:cs="Calibri"/>
        </w:rPr>
        <w:t>BSEA</w:t>
      </w:r>
      <w:r w:rsidR="00DC1EBF" w:rsidRPr="00183483">
        <w:rPr>
          <w:rFonts w:ascii="Calibri" w:hAnsi="Calibri" w:cs="Calibri"/>
        </w:rPr>
        <w:t>”</w:t>
      </w:r>
      <w:r w:rsidR="00FF04D1" w:rsidRPr="00183483">
        <w:rPr>
          <w:rFonts w:ascii="Calibri" w:hAnsi="Calibri" w:cs="Calibri"/>
        </w:rPr>
        <w:t>).</w:t>
      </w:r>
      <w:r w:rsidRPr="00183483">
        <w:rPr>
          <w:rFonts w:ascii="Calibri" w:hAnsi="Calibri" w:cs="Calibri"/>
        </w:rPr>
        <w:t xml:space="preserve"> </w:t>
      </w:r>
      <w:r w:rsidR="00FF04D1" w:rsidRPr="00183483">
        <w:rPr>
          <w:rFonts w:ascii="Calibri" w:hAnsi="Calibri" w:cs="Calibri"/>
        </w:rPr>
        <w:t xml:space="preserve"> </w:t>
      </w:r>
      <w:r w:rsidR="001F444B" w:rsidRPr="00183483">
        <w:rPr>
          <w:rFonts w:ascii="Calibri" w:hAnsi="Calibri" w:cs="Calibri"/>
        </w:rPr>
        <w:t>For a time</w:t>
      </w:r>
      <w:r w:rsidR="001B3D9D" w:rsidRPr="00183483">
        <w:rPr>
          <w:rFonts w:ascii="Calibri" w:hAnsi="Calibri" w:cs="Calibri"/>
        </w:rPr>
        <w:t xml:space="preserve"> in 2020</w:t>
      </w:r>
      <w:r w:rsidR="001F444B" w:rsidRPr="00183483">
        <w:rPr>
          <w:rFonts w:ascii="Calibri" w:hAnsi="Calibri" w:cs="Calibri"/>
        </w:rPr>
        <w:t xml:space="preserve">, most staff worked exclusively at home and, for health reasons, the agency continues to limit the number of staff that can be present in the office at any one time. </w:t>
      </w:r>
      <w:r w:rsidR="00172215" w:rsidRPr="00183483">
        <w:rPr>
          <w:rFonts w:ascii="Calibri" w:hAnsi="Calibri" w:cs="Calibri"/>
        </w:rPr>
        <w:t>In 20</w:t>
      </w:r>
      <w:r w:rsidR="005E5555" w:rsidRPr="00183483">
        <w:rPr>
          <w:rFonts w:ascii="Calibri" w:hAnsi="Calibri" w:cs="Calibri"/>
        </w:rPr>
        <w:t>20</w:t>
      </w:r>
      <w:r w:rsidR="001557D2" w:rsidRPr="00183483">
        <w:rPr>
          <w:rFonts w:ascii="Calibri" w:hAnsi="Calibri" w:cs="Calibri"/>
        </w:rPr>
        <w:t>,</w:t>
      </w:r>
      <w:r w:rsidR="001B4723" w:rsidRPr="00183483">
        <w:rPr>
          <w:rFonts w:ascii="Calibri" w:hAnsi="Calibri" w:cs="Calibri"/>
        </w:rPr>
        <w:t xml:space="preserve"> the GJU and the BSEA </w:t>
      </w:r>
      <w:r w:rsidR="001941D9" w:rsidRPr="00183483">
        <w:rPr>
          <w:rFonts w:ascii="Calibri" w:hAnsi="Calibri" w:cs="Calibri"/>
        </w:rPr>
        <w:t xml:space="preserve">successfully </w:t>
      </w:r>
      <w:r w:rsidR="005E5555" w:rsidRPr="00183483">
        <w:rPr>
          <w:rFonts w:ascii="Calibri" w:hAnsi="Calibri" w:cs="Calibri"/>
        </w:rPr>
        <w:t xml:space="preserve">developed new tools so that they could continue to operate </w:t>
      </w:r>
      <w:r w:rsidR="00BC6F67" w:rsidRPr="00183483">
        <w:rPr>
          <w:rFonts w:ascii="Calibri" w:hAnsi="Calibri" w:cs="Calibri"/>
        </w:rPr>
        <w:t xml:space="preserve">safely </w:t>
      </w:r>
      <w:r w:rsidR="005E5555" w:rsidRPr="00183483">
        <w:rPr>
          <w:rFonts w:ascii="Calibri" w:hAnsi="Calibri" w:cs="Calibri"/>
        </w:rPr>
        <w:t>and provide the people of Massachusetts with critical services.</w:t>
      </w:r>
    </w:p>
    <w:p w14:paraId="171699A5" w14:textId="77777777" w:rsidR="00720B9B" w:rsidRPr="00183483" w:rsidRDefault="001571CA" w:rsidP="00394149">
      <w:pPr>
        <w:numPr>
          <w:ilvl w:val="0"/>
          <w:numId w:val="15"/>
        </w:numPr>
        <w:spacing w:line="480" w:lineRule="auto"/>
        <w:rPr>
          <w:rFonts w:ascii="Calibri" w:hAnsi="Calibri" w:cs="Calibri"/>
          <w:b/>
        </w:rPr>
      </w:pPr>
      <w:r w:rsidRPr="00183483">
        <w:rPr>
          <w:rFonts w:ascii="Calibri" w:hAnsi="Calibri" w:cs="Calibri"/>
          <w:b/>
        </w:rPr>
        <w:t>DALA</w:t>
      </w:r>
      <w:r w:rsidR="00961D25" w:rsidRPr="00183483">
        <w:rPr>
          <w:rFonts w:ascii="Calibri" w:hAnsi="Calibri" w:cs="Calibri"/>
          <w:b/>
        </w:rPr>
        <w:t xml:space="preserve"> AND ITS MISSION</w:t>
      </w:r>
    </w:p>
    <w:p w14:paraId="5911008B" w14:textId="77777777" w:rsidR="002437F8" w:rsidRPr="00183483" w:rsidRDefault="00DB1A4F" w:rsidP="002437F8">
      <w:pPr>
        <w:numPr>
          <w:ilvl w:val="0"/>
          <w:numId w:val="7"/>
        </w:numPr>
        <w:spacing w:line="480" w:lineRule="auto"/>
        <w:rPr>
          <w:rFonts w:ascii="Calibri" w:hAnsi="Calibri" w:cs="Calibri"/>
          <w:b/>
        </w:rPr>
      </w:pPr>
      <w:r w:rsidRPr="00183483">
        <w:rPr>
          <w:rFonts w:ascii="Calibri" w:hAnsi="Calibri" w:cs="Calibri"/>
          <w:b/>
        </w:rPr>
        <w:t>General Jurisdiction Unit</w:t>
      </w:r>
    </w:p>
    <w:p w14:paraId="7C4EB7C6" w14:textId="77777777" w:rsidR="00394149" w:rsidRPr="00183483" w:rsidRDefault="00E722DC" w:rsidP="00A924D8">
      <w:pPr>
        <w:spacing w:line="480" w:lineRule="auto"/>
        <w:ind w:firstLine="720"/>
        <w:rPr>
          <w:rFonts w:ascii="Calibri" w:hAnsi="Calibri" w:cs="Calibri"/>
        </w:rPr>
      </w:pPr>
      <w:r w:rsidRPr="00183483">
        <w:rPr>
          <w:rFonts w:ascii="Calibri" w:hAnsi="Calibri" w:cs="Calibri"/>
          <w:lang w:val="en"/>
        </w:rPr>
        <w:t>The GJU</w:t>
      </w:r>
      <w:r w:rsidR="00B60B67" w:rsidRPr="00183483">
        <w:rPr>
          <w:rFonts w:ascii="Calibri" w:hAnsi="Calibri" w:cs="Calibri"/>
          <w:lang w:val="en"/>
        </w:rPr>
        <w:t xml:space="preserve">’s mission is to provide </w:t>
      </w:r>
      <w:r w:rsidR="00B60B67" w:rsidRPr="00183483">
        <w:rPr>
          <w:rFonts w:ascii="Calibri" w:hAnsi="Calibri" w:cs="Calibri"/>
          <w:iCs/>
        </w:rPr>
        <w:t xml:space="preserve">the due process hearings that are the pre-condition of other </w:t>
      </w:r>
      <w:r w:rsidR="00DC1F38" w:rsidRPr="00183483">
        <w:rPr>
          <w:rFonts w:ascii="Calibri" w:hAnsi="Calibri" w:cs="Calibri"/>
          <w:iCs/>
        </w:rPr>
        <w:t xml:space="preserve">state agencies’ </w:t>
      </w:r>
      <w:proofErr w:type="gramStart"/>
      <w:r w:rsidR="00DC1F38" w:rsidRPr="00183483">
        <w:rPr>
          <w:rFonts w:ascii="Calibri" w:hAnsi="Calibri" w:cs="Calibri"/>
          <w:iCs/>
        </w:rPr>
        <w:t xml:space="preserve">final </w:t>
      </w:r>
      <w:r w:rsidR="00B60B67" w:rsidRPr="00183483">
        <w:rPr>
          <w:rFonts w:ascii="Calibri" w:hAnsi="Calibri" w:cs="Calibri"/>
          <w:iCs/>
        </w:rPr>
        <w:t xml:space="preserve"> actions</w:t>
      </w:r>
      <w:proofErr w:type="gramEnd"/>
      <w:r w:rsidR="00B60B67" w:rsidRPr="00183483">
        <w:rPr>
          <w:rFonts w:ascii="Calibri" w:hAnsi="Calibri" w:cs="Calibri"/>
          <w:lang w:val="en"/>
        </w:rPr>
        <w:t xml:space="preserve"> and, when provided for by statute, to hear </w:t>
      </w:r>
      <w:r w:rsidR="00B60B67" w:rsidRPr="00183483">
        <w:rPr>
          <w:rFonts w:ascii="Calibri" w:hAnsi="Calibri" w:cs="Calibri"/>
          <w:i/>
          <w:lang w:val="en"/>
        </w:rPr>
        <w:t>de novo</w:t>
      </w:r>
      <w:r w:rsidR="00B60B67" w:rsidRPr="00183483">
        <w:rPr>
          <w:rFonts w:ascii="Calibri" w:hAnsi="Calibri" w:cs="Calibri"/>
          <w:lang w:val="en"/>
        </w:rPr>
        <w:t xml:space="preserve"> appeals of other agencies’ decisions.   GJU cases come to DALA in two </w:t>
      </w:r>
      <w:r w:rsidR="00B60B67" w:rsidRPr="00183483">
        <w:rPr>
          <w:rFonts w:ascii="Calibri" w:hAnsi="Calibri" w:cs="Calibri"/>
          <w:lang w:val="en"/>
        </w:rPr>
        <w:lastRenderedPageBreak/>
        <w:t>ways: (1) by legislation mandating that certain types of cases be heard at DALA; and (2) upon request of a</w:t>
      </w:r>
      <w:r w:rsidR="005B41A2" w:rsidRPr="00183483">
        <w:rPr>
          <w:rFonts w:ascii="Calibri" w:hAnsi="Calibri" w:cs="Calibri"/>
          <w:lang w:val="en"/>
        </w:rPr>
        <w:t xml:space="preserve"> state</w:t>
      </w:r>
      <w:r w:rsidR="00B60B67" w:rsidRPr="00183483">
        <w:rPr>
          <w:rFonts w:ascii="Calibri" w:hAnsi="Calibri" w:cs="Calibri"/>
          <w:lang w:val="en"/>
        </w:rPr>
        <w:t xml:space="preserve"> agency, subject to the approval of the DALA Chief Administrative Magistrate and the Secretary of Administration and Finance (</w:t>
      </w:r>
      <w:r w:rsidR="00E422E5" w:rsidRPr="00183483">
        <w:rPr>
          <w:rFonts w:ascii="Calibri" w:hAnsi="Calibri" w:cs="Calibri"/>
          <w:lang w:val="en"/>
        </w:rPr>
        <w:t>“</w:t>
      </w:r>
      <w:r w:rsidR="00B60B67" w:rsidRPr="00183483">
        <w:rPr>
          <w:rFonts w:ascii="Calibri" w:hAnsi="Calibri" w:cs="Calibri"/>
          <w:lang w:val="en"/>
        </w:rPr>
        <w:t>A</w:t>
      </w:r>
      <w:r w:rsidR="007F7B23" w:rsidRPr="00183483">
        <w:rPr>
          <w:rFonts w:ascii="Calibri" w:hAnsi="Calibri" w:cs="Calibri"/>
          <w:lang w:val="en"/>
        </w:rPr>
        <w:t>&amp;</w:t>
      </w:r>
      <w:r w:rsidR="00B60B67" w:rsidRPr="00183483">
        <w:rPr>
          <w:rFonts w:ascii="Calibri" w:hAnsi="Calibri" w:cs="Calibri"/>
          <w:lang w:val="en"/>
        </w:rPr>
        <w:t>F</w:t>
      </w:r>
      <w:r w:rsidR="00E422E5" w:rsidRPr="00183483">
        <w:rPr>
          <w:rFonts w:ascii="Calibri" w:hAnsi="Calibri" w:cs="Calibri"/>
          <w:lang w:val="en"/>
        </w:rPr>
        <w:t>”</w:t>
      </w:r>
      <w:r w:rsidR="00B60B67" w:rsidRPr="00183483">
        <w:rPr>
          <w:rFonts w:ascii="Calibri" w:hAnsi="Calibri" w:cs="Calibri"/>
          <w:lang w:val="en"/>
        </w:rPr>
        <w:t xml:space="preserve">).  </w:t>
      </w:r>
      <w:r w:rsidR="00B60B67" w:rsidRPr="00183483">
        <w:rPr>
          <w:rFonts w:ascii="Calibri" w:hAnsi="Calibri" w:cs="Calibri"/>
        </w:rPr>
        <w:t xml:space="preserve">Currently, </w:t>
      </w:r>
      <w:r w:rsidR="004B2D00" w:rsidRPr="00183483">
        <w:rPr>
          <w:rFonts w:ascii="Calibri" w:hAnsi="Calibri" w:cs="Calibri"/>
        </w:rPr>
        <w:t xml:space="preserve">the </w:t>
      </w:r>
      <w:r w:rsidRPr="00183483">
        <w:rPr>
          <w:rFonts w:ascii="Calibri" w:hAnsi="Calibri" w:cs="Calibri"/>
        </w:rPr>
        <w:t>GJU</w:t>
      </w:r>
      <w:r w:rsidR="00B60B67" w:rsidRPr="00183483">
        <w:rPr>
          <w:rFonts w:ascii="Calibri" w:hAnsi="Calibri" w:cs="Calibri"/>
        </w:rPr>
        <w:t xml:space="preserve"> conducts hearings for approximately 2</w:t>
      </w:r>
      <w:r w:rsidR="005B41A2" w:rsidRPr="00183483">
        <w:rPr>
          <w:rFonts w:ascii="Calibri" w:hAnsi="Calibri" w:cs="Calibri"/>
        </w:rPr>
        <w:t>2</w:t>
      </w:r>
      <w:r w:rsidR="00B60B67" w:rsidRPr="00183483">
        <w:rPr>
          <w:rFonts w:ascii="Calibri" w:hAnsi="Calibri" w:cs="Calibri"/>
        </w:rPr>
        <w:t xml:space="preserve"> state agencies, including the Contributory Retirement Appeal Board, the Board of Registration in Medicine, the Department of Public Health, and the Fair Labor Division of the O</w:t>
      </w:r>
      <w:r w:rsidR="00ED7898" w:rsidRPr="00183483">
        <w:rPr>
          <w:rFonts w:ascii="Calibri" w:hAnsi="Calibri" w:cs="Calibri"/>
        </w:rPr>
        <w:t xml:space="preserve">ffice of the Attorney General. </w:t>
      </w:r>
      <w:r w:rsidR="00394149" w:rsidRPr="00183483">
        <w:rPr>
          <w:rFonts w:ascii="Calibri" w:hAnsi="Calibri" w:cs="Calibri"/>
          <w:b/>
        </w:rPr>
        <w:t xml:space="preserve"> </w:t>
      </w:r>
      <w:r w:rsidR="00B60B67" w:rsidRPr="00183483">
        <w:rPr>
          <w:rFonts w:ascii="Calibri" w:hAnsi="Calibri" w:cs="Calibri"/>
        </w:rPr>
        <w:t xml:space="preserve">The most pressing issue confronting the GJU is </w:t>
      </w:r>
      <w:r w:rsidR="00E422E5" w:rsidRPr="00183483">
        <w:rPr>
          <w:rFonts w:ascii="Calibri" w:hAnsi="Calibri" w:cs="Calibri"/>
        </w:rPr>
        <w:t>its</w:t>
      </w:r>
      <w:r w:rsidR="00B60B67" w:rsidRPr="00183483">
        <w:rPr>
          <w:rFonts w:ascii="Calibri" w:hAnsi="Calibri" w:cs="Calibri"/>
        </w:rPr>
        <w:t xml:space="preserve"> large inventory of cases.</w:t>
      </w:r>
      <w:r w:rsidR="007240D3" w:rsidRPr="00183483">
        <w:rPr>
          <w:rFonts w:ascii="Calibri" w:hAnsi="Calibri" w:cs="Calibri"/>
        </w:rPr>
        <w:t xml:space="preserve">  The inventory is made up of Rate Setting Cases and Retirement Cases.  Generally, the GJU is able to schedule other types of cases when the parties are ready to proceed.</w:t>
      </w:r>
      <w:r w:rsidR="00394149" w:rsidRPr="00183483">
        <w:rPr>
          <w:rFonts w:ascii="Calibri" w:hAnsi="Calibri" w:cs="Calibri"/>
        </w:rPr>
        <w:t xml:space="preserve"> </w:t>
      </w:r>
    </w:p>
    <w:p w14:paraId="72ED1A9E" w14:textId="77777777" w:rsidR="00642375" w:rsidRPr="00183483" w:rsidRDefault="00394149" w:rsidP="000127C3">
      <w:pPr>
        <w:spacing w:line="480" w:lineRule="auto"/>
        <w:ind w:firstLine="720"/>
        <w:rPr>
          <w:rFonts w:ascii="Calibri" w:hAnsi="Calibri" w:cs="Calibri"/>
        </w:rPr>
      </w:pPr>
      <w:r w:rsidRPr="00183483">
        <w:rPr>
          <w:rFonts w:ascii="Calibri" w:hAnsi="Calibri" w:cs="Calibri"/>
        </w:rPr>
        <w:t>The GJU, to operate during the pandemic</w:t>
      </w:r>
      <w:r w:rsidR="00A924D8" w:rsidRPr="00183483">
        <w:rPr>
          <w:rFonts w:ascii="Calibri" w:hAnsi="Calibri" w:cs="Calibri"/>
        </w:rPr>
        <w:t>,</w:t>
      </w:r>
      <w:r w:rsidRPr="00183483">
        <w:rPr>
          <w:rFonts w:ascii="Calibri" w:hAnsi="Calibri" w:cs="Calibri"/>
        </w:rPr>
        <w:t xml:space="preserve"> modified the manner in which it conducts business.  While some of these changes were temporary</w:t>
      </w:r>
      <w:r w:rsidR="00F7224A" w:rsidRPr="00183483">
        <w:rPr>
          <w:rFonts w:ascii="Calibri" w:hAnsi="Calibri" w:cs="Calibri"/>
        </w:rPr>
        <w:t>,</w:t>
      </w:r>
      <w:r w:rsidR="00A924D8" w:rsidRPr="00183483">
        <w:rPr>
          <w:rFonts w:ascii="Calibri" w:hAnsi="Calibri" w:cs="Calibri"/>
        </w:rPr>
        <w:t xml:space="preserve"> </w:t>
      </w:r>
      <w:r w:rsidRPr="00183483">
        <w:rPr>
          <w:rFonts w:ascii="Calibri" w:hAnsi="Calibri" w:cs="Calibri"/>
        </w:rPr>
        <w:t xml:space="preserve">others will likely be permanent.  When the pandemic </w:t>
      </w:r>
      <w:r w:rsidR="00F7224A" w:rsidRPr="00183483">
        <w:rPr>
          <w:rFonts w:ascii="Calibri" w:hAnsi="Calibri" w:cs="Calibri"/>
        </w:rPr>
        <w:t>struck</w:t>
      </w:r>
      <w:r w:rsidRPr="00183483">
        <w:rPr>
          <w:rFonts w:ascii="Calibri" w:hAnsi="Calibri" w:cs="Calibri"/>
        </w:rPr>
        <w:t xml:space="preserve"> in March 2020, the GJU </w:t>
      </w:r>
      <w:r w:rsidR="001F444B" w:rsidRPr="00183483">
        <w:rPr>
          <w:rFonts w:ascii="Calibri" w:hAnsi="Calibri" w:cs="Calibri"/>
        </w:rPr>
        <w:t xml:space="preserve">began accepting electronic filings. At the same time, it </w:t>
      </w:r>
      <w:r w:rsidRPr="00183483">
        <w:rPr>
          <w:rFonts w:ascii="Calibri" w:hAnsi="Calibri" w:cs="Calibri"/>
        </w:rPr>
        <w:t xml:space="preserve">stopped holding in-person </w:t>
      </w:r>
      <w:r w:rsidR="005B41A2" w:rsidRPr="00183483">
        <w:rPr>
          <w:rFonts w:ascii="Calibri" w:hAnsi="Calibri" w:cs="Calibri"/>
        </w:rPr>
        <w:t xml:space="preserve">evidentiary </w:t>
      </w:r>
      <w:r w:rsidRPr="00183483">
        <w:rPr>
          <w:rFonts w:ascii="Calibri" w:hAnsi="Calibri" w:cs="Calibri"/>
        </w:rPr>
        <w:t xml:space="preserve">hearings </w:t>
      </w:r>
      <w:r w:rsidR="005B41A2" w:rsidRPr="00183483">
        <w:rPr>
          <w:rFonts w:ascii="Calibri" w:hAnsi="Calibri" w:cs="Calibri"/>
        </w:rPr>
        <w:t xml:space="preserve">and in-person </w:t>
      </w:r>
      <w:r w:rsidRPr="00183483">
        <w:rPr>
          <w:rFonts w:ascii="Calibri" w:hAnsi="Calibri" w:cs="Calibri"/>
        </w:rPr>
        <w:t>prehearing conferences</w:t>
      </w:r>
      <w:r w:rsidR="001F444B" w:rsidRPr="00183483">
        <w:rPr>
          <w:rFonts w:ascii="Calibri" w:hAnsi="Calibri" w:cs="Calibri"/>
        </w:rPr>
        <w:t>.</w:t>
      </w:r>
      <w:r w:rsidRPr="00183483">
        <w:rPr>
          <w:rFonts w:ascii="Calibri" w:hAnsi="Calibri" w:cs="Calibri"/>
        </w:rPr>
        <w:t xml:space="preserve">  The unit still is not conducting live </w:t>
      </w:r>
      <w:r w:rsidR="005B41A2" w:rsidRPr="00183483">
        <w:rPr>
          <w:rFonts w:ascii="Calibri" w:hAnsi="Calibri" w:cs="Calibri"/>
        </w:rPr>
        <w:t xml:space="preserve">evidentiary </w:t>
      </w:r>
      <w:r w:rsidRPr="00183483">
        <w:rPr>
          <w:rFonts w:ascii="Calibri" w:hAnsi="Calibri" w:cs="Calibri"/>
        </w:rPr>
        <w:t>hearings or conferences at its Malden headquarters</w:t>
      </w:r>
      <w:r w:rsidR="001F444B" w:rsidRPr="00183483">
        <w:rPr>
          <w:rFonts w:ascii="Calibri" w:hAnsi="Calibri" w:cs="Calibri"/>
        </w:rPr>
        <w:t>.</w:t>
      </w:r>
      <w:r w:rsidRPr="00183483">
        <w:rPr>
          <w:rFonts w:ascii="Calibri" w:hAnsi="Calibri" w:cs="Calibri"/>
        </w:rPr>
        <w:t xml:space="preserve"> </w:t>
      </w:r>
    </w:p>
    <w:p w14:paraId="0D230AA0" w14:textId="4F3A2D9D" w:rsidR="00DF7FA0" w:rsidRPr="00183483" w:rsidRDefault="00642375" w:rsidP="001941D9">
      <w:pPr>
        <w:spacing w:line="480" w:lineRule="auto"/>
        <w:ind w:firstLine="720"/>
        <w:rPr>
          <w:rFonts w:ascii="Calibri" w:hAnsi="Calibri" w:cs="Calibri"/>
        </w:rPr>
      </w:pPr>
      <w:r w:rsidRPr="00183483">
        <w:rPr>
          <w:rFonts w:ascii="Calibri" w:hAnsi="Calibri" w:cs="Calibri"/>
        </w:rPr>
        <w:t>The GJU now conducts p</w:t>
      </w:r>
      <w:r w:rsidR="00394149" w:rsidRPr="00183483">
        <w:rPr>
          <w:rFonts w:ascii="Calibri" w:hAnsi="Calibri" w:cs="Calibri"/>
        </w:rPr>
        <w:t>rehearing conferences by phone.</w:t>
      </w:r>
      <w:r w:rsidRPr="00183483">
        <w:rPr>
          <w:rFonts w:ascii="Calibri" w:hAnsi="Calibri" w:cs="Calibri"/>
        </w:rPr>
        <w:t xml:space="preserve"> It</w:t>
      </w:r>
      <w:r w:rsidR="00394149" w:rsidRPr="00183483">
        <w:rPr>
          <w:rFonts w:ascii="Calibri" w:hAnsi="Calibri" w:cs="Calibri"/>
        </w:rPr>
        <w:t xml:space="preserve"> obtained a bridge line t</w:t>
      </w:r>
      <w:r w:rsidR="001B3D9D" w:rsidRPr="00183483">
        <w:rPr>
          <w:rFonts w:ascii="Calibri" w:hAnsi="Calibri" w:cs="Calibri"/>
        </w:rPr>
        <w:t>hat</w:t>
      </w:r>
      <w:r w:rsidR="00394149" w:rsidRPr="00183483">
        <w:rPr>
          <w:rFonts w:ascii="Calibri" w:hAnsi="Calibri" w:cs="Calibri"/>
        </w:rPr>
        <w:t xml:space="preserve"> allow</w:t>
      </w:r>
      <w:r w:rsidR="001B3D9D" w:rsidRPr="00183483">
        <w:rPr>
          <w:rFonts w:ascii="Calibri" w:hAnsi="Calibri" w:cs="Calibri"/>
        </w:rPr>
        <w:t>s</w:t>
      </w:r>
      <w:r w:rsidR="00394149" w:rsidRPr="00183483">
        <w:rPr>
          <w:rFonts w:ascii="Calibri" w:hAnsi="Calibri" w:cs="Calibri"/>
        </w:rPr>
        <w:t xml:space="preserve"> magistrates to conduct conferences by phone whether they are working from home or are in the office.  The GJU also subscribe</w:t>
      </w:r>
      <w:r w:rsidRPr="00183483">
        <w:rPr>
          <w:rFonts w:ascii="Calibri" w:hAnsi="Calibri" w:cs="Calibri"/>
        </w:rPr>
        <w:t>d</w:t>
      </w:r>
      <w:r w:rsidR="00394149" w:rsidRPr="00183483">
        <w:rPr>
          <w:rFonts w:ascii="Calibri" w:hAnsi="Calibri" w:cs="Calibri"/>
        </w:rPr>
        <w:t xml:space="preserve"> to Web</w:t>
      </w:r>
      <w:r w:rsidR="005B41A2" w:rsidRPr="00183483">
        <w:rPr>
          <w:rFonts w:ascii="Calibri" w:hAnsi="Calibri" w:cs="Calibri"/>
        </w:rPr>
        <w:t>E</w:t>
      </w:r>
      <w:r w:rsidR="00394149" w:rsidRPr="00183483">
        <w:rPr>
          <w:rFonts w:ascii="Calibri" w:hAnsi="Calibri" w:cs="Calibri"/>
        </w:rPr>
        <w:t xml:space="preserve">x to allow hearings to be conducted by video conference.  Some parties lack the technical capacity to participate in a </w:t>
      </w:r>
      <w:r w:rsidR="002C0AFB" w:rsidRPr="00183483">
        <w:rPr>
          <w:rFonts w:ascii="Calibri" w:hAnsi="Calibri" w:cs="Calibri"/>
        </w:rPr>
        <w:t xml:space="preserve">virtual </w:t>
      </w:r>
      <w:r w:rsidR="00394149" w:rsidRPr="00183483">
        <w:rPr>
          <w:rFonts w:ascii="Calibri" w:hAnsi="Calibri" w:cs="Calibri"/>
        </w:rPr>
        <w:t xml:space="preserve">hearing and there was </w:t>
      </w:r>
      <w:proofErr w:type="gramStart"/>
      <w:r w:rsidR="00394149" w:rsidRPr="00183483">
        <w:rPr>
          <w:rFonts w:ascii="Calibri" w:hAnsi="Calibri" w:cs="Calibri"/>
        </w:rPr>
        <w:t>some  reluctance</w:t>
      </w:r>
      <w:proofErr w:type="gramEnd"/>
      <w:r w:rsidR="00394149" w:rsidRPr="00183483">
        <w:rPr>
          <w:rFonts w:ascii="Calibri" w:hAnsi="Calibri" w:cs="Calibri"/>
        </w:rPr>
        <w:t xml:space="preserve"> by other parties to forgo a live </w:t>
      </w:r>
      <w:r w:rsidR="002C0AFB" w:rsidRPr="00183483">
        <w:rPr>
          <w:rFonts w:ascii="Calibri" w:hAnsi="Calibri" w:cs="Calibri"/>
        </w:rPr>
        <w:t xml:space="preserve">evidentiary </w:t>
      </w:r>
      <w:r w:rsidR="00394149" w:rsidRPr="00183483">
        <w:rPr>
          <w:rFonts w:ascii="Calibri" w:hAnsi="Calibri" w:cs="Calibri"/>
        </w:rPr>
        <w:t xml:space="preserve">hearing, and thus the GJU conducted fewer </w:t>
      </w:r>
      <w:r w:rsidR="002C0AFB" w:rsidRPr="00183483">
        <w:rPr>
          <w:rFonts w:ascii="Calibri" w:hAnsi="Calibri" w:cs="Calibri"/>
        </w:rPr>
        <w:t xml:space="preserve">evidentiary </w:t>
      </w:r>
      <w:r w:rsidR="00394149" w:rsidRPr="00183483">
        <w:rPr>
          <w:rFonts w:ascii="Calibri" w:hAnsi="Calibri" w:cs="Calibri"/>
        </w:rPr>
        <w:t xml:space="preserve">hearings </w:t>
      </w:r>
      <w:r w:rsidR="001B3141" w:rsidRPr="00183483">
        <w:rPr>
          <w:rFonts w:ascii="Calibri" w:hAnsi="Calibri" w:cs="Calibri"/>
        </w:rPr>
        <w:t xml:space="preserve">in 2020 </w:t>
      </w:r>
      <w:r w:rsidR="00394149" w:rsidRPr="00183483">
        <w:rPr>
          <w:rFonts w:ascii="Calibri" w:hAnsi="Calibri" w:cs="Calibri"/>
        </w:rPr>
        <w:t xml:space="preserve">than in recent years.  To address this </w:t>
      </w:r>
      <w:r w:rsidR="002C0AFB" w:rsidRPr="00183483">
        <w:rPr>
          <w:rFonts w:ascii="Calibri" w:hAnsi="Calibri" w:cs="Calibri"/>
        </w:rPr>
        <w:t>situation</w:t>
      </w:r>
      <w:r w:rsidR="00394149" w:rsidRPr="00183483">
        <w:rPr>
          <w:rFonts w:ascii="Calibri" w:hAnsi="Calibri" w:cs="Calibri"/>
        </w:rPr>
        <w:t>, the GJU closely examin</w:t>
      </w:r>
      <w:r w:rsidR="00BC6F67" w:rsidRPr="00183483">
        <w:rPr>
          <w:rFonts w:ascii="Calibri" w:hAnsi="Calibri" w:cs="Calibri"/>
        </w:rPr>
        <w:t>es</w:t>
      </w:r>
      <w:r w:rsidR="00394149" w:rsidRPr="00183483">
        <w:rPr>
          <w:rFonts w:ascii="Calibri" w:hAnsi="Calibri" w:cs="Calibri"/>
        </w:rPr>
        <w:t xml:space="preserve"> whether </w:t>
      </w:r>
      <w:r w:rsidR="002C0AFB" w:rsidRPr="00183483">
        <w:rPr>
          <w:rFonts w:ascii="Calibri" w:hAnsi="Calibri" w:cs="Calibri"/>
        </w:rPr>
        <w:lastRenderedPageBreak/>
        <w:t>each</w:t>
      </w:r>
      <w:r w:rsidRPr="00183483">
        <w:rPr>
          <w:rFonts w:ascii="Calibri" w:hAnsi="Calibri" w:cs="Calibri"/>
        </w:rPr>
        <w:t xml:space="preserve"> </w:t>
      </w:r>
      <w:r w:rsidR="00394149" w:rsidRPr="00183483">
        <w:rPr>
          <w:rFonts w:ascii="Calibri" w:hAnsi="Calibri" w:cs="Calibri"/>
        </w:rPr>
        <w:t xml:space="preserve">case </w:t>
      </w:r>
      <w:proofErr w:type="spellStart"/>
      <w:r w:rsidR="00BC6F67" w:rsidRPr="00183483">
        <w:rPr>
          <w:rFonts w:ascii="Calibri" w:hAnsi="Calibri" w:cs="Calibri"/>
        </w:rPr>
        <w:t>requires</w:t>
      </w:r>
      <w:r w:rsidR="002C0AFB" w:rsidRPr="00183483">
        <w:rPr>
          <w:rFonts w:ascii="Calibri" w:hAnsi="Calibri" w:cs="Calibri"/>
        </w:rPr>
        <w:t>s</w:t>
      </w:r>
      <w:proofErr w:type="spellEnd"/>
      <w:r w:rsidR="00394149" w:rsidRPr="00183483">
        <w:rPr>
          <w:rFonts w:ascii="Calibri" w:hAnsi="Calibri" w:cs="Calibri"/>
        </w:rPr>
        <w:t xml:space="preserve"> a</w:t>
      </w:r>
      <w:r w:rsidR="002C0AFB" w:rsidRPr="00183483">
        <w:rPr>
          <w:rFonts w:ascii="Calibri" w:hAnsi="Calibri" w:cs="Calibri"/>
        </w:rPr>
        <w:t>n evidentiary</w:t>
      </w:r>
      <w:r w:rsidR="00394149" w:rsidRPr="00183483">
        <w:rPr>
          <w:rFonts w:ascii="Calibri" w:hAnsi="Calibri" w:cs="Calibri"/>
        </w:rPr>
        <w:t xml:space="preserve"> hearing and</w:t>
      </w:r>
      <w:r w:rsidR="00BC6F67" w:rsidRPr="00183483">
        <w:rPr>
          <w:rFonts w:ascii="Calibri" w:hAnsi="Calibri" w:cs="Calibri"/>
        </w:rPr>
        <w:t>,</w:t>
      </w:r>
      <w:r w:rsidR="00394149" w:rsidRPr="00183483">
        <w:rPr>
          <w:rFonts w:ascii="Calibri" w:hAnsi="Calibri" w:cs="Calibri"/>
        </w:rPr>
        <w:t xml:space="preserve"> i</w:t>
      </w:r>
      <w:r w:rsidR="002C0AFB" w:rsidRPr="00183483">
        <w:rPr>
          <w:rFonts w:ascii="Calibri" w:hAnsi="Calibri" w:cs="Calibri"/>
        </w:rPr>
        <w:t>f</w:t>
      </w:r>
      <w:r w:rsidR="00394149" w:rsidRPr="00183483">
        <w:rPr>
          <w:rFonts w:ascii="Calibri" w:hAnsi="Calibri" w:cs="Calibri"/>
        </w:rPr>
        <w:t xml:space="preserve"> </w:t>
      </w:r>
      <w:r w:rsidR="002C0AFB" w:rsidRPr="00183483">
        <w:rPr>
          <w:rFonts w:ascii="Calibri" w:hAnsi="Calibri" w:cs="Calibri"/>
        </w:rPr>
        <w:t xml:space="preserve">it </w:t>
      </w:r>
      <w:r w:rsidR="00394149" w:rsidRPr="00183483">
        <w:rPr>
          <w:rFonts w:ascii="Calibri" w:hAnsi="Calibri" w:cs="Calibri"/>
        </w:rPr>
        <w:t>do</w:t>
      </w:r>
      <w:r w:rsidR="002C0AFB" w:rsidRPr="00183483">
        <w:rPr>
          <w:rFonts w:ascii="Calibri" w:hAnsi="Calibri" w:cs="Calibri"/>
        </w:rPr>
        <w:t>es</w:t>
      </w:r>
      <w:r w:rsidR="00394149" w:rsidRPr="00183483">
        <w:rPr>
          <w:rFonts w:ascii="Calibri" w:hAnsi="Calibri" w:cs="Calibri"/>
        </w:rPr>
        <w:t xml:space="preserve"> not,</w:t>
      </w:r>
      <w:r w:rsidR="002C0AFB" w:rsidRPr="00183483">
        <w:rPr>
          <w:rFonts w:ascii="Calibri" w:hAnsi="Calibri" w:cs="Calibri"/>
        </w:rPr>
        <w:t xml:space="preserve"> DALA</w:t>
      </w:r>
      <w:r w:rsidR="00394149" w:rsidRPr="00183483">
        <w:rPr>
          <w:rFonts w:ascii="Calibri" w:hAnsi="Calibri" w:cs="Calibri"/>
        </w:rPr>
        <w:t xml:space="preserve"> schedule</w:t>
      </w:r>
      <w:r w:rsidR="00BC6F67" w:rsidRPr="00183483">
        <w:rPr>
          <w:rFonts w:ascii="Calibri" w:hAnsi="Calibri" w:cs="Calibri"/>
        </w:rPr>
        <w:t>s</w:t>
      </w:r>
      <w:r w:rsidR="00394149" w:rsidRPr="00183483">
        <w:rPr>
          <w:rFonts w:ascii="Calibri" w:hAnsi="Calibri" w:cs="Calibri"/>
        </w:rPr>
        <w:t xml:space="preserve"> </w:t>
      </w:r>
      <w:r w:rsidR="002C0AFB" w:rsidRPr="00183483">
        <w:rPr>
          <w:rFonts w:ascii="Calibri" w:hAnsi="Calibri" w:cs="Calibri"/>
        </w:rPr>
        <w:t>the</w:t>
      </w:r>
      <w:r w:rsidRPr="00183483">
        <w:rPr>
          <w:rFonts w:ascii="Calibri" w:hAnsi="Calibri" w:cs="Calibri"/>
        </w:rPr>
        <w:t xml:space="preserve"> </w:t>
      </w:r>
      <w:r w:rsidR="00394149" w:rsidRPr="00183483">
        <w:rPr>
          <w:rFonts w:ascii="Calibri" w:hAnsi="Calibri" w:cs="Calibri"/>
        </w:rPr>
        <w:t>case to be decided on the papers.</w:t>
      </w:r>
      <w:r w:rsidR="002C0AFB" w:rsidRPr="00183483">
        <w:rPr>
          <w:rFonts w:ascii="Calibri" w:hAnsi="Calibri" w:cs="Calibri"/>
        </w:rPr>
        <w:t xml:space="preserve">  </w:t>
      </w:r>
    </w:p>
    <w:p w14:paraId="145B4CE8" w14:textId="77777777" w:rsidR="00FF04D1" w:rsidRPr="00183483" w:rsidRDefault="00FF04D1" w:rsidP="001941D9">
      <w:pPr>
        <w:numPr>
          <w:ilvl w:val="0"/>
          <w:numId w:val="7"/>
        </w:numPr>
        <w:rPr>
          <w:rFonts w:ascii="Calibri" w:hAnsi="Calibri" w:cs="Calibri"/>
        </w:rPr>
      </w:pPr>
      <w:r w:rsidRPr="00183483">
        <w:rPr>
          <w:rFonts w:ascii="Calibri" w:hAnsi="Calibri" w:cs="Calibri"/>
          <w:b/>
          <w:bCs/>
          <w:iCs/>
        </w:rPr>
        <w:t>Bureau of Special Education Appeals</w:t>
      </w:r>
    </w:p>
    <w:p w14:paraId="0DA21D47" w14:textId="77777777" w:rsidR="001941D9" w:rsidRPr="00183483" w:rsidRDefault="001941D9" w:rsidP="001941D9">
      <w:pPr>
        <w:rPr>
          <w:rFonts w:ascii="Calibri" w:hAnsi="Calibri" w:cs="Calibri"/>
        </w:rPr>
      </w:pPr>
    </w:p>
    <w:p w14:paraId="1F49DABA" w14:textId="77777777" w:rsidR="001941D9" w:rsidRPr="00183483" w:rsidRDefault="00651753" w:rsidP="001F444B">
      <w:pPr>
        <w:spacing w:line="480" w:lineRule="auto"/>
        <w:ind w:firstLine="720"/>
        <w:rPr>
          <w:rFonts w:ascii="Calibri" w:hAnsi="Calibri" w:cs="Calibri"/>
        </w:rPr>
      </w:pPr>
      <w:r w:rsidRPr="00183483">
        <w:rPr>
          <w:rFonts w:ascii="Calibri" w:hAnsi="Calibri" w:cs="Calibri"/>
        </w:rPr>
        <w:t xml:space="preserve">The BSEA is </w:t>
      </w:r>
      <w:r w:rsidR="00FF04D1" w:rsidRPr="00183483">
        <w:rPr>
          <w:rFonts w:ascii="Calibri" w:hAnsi="Calibri" w:cs="Calibri"/>
        </w:rPr>
        <w:t>an independent unit</w:t>
      </w:r>
      <w:r w:rsidRPr="00183483">
        <w:rPr>
          <w:rFonts w:ascii="Calibri" w:hAnsi="Calibri" w:cs="Calibri"/>
        </w:rPr>
        <w:t xml:space="preserve"> within DALA.  </w:t>
      </w:r>
      <w:r w:rsidR="0065173E" w:rsidRPr="00183483">
        <w:rPr>
          <w:rFonts w:ascii="Calibri" w:hAnsi="Calibri" w:cs="Calibri"/>
        </w:rPr>
        <w:t>It provides a broad range of</w:t>
      </w:r>
    </w:p>
    <w:p w14:paraId="6F58D24E" w14:textId="77777777" w:rsidR="00FF04D1" w:rsidRPr="00183483" w:rsidRDefault="0065173E" w:rsidP="001F444B">
      <w:pPr>
        <w:spacing w:line="480" w:lineRule="auto"/>
        <w:rPr>
          <w:rFonts w:ascii="Calibri" w:hAnsi="Calibri" w:cs="Calibri"/>
          <w:color w:val="FF0000"/>
        </w:rPr>
      </w:pPr>
      <w:r w:rsidRPr="00183483">
        <w:rPr>
          <w:rFonts w:ascii="Calibri" w:hAnsi="Calibri" w:cs="Calibri"/>
        </w:rPr>
        <w:t xml:space="preserve">services applicable to resolution of disputes with respect to eligibility, evaluation, placement, individualized education programs (IEPs), special education services, and procedural protections for students with disabilities.  The BSEA </w:t>
      </w:r>
      <w:r w:rsidR="00BE1B0C" w:rsidRPr="00183483">
        <w:rPr>
          <w:rFonts w:ascii="Calibri" w:hAnsi="Calibri" w:cs="Calibri"/>
        </w:rPr>
        <w:t xml:space="preserve">is </w:t>
      </w:r>
      <w:r w:rsidR="00FF04D1" w:rsidRPr="00183483">
        <w:rPr>
          <w:rFonts w:ascii="Calibri" w:hAnsi="Calibri" w:cs="Calibri"/>
        </w:rPr>
        <w:t>federally funded through a grant managed by the Department of Elementary and Secondary Education (</w:t>
      </w:r>
      <w:r w:rsidR="00372838" w:rsidRPr="00183483">
        <w:rPr>
          <w:rFonts w:ascii="Calibri" w:hAnsi="Calibri" w:cs="Calibri"/>
        </w:rPr>
        <w:t>“</w:t>
      </w:r>
      <w:r w:rsidR="00FF04D1" w:rsidRPr="00183483">
        <w:rPr>
          <w:rFonts w:ascii="Calibri" w:hAnsi="Calibri" w:cs="Calibri"/>
        </w:rPr>
        <w:t>DESE</w:t>
      </w:r>
      <w:r w:rsidR="00372838" w:rsidRPr="00183483">
        <w:rPr>
          <w:rFonts w:ascii="Calibri" w:hAnsi="Calibri" w:cs="Calibri"/>
        </w:rPr>
        <w:t>”</w:t>
      </w:r>
      <w:r w:rsidR="00FF04D1" w:rsidRPr="00183483">
        <w:rPr>
          <w:rFonts w:ascii="Calibri" w:hAnsi="Calibri" w:cs="Calibri"/>
        </w:rPr>
        <w:t xml:space="preserve">). The Bureau was transferred from the DESE to </w:t>
      </w:r>
      <w:r w:rsidR="00C46A92" w:rsidRPr="00183483">
        <w:rPr>
          <w:rFonts w:ascii="Calibri" w:hAnsi="Calibri" w:cs="Calibri"/>
        </w:rPr>
        <w:t xml:space="preserve">DALA </w:t>
      </w:r>
      <w:r w:rsidR="00FF04D1" w:rsidRPr="00183483">
        <w:rPr>
          <w:rFonts w:ascii="Calibri" w:hAnsi="Calibri" w:cs="Calibri"/>
        </w:rPr>
        <w:t>by Chapter 131 of the Acts of 2010 to ensure independence from any educational agency that could be a party to or interested in the proceedings before the Bureau.  Pursuant to the transfer legislation, the Bureau and its caseload are managed independently of DALA’s other operations</w:t>
      </w:r>
      <w:r w:rsidR="001941D9" w:rsidRPr="00183483">
        <w:rPr>
          <w:rFonts w:ascii="Calibri" w:hAnsi="Calibri" w:cs="Calibri"/>
        </w:rPr>
        <w:t>.</w:t>
      </w:r>
      <w:r w:rsidR="00FF04D1" w:rsidRPr="00183483">
        <w:rPr>
          <w:rFonts w:ascii="Calibri" w:hAnsi="Calibri" w:cs="Calibri"/>
          <w:color w:val="FF0000"/>
        </w:rPr>
        <w:t xml:space="preserve"> </w:t>
      </w:r>
    </w:p>
    <w:p w14:paraId="3D88F824" w14:textId="77777777" w:rsidR="001941D9" w:rsidRPr="00183483" w:rsidRDefault="001941D9" w:rsidP="001941D9">
      <w:pPr>
        <w:ind w:firstLine="720"/>
        <w:rPr>
          <w:rFonts w:ascii="Calibri" w:hAnsi="Calibri" w:cs="Calibri"/>
          <w:color w:val="FF0000"/>
        </w:rPr>
      </w:pPr>
    </w:p>
    <w:p w14:paraId="4AA45605" w14:textId="77777777" w:rsidR="00316727" w:rsidRPr="00183483" w:rsidRDefault="00316727" w:rsidP="000127C3">
      <w:pPr>
        <w:spacing w:line="480" w:lineRule="auto"/>
        <w:ind w:firstLine="720"/>
        <w:rPr>
          <w:rFonts w:ascii="Calibri" w:hAnsi="Calibri" w:cs="Calibri"/>
        </w:rPr>
      </w:pPr>
      <w:r w:rsidRPr="00183483">
        <w:rPr>
          <w:rFonts w:ascii="Calibri" w:hAnsi="Calibri" w:cs="Calibri"/>
        </w:rPr>
        <w:t xml:space="preserve">In 2020, the BSEA, a nationally recognized leader in dispute resolution in the area of special education, provided a broad range of dispute resolution services applicable to disputes concerning eligibility, evaluation, placement, IEPs, special education services, and procedural protections for students with disabilities.  BSEA’s dispute resolution services include mediations, hearings, and settlement conferences.  The Bureau also provided facilitators for IEP Team meetings.  Parties to these proceedings include parents, school districts, private schools, the DESE, and other state agencies.  The BSEA, through an ISA with the Department of Public Health, also conducted mediations and due process hearings with respect to early intervention. </w:t>
      </w:r>
    </w:p>
    <w:p w14:paraId="1D84C899" w14:textId="77777777" w:rsidR="00316727" w:rsidRPr="00183483" w:rsidRDefault="00316727" w:rsidP="000127C3">
      <w:pPr>
        <w:spacing w:line="480" w:lineRule="auto"/>
        <w:ind w:firstLine="720"/>
        <w:rPr>
          <w:rFonts w:ascii="Calibri" w:hAnsi="Calibri" w:cs="Calibri"/>
        </w:rPr>
      </w:pPr>
      <w:r w:rsidRPr="00183483">
        <w:rPr>
          <w:rFonts w:ascii="Calibri" w:hAnsi="Calibri" w:cs="Calibri"/>
        </w:rPr>
        <w:lastRenderedPageBreak/>
        <w:t>Mindful of the need to protect the health of staff and the public and</w:t>
      </w:r>
      <w:r w:rsidR="001941D9" w:rsidRPr="00183483">
        <w:rPr>
          <w:rFonts w:ascii="Calibri" w:hAnsi="Calibri" w:cs="Calibri"/>
        </w:rPr>
        <w:t>,</w:t>
      </w:r>
      <w:r w:rsidRPr="00183483">
        <w:rPr>
          <w:rFonts w:ascii="Calibri" w:hAnsi="Calibri" w:cs="Calibri"/>
        </w:rPr>
        <w:t xml:space="preserve"> at the same time</w:t>
      </w:r>
      <w:r w:rsidR="001941D9" w:rsidRPr="00183483">
        <w:rPr>
          <w:rFonts w:ascii="Calibri" w:hAnsi="Calibri" w:cs="Calibri"/>
        </w:rPr>
        <w:t>,</w:t>
      </w:r>
      <w:r w:rsidRPr="00183483">
        <w:rPr>
          <w:rFonts w:ascii="Calibri" w:hAnsi="Calibri" w:cs="Calibri"/>
        </w:rPr>
        <w:t xml:space="preserve"> continue providing timely dispute resolution opportunities while ensuring that each party’s right to due process was not compromised during the pandemic, the BSEA revised some of its practices on an interim basis. Various mechanisms were implemented to address the challenges posed by the </w:t>
      </w:r>
      <w:r w:rsidR="001941D9" w:rsidRPr="00183483">
        <w:rPr>
          <w:rFonts w:ascii="Calibri" w:hAnsi="Calibri" w:cs="Calibri"/>
        </w:rPr>
        <w:t>COVID-</w:t>
      </w:r>
      <w:r w:rsidRPr="00183483">
        <w:rPr>
          <w:rFonts w:ascii="Calibri" w:hAnsi="Calibri" w:cs="Calibri"/>
        </w:rPr>
        <w:t xml:space="preserve">19 emergency. These mechanisms included: providing staff with necessary technology and support to enable mediations, hearings and settlement conferences to be conducted virtually; changing staffing patterns to comply with state </w:t>
      </w:r>
      <w:r w:rsidR="001941D9" w:rsidRPr="00183483">
        <w:rPr>
          <w:rFonts w:ascii="Calibri" w:hAnsi="Calibri" w:cs="Calibri"/>
        </w:rPr>
        <w:t>COVID</w:t>
      </w:r>
      <w:r w:rsidRPr="00183483">
        <w:rPr>
          <w:rFonts w:ascii="Calibri" w:hAnsi="Calibri" w:cs="Calibri"/>
        </w:rPr>
        <w:t xml:space="preserve"> guidelines, coordinating staff’s working remotely and in person so as to protect the health of staff while maintaining compliance with federal and state due process mandates and allowing for timely response to the public</w:t>
      </w:r>
      <w:r w:rsidR="001F16E3" w:rsidRPr="00183483">
        <w:rPr>
          <w:rFonts w:ascii="Calibri" w:hAnsi="Calibri" w:cs="Calibri"/>
        </w:rPr>
        <w:t>. These changes required</w:t>
      </w:r>
      <w:r w:rsidRPr="00183483">
        <w:rPr>
          <w:rFonts w:ascii="Calibri" w:hAnsi="Calibri" w:cs="Calibri"/>
        </w:rPr>
        <w:t xml:space="preserve"> enacting standing orders allowing for virtual proceedings and the use of electronic communication between staff and constituents. These and other responsive measures allowed for a seamless transition to remote BSEA practice during </w:t>
      </w:r>
      <w:proofErr w:type="spellStart"/>
      <w:r w:rsidRPr="00183483">
        <w:rPr>
          <w:rFonts w:ascii="Calibri" w:hAnsi="Calibri" w:cs="Calibri"/>
        </w:rPr>
        <w:t>fy</w:t>
      </w:r>
      <w:proofErr w:type="spellEnd"/>
      <w:r w:rsidRPr="00183483">
        <w:rPr>
          <w:rFonts w:ascii="Calibri" w:hAnsi="Calibri" w:cs="Calibri"/>
        </w:rPr>
        <w:t xml:space="preserve"> 2020.</w:t>
      </w:r>
    </w:p>
    <w:p w14:paraId="0A1053B4" w14:textId="77777777" w:rsidR="00316727" w:rsidRPr="00183483" w:rsidRDefault="00316727" w:rsidP="000127C3">
      <w:pPr>
        <w:spacing w:line="480" w:lineRule="auto"/>
        <w:ind w:firstLine="720"/>
        <w:rPr>
          <w:rFonts w:ascii="Calibri" w:hAnsi="Calibri" w:cs="Calibri"/>
        </w:rPr>
      </w:pPr>
      <w:r w:rsidRPr="00183483">
        <w:rPr>
          <w:rFonts w:ascii="Calibri" w:hAnsi="Calibri" w:cs="Calibri"/>
        </w:rPr>
        <w:t xml:space="preserve">In </w:t>
      </w:r>
      <w:r w:rsidR="0033729C" w:rsidRPr="00183483">
        <w:rPr>
          <w:rFonts w:ascii="Calibri" w:hAnsi="Calibri" w:cs="Calibri"/>
        </w:rPr>
        <w:t>F</w:t>
      </w:r>
      <w:r w:rsidRPr="00183483">
        <w:rPr>
          <w:rFonts w:ascii="Calibri" w:hAnsi="Calibri" w:cs="Calibri"/>
        </w:rPr>
        <w:t xml:space="preserve">iscal </w:t>
      </w:r>
      <w:r w:rsidR="0033729C" w:rsidRPr="00183483">
        <w:rPr>
          <w:rFonts w:ascii="Calibri" w:hAnsi="Calibri" w:cs="Calibri"/>
        </w:rPr>
        <w:t>Y</w:t>
      </w:r>
      <w:r w:rsidRPr="00183483">
        <w:rPr>
          <w:rFonts w:ascii="Calibri" w:hAnsi="Calibri" w:cs="Calibri"/>
        </w:rPr>
        <w:t>ear 2020</w:t>
      </w:r>
      <w:r w:rsidRPr="00183483">
        <w:rPr>
          <w:rStyle w:val="FootnoteReference"/>
          <w:rFonts w:ascii="Calibri" w:hAnsi="Calibri" w:cs="Calibri"/>
        </w:rPr>
        <w:footnoteReference w:id="1"/>
      </w:r>
      <w:r w:rsidRPr="00183483">
        <w:rPr>
          <w:rFonts w:ascii="Calibri" w:hAnsi="Calibri" w:cs="Calibri"/>
        </w:rPr>
        <w:t xml:space="preserve">, </w:t>
      </w:r>
      <w:r w:rsidRPr="00183483">
        <w:rPr>
          <w:rFonts w:ascii="Calibri" w:hAnsi="Calibri" w:cs="Calibri"/>
          <w:color w:val="141414"/>
        </w:rPr>
        <w:t>there were approximately 9,442 rejected IEPs received by the BSEA, representing a decrease from the 11,979</w:t>
      </w:r>
      <w:r w:rsidRPr="00183483">
        <w:rPr>
          <w:rStyle w:val="Strong"/>
          <w:rFonts w:ascii="Calibri" w:hAnsi="Calibri" w:cs="Calibri"/>
          <w:color w:val="141414"/>
        </w:rPr>
        <w:t> </w:t>
      </w:r>
      <w:r w:rsidRPr="00183483">
        <w:rPr>
          <w:rFonts w:ascii="Calibri" w:hAnsi="Calibri" w:cs="Calibri"/>
          <w:color w:val="141414"/>
        </w:rPr>
        <w:t>received in the prior year.</w:t>
      </w:r>
      <w:r w:rsidR="001F16E3" w:rsidRPr="00183483">
        <w:rPr>
          <w:rFonts w:ascii="Calibri" w:hAnsi="Calibri" w:cs="Calibri"/>
          <w:color w:val="141414"/>
        </w:rPr>
        <w:t xml:space="preserve"> </w:t>
      </w:r>
      <w:r w:rsidRPr="00183483">
        <w:rPr>
          <w:rFonts w:ascii="Calibri" w:hAnsi="Calibri" w:cs="Calibri"/>
        </w:rPr>
        <w:t>The BSEA conducted 77 facilitated IEP</w:t>
      </w:r>
      <w:r w:rsidR="001F444B" w:rsidRPr="00183483">
        <w:rPr>
          <w:rFonts w:ascii="Calibri" w:hAnsi="Calibri" w:cs="Calibri"/>
        </w:rPr>
        <w:t xml:space="preserve"> (FIEP)</w:t>
      </w:r>
      <w:r w:rsidRPr="00183483">
        <w:rPr>
          <w:rFonts w:ascii="Calibri" w:hAnsi="Calibri" w:cs="Calibri"/>
        </w:rPr>
        <w:t xml:space="preserve"> Team meetings, a decrease from the 114 conducted during the previous year.</w:t>
      </w:r>
      <w:r w:rsidRPr="00183483">
        <w:rPr>
          <w:rStyle w:val="FootnoteReference"/>
          <w:rFonts w:ascii="Calibri" w:hAnsi="Calibri" w:cs="Calibri"/>
        </w:rPr>
        <w:footnoteReference w:id="2"/>
      </w:r>
      <w:r w:rsidRPr="00183483">
        <w:rPr>
          <w:rFonts w:ascii="Calibri" w:hAnsi="Calibri" w:cs="Calibri"/>
        </w:rPr>
        <w:t xml:space="preserve">  There were 573 mediations conducted in</w:t>
      </w:r>
      <w:r w:rsidR="001F16E3" w:rsidRPr="00183483">
        <w:rPr>
          <w:rFonts w:ascii="Calibri" w:hAnsi="Calibri" w:cs="Calibri"/>
        </w:rPr>
        <w:t xml:space="preserve"> </w:t>
      </w:r>
      <w:r w:rsidRPr="00183483">
        <w:rPr>
          <w:rFonts w:ascii="Calibri" w:hAnsi="Calibri" w:cs="Calibri"/>
        </w:rPr>
        <w:t xml:space="preserve">FY 2020, a decrease from the 714 conducted during the prior year. Mediations resulted in the parties </w:t>
      </w:r>
      <w:r w:rsidRPr="00183483">
        <w:rPr>
          <w:rFonts w:ascii="Calibri" w:hAnsi="Calibri" w:cs="Calibri"/>
        </w:rPr>
        <w:lastRenderedPageBreak/>
        <w:t>reaching an agreement 83 % of the time.</w:t>
      </w:r>
      <w:r w:rsidR="001F16E3" w:rsidRPr="00183483">
        <w:rPr>
          <w:rFonts w:ascii="Calibri" w:hAnsi="Calibri" w:cs="Calibri"/>
        </w:rPr>
        <w:t xml:space="preserve"> </w:t>
      </w:r>
      <w:r w:rsidRPr="00183483">
        <w:rPr>
          <w:rFonts w:ascii="Calibri" w:hAnsi="Calibri" w:cs="Calibri"/>
        </w:rPr>
        <w:t>In addition, settlement conferences were held in 68 of the cases that were filed for hearing in FY 2020 (as compared to 76 held in FY 2019 cases). Of these, 62 were settled, representing a settlement rate of approximately 91%.</w:t>
      </w:r>
    </w:p>
    <w:p w14:paraId="2F67C3C2" w14:textId="2A0B77DF" w:rsidR="00316727" w:rsidRPr="00183483" w:rsidRDefault="00316727" w:rsidP="000127C3">
      <w:pPr>
        <w:pStyle w:val="NormalWeb"/>
        <w:spacing w:before="0" w:beforeAutospacing="0" w:line="480" w:lineRule="auto"/>
        <w:ind w:firstLine="720"/>
        <w:rPr>
          <w:rFonts w:ascii="Calibri" w:hAnsi="Calibri" w:cs="Calibri"/>
        </w:rPr>
      </w:pPr>
      <w:r w:rsidRPr="00183483">
        <w:rPr>
          <w:rFonts w:ascii="Calibri" w:hAnsi="Calibri" w:cs="Calibri"/>
          <w:color w:val="141414"/>
        </w:rPr>
        <w:t>The BSEA received 379 hearing requests during FY 2020, a decrease from the 483 requests received in the prior year.  BSEA hearing officers conducted full hearings resulting in the issuance of 19 decisions (the same number of decisions issued in the previous year). In addition, 44 substantive written rulings were issued (as compared to 48</w:t>
      </w:r>
      <w:r w:rsidR="001962FE" w:rsidRPr="00183483">
        <w:rPr>
          <w:rFonts w:ascii="Calibri" w:hAnsi="Calibri" w:cs="Calibri"/>
          <w:color w:val="141414"/>
        </w:rPr>
        <w:t xml:space="preserve"> </w:t>
      </w:r>
      <w:r w:rsidRPr="00183483">
        <w:rPr>
          <w:rFonts w:ascii="Calibri" w:hAnsi="Calibri" w:cs="Calibri"/>
          <w:color w:val="141414"/>
        </w:rPr>
        <w:t>in the previous year).</w:t>
      </w:r>
      <w:r w:rsidRPr="00183483">
        <w:rPr>
          <w:rFonts w:ascii="Calibri" w:hAnsi="Calibri" w:cs="Calibri"/>
        </w:rPr>
        <w:t xml:space="preserve"> Tab </w:t>
      </w:r>
      <w:r w:rsidR="00FE481A" w:rsidRPr="00183483">
        <w:rPr>
          <w:rFonts w:ascii="Calibri" w:hAnsi="Calibri" w:cs="Calibri"/>
        </w:rPr>
        <w:t>1</w:t>
      </w:r>
      <w:r w:rsidRPr="00183483">
        <w:rPr>
          <w:rFonts w:ascii="Calibri" w:hAnsi="Calibri" w:cs="Calibri"/>
        </w:rPr>
        <w:t xml:space="preserve"> contains a multi-year summary of the BSEA’s annual statistics.</w:t>
      </w:r>
      <w:r w:rsidRPr="00183483">
        <w:rPr>
          <w:rStyle w:val="FootnoteReference"/>
          <w:rFonts w:ascii="Calibri" w:hAnsi="Calibri" w:cs="Calibri"/>
        </w:rPr>
        <w:footnoteReference w:id="3"/>
      </w:r>
      <w:r w:rsidRPr="00183483">
        <w:rPr>
          <w:rFonts w:ascii="Calibri" w:hAnsi="Calibri" w:cs="Calibri"/>
        </w:rPr>
        <w:t xml:space="preserve">   </w:t>
      </w:r>
    </w:p>
    <w:p w14:paraId="3ACDB920" w14:textId="77777777" w:rsidR="00316727" w:rsidRPr="00183483" w:rsidRDefault="00316727" w:rsidP="00073C6C">
      <w:pPr>
        <w:pStyle w:val="NormalWeb"/>
        <w:spacing w:before="0" w:beforeAutospacing="0"/>
        <w:ind w:firstLine="720"/>
        <w:rPr>
          <w:rFonts w:ascii="Calibri" w:hAnsi="Calibri" w:cs="Calibri"/>
        </w:rPr>
      </w:pPr>
      <w:r w:rsidRPr="00183483">
        <w:rPr>
          <w:rFonts w:ascii="Calibri" w:hAnsi="Calibri" w:cs="Calibri"/>
        </w:rPr>
        <w:t xml:space="preserve">BSEA staff continued to provide trainings and presentations this year for </w:t>
      </w:r>
    </w:p>
    <w:p w14:paraId="0143DDB1" w14:textId="77777777" w:rsidR="00316727" w:rsidRPr="00183483" w:rsidRDefault="00316727" w:rsidP="00316727">
      <w:pPr>
        <w:pStyle w:val="NormalWeb"/>
        <w:spacing w:before="0" w:beforeAutospacing="0"/>
        <w:rPr>
          <w:rFonts w:ascii="Calibri" w:hAnsi="Calibri" w:cs="Calibri"/>
        </w:rPr>
      </w:pPr>
      <w:r w:rsidRPr="00183483">
        <w:rPr>
          <w:rFonts w:ascii="Calibri" w:hAnsi="Calibri" w:cs="Calibri"/>
        </w:rPr>
        <w:t xml:space="preserve">constituent groups including Special Education Parent Advisory Councils, </w:t>
      </w:r>
    </w:p>
    <w:p w14:paraId="239C7358" w14:textId="77777777" w:rsidR="00316727" w:rsidRPr="00183483" w:rsidRDefault="00316727" w:rsidP="00316727">
      <w:pPr>
        <w:pStyle w:val="NormalWeb"/>
        <w:spacing w:before="0" w:beforeAutospacing="0"/>
        <w:rPr>
          <w:rFonts w:ascii="Calibri" w:hAnsi="Calibri" w:cs="Calibri"/>
        </w:rPr>
      </w:pPr>
      <w:r w:rsidRPr="00183483">
        <w:rPr>
          <w:rFonts w:ascii="Calibri" w:hAnsi="Calibri" w:cs="Calibri"/>
        </w:rPr>
        <w:t xml:space="preserve">parent advocacy groups, school district personnel, non-profit groups, </w:t>
      </w:r>
    </w:p>
    <w:p w14:paraId="4401B89B" w14:textId="77777777" w:rsidR="00316727" w:rsidRPr="00183483" w:rsidRDefault="00316727" w:rsidP="00316727">
      <w:pPr>
        <w:pStyle w:val="NormalWeb"/>
        <w:spacing w:before="0" w:beforeAutospacing="0"/>
        <w:rPr>
          <w:rFonts w:ascii="Calibri" w:hAnsi="Calibri" w:cs="Calibri"/>
        </w:rPr>
      </w:pPr>
      <w:r w:rsidRPr="00183483">
        <w:rPr>
          <w:rFonts w:ascii="Calibri" w:hAnsi="Calibri" w:cs="Calibri"/>
        </w:rPr>
        <w:t xml:space="preserve">Massachusetts Continuing Legal Education and other interested </w:t>
      </w:r>
    </w:p>
    <w:p w14:paraId="1113FC26" w14:textId="77777777" w:rsidR="00316727" w:rsidRPr="00183483" w:rsidRDefault="00316727" w:rsidP="00316727">
      <w:pPr>
        <w:pStyle w:val="NormalWeb"/>
        <w:spacing w:before="0" w:beforeAutospacing="0"/>
        <w:rPr>
          <w:rFonts w:ascii="Calibri" w:hAnsi="Calibri" w:cs="Calibri"/>
        </w:rPr>
      </w:pPr>
      <w:r w:rsidRPr="00183483">
        <w:rPr>
          <w:rFonts w:ascii="Calibri" w:hAnsi="Calibri" w:cs="Calibri"/>
        </w:rPr>
        <w:t xml:space="preserve">groups around the Commonwealth. This commitment to increasing the visibility of </w:t>
      </w:r>
    </w:p>
    <w:p w14:paraId="46BCF3E7" w14:textId="77777777" w:rsidR="00316727" w:rsidRPr="00183483" w:rsidRDefault="00316727" w:rsidP="00316727">
      <w:pPr>
        <w:pStyle w:val="NormalWeb"/>
        <w:spacing w:before="0" w:beforeAutospacing="0"/>
        <w:rPr>
          <w:rFonts w:ascii="Calibri" w:hAnsi="Calibri" w:cs="Calibri"/>
          <w:color w:val="141414"/>
        </w:rPr>
      </w:pPr>
      <w:r w:rsidRPr="00183483">
        <w:rPr>
          <w:rFonts w:ascii="Calibri" w:hAnsi="Calibri" w:cs="Calibri"/>
        </w:rPr>
        <w:t xml:space="preserve">BSEA’s services will continue.    </w:t>
      </w:r>
    </w:p>
    <w:p w14:paraId="59E5C44D" w14:textId="77777777" w:rsidR="00675F66" w:rsidRPr="00183483" w:rsidRDefault="00024666" w:rsidP="00E0033E">
      <w:pPr>
        <w:spacing w:line="480" w:lineRule="auto"/>
        <w:ind w:firstLine="720"/>
        <w:rPr>
          <w:rFonts w:ascii="Calibri" w:eastAsia="Calibri" w:hAnsi="Calibri" w:cs="Calibri"/>
        </w:rPr>
      </w:pPr>
      <w:r w:rsidRPr="00183483">
        <w:rPr>
          <w:rFonts w:ascii="Calibri" w:eastAsia="Calibri" w:hAnsi="Calibri" w:cs="Calibri"/>
          <w:b/>
        </w:rPr>
        <w:t>III</w:t>
      </w:r>
      <w:r w:rsidR="0021022C" w:rsidRPr="00183483">
        <w:rPr>
          <w:rFonts w:ascii="Calibri" w:eastAsia="Calibri" w:hAnsi="Calibri" w:cs="Calibri"/>
          <w:b/>
        </w:rPr>
        <w:t>.</w:t>
      </w:r>
      <w:r w:rsidR="0021022C" w:rsidRPr="00183483">
        <w:rPr>
          <w:rFonts w:ascii="Calibri" w:eastAsia="Calibri" w:hAnsi="Calibri" w:cs="Calibri"/>
        </w:rPr>
        <w:t xml:space="preserve"> </w:t>
      </w:r>
      <w:r w:rsidR="0087106C" w:rsidRPr="00183483">
        <w:rPr>
          <w:rFonts w:ascii="Calibri" w:hAnsi="Calibri" w:cs="Calibri"/>
          <w:b/>
        </w:rPr>
        <w:t>AN</w:t>
      </w:r>
      <w:r w:rsidR="00EB369D" w:rsidRPr="00183483">
        <w:rPr>
          <w:rFonts w:ascii="Calibri" w:hAnsi="Calibri" w:cs="Calibri"/>
          <w:b/>
        </w:rPr>
        <w:t xml:space="preserve">ALYSIS OF </w:t>
      </w:r>
      <w:r w:rsidR="00D43721" w:rsidRPr="00183483">
        <w:rPr>
          <w:rFonts w:ascii="Calibri" w:hAnsi="Calibri" w:cs="Calibri"/>
          <w:b/>
        </w:rPr>
        <w:t xml:space="preserve">GJU </w:t>
      </w:r>
      <w:r w:rsidR="00EB369D" w:rsidRPr="00183483">
        <w:rPr>
          <w:rFonts w:ascii="Calibri" w:hAnsi="Calibri" w:cs="Calibri"/>
          <w:b/>
        </w:rPr>
        <w:t xml:space="preserve">CASES </w:t>
      </w:r>
      <w:r w:rsidR="00552FAC" w:rsidRPr="00183483">
        <w:rPr>
          <w:rFonts w:ascii="Calibri" w:hAnsi="Calibri" w:cs="Calibri"/>
          <w:b/>
        </w:rPr>
        <w:t>OPENED AND CLOSED</w:t>
      </w:r>
      <w:r w:rsidR="00EB369D" w:rsidRPr="00183483">
        <w:rPr>
          <w:rFonts w:ascii="Calibri" w:hAnsi="Calibri" w:cs="Calibri"/>
          <w:b/>
        </w:rPr>
        <w:t xml:space="preserve"> IN 20</w:t>
      </w:r>
      <w:r w:rsidR="00E31F63" w:rsidRPr="00183483">
        <w:rPr>
          <w:rFonts w:ascii="Calibri" w:hAnsi="Calibri" w:cs="Calibri"/>
          <w:b/>
        </w:rPr>
        <w:t>20</w:t>
      </w:r>
    </w:p>
    <w:p w14:paraId="5EA8A094" w14:textId="18FBB301" w:rsidR="00E31F63" w:rsidRPr="00183483" w:rsidRDefault="00753FC7" w:rsidP="00E31F63">
      <w:pPr>
        <w:spacing w:line="480" w:lineRule="auto"/>
        <w:ind w:firstLine="720"/>
        <w:rPr>
          <w:rFonts w:ascii="Calibri" w:hAnsi="Calibri" w:cs="Calibri"/>
        </w:rPr>
      </w:pPr>
      <w:r w:rsidRPr="00183483">
        <w:rPr>
          <w:rFonts w:ascii="Calibri" w:hAnsi="Calibri" w:cs="Calibri"/>
        </w:rPr>
        <w:t xml:space="preserve">A review of the GJU cases </w:t>
      </w:r>
      <w:r w:rsidR="000127C3" w:rsidRPr="00183483">
        <w:rPr>
          <w:rFonts w:ascii="Calibri" w:hAnsi="Calibri" w:cs="Calibri"/>
        </w:rPr>
        <w:t>filed and those resolved</w:t>
      </w:r>
      <w:r w:rsidRPr="00183483">
        <w:rPr>
          <w:rFonts w:ascii="Calibri" w:hAnsi="Calibri" w:cs="Calibri"/>
        </w:rPr>
        <w:t xml:space="preserve"> in 2020 provides insight into the </w:t>
      </w:r>
      <w:r w:rsidR="005620CC" w:rsidRPr="00183483">
        <w:rPr>
          <w:rFonts w:ascii="Calibri" w:hAnsi="Calibri" w:cs="Calibri"/>
        </w:rPr>
        <w:t>impact the COVID-19 pandemic had on the unit’s operation.</w:t>
      </w:r>
      <w:r w:rsidR="000127C3" w:rsidRPr="00183483">
        <w:rPr>
          <w:rFonts w:ascii="Calibri" w:hAnsi="Calibri" w:cs="Calibri"/>
        </w:rPr>
        <w:t xml:space="preserve"> </w:t>
      </w:r>
      <w:r w:rsidR="00E31F63" w:rsidRPr="00183483">
        <w:rPr>
          <w:rFonts w:ascii="Calibri" w:hAnsi="Calibri" w:cs="Calibri"/>
        </w:rPr>
        <w:t xml:space="preserve">In 2020, the GJU’s </w:t>
      </w:r>
      <w:r w:rsidR="00E31F63" w:rsidRPr="00183483">
        <w:rPr>
          <w:rFonts w:ascii="Calibri" w:hAnsi="Calibri" w:cs="Calibri"/>
        </w:rPr>
        <w:lastRenderedPageBreak/>
        <w:t xml:space="preserve">inventory of cases grew by </w:t>
      </w:r>
      <w:r w:rsidR="00FE481A" w:rsidRPr="00183483">
        <w:rPr>
          <w:rFonts w:ascii="Calibri" w:hAnsi="Calibri" w:cs="Calibri"/>
        </w:rPr>
        <w:t>8.5</w:t>
      </w:r>
      <w:r w:rsidR="00E31F63" w:rsidRPr="00183483">
        <w:rPr>
          <w:rFonts w:ascii="Calibri" w:hAnsi="Calibri" w:cs="Calibri"/>
        </w:rPr>
        <w:t xml:space="preserve">%. The increase was caused by a reduction in the number of evidentiary hearings the GJU scheduled and a sharp increase in the number of Rate Setting Cases filed at the end of 2020. Tab </w:t>
      </w:r>
      <w:r w:rsidR="00FE481A" w:rsidRPr="00183483">
        <w:rPr>
          <w:rFonts w:ascii="Calibri" w:hAnsi="Calibri" w:cs="Calibri"/>
        </w:rPr>
        <w:t>2</w:t>
      </w:r>
      <w:r w:rsidR="00E31F63" w:rsidRPr="00183483">
        <w:rPr>
          <w:rFonts w:ascii="Calibri" w:hAnsi="Calibri" w:cs="Calibri"/>
        </w:rPr>
        <w:t xml:space="preserve"> contains a list of open GJU cases as of January 1, 2021.</w:t>
      </w:r>
      <w:r w:rsidR="001962FE" w:rsidRPr="00183483">
        <w:rPr>
          <w:rStyle w:val="FootnoteReference"/>
          <w:rFonts w:ascii="Calibri" w:hAnsi="Calibri" w:cs="Calibri"/>
        </w:rPr>
        <w:footnoteReference w:id="4"/>
      </w:r>
      <w:r w:rsidR="00E31F63" w:rsidRPr="00183483">
        <w:rPr>
          <w:rFonts w:ascii="Calibri" w:hAnsi="Calibri" w:cs="Calibri"/>
        </w:rPr>
        <w:t xml:space="preserve">  This tab shows that the GJU had 3,</w:t>
      </w:r>
      <w:r w:rsidR="00FE481A" w:rsidRPr="00183483">
        <w:rPr>
          <w:rFonts w:ascii="Calibri" w:hAnsi="Calibri" w:cs="Calibri"/>
        </w:rPr>
        <w:t>621</w:t>
      </w:r>
      <w:r w:rsidR="00E31F63" w:rsidRPr="00183483">
        <w:rPr>
          <w:rFonts w:ascii="Calibri" w:hAnsi="Calibri" w:cs="Calibri"/>
          <w:color w:val="FF0000"/>
        </w:rPr>
        <w:t xml:space="preserve"> </w:t>
      </w:r>
      <w:r w:rsidR="00E31F63" w:rsidRPr="00183483">
        <w:rPr>
          <w:rFonts w:ascii="Calibri" w:hAnsi="Calibri" w:cs="Calibri"/>
        </w:rPr>
        <w:t xml:space="preserve">open cases as of the first of this year, an increase </w:t>
      </w:r>
      <w:proofErr w:type="gramStart"/>
      <w:r w:rsidR="00E31F63" w:rsidRPr="00183483">
        <w:rPr>
          <w:rFonts w:ascii="Calibri" w:hAnsi="Calibri" w:cs="Calibri"/>
        </w:rPr>
        <w:t xml:space="preserve">of  </w:t>
      </w:r>
      <w:r w:rsidR="00FE481A" w:rsidRPr="00183483">
        <w:rPr>
          <w:rFonts w:ascii="Calibri" w:hAnsi="Calibri" w:cs="Calibri"/>
        </w:rPr>
        <w:t>285</w:t>
      </w:r>
      <w:proofErr w:type="gramEnd"/>
      <w:r w:rsidR="00E31F63" w:rsidRPr="00183483">
        <w:rPr>
          <w:rFonts w:ascii="Calibri" w:hAnsi="Calibri" w:cs="Calibri"/>
        </w:rPr>
        <w:t xml:space="preserve"> over the 3,336 cases on its docket as of January 1, 2020.  The number of open Retirement Cases on the GJU’s docket was </w:t>
      </w:r>
      <w:r w:rsidR="005434A3" w:rsidRPr="00183483">
        <w:rPr>
          <w:rFonts w:ascii="Calibri" w:hAnsi="Calibri" w:cs="Calibri"/>
        </w:rPr>
        <w:t xml:space="preserve">1,143 </w:t>
      </w:r>
      <w:r w:rsidR="00E31F63" w:rsidRPr="00183483">
        <w:rPr>
          <w:rFonts w:ascii="Calibri" w:hAnsi="Calibri" w:cs="Calibri"/>
        </w:rPr>
        <w:t>on January 1, 202</w:t>
      </w:r>
      <w:r w:rsidR="00FE481A" w:rsidRPr="00183483">
        <w:rPr>
          <w:rFonts w:ascii="Calibri" w:hAnsi="Calibri" w:cs="Calibri"/>
        </w:rPr>
        <w:t>0</w:t>
      </w:r>
      <w:r w:rsidR="00E31F63" w:rsidRPr="00183483">
        <w:rPr>
          <w:rFonts w:ascii="Calibri" w:hAnsi="Calibri" w:cs="Calibri"/>
        </w:rPr>
        <w:t>. A year later that number was</w:t>
      </w:r>
      <w:r w:rsidR="005434A3" w:rsidRPr="00183483">
        <w:rPr>
          <w:rFonts w:ascii="Calibri" w:hAnsi="Calibri" w:cs="Calibri"/>
        </w:rPr>
        <w:t xml:space="preserve"> 1,161</w:t>
      </w:r>
      <w:r w:rsidR="00E31F63" w:rsidRPr="00183483">
        <w:rPr>
          <w:rFonts w:ascii="Calibri" w:hAnsi="Calibri" w:cs="Calibri"/>
        </w:rPr>
        <w:t xml:space="preserve">, an increase of </w:t>
      </w:r>
      <w:r w:rsidR="001B3D9D" w:rsidRPr="00183483">
        <w:rPr>
          <w:rFonts w:ascii="Calibri" w:hAnsi="Calibri" w:cs="Calibri"/>
        </w:rPr>
        <w:t>1.</w:t>
      </w:r>
      <w:r w:rsidR="001B3141" w:rsidRPr="00183483">
        <w:rPr>
          <w:rFonts w:ascii="Calibri" w:hAnsi="Calibri" w:cs="Calibri"/>
        </w:rPr>
        <w:t>6</w:t>
      </w:r>
      <w:r w:rsidR="00E31F63" w:rsidRPr="00183483">
        <w:rPr>
          <w:rFonts w:ascii="Calibri" w:hAnsi="Calibri" w:cs="Calibri"/>
        </w:rPr>
        <w:t>%.  The number of open Rate Setting Cases increased from 2,038 to 2,232 cases. This 9.5% increase was driven by the fact that 192 Rate Setting cases were filed at the end of 2020.</w:t>
      </w:r>
    </w:p>
    <w:p w14:paraId="0625291B" w14:textId="687636DF" w:rsidR="00F813F6" w:rsidRPr="00183483" w:rsidRDefault="007033F5" w:rsidP="00E31F63">
      <w:pPr>
        <w:spacing w:line="480" w:lineRule="auto"/>
        <w:ind w:firstLine="720"/>
        <w:rPr>
          <w:rFonts w:ascii="Calibri" w:hAnsi="Calibri" w:cs="Calibri"/>
        </w:rPr>
      </w:pPr>
      <w:r w:rsidRPr="00183483">
        <w:rPr>
          <w:rFonts w:ascii="Calibri" w:hAnsi="Calibri" w:cs="Calibri"/>
        </w:rPr>
        <w:t xml:space="preserve">Tab </w:t>
      </w:r>
      <w:r w:rsidR="008D2B6C" w:rsidRPr="00183483">
        <w:rPr>
          <w:rFonts w:ascii="Calibri" w:hAnsi="Calibri" w:cs="Calibri"/>
        </w:rPr>
        <w:t>3</w:t>
      </w:r>
      <w:r w:rsidR="00517B66" w:rsidRPr="00183483">
        <w:rPr>
          <w:rFonts w:ascii="Calibri" w:hAnsi="Calibri" w:cs="Calibri"/>
        </w:rPr>
        <w:t xml:space="preserve"> contains a </w:t>
      </w:r>
      <w:r w:rsidR="0087106C" w:rsidRPr="00183483">
        <w:rPr>
          <w:rFonts w:ascii="Calibri" w:hAnsi="Calibri" w:cs="Calibri"/>
        </w:rPr>
        <w:t>re</w:t>
      </w:r>
      <w:r w:rsidR="004C4C70" w:rsidRPr="00183483">
        <w:rPr>
          <w:rFonts w:ascii="Calibri" w:hAnsi="Calibri" w:cs="Calibri"/>
        </w:rPr>
        <w:t xml:space="preserve">port of the cases </w:t>
      </w:r>
      <w:r w:rsidR="00073C6C" w:rsidRPr="00183483">
        <w:rPr>
          <w:rFonts w:ascii="Calibri" w:hAnsi="Calibri" w:cs="Calibri"/>
        </w:rPr>
        <w:t xml:space="preserve">the GJU </w:t>
      </w:r>
      <w:r w:rsidR="004C4C70" w:rsidRPr="00183483">
        <w:rPr>
          <w:rFonts w:ascii="Calibri" w:hAnsi="Calibri" w:cs="Calibri"/>
        </w:rPr>
        <w:t>opened in 20</w:t>
      </w:r>
      <w:r w:rsidR="00A924D8" w:rsidRPr="00183483">
        <w:rPr>
          <w:rFonts w:ascii="Calibri" w:hAnsi="Calibri" w:cs="Calibri"/>
        </w:rPr>
        <w:t>20</w:t>
      </w:r>
      <w:r w:rsidR="00517B66" w:rsidRPr="00183483">
        <w:rPr>
          <w:rFonts w:ascii="Calibri" w:hAnsi="Calibri" w:cs="Calibri"/>
        </w:rPr>
        <w:t xml:space="preserve">.  The </w:t>
      </w:r>
      <w:r w:rsidR="0087106C" w:rsidRPr="00183483">
        <w:rPr>
          <w:rFonts w:ascii="Calibri" w:hAnsi="Calibri" w:cs="Calibri"/>
        </w:rPr>
        <w:t>repor</w:t>
      </w:r>
      <w:r w:rsidR="00937D2F" w:rsidRPr="00183483">
        <w:rPr>
          <w:rFonts w:ascii="Calibri" w:hAnsi="Calibri" w:cs="Calibri"/>
        </w:rPr>
        <w:t xml:space="preserve">t </w:t>
      </w:r>
      <w:r w:rsidR="009116B5" w:rsidRPr="00183483">
        <w:rPr>
          <w:rFonts w:ascii="Calibri" w:hAnsi="Calibri" w:cs="Calibri"/>
        </w:rPr>
        <w:t xml:space="preserve">shows </w:t>
      </w:r>
      <w:r w:rsidR="00A7028B" w:rsidRPr="00183483">
        <w:rPr>
          <w:rFonts w:ascii="Calibri" w:hAnsi="Calibri" w:cs="Calibri"/>
        </w:rPr>
        <w:t>that</w:t>
      </w:r>
      <w:r w:rsidR="00753FC7" w:rsidRPr="00183483">
        <w:rPr>
          <w:rFonts w:ascii="Calibri" w:hAnsi="Calibri" w:cs="Calibri"/>
        </w:rPr>
        <w:t xml:space="preserve"> the</w:t>
      </w:r>
      <w:r w:rsidR="005620CC" w:rsidRPr="00183483">
        <w:rPr>
          <w:rFonts w:ascii="Calibri" w:hAnsi="Calibri" w:cs="Calibri"/>
        </w:rPr>
        <w:t xml:space="preserve"> </w:t>
      </w:r>
      <w:r w:rsidR="00A7028B" w:rsidRPr="00183483">
        <w:rPr>
          <w:rFonts w:ascii="Calibri" w:hAnsi="Calibri" w:cs="Calibri"/>
        </w:rPr>
        <w:t>GJU</w:t>
      </w:r>
      <w:r w:rsidR="009116B5" w:rsidRPr="00183483">
        <w:rPr>
          <w:rFonts w:ascii="Calibri" w:hAnsi="Calibri" w:cs="Calibri"/>
        </w:rPr>
        <w:t xml:space="preserve"> opened 6</w:t>
      </w:r>
      <w:r w:rsidR="00073C6C" w:rsidRPr="00183483">
        <w:rPr>
          <w:rFonts w:ascii="Calibri" w:hAnsi="Calibri" w:cs="Calibri"/>
        </w:rPr>
        <w:t>36</w:t>
      </w:r>
      <w:r w:rsidR="009116B5" w:rsidRPr="00183483">
        <w:rPr>
          <w:rFonts w:ascii="Calibri" w:hAnsi="Calibri" w:cs="Calibri"/>
        </w:rPr>
        <w:t xml:space="preserve"> cases in 20</w:t>
      </w:r>
      <w:r w:rsidR="00A924D8" w:rsidRPr="00183483">
        <w:rPr>
          <w:rFonts w:ascii="Calibri" w:hAnsi="Calibri" w:cs="Calibri"/>
        </w:rPr>
        <w:t>20</w:t>
      </w:r>
      <w:r w:rsidR="00CC077B" w:rsidRPr="00183483">
        <w:rPr>
          <w:rFonts w:ascii="Calibri" w:hAnsi="Calibri" w:cs="Calibri"/>
        </w:rPr>
        <w:t xml:space="preserve">. The </w:t>
      </w:r>
      <w:r w:rsidR="005620CC" w:rsidRPr="00183483">
        <w:rPr>
          <w:rFonts w:ascii="Calibri" w:hAnsi="Calibri" w:cs="Calibri"/>
        </w:rPr>
        <w:t xml:space="preserve">unit </w:t>
      </w:r>
      <w:r w:rsidR="00CC077B" w:rsidRPr="00183483">
        <w:rPr>
          <w:rFonts w:ascii="Calibri" w:hAnsi="Calibri" w:cs="Calibri"/>
        </w:rPr>
        <w:t xml:space="preserve">opened </w:t>
      </w:r>
      <w:r w:rsidR="00073C6C" w:rsidRPr="00183483">
        <w:rPr>
          <w:rFonts w:ascii="Calibri" w:hAnsi="Calibri" w:cs="Calibri"/>
        </w:rPr>
        <w:t>283</w:t>
      </w:r>
      <w:r w:rsidR="00CC077B" w:rsidRPr="00183483">
        <w:rPr>
          <w:rFonts w:ascii="Calibri" w:hAnsi="Calibri" w:cs="Calibri"/>
        </w:rPr>
        <w:t xml:space="preserve"> Retirement Cases and </w:t>
      </w:r>
      <w:r w:rsidR="0058223A" w:rsidRPr="00183483">
        <w:rPr>
          <w:rFonts w:ascii="Calibri" w:hAnsi="Calibri" w:cs="Calibri"/>
        </w:rPr>
        <w:t>19</w:t>
      </w:r>
      <w:r w:rsidR="001B6F98" w:rsidRPr="00183483">
        <w:rPr>
          <w:rFonts w:ascii="Calibri" w:hAnsi="Calibri" w:cs="Calibri"/>
        </w:rPr>
        <w:t>2</w:t>
      </w:r>
      <w:r w:rsidR="0058223A" w:rsidRPr="00183483">
        <w:rPr>
          <w:rFonts w:ascii="Calibri" w:hAnsi="Calibri" w:cs="Calibri"/>
        </w:rPr>
        <w:t xml:space="preserve"> </w:t>
      </w:r>
      <w:r w:rsidR="00CC077B" w:rsidRPr="00183483">
        <w:rPr>
          <w:rFonts w:ascii="Calibri" w:hAnsi="Calibri" w:cs="Calibri"/>
        </w:rPr>
        <w:t>Rate Setting Cases in 20</w:t>
      </w:r>
      <w:r w:rsidR="009E5558" w:rsidRPr="00183483">
        <w:rPr>
          <w:rFonts w:ascii="Calibri" w:hAnsi="Calibri" w:cs="Calibri"/>
        </w:rPr>
        <w:t>20</w:t>
      </w:r>
      <w:r w:rsidR="00CC077B" w:rsidRPr="00183483">
        <w:rPr>
          <w:rFonts w:ascii="Calibri" w:hAnsi="Calibri" w:cs="Calibri"/>
        </w:rPr>
        <w:t xml:space="preserve">.  Tab 3 </w:t>
      </w:r>
      <w:r w:rsidR="00A7028B" w:rsidRPr="00183483">
        <w:rPr>
          <w:rFonts w:ascii="Calibri" w:hAnsi="Calibri" w:cs="Calibri"/>
        </w:rPr>
        <w:t xml:space="preserve">identifies each case </w:t>
      </w:r>
      <w:r w:rsidR="001520B6" w:rsidRPr="00183483">
        <w:rPr>
          <w:rFonts w:ascii="Calibri" w:hAnsi="Calibri" w:cs="Calibri"/>
        </w:rPr>
        <w:t xml:space="preserve">opened </w:t>
      </w:r>
      <w:r w:rsidR="00A7028B" w:rsidRPr="00183483">
        <w:rPr>
          <w:rFonts w:ascii="Calibri" w:hAnsi="Calibri" w:cs="Calibri"/>
        </w:rPr>
        <w:t xml:space="preserve">by name </w:t>
      </w:r>
      <w:r w:rsidR="00937D2F" w:rsidRPr="00183483">
        <w:rPr>
          <w:rFonts w:ascii="Calibri" w:hAnsi="Calibri" w:cs="Calibri"/>
        </w:rPr>
        <w:t xml:space="preserve">and docket number. The type of case is described in the </w:t>
      </w:r>
      <w:r w:rsidR="00A7028B" w:rsidRPr="00183483">
        <w:rPr>
          <w:rFonts w:ascii="Calibri" w:hAnsi="Calibri" w:cs="Calibri"/>
        </w:rPr>
        <w:t>prefix of the file number</w:t>
      </w:r>
      <w:r w:rsidR="00937D2F" w:rsidRPr="00183483">
        <w:rPr>
          <w:rFonts w:ascii="Calibri" w:hAnsi="Calibri" w:cs="Calibri"/>
        </w:rPr>
        <w:t>.  For example, “C</w:t>
      </w:r>
      <w:r w:rsidR="0046230B" w:rsidRPr="00183483">
        <w:rPr>
          <w:rFonts w:ascii="Calibri" w:hAnsi="Calibri" w:cs="Calibri"/>
        </w:rPr>
        <w:t>R</w:t>
      </w:r>
      <w:r w:rsidR="00937D2F" w:rsidRPr="00183483">
        <w:rPr>
          <w:rFonts w:ascii="Calibri" w:hAnsi="Calibri" w:cs="Calibri"/>
        </w:rPr>
        <w:t>” is Contributory Retirement,</w:t>
      </w:r>
      <w:r w:rsidR="00D43721" w:rsidRPr="00183483">
        <w:rPr>
          <w:rFonts w:ascii="Calibri" w:hAnsi="Calibri" w:cs="Calibri"/>
        </w:rPr>
        <w:t xml:space="preserve"> </w:t>
      </w:r>
      <w:r w:rsidR="00937D2F" w:rsidRPr="00183483">
        <w:rPr>
          <w:rFonts w:ascii="Calibri" w:hAnsi="Calibri" w:cs="Calibri"/>
        </w:rPr>
        <w:t xml:space="preserve">“RM” is Registration in Medicine, and “RS” is Rate </w:t>
      </w:r>
      <w:r w:rsidR="00E722DC" w:rsidRPr="00183483">
        <w:rPr>
          <w:rFonts w:ascii="Calibri" w:hAnsi="Calibri" w:cs="Calibri"/>
        </w:rPr>
        <w:t>S</w:t>
      </w:r>
      <w:r w:rsidR="00937D2F" w:rsidRPr="00183483">
        <w:rPr>
          <w:rFonts w:ascii="Calibri" w:hAnsi="Calibri" w:cs="Calibri"/>
        </w:rPr>
        <w:t>etting.</w:t>
      </w:r>
      <w:r w:rsidR="00FA4EB6" w:rsidRPr="00183483">
        <w:rPr>
          <w:rFonts w:ascii="Calibri" w:hAnsi="Calibri" w:cs="Calibri"/>
        </w:rPr>
        <w:t xml:space="preserve"> </w:t>
      </w:r>
      <w:r w:rsidR="00D72BD9" w:rsidRPr="00183483">
        <w:rPr>
          <w:rFonts w:ascii="Calibri" w:hAnsi="Calibri" w:cs="Calibri"/>
        </w:rPr>
        <w:t xml:space="preserve"> </w:t>
      </w:r>
      <w:r w:rsidR="00552FAC" w:rsidRPr="00183483">
        <w:rPr>
          <w:rFonts w:ascii="Calibri" w:hAnsi="Calibri" w:cs="Calibri"/>
        </w:rPr>
        <w:t>The “Status” column reflects the status of the case on the date that the report was</w:t>
      </w:r>
      <w:r w:rsidR="00D1443B" w:rsidRPr="00183483">
        <w:rPr>
          <w:rFonts w:ascii="Calibri" w:hAnsi="Calibri" w:cs="Calibri"/>
        </w:rPr>
        <w:t xml:space="preserve"> prepared, March </w:t>
      </w:r>
      <w:r w:rsidR="001349F2" w:rsidRPr="00183483">
        <w:rPr>
          <w:rFonts w:ascii="Calibri" w:hAnsi="Calibri" w:cs="Calibri"/>
        </w:rPr>
        <w:t>2</w:t>
      </w:r>
      <w:r w:rsidR="00D1443B" w:rsidRPr="00183483">
        <w:rPr>
          <w:rFonts w:ascii="Calibri" w:hAnsi="Calibri" w:cs="Calibri"/>
        </w:rPr>
        <w:t>5, 202</w:t>
      </w:r>
      <w:r w:rsidR="001349F2" w:rsidRPr="00183483">
        <w:rPr>
          <w:rFonts w:ascii="Calibri" w:hAnsi="Calibri" w:cs="Calibri"/>
        </w:rPr>
        <w:t>1</w:t>
      </w:r>
      <w:r w:rsidR="00D1443B" w:rsidRPr="00183483">
        <w:rPr>
          <w:rFonts w:ascii="Calibri" w:hAnsi="Calibri" w:cs="Calibri"/>
        </w:rPr>
        <w:t xml:space="preserve">.  </w:t>
      </w:r>
      <w:r w:rsidR="0075437A" w:rsidRPr="00183483">
        <w:rPr>
          <w:rFonts w:ascii="Calibri" w:hAnsi="Calibri" w:cs="Calibri"/>
        </w:rPr>
        <w:t>86</w:t>
      </w:r>
      <w:r w:rsidR="00D1443B" w:rsidRPr="00183483">
        <w:rPr>
          <w:rFonts w:ascii="Calibri" w:hAnsi="Calibri" w:cs="Calibri"/>
        </w:rPr>
        <w:t xml:space="preserve"> o</w:t>
      </w:r>
      <w:r w:rsidR="00CC077B" w:rsidRPr="00183483">
        <w:rPr>
          <w:rFonts w:ascii="Calibri" w:hAnsi="Calibri" w:cs="Calibri"/>
        </w:rPr>
        <w:t>f the cases opened in 20</w:t>
      </w:r>
      <w:r w:rsidR="009E5558" w:rsidRPr="00183483">
        <w:rPr>
          <w:rFonts w:ascii="Calibri" w:hAnsi="Calibri" w:cs="Calibri"/>
        </w:rPr>
        <w:t>20</w:t>
      </w:r>
      <w:r w:rsidR="00CC077B" w:rsidRPr="00183483">
        <w:rPr>
          <w:rFonts w:ascii="Calibri" w:hAnsi="Calibri" w:cs="Calibri"/>
        </w:rPr>
        <w:t xml:space="preserve"> have be</w:t>
      </w:r>
      <w:r w:rsidR="00911052" w:rsidRPr="00183483">
        <w:rPr>
          <w:rFonts w:ascii="Calibri" w:hAnsi="Calibri" w:cs="Calibri"/>
        </w:rPr>
        <w:t>e</w:t>
      </w:r>
      <w:r w:rsidR="00CC077B" w:rsidRPr="00183483">
        <w:rPr>
          <w:rFonts w:ascii="Calibri" w:hAnsi="Calibri" w:cs="Calibri"/>
        </w:rPr>
        <w:t xml:space="preserve">n </w:t>
      </w:r>
      <w:r w:rsidR="00D1443B" w:rsidRPr="00183483">
        <w:rPr>
          <w:rFonts w:ascii="Calibri" w:hAnsi="Calibri" w:cs="Calibri"/>
        </w:rPr>
        <w:t>clos</w:t>
      </w:r>
      <w:r w:rsidR="00CC077B" w:rsidRPr="00183483">
        <w:rPr>
          <w:rFonts w:ascii="Calibri" w:hAnsi="Calibri" w:cs="Calibri"/>
        </w:rPr>
        <w:t>ed</w:t>
      </w:r>
      <w:r w:rsidR="00A7028B" w:rsidRPr="00183483">
        <w:rPr>
          <w:rFonts w:ascii="Calibri" w:hAnsi="Calibri" w:cs="Calibri"/>
        </w:rPr>
        <w:t xml:space="preserve">. </w:t>
      </w:r>
    </w:p>
    <w:p w14:paraId="5AA6B465" w14:textId="4A0A1EAA" w:rsidR="005620CC" w:rsidRPr="00183483" w:rsidRDefault="00475B6F" w:rsidP="00E0033E">
      <w:pPr>
        <w:spacing w:line="480" w:lineRule="auto"/>
        <w:ind w:firstLine="720"/>
        <w:rPr>
          <w:rFonts w:ascii="Calibri" w:hAnsi="Calibri" w:cs="Calibri"/>
        </w:rPr>
      </w:pPr>
      <w:r w:rsidRPr="00183483">
        <w:rPr>
          <w:rFonts w:ascii="Calibri" w:hAnsi="Calibri" w:cs="Calibri"/>
        </w:rPr>
        <w:t xml:space="preserve">Tab 4 is a report of the cases </w:t>
      </w:r>
      <w:r w:rsidR="0058223A" w:rsidRPr="00183483">
        <w:rPr>
          <w:rFonts w:ascii="Calibri" w:hAnsi="Calibri" w:cs="Calibri"/>
        </w:rPr>
        <w:t xml:space="preserve">the GJU </w:t>
      </w:r>
      <w:r w:rsidRPr="00183483">
        <w:rPr>
          <w:rFonts w:ascii="Calibri" w:hAnsi="Calibri" w:cs="Calibri"/>
        </w:rPr>
        <w:t>closed in 20</w:t>
      </w:r>
      <w:r w:rsidR="00A924D8" w:rsidRPr="00183483">
        <w:rPr>
          <w:rFonts w:ascii="Calibri" w:hAnsi="Calibri" w:cs="Calibri"/>
        </w:rPr>
        <w:t>20</w:t>
      </w:r>
      <w:r w:rsidRPr="00183483">
        <w:rPr>
          <w:rFonts w:ascii="Calibri" w:hAnsi="Calibri" w:cs="Calibri"/>
        </w:rPr>
        <w:t xml:space="preserve">. </w:t>
      </w:r>
      <w:r w:rsidR="0058223A" w:rsidRPr="00183483">
        <w:rPr>
          <w:rFonts w:ascii="Calibri" w:hAnsi="Calibri" w:cs="Calibri"/>
        </w:rPr>
        <w:t>It reveals that the GJU</w:t>
      </w:r>
      <w:r w:rsidR="001349F2" w:rsidRPr="00183483">
        <w:rPr>
          <w:rFonts w:ascii="Calibri" w:hAnsi="Calibri" w:cs="Calibri"/>
        </w:rPr>
        <w:t xml:space="preserve"> </w:t>
      </w:r>
      <w:r w:rsidR="00D12675" w:rsidRPr="00183483">
        <w:rPr>
          <w:rFonts w:ascii="Calibri" w:hAnsi="Calibri" w:cs="Calibri"/>
        </w:rPr>
        <w:t xml:space="preserve">closed </w:t>
      </w:r>
      <w:r w:rsidR="00073C6C" w:rsidRPr="00183483">
        <w:rPr>
          <w:rFonts w:ascii="Calibri" w:hAnsi="Calibri" w:cs="Calibri"/>
        </w:rPr>
        <w:t>379</w:t>
      </w:r>
      <w:r w:rsidR="009116B5" w:rsidRPr="00183483">
        <w:rPr>
          <w:rFonts w:ascii="Calibri" w:hAnsi="Calibri" w:cs="Calibri"/>
        </w:rPr>
        <w:t xml:space="preserve"> cases in 20</w:t>
      </w:r>
      <w:r w:rsidR="00A924D8" w:rsidRPr="00183483">
        <w:rPr>
          <w:rFonts w:ascii="Calibri" w:hAnsi="Calibri" w:cs="Calibri"/>
        </w:rPr>
        <w:t>20</w:t>
      </w:r>
      <w:r w:rsidR="00D1443B" w:rsidRPr="00183483">
        <w:rPr>
          <w:rFonts w:ascii="Calibri" w:hAnsi="Calibri" w:cs="Calibri"/>
        </w:rPr>
        <w:t xml:space="preserve">. This total </w:t>
      </w:r>
      <w:proofErr w:type="gramStart"/>
      <w:r w:rsidR="00D1443B" w:rsidRPr="00183483">
        <w:rPr>
          <w:rFonts w:ascii="Calibri" w:hAnsi="Calibri" w:cs="Calibri"/>
        </w:rPr>
        <w:t xml:space="preserve">includes </w:t>
      </w:r>
      <w:r w:rsidRPr="00183483">
        <w:rPr>
          <w:rFonts w:ascii="Calibri" w:hAnsi="Calibri" w:cs="Calibri"/>
        </w:rPr>
        <w:t xml:space="preserve"> </w:t>
      </w:r>
      <w:r w:rsidR="00073C6C" w:rsidRPr="00183483">
        <w:rPr>
          <w:rFonts w:ascii="Calibri" w:hAnsi="Calibri" w:cs="Calibri"/>
        </w:rPr>
        <w:t>2</w:t>
      </w:r>
      <w:r w:rsidR="0058223A" w:rsidRPr="00183483">
        <w:rPr>
          <w:rFonts w:ascii="Calibri" w:hAnsi="Calibri" w:cs="Calibri"/>
        </w:rPr>
        <w:t>6</w:t>
      </w:r>
      <w:r w:rsidR="00347B17" w:rsidRPr="00183483">
        <w:rPr>
          <w:rFonts w:ascii="Calibri" w:hAnsi="Calibri" w:cs="Calibri"/>
        </w:rPr>
        <w:t>6</w:t>
      </w:r>
      <w:proofErr w:type="gramEnd"/>
      <w:r w:rsidRPr="00183483">
        <w:rPr>
          <w:rFonts w:ascii="Calibri" w:hAnsi="Calibri" w:cs="Calibri"/>
        </w:rPr>
        <w:t xml:space="preserve"> Retirement C</w:t>
      </w:r>
      <w:r w:rsidR="00D1443B" w:rsidRPr="00183483">
        <w:rPr>
          <w:rFonts w:ascii="Calibri" w:hAnsi="Calibri" w:cs="Calibri"/>
        </w:rPr>
        <w:t>ases</w:t>
      </w:r>
      <w:r w:rsidR="0058223A" w:rsidRPr="00183483">
        <w:rPr>
          <w:rFonts w:ascii="Calibri" w:hAnsi="Calibri" w:cs="Calibri"/>
        </w:rPr>
        <w:t xml:space="preserve">.  Based upon the data available at the time this report was prepared: </w:t>
      </w:r>
      <w:r w:rsidR="000771B2" w:rsidRPr="00183483">
        <w:rPr>
          <w:rFonts w:ascii="Calibri" w:hAnsi="Calibri" w:cs="Calibri"/>
        </w:rPr>
        <w:t>79</w:t>
      </w:r>
      <w:r w:rsidR="001B6F98" w:rsidRPr="00183483">
        <w:rPr>
          <w:rFonts w:ascii="Calibri" w:hAnsi="Calibri" w:cs="Calibri"/>
        </w:rPr>
        <w:t xml:space="preserve"> </w:t>
      </w:r>
      <w:r w:rsidR="0058223A" w:rsidRPr="00183483">
        <w:rPr>
          <w:rFonts w:ascii="Calibri" w:hAnsi="Calibri" w:cs="Calibri"/>
        </w:rPr>
        <w:t>cases were resolved by way of a final decision after an evidentiary hearing</w:t>
      </w:r>
      <w:r w:rsidR="001349F2" w:rsidRPr="00183483">
        <w:rPr>
          <w:rFonts w:ascii="Calibri" w:hAnsi="Calibri" w:cs="Calibri"/>
        </w:rPr>
        <w:t>.</w:t>
      </w:r>
      <w:r w:rsidR="0058223A" w:rsidRPr="00183483">
        <w:rPr>
          <w:rFonts w:ascii="Calibri" w:hAnsi="Calibri" w:cs="Calibri"/>
        </w:rPr>
        <w:t xml:space="preserve"> </w:t>
      </w:r>
      <w:r w:rsidR="000771B2" w:rsidRPr="00183483">
        <w:rPr>
          <w:rFonts w:ascii="Calibri" w:hAnsi="Calibri" w:cs="Calibri"/>
        </w:rPr>
        <w:t>57</w:t>
      </w:r>
      <w:r w:rsidR="0058223A" w:rsidRPr="00183483">
        <w:rPr>
          <w:rFonts w:ascii="Calibri" w:hAnsi="Calibri" w:cs="Calibri"/>
        </w:rPr>
        <w:t xml:space="preserve"> of the closed cases were dismissed </w:t>
      </w:r>
      <w:r w:rsidR="0058223A" w:rsidRPr="00183483">
        <w:rPr>
          <w:rFonts w:ascii="Calibri" w:hAnsi="Calibri" w:cs="Calibri"/>
        </w:rPr>
        <w:lastRenderedPageBreak/>
        <w:t xml:space="preserve">without an evidentiary hearing. </w:t>
      </w:r>
      <w:r w:rsidR="000771B2" w:rsidRPr="00183483">
        <w:rPr>
          <w:rFonts w:ascii="Calibri" w:hAnsi="Calibri" w:cs="Calibri"/>
        </w:rPr>
        <w:t>7</w:t>
      </w:r>
      <w:r w:rsidR="0058223A" w:rsidRPr="00183483">
        <w:rPr>
          <w:rFonts w:ascii="Calibri" w:hAnsi="Calibri" w:cs="Calibri"/>
        </w:rPr>
        <w:t xml:space="preserve"> closed cases were settled and</w:t>
      </w:r>
      <w:r w:rsidR="001349F2" w:rsidRPr="00183483">
        <w:rPr>
          <w:rFonts w:ascii="Calibri" w:hAnsi="Calibri" w:cs="Calibri"/>
        </w:rPr>
        <w:t xml:space="preserve"> </w:t>
      </w:r>
      <w:r w:rsidR="0058223A" w:rsidRPr="00183483">
        <w:rPr>
          <w:rFonts w:ascii="Calibri" w:hAnsi="Calibri" w:cs="Calibri"/>
        </w:rPr>
        <w:t>1</w:t>
      </w:r>
      <w:r w:rsidR="000771B2" w:rsidRPr="00183483">
        <w:rPr>
          <w:rFonts w:ascii="Calibri" w:hAnsi="Calibri" w:cs="Calibri"/>
        </w:rPr>
        <w:t>7</w:t>
      </w:r>
      <w:r w:rsidR="0058223A" w:rsidRPr="00183483">
        <w:rPr>
          <w:rFonts w:ascii="Calibri" w:hAnsi="Calibri" w:cs="Calibri"/>
        </w:rPr>
        <w:t xml:space="preserve"> were withdrawn.</w:t>
      </w:r>
      <w:r w:rsidR="0033729C" w:rsidRPr="00183483">
        <w:rPr>
          <w:rFonts w:ascii="Calibri" w:hAnsi="Calibri" w:cs="Calibri"/>
        </w:rPr>
        <w:t xml:space="preserve"> Tab 5 illustrates the progress that the GJU has had in reducing the length of time it takes to close its cases. For example</w:t>
      </w:r>
      <w:r w:rsidR="00554D53" w:rsidRPr="00183483">
        <w:rPr>
          <w:rFonts w:ascii="Calibri" w:hAnsi="Calibri" w:cs="Calibri"/>
        </w:rPr>
        <w:t>,</w:t>
      </w:r>
      <w:r w:rsidR="0033729C" w:rsidRPr="00183483">
        <w:rPr>
          <w:rFonts w:ascii="Calibri" w:hAnsi="Calibri" w:cs="Calibri"/>
        </w:rPr>
        <w:t xml:space="preserve"> it took the GJU on average </w:t>
      </w:r>
      <w:r w:rsidR="000771B2" w:rsidRPr="00183483">
        <w:rPr>
          <w:rFonts w:ascii="Calibri" w:hAnsi="Calibri" w:cs="Calibri"/>
        </w:rPr>
        <w:t>1375</w:t>
      </w:r>
      <w:r w:rsidR="00554D53" w:rsidRPr="00183483">
        <w:rPr>
          <w:rFonts w:ascii="Calibri" w:hAnsi="Calibri" w:cs="Calibri"/>
        </w:rPr>
        <w:t xml:space="preserve"> days </w:t>
      </w:r>
      <w:r w:rsidR="0033729C" w:rsidRPr="00183483">
        <w:rPr>
          <w:rFonts w:ascii="Calibri" w:hAnsi="Calibri" w:cs="Calibri"/>
        </w:rPr>
        <w:t xml:space="preserve">to </w:t>
      </w:r>
      <w:proofErr w:type="gramStart"/>
      <w:r w:rsidR="0033729C" w:rsidRPr="00183483">
        <w:rPr>
          <w:rFonts w:ascii="Calibri" w:hAnsi="Calibri" w:cs="Calibri"/>
        </w:rPr>
        <w:t xml:space="preserve">close </w:t>
      </w:r>
      <w:r w:rsidR="00554D53" w:rsidRPr="00183483">
        <w:rPr>
          <w:rFonts w:ascii="Calibri" w:hAnsi="Calibri" w:cs="Calibri"/>
        </w:rPr>
        <w:t xml:space="preserve"> </w:t>
      </w:r>
      <w:r w:rsidR="004301A8" w:rsidRPr="00183483">
        <w:rPr>
          <w:rFonts w:ascii="Calibri" w:hAnsi="Calibri" w:cs="Calibri"/>
        </w:rPr>
        <w:t>980</w:t>
      </w:r>
      <w:proofErr w:type="gramEnd"/>
      <w:r w:rsidR="001C496B" w:rsidRPr="00183483">
        <w:rPr>
          <w:rFonts w:ascii="Calibri" w:hAnsi="Calibri" w:cs="Calibri"/>
        </w:rPr>
        <w:t xml:space="preserve"> </w:t>
      </w:r>
      <w:r w:rsidR="00554D53" w:rsidRPr="00183483">
        <w:rPr>
          <w:rFonts w:ascii="Calibri" w:hAnsi="Calibri" w:cs="Calibri"/>
        </w:rPr>
        <w:t>cases</w:t>
      </w:r>
      <w:r w:rsidR="00650F4B" w:rsidRPr="00183483">
        <w:rPr>
          <w:rFonts w:ascii="Calibri" w:hAnsi="Calibri" w:cs="Calibri"/>
        </w:rPr>
        <w:t xml:space="preserve"> filed in 2015</w:t>
      </w:r>
      <w:r w:rsidR="00554D53" w:rsidRPr="00183483">
        <w:rPr>
          <w:rFonts w:ascii="Calibri" w:hAnsi="Calibri" w:cs="Calibri"/>
        </w:rPr>
        <w:t>.</w:t>
      </w:r>
      <w:r w:rsidR="004301A8" w:rsidRPr="00183483">
        <w:rPr>
          <w:rStyle w:val="FootnoteReference"/>
          <w:rFonts w:ascii="Calibri" w:hAnsi="Calibri" w:cs="Calibri"/>
        </w:rPr>
        <w:footnoteReference w:id="5"/>
      </w:r>
      <w:r w:rsidR="00554D53" w:rsidRPr="00183483">
        <w:rPr>
          <w:rFonts w:ascii="Calibri" w:hAnsi="Calibri" w:cs="Calibri"/>
        </w:rPr>
        <w:t xml:space="preserve"> In 2020, it took the GJU on average 132 days to close </w:t>
      </w:r>
      <w:r w:rsidR="00650F4B" w:rsidRPr="00183483">
        <w:rPr>
          <w:rFonts w:ascii="Calibri" w:hAnsi="Calibri" w:cs="Calibri"/>
        </w:rPr>
        <w:t xml:space="preserve">the </w:t>
      </w:r>
      <w:r w:rsidR="006472A9" w:rsidRPr="00183483">
        <w:rPr>
          <w:rFonts w:ascii="Calibri" w:hAnsi="Calibri" w:cs="Calibri"/>
        </w:rPr>
        <w:t>86</w:t>
      </w:r>
      <w:r w:rsidR="004301A8" w:rsidRPr="00183483">
        <w:rPr>
          <w:rFonts w:ascii="Calibri" w:hAnsi="Calibri" w:cs="Calibri"/>
        </w:rPr>
        <w:t xml:space="preserve"> </w:t>
      </w:r>
      <w:r w:rsidR="00554D53" w:rsidRPr="00183483">
        <w:rPr>
          <w:rFonts w:ascii="Calibri" w:hAnsi="Calibri" w:cs="Calibri"/>
        </w:rPr>
        <w:t>cases</w:t>
      </w:r>
      <w:r w:rsidR="00650F4B" w:rsidRPr="00183483">
        <w:rPr>
          <w:rFonts w:ascii="Calibri" w:hAnsi="Calibri" w:cs="Calibri"/>
        </w:rPr>
        <w:t xml:space="preserve"> filed in 2020 that it has closed</w:t>
      </w:r>
      <w:r w:rsidR="00554D53" w:rsidRPr="00183483">
        <w:rPr>
          <w:rFonts w:ascii="Calibri" w:hAnsi="Calibri" w:cs="Calibri"/>
        </w:rPr>
        <w:t>.</w:t>
      </w:r>
      <w:r w:rsidR="005E2B5F" w:rsidRPr="00183483">
        <w:rPr>
          <w:rFonts w:ascii="Calibri" w:hAnsi="Calibri" w:cs="Calibri"/>
        </w:rPr>
        <w:t xml:space="preserve"> </w:t>
      </w:r>
      <w:r w:rsidR="00554D53" w:rsidRPr="00183483">
        <w:rPr>
          <w:rFonts w:ascii="Calibri" w:hAnsi="Calibri" w:cs="Calibri"/>
        </w:rPr>
        <w:t>Although, because of the large inventory of older cases too many cases are not closed in a timely manner</w:t>
      </w:r>
      <w:r w:rsidR="001C496B" w:rsidRPr="00183483">
        <w:rPr>
          <w:rFonts w:ascii="Calibri" w:hAnsi="Calibri" w:cs="Calibri"/>
        </w:rPr>
        <w:t>;</w:t>
      </w:r>
      <w:r w:rsidR="00554D53" w:rsidRPr="00183483">
        <w:rPr>
          <w:rFonts w:ascii="Calibri" w:hAnsi="Calibri" w:cs="Calibri"/>
        </w:rPr>
        <w:t xml:space="preserve"> progress is being made.</w:t>
      </w:r>
    </w:p>
    <w:p w14:paraId="48635A63" w14:textId="77777777" w:rsidR="00E40D4C" w:rsidRPr="00183483" w:rsidRDefault="00E0139F" w:rsidP="00E0033E">
      <w:pPr>
        <w:spacing w:line="480" w:lineRule="auto"/>
        <w:ind w:firstLine="720"/>
        <w:rPr>
          <w:rFonts w:ascii="Calibri" w:hAnsi="Calibri" w:cs="Calibri"/>
        </w:rPr>
      </w:pPr>
      <w:r w:rsidRPr="00183483">
        <w:rPr>
          <w:rFonts w:ascii="Calibri" w:hAnsi="Calibri" w:cs="Calibri"/>
          <w:b/>
        </w:rPr>
        <w:t xml:space="preserve">IV. GJU </w:t>
      </w:r>
      <w:r w:rsidR="00181C6F" w:rsidRPr="00183483">
        <w:rPr>
          <w:rFonts w:ascii="Calibri" w:hAnsi="Calibri" w:cs="Calibri"/>
          <w:b/>
        </w:rPr>
        <w:t xml:space="preserve">HEARINGS HELD </w:t>
      </w:r>
      <w:r w:rsidR="00E31F63" w:rsidRPr="00183483">
        <w:rPr>
          <w:rFonts w:ascii="Calibri" w:hAnsi="Calibri" w:cs="Calibri"/>
          <w:b/>
        </w:rPr>
        <w:t>IN 2020</w:t>
      </w:r>
    </w:p>
    <w:p w14:paraId="268F5DAF" w14:textId="1ECFAC6B" w:rsidR="002D54B8" w:rsidRPr="00183483" w:rsidRDefault="00AE583D" w:rsidP="002D54B8">
      <w:pPr>
        <w:spacing w:line="480" w:lineRule="auto"/>
        <w:ind w:firstLine="360"/>
        <w:rPr>
          <w:rFonts w:ascii="Calibri" w:hAnsi="Calibri" w:cs="Calibri"/>
        </w:rPr>
      </w:pPr>
      <w:r w:rsidRPr="00183483">
        <w:rPr>
          <w:rFonts w:ascii="Calibri" w:hAnsi="Calibri" w:cs="Calibri"/>
        </w:rPr>
        <w:tab/>
      </w:r>
      <w:r w:rsidR="009D4FE8" w:rsidRPr="00183483">
        <w:rPr>
          <w:rFonts w:ascii="Calibri" w:hAnsi="Calibri" w:cs="Calibri"/>
        </w:rPr>
        <w:t>In 20</w:t>
      </w:r>
      <w:r w:rsidR="000F7FDF" w:rsidRPr="00183483">
        <w:rPr>
          <w:rFonts w:ascii="Calibri" w:hAnsi="Calibri" w:cs="Calibri"/>
        </w:rPr>
        <w:t>20</w:t>
      </w:r>
      <w:r w:rsidR="00E0139F" w:rsidRPr="00183483">
        <w:rPr>
          <w:rFonts w:ascii="Calibri" w:hAnsi="Calibri" w:cs="Calibri"/>
        </w:rPr>
        <w:t xml:space="preserve">, </w:t>
      </w:r>
      <w:r w:rsidR="00C46A92" w:rsidRPr="00183483">
        <w:rPr>
          <w:rFonts w:ascii="Calibri" w:hAnsi="Calibri" w:cs="Calibri"/>
        </w:rPr>
        <w:t xml:space="preserve">the </w:t>
      </w:r>
      <w:r w:rsidR="00E0139F" w:rsidRPr="00183483">
        <w:rPr>
          <w:rFonts w:ascii="Calibri" w:hAnsi="Calibri" w:cs="Calibri"/>
        </w:rPr>
        <w:t xml:space="preserve">GJU </w:t>
      </w:r>
      <w:r w:rsidR="00763711" w:rsidRPr="00183483">
        <w:rPr>
          <w:rFonts w:ascii="Calibri" w:hAnsi="Calibri" w:cs="Calibri"/>
        </w:rPr>
        <w:t xml:space="preserve">conducted </w:t>
      </w:r>
      <w:r w:rsidR="009116B5" w:rsidRPr="00183483">
        <w:rPr>
          <w:rFonts w:ascii="Calibri" w:hAnsi="Calibri" w:cs="Calibri"/>
        </w:rPr>
        <w:t xml:space="preserve">approximately </w:t>
      </w:r>
      <w:r w:rsidR="000127C3" w:rsidRPr="00183483">
        <w:rPr>
          <w:rFonts w:ascii="Calibri" w:hAnsi="Calibri" w:cs="Calibri"/>
        </w:rPr>
        <w:t>39</w:t>
      </w:r>
      <w:r w:rsidR="009116B5" w:rsidRPr="00183483">
        <w:rPr>
          <w:rFonts w:ascii="Calibri" w:hAnsi="Calibri" w:cs="Calibri"/>
        </w:rPr>
        <w:t xml:space="preserve"> </w:t>
      </w:r>
      <w:r w:rsidR="000F7FDF" w:rsidRPr="00183483">
        <w:rPr>
          <w:rFonts w:ascii="Calibri" w:hAnsi="Calibri" w:cs="Calibri"/>
        </w:rPr>
        <w:t xml:space="preserve">evidentiary </w:t>
      </w:r>
      <w:r w:rsidR="00CA1CDD" w:rsidRPr="00183483">
        <w:rPr>
          <w:rFonts w:ascii="Calibri" w:hAnsi="Calibri" w:cs="Calibri"/>
        </w:rPr>
        <w:t>hearings</w:t>
      </w:r>
      <w:r w:rsidR="000127C3" w:rsidRPr="00183483">
        <w:rPr>
          <w:rFonts w:ascii="Calibri" w:hAnsi="Calibri" w:cs="Calibri"/>
        </w:rPr>
        <w:t xml:space="preserve">. This figure includes 14 live hearings conducted before the </w:t>
      </w:r>
      <w:r w:rsidR="001B6F98" w:rsidRPr="00183483">
        <w:rPr>
          <w:rFonts w:ascii="Calibri" w:hAnsi="Calibri" w:cs="Calibri"/>
        </w:rPr>
        <w:t>p</w:t>
      </w:r>
      <w:r w:rsidR="000127C3" w:rsidRPr="00183483">
        <w:rPr>
          <w:rFonts w:ascii="Calibri" w:hAnsi="Calibri" w:cs="Calibri"/>
        </w:rPr>
        <w:t xml:space="preserve">andemic started and 25 </w:t>
      </w:r>
      <w:proofErr w:type="spellStart"/>
      <w:r w:rsidR="008E57DC" w:rsidRPr="00183483">
        <w:rPr>
          <w:rFonts w:ascii="Calibri" w:hAnsi="Calibri" w:cs="Calibri"/>
        </w:rPr>
        <w:t>vitual</w:t>
      </w:r>
      <w:proofErr w:type="spellEnd"/>
      <w:r w:rsidR="000127C3" w:rsidRPr="00183483">
        <w:rPr>
          <w:rFonts w:ascii="Calibri" w:hAnsi="Calibri" w:cs="Calibri"/>
        </w:rPr>
        <w:t xml:space="preserve"> hearings conducted </w:t>
      </w:r>
      <w:r w:rsidR="00A46BC4" w:rsidRPr="00183483">
        <w:rPr>
          <w:rFonts w:ascii="Calibri" w:hAnsi="Calibri" w:cs="Calibri"/>
        </w:rPr>
        <w:t>after the outbreak</w:t>
      </w:r>
      <w:r w:rsidR="000127C3" w:rsidRPr="00183483">
        <w:rPr>
          <w:rFonts w:ascii="Calibri" w:hAnsi="Calibri" w:cs="Calibri"/>
        </w:rPr>
        <w:t xml:space="preserve">. In comparison, the GJU held </w:t>
      </w:r>
      <w:r w:rsidR="000F7FDF" w:rsidRPr="00183483">
        <w:rPr>
          <w:rFonts w:ascii="Calibri" w:hAnsi="Calibri" w:cs="Calibri"/>
        </w:rPr>
        <w:t>120</w:t>
      </w:r>
      <w:r w:rsidR="000127C3" w:rsidRPr="00183483">
        <w:rPr>
          <w:rFonts w:ascii="Calibri" w:hAnsi="Calibri" w:cs="Calibri"/>
        </w:rPr>
        <w:t xml:space="preserve"> </w:t>
      </w:r>
      <w:r w:rsidR="001571CA" w:rsidRPr="00183483">
        <w:rPr>
          <w:rFonts w:ascii="Calibri" w:hAnsi="Calibri" w:cs="Calibri"/>
        </w:rPr>
        <w:t>eviden</w:t>
      </w:r>
      <w:r w:rsidR="009116B5" w:rsidRPr="00183483">
        <w:rPr>
          <w:rFonts w:ascii="Calibri" w:hAnsi="Calibri" w:cs="Calibri"/>
        </w:rPr>
        <w:t>tiary hearings in 20</w:t>
      </w:r>
      <w:r w:rsidR="00A46BC4" w:rsidRPr="00183483">
        <w:rPr>
          <w:rFonts w:ascii="Calibri" w:hAnsi="Calibri" w:cs="Calibri"/>
        </w:rPr>
        <w:t>19</w:t>
      </w:r>
      <w:r w:rsidR="00E0139F" w:rsidRPr="00183483">
        <w:rPr>
          <w:rFonts w:ascii="Calibri" w:hAnsi="Calibri" w:cs="Calibri"/>
        </w:rPr>
        <w:t xml:space="preserve">. </w:t>
      </w:r>
      <w:r w:rsidR="008E57DC" w:rsidRPr="00183483">
        <w:rPr>
          <w:rFonts w:ascii="Calibri" w:hAnsi="Calibri" w:cs="Calibri"/>
        </w:rPr>
        <w:t>The frequency of virtual hearings is increasing. DALA has been more aggressively marketing the virtual hearing option in appropriate cases. As the pandemic drags on, parties are becoming more receptive to proceeding with virtual hearings.</w:t>
      </w:r>
    </w:p>
    <w:p w14:paraId="6509D49E" w14:textId="77777777" w:rsidR="002D54B8" w:rsidRPr="00183483" w:rsidRDefault="00052F3E" w:rsidP="002D54B8">
      <w:pPr>
        <w:tabs>
          <w:tab w:val="left" w:pos="720"/>
        </w:tabs>
        <w:rPr>
          <w:rFonts w:ascii="Calibri" w:hAnsi="Calibri" w:cs="Calibri"/>
          <w:b/>
          <w:bCs/>
        </w:rPr>
      </w:pPr>
      <w:r w:rsidRPr="00183483">
        <w:rPr>
          <w:rFonts w:ascii="Calibri" w:hAnsi="Calibri" w:cs="Calibri"/>
          <w:b/>
          <w:bCs/>
        </w:rPr>
        <w:tab/>
      </w:r>
      <w:r w:rsidR="00E56B83" w:rsidRPr="00183483">
        <w:rPr>
          <w:rFonts w:ascii="Calibri" w:hAnsi="Calibri" w:cs="Calibri"/>
          <w:b/>
          <w:bCs/>
        </w:rPr>
        <w:t>V.</w:t>
      </w:r>
      <w:r w:rsidR="0021022C" w:rsidRPr="00183483">
        <w:rPr>
          <w:rFonts w:ascii="Calibri" w:hAnsi="Calibri" w:cs="Calibri"/>
          <w:b/>
          <w:bCs/>
        </w:rPr>
        <w:t xml:space="preserve"> </w:t>
      </w:r>
      <w:r w:rsidR="00D744A3" w:rsidRPr="00183483">
        <w:rPr>
          <w:rFonts w:ascii="Calibri" w:hAnsi="Calibri" w:cs="Calibri"/>
          <w:b/>
          <w:bCs/>
        </w:rPr>
        <w:t>CONCLUSION</w:t>
      </w:r>
    </w:p>
    <w:p w14:paraId="452EADA1" w14:textId="77777777" w:rsidR="002D54B8" w:rsidRPr="00183483" w:rsidRDefault="002D54B8" w:rsidP="002D54B8">
      <w:pPr>
        <w:tabs>
          <w:tab w:val="left" w:pos="720"/>
        </w:tabs>
        <w:rPr>
          <w:rFonts w:ascii="Calibri" w:hAnsi="Calibri" w:cs="Calibri"/>
          <w:bCs/>
        </w:rPr>
      </w:pPr>
    </w:p>
    <w:p w14:paraId="2AC7D979" w14:textId="77777777" w:rsidR="002D54B8" w:rsidRPr="00183483" w:rsidRDefault="002D54B8" w:rsidP="002D54B8">
      <w:pPr>
        <w:tabs>
          <w:tab w:val="left" w:pos="720"/>
        </w:tabs>
        <w:spacing w:line="480" w:lineRule="auto"/>
        <w:rPr>
          <w:rFonts w:ascii="Calibri" w:hAnsi="Calibri" w:cs="Calibri"/>
          <w:bCs/>
        </w:rPr>
      </w:pPr>
      <w:r w:rsidRPr="00183483">
        <w:rPr>
          <w:rFonts w:ascii="Calibri" w:hAnsi="Calibri" w:cs="Calibri"/>
          <w:bCs/>
        </w:rPr>
        <w:tab/>
      </w:r>
      <w:r w:rsidR="00CC4A00" w:rsidRPr="00183483">
        <w:rPr>
          <w:rFonts w:ascii="Calibri" w:hAnsi="Calibri" w:cs="Calibri"/>
          <w:bCs/>
        </w:rPr>
        <w:t>Thank you for</w:t>
      </w:r>
      <w:r w:rsidR="00701664" w:rsidRPr="00183483">
        <w:rPr>
          <w:rFonts w:ascii="Calibri" w:hAnsi="Calibri" w:cs="Calibri"/>
          <w:bCs/>
        </w:rPr>
        <w:t xml:space="preserve"> this opportunity to tell you about our </w:t>
      </w:r>
      <w:r w:rsidR="00753FC7" w:rsidRPr="00183483">
        <w:rPr>
          <w:rFonts w:ascii="Calibri" w:hAnsi="Calibri" w:cs="Calibri"/>
          <w:bCs/>
        </w:rPr>
        <w:t>work in 2020.</w:t>
      </w:r>
      <w:r w:rsidRPr="00183483">
        <w:rPr>
          <w:rFonts w:ascii="Calibri" w:hAnsi="Calibri" w:cs="Calibri"/>
          <w:bCs/>
        </w:rPr>
        <w:t xml:space="preserve"> </w:t>
      </w:r>
      <w:r w:rsidR="0029051D" w:rsidRPr="00183483">
        <w:rPr>
          <w:rFonts w:ascii="Calibri" w:hAnsi="Calibri" w:cs="Calibri"/>
          <w:bCs/>
        </w:rPr>
        <w:t>The</w:t>
      </w:r>
    </w:p>
    <w:p w14:paraId="4FEEC495" w14:textId="77777777" w:rsidR="002D54B8" w:rsidRPr="00183483" w:rsidRDefault="0029051D" w:rsidP="002D54B8">
      <w:pPr>
        <w:tabs>
          <w:tab w:val="left" w:pos="720"/>
        </w:tabs>
        <w:spacing w:line="480" w:lineRule="auto"/>
        <w:rPr>
          <w:rFonts w:ascii="Calibri" w:hAnsi="Calibri" w:cs="Calibri"/>
          <w:bCs/>
        </w:rPr>
      </w:pPr>
      <w:r w:rsidRPr="00183483">
        <w:rPr>
          <w:rFonts w:ascii="Calibri" w:hAnsi="Calibri" w:cs="Calibri"/>
          <w:bCs/>
        </w:rPr>
        <w:t xml:space="preserve">independent “central panel” approach to the review of state agency actions is the fairest, most efficient and cost effective one available. Our magistrates, hearing officers, mediators and staff are proud of their work and we look forward to continuing our </w:t>
      </w:r>
      <w:r w:rsidRPr="00183483">
        <w:rPr>
          <w:rFonts w:ascii="Calibri" w:hAnsi="Calibri" w:cs="Calibri"/>
          <w:bCs/>
        </w:rPr>
        <w:lastRenderedPageBreak/>
        <w:t xml:space="preserve">service. </w:t>
      </w:r>
      <w:r w:rsidR="002D54B8" w:rsidRPr="00183483">
        <w:rPr>
          <w:rFonts w:ascii="Calibri" w:hAnsi="Calibri" w:cs="Calibri"/>
          <w:bCs/>
        </w:rPr>
        <w:t>We look forward to working with you as we continue to improve the quality of the service that DALA provides to the people of Massachusetts and its agencies.</w:t>
      </w:r>
    </w:p>
    <w:p w14:paraId="15F868DD" w14:textId="77777777" w:rsidR="00EC340B" w:rsidRPr="00183483" w:rsidRDefault="00EC340B" w:rsidP="007240D3">
      <w:pPr>
        <w:tabs>
          <w:tab w:val="left" w:pos="720"/>
        </w:tabs>
        <w:spacing w:line="480" w:lineRule="auto"/>
        <w:rPr>
          <w:rFonts w:ascii="Calibri" w:hAnsi="Calibri" w:cs="Calibri"/>
          <w:bCs/>
        </w:rPr>
      </w:pPr>
      <w:r w:rsidRPr="00183483">
        <w:rPr>
          <w:rFonts w:ascii="Calibri" w:hAnsi="Calibri" w:cs="Calibri"/>
          <w:bCs/>
        </w:rPr>
        <w:t xml:space="preserve">                                                 </w:t>
      </w:r>
      <w:r w:rsidR="00A70676" w:rsidRPr="00183483">
        <w:rPr>
          <w:rFonts w:ascii="Calibri" w:hAnsi="Calibri" w:cs="Calibri"/>
          <w:bCs/>
        </w:rPr>
        <w:t>DIVISI</w:t>
      </w:r>
      <w:r w:rsidR="00720B9B" w:rsidRPr="00183483">
        <w:rPr>
          <w:rFonts w:ascii="Calibri" w:hAnsi="Calibri" w:cs="Calibri"/>
          <w:bCs/>
        </w:rPr>
        <w:t xml:space="preserve">ON OF ADMINISTRATIVE LAW APPEALS       </w:t>
      </w:r>
      <w:r w:rsidR="00E0139F" w:rsidRPr="00183483">
        <w:rPr>
          <w:rFonts w:ascii="Calibri" w:hAnsi="Calibri" w:cs="Calibri"/>
          <w:bCs/>
        </w:rPr>
        <w:t xml:space="preserve">       </w:t>
      </w:r>
    </w:p>
    <w:p w14:paraId="75DBACDD" w14:textId="77777777" w:rsidR="006D381C" w:rsidRPr="00183483" w:rsidRDefault="00EC340B" w:rsidP="00A70676">
      <w:pPr>
        <w:tabs>
          <w:tab w:val="left" w:pos="720"/>
        </w:tabs>
        <w:rPr>
          <w:rFonts w:ascii="Calibri" w:hAnsi="Calibri" w:cs="Calibri"/>
          <w:bCs/>
        </w:rPr>
      </w:pPr>
      <w:r w:rsidRPr="00183483">
        <w:rPr>
          <w:rFonts w:ascii="Calibri" w:hAnsi="Calibri" w:cs="Calibri"/>
          <w:bCs/>
        </w:rPr>
        <w:t xml:space="preserve">                                                </w:t>
      </w:r>
    </w:p>
    <w:p w14:paraId="07839E8A" w14:textId="77777777" w:rsidR="00A70676" w:rsidRPr="00183483" w:rsidRDefault="006D381C" w:rsidP="00A70676">
      <w:pPr>
        <w:tabs>
          <w:tab w:val="left" w:pos="720"/>
        </w:tabs>
        <w:rPr>
          <w:rFonts w:ascii="Calibri" w:hAnsi="Calibri" w:cs="Calibri"/>
          <w:bCs/>
          <w:u w:val="single"/>
        </w:rPr>
      </w:pPr>
      <w:r w:rsidRPr="00183483">
        <w:rPr>
          <w:rFonts w:ascii="Calibri" w:hAnsi="Calibri" w:cs="Calibri"/>
          <w:bCs/>
        </w:rPr>
        <w:t xml:space="preserve">                                                </w:t>
      </w:r>
      <w:r w:rsidR="00EC340B" w:rsidRPr="00183483">
        <w:rPr>
          <w:rFonts w:ascii="Calibri" w:hAnsi="Calibri" w:cs="Calibri"/>
          <w:bCs/>
        </w:rPr>
        <w:t xml:space="preserve"> </w:t>
      </w:r>
      <w:r w:rsidR="00A70676" w:rsidRPr="00183483">
        <w:rPr>
          <w:rFonts w:ascii="Calibri" w:hAnsi="Calibri" w:cs="Calibri"/>
          <w:bCs/>
          <w:u w:val="single"/>
        </w:rPr>
        <w:tab/>
      </w:r>
      <w:r w:rsidR="00A70676" w:rsidRPr="00183483">
        <w:rPr>
          <w:rFonts w:ascii="Calibri" w:hAnsi="Calibri" w:cs="Calibri"/>
          <w:bCs/>
          <w:u w:val="single"/>
        </w:rPr>
        <w:tab/>
      </w:r>
      <w:r w:rsidR="00A70676" w:rsidRPr="00183483">
        <w:rPr>
          <w:rFonts w:ascii="Calibri" w:hAnsi="Calibri" w:cs="Calibri"/>
          <w:bCs/>
          <w:u w:val="single"/>
        </w:rPr>
        <w:tab/>
      </w:r>
      <w:r w:rsidR="00A70676" w:rsidRPr="00183483">
        <w:rPr>
          <w:rFonts w:ascii="Calibri" w:hAnsi="Calibri" w:cs="Calibri"/>
          <w:bCs/>
          <w:u w:val="single"/>
        </w:rPr>
        <w:tab/>
      </w:r>
      <w:r w:rsidR="00A70676" w:rsidRPr="00183483">
        <w:rPr>
          <w:rFonts w:ascii="Calibri" w:hAnsi="Calibri" w:cs="Calibri"/>
          <w:bCs/>
          <w:u w:val="single"/>
        </w:rPr>
        <w:tab/>
      </w:r>
      <w:r w:rsidR="00A70676" w:rsidRPr="00183483">
        <w:rPr>
          <w:rFonts w:ascii="Calibri" w:hAnsi="Calibri" w:cs="Calibri"/>
          <w:bCs/>
          <w:u w:val="single"/>
        </w:rPr>
        <w:tab/>
      </w:r>
      <w:r w:rsidR="00A70676" w:rsidRPr="00183483">
        <w:rPr>
          <w:rFonts w:ascii="Calibri" w:hAnsi="Calibri" w:cs="Calibri"/>
          <w:bCs/>
          <w:u w:val="single"/>
        </w:rPr>
        <w:tab/>
      </w:r>
    </w:p>
    <w:p w14:paraId="5F65B82C" w14:textId="77777777" w:rsidR="00A70676" w:rsidRPr="00183483" w:rsidRDefault="0013389A" w:rsidP="00A70676">
      <w:pPr>
        <w:tabs>
          <w:tab w:val="left" w:pos="720"/>
        </w:tabs>
        <w:rPr>
          <w:rFonts w:ascii="Calibri" w:hAnsi="Calibri" w:cs="Calibri"/>
          <w:bCs/>
        </w:rPr>
      </w:pPr>
      <w:r w:rsidRPr="00183483">
        <w:rPr>
          <w:rFonts w:ascii="Calibri" w:hAnsi="Calibri" w:cs="Calibri"/>
          <w:bCs/>
        </w:rPr>
        <w:t xml:space="preserve">      </w:t>
      </w:r>
      <w:r w:rsidR="00056188" w:rsidRPr="00183483">
        <w:rPr>
          <w:rFonts w:ascii="Calibri" w:hAnsi="Calibri" w:cs="Calibri"/>
          <w:bCs/>
        </w:rPr>
        <w:t xml:space="preserve">                                           </w:t>
      </w:r>
      <w:r w:rsidR="00827C47" w:rsidRPr="00183483">
        <w:rPr>
          <w:rFonts w:ascii="Calibri" w:hAnsi="Calibri" w:cs="Calibri"/>
          <w:bCs/>
        </w:rPr>
        <w:t>Edward B. McGrath</w:t>
      </w:r>
    </w:p>
    <w:p w14:paraId="5C5757FC" w14:textId="0462634F" w:rsidR="00381361" w:rsidRPr="00183483" w:rsidRDefault="00A70676" w:rsidP="00A70676">
      <w:pPr>
        <w:tabs>
          <w:tab w:val="left" w:pos="720"/>
        </w:tabs>
        <w:rPr>
          <w:rFonts w:ascii="Calibri" w:hAnsi="Calibri" w:cs="Calibri"/>
          <w:bCs/>
        </w:rPr>
      </w:pPr>
      <w:r w:rsidRPr="00183483">
        <w:rPr>
          <w:rFonts w:ascii="Calibri" w:hAnsi="Calibri" w:cs="Calibri"/>
          <w:bCs/>
        </w:rPr>
        <w:tab/>
      </w:r>
      <w:r w:rsidRPr="00183483">
        <w:rPr>
          <w:rFonts w:ascii="Calibri" w:hAnsi="Calibri" w:cs="Calibri"/>
          <w:bCs/>
        </w:rPr>
        <w:tab/>
      </w:r>
      <w:r w:rsidRPr="00183483">
        <w:rPr>
          <w:rFonts w:ascii="Calibri" w:hAnsi="Calibri" w:cs="Calibri"/>
          <w:bCs/>
        </w:rPr>
        <w:tab/>
      </w:r>
      <w:r w:rsidR="00E0139F" w:rsidRPr="00183483">
        <w:rPr>
          <w:rFonts w:ascii="Calibri" w:hAnsi="Calibri" w:cs="Calibri"/>
          <w:bCs/>
        </w:rPr>
        <w:t xml:space="preserve">         </w:t>
      </w:r>
      <w:r w:rsidRPr="00183483">
        <w:rPr>
          <w:rFonts w:ascii="Calibri" w:hAnsi="Calibri" w:cs="Calibri"/>
          <w:bCs/>
        </w:rPr>
        <w:t>Chief Administrative Magistrate</w:t>
      </w:r>
    </w:p>
    <w:p w14:paraId="2DB91668" w14:textId="77777777" w:rsidR="00F94C56" w:rsidRPr="00183483" w:rsidRDefault="00F94C56" w:rsidP="00A70676">
      <w:pPr>
        <w:tabs>
          <w:tab w:val="left" w:pos="720"/>
        </w:tabs>
        <w:rPr>
          <w:rFonts w:ascii="Calibri" w:hAnsi="Calibri" w:cs="Calibri"/>
          <w:bCs/>
        </w:rPr>
      </w:pPr>
    </w:p>
    <w:p w14:paraId="1DD73CE2" w14:textId="77777777" w:rsidR="003869C8" w:rsidRPr="00183483" w:rsidRDefault="007240D3" w:rsidP="00A70676">
      <w:pPr>
        <w:tabs>
          <w:tab w:val="left" w:pos="720"/>
        </w:tabs>
        <w:rPr>
          <w:rFonts w:ascii="Calibri" w:hAnsi="Calibri" w:cs="Calibri"/>
          <w:bCs/>
        </w:rPr>
      </w:pPr>
      <w:r w:rsidRPr="00183483">
        <w:rPr>
          <w:rFonts w:ascii="Calibri" w:hAnsi="Calibri" w:cs="Calibri"/>
          <w:bCs/>
        </w:rPr>
        <w:t xml:space="preserve"> </w:t>
      </w:r>
      <w:r w:rsidR="00056188" w:rsidRPr="00183483">
        <w:rPr>
          <w:rFonts w:ascii="Calibri" w:hAnsi="Calibri" w:cs="Calibri"/>
          <w:bCs/>
        </w:rPr>
        <w:t xml:space="preserve">Dated:  April </w:t>
      </w:r>
      <w:r w:rsidR="001F5C7C" w:rsidRPr="00183483">
        <w:rPr>
          <w:rFonts w:ascii="Calibri" w:hAnsi="Calibri" w:cs="Calibri"/>
          <w:bCs/>
        </w:rPr>
        <w:t>1, 202</w:t>
      </w:r>
      <w:r w:rsidR="0029051D" w:rsidRPr="00183483">
        <w:rPr>
          <w:rFonts w:ascii="Calibri" w:hAnsi="Calibri" w:cs="Calibri"/>
          <w:bCs/>
        </w:rPr>
        <w:t>1</w:t>
      </w:r>
      <w:r w:rsidR="00056188" w:rsidRPr="00183483">
        <w:rPr>
          <w:rFonts w:ascii="Calibri" w:hAnsi="Calibri" w:cs="Calibri"/>
          <w:bCs/>
        </w:rPr>
        <w:tab/>
      </w:r>
    </w:p>
    <w:sectPr w:rsidR="003869C8" w:rsidRPr="00183483" w:rsidSect="00224A9C">
      <w:footerReference w:type="even" r:id="rId8"/>
      <w:footerReference w:type="default" r:id="rId9"/>
      <w:type w:val="continuous"/>
      <w:pgSz w:w="12240" w:h="15840" w:code="1"/>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F9F64" w14:textId="77777777" w:rsidR="00CF49B3" w:rsidRDefault="00CF49B3">
      <w:r>
        <w:separator/>
      </w:r>
    </w:p>
  </w:endnote>
  <w:endnote w:type="continuationSeparator" w:id="0">
    <w:p w14:paraId="6F605E2A" w14:textId="77777777" w:rsidR="00CF49B3" w:rsidRDefault="00CF4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DC6A2" w14:textId="77777777" w:rsidR="00283EA9" w:rsidRDefault="00283EA9" w:rsidP="00BD06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4E9F67E" w14:textId="77777777" w:rsidR="00283EA9" w:rsidRDefault="00283EA9">
    <w:pPr>
      <w:pStyle w:val="Footer"/>
    </w:pPr>
  </w:p>
  <w:p w14:paraId="3EA1F7BF" w14:textId="77777777" w:rsidR="00283EA9" w:rsidRDefault="00283EA9"/>
  <w:p w14:paraId="66AA2829" w14:textId="77777777" w:rsidR="00283EA9" w:rsidRDefault="00283EA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3C804" w14:textId="77777777" w:rsidR="00283EA9" w:rsidRPr="00E007DE" w:rsidRDefault="00283EA9" w:rsidP="00E007DE">
    <w:pPr>
      <w:pStyle w:val="Footer"/>
      <w:framePr w:wrap="around" w:vAnchor="text" w:hAnchor="margin" w:xAlign="center" w:y="1"/>
      <w:rPr>
        <w:rStyle w:val="PageNumber"/>
      </w:rPr>
    </w:pPr>
    <w:r w:rsidRPr="00E007DE">
      <w:rPr>
        <w:rStyle w:val="PageNumber"/>
      </w:rPr>
      <w:fldChar w:fldCharType="begin"/>
    </w:r>
    <w:r w:rsidRPr="00E007DE">
      <w:rPr>
        <w:rStyle w:val="PageNumber"/>
      </w:rPr>
      <w:instrText xml:space="preserve">PAGE  </w:instrText>
    </w:r>
    <w:r w:rsidRPr="00E007DE">
      <w:rPr>
        <w:rStyle w:val="PageNumber"/>
      </w:rPr>
      <w:fldChar w:fldCharType="separate"/>
    </w:r>
    <w:r w:rsidR="006472A9">
      <w:rPr>
        <w:rStyle w:val="PageNumber"/>
        <w:noProof/>
      </w:rPr>
      <w:t>6</w:t>
    </w:r>
    <w:r w:rsidRPr="00E007DE">
      <w:rPr>
        <w:rStyle w:val="PageNumber"/>
      </w:rPr>
      <w:fldChar w:fldCharType="end"/>
    </w:r>
  </w:p>
  <w:p w14:paraId="011D2017" w14:textId="77777777" w:rsidR="00283EA9" w:rsidRPr="001314D6" w:rsidRDefault="00283EA9">
    <w:pPr>
      <w:pStyle w:val="Footer"/>
      <w:rPr>
        <w:rFonts w:ascii="Arial" w:hAnsi="Arial" w:cs="Arial"/>
      </w:rPr>
    </w:pPr>
  </w:p>
  <w:p w14:paraId="5564D5A4" w14:textId="77777777" w:rsidR="00283EA9" w:rsidRDefault="00283EA9"/>
  <w:p w14:paraId="1864D2C4" w14:textId="77777777" w:rsidR="00283EA9" w:rsidRDefault="00283EA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8E6FB" w14:textId="77777777" w:rsidR="00CF49B3" w:rsidRDefault="00CF49B3">
      <w:r>
        <w:separator/>
      </w:r>
    </w:p>
  </w:footnote>
  <w:footnote w:type="continuationSeparator" w:id="0">
    <w:p w14:paraId="60038ADD" w14:textId="77777777" w:rsidR="00CF49B3" w:rsidRDefault="00CF49B3">
      <w:r>
        <w:continuationSeparator/>
      </w:r>
    </w:p>
  </w:footnote>
  <w:footnote w:id="1">
    <w:p w14:paraId="5EF950B8" w14:textId="77777777" w:rsidR="00316727" w:rsidRPr="00183483" w:rsidRDefault="00316727" w:rsidP="00316727">
      <w:pPr>
        <w:pStyle w:val="FootnoteText"/>
        <w:rPr>
          <w:rFonts w:ascii="Calibri" w:hAnsi="Calibri" w:cs="Calibri"/>
          <w:color w:val="000000"/>
          <w:sz w:val="24"/>
          <w:szCs w:val="24"/>
        </w:rPr>
      </w:pPr>
      <w:r w:rsidRPr="00183483">
        <w:rPr>
          <w:rStyle w:val="FootnoteReference"/>
          <w:rFonts w:ascii="Calibri" w:hAnsi="Calibri" w:cs="Calibri"/>
          <w:sz w:val="24"/>
          <w:szCs w:val="24"/>
        </w:rPr>
        <w:footnoteRef/>
      </w:r>
      <w:r w:rsidRPr="00183483">
        <w:rPr>
          <w:rFonts w:ascii="Calibri" w:hAnsi="Calibri" w:cs="Calibri"/>
          <w:sz w:val="24"/>
          <w:szCs w:val="24"/>
        </w:rPr>
        <w:t xml:space="preserve"> </w:t>
      </w:r>
      <w:r w:rsidRPr="00183483">
        <w:rPr>
          <w:rFonts w:ascii="Calibri" w:hAnsi="Calibri" w:cs="Calibri"/>
          <w:color w:val="000000"/>
          <w:sz w:val="24"/>
          <w:szCs w:val="24"/>
        </w:rPr>
        <w:t>Pursuant to federal reporting requirements, the BSEA keeps statistics by fiscal year.</w:t>
      </w:r>
    </w:p>
  </w:footnote>
  <w:footnote w:id="2">
    <w:p w14:paraId="1D9A9B8E" w14:textId="77777777" w:rsidR="00316727" w:rsidRPr="00753FC7" w:rsidRDefault="00316727" w:rsidP="00316727">
      <w:pPr>
        <w:pStyle w:val="FootnoteText"/>
      </w:pPr>
      <w:r w:rsidRPr="00183483">
        <w:rPr>
          <w:rStyle w:val="FootnoteReference"/>
          <w:rFonts w:ascii="Calibri" w:hAnsi="Calibri" w:cs="Calibri"/>
          <w:sz w:val="24"/>
          <w:szCs w:val="24"/>
        </w:rPr>
        <w:footnoteRef/>
      </w:r>
      <w:r w:rsidRPr="00183483">
        <w:rPr>
          <w:rFonts w:ascii="Calibri" w:hAnsi="Calibri" w:cs="Calibri"/>
          <w:sz w:val="24"/>
          <w:szCs w:val="24"/>
        </w:rPr>
        <w:t xml:space="preserve"> We note that 8 requests for FIEP meetings could not be accommodated owing to staffing limitations.</w:t>
      </w:r>
    </w:p>
  </w:footnote>
  <w:footnote w:id="3">
    <w:p w14:paraId="4F4E61F7" w14:textId="77777777" w:rsidR="00316727" w:rsidRPr="00183483" w:rsidRDefault="00316727" w:rsidP="008F427C">
      <w:pPr>
        <w:pStyle w:val="NoSpacing"/>
        <w:rPr>
          <w:rFonts w:ascii="Calibri" w:hAnsi="Calibri" w:cs="Calibri"/>
        </w:rPr>
      </w:pPr>
      <w:r w:rsidRPr="00183483">
        <w:rPr>
          <w:rStyle w:val="FootnoteReference"/>
          <w:rFonts w:ascii="Calibri" w:hAnsi="Calibri" w:cs="Calibri"/>
        </w:rPr>
        <w:footnoteRef/>
      </w:r>
      <w:r w:rsidR="00753FC7" w:rsidRPr="00183483">
        <w:rPr>
          <w:rFonts w:ascii="Calibri" w:hAnsi="Calibri" w:cs="Calibri"/>
        </w:rPr>
        <w:t xml:space="preserve"> </w:t>
      </w:r>
      <w:r w:rsidR="0029051D" w:rsidRPr="00183483">
        <w:rPr>
          <w:rFonts w:ascii="Calibri" w:hAnsi="Calibri" w:cs="Calibri"/>
        </w:rPr>
        <w:t>We believe</w:t>
      </w:r>
      <w:r w:rsidR="00A60058" w:rsidRPr="00183483">
        <w:rPr>
          <w:rFonts w:ascii="Calibri" w:hAnsi="Calibri" w:cs="Calibri"/>
        </w:rPr>
        <w:t xml:space="preserve"> </w:t>
      </w:r>
      <w:r w:rsidRPr="00183483">
        <w:rPr>
          <w:rFonts w:ascii="Calibri" w:hAnsi="Calibri" w:cs="Calibri"/>
        </w:rPr>
        <w:t>that the across the board decrease in the number of rejected IEPS, FIEPs, mediations,</w:t>
      </w:r>
      <w:r w:rsidR="00073C6C" w:rsidRPr="00183483">
        <w:rPr>
          <w:rFonts w:ascii="Calibri" w:hAnsi="Calibri" w:cs="Calibri"/>
        </w:rPr>
        <w:t xml:space="preserve"> </w:t>
      </w:r>
      <w:r w:rsidRPr="00183483">
        <w:rPr>
          <w:rFonts w:ascii="Calibri" w:hAnsi="Calibri" w:cs="Calibri"/>
        </w:rPr>
        <w:t xml:space="preserve">hearing requests and settlement conferences during </w:t>
      </w:r>
      <w:r w:rsidR="0033729C" w:rsidRPr="00183483">
        <w:rPr>
          <w:rFonts w:ascii="Calibri" w:hAnsi="Calibri" w:cs="Calibri"/>
        </w:rPr>
        <w:t>FY</w:t>
      </w:r>
      <w:r w:rsidRPr="00183483">
        <w:rPr>
          <w:rFonts w:ascii="Calibri" w:hAnsi="Calibri" w:cs="Calibri"/>
        </w:rPr>
        <w:t xml:space="preserve"> 2020 is attributable to the </w:t>
      </w:r>
      <w:r w:rsidR="001941D9" w:rsidRPr="00183483">
        <w:rPr>
          <w:rFonts w:ascii="Calibri" w:hAnsi="Calibri" w:cs="Calibri"/>
        </w:rPr>
        <w:t>COVID-</w:t>
      </w:r>
      <w:r w:rsidRPr="00183483">
        <w:rPr>
          <w:rFonts w:ascii="Calibri" w:hAnsi="Calibri" w:cs="Calibri"/>
        </w:rPr>
        <w:t>19 pandemic</w:t>
      </w:r>
      <w:r w:rsidR="00073C6C" w:rsidRPr="00183483">
        <w:rPr>
          <w:rFonts w:ascii="Calibri" w:hAnsi="Calibri" w:cs="Calibri"/>
        </w:rPr>
        <w:t>.</w:t>
      </w:r>
      <w:r w:rsidR="00263FA5" w:rsidRPr="00183483">
        <w:rPr>
          <w:rFonts w:ascii="Calibri" w:hAnsi="Calibri" w:cs="Calibri"/>
        </w:rPr>
        <w:tab/>
      </w:r>
    </w:p>
  </w:footnote>
  <w:footnote w:id="4">
    <w:p w14:paraId="0D11103C" w14:textId="5D9DF469" w:rsidR="001962FE" w:rsidRPr="00183483" w:rsidRDefault="001962FE" w:rsidP="008F427C">
      <w:pPr>
        <w:pStyle w:val="NoSpacing"/>
        <w:rPr>
          <w:rFonts w:ascii="Calibri" w:hAnsi="Calibri" w:cs="Calibri"/>
        </w:rPr>
      </w:pPr>
      <w:r w:rsidRPr="00183483">
        <w:rPr>
          <w:rStyle w:val="FootnoteReference"/>
          <w:rFonts w:ascii="Calibri" w:hAnsi="Calibri" w:cs="Calibri"/>
        </w:rPr>
        <w:footnoteRef/>
      </w:r>
      <w:r w:rsidRPr="00183483">
        <w:rPr>
          <w:rFonts w:ascii="Calibri" w:hAnsi="Calibri" w:cs="Calibri"/>
        </w:rPr>
        <w:t xml:space="preserve"> Tab </w:t>
      </w:r>
      <w:r w:rsidR="00FE481A" w:rsidRPr="00183483">
        <w:rPr>
          <w:rFonts w:ascii="Calibri" w:hAnsi="Calibri" w:cs="Calibri"/>
        </w:rPr>
        <w:t>2</w:t>
      </w:r>
      <w:r w:rsidRPr="00183483">
        <w:rPr>
          <w:rFonts w:ascii="Calibri" w:hAnsi="Calibri" w:cs="Calibri"/>
        </w:rPr>
        <w:t xml:space="preserve">A is a list of the </w:t>
      </w:r>
      <w:r w:rsidR="00573604" w:rsidRPr="00183483">
        <w:rPr>
          <w:rFonts w:ascii="Calibri" w:hAnsi="Calibri" w:cs="Calibri"/>
        </w:rPr>
        <w:t xml:space="preserve">GJU </w:t>
      </w:r>
      <w:r w:rsidRPr="00183483">
        <w:rPr>
          <w:rFonts w:ascii="Calibri" w:hAnsi="Calibri" w:cs="Calibri"/>
        </w:rPr>
        <w:t>open cases with multiple parties and identifying the additional parties.</w:t>
      </w:r>
    </w:p>
  </w:footnote>
  <w:footnote w:id="5">
    <w:p w14:paraId="71198B51" w14:textId="77777777" w:rsidR="004301A8" w:rsidRPr="00183483" w:rsidRDefault="004301A8" w:rsidP="004301A8">
      <w:pPr>
        <w:pStyle w:val="FootnoteText"/>
        <w:rPr>
          <w:rFonts w:ascii="Calibri" w:hAnsi="Calibri" w:cs="Calibri"/>
          <w:sz w:val="24"/>
          <w:szCs w:val="24"/>
        </w:rPr>
      </w:pPr>
      <w:r w:rsidRPr="00183483">
        <w:rPr>
          <w:rStyle w:val="FootnoteReference"/>
          <w:rFonts w:ascii="Calibri" w:hAnsi="Calibri" w:cs="Calibri"/>
          <w:sz w:val="24"/>
          <w:szCs w:val="24"/>
        </w:rPr>
        <w:footnoteRef/>
      </w:r>
      <w:r w:rsidRPr="00183483">
        <w:rPr>
          <w:rFonts w:ascii="Calibri" w:hAnsi="Calibri" w:cs="Calibri"/>
          <w:sz w:val="24"/>
          <w:szCs w:val="24"/>
        </w:rPr>
        <w:t xml:space="preserve"> In 2015, the GJU confronted a large influx of cases because of the Employee Retirement Incentive Program and many of the cases were disposed of without an evidentiary hearing.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F31A4"/>
    <w:multiLevelType w:val="hybridMultilevel"/>
    <w:tmpl w:val="9514AD9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547C8D"/>
    <w:multiLevelType w:val="hybridMultilevel"/>
    <w:tmpl w:val="8B06F1E8"/>
    <w:lvl w:ilvl="0" w:tplc="4E267C64">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97652C"/>
    <w:multiLevelType w:val="hybridMultilevel"/>
    <w:tmpl w:val="08449C34"/>
    <w:lvl w:ilvl="0" w:tplc="60B0A4E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901B2D"/>
    <w:multiLevelType w:val="hybridMultilevel"/>
    <w:tmpl w:val="6A9EA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7D70C17"/>
    <w:multiLevelType w:val="hybridMultilevel"/>
    <w:tmpl w:val="61845E78"/>
    <w:lvl w:ilvl="0" w:tplc="9F889C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7362B9"/>
    <w:multiLevelType w:val="hybridMultilevel"/>
    <w:tmpl w:val="6628A6A8"/>
    <w:lvl w:ilvl="0" w:tplc="E8662CE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D7049A"/>
    <w:multiLevelType w:val="hybridMultilevel"/>
    <w:tmpl w:val="02B4227C"/>
    <w:lvl w:ilvl="0" w:tplc="8DBA902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FCF24A2"/>
    <w:multiLevelType w:val="hybridMultilevel"/>
    <w:tmpl w:val="3B6870BE"/>
    <w:lvl w:ilvl="0" w:tplc="B05C4C8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2B01DB3"/>
    <w:multiLevelType w:val="hybridMultilevel"/>
    <w:tmpl w:val="45FAF2C8"/>
    <w:lvl w:ilvl="0" w:tplc="F3A0DDDA">
      <w:start w:val="1"/>
      <w:numFmt w:val="bullet"/>
      <w:lvlText w:val=""/>
      <w:lvlJc w:val="left"/>
      <w:pPr>
        <w:ind w:left="360" w:hanging="360"/>
      </w:pPr>
      <w:rPr>
        <w:rFonts w:ascii="Symbol" w:hAnsi="Symbol" w:hint="default"/>
        <w:color w:val="F7964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49F4759"/>
    <w:multiLevelType w:val="hybridMultilevel"/>
    <w:tmpl w:val="E354A2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54230CD"/>
    <w:multiLevelType w:val="hybridMultilevel"/>
    <w:tmpl w:val="17CA101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06B6060"/>
    <w:multiLevelType w:val="hybridMultilevel"/>
    <w:tmpl w:val="A350E080"/>
    <w:lvl w:ilvl="0" w:tplc="15083848">
      <w:start w:val="1"/>
      <w:numFmt w:val="decimal"/>
      <w:lvlText w:val="%1."/>
      <w:lvlJc w:val="left"/>
      <w:pPr>
        <w:tabs>
          <w:tab w:val="num" w:pos="1440"/>
        </w:tabs>
        <w:ind w:left="0" w:firstLine="720"/>
      </w:pPr>
      <w:rPr>
        <w:rFonts w:ascii="Times New Roman" w:hAnsi="Times New Roman" w:hint="default"/>
        <w:b w:val="0"/>
        <w:i w:val="0"/>
        <w:sz w:val="24"/>
      </w:rPr>
    </w:lvl>
    <w:lvl w:ilvl="1" w:tplc="152A3A06">
      <w:start w:val="1"/>
      <w:numFmt w:val="lowerLetter"/>
      <w:lvlText w:val="%2."/>
      <w:lvlJc w:val="left"/>
      <w:pPr>
        <w:tabs>
          <w:tab w:val="num" w:pos="1440"/>
        </w:tabs>
        <w:ind w:left="0" w:firstLine="1440"/>
      </w:pPr>
      <w:rPr>
        <w:rFonts w:hint="default"/>
        <w:b w:val="0"/>
        <w:i w:val="0"/>
        <w:sz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6640405"/>
    <w:multiLevelType w:val="multilevel"/>
    <w:tmpl w:val="BF84AF30"/>
    <w:lvl w:ilvl="0">
      <w:start w:val="1"/>
      <w:numFmt w:val="upperRoman"/>
      <w:pStyle w:val="Heading1"/>
      <w:lvlText w:val="%1."/>
      <w:lvlJc w:val="left"/>
      <w:pPr>
        <w:tabs>
          <w:tab w:val="num" w:pos="720"/>
        </w:tabs>
        <w:ind w:left="1440" w:hanging="1440"/>
      </w:pPr>
      <w:rPr>
        <w:rFonts w:ascii="Times New Roman" w:hAnsi="Times New Roman" w:hint="default"/>
        <w:b w:val="0"/>
        <w:i w:val="0"/>
        <w:sz w:val="24"/>
      </w:rPr>
    </w:lvl>
    <w:lvl w:ilvl="1">
      <w:start w:val="1"/>
      <w:numFmt w:val="upperLetter"/>
      <w:pStyle w:val="Heading2"/>
      <w:lvlText w:val="%2."/>
      <w:lvlJc w:val="left"/>
      <w:pPr>
        <w:tabs>
          <w:tab w:val="num" w:pos="1080"/>
        </w:tabs>
        <w:ind w:left="720" w:firstLine="0"/>
      </w:pPr>
      <w:rPr>
        <w:rFonts w:hint="default"/>
      </w:rPr>
    </w:lvl>
    <w:lvl w:ilvl="2">
      <w:start w:val="1"/>
      <w:numFmt w:val="decimal"/>
      <w:pStyle w:val="Heading3"/>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13" w15:restartNumberingAfterBreak="0">
    <w:nsid w:val="67A31787"/>
    <w:multiLevelType w:val="hybridMultilevel"/>
    <w:tmpl w:val="ADF07F3E"/>
    <w:lvl w:ilvl="0" w:tplc="F6ACBC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C77323"/>
    <w:multiLevelType w:val="hybridMultilevel"/>
    <w:tmpl w:val="53682F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98935240">
    <w:abstractNumId w:val="12"/>
  </w:num>
  <w:num w:numId="2" w16cid:durableId="576940695">
    <w:abstractNumId w:val="11"/>
  </w:num>
  <w:num w:numId="3" w16cid:durableId="674499011">
    <w:abstractNumId w:val="8"/>
  </w:num>
  <w:num w:numId="4" w16cid:durableId="1085569731">
    <w:abstractNumId w:val="3"/>
  </w:num>
  <w:num w:numId="5" w16cid:durableId="296034019">
    <w:abstractNumId w:val="14"/>
  </w:num>
  <w:num w:numId="6" w16cid:durableId="2138135455">
    <w:abstractNumId w:val="9"/>
  </w:num>
  <w:num w:numId="7" w16cid:durableId="1977253216">
    <w:abstractNumId w:val="5"/>
  </w:num>
  <w:num w:numId="8" w16cid:durableId="1606304103">
    <w:abstractNumId w:val="6"/>
  </w:num>
  <w:num w:numId="9" w16cid:durableId="2142376710">
    <w:abstractNumId w:val="7"/>
  </w:num>
  <w:num w:numId="10" w16cid:durableId="66727697">
    <w:abstractNumId w:val="2"/>
  </w:num>
  <w:num w:numId="11" w16cid:durableId="1037001858">
    <w:abstractNumId w:val="13"/>
  </w:num>
  <w:num w:numId="12" w16cid:durableId="888418717">
    <w:abstractNumId w:val="4"/>
  </w:num>
  <w:num w:numId="13" w16cid:durableId="291979216">
    <w:abstractNumId w:val="1"/>
  </w:num>
  <w:num w:numId="14" w16cid:durableId="2105032298">
    <w:abstractNumId w:val="0"/>
  </w:num>
  <w:num w:numId="15" w16cid:durableId="14603017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FA6"/>
    <w:rsid w:val="00010748"/>
    <w:rsid w:val="000127C3"/>
    <w:rsid w:val="00015D76"/>
    <w:rsid w:val="00016D98"/>
    <w:rsid w:val="0002015B"/>
    <w:rsid w:val="00023122"/>
    <w:rsid w:val="000245BC"/>
    <w:rsid w:val="00024666"/>
    <w:rsid w:val="00030A7C"/>
    <w:rsid w:val="00032E88"/>
    <w:rsid w:val="00034275"/>
    <w:rsid w:val="00036425"/>
    <w:rsid w:val="0005026C"/>
    <w:rsid w:val="00052F3E"/>
    <w:rsid w:val="00053D7C"/>
    <w:rsid w:val="00056188"/>
    <w:rsid w:val="000575AD"/>
    <w:rsid w:val="00062C46"/>
    <w:rsid w:val="000656EA"/>
    <w:rsid w:val="00065930"/>
    <w:rsid w:val="0007287E"/>
    <w:rsid w:val="00073C6C"/>
    <w:rsid w:val="00074EF7"/>
    <w:rsid w:val="00075626"/>
    <w:rsid w:val="000771B2"/>
    <w:rsid w:val="0008738B"/>
    <w:rsid w:val="00087BF4"/>
    <w:rsid w:val="00090935"/>
    <w:rsid w:val="00091FE9"/>
    <w:rsid w:val="00094F77"/>
    <w:rsid w:val="000953F4"/>
    <w:rsid w:val="00096A94"/>
    <w:rsid w:val="000A36B3"/>
    <w:rsid w:val="000B0B36"/>
    <w:rsid w:val="000B35E5"/>
    <w:rsid w:val="000C05D1"/>
    <w:rsid w:val="000C2A7D"/>
    <w:rsid w:val="000C46F9"/>
    <w:rsid w:val="000F086E"/>
    <w:rsid w:val="000F4BE5"/>
    <w:rsid w:val="000F4E7C"/>
    <w:rsid w:val="000F67CE"/>
    <w:rsid w:val="000F7FDF"/>
    <w:rsid w:val="00100303"/>
    <w:rsid w:val="00102B63"/>
    <w:rsid w:val="001072FC"/>
    <w:rsid w:val="00112FBA"/>
    <w:rsid w:val="00121206"/>
    <w:rsid w:val="00123910"/>
    <w:rsid w:val="00124D6D"/>
    <w:rsid w:val="001252EB"/>
    <w:rsid w:val="001314D6"/>
    <w:rsid w:val="0013389A"/>
    <w:rsid w:val="001349F2"/>
    <w:rsid w:val="001369AB"/>
    <w:rsid w:val="0014317C"/>
    <w:rsid w:val="00147664"/>
    <w:rsid w:val="001520B6"/>
    <w:rsid w:val="001557D2"/>
    <w:rsid w:val="001561D6"/>
    <w:rsid w:val="001571CA"/>
    <w:rsid w:val="00172215"/>
    <w:rsid w:val="001729C6"/>
    <w:rsid w:val="00174141"/>
    <w:rsid w:val="00181A78"/>
    <w:rsid w:val="00181C6F"/>
    <w:rsid w:val="00183483"/>
    <w:rsid w:val="001941D9"/>
    <w:rsid w:val="001962FE"/>
    <w:rsid w:val="001A0F4F"/>
    <w:rsid w:val="001B3141"/>
    <w:rsid w:val="001B3D9D"/>
    <w:rsid w:val="001B4723"/>
    <w:rsid w:val="001B5868"/>
    <w:rsid w:val="001B6F98"/>
    <w:rsid w:val="001B777F"/>
    <w:rsid w:val="001C496B"/>
    <w:rsid w:val="001E41D4"/>
    <w:rsid w:val="001E6AF9"/>
    <w:rsid w:val="001F05F0"/>
    <w:rsid w:val="001F16E3"/>
    <w:rsid w:val="001F444B"/>
    <w:rsid w:val="001F5C7C"/>
    <w:rsid w:val="002021F3"/>
    <w:rsid w:val="002023BA"/>
    <w:rsid w:val="00202C99"/>
    <w:rsid w:val="0021022C"/>
    <w:rsid w:val="002137FC"/>
    <w:rsid w:val="00224553"/>
    <w:rsid w:val="00224A9C"/>
    <w:rsid w:val="00227AF5"/>
    <w:rsid w:val="00235526"/>
    <w:rsid w:val="00243379"/>
    <w:rsid w:val="002437F8"/>
    <w:rsid w:val="002501E2"/>
    <w:rsid w:val="00251689"/>
    <w:rsid w:val="00263870"/>
    <w:rsid w:val="00263FA5"/>
    <w:rsid w:val="00265394"/>
    <w:rsid w:val="00267D01"/>
    <w:rsid w:val="00271A97"/>
    <w:rsid w:val="00271E31"/>
    <w:rsid w:val="00273080"/>
    <w:rsid w:val="00273D5A"/>
    <w:rsid w:val="00276EBD"/>
    <w:rsid w:val="00282D62"/>
    <w:rsid w:val="00283EA9"/>
    <w:rsid w:val="0029051D"/>
    <w:rsid w:val="00293A39"/>
    <w:rsid w:val="002977D7"/>
    <w:rsid w:val="002A2367"/>
    <w:rsid w:val="002B01F2"/>
    <w:rsid w:val="002B08A5"/>
    <w:rsid w:val="002B3256"/>
    <w:rsid w:val="002C0AFB"/>
    <w:rsid w:val="002C4EA4"/>
    <w:rsid w:val="002C756C"/>
    <w:rsid w:val="002D42AD"/>
    <w:rsid w:val="002D4BE8"/>
    <w:rsid w:val="002D4D95"/>
    <w:rsid w:val="002D54B8"/>
    <w:rsid w:val="002D58CD"/>
    <w:rsid w:val="002E155A"/>
    <w:rsid w:val="002E164F"/>
    <w:rsid w:val="002F1D4B"/>
    <w:rsid w:val="002F321D"/>
    <w:rsid w:val="003119E1"/>
    <w:rsid w:val="00313C1F"/>
    <w:rsid w:val="00315B6F"/>
    <w:rsid w:val="00316727"/>
    <w:rsid w:val="003173A2"/>
    <w:rsid w:val="0031741F"/>
    <w:rsid w:val="00323F11"/>
    <w:rsid w:val="0033055B"/>
    <w:rsid w:val="00332F26"/>
    <w:rsid w:val="0033729C"/>
    <w:rsid w:val="003431DA"/>
    <w:rsid w:val="00347B17"/>
    <w:rsid w:val="00354438"/>
    <w:rsid w:val="00355B2C"/>
    <w:rsid w:val="003602F8"/>
    <w:rsid w:val="00372838"/>
    <w:rsid w:val="00372BAA"/>
    <w:rsid w:val="003762C7"/>
    <w:rsid w:val="00380F34"/>
    <w:rsid w:val="00381361"/>
    <w:rsid w:val="003869C8"/>
    <w:rsid w:val="0039192A"/>
    <w:rsid w:val="00394149"/>
    <w:rsid w:val="00394E4E"/>
    <w:rsid w:val="003A0EAE"/>
    <w:rsid w:val="003A3B26"/>
    <w:rsid w:val="003B0810"/>
    <w:rsid w:val="003B0A7A"/>
    <w:rsid w:val="003B271B"/>
    <w:rsid w:val="003B34DD"/>
    <w:rsid w:val="003C49DD"/>
    <w:rsid w:val="003D70C0"/>
    <w:rsid w:val="003E5615"/>
    <w:rsid w:val="003F5C65"/>
    <w:rsid w:val="00400B0D"/>
    <w:rsid w:val="00423A24"/>
    <w:rsid w:val="004301A8"/>
    <w:rsid w:val="00431D61"/>
    <w:rsid w:val="00447B9D"/>
    <w:rsid w:val="00451D18"/>
    <w:rsid w:val="00451E91"/>
    <w:rsid w:val="004574B5"/>
    <w:rsid w:val="0046230B"/>
    <w:rsid w:val="004669A6"/>
    <w:rsid w:val="004701E8"/>
    <w:rsid w:val="00471FC6"/>
    <w:rsid w:val="00475B6F"/>
    <w:rsid w:val="00482AF6"/>
    <w:rsid w:val="004933F3"/>
    <w:rsid w:val="00495AE6"/>
    <w:rsid w:val="00496B58"/>
    <w:rsid w:val="004A1F21"/>
    <w:rsid w:val="004B2D00"/>
    <w:rsid w:val="004B53C6"/>
    <w:rsid w:val="004C2BE7"/>
    <w:rsid w:val="004C4C70"/>
    <w:rsid w:val="004C763D"/>
    <w:rsid w:val="004D5BFD"/>
    <w:rsid w:val="004D5F18"/>
    <w:rsid w:val="004E03C0"/>
    <w:rsid w:val="004F2FC2"/>
    <w:rsid w:val="00507360"/>
    <w:rsid w:val="00510A4A"/>
    <w:rsid w:val="00515E78"/>
    <w:rsid w:val="00517B66"/>
    <w:rsid w:val="00526FFC"/>
    <w:rsid w:val="00531815"/>
    <w:rsid w:val="00536E8E"/>
    <w:rsid w:val="005370DF"/>
    <w:rsid w:val="00537E6A"/>
    <w:rsid w:val="005402B8"/>
    <w:rsid w:val="00542E61"/>
    <w:rsid w:val="005434A3"/>
    <w:rsid w:val="00552FAC"/>
    <w:rsid w:val="00554D53"/>
    <w:rsid w:val="00560C1B"/>
    <w:rsid w:val="0056164C"/>
    <w:rsid w:val="005620CC"/>
    <w:rsid w:val="00563270"/>
    <w:rsid w:val="00573604"/>
    <w:rsid w:val="00576DAE"/>
    <w:rsid w:val="00581897"/>
    <w:rsid w:val="0058190C"/>
    <w:rsid w:val="0058223A"/>
    <w:rsid w:val="00582731"/>
    <w:rsid w:val="005857E9"/>
    <w:rsid w:val="00593E0D"/>
    <w:rsid w:val="0059421F"/>
    <w:rsid w:val="005A2F4F"/>
    <w:rsid w:val="005A44A2"/>
    <w:rsid w:val="005B41A2"/>
    <w:rsid w:val="005B7396"/>
    <w:rsid w:val="005E0B34"/>
    <w:rsid w:val="005E1828"/>
    <w:rsid w:val="005E2242"/>
    <w:rsid w:val="005E278C"/>
    <w:rsid w:val="005E2B5F"/>
    <w:rsid w:val="005E3FBD"/>
    <w:rsid w:val="005E5555"/>
    <w:rsid w:val="005E62BE"/>
    <w:rsid w:val="005F0F0F"/>
    <w:rsid w:val="005F79AF"/>
    <w:rsid w:val="00602580"/>
    <w:rsid w:val="006052B5"/>
    <w:rsid w:val="00612270"/>
    <w:rsid w:val="00616AD0"/>
    <w:rsid w:val="00625FA9"/>
    <w:rsid w:val="00626201"/>
    <w:rsid w:val="006262FA"/>
    <w:rsid w:val="00630E9B"/>
    <w:rsid w:val="00634640"/>
    <w:rsid w:val="00635B9C"/>
    <w:rsid w:val="00635BA1"/>
    <w:rsid w:val="00641D91"/>
    <w:rsid w:val="00642375"/>
    <w:rsid w:val="006457BF"/>
    <w:rsid w:val="006472A9"/>
    <w:rsid w:val="00650F4B"/>
    <w:rsid w:val="0065173E"/>
    <w:rsid w:val="00651753"/>
    <w:rsid w:val="00666A0E"/>
    <w:rsid w:val="00675F66"/>
    <w:rsid w:val="006837B0"/>
    <w:rsid w:val="00685F4A"/>
    <w:rsid w:val="00690AA6"/>
    <w:rsid w:val="00691C56"/>
    <w:rsid w:val="00693A3D"/>
    <w:rsid w:val="006B7D16"/>
    <w:rsid w:val="006C0A1B"/>
    <w:rsid w:val="006C4CDB"/>
    <w:rsid w:val="006D381C"/>
    <w:rsid w:val="006E41D9"/>
    <w:rsid w:val="006F117B"/>
    <w:rsid w:val="006F1B10"/>
    <w:rsid w:val="006F3DB9"/>
    <w:rsid w:val="006F508D"/>
    <w:rsid w:val="007015D4"/>
    <w:rsid w:val="00701664"/>
    <w:rsid w:val="007020C1"/>
    <w:rsid w:val="007033F5"/>
    <w:rsid w:val="00707215"/>
    <w:rsid w:val="00711759"/>
    <w:rsid w:val="0071184D"/>
    <w:rsid w:val="00711E26"/>
    <w:rsid w:val="00712B82"/>
    <w:rsid w:val="007144A8"/>
    <w:rsid w:val="007200D3"/>
    <w:rsid w:val="00720B9B"/>
    <w:rsid w:val="00722329"/>
    <w:rsid w:val="007240D3"/>
    <w:rsid w:val="0073110C"/>
    <w:rsid w:val="007409BC"/>
    <w:rsid w:val="0074364D"/>
    <w:rsid w:val="00753FC7"/>
    <w:rsid w:val="0075437A"/>
    <w:rsid w:val="0075571E"/>
    <w:rsid w:val="00756211"/>
    <w:rsid w:val="0075702E"/>
    <w:rsid w:val="0076254C"/>
    <w:rsid w:val="00763711"/>
    <w:rsid w:val="00765108"/>
    <w:rsid w:val="007655AF"/>
    <w:rsid w:val="00766FD7"/>
    <w:rsid w:val="00775131"/>
    <w:rsid w:val="00783140"/>
    <w:rsid w:val="00792820"/>
    <w:rsid w:val="007A24D0"/>
    <w:rsid w:val="007A4024"/>
    <w:rsid w:val="007A6816"/>
    <w:rsid w:val="007C0AB7"/>
    <w:rsid w:val="007D55A8"/>
    <w:rsid w:val="007E20FF"/>
    <w:rsid w:val="007F0CF0"/>
    <w:rsid w:val="007F1FA6"/>
    <w:rsid w:val="007F53B5"/>
    <w:rsid w:val="007F6250"/>
    <w:rsid w:val="007F6FE0"/>
    <w:rsid w:val="007F7B23"/>
    <w:rsid w:val="007F7B7A"/>
    <w:rsid w:val="00803168"/>
    <w:rsid w:val="008041AD"/>
    <w:rsid w:val="00810E57"/>
    <w:rsid w:val="00813907"/>
    <w:rsid w:val="00827C47"/>
    <w:rsid w:val="00831994"/>
    <w:rsid w:val="00831AA3"/>
    <w:rsid w:val="00840972"/>
    <w:rsid w:val="008523D3"/>
    <w:rsid w:val="008537C7"/>
    <w:rsid w:val="0085732A"/>
    <w:rsid w:val="00862E69"/>
    <w:rsid w:val="0086434C"/>
    <w:rsid w:val="008705CB"/>
    <w:rsid w:val="0087106C"/>
    <w:rsid w:val="00880366"/>
    <w:rsid w:val="00881906"/>
    <w:rsid w:val="008A1AFF"/>
    <w:rsid w:val="008A426F"/>
    <w:rsid w:val="008A4B62"/>
    <w:rsid w:val="008B0302"/>
    <w:rsid w:val="008B72F4"/>
    <w:rsid w:val="008D2B6C"/>
    <w:rsid w:val="008D52B5"/>
    <w:rsid w:val="008E514F"/>
    <w:rsid w:val="008E57DC"/>
    <w:rsid w:val="008F2ACB"/>
    <w:rsid w:val="008F427C"/>
    <w:rsid w:val="008F6563"/>
    <w:rsid w:val="0090273D"/>
    <w:rsid w:val="00911052"/>
    <w:rsid w:val="009116B5"/>
    <w:rsid w:val="00914B2F"/>
    <w:rsid w:val="009223A9"/>
    <w:rsid w:val="009312CE"/>
    <w:rsid w:val="0093441C"/>
    <w:rsid w:val="00934716"/>
    <w:rsid w:val="00936C8A"/>
    <w:rsid w:val="00937C47"/>
    <w:rsid w:val="00937D2F"/>
    <w:rsid w:val="00941F02"/>
    <w:rsid w:val="00945B06"/>
    <w:rsid w:val="0096108C"/>
    <w:rsid w:val="00961D25"/>
    <w:rsid w:val="00964FCB"/>
    <w:rsid w:val="00973EAB"/>
    <w:rsid w:val="009819F5"/>
    <w:rsid w:val="009862F5"/>
    <w:rsid w:val="00993C1D"/>
    <w:rsid w:val="009967DC"/>
    <w:rsid w:val="009A5A85"/>
    <w:rsid w:val="009A6839"/>
    <w:rsid w:val="009B0347"/>
    <w:rsid w:val="009C13FD"/>
    <w:rsid w:val="009D25F3"/>
    <w:rsid w:val="009D4FE8"/>
    <w:rsid w:val="009D6E4F"/>
    <w:rsid w:val="009E4D67"/>
    <w:rsid w:val="009E533E"/>
    <w:rsid w:val="009E5558"/>
    <w:rsid w:val="009E5C8E"/>
    <w:rsid w:val="00A007F0"/>
    <w:rsid w:val="00A01102"/>
    <w:rsid w:val="00A047A5"/>
    <w:rsid w:val="00A06F2C"/>
    <w:rsid w:val="00A20B13"/>
    <w:rsid w:val="00A2289B"/>
    <w:rsid w:val="00A373D3"/>
    <w:rsid w:val="00A37E37"/>
    <w:rsid w:val="00A436C1"/>
    <w:rsid w:val="00A46BC4"/>
    <w:rsid w:val="00A578EB"/>
    <w:rsid w:val="00A60058"/>
    <w:rsid w:val="00A603CC"/>
    <w:rsid w:val="00A6129E"/>
    <w:rsid w:val="00A63346"/>
    <w:rsid w:val="00A7028B"/>
    <w:rsid w:val="00A705E6"/>
    <w:rsid w:val="00A70676"/>
    <w:rsid w:val="00A72171"/>
    <w:rsid w:val="00A75AC3"/>
    <w:rsid w:val="00A91EB8"/>
    <w:rsid w:val="00A924D8"/>
    <w:rsid w:val="00A92EDC"/>
    <w:rsid w:val="00A93D73"/>
    <w:rsid w:val="00AA127E"/>
    <w:rsid w:val="00AA6230"/>
    <w:rsid w:val="00AA6856"/>
    <w:rsid w:val="00AA6C7C"/>
    <w:rsid w:val="00AA6FF2"/>
    <w:rsid w:val="00AB4F8F"/>
    <w:rsid w:val="00AB71AB"/>
    <w:rsid w:val="00AC3B82"/>
    <w:rsid w:val="00AD1325"/>
    <w:rsid w:val="00AD1419"/>
    <w:rsid w:val="00AD2CC6"/>
    <w:rsid w:val="00AE583D"/>
    <w:rsid w:val="00AE7326"/>
    <w:rsid w:val="00AF7219"/>
    <w:rsid w:val="00B00F3D"/>
    <w:rsid w:val="00B01627"/>
    <w:rsid w:val="00B05574"/>
    <w:rsid w:val="00B15464"/>
    <w:rsid w:val="00B203E9"/>
    <w:rsid w:val="00B25A6C"/>
    <w:rsid w:val="00B27360"/>
    <w:rsid w:val="00B35098"/>
    <w:rsid w:val="00B363BB"/>
    <w:rsid w:val="00B47F56"/>
    <w:rsid w:val="00B60B67"/>
    <w:rsid w:val="00B60ED1"/>
    <w:rsid w:val="00B73865"/>
    <w:rsid w:val="00B73DBB"/>
    <w:rsid w:val="00B74678"/>
    <w:rsid w:val="00B760BC"/>
    <w:rsid w:val="00B762FB"/>
    <w:rsid w:val="00B81FB7"/>
    <w:rsid w:val="00B84029"/>
    <w:rsid w:val="00B90353"/>
    <w:rsid w:val="00B92E41"/>
    <w:rsid w:val="00B9513E"/>
    <w:rsid w:val="00BA0C0C"/>
    <w:rsid w:val="00BA3AC9"/>
    <w:rsid w:val="00BB33C7"/>
    <w:rsid w:val="00BB6873"/>
    <w:rsid w:val="00BC5807"/>
    <w:rsid w:val="00BC5BF8"/>
    <w:rsid w:val="00BC5DA1"/>
    <w:rsid w:val="00BC6F67"/>
    <w:rsid w:val="00BD061F"/>
    <w:rsid w:val="00BD6DCF"/>
    <w:rsid w:val="00BE1AF6"/>
    <w:rsid w:val="00BE1B0C"/>
    <w:rsid w:val="00BE587B"/>
    <w:rsid w:val="00BF0AE2"/>
    <w:rsid w:val="00C01C39"/>
    <w:rsid w:val="00C03B78"/>
    <w:rsid w:val="00C3039A"/>
    <w:rsid w:val="00C31522"/>
    <w:rsid w:val="00C34872"/>
    <w:rsid w:val="00C458F3"/>
    <w:rsid w:val="00C46A92"/>
    <w:rsid w:val="00C51350"/>
    <w:rsid w:val="00C55FAB"/>
    <w:rsid w:val="00C57F0B"/>
    <w:rsid w:val="00C6461E"/>
    <w:rsid w:val="00C707AD"/>
    <w:rsid w:val="00C7540F"/>
    <w:rsid w:val="00C766E9"/>
    <w:rsid w:val="00C814A2"/>
    <w:rsid w:val="00C833E4"/>
    <w:rsid w:val="00C925CD"/>
    <w:rsid w:val="00C935B9"/>
    <w:rsid w:val="00CA057D"/>
    <w:rsid w:val="00CA1CDD"/>
    <w:rsid w:val="00CA7A45"/>
    <w:rsid w:val="00CB0052"/>
    <w:rsid w:val="00CB1374"/>
    <w:rsid w:val="00CB1E85"/>
    <w:rsid w:val="00CB373A"/>
    <w:rsid w:val="00CB61C8"/>
    <w:rsid w:val="00CC077B"/>
    <w:rsid w:val="00CC26FF"/>
    <w:rsid w:val="00CC4A00"/>
    <w:rsid w:val="00CD04FE"/>
    <w:rsid w:val="00CD2F82"/>
    <w:rsid w:val="00CD4625"/>
    <w:rsid w:val="00CF4034"/>
    <w:rsid w:val="00CF49B3"/>
    <w:rsid w:val="00CF7CB5"/>
    <w:rsid w:val="00D00C77"/>
    <w:rsid w:val="00D0208F"/>
    <w:rsid w:val="00D029ED"/>
    <w:rsid w:val="00D04168"/>
    <w:rsid w:val="00D12675"/>
    <w:rsid w:val="00D1443B"/>
    <w:rsid w:val="00D225C7"/>
    <w:rsid w:val="00D23430"/>
    <w:rsid w:val="00D24461"/>
    <w:rsid w:val="00D25AAC"/>
    <w:rsid w:val="00D3412C"/>
    <w:rsid w:val="00D358B9"/>
    <w:rsid w:val="00D4352F"/>
    <w:rsid w:val="00D43721"/>
    <w:rsid w:val="00D4639C"/>
    <w:rsid w:val="00D47110"/>
    <w:rsid w:val="00D5404D"/>
    <w:rsid w:val="00D62124"/>
    <w:rsid w:val="00D665A9"/>
    <w:rsid w:val="00D67505"/>
    <w:rsid w:val="00D72BD9"/>
    <w:rsid w:val="00D744A3"/>
    <w:rsid w:val="00D818DC"/>
    <w:rsid w:val="00D907B3"/>
    <w:rsid w:val="00D9675D"/>
    <w:rsid w:val="00DA77DC"/>
    <w:rsid w:val="00DB1A4F"/>
    <w:rsid w:val="00DB24AD"/>
    <w:rsid w:val="00DB2706"/>
    <w:rsid w:val="00DC1EBF"/>
    <w:rsid w:val="00DC1F38"/>
    <w:rsid w:val="00DC4E49"/>
    <w:rsid w:val="00DC51CE"/>
    <w:rsid w:val="00DF7FA0"/>
    <w:rsid w:val="00E0033E"/>
    <w:rsid w:val="00E007DE"/>
    <w:rsid w:val="00E0139F"/>
    <w:rsid w:val="00E10D6E"/>
    <w:rsid w:val="00E20272"/>
    <w:rsid w:val="00E2154C"/>
    <w:rsid w:val="00E2384E"/>
    <w:rsid w:val="00E23E4B"/>
    <w:rsid w:val="00E271AF"/>
    <w:rsid w:val="00E31F63"/>
    <w:rsid w:val="00E353E7"/>
    <w:rsid w:val="00E40A9E"/>
    <w:rsid w:val="00E40D4C"/>
    <w:rsid w:val="00E41A09"/>
    <w:rsid w:val="00E422E5"/>
    <w:rsid w:val="00E46C86"/>
    <w:rsid w:val="00E55459"/>
    <w:rsid w:val="00E56B83"/>
    <w:rsid w:val="00E56FEE"/>
    <w:rsid w:val="00E65679"/>
    <w:rsid w:val="00E661AC"/>
    <w:rsid w:val="00E67110"/>
    <w:rsid w:val="00E722DC"/>
    <w:rsid w:val="00E76ED8"/>
    <w:rsid w:val="00EA0213"/>
    <w:rsid w:val="00EA3503"/>
    <w:rsid w:val="00EA3B04"/>
    <w:rsid w:val="00EA7566"/>
    <w:rsid w:val="00EB149A"/>
    <w:rsid w:val="00EB18BB"/>
    <w:rsid w:val="00EB369D"/>
    <w:rsid w:val="00EC340B"/>
    <w:rsid w:val="00ED5C36"/>
    <w:rsid w:val="00ED7898"/>
    <w:rsid w:val="00EE30BF"/>
    <w:rsid w:val="00EE4238"/>
    <w:rsid w:val="00EF1B61"/>
    <w:rsid w:val="00EF59D7"/>
    <w:rsid w:val="00F00452"/>
    <w:rsid w:val="00F11143"/>
    <w:rsid w:val="00F11C7C"/>
    <w:rsid w:val="00F20467"/>
    <w:rsid w:val="00F2061A"/>
    <w:rsid w:val="00F23C96"/>
    <w:rsid w:val="00F24B59"/>
    <w:rsid w:val="00F252C3"/>
    <w:rsid w:val="00F3334D"/>
    <w:rsid w:val="00F35E92"/>
    <w:rsid w:val="00F435A1"/>
    <w:rsid w:val="00F631F6"/>
    <w:rsid w:val="00F660F0"/>
    <w:rsid w:val="00F67133"/>
    <w:rsid w:val="00F7224A"/>
    <w:rsid w:val="00F731C9"/>
    <w:rsid w:val="00F813F6"/>
    <w:rsid w:val="00F84A75"/>
    <w:rsid w:val="00F94B12"/>
    <w:rsid w:val="00F94C56"/>
    <w:rsid w:val="00F96CC9"/>
    <w:rsid w:val="00FA4EB6"/>
    <w:rsid w:val="00FA5B26"/>
    <w:rsid w:val="00FB0677"/>
    <w:rsid w:val="00FB3EAF"/>
    <w:rsid w:val="00FC0F1F"/>
    <w:rsid w:val="00FC3E23"/>
    <w:rsid w:val="00FC40B0"/>
    <w:rsid w:val="00FC5C0E"/>
    <w:rsid w:val="00FC5FCE"/>
    <w:rsid w:val="00FD2FD8"/>
    <w:rsid w:val="00FD6D46"/>
    <w:rsid w:val="00FE481A"/>
    <w:rsid w:val="00FE66B2"/>
    <w:rsid w:val="00FF04D1"/>
    <w:rsid w:val="00FF60B7"/>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6B779478"/>
  <w15:docId w15:val="{5DDB191C-74C6-4E17-B7FE-DD842D48E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181C6F"/>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181C6F"/>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rsid w:val="00181C6F"/>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rsid w:val="00181C6F"/>
    <w:pPr>
      <w:keepNext/>
      <w:numPr>
        <w:ilvl w:val="3"/>
        <w:numId w:val="1"/>
      </w:numPr>
      <w:spacing w:before="240" w:after="60"/>
      <w:outlineLvl w:val="3"/>
    </w:pPr>
    <w:rPr>
      <w:b/>
      <w:bCs/>
      <w:sz w:val="28"/>
      <w:szCs w:val="28"/>
    </w:rPr>
  </w:style>
  <w:style w:type="paragraph" w:styleId="Heading5">
    <w:name w:val="heading 5"/>
    <w:basedOn w:val="Normal"/>
    <w:next w:val="Normal"/>
    <w:qFormat/>
    <w:rsid w:val="00181C6F"/>
    <w:pPr>
      <w:numPr>
        <w:ilvl w:val="4"/>
        <w:numId w:val="1"/>
      </w:numPr>
      <w:spacing w:before="240" w:after="60"/>
      <w:outlineLvl w:val="4"/>
    </w:pPr>
    <w:rPr>
      <w:b/>
      <w:bCs/>
      <w:i/>
      <w:iCs/>
      <w:sz w:val="26"/>
      <w:szCs w:val="26"/>
    </w:rPr>
  </w:style>
  <w:style w:type="paragraph" w:styleId="Heading6">
    <w:name w:val="heading 6"/>
    <w:basedOn w:val="Normal"/>
    <w:next w:val="Normal"/>
    <w:qFormat/>
    <w:rsid w:val="00181C6F"/>
    <w:pPr>
      <w:numPr>
        <w:ilvl w:val="5"/>
        <w:numId w:val="1"/>
      </w:numPr>
      <w:spacing w:before="240" w:after="60"/>
      <w:outlineLvl w:val="5"/>
    </w:pPr>
    <w:rPr>
      <w:sz w:val="22"/>
      <w:szCs w:val="22"/>
    </w:rPr>
  </w:style>
  <w:style w:type="paragraph" w:styleId="Heading7">
    <w:name w:val="heading 7"/>
    <w:basedOn w:val="Normal"/>
    <w:next w:val="Normal"/>
    <w:qFormat/>
    <w:rsid w:val="00181C6F"/>
    <w:pPr>
      <w:numPr>
        <w:ilvl w:val="6"/>
        <w:numId w:val="1"/>
      </w:numPr>
      <w:spacing w:before="240" w:after="60"/>
      <w:outlineLvl w:val="6"/>
    </w:pPr>
    <w:rPr>
      <w:b/>
      <w:bCs/>
    </w:rPr>
  </w:style>
  <w:style w:type="paragraph" w:styleId="Heading8">
    <w:name w:val="heading 8"/>
    <w:basedOn w:val="Normal"/>
    <w:next w:val="Normal"/>
    <w:qFormat/>
    <w:rsid w:val="00181C6F"/>
    <w:pPr>
      <w:numPr>
        <w:ilvl w:val="7"/>
        <w:numId w:val="1"/>
      </w:numPr>
      <w:spacing w:before="240" w:after="60"/>
      <w:outlineLvl w:val="7"/>
    </w:pPr>
    <w:rPr>
      <w:b/>
      <w:bCs/>
      <w:i/>
      <w:iCs/>
    </w:rPr>
  </w:style>
  <w:style w:type="paragraph" w:styleId="Heading9">
    <w:name w:val="heading 9"/>
    <w:basedOn w:val="Normal"/>
    <w:next w:val="Normal"/>
    <w:qFormat/>
    <w:rsid w:val="00181C6F"/>
    <w:pPr>
      <w:numPr>
        <w:ilvl w:val="8"/>
        <w:numId w:val="1"/>
      </w:numPr>
      <w:spacing w:before="240" w:after="60"/>
      <w:outlineLvl w:val="8"/>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D0208F"/>
    <w:rPr>
      <w:sz w:val="20"/>
      <w:szCs w:val="20"/>
    </w:rPr>
  </w:style>
  <w:style w:type="character" w:styleId="FootnoteReference">
    <w:name w:val="footnote reference"/>
    <w:semiHidden/>
    <w:rsid w:val="00D0208F"/>
    <w:rPr>
      <w:vertAlign w:val="superscript"/>
    </w:rPr>
  </w:style>
  <w:style w:type="character" w:styleId="CommentReference">
    <w:name w:val="annotation reference"/>
    <w:semiHidden/>
    <w:rsid w:val="00F435A1"/>
    <w:rPr>
      <w:sz w:val="16"/>
      <w:szCs w:val="16"/>
    </w:rPr>
  </w:style>
  <w:style w:type="paragraph" w:styleId="CommentText">
    <w:name w:val="annotation text"/>
    <w:basedOn w:val="Normal"/>
    <w:semiHidden/>
    <w:rsid w:val="00F435A1"/>
    <w:rPr>
      <w:sz w:val="20"/>
      <w:szCs w:val="20"/>
    </w:rPr>
  </w:style>
  <w:style w:type="paragraph" w:styleId="CommentSubject">
    <w:name w:val="annotation subject"/>
    <w:basedOn w:val="CommentText"/>
    <w:next w:val="CommentText"/>
    <w:semiHidden/>
    <w:rsid w:val="00F435A1"/>
    <w:rPr>
      <w:b/>
      <w:bCs/>
    </w:rPr>
  </w:style>
  <w:style w:type="paragraph" w:styleId="BalloonText">
    <w:name w:val="Balloon Text"/>
    <w:basedOn w:val="Normal"/>
    <w:semiHidden/>
    <w:rsid w:val="00F435A1"/>
    <w:rPr>
      <w:rFonts w:ascii="Tahoma" w:hAnsi="Tahoma" w:cs="Tahoma"/>
      <w:sz w:val="16"/>
      <w:szCs w:val="16"/>
    </w:rPr>
  </w:style>
  <w:style w:type="paragraph" w:styleId="Footer">
    <w:name w:val="footer"/>
    <w:basedOn w:val="Normal"/>
    <w:link w:val="FooterChar"/>
    <w:uiPriority w:val="99"/>
    <w:rsid w:val="00C51350"/>
    <w:pPr>
      <w:tabs>
        <w:tab w:val="center" w:pos="4320"/>
        <w:tab w:val="right" w:pos="8640"/>
      </w:tabs>
    </w:pPr>
  </w:style>
  <w:style w:type="character" w:styleId="PageNumber">
    <w:name w:val="page number"/>
    <w:basedOn w:val="DefaultParagraphFont"/>
    <w:rsid w:val="00C51350"/>
  </w:style>
  <w:style w:type="paragraph" w:styleId="ListParagraph">
    <w:name w:val="List Paragraph"/>
    <w:basedOn w:val="Normal"/>
    <w:uiPriority w:val="34"/>
    <w:qFormat/>
    <w:rsid w:val="004933F3"/>
    <w:pPr>
      <w:ind w:left="720"/>
    </w:pPr>
  </w:style>
  <w:style w:type="table" w:styleId="TableGrid">
    <w:name w:val="Table Grid"/>
    <w:basedOn w:val="TableNormal"/>
    <w:uiPriority w:val="59"/>
    <w:rsid w:val="00BA3AC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64FCB"/>
    <w:pPr>
      <w:tabs>
        <w:tab w:val="center" w:pos="4680"/>
        <w:tab w:val="right" w:pos="9360"/>
      </w:tabs>
    </w:pPr>
  </w:style>
  <w:style w:type="character" w:customStyle="1" w:styleId="HeaderChar">
    <w:name w:val="Header Char"/>
    <w:link w:val="Header"/>
    <w:rsid w:val="00964FCB"/>
    <w:rPr>
      <w:sz w:val="24"/>
      <w:szCs w:val="24"/>
    </w:rPr>
  </w:style>
  <w:style w:type="character" w:customStyle="1" w:styleId="FooterChar">
    <w:name w:val="Footer Char"/>
    <w:link w:val="Footer"/>
    <w:uiPriority w:val="99"/>
    <w:rsid w:val="00964FCB"/>
    <w:rPr>
      <w:sz w:val="24"/>
      <w:szCs w:val="24"/>
    </w:rPr>
  </w:style>
  <w:style w:type="paragraph" w:styleId="NoSpacing">
    <w:name w:val="No Spacing"/>
    <w:uiPriority w:val="1"/>
    <w:qFormat/>
    <w:rsid w:val="003A3B26"/>
    <w:rPr>
      <w:sz w:val="24"/>
      <w:szCs w:val="24"/>
    </w:rPr>
  </w:style>
  <w:style w:type="paragraph" w:styleId="EndnoteText">
    <w:name w:val="endnote text"/>
    <w:basedOn w:val="Normal"/>
    <w:link w:val="EndnoteTextChar"/>
    <w:rsid w:val="008705CB"/>
    <w:rPr>
      <w:sz w:val="20"/>
      <w:szCs w:val="20"/>
    </w:rPr>
  </w:style>
  <w:style w:type="character" w:customStyle="1" w:styleId="EndnoteTextChar">
    <w:name w:val="Endnote Text Char"/>
    <w:basedOn w:val="DefaultParagraphFont"/>
    <w:link w:val="EndnoteText"/>
    <w:rsid w:val="008705CB"/>
  </w:style>
  <w:style w:type="character" w:styleId="EndnoteReference">
    <w:name w:val="endnote reference"/>
    <w:rsid w:val="008705CB"/>
    <w:rPr>
      <w:vertAlign w:val="superscript"/>
    </w:rPr>
  </w:style>
  <w:style w:type="paragraph" w:styleId="NormalWeb">
    <w:name w:val="Normal (Web)"/>
    <w:basedOn w:val="Normal"/>
    <w:uiPriority w:val="99"/>
    <w:unhideWhenUsed/>
    <w:rsid w:val="00316727"/>
    <w:pPr>
      <w:spacing w:before="100" w:beforeAutospacing="1" w:after="100" w:afterAutospacing="1"/>
    </w:pPr>
  </w:style>
  <w:style w:type="character" w:styleId="Strong">
    <w:name w:val="Strong"/>
    <w:uiPriority w:val="22"/>
    <w:qFormat/>
    <w:rsid w:val="00316727"/>
    <w:rPr>
      <w:b/>
      <w:bCs/>
    </w:rPr>
  </w:style>
  <w:style w:type="paragraph" w:styleId="Revision">
    <w:name w:val="Revision"/>
    <w:hidden/>
    <w:uiPriority w:val="99"/>
    <w:semiHidden/>
    <w:rsid w:val="0053181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511279">
      <w:bodyDiv w:val="1"/>
      <w:marLeft w:val="0"/>
      <w:marRight w:val="0"/>
      <w:marTop w:val="0"/>
      <w:marBottom w:val="0"/>
      <w:divBdr>
        <w:top w:val="none" w:sz="0" w:space="0" w:color="auto"/>
        <w:left w:val="none" w:sz="0" w:space="0" w:color="auto"/>
        <w:bottom w:val="none" w:sz="0" w:space="0" w:color="auto"/>
        <w:right w:val="none" w:sz="0" w:space="0" w:color="auto"/>
      </w:divBdr>
    </w:div>
    <w:div w:id="787624121">
      <w:bodyDiv w:val="1"/>
      <w:marLeft w:val="0"/>
      <w:marRight w:val="0"/>
      <w:marTop w:val="0"/>
      <w:marBottom w:val="0"/>
      <w:divBdr>
        <w:top w:val="none" w:sz="0" w:space="0" w:color="auto"/>
        <w:left w:val="none" w:sz="0" w:space="0" w:color="auto"/>
        <w:bottom w:val="none" w:sz="0" w:space="0" w:color="auto"/>
        <w:right w:val="none" w:sz="0" w:space="0" w:color="auto"/>
      </w:divBdr>
    </w:div>
    <w:div w:id="908417433">
      <w:bodyDiv w:val="1"/>
      <w:marLeft w:val="0"/>
      <w:marRight w:val="0"/>
      <w:marTop w:val="0"/>
      <w:marBottom w:val="0"/>
      <w:divBdr>
        <w:top w:val="none" w:sz="0" w:space="0" w:color="auto"/>
        <w:left w:val="none" w:sz="0" w:space="0" w:color="auto"/>
        <w:bottom w:val="none" w:sz="0" w:space="0" w:color="auto"/>
        <w:right w:val="none" w:sz="0" w:space="0" w:color="auto"/>
      </w:divBdr>
    </w:div>
    <w:div w:id="929117190">
      <w:bodyDiv w:val="1"/>
      <w:marLeft w:val="0"/>
      <w:marRight w:val="0"/>
      <w:marTop w:val="0"/>
      <w:marBottom w:val="0"/>
      <w:divBdr>
        <w:top w:val="none" w:sz="0" w:space="0" w:color="auto"/>
        <w:left w:val="none" w:sz="0" w:space="0" w:color="auto"/>
        <w:bottom w:val="none" w:sz="0" w:space="0" w:color="auto"/>
        <w:right w:val="none" w:sz="0" w:space="0" w:color="auto"/>
      </w:divBdr>
    </w:div>
    <w:div w:id="1810589799">
      <w:bodyDiv w:val="1"/>
      <w:marLeft w:val="0"/>
      <w:marRight w:val="0"/>
      <w:marTop w:val="0"/>
      <w:marBottom w:val="0"/>
      <w:divBdr>
        <w:top w:val="none" w:sz="0" w:space="0" w:color="auto"/>
        <w:left w:val="none" w:sz="0" w:space="0" w:color="auto"/>
        <w:bottom w:val="none" w:sz="0" w:space="0" w:color="auto"/>
        <w:right w:val="none" w:sz="0" w:space="0" w:color="auto"/>
      </w:divBdr>
    </w:div>
    <w:div w:id="1974366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CC30C-9173-424F-9500-3DE342DD407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8</Pages>
  <Words>1701</Words>
  <Characters>9702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DIVISION OF ADMINISTRATIVE LAW APPEALS</vt:lpstr>
    </vt:vector>
  </TitlesOfParts>
  <Company>Home</Company>
  <LinksUpToDate>false</LinksUpToDate>
  <CharactersWithSpaces>11381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 OF ADMINISTRATIVE LAW APPEALS</dc:title>
  <dc:creator>Richard Heidlage</dc:creator>
  <cp:lastModifiedBy>Tennen, Eric (ALA)</cp:lastModifiedBy>
  <cp:revision>2</cp:revision>
  <cp:lastPrinted>2021-03-31T19:34:00Z</cp:lastPrinted>
  <dcterms:created xsi:type="dcterms:W3CDTF">2025-10-31T13:47:00Z</dcterms:created>
  <dcterms:modified xsi:type="dcterms:W3CDTF">2025-10-31T13:47:00Z</dcterms:modified>
</cp:coreProperties>
</file>