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85C" w:rsidRPr="001B3DF4" w:rsidRDefault="004A085C" w:rsidP="004A085C">
      <w:pPr>
        <w:pStyle w:val="Heading1"/>
        <w:ind w:left="0" w:firstLine="0"/>
        <w:rPr>
          <w:rFonts w:asciiTheme="minorHAnsi" w:hAnsiTheme="minorHAnsi" w:cs="Bookman Old Style"/>
          <w:color w:val="auto"/>
          <w:sz w:val="22"/>
          <w:szCs w:val="22"/>
        </w:rPr>
      </w:pPr>
      <w:bookmarkStart w:id="0" w:name="_GoBack"/>
      <w:bookmarkEnd w:id="0"/>
      <w:r>
        <w:rPr>
          <w:rFonts w:asciiTheme="minorHAnsi" w:hAnsiTheme="minorHAnsi" w:cs="Bookman Old Style"/>
          <w:sz w:val="22"/>
          <w:szCs w:val="22"/>
        </w:rPr>
        <w:t>Sl</w:t>
      </w:r>
      <w:r w:rsidRPr="001B3DF4">
        <w:rPr>
          <w:rFonts w:asciiTheme="minorHAnsi" w:hAnsiTheme="minorHAnsi" w:cs="Bookman Old Style"/>
          <w:color w:val="auto"/>
          <w:sz w:val="22"/>
          <w:szCs w:val="22"/>
        </w:rPr>
        <w:t>ide 1:</w:t>
      </w:r>
    </w:p>
    <w:p w:rsidR="004A085C" w:rsidRDefault="00DE4D20" w:rsidP="001B3DF4">
      <w:pPr>
        <w:pStyle w:val="Heading1"/>
        <w:ind w:left="0" w:firstLine="0"/>
        <w:rPr>
          <w:rFonts w:asciiTheme="minorHAnsi" w:hAnsiTheme="minorHAnsi" w:cs="Bookman Old Style"/>
          <w:color w:val="auto"/>
          <w:sz w:val="22"/>
          <w:szCs w:val="22"/>
        </w:rPr>
      </w:pPr>
      <w:r w:rsidRPr="001B3DF4">
        <w:rPr>
          <w:rFonts w:asciiTheme="minorHAnsi" w:hAnsiTheme="minorHAnsi" w:cs="Bookman Old Style"/>
          <w:color w:val="auto"/>
          <w:sz w:val="22"/>
          <w:szCs w:val="22"/>
        </w:rPr>
        <w:t xml:space="preserve">Implementation Council </w:t>
      </w:r>
      <w:r w:rsidRPr="001B3DF4">
        <w:rPr>
          <w:rFonts w:asciiTheme="minorHAnsi" w:hAnsiTheme="minorHAnsi" w:cs="Bookman Old Style"/>
          <w:color w:val="auto"/>
          <w:sz w:val="22"/>
          <w:szCs w:val="22"/>
        </w:rPr>
        <w:br/>
        <w:t>Building a Dashboard to monitor One Care and inform stakeholders</w:t>
      </w:r>
    </w:p>
    <w:p w:rsidR="001B3DF4" w:rsidRPr="001B3DF4" w:rsidRDefault="001B3DF4" w:rsidP="001B3DF4">
      <w:pPr>
        <w:spacing w:after="0"/>
      </w:pPr>
    </w:p>
    <w:p w:rsidR="004A085C" w:rsidRDefault="004A085C" w:rsidP="001B3DF4">
      <w:pPr>
        <w:spacing w:after="0"/>
      </w:pPr>
      <w:r w:rsidRPr="001B3DF4">
        <w:t xml:space="preserve">The following disclaimer was included on all slides: This document is presented by the One Care Implementation Council.  Any information or opinions contained herein are the express views of the authors and are not endorsed by or binding on EOHHS or </w:t>
      </w:r>
      <w:proofErr w:type="spellStart"/>
      <w:r w:rsidRPr="001B3DF4">
        <w:t>MassHealth</w:t>
      </w:r>
      <w:proofErr w:type="spellEnd"/>
      <w:r w:rsidR="001B3DF4">
        <w:t>.</w:t>
      </w:r>
    </w:p>
    <w:p w:rsidR="001B3DF4" w:rsidRPr="001B3DF4" w:rsidRDefault="001B3DF4" w:rsidP="001B3DF4">
      <w:pPr>
        <w:spacing w:after="0"/>
      </w:pPr>
    </w:p>
    <w:p w:rsidR="004A085C" w:rsidRPr="001B3DF4" w:rsidRDefault="004A085C">
      <w:pPr>
        <w:pStyle w:val="Heading1"/>
        <w:ind w:left="0" w:firstLine="0"/>
        <w:rPr>
          <w:rFonts w:asciiTheme="minorHAnsi" w:hAnsiTheme="minorHAnsi" w:cs="Bookman Old Style"/>
          <w:color w:val="auto"/>
          <w:sz w:val="22"/>
          <w:szCs w:val="22"/>
        </w:rPr>
      </w:pPr>
      <w:r w:rsidRPr="001B3DF4">
        <w:rPr>
          <w:rFonts w:asciiTheme="minorHAnsi" w:hAnsiTheme="minorHAnsi" w:cs="Bookman Old Style"/>
          <w:color w:val="auto"/>
          <w:sz w:val="22"/>
          <w:szCs w:val="22"/>
        </w:rPr>
        <w:t>Slide 2:</w:t>
      </w:r>
    </w:p>
    <w:p w:rsidR="00B64424" w:rsidRPr="001B3DF4" w:rsidRDefault="00DE4D20">
      <w:pPr>
        <w:pStyle w:val="Heading1"/>
        <w:ind w:left="0" w:firstLine="0"/>
        <w:rPr>
          <w:rFonts w:asciiTheme="minorHAnsi" w:hAnsiTheme="minorHAnsi" w:cs="Bookman Old Style"/>
          <w:color w:val="auto"/>
          <w:sz w:val="22"/>
          <w:szCs w:val="22"/>
        </w:rPr>
      </w:pPr>
      <w:r w:rsidRPr="001B3DF4">
        <w:rPr>
          <w:rFonts w:asciiTheme="minorHAnsi" w:hAnsiTheme="minorHAnsi" w:cs="Bookman Old Style"/>
          <w:color w:val="auto"/>
          <w:sz w:val="22"/>
          <w:szCs w:val="22"/>
        </w:rPr>
        <w:t>Objective</w:t>
      </w:r>
    </w:p>
    <w:p w:rsidR="00B64424" w:rsidRPr="001B3DF4" w:rsidRDefault="00DE4D20" w:rsidP="004A085C">
      <w:pPr>
        <w:pStyle w:val="Heading2"/>
        <w:numPr>
          <w:ilvl w:val="0"/>
          <w:numId w:val="3"/>
        </w:numPr>
        <w:ind w:left="432" w:hanging="432"/>
        <w:rPr>
          <w:rFonts w:asciiTheme="minorHAnsi" w:hAnsiTheme="minorHAnsi" w:cs="Gill Sans MT"/>
          <w:sz w:val="22"/>
          <w:szCs w:val="22"/>
        </w:rPr>
      </w:pPr>
      <w:r w:rsidRPr="001B3DF4">
        <w:rPr>
          <w:rFonts w:asciiTheme="minorHAnsi" w:hAnsiTheme="minorHAnsi" w:cs="Gill Sans MT"/>
          <w:sz w:val="22"/>
          <w:szCs w:val="22"/>
        </w:rPr>
        <w:t>Learn about what other states are doing to monitor their Medicaid programs and inform stakeholders using data.</w:t>
      </w:r>
    </w:p>
    <w:p w:rsidR="00B64424" w:rsidRPr="001B3DF4" w:rsidRDefault="00DE4D20" w:rsidP="004A085C">
      <w:pPr>
        <w:pStyle w:val="Heading2"/>
        <w:numPr>
          <w:ilvl w:val="0"/>
          <w:numId w:val="3"/>
        </w:numPr>
        <w:ind w:left="432" w:hanging="432"/>
        <w:rPr>
          <w:rFonts w:asciiTheme="minorHAnsi" w:hAnsiTheme="minorHAnsi" w:cs="Gill Sans MT"/>
          <w:sz w:val="22"/>
          <w:szCs w:val="22"/>
        </w:rPr>
      </w:pPr>
      <w:r w:rsidRPr="001B3DF4">
        <w:rPr>
          <w:rFonts w:asciiTheme="minorHAnsi" w:hAnsiTheme="minorHAnsi" w:cs="Gill Sans MT"/>
          <w:sz w:val="22"/>
          <w:szCs w:val="22"/>
        </w:rPr>
        <w:t xml:space="preserve">Review information that has been shared by </w:t>
      </w:r>
      <w:proofErr w:type="spellStart"/>
      <w:r w:rsidRPr="001B3DF4">
        <w:rPr>
          <w:rFonts w:asciiTheme="minorHAnsi" w:hAnsiTheme="minorHAnsi" w:cs="Gill Sans MT"/>
          <w:sz w:val="22"/>
          <w:szCs w:val="22"/>
        </w:rPr>
        <w:t>MassHealth</w:t>
      </w:r>
      <w:proofErr w:type="spellEnd"/>
      <w:r w:rsidRPr="001B3DF4">
        <w:rPr>
          <w:rFonts w:asciiTheme="minorHAnsi" w:hAnsiTheme="minorHAnsi" w:cs="Gill Sans MT"/>
          <w:sz w:val="22"/>
          <w:szCs w:val="22"/>
        </w:rPr>
        <w:t xml:space="preserve"> related to One Care</w:t>
      </w:r>
    </w:p>
    <w:p w:rsidR="00B64424" w:rsidRPr="001B3DF4" w:rsidRDefault="00DE4D20" w:rsidP="004A085C">
      <w:pPr>
        <w:pStyle w:val="Heading2"/>
        <w:numPr>
          <w:ilvl w:val="0"/>
          <w:numId w:val="3"/>
        </w:numPr>
        <w:ind w:left="432" w:hanging="432"/>
        <w:rPr>
          <w:rFonts w:asciiTheme="minorHAnsi" w:hAnsiTheme="minorHAnsi" w:cs="Gill Sans MT"/>
          <w:sz w:val="22"/>
          <w:szCs w:val="22"/>
        </w:rPr>
      </w:pPr>
      <w:r w:rsidRPr="001B3DF4">
        <w:rPr>
          <w:rFonts w:asciiTheme="minorHAnsi" w:hAnsiTheme="minorHAnsi" w:cs="Gill Sans MT"/>
          <w:sz w:val="22"/>
          <w:szCs w:val="22"/>
        </w:rPr>
        <w:t>Develop action steps for proposing a transparent and easy to use dashboard in MA</w:t>
      </w:r>
    </w:p>
    <w:p w:rsidR="00B64424" w:rsidRPr="001B3DF4" w:rsidRDefault="00B64424">
      <w:pPr>
        <w:pStyle w:val="Heading2"/>
        <w:ind w:left="432"/>
        <w:rPr>
          <w:rFonts w:asciiTheme="minorHAnsi" w:hAnsiTheme="minorHAnsi" w:cs="Gill Sans MT"/>
          <w:sz w:val="22"/>
          <w:szCs w:val="22"/>
        </w:rPr>
      </w:pPr>
    </w:p>
    <w:p w:rsidR="00B64424" w:rsidRPr="001B3DF4" w:rsidRDefault="00B64424">
      <w:pPr>
        <w:pStyle w:val="Heading1"/>
        <w:rPr>
          <w:rFonts w:asciiTheme="minorHAnsi" w:hAnsiTheme="minorHAnsi" w:cs="Arial"/>
          <w:color w:val="auto"/>
          <w:sz w:val="22"/>
          <w:szCs w:val="22"/>
        </w:rPr>
      </w:pPr>
    </w:p>
    <w:p w:rsidR="004A085C" w:rsidRPr="001B3DF4" w:rsidRDefault="004A085C">
      <w:pPr>
        <w:pStyle w:val="Heading2"/>
        <w:ind w:left="0" w:firstLine="0"/>
        <w:rPr>
          <w:rFonts w:asciiTheme="minorHAnsi" w:hAnsiTheme="minorHAnsi" w:cs="Gill Sans MT"/>
          <w:sz w:val="22"/>
          <w:szCs w:val="22"/>
        </w:rPr>
      </w:pPr>
      <w:r w:rsidRPr="001B3DF4">
        <w:rPr>
          <w:rFonts w:asciiTheme="minorHAnsi" w:hAnsiTheme="minorHAnsi" w:cs="Gill Sans MT"/>
          <w:sz w:val="22"/>
          <w:szCs w:val="22"/>
        </w:rPr>
        <w:t>Slide 3:</w:t>
      </w:r>
    </w:p>
    <w:p w:rsidR="00B64424" w:rsidRPr="001B3DF4" w:rsidRDefault="00DE4D20">
      <w:pPr>
        <w:pStyle w:val="Heading2"/>
        <w:ind w:left="0" w:firstLine="0"/>
        <w:rPr>
          <w:rFonts w:asciiTheme="minorHAnsi" w:hAnsiTheme="minorHAnsi" w:cs="Gill Sans MT"/>
          <w:sz w:val="22"/>
          <w:szCs w:val="22"/>
        </w:rPr>
      </w:pPr>
      <w:r w:rsidRPr="001B3DF4">
        <w:rPr>
          <w:rFonts w:asciiTheme="minorHAnsi" w:hAnsiTheme="minorHAnsi" w:cs="Gill Sans MT"/>
          <w:sz w:val="22"/>
          <w:szCs w:val="22"/>
        </w:rPr>
        <w:t xml:space="preserve">“Demonstrating early achievements and positive beneficiary/provider experiences in new integrated care programs </w:t>
      </w:r>
      <w:r w:rsidRPr="001B3DF4">
        <w:rPr>
          <w:rFonts w:asciiTheme="minorHAnsi" w:hAnsiTheme="minorHAnsi" w:cs="Gill Sans MT"/>
          <w:i/>
          <w:iCs/>
          <w:sz w:val="22"/>
          <w:szCs w:val="22"/>
        </w:rPr>
        <w:t xml:space="preserve">is essential </w:t>
      </w:r>
      <w:r w:rsidRPr="001B3DF4">
        <w:rPr>
          <w:rFonts w:asciiTheme="minorHAnsi" w:hAnsiTheme="minorHAnsi" w:cs="Gill Sans MT"/>
          <w:sz w:val="22"/>
          <w:szCs w:val="22"/>
        </w:rPr>
        <w:t xml:space="preserve">to both </w:t>
      </w:r>
      <w:r w:rsidRPr="001B3DF4">
        <w:rPr>
          <w:rFonts w:asciiTheme="minorHAnsi" w:hAnsiTheme="minorHAnsi" w:cs="Gill Sans MT"/>
          <w:i/>
          <w:iCs/>
          <w:sz w:val="22"/>
          <w:szCs w:val="22"/>
        </w:rPr>
        <w:t>maintain support from legislators, providers and advocacy groups</w:t>
      </w:r>
      <w:r w:rsidRPr="001B3DF4">
        <w:rPr>
          <w:rFonts w:asciiTheme="minorHAnsi" w:hAnsiTheme="minorHAnsi" w:cs="Gill Sans MT"/>
          <w:sz w:val="22"/>
          <w:szCs w:val="22"/>
        </w:rPr>
        <w:t xml:space="preserve"> and </w:t>
      </w:r>
      <w:r w:rsidRPr="001B3DF4">
        <w:rPr>
          <w:rFonts w:asciiTheme="minorHAnsi" w:hAnsiTheme="minorHAnsi" w:cs="Gill Sans MT"/>
          <w:i/>
          <w:iCs/>
          <w:sz w:val="22"/>
          <w:szCs w:val="22"/>
        </w:rPr>
        <w:t>increase beneficiary enrollment</w:t>
      </w:r>
      <w:r w:rsidRPr="001B3DF4">
        <w:rPr>
          <w:rFonts w:asciiTheme="minorHAnsi" w:hAnsiTheme="minorHAnsi" w:cs="Gill Sans MT"/>
          <w:sz w:val="22"/>
          <w:szCs w:val="22"/>
        </w:rPr>
        <w:t>.”</w:t>
      </w:r>
    </w:p>
    <w:p w:rsidR="00B64424" w:rsidRPr="001B3DF4" w:rsidRDefault="00B64424">
      <w:pPr>
        <w:pStyle w:val="Heading2"/>
        <w:ind w:left="0" w:firstLine="0"/>
        <w:rPr>
          <w:rFonts w:asciiTheme="minorHAnsi" w:hAnsiTheme="minorHAnsi" w:cs="Gill Sans MT"/>
          <w:sz w:val="22"/>
          <w:szCs w:val="22"/>
        </w:rPr>
      </w:pPr>
    </w:p>
    <w:p w:rsidR="00B64424" w:rsidRPr="001B3DF4" w:rsidRDefault="00DE4D20" w:rsidP="004A085C">
      <w:pPr>
        <w:pStyle w:val="Heading3"/>
        <w:numPr>
          <w:ilvl w:val="0"/>
          <w:numId w:val="4"/>
        </w:numPr>
        <w:rPr>
          <w:rFonts w:asciiTheme="minorHAnsi" w:hAnsiTheme="minorHAnsi" w:cs="Gill Sans MT"/>
          <w:color w:val="auto"/>
          <w:sz w:val="22"/>
          <w:szCs w:val="22"/>
        </w:rPr>
      </w:pPr>
      <w:r w:rsidRPr="001B3DF4">
        <w:rPr>
          <w:rFonts w:asciiTheme="minorHAnsi" w:hAnsiTheme="minorHAnsi" w:cs="Gill Sans MT"/>
          <w:color w:val="auto"/>
          <w:sz w:val="22"/>
          <w:szCs w:val="22"/>
        </w:rPr>
        <w:t>Center for Health Care Strategies from “</w:t>
      </w:r>
      <w:r w:rsidRPr="001B3DF4">
        <w:rPr>
          <w:rFonts w:asciiTheme="minorHAnsi" w:hAnsiTheme="minorHAnsi" w:cs="Gill Sans MT"/>
          <w:i/>
          <w:iCs/>
          <w:color w:val="auto"/>
          <w:sz w:val="22"/>
          <w:szCs w:val="22"/>
        </w:rPr>
        <w:t>Communicating Early Results of Integrated Care Efforts for Dually Eligible Individuals: State Approaches.”</w:t>
      </w:r>
    </w:p>
    <w:p w:rsidR="004A085C" w:rsidRPr="001B3DF4" w:rsidRDefault="004A085C" w:rsidP="004A085C">
      <w:pPr>
        <w:pStyle w:val="Heading1"/>
        <w:ind w:left="0" w:firstLine="0"/>
        <w:rPr>
          <w:rFonts w:asciiTheme="minorHAnsi" w:hAnsiTheme="minorHAnsi" w:cs="Bookman Old Style"/>
          <w:color w:val="auto"/>
          <w:sz w:val="22"/>
          <w:szCs w:val="22"/>
        </w:rPr>
      </w:pPr>
    </w:p>
    <w:p w:rsidR="004A085C" w:rsidRPr="001B3DF4" w:rsidRDefault="004A085C" w:rsidP="004A085C">
      <w:pPr>
        <w:pStyle w:val="Heading1"/>
        <w:ind w:left="0" w:firstLine="0"/>
        <w:rPr>
          <w:rFonts w:asciiTheme="minorHAnsi" w:hAnsiTheme="minorHAnsi" w:cs="Bookman Old Style"/>
          <w:color w:val="auto"/>
          <w:sz w:val="22"/>
          <w:szCs w:val="22"/>
        </w:rPr>
      </w:pPr>
      <w:r w:rsidRPr="001B3DF4">
        <w:rPr>
          <w:rFonts w:asciiTheme="minorHAnsi" w:hAnsiTheme="minorHAnsi" w:cs="Bookman Old Style"/>
          <w:color w:val="auto"/>
          <w:sz w:val="22"/>
          <w:szCs w:val="22"/>
        </w:rPr>
        <w:t>Slide 4:</w:t>
      </w:r>
    </w:p>
    <w:p w:rsidR="00B64424" w:rsidRPr="001B3DF4" w:rsidRDefault="00DE4D20" w:rsidP="004A085C">
      <w:pPr>
        <w:pStyle w:val="Heading1"/>
        <w:ind w:left="0" w:firstLine="0"/>
        <w:rPr>
          <w:rFonts w:asciiTheme="minorHAnsi" w:hAnsiTheme="minorHAnsi" w:cs="Bookman Old Style"/>
          <w:color w:val="auto"/>
          <w:sz w:val="22"/>
          <w:szCs w:val="22"/>
        </w:rPr>
      </w:pPr>
      <w:r w:rsidRPr="001B3DF4">
        <w:rPr>
          <w:rFonts w:asciiTheme="minorHAnsi" w:hAnsiTheme="minorHAnsi" w:cs="Bookman Old Style"/>
          <w:color w:val="auto"/>
          <w:sz w:val="22"/>
          <w:szCs w:val="22"/>
        </w:rPr>
        <w:t>Purpose and Use of Dashboards</w:t>
      </w:r>
    </w:p>
    <w:p w:rsidR="004A085C" w:rsidRPr="001B3DF4" w:rsidRDefault="004A085C">
      <w:pPr>
        <w:pStyle w:val="Heading1"/>
        <w:ind w:left="0" w:firstLine="0"/>
        <w:rPr>
          <w:rFonts w:asciiTheme="minorHAnsi" w:hAnsiTheme="minorHAnsi" w:cs="Bookman Old Style"/>
          <w:color w:val="auto"/>
          <w:sz w:val="22"/>
          <w:szCs w:val="22"/>
        </w:rPr>
      </w:pPr>
    </w:p>
    <w:p w:rsidR="004A085C" w:rsidRPr="001B3DF4" w:rsidRDefault="004A085C">
      <w:pPr>
        <w:pStyle w:val="Heading1"/>
        <w:ind w:left="0" w:firstLine="0"/>
        <w:rPr>
          <w:rFonts w:asciiTheme="minorHAnsi" w:hAnsiTheme="minorHAnsi" w:cs="Bookman Old Style"/>
          <w:color w:val="auto"/>
          <w:sz w:val="22"/>
          <w:szCs w:val="22"/>
        </w:rPr>
      </w:pPr>
      <w:r w:rsidRPr="001B3DF4">
        <w:rPr>
          <w:rFonts w:asciiTheme="minorHAnsi" w:hAnsiTheme="minorHAnsi" w:cs="Bookman Old Style"/>
          <w:color w:val="auto"/>
          <w:sz w:val="22"/>
          <w:szCs w:val="22"/>
        </w:rPr>
        <w:t xml:space="preserve">Slide 5: </w:t>
      </w:r>
    </w:p>
    <w:p w:rsidR="00B64424" w:rsidRPr="001B3DF4" w:rsidRDefault="00DE4D20">
      <w:pPr>
        <w:pStyle w:val="Heading1"/>
        <w:ind w:left="0" w:firstLine="0"/>
        <w:rPr>
          <w:rFonts w:asciiTheme="minorHAnsi" w:hAnsiTheme="minorHAnsi" w:cs="Bookman Old Style"/>
          <w:color w:val="auto"/>
          <w:sz w:val="22"/>
          <w:szCs w:val="22"/>
        </w:rPr>
      </w:pPr>
      <w:r w:rsidRPr="001B3DF4">
        <w:rPr>
          <w:rFonts w:asciiTheme="minorHAnsi" w:hAnsiTheme="minorHAnsi" w:cs="Bookman Old Style"/>
          <w:color w:val="auto"/>
          <w:sz w:val="22"/>
          <w:szCs w:val="22"/>
        </w:rPr>
        <w:t>What is a dashboard?</w:t>
      </w:r>
    </w:p>
    <w:p w:rsidR="00B64424" w:rsidRPr="001B3DF4" w:rsidRDefault="00DE4D20" w:rsidP="004A085C">
      <w:pPr>
        <w:pStyle w:val="Heading2"/>
        <w:numPr>
          <w:ilvl w:val="0"/>
          <w:numId w:val="3"/>
        </w:numPr>
        <w:ind w:left="432" w:hanging="432"/>
        <w:rPr>
          <w:rFonts w:asciiTheme="minorHAnsi" w:hAnsiTheme="minorHAnsi" w:cs="Gill Sans MT"/>
          <w:sz w:val="22"/>
          <w:szCs w:val="22"/>
        </w:rPr>
      </w:pPr>
      <w:r w:rsidRPr="001B3DF4">
        <w:rPr>
          <w:rFonts w:asciiTheme="minorHAnsi" w:hAnsiTheme="minorHAnsi" w:cs="Gill Sans MT"/>
          <w:sz w:val="22"/>
          <w:szCs w:val="22"/>
        </w:rPr>
        <w:t xml:space="preserve">Easy to read program management tool </w:t>
      </w:r>
    </w:p>
    <w:p w:rsidR="00B64424" w:rsidRPr="001B3DF4" w:rsidRDefault="00DE4D20" w:rsidP="004A085C">
      <w:pPr>
        <w:pStyle w:val="Heading2"/>
        <w:numPr>
          <w:ilvl w:val="0"/>
          <w:numId w:val="3"/>
        </w:numPr>
        <w:ind w:left="432" w:hanging="432"/>
        <w:rPr>
          <w:rFonts w:asciiTheme="minorHAnsi" w:hAnsiTheme="minorHAnsi" w:cs="Gill Sans MT"/>
          <w:sz w:val="22"/>
          <w:szCs w:val="22"/>
        </w:rPr>
      </w:pPr>
      <w:r w:rsidRPr="001B3DF4">
        <w:rPr>
          <w:rFonts w:asciiTheme="minorHAnsi" w:hAnsiTheme="minorHAnsi" w:cs="Gill Sans MT"/>
          <w:sz w:val="22"/>
          <w:szCs w:val="22"/>
        </w:rPr>
        <w:t>Snapshot of current status and historical trends for key performance indicators</w:t>
      </w:r>
    </w:p>
    <w:p w:rsidR="00B64424" w:rsidRPr="001B3DF4" w:rsidRDefault="00DE4D20" w:rsidP="004A085C">
      <w:pPr>
        <w:pStyle w:val="Heading2"/>
        <w:numPr>
          <w:ilvl w:val="0"/>
          <w:numId w:val="3"/>
        </w:numPr>
        <w:ind w:left="432" w:hanging="432"/>
        <w:rPr>
          <w:rFonts w:asciiTheme="minorHAnsi" w:hAnsiTheme="minorHAnsi" w:cs="Gill Sans MT"/>
          <w:sz w:val="22"/>
          <w:szCs w:val="22"/>
        </w:rPr>
      </w:pPr>
      <w:r w:rsidRPr="001B3DF4">
        <w:rPr>
          <w:rFonts w:asciiTheme="minorHAnsi" w:hAnsiTheme="minorHAnsi" w:cs="Gill Sans MT"/>
          <w:sz w:val="22"/>
          <w:szCs w:val="22"/>
        </w:rPr>
        <w:t xml:space="preserve">Helps to identify potential operational issues </w:t>
      </w:r>
    </w:p>
    <w:p w:rsidR="00B64424" w:rsidRPr="001B3DF4" w:rsidRDefault="00DE4D20" w:rsidP="004A085C">
      <w:pPr>
        <w:pStyle w:val="Heading2"/>
        <w:numPr>
          <w:ilvl w:val="0"/>
          <w:numId w:val="3"/>
        </w:numPr>
        <w:ind w:left="432" w:hanging="432"/>
        <w:rPr>
          <w:rFonts w:asciiTheme="minorHAnsi" w:hAnsiTheme="minorHAnsi" w:cs="Gill Sans MT"/>
          <w:sz w:val="22"/>
          <w:szCs w:val="22"/>
        </w:rPr>
      </w:pPr>
      <w:r w:rsidRPr="001B3DF4">
        <w:rPr>
          <w:rFonts w:asciiTheme="minorHAnsi" w:hAnsiTheme="minorHAnsi" w:cs="Gill Sans MT"/>
          <w:sz w:val="22"/>
          <w:szCs w:val="22"/>
        </w:rPr>
        <w:t>Informs stakeholders (consumers, providers, legislators) about the program</w:t>
      </w:r>
    </w:p>
    <w:p w:rsidR="004A085C" w:rsidRPr="001B3DF4" w:rsidRDefault="004A085C">
      <w:pPr>
        <w:pStyle w:val="Heading1"/>
        <w:ind w:left="0" w:firstLine="0"/>
        <w:rPr>
          <w:rFonts w:asciiTheme="minorHAnsi" w:hAnsiTheme="minorHAnsi" w:cs="Bookman Old Style"/>
          <w:color w:val="auto"/>
          <w:sz w:val="22"/>
          <w:szCs w:val="22"/>
        </w:rPr>
      </w:pPr>
    </w:p>
    <w:p w:rsidR="004A085C" w:rsidRPr="001B3DF4" w:rsidRDefault="004A085C">
      <w:pPr>
        <w:pStyle w:val="Heading1"/>
        <w:ind w:left="0" w:firstLine="0"/>
        <w:rPr>
          <w:rFonts w:asciiTheme="minorHAnsi" w:hAnsiTheme="minorHAnsi" w:cs="Bookman Old Style"/>
          <w:color w:val="auto"/>
          <w:sz w:val="22"/>
          <w:szCs w:val="22"/>
        </w:rPr>
      </w:pPr>
      <w:r w:rsidRPr="001B3DF4">
        <w:rPr>
          <w:rFonts w:asciiTheme="minorHAnsi" w:hAnsiTheme="minorHAnsi" w:cs="Bookman Old Style"/>
          <w:color w:val="auto"/>
          <w:sz w:val="22"/>
          <w:szCs w:val="22"/>
        </w:rPr>
        <w:t>Slide 6:</w:t>
      </w:r>
    </w:p>
    <w:p w:rsidR="001B3DF4" w:rsidRDefault="00DE4D20" w:rsidP="00DE4D20">
      <w:pPr>
        <w:pStyle w:val="Heading1"/>
        <w:ind w:left="0" w:firstLine="0"/>
        <w:rPr>
          <w:rFonts w:asciiTheme="minorHAnsi" w:hAnsiTheme="minorHAnsi" w:cs="Bookman Old Style"/>
          <w:color w:val="auto"/>
          <w:sz w:val="22"/>
          <w:szCs w:val="22"/>
        </w:rPr>
      </w:pPr>
      <w:r w:rsidRPr="001B3DF4">
        <w:rPr>
          <w:rFonts w:asciiTheme="minorHAnsi" w:hAnsiTheme="minorHAnsi" w:cs="Bookman Old Style"/>
          <w:color w:val="auto"/>
          <w:sz w:val="22"/>
          <w:szCs w:val="22"/>
        </w:rPr>
        <w:t>California’s Managed Care Dashboard</w:t>
      </w:r>
    </w:p>
    <w:p w:rsidR="00DE4D20" w:rsidRPr="00DE4D20" w:rsidRDefault="00DE4D20" w:rsidP="00DE4D20">
      <w:pPr>
        <w:spacing w:after="0"/>
      </w:pPr>
    </w:p>
    <w:p w:rsidR="002169A3" w:rsidRPr="001B3DF4" w:rsidRDefault="002169A3" w:rsidP="00DE4D20">
      <w:pPr>
        <w:spacing w:after="0"/>
      </w:pPr>
      <w:r w:rsidRPr="001B3DF4">
        <w:t>This slide includes three graphs depicting trends in service utilization (Outpatient visits, prescriptions, and mental health visits) per 1,000 member months over the course of one year, from April 2014 to March 2015.</w:t>
      </w:r>
    </w:p>
    <w:p w:rsidR="001B3DF4" w:rsidRDefault="001B3DF4" w:rsidP="00DE4D20">
      <w:pPr>
        <w:spacing w:after="0"/>
      </w:pPr>
    </w:p>
    <w:p w:rsidR="004A085C" w:rsidRPr="001B3DF4" w:rsidRDefault="004A085C" w:rsidP="00DE4D20">
      <w:pPr>
        <w:spacing w:after="0"/>
      </w:pPr>
      <w:proofErr w:type="spellStart"/>
      <w:r w:rsidRPr="001B3DF4">
        <w:t>Medi</w:t>
      </w:r>
      <w:proofErr w:type="spellEnd"/>
      <w:r w:rsidRPr="001B3DF4">
        <w:t>-Cal Managed Care Performance Dashboard Released March 16, 2016</w:t>
      </w:r>
    </w:p>
    <w:p w:rsidR="004A085C" w:rsidRPr="001B3DF4" w:rsidRDefault="004A085C" w:rsidP="00DE4D20">
      <w:pPr>
        <w:spacing w:after="0"/>
      </w:pPr>
      <w:r w:rsidRPr="001B3DF4">
        <w:t xml:space="preserve">Graph </w:t>
      </w:r>
      <w:r w:rsidR="002169A3" w:rsidRPr="001B3DF4">
        <w:t xml:space="preserve">1 depicts </w:t>
      </w:r>
      <w:r w:rsidRPr="001B3DF4">
        <w:t>O</w:t>
      </w:r>
      <w:r w:rsidR="000C7C5A" w:rsidRPr="001B3DF4">
        <w:t xml:space="preserve">ut </w:t>
      </w:r>
      <w:r w:rsidRPr="001B3DF4">
        <w:t>P</w:t>
      </w:r>
      <w:r w:rsidR="000C7C5A" w:rsidRPr="001B3DF4">
        <w:t>atient (OP)</w:t>
      </w:r>
      <w:r w:rsidRPr="001B3DF4">
        <w:t xml:space="preserve"> Visits per 1,000 Member Months</w:t>
      </w:r>
      <w:r w:rsidR="002169A3" w:rsidRPr="001B3DF4">
        <w:t>. Data from March 2015 is included below.</w:t>
      </w:r>
    </w:p>
    <w:p w:rsidR="002169A3" w:rsidRPr="001B3DF4" w:rsidRDefault="002169A3" w:rsidP="00DE4D20">
      <w:pPr>
        <w:spacing w:line="240" w:lineRule="auto"/>
      </w:pPr>
      <w:r w:rsidRPr="001B3DF4">
        <w:t>As of March 2015</w:t>
      </w:r>
    </w:p>
    <w:p w:rsidR="002169A3" w:rsidRPr="001B3DF4" w:rsidRDefault="002169A3" w:rsidP="00DE4D20">
      <w:pPr>
        <w:numPr>
          <w:ilvl w:val="0"/>
          <w:numId w:val="5"/>
        </w:numPr>
        <w:spacing w:line="240" w:lineRule="auto"/>
      </w:pPr>
      <w:r w:rsidRPr="001B3DF4">
        <w:lastRenderedPageBreak/>
        <w:t>Senior and People with Disabilities (SPD): 2,314</w:t>
      </w:r>
    </w:p>
    <w:p w:rsidR="002169A3" w:rsidRPr="001B3DF4" w:rsidRDefault="002169A3" w:rsidP="00DE4D20">
      <w:pPr>
        <w:numPr>
          <w:ilvl w:val="0"/>
          <w:numId w:val="5"/>
        </w:numPr>
        <w:spacing w:line="240" w:lineRule="auto"/>
      </w:pPr>
      <w:r w:rsidRPr="001B3DF4">
        <w:t>Duals Demonstration (Duals): 1,214</w:t>
      </w:r>
    </w:p>
    <w:p w:rsidR="002169A3" w:rsidRPr="001B3DF4" w:rsidRDefault="002169A3" w:rsidP="00DE4D20">
      <w:pPr>
        <w:numPr>
          <w:ilvl w:val="0"/>
          <w:numId w:val="5"/>
        </w:numPr>
        <w:spacing w:line="240" w:lineRule="auto"/>
      </w:pPr>
      <w:r w:rsidRPr="001B3DF4">
        <w:t>Affordable Care Act (ACA): 709</w:t>
      </w:r>
    </w:p>
    <w:p w:rsidR="002169A3" w:rsidRPr="001B3DF4" w:rsidRDefault="002169A3" w:rsidP="00DE4D20">
      <w:pPr>
        <w:numPr>
          <w:ilvl w:val="0"/>
          <w:numId w:val="5"/>
        </w:numPr>
        <w:spacing w:line="240" w:lineRule="auto"/>
      </w:pPr>
      <w:r w:rsidRPr="001B3DF4">
        <w:t>Other: 609</w:t>
      </w:r>
    </w:p>
    <w:p w:rsidR="002169A3" w:rsidRPr="001B3DF4" w:rsidRDefault="002169A3" w:rsidP="00DE4D20">
      <w:pPr>
        <w:numPr>
          <w:ilvl w:val="0"/>
          <w:numId w:val="5"/>
        </w:numPr>
        <w:spacing w:line="240" w:lineRule="auto"/>
      </w:pPr>
      <w:r w:rsidRPr="001B3DF4">
        <w:t>Optional Targeted Low Income Children (OTLIC): 482</w:t>
      </w:r>
    </w:p>
    <w:p w:rsidR="002169A3" w:rsidRPr="001B3DF4" w:rsidRDefault="002169A3" w:rsidP="00DE4D20">
      <w:pPr>
        <w:spacing w:line="240" w:lineRule="auto"/>
      </w:pPr>
      <w:r w:rsidRPr="001B3DF4">
        <w:t>Graph 2 depicts Prescriptions per 1,000 Member Months. Data from March 2015 is included below.</w:t>
      </w:r>
    </w:p>
    <w:p w:rsidR="002169A3" w:rsidRPr="001B3DF4" w:rsidRDefault="002169A3" w:rsidP="00DE4D20">
      <w:pPr>
        <w:spacing w:line="240" w:lineRule="auto"/>
        <w:ind w:left="360"/>
      </w:pPr>
      <w:r w:rsidRPr="001B3DF4">
        <w:t>As of March 2015</w:t>
      </w:r>
    </w:p>
    <w:p w:rsidR="002169A3" w:rsidRPr="001B3DF4" w:rsidRDefault="002169A3" w:rsidP="00DE4D20">
      <w:pPr>
        <w:numPr>
          <w:ilvl w:val="0"/>
          <w:numId w:val="5"/>
        </w:numPr>
        <w:spacing w:line="240" w:lineRule="auto"/>
      </w:pPr>
      <w:r w:rsidRPr="001B3DF4">
        <w:t>Senior and People with Disabilities (SPD): 3111</w:t>
      </w:r>
    </w:p>
    <w:p w:rsidR="002169A3" w:rsidRPr="001B3DF4" w:rsidRDefault="002169A3" w:rsidP="00DE4D20">
      <w:pPr>
        <w:numPr>
          <w:ilvl w:val="0"/>
          <w:numId w:val="5"/>
        </w:numPr>
        <w:spacing w:line="240" w:lineRule="auto"/>
      </w:pPr>
      <w:r w:rsidRPr="001B3DF4">
        <w:t>Duals Demonstration (Duals): 979</w:t>
      </w:r>
    </w:p>
    <w:p w:rsidR="002169A3" w:rsidRPr="001B3DF4" w:rsidRDefault="002169A3" w:rsidP="00DE4D20">
      <w:pPr>
        <w:numPr>
          <w:ilvl w:val="0"/>
          <w:numId w:val="5"/>
        </w:numPr>
        <w:spacing w:line="240" w:lineRule="auto"/>
      </w:pPr>
      <w:r w:rsidRPr="001B3DF4">
        <w:t>Affordable Care Act (ACA): 517</w:t>
      </w:r>
    </w:p>
    <w:p w:rsidR="002169A3" w:rsidRPr="001B3DF4" w:rsidRDefault="002169A3" w:rsidP="00DE4D20">
      <w:pPr>
        <w:numPr>
          <w:ilvl w:val="0"/>
          <w:numId w:val="5"/>
        </w:numPr>
        <w:spacing w:line="240" w:lineRule="auto"/>
      </w:pPr>
      <w:r w:rsidRPr="001B3DF4">
        <w:t>Other: 364</w:t>
      </w:r>
    </w:p>
    <w:p w:rsidR="002169A3" w:rsidRPr="001B3DF4" w:rsidRDefault="002169A3" w:rsidP="00DE4D20">
      <w:pPr>
        <w:numPr>
          <w:ilvl w:val="0"/>
          <w:numId w:val="5"/>
        </w:numPr>
        <w:spacing w:line="240" w:lineRule="auto"/>
      </w:pPr>
      <w:r w:rsidRPr="001B3DF4">
        <w:t>Optional Targeted Low Income Children (OTLIC):291</w:t>
      </w:r>
    </w:p>
    <w:p w:rsidR="002169A3" w:rsidRPr="001B3DF4" w:rsidRDefault="002169A3" w:rsidP="00DE4D20">
      <w:pPr>
        <w:spacing w:line="240" w:lineRule="auto"/>
      </w:pPr>
      <w:r w:rsidRPr="001B3DF4">
        <w:t>Graph 3 depicts Mental Health Visits per 1,000 Member Months. Data from March 2015 is included below.</w:t>
      </w:r>
    </w:p>
    <w:p w:rsidR="002169A3" w:rsidRPr="001B3DF4" w:rsidRDefault="002169A3" w:rsidP="00DE4D20">
      <w:pPr>
        <w:spacing w:line="240" w:lineRule="auto"/>
        <w:ind w:left="360"/>
      </w:pPr>
      <w:r w:rsidRPr="001B3DF4">
        <w:t>As of March 2015</w:t>
      </w:r>
    </w:p>
    <w:p w:rsidR="002169A3" w:rsidRPr="001B3DF4" w:rsidRDefault="002169A3" w:rsidP="00DE4D20">
      <w:pPr>
        <w:numPr>
          <w:ilvl w:val="0"/>
          <w:numId w:val="5"/>
        </w:numPr>
        <w:spacing w:line="240" w:lineRule="auto"/>
      </w:pPr>
      <w:r w:rsidRPr="001B3DF4">
        <w:t>Senior and People with Disabilities (SPD): 545</w:t>
      </w:r>
    </w:p>
    <w:p w:rsidR="002169A3" w:rsidRPr="001B3DF4" w:rsidRDefault="002169A3" w:rsidP="00DE4D20">
      <w:pPr>
        <w:numPr>
          <w:ilvl w:val="0"/>
          <w:numId w:val="5"/>
        </w:numPr>
        <w:spacing w:line="240" w:lineRule="auto"/>
      </w:pPr>
      <w:r w:rsidRPr="001B3DF4">
        <w:t>Duals Demonstration (Duals): 154</w:t>
      </w:r>
    </w:p>
    <w:p w:rsidR="002169A3" w:rsidRPr="001B3DF4" w:rsidRDefault="002169A3" w:rsidP="00DE4D20">
      <w:pPr>
        <w:numPr>
          <w:ilvl w:val="0"/>
          <w:numId w:val="5"/>
        </w:numPr>
        <w:spacing w:line="240" w:lineRule="auto"/>
      </w:pPr>
      <w:r w:rsidRPr="001B3DF4">
        <w:t>Affordable Care Act (ACA): 118</w:t>
      </w:r>
    </w:p>
    <w:p w:rsidR="002169A3" w:rsidRPr="001B3DF4" w:rsidRDefault="002169A3" w:rsidP="00DE4D20">
      <w:pPr>
        <w:numPr>
          <w:ilvl w:val="0"/>
          <w:numId w:val="5"/>
        </w:numPr>
        <w:spacing w:line="240" w:lineRule="auto"/>
      </w:pPr>
      <w:r w:rsidRPr="001B3DF4">
        <w:t>Other: 89</w:t>
      </w:r>
    </w:p>
    <w:p w:rsidR="002169A3" w:rsidRPr="001B3DF4" w:rsidRDefault="002169A3" w:rsidP="00DE4D20">
      <w:pPr>
        <w:numPr>
          <w:ilvl w:val="0"/>
          <w:numId w:val="5"/>
        </w:numPr>
        <w:spacing w:line="240" w:lineRule="auto"/>
      </w:pPr>
      <w:r w:rsidRPr="001B3DF4">
        <w:t>Optional Targeted Low Income Children (OTLIC): 86</w:t>
      </w:r>
    </w:p>
    <w:p w:rsidR="002169A3" w:rsidRPr="001B3DF4" w:rsidRDefault="002169A3">
      <w:pPr>
        <w:pStyle w:val="Heading1"/>
        <w:ind w:left="0" w:firstLine="0"/>
        <w:rPr>
          <w:rFonts w:asciiTheme="minorHAnsi" w:hAnsiTheme="minorHAnsi" w:cs="Bookman Old Style"/>
          <w:color w:val="auto"/>
          <w:sz w:val="22"/>
          <w:szCs w:val="22"/>
        </w:rPr>
      </w:pPr>
      <w:r w:rsidRPr="001B3DF4">
        <w:rPr>
          <w:rFonts w:asciiTheme="minorHAnsi" w:hAnsiTheme="minorHAnsi" w:cs="Bookman Old Style"/>
          <w:color w:val="auto"/>
          <w:sz w:val="22"/>
          <w:szCs w:val="22"/>
        </w:rPr>
        <w:t>Slide 7:</w:t>
      </w:r>
    </w:p>
    <w:p w:rsidR="00B64424" w:rsidRPr="001B3DF4" w:rsidRDefault="00DE4D20" w:rsidP="00DE4D20">
      <w:pPr>
        <w:pStyle w:val="Heading1"/>
        <w:ind w:left="0" w:firstLine="0"/>
        <w:rPr>
          <w:rFonts w:asciiTheme="minorHAnsi" w:hAnsiTheme="minorHAnsi" w:cs="Bookman Old Style"/>
          <w:color w:val="auto"/>
          <w:sz w:val="22"/>
          <w:szCs w:val="22"/>
        </w:rPr>
      </w:pPr>
      <w:r w:rsidRPr="001B3DF4">
        <w:rPr>
          <w:rFonts w:asciiTheme="minorHAnsi" w:hAnsiTheme="minorHAnsi" w:cs="Bookman Old Style"/>
          <w:color w:val="auto"/>
          <w:sz w:val="22"/>
          <w:szCs w:val="22"/>
        </w:rPr>
        <w:t>Minnesota Interactive Dashboard</w:t>
      </w:r>
    </w:p>
    <w:p w:rsidR="00DE4D20" w:rsidRDefault="00DE4D20" w:rsidP="00DE4D20">
      <w:pPr>
        <w:spacing w:after="0"/>
      </w:pPr>
    </w:p>
    <w:p w:rsidR="002169A3" w:rsidRPr="001B3DF4" w:rsidRDefault="002169A3" w:rsidP="00DE4D20">
      <w:pPr>
        <w:spacing w:after="0"/>
      </w:pPr>
      <w:r w:rsidRPr="001B3DF4">
        <w:t xml:space="preserve">This slide includes a screen shot from the Minnesota Department of Human Services webpage. The example graph shown is titled “People with Disabilities Have Choices </w:t>
      </w:r>
      <w:r w:rsidR="001B3DF4" w:rsidRPr="001B3DF4">
        <w:t>in How They Live, Work and Play” and shows the 2014 value and 2016 goal for three metrics: 1) Percent of people with Intellectual/Developmental Disabilities (I/DD) report making all major life decisions; 2) Percent of people with I/DD report making everyday decisions; 3) Percent of people with disabilities other than I/DD in charge of services and supports.</w:t>
      </w:r>
    </w:p>
    <w:p w:rsidR="00DE4D20" w:rsidRDefault="00DE4D20" w:rsidP="001B3DF4">
      <w:pPr>
        <w:pStyle w:val="Heading1"/>
        <w:ind w:left="0" w:firstLine="0"/>
        <w:rPr>
          <w:rFonts w:asciiTheme="minorHAnsi" w:hAnsiTheme="minorHAnsi" w:cs="Bookman Old Style"/>
          <w:color w:val="auto"/>
          <w:sz w:val="22"/>
          <w:szCs w:val="22"/>
        </w:rPr>
      </w:pPr>
    </w:p>
    <w:p w:rsidR="001B3DF4" w:rsidRPr="001B3DF4" w:rsidRDefault="001B3DF4" w:rsidP="001B3DF4">
      <w:pPr>
        <w:pStyle w:val="Heading1"/>
        <w:ind w:left="0" w:firstLine="0"/>
        <w:rPr>
          <w:rFonts w:asciiTheme="minorHAnsi" w:hAnsiTheme="minorHAnsi" w:cs="Bookman Old Style"/>
          <w:color w:val="auto"/>
          <w:sz w:val="22"/>
          <w:szCs w:val="22"/>
        </w:rPr>
      </w:pPr>
      <w:r w:rsidRPr="001B3DF4">
        <w:rPr>
          <w:rFonts w:asciiTheme="minorHAnsi" w:hAnsiTheme="minorHAnsi" w:cs="Bookman Old Style"/>
          <w:color w:val="auto"/>
          <w:sz w:val="22"/>
          <w:szCs w:val="22"/>
        </w:rPr>
        <w:t>Slide 8</w:t>
      </w:r>
    </w:p>
    <w:p w:rsidR="001B3DF4" w:rsidRPr="001B3DF4" w:rsidRDefault="00DE4D20" w:rsidP="001B3DF4">
      <w:pPr>
        <w:pStyle w:val="Heading1"/>
        <w:ind w:left="0" w:firstLine="0"/>
        <w:rPr>
          <w:rFonts w:asciiTheme="minorHAnsi" w:hAnsiTheme="minorHAnsi" w:cs="Bookman Old Style"/>
          <w:color w:val="auto"/>
          <w:sz w:val="22"/>
          <w:szCs w:val="22"/>
        </w:rPr>
      </w:pPr>
      <w:r w:rsidRPr="001B3DF4">
        <w:rPr>
          <w:rFonts w:asciiTheme="minorHAnsi" w:hAnsiTheme="minorHAnsi" w:cs="Bookman Old Style"/>
          <w:color w:val="auto"/>
          <w:sz w:val="22"/>
          <w:szCs w:val="22"/>
        </w:rPr>
        <w:t>Minnesota LTSS Dashboard</w:t>
      </w:r>
    </w:p>
    <w:p w:rsidR="001B3DF4" w:rsidRPr="001B3DF4" w:rsidRDefault="001B3DF4" w:rsidP="001B3DF4">
      <w:r w:rsidRPr="001B3DF4">
        <w:lastRenderedPageBreak/>
        <w:t xml:space="preserve">This slide includes a screen shot from the Minnesota Department of Human Services webpage. The page depicts an example option of request information from the Minnesota Long Term Services and Supports Dashboard. Data selections options on the screen include: Type of service: Homemaker, Home Care Nursing (HCN), Personal Care Assistance (PCA), Skilled Nursing Visit (SNV); Report Fiscal Year Quarter: [User selects beginning and ending year and quarter]. Definitions of each service type are included. </w:t>
      </w:r>
    </w:p>
    <w:p w:rsidR="001B3DF4" w:rsidRPr="001B3DF4" w:rsidRDefault="001B3DF4" w:rsidP="001B3DF4">
      <w:r w:rsidRPr="001B3DF4">
        <w:t>Slide 9:</w:t>
      </w:r>
    </w:p>
    <w:p w:rsidR="00B64424" w:rsidRPr="001B3DF4" w:rsidRDefault="00DE4D20" w:rsidP="001B3DF4">
      <w:pPr>
        <w:rPr>
          <w:rFonts w:cs="Bookman Old Style"/>
        </w:rPr>
      </w:pPr>
      <w:r w:rsidRPr="001B3DF4">
        <w:rPr>
          <w:rFonts w:cs="Bookman Old Style"/>
        </w:rPr>
        <w:t>Duals Demonstration Dashboards</w:t>
      </w:r>
    </w:p>
    <w:p w:rsidR="001B3DF4" w:rsidRPr="001B3DF4" w:rsidRDefault="001B3DF4" w:rsidP="001B3DF4">
      <w:pPr>
        <w:rPr>
          <w:rFonts w:cs="Bookman Old Style"/>
        </w:rPr>
      </w:pPr>
      <w:r w:rsidRPr="001B3DF4">
        <w:rPr>
          <w:rFonts w:cs="Bookman Old Style"/>
        </w:rPr>
        <w:t>Slide 10:</w:t>
      </w:r>
    </w:p>
    <w:p w:rsidR="00B64424" w:rsidRPr="001B3DF4" w:rsidRDefault="00DE4D20">
      <w:pPr>
        <w:pStyle w:val="Heading1"/>
        <w:ind w:left="0" w:firstLine="0"/>
        <w:rPr>
          <w:rFonts w:asciiTheme="minorHAnsi" w:hAnsiTheme="minorHAnsi" w:cs="Bookman Old Style"/>
          <w:color w:val="auto"/>
          <w:sz w:val="22"/>
          <w:szCs w:val="22"/>
        </w:rPr>
      </w:pPr>
      <w:r w:rsidRPr="001B3DF4">
        <w:rPr>
          <w:rFonts w:asciiTheme="minorHAnsi" w:hAnsiTheme="minorHAnsi" w:cs="Bookman Old Style"/>
          <w:color w:val="auto"/>
          <w:sz w:val="22"/>
          <w:szCs w:val="22"/>
        </w:rPr>
        <w:t>What data has MA shared?</w:t>
      </w:r>
    </w:p>
    <w:p w:rsidR="00B64424" w:rsidRPr="001B3DF4" w:rsidRDefault="00DE4D20" w:rsidP="004A085C">
      <w:pPr>
        <w:pStyle w:val="Heading3"/>
        <w:numPr>
          <w:ilvl w:val="0"/>
          <w:numId w:val="4"/>
        </w:numPr>
        <w:rPr>
          <w:rFonts w:asciiTheme="minorHAnsi" w:hAnsiTheme="minorHAnsi" w:cs="Gill Sans MT"/>
          <w:color w:val="auto"/>
          <w:sz w:val="22"/>
          <w:szCs w:val="22"/>
        </w:rPr>
      </w:pPr>
      <w:r w:rsidRPr="001B3DF4">
        <w:rPr>
          <w:rFonts w:asciiTheme="minorHAnsi" w:hAnsiTheme="minorHAnsi" w:cs="Gill Sans MT"/>
          <w:color w:val="auto"/>
          <w:sz w:val="22"/>
          <w:szCs w:val="22"/>
        </w:rPr>
        <w:t>Assessment Completion Rates</w:t>
      </w:r>
    </w:p>
    <w:p w:rsidR="00B64424" w:rsidRPr="001B3DF4" w:rsidRDefault="00DE4D20" w:rsidP="004A085C">
      <w:pPr>
        <w:pStyle w:val="Heading3"/>
        <w:numPr>
          <w:ilvl w:val="0"/>
          <w:numId w:val="4"/>
        </w:numPr>
        <w:rPr>
          <w:rFonts w:asciiTheme="minorHAnsi" w:hAnsiTheme="minorHAnsi" w:cs="Gill Sans MT"/>
          <w:color w:val="auto"/>
          <w:sz w:val="22"/>
          <w:szCs w:val="22"/>
        </w:rPr>
      </w:pPr>
      <w:r w:rsidRPr="001B3DF4">
        <w:rPr>
          <w:rFonts w:asciiTheme="minorHAnsi" w:hAnsiTheme="minorHAnsi" w:cs="Gill Sans MT"/>
          <w:color w:val="auto"/>
          <w:sz w:val="22"/>
          <w:szCs w:val="22"/>
        </w:rPr>
        <w:t>IL-LTSS Coordinator data</w:t>
      </w:r>
    </w:p>
    <w:p w:rsidR="00B64424" w:rsidRPr="001B3DF4" w:rsidRDefault="00DE4D20" w:rsidP="004A085C">
      <w:pPr>
        <w:pStyle w:val="Heading3"/>
        <w:numPr>
          <w:ilvl w:val="0"/>
          <w:numId w:val="4"/>
        </w:numPr>
        <w:rPr>
          <w:rFonts w:asciiTheme="minorHAnsi" w:hAnsiTheme="minorHAnsi" w:cs="Gill Sans MT"/>
          <w:color w:val="auto"/>
          <w:sz w:val="22"/>
          <w:szCs w:val="22"/>
        </w:rPr>
      </w:pPr>
      <w:r w:rsidRPr="001B3DF4">
        <w:rPr>
          <w:rFonts w:asciiTheme="minorHAnsi" w:hAnsiTheme="minorHAnsi" w:cs="Gill Sans MT"/>
          <w:color w:val="auto"/>
          <w:sz w:val="22"/>
          <w:szCs w:val="22"/>
        </w:rPr>
        <w:t>One Care Ombudsman data</w:t>
      </w:r>
    </w:p>
    <w:p w:rsidR="00B64424" w:rsidRPr="001B3DF4" w:rsidRDefault="00DE4D20" w:rsidP="004A085C">
      <w:pPr>
        <w:pStyle w:val="Heading3"/>
        <w:numPr>
          <w:ilvl w:val="0"/>
          <w:numId w:val="4"/>
        </w:numPr>
        <w:rPr>
          <w:rFonts w:asciiTheme="minorHAnsi" w:hAnsiTheme="minorHAnsi" w:cs="Gill Sans MT"/>
          <w:color w:val="auto"/>
          <w:sz w:val="22"/>
          <w:szCs w:val="22"/>
        </w:rPr>
      </w:pPr>
      <w:r w:rsidRPr="001B3DF4">
        <w:rPr>
          <w:rFonts w:asciiTheme="minorHAnsi" w:hAnsiTheme="minorHAnsi" w:cs="Gill Sans MT"/>
          <w:color w:val="auto"/>
          <w:sz w:val="22"/>
          <w:szCs w:val="22"/>
        </w:rPr>
        <w:t>Monthly enrollment reports</w:t>
      </w:r>
    </w:p>
    <w:p w:rsidR="00B64424" w:rsidRPr="001B3DF4" w:rsidRDefault="00DE4D20" w:rsidP="004A085C">
      <w:pPr>
        <w:pStyle w:val="Heading3"/>
        <w:numPr>
          <w:ilvl w:val="0"/>
          <w:numId w:val="4"/>
        </w:numPr>
        <w:rPr>
          <w:rFonts w:asciiTheme="minorHAnsi" w:hAnsiTheme="minorHAnsi" w:cs="Gill Sans MT"/>
          <w:color w:val="auto"/>
          <w:sz w:val="22"/>
          <w:szCs w:val="22"/>
        </w:rPr>
      </w:pPr>
      <w:r w:rsidRPr="001B3DF4">
        <w:rPr>
          <w:rFonts w:asciiTheme="minorHAnsi" w:hAnsiTheme="minorHAnsi" w:cs="Gill Sans MT"/>
          <w:color w:val="auto"/>
          <w:sz w:val="22"/>
          <w:szCs w:val="22"/>
        </w:rPr>
        <w:t>Aggregate One Care plan financial data</w:t>
      </w:r>
    </w:p>
    <w:p w:rsidR="00B64424" w:rsidRPr="001B3DF4" w:rsidRDefault="00DE4D20" w:rsidP="004A085C">
      <w:pPr>
        <w:pStyle w:val="Heading3"/>
        <w:numPr>
          <w:ilvl w:val="0"/>
          <w:numId w:val="4"/>
        </w:numPr>
        <w:rPr>
          <w:rFonts w:asciiTheme="minorHAnsi" w:hAnsiTheme="minorHAnsi" w:cs="Gill Sans MT"/>
          <w:color w:val="auto"/>
          <w:sz w:val="22"/>
          <w:szCs w:val="22"/>
        </w:rPr>
      </w:pPr>
      <w:r w:rsidRPr="001B3DF4">
        <w:rPr>
          <w:rFonts w:asciiTheme="minorHAnsi" w:hAnsiTheme="minorHAnsi" w:cs="Gill Sans MT"/>
          <w:color w:val="auto"/>
          <w:sz w:val="22"/>
          <w:szCs w:val="22"/>
        </w:rPr>
        <w:t>Self-reported member data from Early Indicators Project Customer Service data</w:t>
      </w:r>
    </w:p>
    <w:p w:rsidR="00B64424" w:rsidRPr="001B3DF4" w:rsidRDefault="00B64424">
      <w:pPr>
        <w:pStyle w:val="Heading2"/>
        <w:ind w:left="432"/>
        <w:rPr>
          <w:rFonts w:asciiTheme="minorHAnsi" w:hAnsiTheme="minorHAnsi" w:cs="Gill Sans MT"/>
          <w:sz w:val="22"/>
          <w:szCs w:val="22"/>
        </w:rPr>
      </w:pPr>
    </w:p>
    <w:p w:rsidR="001B3DF4" w:rsidRPr="001B3DF4" w:rsidRDefault="001B3DF4">
      <w:pPr>
        <w:pStyle w:val="Heading1"/>
        <w:ind w:left="0" w:firstLine="0"/>
        <w:rPr>
          <w:rFonts w:asciiTheme="minorHAnsi" w:hAnsiTheme="minorHAnsi" w:cs="Bookman Old Style"/>
          <w:color w:val="auto"/>
          <w:sz w:val="22"/>
          <w:szCs w:val="22"/>
        </w:rPr>
      </w:pPr>
      <w:r w:rsidRPr="001B3DF4">
        <w:rPr>
          <w:rFonts w:asciiTheme="minorHAnsi" w:hAnsiTheme="minorHAnsi" w:cs="Bookman Old Style"/>
          <w:color w:val="auto"/>
          <w:sz w:val="22"/>
          <w:szCs w:val="22"/>
        </w:rPr>
        <w:t>Slide 11:</w:t>
      </w:r>
    </w:p>
    <w:p w:rsidR="00B64424" w:rsidRPr="001B3DF4" w:rsidRDefault="00DE4D20">
      <w:pPr>
        <w:pStyle w:val="Heading1"/>
        <w:ind w:left="0" w:firstLine="0"/>
        <w:rPr>
          <w:rFonts w:asciiTheme="minorHAnsi" w:hAnsiTheme="minorHAnsi" w:cs="Bookman Old Style"/>
          <w:color w:val="auto"/>
          <w:sz w:val="22"/>
          <w:szCs w:val="22"/>
        </w:rPr>
      </w:pPr>
      <w:r w:rsidRPr="001B3DF4">
        <w:rPr>
          <w:rFonts w:asciiTheme="minorHAnsi" w:hAnsiTheme="minorHAnsi" w:cs="Bookman Old Style"/>
          <w:color w:val="auto"/>
          <w:sz w:val="22"/>
          <w:szCs w:val="22"/>
        </w:rPr>
        <w:t>What data are other state’s sharing in dashboards for Duals Demonstrations?</w:t>
      </w:r>
    </w:p>
    <w:p w:rsidR="00B64424" w:rsidRPr="001B3DF4" w:rsidRDefault="00DE4D20" w:rsidP="004A085C">
      <w:pPr>
        <w:pStyle w:val="Heading3"/>
        <w:numPr>
          <w:ilvl w:val="0"/>
          <w:numId w:val="4"/>
        </w:numPr>
        <w:rPr>
          <w:rFonts w:asciiTheme="minorHAnsi" w:hAnsiTheme="minorHAnsi" w:cs="Gill Sans MT"/>
          <w:color w:val="auto"/>
          <w:sz w:val="22"/>
          <w:szCs w:val="22"/>
        </w:rPr>
      </w:pPr>
      <w:r w:rsidRPr="001B3DF4">
        <w:rPr>
          <w:rFonts w:asciiTheme="minorHAnsi" w:hAnsiTheme="minorHAnsi" w:cs="Gill Sans MT"/>
          <w:color w:val="auto"/>
          <w:sz w:val="22"/>
          <w:szCs w:val="22"/>
        </w:rPr>
        <w:t>Contract management information</w:t>
      </w:r>
    </w:p>
    <w:p w:rsidR="00B64424" w:rsidRPr="001B3DF4" w:rsidRDefault="00DE4D20" w:rsidP="004A085C">
      <w:pPr>
        <w:pStyle w:val="Heading3"/>
        <w:numPr>
          <w:ilvl w:val="0"/>
          <w:numId w:val="4"/>
        </w:numPr>
        <w:rPr>
          <w:rFonts w:asciiTheme="minorHAnsi" w:hAnsiTheme="minorHAnsi" w:cs="Gill Sans MT"/>
          <w:color w:val="auto"/>
          <w:sz w:val="22"/>
          <w:szCs w:val="22"/>
        </w:rPr>
      </w:pPr>
      <w:r w:rsidRPr="001B3DF4">
        <w:rPr>
          <w:rFonts w:asciiTheme="minorHAnsi" w:hAnsiTheme="minorHAnsi" w:cs="Gill Sans MT"/>
          <w:color w:val="auto"/>
          <w:sz w:val="22"/>
          <w:szCs w:val="22"/>
        </w:rPr>
        <w:t xml:space="preserve">Claims processing data </w:t>
      </w:r>
      <w:r w:rsidRPr="001B3DF4">
        <w:rPr>
          <w:rFonts w:asciiTheme="minorHAnsi" w:hAnsiTheme="minorHAnsi" w:cs="Gill Sans MT"/>
          <w:i/>
          <w:iCs/>
          <w:color w:val="auto"/>
          <w:sz w:val="22"/>
          <w:szCs w:val="22"/>
        </w:rPr>
        <w:t>[encounter data</w:t>
      </w:r>
      <w:r w:rsidRPr="001B3DF4">
        <w:rPr>
          <w:rFonts w:asciiTheme="minorHAnsi" w:hAnsiTheme="minorHAnsi" w:cs="Gill Sans MT"/>
          <w:color w:val="auto"/>
          <w:sz w:val="22"/>
          <w:szCs w:val="22"/>
        </w:rPr>
        <w:t>]</w:t>
      </w:r>
    </w:p>
    <w:p w:rsidR="00B64424" w:rsidRPr="001B3DF4" w:rsidRDefault="00DE4D20" w:rsidP="004A085C">
      <w:pPr>
        <w:pStyle w:val="Heading3"/>
        <w:numPr>
          <w:ilvl w:val="0"/>
          <w:numId w:val="4"/>
        </w:numPr>
        <w:rPr>
          <w:rFonts w:asciiTheme="minorHAnsi" w:hAnsiTheme="minorHAnsi" w:cs="Gill Sans MT"/>
          <w:color w:val="auto"/>
          <w:sz w:val="22"/>
          <w:szCs w:val="22"/>
        </w:rPr>
      </w:pPr>
      <w:r w:rsidRPr="001B3DF4">
        <w:rPr>
          <w:rFonts w:asciiTheme="minorHAnsi" w:hAnsiTheme="minorHAnsi" w:cs="Gill Sans MT"/>
          <w:color w:val="auto"/>
          <w:sz w:val="22"/>
          <w:szCs w:val="22"/>
        </w:rPr>
        <w:t>Call center feedback</w:t>
      </w:r>
    </w:p>
    <w:p w:rsidR="00B64424" w:rsidRPr="001B3DF4" w:rsidRDefault="00DE4D20" w:rsidP="004A085C">
      <w:pPr>
        <w:pStyle w:val="Heading3"/>
        <w:numPr>
          <w:ilvl w:val="0"/>
          <w:numId w:val="4"/>
        </w:numPr>
        <w:rPr>
          <w:rFonts w:asciiTheme="minorHAnsi" w:hAnsiTheme="minorHAnsi" w:cs="Gill Sans MT"/>
          <w:color w:val="auto"/>
          <w:sz w:val="22"/>
          <w:szCs w:val="22"/>
        </w:rPr>
      </w:pPr>
      <w:r w:rsidRPr="001B3DF4">
        <w:rPr>
          <w:rFonts w:asciiTheme="minorHAnsi" w:hAnsiTheme="minorHAnsi" w:cs="Gill Sans MT"/>
          <w:color w:val="auto"/>
          <w:sz w:val="22"/>
          <w:szCs w:val="22"/>
        </w:rPr>
        <w:t>Appeals and grievances activity</w:t>
      </w:r>
    </w:p>
    <w:p w:rsidR="00B64424" w:rsidRPr="001B3DF4" w:rsidRDefault="00DE4D20" w:rsidP="004A085C">
      <w:pPr>
        <w:pStyle w:val="Heading3"/>
        <w:numPr>
          <w:ilvl w:val="0"/>
          <w:numId w:val="4"/>
        </w:numPr>
        <w:rPr>
          <w:rFonts w:asciiTheme="minorHAnsi" w:hAnsiTheme="minorHAnsi" w:cs="Gill Sans MT"/>
          <w:color w:val="auto"/>
          <w:sz w:val="22"/>
          <w:szCs w:val="22"/>
        </w:rPr>
      </w:pPr>
      <w:r w:rsidRPr="001B3DF4">
        <w:rPr>
          <w:rFonts w:asciiTheme="minorHAnsi" w:hAnsiTheme="minorHAnsi" w:cs="Gill Sans MT"/>
          <w:color w:val="auto"/>
          <w:sz w:val="22"/>
          <w:szCs w:val="22"/>
        </w:rPr>
        <w:t>Health Risk Assessment and Plan of Care completion rates</w:t>
      </w:r>
    </w:p>
    <w:p w:rsidR="00B64424" w:rsidRPr="001B3DF4" w:rsidRDefault="00DE4D20" w:rsidP="004A085C">
      <w:pPr>
        <w:pStyle w:val="Heading3"/>
        <w:numPr>
          <w:ilvl w:val="0"/>
          <w:numId w:val="4"/>
        </w:numPr>
        <w:rPr>
          <w:rFonts w:asciiTheme="minorHAnsi" w:hAnsiTheme="minorHAnsi" w:cs="Gill Sans MT"/>
          <w:color w:val="auto"/>
          <w:sz w:val="22"/>
          <w:szCs w:val="22"/>
        </w:rPr>
      </w:pPr>
      <w:r w:rsidRPr="001B3DF4">
        <w:rPr>
          <w:rFonts w:asciiTheme="minorHAnsi" w:hAnsiTheme="minorHAnsi" w:cs="Gill Sans MT"/>
          <w:color w:val="auto"/>
          <w:sz w:val="22"/>
          <w:szCs w:val="22"/>
        </w:rPr>
        <w:t>Enrollment data</w:t>
      </w:r>
    </w:p>
    <w:p w:rsidR="00B64424" w:rsidRPr="001B3DF4" w:rsidRDefault="00B64424">
      <w:pPr>
        <w:pStyle w:val="Heading3"/>
        <w:ind w:left="720" w:firstLine="0"/>
        <w:rPr>
          <w:rFonts w:asciiTheme="minorHAnsi" w:hAnsiTheme="minorHAnsi" w:cs="Gill Sans MT"/>
          <w:color w:val="auto"/>
          <w:sz w:val="22"/>
          <w:szCs w:val="22"/>
        </w:rPr>
      </w:pPr>
    </w:p>
    <w:p w:rsidR="001B3DF4" w:rsidRPr="001B3DF4" w:rsidRDefault="001B3DF4">
      <w:pPr>
        <w:pStyle w:val="Heading1"/>
        <w:ind w:left="0" w:firstLine="0"/>
        <w:rPr>
          <w:rFonts w:asciiTheme="minorHAnsi" w:hAnsiTheme="minorHAnsi" w:cs="Bookman Old Style"/>
          <w:color w:val="auto"/>
          <w:sz w:val="22"/>
          <w:szCs w:val="22"/>
        </w:rPr>
      </w:pPr>
      <w:r w:rsidRPr="001B3DF4">
        <w:rPr>
          <w:rFonts w:asciiTheme="minorHAnsi" w:hAnsiTheme="minorHAnsi" w:cs="Bookman Old Style"/>
          <w:color w:val="auto"/>
          <w:sz w:val="22"/>
          <w:szCs w:val="22"/>
        </w:rPr>
        <w:t>Slide 12:</w:t>
      </w:r>
    </w:p>
    <w:p w:rsidR="00B64424" w:rsidRPr="001B3DF4" w:rsidRDefault="00DE4D20">
      <w:pPr>
        <w:pStyle w:val="Heading1"/>
        <w:ind w:left="0" w:firstLine="0"/>
        <w:rPr>
          <w:rFonts w:asciiTheme="minorHAnsi" w:hAnsiTheme="minorHAnsi" w:cs="Bookman Old Style"/>
          <w:color w:val="auto"/>
          <w:sz w:val="22"/>
          <w:szCs w:val="22"/>
        </w:rPr>
      </w:pPr>
      <w:r w:rsidRPr="001B3DF4">
        <w:rPr>
          <w:rFonts w:asciiTheme="minorHAnsi" w:hAnsiTheme="minorHAnsi" w:cs="Bookman Old Style"/>
          <w:color w:val="auto"/>
          <w:sz w:val="22"/>
          <w:szCs w:val="22"/>
        </w:rPr>
        <w:t>Action Steps</w:t>
      </w:r>
    </w:p>
    <w:p w:rsidR="00B64424" w:rsidRPr="001B3DF4" w:rsidRDefault="00DE4D20" w:rsidP="004A085C">
      <w:pPr>
        <w:pStyle w:val="Heading2"/>
        <w:numPr>
          <w:ilvl w:val="0"/>
          <w:numId w:val="3"/>
        </w:numPr>
        <w:ind w:left="432" w:hanging="432"/>
        <w:rPr>
          <w:rFonts w:asciiTheme="minorHAnsi" w:hAnsiTheme="minorHAnsi" w:cs="Gill Sans MT"/>
          <w:sz w:val="22"/>
          <w:szCs w:val="22"/>
        </w:rPr>
      </w:pPr>
      <w:r w:rsidRPr="001B3DF4">
        <w:rPr>
          <w:rFonts w:asciiTheme="minorHAnsi" w:hAnsiTheme="minorHAnsi" w:cs="Gill Sans MT"/>
          <w:sz w:val="22"/>
          <w:szCs w:val="22"/>
        </w:rPr>
        <w:t>Create a short-term Subcommittee to:</w:t>
      </w:r>
    </w:p>
    <w:p w:rsidR="00B64424" w:rsidRPr="001B3DF4" w:rsidRDefault="00DE4D20" w:rsidP="001B3DF4">
      <w:pPr>
        <w:pStyle w:val="Heading3"/>
        <w:numPr>
          <w:ilvl w:val="1"/>
          <w:numId w:val="4"/>
        </w:numPr>
        <w:rPr>
          <w:rFonts w:asciiTheme="minorHAnsi" w:hAnsiTheme="minorHAnsi" w:cs="Gill Sans MT"/>
          <w:color w:val="auto"/>
          <w:sz w:val="22"/>
          <w:szCs w:val="22"/>
        </w:rPr>
      </w:pPr>
      <w:r w:rsidRPr="001B3DF4">
        <w:rPr>
          <w:rFonts w:asciiTheme="minorHAnsi" w:hAnsiTheme="minorHAnsi" w:cs="Gill Sans MT"/>
          <w:color w:val="auto"/>
          <w:sz w:val="22"/>
          <w:szCs w:val="22"/>
        </w:rPr>
        <w:t xml:space="preserve">Understand what </w:t>
      </w:r>
      <w:proofErr w:type="spellStart"/>
      <w:r w:rsidRPr="001B3DF4">
        <w:rPr>
          <w:rFonts w:asciiTheme="minorHAnsi" w:hAnsiTheme="minorHAnsi" w:cs="Gill Sans MT"/>
          <w:color w:val="auto"/>
          <w:sz w:val="22"/>
          <w:szCs w:val="22"/>
        </w:rPr>
        <w:t>MassHealth</w:t>
      </w:r>
      <w:proofErr w:type="spellEnd"/>
      <w:r w:rsidRPr="001B3DF4">
        <w:rPr>
          <w:rFonts w:asciiTheme="minorHAnsi" w:hAnsiTheme="minorHAnsi" w:cs="Gill Sans MT"/>
          <w:color w:val="auto"/>
          <w:sz w:val="22"/>
          <w:szCs w:val="22"/>
        </w:rPr>
        <w:t xml:space="preserve"> is collecting</w:t>
      </w:r>
    </w:p>
    <w:p w:rsidR="00B64424" w:rsidRPr="001B3DF4" w:rsidRDefault="00DE4D20" w:rsidP="001B3DF4">
      <w:pPr>
        <w:pStyle w:val="Heading3"/>
        <w:numPr>
          <w:ilvl w:val="1"/>
          <w:numId w:val="4"/>
        </w:numPr>
        <w:rPr>
          <w:rFonts w:asciiTheme="minorHAnsi" w:hAnsiTheme="minorHAnsi" w:cs="Gill Sans MT"/>
          <w:color w:val="auto"/>
          <w:sz w:val="22"/>
          <w:szCs w:val="22"/>
        </w:rPr>
      </w:pPr>
      <w:r w:rsidRPr="001B3DF4">
        <w:rPr>
          <w:rFonts w:asciiTheme="minorHAnsi" w:hAnsiTheme="minorHAnsi" w:cs="Gill Sans MT"/>
          <w:color w:val="auto"/>
          <w:sz w:val="22"/>
          <w:szCs w:val="22"/>
        </w:rPr>
        <w:t>Determine what other states are collecting</w:t>
      </w:r>
    </w:p>
    <w:p w:rsidR="00B64424" w:rsidRPr="001B3DF4" w:rsidRDefault="00DE4D20" w:rsidP="001B3DF4">
      <w:pPr>
        <w:pStyle w:val="Heading3"/>
        <w:numPr>
          <w:ilvl w:val="1"/>
          <w:numId w:val="4"/>
        </w:numPr>
        <w:rPr>
          <w:rFonts w:asciiTheme="minorHAnsi" w:hAnsiTheme="minorHAnsi" w:cs="Gill Sans MT"/>
          <w:color w:val="auto"/>
          <w:sz w:val="22"/>
          <w:szCs w:val="22"/>
        </w:rPr>
      </w:pPr>
      <w:r w:rsidRPr="001B3DF4">
        <w:rPr>
          <w:rFonts w:asciiTheme="minorHAnsi" w:hAnsiTheme="minorHAnsi" w:cs="Gill Sans MT"/>
          <w:color w:val="auto"/>
          <w:sz w:val="22"/>
          <w:szCs w:val="22"/>
        </w:rPr>
        <w:t>Propose dashboard for Massachusetts demonstration</w:t>
      </w:r>
    </w:p>
    <w:sectPr w:rsidR="00B64424" w:rsidRPr="001B3DF4">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6B6B074"/>
    <w:lvl w:ilvl="0">
      <w:numFmt w:val="bullet"/>
      <w:lvlText w:val="*"/>
      <w:lvlJc w:val="left"/>
    </w:lvl>
  </w:abstractNum>
  <w:abstractNum w:abstractNumId="1">
    <w:nsid w:val="131D6BFD"/>
    <w:multiLevelType w:val="hybridMultilevel"/>
    <w:tmpl w:val="123005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43309A9"/>
    <w:multiLevelType w:val="hybridMultilevel"/>
    <w:tmpl w:val="6DF4B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C5749DB"/>
    <w:multiLevelType w:val="hybridMultilevel"/>
    <w:tmpl w:val="46E63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0141E4"/>
    <w:multiLevelType w:val="hybridMultilevel"/>
    <w:tmpl w:val="10561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Theme="minorHAnsi" w:hAnsiTheme="minorHAnsi" w:hint="default"/>
          <w:sz w:val="22"/>
          <w:szCs w:val="22"/>
        </w:rPr>
      </w:lvl>
    </w:lvlOverride>
  </w:num>
  <w:num w:numId="2">
    <w:abstractNumId w:val="0"/>
    <w:lvlOverride w:ilvl="0">
      <w:lvl w:ilvl="0">
        <w:numFmt w:val="bullet"/>
        <w:lvlText w:val=""/>
        <w:legacy w:legacy="1" w:legacySpace="0" w:legacyIndent="0"/>
        <w:lvlJc w:val="left"/>
        <w:rPr>
          <w:rFonts w:ascii="Wingdings 3" w:hAnsi="Wingdings 3" w:hint="default"/>
          <w:sz w:val="35"/>
        </w:rPr>
      </w:lvl>
    </w:lvlOverride>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85C"/>
    <w:rsid w:val="00071A06"/>
    <w:rsid w:val="000C7C5A"/>
    <w:rsid w:val="001B3DF4"/>
    <w:rsid w:val="002169A3"/>
    <w:rsid w:val="004A085C"/>
    <w:rsid w:val="007B0AF9"/>
    <w:rsid w:val="00B64424"/>
    <w:rsid w:val="00BE6085"/>
    <w:rsid w:val="00DE4D20"/>
    <w:rsid w:val="00FE6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ind w:left="432" w:hanging="432"/>
      <w:outlineLvl w:val="0"/>
    </w:pPr>
    <w:rPr>
      <w:rFonts w:ascii="Times New Roman" w:hAnsi="Times New Roman" w:cs="Times New Roman"/>
      <w:color w:val="000000"/>
      <w:kern w:val="24"/>
      <w:sz w:val="52"/>
      <w:szCs w:val="52"/>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ind w:left="864" w:hanging="432"/>
      <w:outlineLvl w:val="1"/>
    </w:pPr>
    <w:rPr>
      <w:rFonts w:ascii="Times New Roman" w:hAnsi="Times New Roman" w:cs="Times New Roman"/>
      <w:kern w:val="24"/>
      <w:sz w:val="46"/>
      <w:szCs w:val="46"/>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ind w:left="1296" w:hanging="360"/>
      <w:outlineLvl w:val="2"/>
    </w:pPr>
    <w:rPr>
      <w:rFonts w:ascii="Times New Roman" w:hAnsi="Times New Roman" w:cs="Times New Roman"/>
      <w:color w:val="000000"/>
      <w:kern w:val="24"/>
      <w:sz w:val="40"/>
      <w:szCs w:val="40"/>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ind w:left="1728" w:hanging="360"/>
      <w:outlineLvl w:val="3"/>
    </w:pPr>
    <w:rPr>
      <w:rFonts w:ascii="Times New Roman" w:hAnsi="Times New Roman" w:cs="Times New Roman"/>
      <w:color w:val="000000"/>
      <w:kern w:val="24"/>
      <w:sz w:val="24"/>
      <w:szCs w:val="24"/>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ind w:left="2160" w:hanging="360"/>
      <w:outlineLvl w:val="4"/>
    </w:pPr>
    <w:rPr>
      <w:rFonts w:ascii="Times New Roman" w:hAnsi="Times New Roman" w:cs="Times New Roman"/>
      <w:color w:val="000000"/>
      <w:kern w:val="24"/>
      <w:sz w:val="32"/>
      <w:szCs w:val="32"/>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ind w:left="2592" w:hanging="288"/>
      <w:outlineLvl w:val="5"/>
    </w:pPr>
    <w:rPr>
      <w:rFonts w:ascii="Times New Roman" w:hAnsi="Times New Roman" w:cs="Times New Roman"/>
      <w:color w:val="000000"/>
      <w:kern w:val="24"/>
      <w:sz w:val="32"/>
      <w:szCs w:val="32"/>
    </w:rPr>
  </w:style>
  <w:style w:type="paragraph" w:styleId="Heading7">
    <w:name w:val="heading 7"/>
    <w:basedOn w:val="Normal"/>
    <w:next w:val="Normal"/>
    <w:link w:val="Heading7Char"/>
    <w:uiPriority w:val="99"/>
    <w:qFormat/>
    <w:pPr>
      <w:widowControl w:val="0"/>
      <w:autoSpaceDE w:val="0"/>
      <w:autoSpaceDN w:val="0"/>
      <w:adjustRightInd w:val="0"/>
      <w:spacing w:after="0" w:line="240" w:lineRule="auto"/>
      <w:ind w:left="2880" w:hanging="288"/>
      <w:outlineLvl w:val="6"/>
    </w:pPr>
    <w:rPr>
      <w:rFonts w:ascii="Times New Roman" w:hAnsi="Times New Roman" w:cs="Times New Roman"/>
      <w:color w:val="000000"/>
      <w:kern w:val="24"/>
      <w:sz w:val="28"/>
      <w:szCs w:val="28"/>
    </w:rPr>
  </w:style>
  <w:style w:type="paragraph" w:styleId="Heading8">
    <w:name w:val="heading 8"/>
    <w:basedOn w:val="Normal"/>
    <w:next w:val="Normal"/>
    <w:link w:val="Heading8Char"/>
    <w:uiPriority w:val="99"/>
    <w:qFormat/>
    <w:pPr>
      <w:widowControl w:val="0"/>
      <w:autoSpaceDE w:val="0"/>
      <w:autoSpaceDN w:val="0"/>
      <w:adjustRightInd w:val="0"/>
      <w:spacing w:after="0" w:line="240" w:lineRule="auto"/>
      <w:ind w:left="3168" w:hanging="288"/>
      <w:outlineLvl w:val="7"/>
    </w:pPr>
    <w:rPr>
      <w:rFonts w:ascii="Times New Roman" w:hAnsi="Times New Roman" w:cs="Times New Roman"/>
      <w:color w:val="000000"/>
      <w:kern w:val="24"/>
      <w:sz w:val="28"/>
      <w:szCs w:val="28"/>
    </w:rPr>
  </w:style>
  <w:style w:type="paragraph" w:styleId="Heading9">
    <w:name w:val="heading 9"/>
    <w:basedOn w:val="Normal"/>
    <w:next w:val="Normal"/>
    <w:link w:val="Heading9Char"/>
    <w:uiPriority w:val="99"/>
    <w:qFormat/>
    <w:pPr>
      <w:widowControl w:val="0"/>
      <w:autoSpaceDE w:val="0"/>
      <w:autoSpaceDN w:val="0"/>
      <w:adjustRightInd w:val="0"/>
      <w:spacing w:after="0" w:line="240" w:lineRule="auto"/>
      <w:ind w:left="3456" w:hanging="288"/>
      <w:outlineLvl w:val="8"/>
    </w:pPr>
    <w:rPr>
      <w:rFonts w:ascii="Times New Roman" w:hAnsi="Times New Roman" w:cs="Times New Roman"/>
      <w:color w:val="000000"/>
      <w:kern w:val="24"/>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rPr>
  </w:style>
  <w:style w:type="character" w:customStyle="1" w:styleId="Heading7Char">
    <w:name w:val="Heading 7 Char"/>
    <w:basedOn w:val="DefaultParagraphFont"/>
    <w:link w:val="Heading7"/>
    <w:uiPriority w:val="9"/>
    <w:semiHidden/>
    <w:rPr>
      <w:sz w:val="24"/>
      <w:szCs w:val="24"/>
    </w:rPr>
  </w:style>
  <w:style w:type="character" w:customStyle="1" w:styleId="Heading8Char">
    <w:name w:val="Heading 8 Char"/>
    <w:basedOn w:val="DefaultParagraphFont"/>
    <w:link w:val="Heading8"/>
    <w:uiPriority w:val="9"/>
    <w:semiHidden/>
    <w:rPr>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rPr>
  </w:style>
  <w:style w:type="paragraph" w:styleId="NormalWeb">
    <w:name w:val="Normal (Web)"/>
    <w:basedOn w:val="Normal"/>
    <w:uiPriority w:val="99"/>
    <w:semiHidden/>
    <w:unhideWhenUsed/>
    <w:rsid w:val="004A085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ind w:left="432" w:hanging="432"/>
      <w:outlineLvl w:val="0"/>
    </w:pPr>
    <w:rPr>
      <w:rFonts w:ascii="Times New Roman" w:hAnsi="Times New Roman" w:cs="Times New Roman"/>
      <w:color w:val="000000"/>
      <w:kern w:val="24"/>
      <w:sz w:val="52"/>
      <w:szCs w:val="52"/>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ind w:left="864" w:hanging="432"/>
      <w:outlineLvl w:val="1"/>
    </w:pPr>
    <w:rPr>
      <w:rFonts w:ascii="Times New Roman" w:hAnsi="Times New Roman" w:cs="Times New Roman"/>
      <w:kern w:val="24"/>
      <w:sz w:val="46"/>
      <w:szCs w:val="46"/>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ind w:left="1296" w:hanging="360"/>
      <w:outlineLvl w:val="2"/>
    </w:pPr>
    <w:rPr>
      <w:rFonts w:ascii="Times New Roman" w:hAnsi="Times New Roman" w:cs="Times New Roman"/>
      <w:color w:val="000000"/>
      <w:kern w:val="24"/>
      <w:sz w:val="40"/>
      <w:szCs w:val="40"/>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ind w:left="1728" w:hanging="360"/>
      <w:outlineLvl w:val="3"/>
    </w:pPr>
    <w:rPr>
      <w:rFonts w:ascii="Times New Roman" w:hAnsi="Times New Roman" w:cs="Times New Roman"/>
      <w:color w:val="000000"/>
      <w:kern w:val="24"/>
      <w:sz w:val="24"/>
      <w:szCs w:val="24"/>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ind w:left="2160" w:hanging="360"/>
      <w:outlineLvl w:val="4"/>
    </w:pPr>
    <w:rPr>
      <w:rFonts w:ascii="Times New Roman" w:hAnsi="Times New Roman" w:cs="Times New Roman"/>
      <w:color w:val="000000"/>
      <w:kern w:val="24"/>
      <w:sz w:val="32"/>
      <w:szCs w:val="32"/>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ind w:left="2592" w:hanging="288"/>
      <w:outlineLvl w:val="5"/>
    </w:pPr>
    <w:rPr>
      <w:rFonts w:ascii="Times New Roman" w:hAnsi="Times New Roman" w:cs="Times New Roman"/>
      <w:color w:val="000000"/>
      <w:kern w:val="24"/>
      <w:sz w:val="32"/>
      <w:szCs w:val="32"/>
    </w:rPr>
  </w:style>
  <w:style w:type="paragraph" w:styleId="Heading7">
    <w:name w:val="heading 7"/>
    <w:basedOn w:val="Normal"/>
    <w:next w:val="Normal"/>
    <w:link w:val="Heading7Char"/>
    <w:uiPriority w:val="99"/>
    <w:qFormat/>
    <w:pPr>
      <w:widowControl w:val="0"/>
      <w:autoSpaceDE w:val="0"/>
      <w:autoSpaceDN w:val="0"/>
      <w:adjustRightInd w:val="0"/>
      <w:spacing w:after="0" w:line="240" w:lineRule="auto"/>
      <w:ind w:left="2880" w:hanging="288"/>
      <w:outlineLvl w:val="6"/>
    </w:pPr>
    <w:rPr>
      <w:rFonts w:ascii="Times New Roman" w:hAnsi="Times New Roman" w:cs="Times New Roman"/>
      <w:color w:val="000000"/>
      <w:kern w:val="24"/>
      <w:sz w:val="28"/>
      <w:szCs w:val="28"/>
    </w:rPr>
  </w:style>
  <w:style w:type="paragraph" w:styleId="Heading8">
    <w:name w:val="heading 8"/>
    <w:basedOn w:val="Normal"/>
    <w:next w:val="Normal"/>
    <w:link w:val="Heading8Char"/>
    <w:uiPriority w:val="99"/>
    <w:qFormat/>
    <w:pPr>
      <w:widowControl w:val="0"/>
      <w:autoSpaceDE w:val="0"/>
      <w:autoSpaceDN w:val="0"/>
      <w:adjustRightInd w:val="0"/>
      <w:spacing w:after="0" w:line="240" w:lineRule="auto"/>
      <w:ind w:left="3168" w:hanging="288"/>
      <w:outlineLvl w:val="7"/>
    </w:pPr>
    <w:rPr>
      <w:rFonts w:ascii="Times New Roman" w:hAnsi="Times New Roman" w:cs="Times New Roman"/>
      <w:color w:val="000000"/>
      <w:kern w:val="24"/>
      <w:sz w:val="28"/>
      <w:szCs w:val="28"/>
    </w:rPr>
  </w:style>
  <w:style w:type="paragraph" w:styleId="Heading9">
    <w:name w:val="heading 9"/>
    <w:basedOn w:val="Normal"/>
    <w:next w:val="Normal"/>
    <w:link w:val="Heading9Char"/>
    <w:uiPriority w:val="99"/>
    <w:qFormat/>
    <w:pPr>
      <w:widowControl w:val="0"/>
      <w:autoSpaceDE w:val="0"/>
      <w:autoSpaceDN w:val="0"/>
      <w:adjustRightInd w:val="0"/>
      <w:spacing w:after="0" w:line="240" w:lineRule="auto"/>
      <w:ind w:left="3456" w:hanging="288"/>
      <w:outlineLvl w:val="8"/>
    </w:pPr>
    <w:rPr>
      <w:rFonts w:ascii="Times New Roman" w:hAnsi="Times New Roman" w:cs="Times New Roman"/>
      <w:color w:val="000000"/>
      <w:kern w:val="24"/>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rPr>
  </w:style>
  <w:style w:type="character" w:customStyle="1" w:styleId="Heading7Char">
    <w:name w:val="Heading 7 Char"/>
    <w:basedOn w:val="DefaultParagraphFont"/>
    <w:link w:val="Heading7"/>
    <w:uiPriority w:val="9"/>
    <w:semiHidden/>
    <w:rPr>
      <w:sz w:val="24"/>
      <w:szCs w:val="24"/>
    </w:rPr>
  </w:style>
  <w:style w:type="character" w:customStyle="1" w:styleId="Heading8Char">
    <w:name w:val="Heading 8 Char"/>
    <w:basedOn w:val="DefaultParagraphFont"/>
    <w:link w:val="Heading8"/>
    <w:uiPriority w:val="9"/>
    <w:semiHidden/>
    <w:rPr>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rPr>
  </w:style>
  <w:style w:type="paragraph" w:styleId="NormalWeb">
    <w:name w:val="Normal (Web)"/>
    <w:basedOn w:val="Normal"/>
    <w:uiPriority w:val="99"/>
    <w:semiHidden/>
    <w:unhideWhenUsed/>
    <w:rsid w:val="004A085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8279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662</Words>
  <Characters>3779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4433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Russell, Kate</dc:creator>
  <cp:lastModifiedBy>Jenna</cp:lastModifiedBy>
  <cp:revision>2</cp:revision>
  <dcterms:created xsi:type="dcterms:W3CDTF">2017-10-26T15:39:00Z</dcterms:created>
  <dcterms:modified xsi:type="dcterms:W3CDTF">2017-10-26T15:39:00Z</dcterms:modified>
</cp:coreProperties>
</file>