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812AA" w:rsidRPr="00254E59" w:rsidRDefault="00DE5395">
      <w:r>
        <w:rPr>
          <w:noProof/>
        </w:rPr>
        <mc:AlternateContent>
          <mc:Choice Requires="wps">
            <w:drawing>
              <wp:anchor distT="0" distB="0" distL="114300" distR="114300" simplePos="0" relativeHeight="251656192" behindDoc="0" locked="0" layoutInCell="1" allowOverlap="1" wp14:anchorId="32C9BDC9" wp14:editId="0082A037">
                <wp:simplePos x="0" y="0"/>
                <wp:positionH relativeFrom="column">
                  <wp:posOffset>1209675</wp:posOffset>
                </wp:positionH>
                <wp:positionV relativeFrom="paragraph">
                  <wp:posOffset>-165100</wp:posOffset>
                </wp:positionV>
                <wp:extent cx="5600700" cy="120967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0700" cy="1209675"/>
                        </a:xfrm>
                        <a:prstGeom prst="rect">
                          <a:avLst/>
                        </a:prstGeom>
                        <a:noFill/>
                        <a:ln>
                          <a:noFill/>
                        </a:ln>
                        <a:effectLst/>
                      </wps:spPr>
                      <wps:txbx>
                        <w:txbxContent>
                          <w:p w:rsidR="00207F65" w:rsidRDefault="00207F65" w:rsidP="0006559B">
                            <w:pPr>
                              <w:jc w:val="center"/>
                              <w:rPr>
                                <w:rFonts w:asciiTheme="minorHAnsi" w:hAnsiTheme="minorHAnsi"/>
                                <w:b/>
                                <w:bCs/>
                                <w:color w:val="1F497D" w:themeColor="text2"/>
                                <w:sz w:val="48"/>
                                <w:szCs w:val="48"/>
                              </w:rPr>
                            </w:pPr>
                            <w:r w:rsidRPr="00467FA1">
                              <w:rPr>
                                <w:rFonts w:asciiTheme="minorHAnsi" w:hAnsiTheme="minorHAnsi"/>
                                <w:b/>
                                <w:bCs/>
                                <w:color w:val="1F497D" w:themeColor="text2"/>
                                <w:sz w:val="48"/>
                                <w:szCs w:val="48"/>
                              </w:rPr>
                              <w:t xml:space="preserve">Data Brief:  </w:t>
                            </w:r>
                            <w:r>
                              <w:rPr>
                                <w:rFonts w:asciiTheme="minorHAnsi" w:hAnsiTheme="minorHAnsi"/>
                                <w:b/>
                                <w:bCs/>
                                <w:color w:val="1F497D" w:themeColor="text2"/>
                                <w:sz w:val="48"/>
                                <w:szCs w:val="48"/>
                              </w:rPr>
                              <w:t xml:space="preserve">An Assessment of Opioid-Related Deaths in Massachusetts </w:t>
                            </w:r>
                          </w:p>
                          <w:p w:rsidR="00207F65" w:rsidRPr="00230121" w:rsidRDefault="00207F65" w:rsidP="0006559B">
                            <w:pPr>
                              <w:jc w:val="center"/>
                              <w:rPr>
                                <w:rFonts w:asciiTheme="minorHAnsi" w:hAnsiTheme="minorHAnsi"/>
                                <w:b/>
                                <w:bCs/>
                                <w:color w:val="1F497D" w:themeColor="text2"/>
                                <w:sz w:val="48"/>
                                <w:szCs w:val="48"/>
                              </w:rPr>
                            </w:pPr>
                            <w:r>
                              <w:rPr>
                                <w:rFonts w:asciiTheme="minorHAnsi" w:hAnsiTheme="minorHAnsi"/>
                                <w:b/>
                                <w:bCs/>
                                <w:color w:val="1F497D" w:themeColor="text2"/>
                                <w:sz w:val="48"/>
                                <w:szCs w:val="48"/>
                              </w:rPr>
                              <w:t xml:space="preserve">2013-2014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5.25pt;margin-top:-13pt;width:441pt;height:9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5hMwIAAHAEAAAOAAAAZHJzL2Uyb0RvYy54bWysVEtv2zAMvg/YfxB0X2wHeaxGnCJrkWFA&#10;0BZIip4VWYqNWaImKbGzXz9KzmvdTsMuMkV+4usjPbvvVEMOwroadEGzQUqJ0BzKWu8K+rpZfvpM&#10;ifNMl6wBLQp6FI7ezz9+mLUmF0OooCmFJehEu7w1Ba28N3mSOF4JxdwAjNBolGAV83i1u6S0rEXv&#10;qkmGaTpJWrClscCFc6h97I10Hv1LKbh/ltIJT5qCYm4+njae23Am8xnLd5aZquanNNg/ZKFYrTHo&#10;xdUj84zsbf2HK1VzCw6kH3BQCUhZcxFrwGqy9F0164oZEWvB5jhzaZP7f2750+HFkros6IQSzRRS&#10;tBGdJ1+gI1noTmtcjqC1QZjvUI0sx0qdWQH/7hCS3GD6Bw7RoRudtCp8sU6CD5GA46XpIQpH5XiS&#10;ptMUTRxt2TC9m0zHIXByfW6s818FKBKEglpkNabADivne+gZEqJpWNZNg3qWN/o3BfrsNSKOxul1&#10;SL/POEi+23b4NohbKI9YtoV+bJzhyxozWDHnX5jFOcGscfb9Mx6ygbagcJIoqcD+/Js+4JE+tFLS&#10;4twV1P3YMysoab5pJPYuG43CoMbLaDwd4sXeWra3Fr1XD4CjneGWGR7FgPfNWZQW1BuuyCJERRPT&#10;HGMX1J/FB99vA64YF4tFBOFoGuZXem34me3Q3033xqw5keCRvyc4TyjL33HRY/vmL/YeZB2Junb1&#10;NDY41pHq0wqGvbm9R9T1RzH/BQAA//8DAFBLAwQUAAYACAAAACEAMEBh998AAAAMAQAADwAAAGRy&#10;cy9kb3ducmV2LnhtbEyPzU7DMBCE70i8g7VI3FqbiAYIcSqEVIEQF0IfwI1NHCVeW7HzA0/P9gS3&#10;nd3R7DflfnUDm80YO48SbrYCmMHG6w5bCcfPw+YeWEwKtRo8GgnfJsK+urwoVaH9gh9mrlPLKARj&#10;oSTYlELBeWyscSpufTBIty8/OpVIji3Xo1oo3A08EyLnTnVIH6wK5tmapq8nJ+Ewvby6+YdP4a1u&#10;FrShn47vvZTXV+vTI7Bk1vRnhjM+oUNFTCc/oY5sIP0gdmSVsMlyKnV2iLuMViea8tsd8Krk/0tU&#10;vwAAAP//AwBQSwECLQAUAAYACAAAACEAtoM4kv4AAADhAQAAEwAAAAAAAAAAAAAAAAAAAAAAW0Nv&#10;bnRlbnRfVHlwZXNdLnhtbFBLAQItABQABgAIAAAAIQA4/SH/1gAAAJQBAAALAAAAAAAAAAAAAAAA&#10;AC8BAABfcmVscy8ucmVsc1BLAQItABQABgAIAAAAIQAxHB5hMwIAAHAEAAAOAAAAAAAAAAAAAAAA&#10;AC4CAABkcnMvZTJvRG9jLnhtbFBLAQItABQABgAIAAAAIQAwQGH33wAAAAwBAAAPAAAAAAAAAAAA&#10;AAAAAI0EAABkcnMvZG93bnJldi54bWxQSwUGAAAAAAQABADzAAAAmQUAAAAA&#10;" filled="f" stroked="f">
                <v:path arrowok="t"/>
                <v:textbox>
                  <w:txbxContent>
                    <w:p w:rsidR="00207F65" w:rsidRDefault="00207F65" w:rsidP="0006559B">
                      <w:pPr>
                        <w:jc w:val="center"/>
                        <w:rPr>
                          <w:rFonts w:asciiTheme="minorHAnsi" w:hAnsiTheme="minorHAnsi"/>
                          <w:b/>
                          <w:bCs/>
                          <w:color w:val="1F497D" w:themeColor="text2"/>
                          <w:sz w:val="48"/>
                          <w:szCs w:val="48"/>
                        </w:rPr>
                      </w:pPr>
                      <w:r w:rsidRPr="00467FA1">
                        <w:rPr>
                          <w:rFonts w:asciiTheme="minorHAnsi" w:hAnsiTheme="minorHAnsi"/>
                          <w:b/>
                          <w:bCs/>
                          <w:color w:val="1F497D" w:themeColor="text2"/>
                          <w:sz w:val="48"/>
                          <w:szCs w:val="48"/>
                        </w:rPr>
                        <w:t xml:space="preserve">Data Brief:  </w:t>
                      </w:r>
                      <w:r>
                        <w:rPr>
                          <w:rFonts w:asciiTheme="minorHAnsi" w:hAnsiTheme="minorHAnsi"/>
                          <w:b/>
                          <w:bCs/>
                          <w:color w:val="1F497D" w:themeColor="text2"/>
                          <w:sz w:val="48"/>
                          <w:szCs w:val="48"/>
                        </w:rPr>
                        <w:t xml:space="preserve">An Assessment of Opioid-Related Deaths in Massachusetts </w:t>
                      </w:r>
                    </w:p>
                    <w:p w:rsidR="00207F65" w:rsidRPr="00230121" w:rsidRDefault="00207F65" w:rsidP="0006559B">
                      <w:pPr>
                        <w:jc w:val="center"/>
                        <w:rPr>
                          <w:rFonts w:asciiTheme="minorHAnsi" w:hAnsiTheme="minorHAnsi"/>
                          <w:b/>
                          <w:bCs/>
                          <w:color w:val="1F497D" w:themeColor="text2"/>
                          <w:sz w:val="48"/>
                          <w:szCs w:val="48"/>
                        </w:rPr>
                      </w:pPr>
                      <w:r>
                        <w:rPr>
                          <w:rFonts w:asciiTheme="minorHAnsi" w:hAnsiTheme="minorHAnsi"/>
                          <w:b/>
                          <w:bCs/>
                          <w:color w:val="1F497D" w:themeColor="text2"/>
                          <w:sz w:val="48"/>
                          <w:szCs w:val="48"/>
                        </w:rPr>
                        <w:t xml:space="preserve">2013-2014 </w:t>
                      </w:r>
                    </w:p>
                  </w:txbxContent>
                </v:textbox>
              </v:shape>
            </w:pict>
          </mc:Fallback>
        </mc:AlternateContent>
      </w:r>
      <w:r w:rsidR="008C008A">
        <w:rPr>
          <w:noProof/>
        </w:rPr>
        <mc:AlternateContent>
          <mc:Choice Requires="wps">
            <w:drawing>
              <wp:anchor distT="0" distB="274320" distL="114300" distR="114300" simplePos="0" relativeHeight="251655168" behindDoc="1" locked="0" layoutInCell="1" allowOverlap="1" wp14:anchorId="3B5D688E" wp14:editId="0980F1D2">
                <wp:simplePos x="0" y="0"/>
                <wp:positionH relativeFrom="column">
                  <wp:posOffset>37465</wp:posOffset>
                </wp:positionH>
                <wp:positionV relativeFrom="paragraph">
                  <wp:posOffset>-228600</wp:posOffset>
                </wp:positionV>
                <wp:extent cx="6772275" cy="1247775"/>
                <wp:effectExtent l="0" t="0" r="2857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95pt;margin-top:-18pt;width:533.25pt;height:98.25pt;z-index:-251661312;visibility:visible;mso-wrap-style:square;mso-width-percent:0;mso-height-percent:0;mso-wrap-distance-left:9pt;mso-wrap-distance-top:0;mso-wrap-distance-right:9pt;mso-wrap-distance-bottom:21.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L6NHwIAAEAEAAAOAAAAZHJzL2Uyb0RvYy54bWysU9uO0zAQfUfiHyy/01zU3SxR09WqSxHS&#10;wq5Y+ADXcRILx2PGbtPy9UyctnSBJ4QfLI9nfHzmzMzidt8btlPoNdiKZ7OUM2Ul1Nq2Ff/6Zf3m&#10;hjMfhK2FAasqflCe3y5fv1oMrlQ5dGBqhYxArC8HV/EuBFcmiZed6oWfgVOWnA1gLwKZ2CY1ioHQ&#10;e5PkaXqdDIC1Q5DKe7q9n5x8GfGbRsnw2DReBWYqTtxC3DHum3FPlgtRtihcp+WRhvgHFr3Qlj49&#10;Q92LINgW9R9QvZYIHpowk9An0DRaqpgDZZOlv2Xz3AmnYi4kjndnmfz/g5Wfdk/IdE21yzizoqca&#10;fSbVhG2NYnRHAg3OlxT37J5wTNG7B5DfPLOw6ihM3SHC0ClRE60Yn7x4MBqenrLN8BFqghfbAFGr&#10;fYP9CEgqsH0syeFcErUPTNLldVHkeXHFmSRfls+LggzilIjy9NyhD+8V9Gw8VByJfYQXuwcfptBT&#10;SKQPRtdrbUw0sN2sDLKdoP5Yx3VE95dhxrJh/L5I0wj9wukvMdK4/obR60CdbnRf8ZtzkChH4d7Z&#10;OvZhENpMZ0rPWMryJN5UhA3UBxISYWpjGjs6dIA/OBuohSvuv28FKs7MB0vFeJvN52PPR2N+VeRk&#10;4KVnc+kRVhJUxQNn03EVpjnZOtRtRz9lMXcLd1TARkdpR34TqyNZatNYnONIjXNwaceoX4O//AkA&#10;AP//AwBQSwMEFAAGAAgAAAAhANnYVCPiAAAACgEAAA8AAABkcnMvZG93bnJldi54bWxMj0FLAzEQ&#10;he+C/yGM4EXaxGrTdt1sUUE8KEKrWLylmzG7dJMsSdqu/97pSW/zeI833yuXg+vYAWNqg1dwPRbA&#10;0NfBtN4q+Hh/Gs2Bpay90V3wqOAHEyyr87NSFyYc/QoP62wZlfhUaAVNzn3BeaobdDqNQ4+evO8Q&#10;nc4ko+Um6iOVu45PhJDc6dbTh0b3+NhgvVvvnYKH3efqbWbnL7GXi9fnq6+NHOxGqcuL4f4OWMYh&#10;/4XhhE/oUBHTNuy9SaxTMF1QUMHoRtKkky9mk1tgW7qkmAKvSv5/QvULAAD//wMAUEsBAi0AFAAG&#10;AAgAAAAhALaDOJL+AAAA4QEAABMAAAAAAAAAAAAAAAAAAAAAAFtDb250ZW50X1R5cGVzXS54bWxQ&#10;SwECLQAUAAYACAAAACEAOP0h/9YAAACUAQAACwAAAAAAAAAAAAAAAAAvAQAAX3JlbHMvLnJlbHNQ&#10;SwECLQAUAAYACAAAACEAOFy+jR8CAABABAAADgAAAAAAAAAAAAAAAAAuAgAAZHJzL2Uyb0RvYy54&#10;bWxQSwECLQAUAAYACAAAACEA2dhUI+IAAAAKAQAADwAAAAAAAAAAAAAAAAB5BAAAZHJzL2Rvd25y&#10;ZXYueG1sUEsFBgAAAAAEAAQA8wAAAIgFAAAAAA==&#10;" strokeweight="1pt"/>
            </w:pict>
          </mc:Fallback>
        </mc:AlternateContent>
      </w:r>
      <w:r w:rsidR="007812AA">
        <w:t xml:space="preserve">      </w:t>
      </w:r>
      <w:r w:rsidR="00586430">
        <w:rPr>
          <w:noProof/>
        </w:rPr>
        <w:drawing>
          <wp:inline distT="0" distB="0" distL="0" distR="0" wp14:anchorId="600A6FFC" wp14:editId="0B77110F">
            <wp:extent cx="1000125" cy="1019175"/>
            <wp:effectExtent l="0" t="0" r="9525"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1019175"/>
                    </a:xfrm>
                    <a:prstGeom prst="rect">
                      <a:avLst/>
                    </a:prstGeom>
                    <a:noFill/>
                    <a:ln>
                      <a:noFill/>
                    </a:ln>
                  </pic:spPr>
                </pic:pic>
              </a:graphicData>
            </a:graphic>
          </wp:inline>
        </w:drawing>
      </w:r>
    </w:p>
    <w:p w:rsidR="007812AA" w:rsidRPr="006C54EF" w:rsidRDefault="008C008A" w:rsidP="003764D8">
      <w:pPr>
        <w:rPr>
          <w:rStyle w:val="TitleChar"/>
          <w:rFonts w:ascii="Arial" w:eastAsia="Times New Roman" w:hAnsi="Arial" w:cs="Arial"/>
          <w:b/>
          <w:color w:val="auto"/>
          <w:spacing w:val="0"/>
          <w:kern w:val="0"/>
          <w:sz w:val="22"/>
          <w:szCs w:val="22"/>
        </w:rPr>
      </w:pPr>
      <w:r>
        <w:rPr>
          <w:noProof/>
        </w:rPr>
        <mc:AlternateContent>
          <mc:Choice Requires="wps">
            <w:drawing>
              <wp:anchor distT="0" distB="0" distL="114300" distR="114300" simplePos="0" relativeHeight="251654144" behindDoc="1" locked="0" layoutInCell="1" allowOverlap="1" wp14:anchorId="75EF828E" wp14:editId="00707009">
                <wp:simplePos x="0" y="0"/>
                <wp:positionH relativeFrom="column">
                  <wp:posOffset>38100</wp:posOffset>
                </wp:positionH>
                <wp:positionV relativeFrom="paragraph">
                  <wp:posOffset>0</wp:posOffset>
                </wp:positionV>
                <wp:extent cx="6772275" cy="266700"/>
                <wp:effectExtent l="0" t="0" r="28575" b="1905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266700"/>
                        </a:xfrm>
                        <a:prstGeom prst="rect">
                          <a:avLst/>
                        </a:prstGeom>
                        <a:solidFill>
                          <a:srgbClr val="FFFFFF"/>
                        </a:solidFill>
                        <a:ln w="12700">
                          <a:solidFill>
                            <a:srgbClr val="000000"/>
                          </a:solidFill>
                          <a:miter lim="800000"/>
                          <a:headEnd/>
                          <a:tailEnd/>
                        </a:ln>
                      </wps:spPr>
                      <wps:txbx>
                        <w:txbxContent>
                          <w:p w:rsidR="00207F65" w:rsidRPr="00573EED" w:rsidRDefault="00207F65"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Pr="005F787F">
                              <w:rPr>
                                <w:rFonts w:ascii="Calibri" w:hAnsi="Calibri"/>
                                <w:caps/>
                                <w:sz w:val="18"/>
                                <w:szCs w:val="16"/>
                              </w:rPr>
                              <w:t>Posted:  September 2016</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pt;margin-top:0;width:533.2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CNrJQIAAFAEAAAOAAAAZHJzL2Uyb0RvYy54bWysVFFv0zAQfkfiP1h+p0mj0o6o6TQ6ipDG&#10;QNr4AY7jJBa2z9huk/HrOTttVw3EAyIPln0+f/fdd3dZX49akYNwXoKp6HyWUyIMh0aarqLfHndv&#10;rijxgZmGKTCiok/C0+vN61frwZaigB5UIxxBEOPLwVa0D8GWWeZ5LzTzM7DC4GULTrOAR9dljWMD&#10;omuVFXm+zAZwjXXAhfdovZ0u6Sbht63g4UvbehGIqihyC2l1aa3jmm3WrOwcs73kRxrsH1hoJg0G&#10;PUPdssDI3snfoLTkDjy0YcZBZ9C2kouUA2Yzz19k89AzK1IuKI63Z5n8/4Pl94evjsimom8pMUxj&#10;iR7FGMh7GMkiqjNYX6LTg0W3MKIZq5wy9fYO+HdPDGx7Zjpx4xwMvWANspvHl9nF0wnHR5B6+AwN&#10;hmH7AAlobJ2O0qEYBNGxSk/nykQqHI3L1aooVkiR412xXK7yVLqMlafX1vnwUYAmcVNRh5VP6Oxw&#10;50Nkw8qTSwzmQclmJ5VKB9fVW+XIgWGX7NKXEnjhpgwZMLciBv87Rp6+P2FoGbDfldQVvTo7sTLq&#10;9sE0qRsDk2raI2dljkJG7SYVw1iPqWJJ5ShyDc0TKutgam8cR9z04H5SMmBrV9T/2DMnKFGfDFbn&#10;3XyxiLOQDrhxl9b6ZGWGI0RFAyXTdhumudlbJ7seI0x9YOAGK9nKJPIzmyNtbNuk/XHE4lxcnpPX&#10;849g8wsAAP//AwBQSwMEFAAGAAgAAAAhAMLYZhLZAAAABgEAAA8AAABkcnMvZG93bnJldi54bWxM&#10;j8FOwzAQRO9I/IO1SNyoTQRtFbKpClI501LuW3tJAvE6it02/D3uCS4rjWY087ZaTb5XJx5jFwTh&#10;fmZAsdjgOmkQ9u+buyWomEgc9UEY4YcjrOrrq4pKF86y5dMuNSqXSCwJoU1pKLWOtmVPcRYGlux9&#10;htFTynJstBvpnMt9rwtj5tpTJ3mhpYFfWrbfu6NH+LDbZ+7IOVnEt/Wr1f3XfrlBvL2Z1k+gEk/p&#10;LwwX/IwOdWY6hKO4qHqEef4kIeR7Mc2ieAR1QHgoDOi60v/x618AAAD//wMAUEsBAi0AFAAGAAgA&#10;AAAhALaDOJL+AAAA4QEAABMAAAAAAAAAAAAAAAAAAAAAAFtDb250ZW50X1R5cGVzXS54bWxQSwEC&#10;LQAUAAYACAAAACEAOP0h/9YAAACUAQAACwAAAAAAAAAAAAAAAAAvAQAAX3JlbHMvLnJlbHNQSwEC&#10;LQAUAAYACAAAACEAOsgjayUCAABQBAAADgAAAAAAAAAAAAAAAAAuAgAAZHJzL2Uyb0RvYy54bWxQ&#10;SwECLQAUAAYACAAAACEAwthmEtkAAAAGAQAADwAAAAAAAAAAAAAAAAB/BAAAZHJzL2Rvd25yZXYu&#10;eG1sUEsFBgAAAAAEAAQA8wAAAIUFAAAAAA==&#10;" strokeweight="1pt">
                <v:textbox inset=",0,,0">
                  <w:txbxContent>
                    <w:p w:rsidR="00207F65" w:rsidRPr="00573EED" w:rsidRDefault="00207F65"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sidRPr="005F787F">
                        <w:rPr>
                          <w:rFonts w:ascii="Calibri" w:hAnsi="Calibri"/>
                          <w:caps/>
                          <w:sz w:val="18"/>
                          <w:szCs w:val="16"/>
                        </w:rPr>
                        <w:t>Posted:  September 2016</w:t>
                      </w:r>
                    </w:p>
                  </w:txbxContent>
                </v:textbox>
              </v:shape>
            </w:pict>
          </mc:Fallback>
        </mc:AlternateContent>
      </w:r>
    </w:p>
    <w:p w:rsidR="007812AA" w:rsidRPr="00920EC9" w:rsidRDefault="007812AA">
      <w:pPr>
        <w:rPr>
          <w:rStyle w:val="TitleChar"/>
          <w:color w:val="E36C0A"/>
          <w:sz w:val="20"/>
          <w:szCs w:val="20"/>
        </w:rPr>
      </w:pPr>
    </w:p>
    <w:p w:rsidR="007812AA" w:rsidRPr="00BF5A46" w:rsidRDefault="007812AA" w:rsidP="003764D8">
      <w:pPr>
        <w:rPr>
          <w:rFonts w:ascii="Calibri" w:hAnsi="Calibri" w:cs="Times New Roman"/>
          <w:sz w:val="8"/>
          <w:szCs w:val="8"/>
        </w:rPr>
      </w:pPr>
    </w:p>
    <w:p w:rsidR="003A4F27" w:rsidRDefault="003A4F27" w:rsidP="003764D8">
      <w:pPr>
        <w:pStyle w:val="Headingp2"/>
        <w:jc w:val="left"/>
      </w:pPr>
    </w:p>
    <w:p w:rsidR="00C51C29" w:rsidRPr="003764D8" w:rsidRDefault="00C51C29">
      <w:pPr>
        <w:rPr>
          <w:rFonts w:asciiTheme="minorHAnsi" w:hAnsiTheme="minorHAnsi" w:cs="Times New Roman"/>
          <w:sz w:val="22"/>
          <w:szCs w:val="22"/>
        </w:rPr>
      </w:pPr>
      <w:r w:rsidRPr="003764D8">
        <w:rPr>
          <w:rFonts w:asciiTheme="minorHAnsi" w:hAnsiTheme="minorHAnsi" w:cs="Times New Roman"/>
          <w:b/>
          <w:bCs/>
          <w:color w:val="000000"/>
          <w:sz w:val="22"/>
          <w:szCs w:val="22"/>
        </w:rPr>
        <w:t>INTRODUCTION</w:t>
      </w:r>
    </w:p>
    <w:p w:rsidR="00C51C29" w:rsidRPr="003764D8" w:rsidRDefault="00C51C29">
      <w:pPr>
        <w:rPr>
          <w:rFonts w:asciiTheme="minorHAnsi" w:hAnsiTheme="minorHAnsi" w:cs="Times New Roman"/>
          <w:sz w:val="22"/>
          <w:szCs w:val="22"/>
        </w:rPr>
      </w:pPr>
      <w:r w:rsidRPr="003764D8">
        <w:rPr>
          <w:rFonts w:asciiTheme="minorHAnsi" w:hAnsiTheme="minorHAnsi"/>
          <w:noProof/>
          <w:sz w:val="22"/>
          <w:szCs w:val="22"/>
        </w:rPr>
        <w:drawing>
          <wp:anchor distT="0" distB="0" distL="114300" distR="114300" simplePos="0" relativeHeight="251659264" behindDoc="0" locked="0" layoutInCell="1" allowOverlap="1" wp14:anchorId="69D70A62" wp14:editId="79B63002">
            <wp:simplePos x="0" y="0"/>
            <wp:positionH relativeFrom="column">
              <wp:posOffset>2421890</wp:posOffset>
            </wp:positionH>
            <wp:positionV relativeFrom="paragraph">
              <wp:posOffset>71120</wp:posOffset>
            </wp:positionV>
            <wp:extent cx="4488180" cy="5438775"/>
            <wp:effectExtent l="0" t="0" r="762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37532" t="27750" r="35476" b="14102"/>
                    <a:stretch/>
                  </pic:blipFill>
                  <pic:spPr bwMode="auto">
                    <a:xfrm>
                      <a:off x="0" y="0"/>
                      <a:ext cx="4488180" cy="5438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764D8">
        <w:rPr>
          <w:rFonts w:asciiTheme="minorHAnsi" w:hAnsiTheme="minorHAnsi" w:cs="Times New Roman"/>
          <w:sz w:val="22"/>
          <w:szCs w:val="22"/>
        </w:rPr>
        <w:br/>
      </w:r>
      <w:r w:rsidRPr="003764D8">
        <w:rPr>
          <w:rFonts w:asciiTheme="minorHAnsi" w:hAnsiTheme="minorHAnsi" w:cs="Times New Roman"/>
          <w:color w:val="000000"/>
          <w:sz w:val="22"/>
          <w:szCs w:val="22"/>
        </w:rPr>
        <w:t xml:space="preserve">Since 2000, opioid-related deaths have increased in Massachusetts by </w:t>
      </w:r>
      <w:r w:rsidRPr="004259C1">
        <w:rPr>
          <w:rFonts w:asciiTheme="minorHAnsi" w:hAnsiTheme="minorHAnsi" w:cs="Times New Roman"/>
          <w:color w:val="000000" w:themeColor="text1"/>
          <w:sz w:val="22"/>
          <w:szCs w:val="22"/>
        </w:rPr>
        <w:t>350%.  </w:t>
      </w:r>
      <w:r w:rsidRPr="003764D8">
        <w:rPr>
          <w:rFonts w:asciiTheme="minorHAnsi" w:hAnsiTheme="minorHAnsi" w:cs="Times New Roman"/>
          <w:color w:val="000000"/>
          <w:sz w:val="22"/>
          <w:szCs w:val="22"/>
        </w:rPr>
        <w:t>The recent rate of increase is several times faster than anything seen before</w:t>
      </w:r>
      <w:r w:rsidR="004259C1">
        <w:rPr>
          <w:rFonts w:asciiTheme="minorHAnsi" w:hAnsiTheme="minorHAnsi" w:cs="Times New Roman"/>
          <w:color w:val="000000"/>
          <w:sz w:val="22"/>
          <w:szCs w:val="22"/>
        </w:rPr>
        <w:t xml:space="preserve"> </w:t>
      </w:r>
      <w:r w:rsidRPr="003764D8">
        <w:rPr>
          <w:rFonts w:asciiTheme="minorHAnsi" w:hAnsiTheme="minorHAnsi" w:cs="Times New Roman"/>
          <w:color w:val="000000"/>
          <w:sz w:val="22"/>
          <w:szCs w:val="22"/>
        </w:rPr>
        <w:t>with every community in Massachusetts impacted by the current opioid epidemic. In 2013-2014 alone, opioid-related deaths were recorded in two-thirds of the cities and towns in Massachusetts.</w:t>
      </w:r>
    </w:p>
    <w:p w:rsidR="00C51C29" w:rsidRPr="003764D8" w:rsidRDefault="00C51C29" w:rsidP="003764D8">
      <w:pPr>
        <w:spacing w:after="240"/>
        <w:rPr>
          <w:rFonts w:asciiTheme="minorHAnsi" w:hAnsiTheme="minorHAnsi" w:cs="Times New Roman"/>
          <w:sz w:val="22"/>
          <w:szCs w:val="22"/>
        </w:rPr>
      </w:pPr>
      <w:r w:rsidRPr="003764D8">
        <w:rPr>
          <w:rFonts w:asciiTheme="minorHAnsi" w:hAnsiTheme="minorHAnsi" w:cs="Times New Roman"/>
          <w:color w:val="000000"/>
          <w:sz w:val="22"/>
          <w:szCs w:val="22"/>
        </w:rPr>
        <w:br/>
        <w:t xml:space="preserve">Understanding the causes and deadly impacts of this issue can be a challenge. In the face of this public-health crisis, the Commonwealth of Massachusetts has taken an unprecedented look at the available data on opioid-related deaths. </w:t>
      </w:r>
    </w:p>
    <w:p w:rsidR="00C51C29" w:rsidRPr="003764D8" w:rsidRDefault="00C51C29" w:rsidP="003764D8">
      <w:pPr>
        <w:spacing w:after="240"/>
        <w:rPr>
          <w:rFonts w:asciiTheme="minorHAnsi" w:hAnsiTheme="minorHAnsi" w:cs="Times New Roman"/>
          <w:b/>
          <w:bCs/>
          <w:color w:val="000000"/>
          <w:sz w:val="22"/>
          <w:szCs w:val="22"/>
        </w:rPr>
      </w:pPr>
    </w:p>
    <w:p w:rsidR="00C51C29" w:rsidRPr="004259C1" w:rsidRDefault="00C51C29" w:rsidP="003764D8">
      <w:pPr>
        <w:spacing w:after="240"/>
        <w:rPr>
          <w:rFonts w:asciiTheme="minorHAnsi" w:hAnsiTheme="minorHAnsi" w:cs="Times New Roman"/>
          <w:sz w:val="22"/>
          <w:szCs w:val="22"/>
        </w:rPr>
      </w:pPr>
      <w:r w:rsidRPr="004259C1">
        <w:rPr>
          <w:rFonts w:asciiTheme="minorHAnsi" w:hAnsiTheme="minorHAnsi" w:cs="Times New Roman"/>
          <w:bCs/>
          <w:color w:val="000000"/>
          <w:sz w:val="22"/>
          <w:szCs w:val="22"/>
        </w:rPr>
        <w:t>CHAPTER 55</w:t>
      </w:r>
    </w:p>
    <w:p w:rsidR="00DE5395" w:rsidRPr="004259C1" w:rsidRDefault="00C51C29" w:rsidP="003764D8">
      <w:pPr>
        <w:pStyle w:val="Headingp2"/>
        <w:jc w:val="left"/>
        <w:rPr>
          <w:b w:val="0"/>
        </w:rPr>
      </w:pPr>
      <w:r w:rsidRPr="004259C1">
        <w:rPr>
          <w:b w:val="0"/>
        </w:rPr>
        <w:t>Chapter 55 of the Acts of 2015 (Chapter 55) was passed by the Massachusetts Legislature and signed into law by Governor Charles D. Baker in August 2015. This new law permits the linkage and analysis of different government data sets to better understand the opioid epidemic; guide policy development; and help make programmatic decisions.  Importantly, in addition to providing insight into the current opioid epidemic, this effort also marks the beginning of how government, academia, and private industry can and should collaborate to answer complex</w:t>
      </w:r>
      <w:r w:rsidR="00207F65" w:rsidRPr="004259C1">
        <w:rPr>
          <w:b w:val="0"/>
        </w:rPr>
        <w:t xml:space="preserve"> health </w:t>
      </w:r>
      <w:r w:rsidRPr="004259C1">
        <w:rPr>
          <w:b w:val="0"/>
        </w:rPr>
        <w:t>questions.  This new model of cooperative data analysis has the potential to become the standard in Massachusetts and across the United States. The Chapter 55 project represents a process that should be continued, adapted, and refined as new public health challenges and new collaborates emerge</w:t>
      </w:r>
      <w:r w:rsidRPr="004259C1">
        <w:rPr>
          <w:rFonts w:ascii="Helvetica" w:hAnsi="Helvetica"/>
          <w:b w:val="0"/>
          <w:sz w:val="24"/>
          <w:szCs w:val="24"/>
        </w:rPr>
        <w:t xml:space="preserve">. </w:t>
      </w:r>
    </w:p>
    <w:p w:rsidR="00C51C29" w:rsidRDefault="00C51C29" w:rsidP="003764D8">
      <w:pPr>
        <w:pStyle w:val="Headingp2"/>
        <w:jc w:val="left"/>
      </w:pPr>
    </w:p>
    <w:p w:rsidR="00533FC0" w:rsidRPr="009D633F" w:rsidRDefault="00533FC0" w:rsidP="003764D8">
      <w:pPr>
        <w:pStyle w:val="Headingp2"/>
        <w:jc w:val="left"/>
      </w:pPr>
      <w:r w:rsidRPr="009D633F">
        <w:lastRenderedPageBreak/>
        <w:t>Key Findings</w:t>
      </w:r>
      <w:r w:rsidR="004433E9">
        <w:t xml:space="preserve">: In-Depth </w:t>
      </w:r>
      <w:r w:rsidR="000B5D87">
        <w:t xml:space="preserve">Linked Analyses </w:t>
      </w:r>
    </w:p>
    <w:p w:rsidR="009D633F" w:rsidRPr="003764D8" w:rsidRDefault="00533FC0" w:rsidP="00BA2011">
      <w:pPr>
        <w:pStyle w:val="PBody"/>
        <w:ind w:firstLine="0"/>
        <w:jc w:val="left"/>
        <w:rPr>
          <w:b/>
        </w:rPr>
      </w:pPr>
      <w:r w:rsidRPr="003764D8">
        <w:rPr>
          <w:b/>
        </w:rPr>
        <w:t>Prescription Drugs Fuel Epidemic, but Illegally-Obtained Substances More Closely Linked to Overdose Deaths</w:t>
      </w:r>
      <w:r w:rsidR="009D633F" w:rsidRPr="003764D8">
        <w:rPr>
          <w:b/>
        </w:rPr>
        <w:t>.</w:t>
      </w:r>
    </w:p>
    <w:p w:rsidR="00533FC0" w:rsidRPr="001D7834" w:rsidRDefault="003764D8" w:rsidP="00207F65">
      <w:pPr>
        <w:pStyle w:val="PBody"/>
        <w:ind w:firstLine="0"/>
        <w:jc w:val="left"/>
        <w:rPr>
          <w:color w:val="000000" w:themeColor="text1"/>
        </w:rPr>
      </w:pPr>
      <w:r>
        <w:t>Review of this data shows that</w:t>
      </w:r>
      <w:r w:rsidR="00533FC0" w:rsidRPr="00C51C29">
        <w:t xml:space="preserve"> illegally-obtained substances are much more frequently present in post-mortem toxicology than prescription drugs (i.e., a </w:t>
      </w:r>
      <w:r w:rsidR="00533FC0" w:rsidRPr="00C51C29">
        <w:rPr>
          <w:rFonts w:cs="Arial"/>
        </w:rPr>
        <w:t>Schedule II-III opioids, or benzodiazepines)</w:t>
      </w:r>
      <w:r w:rsidR="00533FC0" w:rsidRPr="00C51C29">
        <w:t xml:space="preserve">. </w:t>
      </w:r>
      <w:r w:rsidR="00E030ED" w:rsidRPr="00C51C29">
        <w:t xml:space="preserve"> While prescription drug use can result in addiction and may increase the long-term risk of death, illegal drugs appear more likely to be the direct cause of death</w:t>
      </w:r>
      <w:r w:rsidR="00E030ED" w:rsidRPr="004259C1">
        <w:t>.</w:t>
      </w:r>
      <w:r w:rsidR="009E1E92">
        <w:t xml:space="preserve"> Based on observed data, 8.3% of opioid-related overdose decedents had an opioid prescription in the same months as their death, while an estimated 85% had fentanyl and/or heroin. </w:t>
      </w:r>
    </w:p>
    <w:p w:rsidR="0034597F" w:rsidRDefault="0034597F" w:rsidP="003D1C7B">
      <w:pPr>
        <w:pStyle w:val="PBody"/>
        <w:jc w:val="left"/>
      </w:pPr>
    </w:p>
    <w:p w:rsidR="00533FC0" w:rsidRPr="00F240EB" w:rsidRDefault="00533FC0" w:rsidP="00EF03DC">
      <w:pPr>
        <w:widowControl w:val="0"/>
        <w:autoSpaceDE w:val="0"/>
        <w:autoSpaceDN w:val="0"/>
        <w:adjustRightInd w:val="0"/>
        <w:jc w:val="center"/>
        <w:rPr>
          <w:rFonts w:ascii="Calibri" w:hAnsi="Calibri"/>
          <w:sz w:val="22"/>
          <w:szCs w:val="22"/>
        </w:rPr>
      </w:pPr>
      <w:r>
        <w:rPr>
          <w:rFonts w:ascii="Calibri" w:hAnsi="Calibri"/>
          <w:noProof/>
          <w:sz w:val="22"/>
          <w:szCs w:val="22"/>
        </w:rPr>
        <w:drawing>
          <wp:inline distT="0" distB="0" distL="0" distR="0" wp14:anchorId="278C5341" wp14:editId="4D62AD98">
            <wp:extent cx="5495925" cy="3143250"/>
            <wp:effectExtent l="0" t="0" r="9525" b="19050"/>
            <wp:docPr id="9" name="Char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030ED" w:rsidRPr="000C7E45" w:rsidRDefault="00E030ED">
      <w:pPr>
        <w:pStyle w:val="ListParagraph"/>
        <w:widowControl w:val="0"/>
        <w:numPr>
          <w:ilvl w:val="0"/>
          <w:numId w:val="16"/>
        </w:numPr>
        <w:autoSpaceDE w:val="0"/>
        <w:autoSpaceDN w:val="0"/>
        <w:adjustRightInd w:val="0"/>
        <w:ind w:right="1080"/>
        <w:rPr>
          <w:rFonts w:asciiTheme="minorHAnsi" w:hAnsiTheme="minorHAnsi"/>
          <w:sz w:val="18"/>
          <w:szCs w:val="18"/>
        </w:rPr>
      </w:pPr>
      <w:r w:rsidRPr="000C7E45">
        <w:rPr>
          <w:rFonts w:asciiTheme="minorHAnsi" w:hAnsiTheme="minorHAnsi" w:cs="Calibri"/>
          <w:sz w:val="18"/>
          <w:szCs w:val="18"/>
        </w:rPr>
        <w:t>Opioid-related overdose deaths in mutually exclusive categories were categorized based on</w:t>
      </w:r>
      <w:r w:rsidRPr="000C7E45">
        <w:rPr>
          <w:rFonts w:asciiTheme="minorHAnsi" w:hAnsiTheme="minorHAnsi"/>
          <w:sz w:val="18"/>
          <w:szCs w:val="18"/>
        </w:rPr>
        <w:t xml:space="preserve"> decreasing order of deadliness of the specific drugs (</w:t>
      </w:r>
      <w:r w:rsidRPr="000C7E45">
        <w:rPr>
          <w:rFonts w:asciiTheme="minorHAnsi" w:hAnsiTheme="minorHAnsi"/>
          <w:i/>
          <w:sz w:val="18"/>
          <w:szCs w:val="18"/>
        </w:rPr>
        <w:t>Fentanyl and/or Heroin</w:t>
      </w:r>
      <w:r w:rsidRPr="000C7E45">
        <w:rPr>
          <w:rFonts w:asciiTheme="minorHAnsi" w:hAnsiTheme="minorHAnsi"/>
          <w:sz w:val="18"/>
          <w:szCs w:val="18"/>
        </w:rPr>
        <w:t xml:space="preserve"> </w:t>
      </w:r>
      <w:r w:rsidRPr="000C7E45">
        <w:rPr>
          <w:rFonts w:asciiTheme="minorHAnsi" w:hAnsiTheme="minorHAnsi"/>
          <w:sz w:val="18"/>
          <w:szCs w:val="18"/>
        </w:rPr>
        <w:sym w:font="Wingdings" w:char="F0E0"/>
      </w:r>
      <w:r w:rsidRPr="000C7E45">
        <w:rPr>
          <w:rFonts w:asciiTheme="minorHAnsi" w:hAnsiTheme="minorHAnsi"/>
          <w:sz w:val="18"/>
          <w:szCs w:val="18"/>
        </w:rPr>
        <w:t xml:space="preserve"> </w:t>
      </w:r>
      <w:r w:rsidRPr="000C7E45">
        <w:rPr>
          <w:rFonts w:asciiTheme="minorHAnsi" w:hAnsiTheme="minorHAnsi"/>
          <w:i/>
          <w:sz w:val="18"/>
          <w:szCs w:val="18"/>
        </w:rPr>
        <w:t>Methadone</w:t>
      </w:r>
      <w:r w:rsidRPr="000C7E45">
        <w:rPr>
          <w:rFonts w:asciiTheme="minorHAnsi" w:hAnsiTheme="minorHAnsi"/>
          <w:sz w:val="18"/>
          <w:szCs w:val="18"/>
        </w:rPr>
        <w:t xml:space="preserve"> </w:t>
      </w:r>
      <w:r w:rsidRPr="000C7E45">
        <w:rPr>
          <w:rFonts w:asciiTheme="minorHAnsi" w:hAnsiTheme="minorHAnsi"/>
          <w:sz w:val="18"/>
          <w:szCs w:val="18"/>
        </w:rPr>
        <w:sym w:font="Wingdings" w:char="F0E0"/>
      </w:r>
      <w:r w:rsidRPr="000C7E45">
        <w:rPr>
          <w:rFonts w:asciiTheme="minorHAnsi" w:hAnsiTheme="minorHAnsi"/>
          <w:sz w:val="18"/>
          <w:szCs w:val="18"/>
        </w:rPr>
        <w:t xml:space="preserve"> </w:t>
      </w:r>
      <w:r w:rsidRPr="000C7E45">
        <w:rPr>
          <w:rFonts w:asciiTheme="minorHAnsi" w:hAnsiTheme="minorHAnsi"/>
          <w:i/>
          <w:sz w:val="18"/>
          <w:szCs w:val="18"/>
        </w:rPr>
        <w:t>other Rx</w:t>
      </w:r>
      <w:r w:rsidRPr="000C7E45">
        <w:rPr>
          <w:rFonts w:asciiTheme="minorHAnsi" w:hAnsiTheme="minorHAnsi"/>
          <w:sz w:val="18"/>
          <w:szCs w:val="18"/>
        </w:rPr>
        <w:t xml:space="preserve"> </w:t>
      </w:r>
      <w:r w:rsidRPr="000C7E45">
        <w:rPr>
          <w:rFonts w:asciiTheme="minorHAnsi" w:hAnsiTheme="minorHAnsi"/>
          <w:b/>
          <w:sz w:val="18"/>
          <w:szCs w:val="18"/>
        </w:rPr>
        <w:t xml:space="preserve"> </w:t>
      </w:r>
      <w:r w:rsidRPr="000C7E45">
        <w:rPr>
          <w:rFonts w:asciiTheme="minorHAnsi" w:hAnsiTheme="minorHAnsi"/>
          <w:sz w:val="18"/>
          <w:szCs w:val="18"/>
        </w:rPr>
        <w:sym w:font="Wingdings" w:char="F0E0"/>
      </w:r>
      <w:r w:rsidRPr="000C7E45">
        <w:rPr>
          <w:rFonts w:asciiTheme="minorHAnsi" w:hAnsiTheme="minorHAnsi"/>
          <w:sz w:val="18"/>
          <w:szCs w:val="18"/>
        </w:rPr>
        <w:t xml:space="preserve"> </w:t>
      </w:r>
      <w:r w:rsidRPr="000C7E45">
        <w:rPr>
          <w:rFonts w:asciiTheme="minorHAnsi" w:hAnsiTheme="minorHAnsi"/>
          <w:i/>
          <w:sz w:val="18"/>
          <w:szCs w:val="18"/>
        </w:rPr>
        <w:t>buprenorphine</w:t>
      </w:r>
      <w:r w:rsidRPr="000C7E45">
        <w:rPr>
          <w:rFonts w:asciiTheme="minorHAnsi" w:hAnsiTheme="minorHAnsi"/>
          <w:sz w:val="18"/>
          <w:szCs w:val="18"/>
        </w:rPr>
        <w:t xml:space="preserve">) present in the results.  A person was put into a category based on the deadliest drug present in the results, regardless of the presence of other drugs.  For example, if someone had Fentanyl and Methadone present, they would be in the “Fentanyl” group.  </w:t>
      </w:r>
    </w:p>
    <w:p w:rsidR="00E030ED" w:rsidRPr="000C7E45" w:rsidRDefault="00533FC0">
      <w:pPr>
        <w:pStyle w:val="ListParagraph"/>
        <w:widowControl w:val="0"/>
        <w:numPr>
          <w:ilvl w:val="0"/>
          <w:numId w:val="16"/>
        </w:numPr>
        <w:autoSpaceDE w:val="0"/>
        <w:autoSpaceDN w:val="0"/>
        <w:adjustRightInd w:val="0"/>
        <w:ind w:right="1080"/>
        <w:rPr>
          <w:rFonts w:asciiTheme="minorHAnsi" w:hAnsiTheme="minorHAnsi"/>
          <w:sz w:val="18"/>
          <w:szCs w:val="18"/>
        </w:rPr>
      </w:pPr>
      <w:r w:rsidRPr="000C7E45">
        <w:rPr>
          <w:rFonts w:asciiTheme="minorHAnsi" w:hAnsiTheme="minorHAnsi"/>
          <w:sz w:val="18"/>
          <w:szCs w:val="18"/>
        </w:rPr>
        <w:t xml:space="preserve">Fentanyl and/or Heroin includes: Fentanyl, Heroin, and Morphine (likely Heroin). </w:t>
      </w:r>
    </w:p>
    <w:p w:rsidR="00E54453" w:rsidRDefault="00533FC0">
      <w:pPr>
        <w:pStyle w:val="ListParagraph"/>
        <w:widowControl w:val="0"/>
        <w:numPr>
          <w:ilvl w:val="0"/>
          <w:numId w:val="16"/>
        </w:numPr>
        <w:autoSpaceDE w:val="0"/>
        <w:autoSpaceDN w:val="0"/>
        <w:adjustRightInd w:val="0"/>
        <w:ind w:right="1080"/>
        <w:rPr>
          <w:rFonts w:asciiTheme="minorHAnsi" w:hAnsiTheme="minorHAnsi"/>
          <w:sz w:val="18"/>
          <w:szCs w:val="18"/>
        </w:rPr>
      </w:pPr>
      <w:r w:rsidRPr="000C7E45">
        <w:rPr>
          <w:rFonts w:asciiTheme="minorHAnsi" w:hAnsiTheme="minorHAnsi"/>
          <w:sz w:val="18"/>
          <w:szCs w:val="18"/>
        </w:rPr>
        <w:t>Prescription opioids include Hydrocodone, Hydromorphone, Oxycodone, Oxymorphone, Codeine, and Tramadol.</w:t>
      </w:r>
    </w:p>
    <w:p w:rsidR="0034597F" w:rsidRPr="00EF03DC" w:rsidRDefault="0034597F" w:rsidP="00EF03DC">
      <w:pPr>
        <w:widowControl w:val="0"/>
        <w:autoSpaceDE w:val="0"/>
        <w:autoSpaceDN w:val="0"/>
        <w:adjustRightInd w:val="0"/>
        <w:ind w:right="1080"/>
        <w:rPr>
          <w:rFonts w:asciiTheme="minorHAnsi" w:hAnsiTheme="minorHAnsi"/>
          <w:sz w:val="18"/>
          <w:szCs w:val="18"/>
        </w:rPr>
      </w:pPr>
    </w:p>
    <w:p w:rsidR="00EF03DC" w:rsidRDefault="00EF03DC" w:rsidP="00207F65">
      <w:pPr>
        <w:pStyle w:val="PBody"/>
        <w:ind w:firstLine="0"/>
        <w:jc w:val="left"/>
      </w:pPr>
    </w:p>
    <w:p w:rsidR="00EF03DC" w:rsidRDefault="00EF03DC" w:rsidP="00207F65">
      <w:pPr>
        <w:pStyle w:val="PBody"/>
        <w:ind w:firstLine="0"/>
        <w:jc w:val="left"/>
      </w:pPr>
    </w:p>
    <w:p w:rsidR="00E030ED" w:rsidRDefault="00E030ED" w:rsidP="00207F65">
      <w:pPr>
        <w:pStyle w:val="PBody"/>
        <w:ind w:firstLine="0"/>
        <w:jc w:val="left"/>
      </w:pPr>
      <w:r>
        <w:t xml:space="preserve">While relatively few people who died of an opioid-related overdose had filled an opioid prescription within one month of their death, the majority had filled a prescription within the four year study period. This was true regardless of the substances present in the person’s system at the time of death. </w:t>
      </w:r>
    </w:p>
    <w:p w:rsidR="00EF03DC" w:rsidRDefault="00EF03DC" w:rsidP="00207F65">
      <w:pPr>
        <w:pStyle w:val="PBody"/>
        <w:ind w:firstLine="0"/>
        <w:jc w:val="left"/>
      </w:pPr>
    </w:p>
    <w:p w:rsidR="00EF03DC" w:rsidRDefault="00EF03DC" w:rsidP="00207F65">
      <w:pPr>
        <w:pStyle w:val="PBody"/>
        <w:ind w:firstLine="0"/>
        <w:jc w:val="left"/>
      </w:pPr>
    </w:p>
    <w:p w:rsidR="00EF03DC" w:rsidRDefault="00EF03DC" w:rsidP="00207F65">
      <w:pPr>
        <w:pStyle w:val="PBody"/>
        <w:ind w:firstLine="0"/>
        <w:jc w:val="left"/>
      </w:pPr>
    </w:p>
    <w:tbl>
      <w:tblPr>
        <w:tblW w:w="0" w:type="auto"/>
        <w:jc w:val="center"/>
        <w:tblLook w:val="00A0" w:firstRow="1" w:lastRow="0" w:firstColumn="1" w:lastColumn="0" w:noHBand="0" w:noVBand="0"/>
      </w:tblPr>
      <w:tblGrid>
        <w:gridCol w:w="3747"/>
        <w:gridCol w:w="930"/>
        <w:gridCol w:w="567"/>
        <w:gridCol w:w="966"/>
        <w:gridCol w:w="688"/>
        <w:gridCol w:w="943"/>
        <w:gridCol w:w="688"/>
        <w:gridCol w:w="943"/>
        <w:gridCol w:w="719"/>
        <w:gridCol w:w="825"/>
      </w:tblGrid>
      <w:tr w:rsidR="00E030ED" w:rsidRPr="00F240EB" w:rsidTr="00E030ED">
        <w:trPr>
          <w:trHeight w:val="581"/>
          <w:jc w:val="center"/>
        </w:trPr>
        <w:tc>
          <w:tcPr>
            <w:tcW w:w="0" w:type="auto"/>
            <w:gridSpan w:val="10"/>
            <w:tcBorders>
              <w:top w:val="single" w:sz="8" w:space="0" w:color="auto"/>
              <w:left w:val="single" w:sz="8" w:space="0" w:color="auto"/>
              <w:bottom w:val="single" w:sz="4" w:space="0" w:color="auto"/>
              <w:right w:val="single" w:sz="8" w:space="0" w:color="000000"/>
            </w:tcBorders>
          </w:tcPr>
          <w:p w:rsidR="00E030ED" w:rsidRPr="00F240EB" w:rsidRDefault="00E030ED" w:rsidP="003764D8">
            <w:pPr>
              <w:rPr>
                <w:rFonts w:ascii="Calibri" w:hAnsi="Calibri"/>
                <w:b/>
                <w:bCs/>
                <w:color w:val="000000"/>
                <w:szCs w:val="22"/>
              </w:rPr>
            </w:pPr>
            <w:r>
              <w:rPr>
                <w:rFonts w:ascii="Calibri" w:hAnsi="Calibri"/>
                <w:b/>
                <w:bCs/>
                <w:color w:val="000000"/>
                <w:sz w:val="22"/>
                <w:szCs w:val="22"/>
              </w:rPr>
              <w:lastRenderedPageBreak/>
              <w:t xml:space="preserve">Table </w:t>
            </w:r>
            <w:r w:rsidRPr="00F240EB">
              <w:rPr>
                <w:rFonts w:ascii="Calibri" w:hAnsi="Calibri"/>
                <w:b/>
                <w:bCs/>
                <w:color w:val="000000"/>
                <w:sz w:val="22"/>
                <w:szCs w:val="22"/>
              </w:rPr>
              <w:t>1: Proportion of Decedents with any Prescription</w:t>
            </w:r>
            <w:r w:rsidRPr="00F240EB">
              <w:rPr>
                <w:rFonts w:ascii="Calibri" w:hAnsi="Calibri"/>
                <w:b/>
                <w:bCs/>
                <w:color w:val="000000"/>
                <w:sz w:val="22"/>
                <w:szCs w:val="22"/>
                <w:vertAlign w:val="superscript"/>
              </w:rPr>
              <w:t>1</w:t>
            </w:r>
            <w:r w:rsidRPr="00F240EB">
              <w:rPr>
                <w:rFonts w:ascii="Calibri" w:hAnsi="Calibri"/>
                <w:b/>
                <w:bCs/>
                <w:color w:val="000000"/>
                <w:sz w:val="22"/>
                <w:szCs w:val="22"/>
              </w:rPr>
              <w:t xml:space="preserve"> Opioid History by Category of Opioid Present in Toxicology Screen</w:t>
            </w:r>
          </w:p>
        </w:tc>
      </w:tr>
      <w:tr w:rsidR="00E030ED" w:rsidRPr="00F240EB" w:rsidTr="00E030ED">
        <w:trPr>
          <w:trHeight w:val="602"/>
          <w:jc w:val="center"/>
        </w:trPr>
        <w:tc>
          <w:tcPr>
            <w:tcW w:w="0" w:type="auto"/>
            <w:tcBorders>
              <w:top w:val="single" w:sz="4" w:space="0" w:color="auto"/>
              <w:left w:val="single" w:sz="8" w:space="0" w:color="auto"/>
              <w:bottom w:val="nil"/>
              <w:right w:val="nil"/>
            </w:tcBorders>
            <w:vAlign w:val="bottom"/>
          </w:tcPr>
          <w:p w:rsidR="00E030ED" w:rsidRPr="00F240EB" w:rsidRDefault="00E030ED" w:rsidP="003764D8">
            <w:pPr>
              <w:rPr>
                <w:rFonts w:ascii="Calibri" w:hAnsi="Calibri"/>
                <w:color w:val="000000"/>
                <w:szCs w:val="22"/>
              </w:rPr>
            </w:pPr>
          </w:p>
        </w:tc>
        <w:tc>
          <w:tcPr>
            <w:tcW w:w="0" w:type="auto"/>
            <w:tcBorders>
              <w:top w:val="single" w:sz="4" w:space="0" w:color="auto"/>
              <w:left w:val="nil"/>
              <w:bottom w:val="double" w:sz="6" w:space="0" w:color="auto"/>
              <w:right w:val="nil"/>
            </w:tcBorders>
          </w:tcPr>
          <w:p w:rsidR="00E030ED" w:rsidRPr="00F240EB" w:rsidRDefault="00E030ED" w:rsidP="003764D8">
            <w:pPr>
              <w:rPr>
                <w:rFonts w:ascii="Calibri" w:hAnsi="Calibri"/>
                <w:b/>
                <w:bCs/>
                <w:color w:val="000000"/>
                <w:szCs w:val="22"/>
              </w:rPr>
            </w:pPr>
            <w:r w:rsidRPr="00F240EB">
              <w:rPr>
                <w:rFonts w:ascii="Calibri" w:hAnsi="Calibri"/>
                <w:b/>
                <w:bCs/>
                <w:color w:val="000000"/>
                <w:sz w:val="22"/>
                <w:szCs w:val="22"/>
              </w:rPr>
              <w:t>Overall</w:t>
            </w:r>
          </w:p>
          <w:p w:rsidR="00E030ED" w:rsidRPr="00F240EB" w:rsidRDefault="00E030ED" w:rsidP="003764D8">
            <w:pPr>
              <w:rPr>
                <w:rFonts w:ascii="Calibri" w:hAnsi="Calibri"/>
                <w:b/>
                <w:bCs/>
                <w:color w:val="000000"/>
                <w:szCs w:val="22"/>
              </w:rPr>
            </w:pPr>
          </w:p>
        </w:tc>
        <w:tc>
          <w:tcPr>
            <w:tcW w:w="0" w:type="auto"/>
            <w:gridSpan w:val="2"/>
            <w:tcBorders>
              <w:top w:val="single" w:sz="4" w:space="0" w:color="auto"/>
              <w:left w:val="nil"/>
              <w:bottom w:val="double" w:sz="6" w:space="0" w:color="auto"/>
              <w:right w:val="nil"/>
            </w:tcBorders>
            <w:vAlign w:val="bottom"/>
          </w:tcPr>
          <w:p w:rsidR="00E030ED" w:rsidRPr="00F240EB" w:rsidRDefault="00E030ED" w:rsidP="003764D8">
            <w:pPr>
              <w:rPr>
                <w:rFonts w:ascii="Calibri" w:hAnsi="Calibri"/>
                <w:b/>
                <w:bCs/>
                <w:color w:val="000000"/>
                <w:szCs w:val="22"/>
              </w:rPr>
            </w:pPr>
            <w:r w:rsidRPr="00F240EB">
              <w:rPr>
                <w:rFonts w:ascii="Calibri" w:hAnsi="Calibri"/>
                <w:b/>
                <w:bCs/>
                <w:color w:val="000000"/>
                <w:sz w:val="22"/>
                <w:szCs w:val="22"/>
              </w:rPr>
              <w:t>Within 1 Month of Death</w:t>
            </w:r>
          </w:p>
        </w:tc>
        <w:tc>
          <w:tcPr>
            <w:tcW w:w="0" w:type="auto"/>
            <w:gridSpan w:val="2"/>
            <w:tcBorders>
              <w:top w:val="single" w:sz="4" w:space="0" w:color="auto"/>
              <w:left w:val="nil"/>
              <w:bottom w:val="double" w:sz="6" w:space="0" w:color="auto"/>
              <w:right w:val="nil"/>
            </w:tcBorders>
            <w:vAlign w:val="bottom"/>
          </w:tcPr>
          <w:p w:rsidR="00E030ED" w:rsidRPr="00F240EB" w:rsidRDefault="00E030ED" w:rsidP="003764D8">
            <w:pPr>
              <w:rPr>
                <w:rFonts w:ascii="Calibri" w:hAnsi="Calibri"/>
                <w:b/>
                <w:bCs/>
                <w:color w:val="000000"/>
                <w:szCs w:val="22"/>
              </w:rPr>
            </w:pPr>
            <w:r w:rsidRPr="00F240EB">
              <w:rPr>
                <w:rFonts w:ascii="Calibri" w:hAnsi="Calibri"/>
                <w:b/>
                <w:bCs/>
                <w:color w:val="000000"/>
                <w:sz w:val="22"/>
                <w:szCs w:val="22"/>
              </w:rPr>
              <w:t>Within 3 Months of Death</w:t>
            </w:r>
          </w:p>
        </w:tc>
        <w:tc>
          <w:tcPr>
            <w:tcW w:w="0" w:type="auto"/>
            <w:gridSpan w:val="2"/>
            <w:tcBorders>
              <w:top w:val="single" w:sz="4" w:space="0" w:color="auto"/>
              <w:left w:val="nil"/>
              <w:bottom w:val="double" w:sz="6" w:space="0" w:color="auto"/>
              <w:right w:val="nil"/>
            </w:tcBorders>
            <w:vAlign w:val="bottom"/>
          </w:tcPr>
          <w:p w:rsidR="00E030ED" w:rsidRPr="00F240EB" w:rsidRDefault="00E030ED" w:rsidP="003764D8">
            <w:pPr>
              <w:rPr>
                <w:rFonts w:ascii="Calibri" w:hAnsi="Calibri"/>
                <w:b/>
                <w:bCs/>
                <w:color w:val="000000"/>
                <w:szCs w:val="22"/>
              </w:rPr>
            </w:pPr>
            <w:r w:rsidRPr="00F240EB">
              <w:rPr>
                <w:rFonts w:ascii="Calibri" w:hAnsi="Calibri"/>
                <w:b/>
                <w:bCs/>
                <w:color w:val="000000"/>
                <w:sz w:val="22"/>
                <w:szCs w:val="22"/>
              </w:rPr>
              <w:t>Within 6 Months of Death</w:t>
            </w:r>
          </w:p>
        </w:tc>
        <w:tc>
          <w:tcPr>
            <w:tcW w:w="0" w:type="auto"/>
            <w:gridSpan w:val="2"/>
            <w:tcBorders>
              <w:top w:val="single" w:sz="4" w:space="0" w:color="auto"/>
              <w:left w:val="nil"/>
              <w:bottom w:val="double" w:sz="6" w:space="0" w:color="auto"/>
              <w:right w:val="single" w:sz="8" w:space="0" w:color="000000"/>
            </w:tcBorders>
            <w:vAlign w:val="center"/>
          </w:tcPr>
          <w:p w:rsidR="00E030ED" w:rsidRPr="00F240EB" w:rsidRDefault="00E030ED" w:rsidP="003764D8">
            <w:pPr>
              <w:rPr>
                <w:rFonts w:ascii="Calibri" w:hAnsi="Calibri"/>
                <w:b/>
                <w:bCs/>
                <w:color w:val="000000"/>
                <w:szCs w:val="22"/>
              </w:rPr>
            </w:pPr>
            <w:r w:rsidRPr="00F240EB">
              <w:rPr>
                <w:rFonts w:ascii="Calibri" w:hAnsi="Calibri"/>
                <w:b/>
                <w:bCs/>
                <w:color w:val="000000"/>
                <w:sz w:val="22"/>
                <w:szCs w:val="22"/>
              </w:rPr>
              <w:t>Within Study Period</w:t>
            </w:r>
          </w:p>
        </w:tc>
      </w:tr>
      <w:tr w:rsidR="00E030ED" w:rsidRPr="00F240EB" w:rsidTr="00E030ED">
        <w:trPr>
          <w:trHeight w:val="277"/>
          <w:jc w:val="center"/>
        </w:trPr>
        <w:tc>
          <w:tcPr>
            <w:tcW w:w="0" w:type="auto"/>
            <w:tcBorders>
              <w:top w:val="nil"/>
              <w:left w:val="single" w:sz="8" w:space="0" w:color="auto"/>
              <w:bottom w:val="single" w:sz="4" w:space="0" w:color="auto"/>
              <w:right w:val="nil"/>
            </w:tcBorders>
            <w:noWrap/>
            <w:vAlign w:val="bottom"/>
          </w:tcPr>
          <w:p w:rsidR="00E030ED" w:rsidRPr="00CA6DF5" w:rsidRDefault="00E030ED">
            <w:pPr>
              <w:rPr>
                <w:rFonts w:ascii="Calibri" w:hAnsi="Calibri"/>
                <w:b/>
                <w:color w:val="000000"/>
                <w:szCs w:val="22"/>
              </w:rPr>
            </w:pPr>
            <w:r w:rsidRPr="00CA6DF5">
              <w:rPr>
                <w:rFonts w:ascii="Calibri" w:hAnsi="Calibri"/>
                <w:b/>
                <w:color w:val="000000"/>
                <w:sz w:val="22"/>
                <w:szCs w:val="22"/>
              </w:rPr>
              <w:t>Toxicology Result</w:t>
            </w:r>
          </w:p>
        </w:tc>
        <w:tc>
          <w:tcPr>
            <w:tcW w:w="0" w:type="auto"/>
            <w:tcBorders>
              <w:top w:val="nil"/>
              <w:left w:val="nil"/>
              <w:bottom w:val="single" w:sz="4" w:space="0" w:color="auto"/>
              <w:right w:val="nil"/>
            </w:tcBorders>
          </w:tcPr>
          <w:p w:rsidR="00E030ED" w:rsidRPr="00F240EB" w:rsidRDefault="00E030ED" w:rsidP="003764D8">
            <w:pPr>
              <w:rPr>
                <w:rFonts w:ascii="Calibri" w:hAnsi="Calibri"/>
                <w:b/>
                <w:bCs/>
                <w:color w:val="000000"/>
                <w:szCs w:val="22"/>
              </w:rPr>
            </w:pPr>
            <w:r w:rsidRPr="00F240EB">
              <w:rPr>
                <w:rFonts w:ascii="Calibri" w:hAnsi="Calibri"/>
                <w:b/>
                <w:bCs/>
                <w:color w:val="000000"/>
                <w:sz w:val="22"/>
                <w:szCs w:val="22"/>
              </w:rPr>
              <w:t>n</w:t>
            </w:r>
          </w:p>
        </w:tc>
        <w:tc>
          <w:tcPr>
            <w:tcW w:w="0" w:type="auto"/>
            <w:tcBorders>
              <w:top w:val="nil"/>
              <w:left w:val="nil"/>
              <w:bottom w:val="single" w:sz="4" w:space="0" w:color="auto"/>
              <w:right w:val="nil"/>
            </w:tcBorders>
            <w:noWrap/>
            <w:vAlign w:val="bottom"/>
          </w:tcPr>
          <w:p w:rsidR="00E030ED" w:rsidRPr="00F240EB" w:rsidRDefault="00E030ED" w:rsidP="003764D8">
            <w:pPr>
              <w:rPr>
                <w:rFonts w:ascii="Calibri" w:hAnsi="Calibri"/>
                <w:b/>
                <w:bCs/>
                <w:color w:val="000000"/>
                <w:szCs w:val="22"/>
              </w:rPr>
            </w:pPr>
            <w:r w:rsidRPr="00F240EB">
              <w:rPr>
                <w:rFonts w:ascii="Calibri" w:hAnsi="Calibri"/>
                <w:b/>
                <w:bCs/>
                <w:color w:val="000000"/>
                <w:sz w:val="22"/>
                <w:szCs w:val="22"/>
              </w:rPr>
              <w:t>n</w:t>
            </w:r>
          </w:p>
        </w:tc>
        <w:tc>
          <w:tcPr>
            <w:tcW w:w="0" w:type="auto"/>
            <w:tcBorders>
              <w:top w:val="nil"/>
              <w:left w:val="nil"/>
              <w:bottom w:val="single" w:sz="4" w:space="0" w:color="auto"/>
              <w:right w:val="nil"/>
            </w:tcBorders>
            <w:noWrap/>
            <w:vAlign w:val="bottom"/>
          </w:tcPr>
          <w:p w:rsidR="00E030ED" w:rsidRPr="00F240EB" w:rsidRDefault="00E030ED" w:rsidP="003764D8">
            <w:pPr>
              <w:rPr>
                <w:rFonts w:ascii="Calibri" w:hAnsi="Calibri"/>
                <w:b/>
                <w:bCs/>
                <w:color w:val="000000"/>
                <w:szCs w:val="22"/>
              </w:rPr>
            </w:pPr>
            <w:r w:rsidRPr="00F240EB">
              <w:rPr>
                <w:rFonts w:ascii="Calibri" w:hAnsi="Calibri"/>
                <w:b/>
                <w:bCs/>
                <w:color w:val="000000"/>
                <w:sz w:val="22"/>
                <w:szCs w:val="22"/>
              </w:rPr>
              <w:t>%</w:t>
            </w:r>
          </w:p>
        </w:tc>
        <w:tc>
          <w:tcPr>
            <w:tcW w:w="0" w:type="auto"/>
            <w:tcBorders>
              <w:top w:val="nil"/>
              <w:left w:val="nil"/>
              <w:bottom w:val="single" w:sz="4" w:space="0" w:color="auto"/>
              <w:right w:val="nil"/>
            </w:tcBorders>
            <w:noWrap/>
            <w:vAlign w:val="bottom"/>
          </w:tcPr>
          <w:p w:rsidR="00E030ED" w:rsidRPr="00F240EB" w:rsidRDefault="00E030ED" w:rsidP="003764D8">
            <w:pPr>
              <w:rPr>
                <w:rFonts w:ascii="Calibri" w:hAnsi="Calibri"/>
                <w:b/>
                <w:bCs/>
                <w:color w:val="000000"/>
                <w:szCs w:val="22"/>
              </w:rPr>
            </w:pPr>
            <w:r w:rsidRPr="00F240EB">
              <w:rPr>
                <w:rFonts w:ascii="Calibri" w:hAnsi="Calibri"/>
                <w:b/>
                <w:bCs/>
                <w:color w:val="000000"/>
                <w:sz w:val="22"/>
                <w:szCs w:val="22"/>
              </w:rPr>
              <w:t>n</w:t>
            </w:r>
          </w:p>
        </w:tc>
        <w:tc>
          <w:tcPr>
            <w:tcW w:w="0" w:type="auto"/>
            <w:tcBorders>
              <w:top w:val="nil"/>
              <w:left w:val="nil"/>
              <w:bottom w:val="single" w:sz="4" w:space="0" w:color="auto"/>
              <w:right w:val="nil"/>
            </w:tcBorders>
            <w:noWrap/>
            <w:vAlign w:val="bottom"/>
          </w:tcPr>
          <w:p w:rsidR="00E030ED" w:rsidRPr="00F240EB" w:rsidRDefault="00E030ED" w:rsidP="003764D8">
            <w:pPr>
              <w:rPr>
                <w:rFonts w:ascii="Calibri" w:hAnsi="Calibri"/>
                <w:b/>
                <w:bCs/>
                <w:color w:val="000000"/>
                <w:szCs w:val="22"/>
              </w:rPr>
            </w:pPr>
            <w:r w:rsidRPr="00F240EB">
              <w:rPr>
                <w:rFonts w:ascii="Calibri" w:hAnsi="Calibri"/>
                <w:b/>
                <w:bCs/>
                <w:color w:val="000000"/>
                <w:sz w:val="22"/>
                <w:szCs w:val="22"/>
              </w:rPr>
              <w:t>%</w:t>
            </w:r>
          </w:p>
        </w:tc>
        <w:tc>
          <w:tcPr>
            <w:tcW w:w="0" w:type="auto"/>
            <w:tcBorders>
              <w:top w:val="nil"/>
              <w:left w:val="nil"/>
              <w:bottom w:val="single" w:sz="4" w:space="0" w:color="auto"/>
              <w:right w:val="nil"/>
            </w:tcBorders>
            <w:noWrap/>
            <w:vAlign w:val="bottom"/>
          </w:tcPr>
          <w:p w:rsidR="00E030ED" w:rsidRPr="00F240EB" w:rsidRDefault="00E030ED" w:rsidP="003764D8">
            <w:pPr>
              <w:rPr>
                <w:rFonts w:ascii="Calibri" w:hAnsi="Calibri"/>
                <w:b/>
                <w:bCs/>
                <w:color w:val="000000"/>
                <w:szCs w:val="22"/>
              </w:rPr>
            </w:pPr>
            <w:r w:rsidRPr="00F240EB">
              <w:rPr>
                <w:rFonts w:ascii="Calibri" w:hAnsi="Calibri"/>
                <w:b/>
                <w:bCs/>
                <w:color w:val="000000"/>
                <w:sz w:val="22"/>
                <w:szCs w:val="22"/>
              </w:rPr>
              <w:t>n</w:t>
            </w:r>
          </w:p>
        </w:tc>
        <w:tc>
          <w:tcPr>
            <w:tcW w:w="0" w:type="auto"/>
            <w:tcBorders>
              <w:top w:val="nil"/>
              <w:left w:val="nil"/>
              <w:bottom w:val="single" w:sz="4" w:space="0" w:color="auto"/>
              <w:right w:val="nil"/>
            </w:tcBorders>
            <w:noWrap/>
            <w:vAlign w:val="bottom"/>
          </w:tcPr>
          <w:p w:rsidR="00E030ED" w:rsidRPr="00F240EB" w:rsidRDefault="00E030ED" w:rsidP="003764D8">
            <w:pPr>
              <w:rPr>
                <w:rFonts w:ascii="Calibri" w:hAnsi="Calibri"/>
                <w:b/>
                <w:bCs/>
                <w:color w:val="000000"/>
                <w:szCs w:val="22"/>
              </w:rPr>
            </w:pPr>
            <w:r w:rsidRPr="00F240EB">
              <w:rPr>
                <w:rFonts w:ascii="Calibri" w:hAnsi="Calibri"/>
                <w:b/>
                <w:bCs/>
                <w:color w:val="000000"/>
                <w:sz w:val="22"/>
                <w:szCs w:val="22"/>
              </w:rPr>
              <w:t>%</w:t>
            </w:r>
          </w:p>
        </w:tc>
        <w:tc>
          <w:tcPr>
            <w:tcW w:w="0" w:type="auto"/>
            <w:tcBorders>
              <w:top w:val="nil"/>
              <w:left w:val="nil"/>
              <w:bottom w:val="single" w:sz="4" w:space="0" w:color="auto"/>
              <w:right w:val="nil"/>
            </w:tcBorders>
            <w:noWrap/>
            <w:vAlign w:val="bottom"/>
          </w:tcPr>
          <w:p w:rsidR="00E030ED" w:rsidRPr="00F240EB" w:rsidRDefault="00E030ED" w:rsidP="003764D8">
            <w:pPr>
              <w:rPr>
                <w:rFonts w:ascii="Calibri" w:hAnsi="Calibri"/>
                <w:b/>
                <w:bCs/>
                <w:color w:val="000000"/>
                <w:szCs w:val="22"/>
              </w:rPr>
            </w:pPr>
            <w:r w:rsidRPr="00F240EB">
              <w:rPr>
                <w:rFonts w:ascii="Calibri" w:hAnsi="Calibri"/>
                <w:b/>
                <w:bCs/>
                <w:color w:val="000000"/>
                <w:sz w:val="22"/>
                <w:szCs w:val="22"/>
              </w:rPr>
              <w:t>n</w:t>
            </w:r>
          </w:p>
        </w:tc>
        <w:tc>
          <w:tcPr>
            <w:tcW w:w="0" w:type="auto"/>
            <w:tcBorders>
              <w:top w:val="nil"/>
              <w:left w:val="nil"/>
              <w:bottom w:val="single" w:sz="4" w:space="0" w:color="auto"/>
              <w:right w:val="single" w:sz="8" w:space="0" w:color="auto"/>
            </w:tcBorders>
            <w:noWrap/>
            <w:vAlign w:val="bottom"/>
          </w:tcPr>
          <w:p w:rsidR="00E030ED" w:rsidRPr="00F240EB" w:rsidRDefault="00E030ED" w:rsidP="003764D8">
            <w:pPr>
              <w:rPr>
                <w:rFonts w:ascii="Calibri" w:hAnsi="Calibri"/>
                <w:b/>
                <w:bCs/>
                <w:color w:val="000000"/>
                <w:szCs w:val="22"/>
              </w:rPr>
            </w:pPr>
            <w:r w:rsidRPr="00F240EB">
              <w:rPr>
                <w:rFonts w:ascii="Calibri" w:hAnsi="Calibri"/>
                <w:b/>
                <w:bCs/>
                <w:color w:val="000000"/>
                <w:sz w:val="22"/>
                <w:szCs w:val="22"/>
              </w:rPr>
              <w:t>%</w:t>
            </w:r>
          </w:p>
        </w:tc>
      </w:tr>
      <w:tr w:rsidR="00E030ED" w:rsidRPr="00F240EB" w:rsidTr="00E030ED">
        <w:trPr>
          <w:trHeight w:val="264"/>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E030ED" w:rsidRPr="000C7E45" w:rsidRDefault="00E030ED">
            <w:pPr>
              <w:rPr>
                <w:rFonts w:ascii="Calibri" w:hAnsi="Calibri"/>
                <w:bCs/>
                <w:color w:val="000000"/>
                <w:szCs w:val="22"/>
              </w:rPr>
            </w:pPr>
            <w:r w:rsidRPr="000C7E45">
              <w:rPr>
                <w:rFonts w:ascii="Calibri" w:hAnsi="Calibri"/>
                <w:bCs/>
                <w:color w:val="000000"/>
                <w:sz w:val="22"/>
                <w:szCs w:val="22"/>
              </w:rPr>
              <w:t>Fentanyl and Definite Heroin Present</w:t>
            </w:r>
          </w:p>
        </w:tc>
        <w:tc>
          <w:tcPr>
            <w:tcW w:w="0" w:type="auto"/>
            <w:tcBorders>
              <w:top w:val="single" w:sz="4" w:space="0" w:color="auto"/>
              <w:left w:val="single" w:sz="4" w:space="0" w:color="auto"/>
              <w:bottom w:val="single" w:sz="4" w:space="0" w:color="auto"/>
              <w:right w:val="single" w:sz="4" w:space="0" w:color="auto"/>
            </w:tcBorders>
            <w:vAlign w:val="center"/>
          </w:tcPr>
          <w:p w:rsidR="00E030ED" w:rsidRPr="00E11012" w:rsidRDefault="00E030ED" w:rsidP="003764D8">
            <w:pPr>
              <w:rPr>
                <w:rFonts w:ascii="Calibri" w:hAnsi="Calibri"/>
                <w:color w:val="000000"/>
                <w:szCs w:val="22"/>
              </w:rPr>
            </w:pPr>
            <w:r w:rsidRPr="00E11012">
              <w:rPr>
                <w:rFonts w:ascii="Calibri" w:hAnsi="Calibri"/>
                <w:color w:val="000000"/>
                <w:szCs w:val="22"/>
              </w:rPr>
              <w:t>166</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16</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9.6%</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22</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13.35</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38</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22.9%</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104</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62.7%</w:t>
            </w:r>
          </w:p>
        </w:tc>
      </w:tr>
      <w:tr w:rsidR="00E030ED" w:rsidRPr="00F240EB" w:rsidTr="00E030ED">
        <w:trPr>
          <w:trHeight w:val="264"/>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E030ED" w:rsidRPr="000C7E45" w:rsidRDefault="00E030ED">
            <w:pPr>
              <w:rPr>
                <w:rFonts w:ascii="Calibri" w:hAnsi="Calibri"/>
                <w:bCs/>
                <w:color w:val="000000"/>
                <w:szCs w:val="22"/>
              </w:rPr>
            </w:pPr>
            <w:r w:rsidRPr="000C7E45">
              <w:rPr>
                <w:rFonts w:ascii="Calibri" w:hAnsi="Calibri"/>
                <w:bCs/>
                <w:color w:val="000000"/>
                <w:sz w:val="22"/>
                <w:szCs w:val="22"/>
              </w:rPr>
              <w:t>Fentanyl and Likely Heroin Present</w:t>
            </w:r>
          </w:p>
        </w:tc>
        <w:tc>
          <w:tcPr>
            <w:tcW w:w="0" w:type="auto"/>
            <w:tcBorders>
              <w:top w:val="single" w:sz="4" w:space="0" w:color="auto"/>
              <w:left w:val="single" w:sz="4" w:space="0" w:color="auto"/>
              <w:bottom w:val="single" w:sz="4" w:space="0" w:color="auto"/>
              <w:right w:val="single" w:sz="4" w:space="0" w:color="auto"/>
            </w:tcBorders>
            <w:vAlign w:val="center"/>
          </w:tcPr>
          <w:p w:rsidR="00E030ED" w:rsidRPr="00E11012" w:rsidRDefault="00E030ED" w:rsidP="003764D8">
            <w:pPr>
              <w:rPr>
                <w:rFonts w:ascii="Calibri" w:hAnsi="Calibri"/>
                <w:color w:val="000000"/>
                <w:szCs w:val="22"/>
              </w:rPr>
            </w:pPr>
            <w:r w:rsidRPr="00E11012">
              <w:rPr>
                <w:rFonts w:ascii="Calibri" w:hAnsi="Calibri"/>
                <w:color w:val="000000"/>
                <w:szCs w:val="22"/>
              </w:rPr>
              <w:t>83</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7</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8.4%</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16</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19.3%</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21</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25.3%</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54</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65.1%</w:t>
            </w:r>
          </w:p>
        </w:tc>
      </w:tr>
      <w:tr w:rsidR="00E030ED" w:rsidRPr="00F240EB" w:rsidTr="00E030ED">
        <w:trPr>
          <w:trHeight w:val="264"/>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E030ED" w:rsidRPr="000C7E45" w:rsidRDefault="00E030ED">
            <w:pPr>
              <w:rPr>
                <w:rFonts w:ascii="Calibri" w:hAnsi="Calibri"/>
                <w:bCs/>
                <w:color w:val="000000"/>
                <w:szCs w:val="22"/>
              </w:rPr>
            </w:pPr>
            <w:r w:rsidRPr="000C7E45">
              <w:rPr>
                <w:rFonts w:ascii="Calibri" w:hAnsi="Calibri"/>
                <w:bCs/>
                <w:color w:val="000000"/>
                <w:sz w:val="22"/>
                <w:szCs w:val="22"/>
              </w:rPr>
              <w:t>Fentanyl Present</w:t>
            </w:r>
          </w:p>
        </w:tc>
        <w:tc>
          <w:tcPr>
            <w:tcW w:w="0" w:type="auto"/>
            <w:tcBorders>
              <w:top w:val="single" w:sz="4" w:space="0" w:color="auto"/>
              <w:left w:val="single" w:sz="4" w:space="0" w:color="auto"/>
              <w:bottom w:val="single" w:sz="4" w:space="0" w:color="auto"/>
              <w:right w:val="single" w:sz="4" w:space="0" w:color="auto"/>
            </w:tcBorders>
            <w:vAlign w:val="center"/>
          </w:tcPr>
          <w:p w:rsidR="00E030ED" w:rsidRPr="00E11012" w:rsidRDefault="00E030ED" w:rsidP="003764D8">
            <w:pPr>
              <w:rPr>
                <w:rFonts w:ascii="Calibri" w:hAnsi="Calibri"/>
                <w:color w:val="000000"/>
                <w:szCs w:val="22"/>
              </w:rPr>
            </w:pPr>
            <w:r w:rsidRPr="00E11012">
              <w:rPr>
                <w:rFonts w:ascii="Calibri" w:hAnsi="Calibri"/>
                <w:color w:val="000000"/>
                <w:szCs w:val="22"/>
              </w:rPr>
              <w:t>288</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50</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17.4%</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64</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22.2%</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87</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30.2%</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195</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67.7%</w:t>
            </w:r>
          </w:p>
        </w:tc>
      </w:tr>
      <w:tr w:rsidR="00E030ED" w:rsidRPr="00F240EB" w:rsidTr="00E030ED">
        <w:trPr>
          <w:trHeight w:val="264"/>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E030ED" w:rsidRPr="000C7E45" w:rsidRDefault="00E030ED">
            <w:pPr>
              <w:rPr>
                <w:rFonts w:ascii="Calibri" w:hAnsi="Calibri"/>
                <w:bCs/>
                <w:color w:val="000000"/>
                <w:szCs w:val="22"/>
              </w:rPr>
            </w:pPr>
            <w:r w:rsidRPr="000C7E45">
              <w:rPr>
                <w:rFonts w:ascii="Calibri" w:hAnsi="Calibri"/>
                <w:bCs/>
                <w:color w:val="000000"/>
                <w:sz w:val="22"/>
                <w:szCs w:val="22"/>
              </w:rPr>
              <w:t>Definite Heroin Present</w:t>
            </w:r>
          </w:p>
        </w:tc>
        <w:tc>
          <w:tcPr>
            <w:tcW w:w="0" w:type="auto"/>
            <w:tcBorders>
              <w:top w:val="single" w:sz="4" w:space="0" w:color="auto"/>
              <w:left w:val="single" w:sz="4" w:space="0" w:color="auto"/>
              <w:bottom w:val="single" w:sz="4" w:space="0" w:color="auto"/>
              <w:right w:val="single" w:sz="4" w:space="0" w:color="auto"/>
            </w:tcBorders>
            <w:vAlign w:val="center"/>
          </w:tcPr>
          <w:p w:rsidR="00E030ED" w:rsidRPr="00E11012" w:rsidRDefault="00E030ED" w:rsidP="003764D8">
            <w:pPr>
              <w:rPr>
                <w:rFonts w:ascii="Calibri" w:hAnsi="Calibri"/>
                <w:color w:val="000000"/>
                <w:szCs w:val="22"/>
              </w:rPr>
            </w:pPr>
            <w:r w:rsidRPr="00E11012">
              <w:rPr>
                <w:rFonts w:ascii="Calibri" w:hAnsi="Calibri"/>
                <w:color w:val="000000"/>
                <w:szCs w:val="22"/>
              </w:rPr>
              <w:t>547</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71</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13.0%</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104</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19.0%</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150</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27.4%</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353</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64.5%</w:t>
            </w:r>
          </w:p>
        </w:tc>
      </w:tr>
      <w:tr w:rsidR="00E030ED" w:rsidRPr="00F240EB" w:rsidTr="00E030ED">
        <w:trPr>
          <w:trHeight w:val="264"/>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E030ED" w:rsidRPr="000C7E45" w:rsidRDefault="00E030ED">
            <w:pPr>
              <w:rPr>
                <w:rFonts w:ascii="Calibri" w:hAnsi="Calibri"/>
                <w:bCs/>
                <w:color w:val="000000"/>
                <w:szCs w:val="22"/>
              </w:rPr>
            </w:pPr>
            <w:r w:rsidRPr="000C7E45">
              <w:rPr>
                <w:rFonts w:ascii="Calibri" w:hAnsi="Calibri"/>
                <w:bCs/>
                <w:color w:val="000000"/>
                <w:sz w:val="22"/>
                <w:szCs w:val="22"/>
              </w:rPr>
              <w:t>Likely Heroin Present</w:t>
            </w:r>
          </w:p>
        </w:tc>
        <w:tc>
          <w:tcPr>
            <w:tcW w:w="0" w:type="auto"/>
            <w:tcBorders>
              <w:top w:val="single" w:sz="4" w:space="0" w:color="auto"/>
              <w:left w:val="single" w:sz="4" w:space="0" w:color="auto"/>
              <w:bottom w:val="single" w:sz="4" w:space="0" w:color="auto"/>
              <w:right w:val="single" w:sz="4" w:space="0" w:color="auto"/>
            </w:tcBorders>
            <w:vAlign w:val="center"/>
          </w:tcPr>
          <w:p w:rsidR="00E030ED" w:rsidRPr="00E11012" w:rsidRDefault="00E030ED" w:rsidP="003764D8">
            <w:pPr>
              <w:rPr>
                <w:rFonts w:ascii="Calibri" w:hAnsi="Calibri"/>
                <w:color w:val="000000"/>
                <w:szCs w:val="22"/>
              </w:rPr>
            </w:pPr>
            <w:r w:rsidRPr="00E11012">
              <w:rPr>
                <w:rFonts w:ascii="Calibri" w:hAnsi="Calibri"/>
                <w:color w:val="000000"/>
                <w:szCs w:val="22"/>
              </w:rPr>
              <w:t>320</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39</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12.2&amp;</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68</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21.3%</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92</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28.8%</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207</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64.7%</w:t>
            </w:r>
          </w:p>
        </w:tc>
      </w:tr>
      <w:tr w:rsidR="00E030ED" w:rsidRPr="00F240EB" w:rsidTr="00E030ED">
        <w:trPr>
          <w:trHeight w:val="264"/>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E030ED" w:rsidRPr="000C7E45" w:rsidRDefault="00E030ED">
            <w:pPr>
              <w:rPr>
                <w:rFonts w:ascii="Calibri" w:hAnsi="Calibri"/>
                <w:bCs/>
                <w:color w:val="000000"/>
                <w:szCs w:val="22"/>
              </w:rPr>
            </w:pPr>
            <w:r w:rsidRPr="000C7E45">
              <w:rPr>
                <w:rFonts w:ascii="Calibri" w:hAnsi="Calibri"/>
                <w:bCs/>
                <w:color w:val="000000"/>
                <w:sz w:val="22"/>
                <w:szCs w:val="22"/>
              </w:rPr>
              <w:t>Methadone Present</w:t>
            </w:r>
          </w:p>
        </w:tc>
        <w:tc>
          <w:tcPr>
            <w:tcW w:w="0" w:type="auto"/>
            <w:tcBorders>
              <w:top w:val="single" w:sz="4" w:space="0" w:color="auto"/>
              <w:left w:val="single" w:sz="4" w:space="0" w:color="auto"/>
              <w:bottom w:val="single" w:sz="4" w:space="0" w:color="auto"/>
              <w:right w:val="single" w:sz="4" w:space="0" w:color="auto"/>
            </w:tcBorders>
            <w:vAlign w:val="center"/>
          </w:tcPr>
          <w:p w:rsidR="00E030ED" w:rsidRPr="00E11012" w:rsidRDefault="00E030ED" w:rsidP="003764D8">
            <w:pPr>
              <w:rPr>
                <w:rFonts w:ascii="Calibri" w:hAnsi="Calibri"/>
                <w:color w:val="000000"/>
                <w:szCs w:val="22"/>
              </w:rPr>
            </w:pPr>
            <w:r w:rsidRPr="00E11012">
              <w:rPr>
                <w:rFonts w:ascii="Calibri" w:hAnsi="Calibri"/>
                <w:color w:val="000000"/>
                <w:szCs w:val="22"/>
              </w:rPr>
              <w:t>84</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23</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27.4%</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34</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40.5%</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39</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46.4%</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64</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76.2%</w:t>
            </w:r>
          </w:p>
        </w:tc>
      </w:tr>
      <w:tr w:rsidR="00E030ED" w:rsidRPr="00F240EB" w:rsidTr="00E030ED">
        <w:trPr>
          <w:trHeight w:val="264"/>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E030ED" w:rsidRPr="000C7E45" w:rsidRDefault="00E030ED">
            <w:pPr>
              <w:rPr>
                <w:rFonts w:ascii="Calibri" w:hAnsi="Calibri"/>
                <w:bCs/>
                <w:color w:val="000000"/>
                <w:szCs w:val="22"/>
              </w:rPr>
            </w:pPr>
            <w:r w:rsidRPr="000C7E45">
              <w:rPr>
                <w:rFonts w:ascii="Calibri" w:hAnsi="Calibri"/>
                <w:bCs/>
                <w:color w:val="000000"/>
                <w:sz w:val="22"/>
                <w:szCs w:val="22"/>
              </w:rPr>
              <w:t>Prescription Opioid Present</w:t>
            </w:r>
          </w:p>
        </w:tc>
        <w:tc>
          <w:tcPr>
            <w:tcW w:w="0" w:type="auto"/>
            <w:tcBorders>
              <w:top w:val="single" w:sz="4" w:space="0" w:color="auto"/>
              <w:left w:val="single" w:sz="4" w:space="0" w:color="auto"/>
              <w:bottom w:val="single" w:sz="4" w:space="0" w:color="auto"/>
              <w:right w:val="single" w:sz="4" w:space="0" w:color="auto"/>
            </w:tcBorders>
            <w:vAlign w:val="center"/>
          </w:tcPr>
          <w:p w:rsidR="00E030ED" w:rsidRPr="00E11012" w:rsidRDefault="00E030ED" w:rsidP="003764D8">
            <w:pPr>
              <w:rPr>
                <w:rFonts w:ascii="Calibri" w:hAnsi="Calibri"/>
                <w:color w:val="000000"/>
                <w:szCs w:val="22"/>
              </w:rPr>
            </w:pPr>
            <w:r w:rsidRPr="00E11012">
              <w:rPr>
                <w:rFonts w:ascii="Calibri" w:hAnsi="Calibri"/>
                <w:color w:val="000000"/>
                <w:szCs w:val="22"/>
              </w:rPr>
              <w:t>154</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57</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37.0%</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77</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50.0%</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88</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57.1%</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127</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rPr>
              <w:t>82.5%</w:t>
            </w:r>
          </w:p>
        </w:tc>
      </w:tr>
      <w:tr w:rsidR="00E030ED" w:rsidRPr="00F240EB" w:rsidTr="00E030ED">
        <w:trPr>
          <w:trHeight w:val="277"/>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E030ED" w:rsidRPr="000C7E45" w:rsidRDefault="00E030ED">
            <w:pPr>
              <w:rPr>
                <w:rFonts w:ascii="Calibri" w:hAnsi="Calibri"/>
                <w:bCs/>
                <w:color w:val="000000"/>
                <w:szCs w:val="22"/>
              </w:rPr>
            </w:pPr>
            <w:r w:rsidRPr="000C7E45">
              <w:rPr>
                <w:rFonts w:ascii="Calibri" w:hAnsi="Calibri"/>
                <w:bCs/>
                <w:color w:val="000000"/>
                <w:sz w:val="22"/>
                <w:szCs w:val="22"/>
              </w:rPr>
              <w:t>Buprenorphine</w:t>
            </w:r>
          </w:p>
        </w:tc>
        <w:tc>
          <w:tcPr>
            <w:tcW w:w="0" w:type="auto"/>
            <w:tcBorders>
              <w:top w:val="single" w:sz="4" w:space="0" w:color="auto"/>
              <w:left w:val="single" w:sz="4" w:space="0" w:color="auto"/>
              <w:bottom w:val="single" w:sz="4" w:space="0" w:color="auto"/>
              <w:right w:val="single" w:sz="4" w:space="0" w:color="auto"/>
            </w:tcBorders>
            <w:vAlign w:val="center"/>
          </w:tcPr>
          <w:p w:rsidR="00E030ED" w:rsidRPr="00E11012" w:rsidRDefault="00E030ED" w:rsidP="003764D8">
            <w:pPr>
              <w:rPr>
                <w:rFonts w:ascii="Calibri" w:hAnsi="Calibri"/>
                <w:color w:val="000000"/>
                <w:szCs w:val="22"/>
              </w:rPr>
            </w:pPr>
            <w:r w:rsidRPr="00E11012">
              <w:rPr>
                <w:rFonts w:ascii="Calibri" w:hAnsi="Calibri"/>
                <w:color w:val="000000"/>
                <w:szCs w:val="22"/>
              </w:rPr>
              <w:t>15</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&lt;5</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N/A</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&lt;5</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N/A</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&lt;5</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N/A</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9</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60.0%</w:t>
            </w:r>
          </w:p>
        </w:tc>
      </w:tr>
      <w:tr w:rsidR="00E030ED" w:rsidRPr="00F240EB" w:rsidTr="00E030ED">
        <w:trPr>
          <w:trHeight w:val="277"/>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E030ED" w:rsidRPr="000C7E45" w:rsidRDefault="00E030ED">
            <w:pPr>
              <w:rPr>
                <w:rFonts w:ascii="Calibri" w:hAnsi="Calibri"/>
                <w:bCs/>
                <w:color w:val="000000"/>
                <w:szCs w:val="22"/>
              </w:rPr>
            </w:pPr>
            <w:r w:rsidRPr="000C7E45">
              <w:rPr>
                <w:rFonts w:ascii="Calibri" w:hAnsi="Calibri"/>
                <w:bCs/>
                <w:color w:val="000000"/>
                <w:sz w:val="22"/>
                <w:szCs w:val="22"/>
              </w:rPr>
              <w:t>Total</w:t>
            </w:r>
          </w:p>
        </w:tc>
        <w:tc>
          <w:tcPr>
            <w:tcW w:w="0" w:type="auto"/>
            <w:tcBorders>
              <w:top w:val="single" w:sz="4" w:space="0" w:color="auto"/>
              <w:left w:val="single" w:sz="4" w:space="0" w:color="auto"/>
              <w:bottom w:val="single" w:sz="4" w:space="0" w:color="auto"/>
              <w:right w:val="single" w:sz="4" w:space="0" w:color="auto"/>
            </w:tcBorders>
          </w:tcPr>
          <w:p w:rsidR="00E030ED" w:rsidRPr="00E11012" w:rsidRDefault="00E030ED" w:rsidP="003764D8">
            <w:pPr>
              <w:rPr>
                <w:rFonts w:ascii="Calibri" w:hAnsi="Calibri"/>
                <w:color w:val="000000"/>
                <w:szCs w:val="22"/>
              </w:rPr>
            </w:pPr>
            <w:r w:rsidRPr="00E11012">
              <w:rPr>
                <w:rFonts w:ascii="Calibri" w:hAnsi="Calibri"/>
                <w:color w:val="000000"/>
                <w:szCs w:val="22"/>
              </w:rPr>
              <w:t>1657</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w:t>
            </w:r>
            <w:r w:rsidRPr="00E11012">
              <w:rPr>
                <w:rFonts w:ascii="Calibri" w:hAnsi="Calibri"/>
                <w:color w:val="000000"/>
                <w:szCs w:val="22"/>
                <w:vertAlign w:val="superscript"/>
              </w:rPr>
              <w:t>2</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w:t>
            </w:r>
            <w:r w:rsidRPr="00E11012">
              <w:rPr>
                <w:rFonts w:ascii="Calibri" w:hAnsi="Calibri"/>
                <w:color w:val="000000"/>
                <w:szCs w:val="22"/>
                <w:vertAlign w:val="superscript"/>
              </w:rPr>
              <w:t>2</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w:t>
            </w:r>
            <w:r w:rsidRPr="00E11012">
              <w:rPr>
                <w:rFonts w:ascii="Calibri" w:hAnsi="Calibri"/>
                <w:color w:val="000000"/>
                <w:szCs w:val="22"/>
                <w:vertAlign w:val="superscript"/>
              </w:rPr>
              <w:t>2</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w:t>
            </w:r>
            <w:r w:rsidRPr="00E11012">
              <w:rPr>
                <w:rFonts w:ascii="Calibri" w:hAnsi="Calibri"/>
                <w:color w:val="000000"/>
                <w:szCs w:val="22"/>
                <w:vertAlign w:val="superscript"/>
              </w:rPr>
              <w:t>2</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w:t>
            </w:r>
            <w:r w:rsidRPr="00E11012">
              <w:rPr>
                <w:rFonts w:ascii="Calibri" w:hAnsi="Calibri"/>
                <w:color w:val="000000"/>
                <w:szCs w:val="22"/>
                <w:vertAlign w:val="superscript"/>
              </w:rPr>
              <w:t>2</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w:t>
            </w:r>
            <w:r w:rsidRPr="00E11012">
              <w:rPr>
                <w:rFonts w:ascii="Calibri" w:hAnsi="Calibri"/>
                <w:color w:val="000000"/>
                <w:szCs w:val="22"/>
                <w:vertAlign w:val="superscript"/>
              </w:rPr>
              <w:t>2</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1113</w:t>
            </w:r>
          </w:p>
        </w:tc>
        <w:tc>
          <w:tcPr>
            <w:tcW w:w="0" w:type="auto"/>
            <w:tcBorders>
              <w:top w:val="single" w:sz="4" w:space="0" w:color="auto"/>
              <w:left w:val="single" w:sz="4" w:space="0" w:color="auto"/>
              <w:bottom w:val="single" w:sz="4" w:space="0" w:color="auto"/>
              <w:right w:val="single" w:sz="4" w:space="0" w:color="auto"/>
            </w:tcBorders>
            <w:noWrap/>
            <w:vAlign w:val="bottom"/>
          </w:tcPr>
          <w:p w:rsidR="00E030ED" w:rsidRPr="00E11012" w:rsidRDefault="00E030ED" w:rsidP="003764D8">
            <w:pPr>
              <w:rPr>
                <w:rFonts w:ascii="Calibri" w:hAnsi="Calibri"/>
                <w:color w:val="000000"/>
                <w:szCs w:val="22"/>
              </w:rPr>
            </w:pPr>
            <w:r w:rsidRPr="00E11012">
              <w:rPr>
                <w:rFonts w:ascii="Calibri" w:hAnsi="Calibri"/>
                <w:color w:val="000000"/>
                <w:szCs w:val="22"/>
              </w:rPr>
              <w:t>67.2%</w:t>
            </w:r>
          </w:p>
        </w:tc>
      </w:tr>
    </w:tbl>
    <w:p w:rsidR="00E030ED" w:rsidRPr="0045285F" w:rsidRDefault="00E030ED">
      <w:pPr>
        <w:widowControl w:val="0"/>
        <w:autoSpaceDE w:val="0"/>
        <w:autoSpaceDN w:val="0"/>
        <w:adjustRightInd w:val="0"/>
        <w:rPr>
          <w:rFonts w:ascii="Calibri" w:hAnsi="Calibri"/>
          <w:sz w:val="18"/>
          <w:szCs w:val="18"/>
        </w:rPr>
      </w:pPr>
      <w:r w:rsidRPr="002D7EF5">
        <w:rPr>
          <w:rFonts w:ascii="Calibri" w:hAnsi="Calibri"/>
          <w:sz w:val="18"/>
          <w:szCs w:val="22"/>
        </w:rPr>
        <w:t>1</w:t>
      </w:r>
      <w:r w:rsidRPr="00BA2011">
        <w:rPr>
          <w:rFonts w:ascii="Calibri" w:hAnsi="Calibri"/>
          <w:sz w:val="18"/>
          <w:szCs w:val="18"/>
        </w:rPr>
        <w:t>. Includes any prescription for Fentanyl, Methadone, Hydrocodone, Hydromorphone, Oxycodone, Oxymorphone, Morphine,</w:t>
      </w:r>
      <w:r w:rsidR="000C7E45" w:rsidRPr="00BA2011">
        <w:rPr>
          <w:rFonts w:ascii="Calibri" w:hAnsi="Calibri"/>
          <w:sz w:val="18"/>
          <w:szCs w:val="18"/>
        </w:rPr>
        <w:t xml:space="preserve"> </w:t>
      </w:r>
      <w:r w:rsidRPr="00BA2011">
        <w:rPr>
          <w:rFonts w:ascii="Calibri" w:hAnsi="Calibri"/>
          <w:sz w:val="18"/>
          <w:szCs w:val="18"/>
        </w:rPr>
        <w:t>or Codeine</w:t>
      </w:r>
    </w:p>
    <w:p w:rsidR="0034597F" w:rsidRDefault="00E030ED" w:rsidP="00EF03DC">
      <w:pPr>
        <w:pStyle w:val="PBody"/>
        <w:ind w:firstLine="0"/>
        <w:jc w:val="left"/>
        <w:rPr>
          <w:sz w:val="18"/>
          <w:szCs w:val="18"/>
        </w:rPr>
      </w:pPr>
      <w:r w:rsidRPr="003764D8">
        <w:rPr>
          <w:sz w:val="18"/>
          <w:szCs w:val="18"/>
        </w:rPr>
        <w:t>2. Number not displayed because of complimentary suppression rules.</w:t>
      </w:r>
    </w:p>
    <w:p w:rsidR="00EF03DC" w:rsidRPr="00EF03DC" w:rsidRDefault="00EF03DC" w:rsidP="00EF03DC">
      <w:pPr>
        <w:pStyle w:val="PBody"/>
        <w:ind w:firstLine="0"/>
        <w:jc w:val="left"/>
        <w:rPr>
          <w:sz w:val="18"/>
          <w:szCs w:val="18"/>
        </w:rPr>
      </w:pPr>
    </w:p>
    <w:p w:rsidR="000C7E45" w:rsidRDefault="009D633F" w:rsidP="00BA2011">
      <w:pPr>
        <w:pStyle w:val="PBody"/>
        <w:ind w:firstLine="0"/>
        <w:jc w:val="left"/>
      </w:pPr>
      <w:r>
        <w:t xml:space="preserve">Also of importance is the finding that benzodiazepines and </w:t>
      </w:r>
      <w:r w:rsidR="00207F65">
        <w:t>c</w:t>
      </w:r>
      <w:r>
        <w:t>ocaine are commonly found in opioid deaths. The combination of opioids and benzodiazepines depresses the central nervous system at a higher rate than just using one of the medications</w:t>
      </w:r>
      <w:r w:rsidR="00207F65">
        <w:t xml:space="preserve"> alone</w:t>
      </w:r>
      <w:r>
        <w:t xml:space="preserve">. </w:t>
      </w:r>
      <w:r w:rsidRPr="00F240EB">
        <w:t>Benzodiazepines are commonly taken with opioids for non-medical purposes</w:t>
      </w:r>
      <w:r>
        <w:t xml:space="preserve"> and were </w:t>
      </w:r>
      <w:r w:rsidRPr="00F240EB">
        <w:t>present consistently in toxicology screens, regardless of the opioid present, in over half of overdoses</w:t>
      </w:r>
      <w:r>
        <w:t>.  O</w:t>
      </w:r>
      <w:r w:rsidRPr="00F240EB">
        <w:t xml:space="preserve">verall, 30% of opioid decedents with a toxicology screen </w:t>
      </w:r>
      <w:r>
        <w:t xml:space="preserve">also </w:t>
      </w:r>
      <w:r w:rsidRPr="00F240EB">
        <w:t xml:space="preserve">had </w:t>
      </w:r>
      <w:r w:rsidR="00207F65">
        <w:t>c</w:t>
      </w:r>
      <w:r>
        <w:t>ocaine</w:t>
      </w:r>
      <w:r w:rsidRPr="00F240EB">
        <w:t xml:space="preserve"> present in their system</w:t>
      </w:r>
      <w:r>
        <w:t>.</w:t>
      </w:r>
    </w:p>
    <w:tbl>
      <w:tblPr>
        <w:tblW w:w="0" w:type="auto"/>
        <w:jc w:val="center"/>
        <w:tblLook w:val="00A0" w:firstRow="1" w:lastRow="0" w:firstColumn="1" w:lastColumn="0" w:noHBand="0" w:noVBand="0"/>
      </w:tblPr>
      <w:tblGrid>
        <w:gridCol w:w="3856"/>
        <w:gridCol w:w="937"/>
        <w:gridCol w:w="568"/>
        <w:gridCol w:w="986"/>
        <w:gridCol w:w="577"/>
        <w:gridCol w:w="1001"/>
        <w:gridCol w:w="577"/>
        <w:gridCol w:w="1001"/>
        <w:gridCol w:w="634"/>
        <w:gridCol w:w="879"/>
      </w:tblGrid>
      <w:tr w:rsidR="000C7E45" w:rsidRPr="00F240EB" w:rsidTr="00C561A4">
        <w:trPr>
          <w:trHeight w:val="581"/>
          <w:jc w:val="center"/>
        </w:trPr>
        <w:tc>
          <w:tcPr>
            <w:tcW w:w="0" w:type="auto"/>
            <w:gridSpan w:val="10"/>
            <w:tcBorders>
              <w:top w:val="single" w:sz="8" w:space="0" w:color="auto"/>
              <w:left w:val="single" w:sz="8" w:space="0" w:color="auto"/>
              <w:bottom w:val="single" w:sz="4" w:space="0" w:color="auto"/>
              <w:right w:val="single" w:sz="8" w:space="0" w:color="000000"/>
            </w:tcBorders>
          </w:tcPr>
          <w:p w:rsidR="000C7E45" w:rsidRPr="00F240EB" w:rsidRDefault="000C7E45" w:rsidP="003764D8">
            <w:pPr>
              <w:rPr>
                <w:rFonts w:ascii="Calibri" w:hAnsi="Calibri"/>
                <w:b/>
                <w:bCs/>
                <w:color w:val="000000"/>
                <w:szCs w:val="22"/>
              </w:rPr>
            </w:pPr>
            <w:r>
              <w:rPr>
                <w:rFonts w:ascii="Calibri" w:hAnsi="Calibri"/>
                <w:b/>
                <w:bCs/>
                <w:color w:val="000000"/>
                <w:sz w:val="22"/>
                <w:szCs w:val="22"/>
              </w:rPr>
              <w:t xml:space="preserve">Table </w:t>
            </w:r>
            <w:r w:rsidRPr="00F240EB">
              <w:rPr>
                <w:rFonts w:ascii="Calibri" w:hAnsi="Calibri"/>
                <w:b/>
                <w:bCs/>
                <w:color w:val="000000"/>
                <w:sz w:val="22"/>
                <w:szCs w:val="22"/>
              </w:rPr>
              <w:t>2: Proportion of Decedents with a Prescription Benzodiazepine History by Category of Opioid Present in Toxicology Screen</w:t>
            </w:r>
          </w:p>
        </w:tc>
      </w:tr>
      <w:tr w:rsidR="000C7E45" w:rsidRPr="00F240EB" w:rsidTr="00C561A4">
        <w:trPr>
          <w:trHeight w:val="602"/>
          <w:jc w:val="center"/>
        </w:trPr>
        <w:tc>
          <w:tcPr>
            <w:tcW w:w="0" w:type="auto"/>
            <w:tcBorders>
              <w:top w:val="single" w:sz="4" w:space="0" w:color="auto"/>
              <w:left w:val="single" w:sz="8" w:space="0" w:color="auto"/>
              <w:bottom w:val="nil"/>
              <w:right w:val="nil"/>
            </w:tcBorders>
            <w:vAlign w:val="bottom"/>
          </w:tcPr>
          <w:p w:rsidR="000C7E45" w:rsidRPr="00F240EB" w:rsidRDefault="000C7E45" w:rsidP="003764D8">
            <w:pPr>
              <w:rPr>
                <w:rFonts w:ascii="Calibri" w:hAnsi="Calibri"/>
                <w:color w:val="000000"/>
                <w:szCs w:val="22"/>
              </w:rPr>
            </w:pPr>
          </w:p>
        </w:tc>
        <w:tc>
          <w:tcPr>
            <w:tcW w:w="0" w:type="auto"/>
            <w:tcBorders>
              <w:top w:val="single" w:sz="4" w:space="0" w:color="auto"/>
              <w:left w:val="nil"/>
              <w:bottom w:val="double" w:sz="6" w:space="0" w:color="auto"/>
              <w:right w:val="nil"/>
            </w:tcBorders>
          </w:tcPr>
          <w:p w:rsidR="000C7E45" w:rsidRPr="00F240EB" w:rsidRDefault="000C7E45" w:rsidP="003764D8">
            <w:pPr>
              <w:rPr>
                <w:rFonts w:ascii="Calibri" w:hAnsi="Calibri"/>
                <w:b/>
                <w:bCs/>
                <w:color w:val="000000"/>
                <w:szCs w:val="22"/>
              </w:rPr>
            </w:pPr>
            <w:r w:rsidRPr="00F240EB">
              <w:rPr>
                <w:rFonts w:ascii="Calibri" w:hAnsi="Calibri"/>
                <w:b/>
                <w:bCs/>
                <w:color w:val="000000"/>
                <w:sz w:val="22"/>
                <w:szCs w:val="22"/>
              </w:rPr>
              <w:t>Overall</w:t>
            </w:r>
          </w:p>
          <w:p w:rsidR="000C7E45" w:rsidRPr="00F240EB" w:rsidRDefault="000C7E45" w:rsidP="003764D8">
            <w:pPr>
              <w:rPr>
                <w:rFonts w:ascii="Calibri" w:hAnsi="Calibri"/>
                <w:b/>
                <w:bCs/>
                <w:color w:val="000000"/>
                <w:szCs w:val="22"/>
              </w:rPr>
            </w:pPr>
          </w:p>
        </w:tc>
        <w:tc>
          <w:tcPr>
            <w:tcW w:w="0" w:type="auto"/>
            <w:gridSpan w:val="2"/>
            <w:tcBorders>
              <w:top w:val="single" w:sz="4" w:space="0" w:color="auto"/>
              <w:left w:val="nil"/>
              <w:bottom w:val="double" w:sz="6" w:space="0" w:color="auto"/>
              <w:right w:val="nil"/>
            </w:tcBorders>
            <w:vAlign w:val="bottom"/>
          </w:tcPr>
          <w:p w:rsidR="000C7E45" w:rsidRPr="00F240EB" w:rsidRDefault="000C7E45" w:rsidP="003764D8">
            <w:pPr>
              <w:rPr>
                <w:rFonts w:ascii="Calibri" w:hAnsi="Calibri"/>
                <w:b/>
                <w:bCs/>
                <w:color w:val="000000"/>
                <w:szCs w:val="22"/>
              </w:rPr>
            </w:pPr>
            <w:r w:rsidRPr="00F240EB">
              <w:rPr>
                <w:rFonts w:ascii="Calibri" w:hAnsi="Calibri"/>
                <w:b/>
                <w:bCs/>
                <w:color w:val="000000"/>
                <w:sz w:val="22"/>
                <w:szCs w:val="22"/>
              </w:rPr>
              <w:t>Within 1 Month of Death</w:t>
            </w:r>
          </w:p>
        </w:tc>
        <w:tc>
          <w:tcPr>
            <w:tcW w:w="0" w:type="auto"/>
            <w:gridSpan w:val="2"/>
            <w:tcBorders>
              <w:top w:val="single" w:sz="4" w:space="0" w:color="auto"/>
              <w:left w:val="nil"/>
              <w:bottom w:val="double" w:sz="6" w:space="0" w:color="auto"/>
              <w:right w:val="nil"/>
            </w:tcBorders>
            <w:vAlign w:val="bottom"/>
          </w:tcPr>
          <w:p w:rsidR="000C7E45" w:rsidRPr="00F240EB" w:rsidRDefault="000C7E45" w:rsidP="003764D8">
            <w:pPr>
              <w:rPr>
                <w:rFonts w:ascii="Calibri" w:hAnsi="Calibri"/>
                <w:b/>
                <w:bCs/>
                <w:color w:val="000000"/>
                <w:szCs w:val="22"/>
              </w:rPr>
            </w:pPr>
            <w:r w:rsidRPr="00F240EB">
              <w:rPr>
                <w:rFonts w:ascii="Calibri" w:hAnsi="Calibri"/>
                <w:b/>
                <w:bCs/>
                <w:color w:val="000000"/>
                <w:sz w:val="22"/>
                <w:szCs w:val="22"/>
              </w:rPr>
              <w:t>Within 3 Months of Death</w:t>
            </w:r>
          </w:p>
        </w:tc>
        <w:tc>
          <w:tcPr>
            <w:tcW w:w="0" w:type="auto"/>
            <w:gridSpan w:val="2"/>
            <w:tcBorders>
              <w:top w:val="single" w:sz="4" w:space="0" w:color="auto"/>
              <w:left w:val="nil"/>
              <w:bottom w:val="double" w:sz="6" w:space="0" w:color="auto"/>
              <w:right w:val="nil"/>
            </w:tcBorders>
            <w:vAlign w:val="bottom"/>
          </w:tcPr>
          <w:p w:rsidR="000C7E45" w:rsidRPr="00F240EB" w:rsidRDefault="000C7E45" w:rsidP="003764D8">
            <w:pPr>
              <w:rPr>
                <w:rFonts w:ascii="Calibri" w:hAnsi="Calibri"/>
                <w:b/>
                <w:bCs/>
                <w:color w:val="000000"/>
                <w:szCs w:val="22"/>
              </w:rPr>
            </w:pPr>
            <w:r w:rsidRPr="00F240EB">
              <w:rPr>
                <w:rFonts w:ascii="Calibri" w:hAnsi="Calibri"/>
                <w:b/>
                <w:bCs/>
                <w:color w:val="000000"/>
                <w:sz w:val="22"/>
                <w:szCs w:val="22"/>
              </w:rPr>
              <w:t>Within 6 Months of Death</w:t>
            </w:r>
          </w:p>
        </w:tc>
        <w:tc>
          <w:tcPr>
            <w:tcW w:w="0" w:type="auto"/>
            <w:gridSpan w:val="2"/>
            <w:tcBorders>
              <w:top w:val="single" w:sz="4" w:space="0" w:color="auto"/>
              <w:left w:val="nil"/>
              <w:bottom w:val="double" w:sz="6" w:space="0" w:color="auto"/>
              <w:right w:val="single" w:sz="8" w:space="0" w:color="000000"/>
            </w:tcBorders>
            <w:vAlign w:val="center"/>
          </w:tcPr>
          <w:p w:rsidR="000C7E45" w:rsidRPr="00F240EB" w:rsidRDefault="000C7E45" w:rsidP="003764D8">
            <w:pPr>
              <w:rPr>
                <w:rFonts w:ascii="Calibri" w:hAnsi="Calibri"/>
                <w:b/>
                <w:bCs/>
                <w:color w:val="000000"/>
                <w:szCs w:val="22"/>
              </w:rPr>
            </w:pPr>
            <w:r w:rsidRPr="00F240EB">
              <w:rPr>
                <w:rFonts w:ascii="Calibri" w:hAnsi="Calibri"/>
                <w:b/>
                <w:bCs/>
                <w:color w:val="000000"/>
                <w:sz w:val="22"/>
                <w:szCs w:val="22"/>
              </w:rPr>
              <w:t>Within Study Period</w:t>
            </w:r>
          </w:p>
        </w:tc>
      </w:tr>
      <w:tr w:rsidR="000C7E45" w:rsidRPr="00F240EB" w:rsidTr="00C561A4">
        <w:trPr>
          <w:trHeight w:val="277"/>
          <w:jc w:val="center"/>
        </w:trPr>
        <w:tc>
          <w:tcPr>
            <w:tcW w:w="0" w:type="auto"/>
            <w:tcBorders>
              <w:top w:val="nil"/>
              <w:left w:val="single" w:sz="8" w:space="0" w:color="auto"/>
              <w:bottom w:val="single" w:sz="4" w:space="0" w:color="auto"/>
              <w:right w:val="nil"/>
            </w:tcBorders>
            <w:noWrap/>
            <w:vAlign w:val="bottom"/>
          </w:tcPr>
          <w:p w:rsidR="000C7E45" w:rsidRPr="00CA6DF5" w:rsidRDefault="000C7E45">
            <w:pPr>
              <w:rPr>
                <w:rFonts w:ascii="Calibri" w:hAnsi="Calibri"/>
                <w:b/>
                <w:color w:val="000000"/>
                <w:szCs w:val="22"/>
              </w:rPr>
            </w:pPr>
            <w:r w:rsidRPr="00CA6DF5">
              <w:rPr>
                <w:rFonts w:ascii="Calibri" w:hAnsi="Calibri"/>
                <w:b/>
                <w:color w:val="000000"/>
                <w:sz w:val="22"/>
                <w:szCs w:val="22"/>
              </w:rPr>
              <w:t> </w:t>
            </w:r>
            <w:r>
              <w:rPr>
                <w:rFonts w:ascii="Calibri" w:hAnsi="Calibri"/>
                <w:b/>
                <w:color w:val="000000"/>
                <w:sz w:val="22"/>
                <w:szCs w:val="22"/>
              </w:rPr>
              <w:t xml:space="preserve">    </w:t>
            </w:r>
            <w:r w:rsidRPr="00CA6DF5">
              <w:rPr>
                <w:rFonts w:ascii="Calibri" w:hAnsi="Calibri"/>
                <w:b/>
                <w:color w:val="000000"/>
                <w:sz w:val="22"/>
                <w:szCs w:val="22"/>
              </w:rPr>
              <w:t>Toxicology Result</w:t>
            </w:r>
          </w:p>
        </w:tc>
        <w:tc>
          <w:tcPr>
            <w:tcW w:w="0" w:type="auto"/>
            <w:tcBorders>
              <w:top w:val="nil"/>
              <w:left w:val="nil"/>
              <w:bottom w:val="single" w:sz="4" w:space="0" w:color="auto"/>
              <w:right w:val="nil"/>
            </w:tcBorders>
          </w:tcPr>
          <w:p w:rsidR="000C7E45" w:rsidRPr="00F240EB" w:rsidRDefault="000C7E45" w:rsidP="003764D8">
            <w:pPr>
              <w:rPr>
                <w:rFonts w:ascii="Calibri" w:hAnsi="Calibri"/>
                <w:b/>
                <w:bCs/>
                <w:color w:val="000000"/>
                <w:szCs w:val="22"/>
              </w:rPr>
            </w:pPr>
            <w:r w:rsidRPr="00F240EB">
              <w:rPr>
                <w:rFonts w:ascii="Calibri" w:hAnsi="Calibri"/>
                <w:b/>
                <w:bCs/>
                <w:color w:val="000000"/>
                <w:sz w:val="22"/>
                <w:szCs w:val="22"/>
              </w:rPr>
              <w:t>n</w:t>
            </w:r>
          </w:p>
        </w:tc>
        <w:tc>
          <w:tcPr>
            <w:tcW w:w="0" w:type="auto"/>
            <w:tcBorders>
              <w:top w:val="nil"/>
              <w:left w:val="nil"/>
              <w:bottom w:val="single" w:sz="4" w:space="0" w:color="auto"/>
              <w:right w:val="nil"/>
            </w:tcBorders>
            <w:noWrap/>
            <w:vAlign w:val="bottom"/>
          </w:tcPr>
          <w:p w:rsidR="000C7E45" w:rsidRPr="00F240EB" w:rsidRDefault="000C7E45" w:rsidP="003764D8">
            <w:pPr>
              <w:rPr>
                <w:rFonts w:ascii="Calibri" w:hAnsi="Calibri"/>
                <w:b/>
                <w:bCs/>
                <w:color w:val="000000"/>
                <w:szCs w:val="22"/>
              </w:rPr>
            </w:pPr>
            <w:r w:rsidRPr="00F240EB">
              <w:rPr>
                <w:rFonts w:ascii="Calibri" w:hAnsi="Calibri"/>
                <w:b/>
                <w:bCs/>
                <w:color w:val="000000"/>
                <w:sz w:val="22"/>
                <w:szCs w:val="22"/>
              </w:rPr>
              <w:t>n</w:t>
            </w:r>
          </w:p>
        </w:tc>
        <w:tc>
          <w:tcPr>
            <w:tcW w:w="0" w:type="auto"/>
            <w:tcBorders>
              <w:top w:val="nil"/>
              <w:left w:val="nil"/>
              <w:bottom w:val="single" w:sz="4" w:space="0" w:color="auto"/>
              <w:right w:val="nil"/>
            </w:tcBorders>
            <w:noWrap/>
            <w:vAlign w:val="bottom"/>
          </w:tcPr>
          <w:p w:rsidR="000C7E45" w:rsidRPr="00F240EB" w:rsidRDefault="000C7E45" w:rsidP="003764D8">
            <w:pPr>
              <w:rPr>
                <w:rFonts w:ascii="Calibri" w:hAnsi="Calibri"/>
                <w:b/>
                <w:bCs/>
                <w:color w:val="000000"/>
                <w:szCs w:val="22"/>
              </w:rPr>
            </w:pPr>
            <w:r w:rsidRPr="00F240EB">
              <w:rPr>
                <w:rFonts w:ascii="Calibri" w:hAnsi="Calibri"/>
                <w:b/>
                <w:bCs/>
                <w:color w:val="000000"/>
                <w:sz w:val="22"/>
                <w:szCs w:val="22"/>
              </w:rPr>
              <w:t>%</w:t>
            </w:r>
          </w:p>
        </w:tc>
        <w:tc>
          <w:tcPr>
            <w:tcW w:w="0" w:type="auto"/>
            <w:tcBorders>
              <w:top w:val="nil"/>
              <w:left w:val="nil"/>
              <w:bottom w:val="single" w:sz="4" w:space="0" w:color="auto"/>
              <w:right w:val="nil"/>
            </w:tcBorders>
            <w:noWrap/>
            <w:vAlign w:val="bottom"/>
          </w:tcPr>
          <w:p w:rsidR="000C7E45" w:rsidRPr="00F240EB" w:rsidRDefault="000C7E45" w:rsidP="003764D8">
            <w:pPr>
              <w:rPr>
                <w:rFonts w:ascii="Calibri" w:hAnsi="Calibri"/>
                <w:b/>
                <w:bCs/>
                <w:color w:val="000000"/>
                <w:szCs w:val="22"/>
              </w:rPr>
            </w:pPr>
            <w:r w:rsidRPr="00F240EB">
              <w:rPr>
                <w:rFonts w:ascii="Calibri" w:hAnsi="Calibri"/>
                <w:b/>
                <w:bCs/>
                <w:color w:val="000000"/>
                <w:sz w:val="22"/>
                <w:szCs w:val="22"/>
              </w:rPr>
              <w:t>n</w:t>
            </w:r>
          </w:p>
        </w:tc>
        <w:tc>
          <w:tcPr>
            <w:tcW w:w="0" w:type="auto"/>
            <w:tcBorders>
              <w:top w:val="nil"/>
              <w:left w:val="nil"/>
              <w:bottom w:val="single" w:sz="4" w:space="0" w:color="auto"/>
              <w:right w:val="nil"/>
            </w:tcBorders>
            <w:noWrap/>
            <w:vAlign w:val="bottom"/>
          </w:tcPr>
          <w:p w:rsidR="000C7E45" w:rsidRPr="00F240EB" w:rsidRDefault="000C7E45" w:rsidP="003764D8">
            <w:pPr>
              <w:rPr>
                <w:rFonts w:ascii="Calibri" w:hAnsi="Calibri"/>
                <w:b/>
                <w:bCs/>
                <w:color w:val="000000"/>
                <w:szCs w:val="22"/>
              </w:rPr>
            </w:pPr>
            <w:r w:rsidRPr="00F240EB">
              <w:rPr>
                <w:rFonts w:ascii="Calibri" w:hAnsi="Calibri"/>
                <w:b/>
                <w:bCs/>
                <w:color w:val="000000"/>
                <w:sz w:val="22"/>
                <w:szCs w:val="22"/>
              </w:rPr>
              <w:t>%</w:t>
            </w:r>
          </w:p>
        </w:tc>
        <w:tc>
          <w:tcPr>
            <w:tcW w:w="0" w:type="auto"/>
            <w:tcBorders>
              <w:top w:val="nil"/>
              <w:left w:val="nil"/>
              <w:bottom w:val="single" w:sz="4" w:space="0" w:color="auto"/>
              <w:right w:val="nil"/>
            </w:tcBorders>
            <w:noWrap/>
            <w:vAlign w:val="bottom"/>
          </w:tcPr>
          <w:p w:rsidR="000C7E45" w:rsidRPr="00F240EB" w:rsidRDefault="000C7E45" w:rsidP="003764D8">
            <w:pPr>
              <w:rPr>
                <w:rFonts w:ascii="Calibri" w:hAnsi="Calibri"/>
                <w:b/>
                <w:bCs/>
                <w:color w:val="000000"/>
                <w:szCs w:val="22"/>
              </w:rPr>
            </w:pPr>
            <w:r w:rsidRPr="00F240EB">
              <w:rPr>
                <w:rFonts w:ascii="Calibri" w:hAnsi="Calibri"/>
                <w:b/>
                <w:bCs/>
                <w:color w:val="000000"/>
                <w:sz w:val="22"/>
                <w:szCs w:val="22"/>
              </w:rPr>
              <w:t>n</w:t>
            </w:r>
          </w:p>
        </w:tc>
        <w:tc>
          <w:tcPr>
            <w:tcW w:w="0" w:type="auto"/>
            <w:tcBorders>
              <w:top w:val="nil"/>
              <w:left w:val="nil"/>
              <w:bottom w:val="single" w:sz="4" w:space="0" w:color="auto"/>
              <w:right w:val="nil"/>
            </w:tcBorders>
            <w:noWrap/>
            <w:vAlign w:val="bottom"/>
          </w:tcPr>
          <w:p w:rsidR="000C7E45" w:rsidRPr="00F240EB" w:rsidRDefault="000C7E45" w:rsidP="003764D8">
            <w:pPr>
              <w:rPr>
                <w:rFonts w:ascii="Calibri" w:hAnsi="Calibri"/>
                <w:b/>
                <w:bCs/>
                <w:color w:val="000000"/>
                <w:szCs w:val="22"/>
              </w:rPr>
            </w:pPr>
            <w:r w:rsidRPr="00F240EB">
              <w:rPr>
                <w:rFonts w:ascii="Calibri" w:hAnsi="Calibri"/>
                <w:b/>
                <w:bCs/>
                <w:color w:val="000000"/>
                <w:sz w:val="22"/>
                <w:szCs w:val="22"/>
              </w:rPr>
              <w:t>%</w:t>
            </w:r>
          </w:p>
        </w:tc>
        <w:tc>
          <w:tcPr>
            <w:tcW w:w="0" w:type="auto"/>
            <w:tcBorders>
              <w:top w:val="nil"/>
              <w:left w:val="nil"/>
              <w:bottom w:val="single" w:sz="4" w:space="0" w:color="auto"/>
              <w:right w:val="nil"/>
            </w:tcBorders>
            <w:noWrap/>
            <w:vAlign w:val="bottom"/>
          </w:tcPr>
          <w:p w:rsidR="000C7E45" w:rsidRPr="00F240EB" w:rsidRDefault="000C7E45" w:rsidP="003764D8">
            <w:pPr>
              <w:rPr>
                <w:rFonts w:ascii="Calibri" w:hAnsi="Calibri"/>
                <w:b/>
                <w:bCs/>
                <w:color w:val="000000"/>
                <w:szCs w:val="22"/>
              </w:rPr>
            </w:pPr>
            <w:r w:rsidRPr="00F240EB">
              <w:rPr>
                <w:rFonts w:ascii="Calibri" w:hAnsi="Calibri"/>
                <w:b/>
                <w:bCs/>
                <w:color w:val="000000"/>
                <w:sz w:val="22"/>
                <w:szCs w:val="22"/>
              </w:rPr>
              <w:t>n</w:t>
            </w:r>
          </w:p>
        </w:tc>
        <w:tc>
          <w:tcPr>
            <w:tcW w:w="0" w:type="auto"/>
            <w:tcBorders>
              <w:top w:val="nil"/>
              <w:left w:val="nil"/>
              <w:bottom w:val="single" w:sz="4" w:space="0" w:color="auto"/>
              <w:right w:val="single" w:sz="8" w:space="0" w:color="auto"/>
            </w:tcBorders>
            <w:noWrap/>
            <w:vAlign w:val="bottom"/>
          </w:tcPr>
          <w:p w:rsidR="000C7E45" w:rsidRPr="00F240EB" w:rsidRDefault="000C7E45" w:rsidP="003764D8">
            <w:pPr>
              <w:rPr>
                <w:rFonts w:ascii="Calibri" w:hAnsi="Calibri"/>
                <w:b/>
                <w:bCs/>
                <w:color w:val="000000"/>
                <w:szCs w:val="22"/>
              </w:rPr>
            </w:pPr>
            <w:r w:rsidRPr="00F240EB">
              <w:rPr>
                <w:rFonts w:ascii="Calibri" w:hAnsi="Calibri"/>
                <w:b/>
                <w:bCs/>
                <w:color w:val="000000"/>
                <w:sz w:val="22"/>
                <w:szCs w:val="22"/>
              </w:rPr>
              <w:t>%</w:t>
            </w:r>
          </w:p>
        </w:tc>
      </w:tr>
      <w:tr w:rsidR="000C7E45" w:rsidRPr="00F240EB" w:rsidTr="00C561A4">
        <w:trPr>
          <w:trHeight w:val="264"/>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0C7E45" w:rsidRPr="00F240EB" w:rsidRDefault="000C7E45">
            <w:pPr>
              <w:rPr>
                <w:rFonts w:ascii="Calibri" w:hAnsi="Calibri"/>
                <w:b/>
                <w:bCs/>
                <w:color w:val="000000"/>
                <w:szCs w:val="22"/>
              </w:rPr>
            </w:pPr>
            <w:r w:rsidRPr="00F240EB">
              <w:rPr>
                <w:rFonts w:ascii="Calibri" w:hAnsi="Calibri"/>
                <w:b/>
                <w:bCs/>
                <w:color w:val="000000"/>
                <w:sz w:val="22"/>
                <w:szCs w:val="22"/>
              </w:rPr>
              <w:t>Fentanyl and Definite Heroin Present</w:t>
            </w:r>
          </w:p>
        </w:tc>
        <w:tc>
          <w:tcPr>
            <w:tcW w:w="0" w:type="auto"/>
            <w:tcBorders>
              <w:top w:val="single" w:sz="4" w:space="0" w:color="auto"/>
              <w:left w:val="single" w:sz="4" w:space="0" w:color="auto"/>
              <w:bottom w:val="single" w:sz="4" w:space="0" w:color="auto"/>
              <w:right w:val="single" w:sz="4" w:space="0" w:color="auto"/>
            </w:tcBorders>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166</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14</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14.7</w:t>
            </w:r>
            <w:r>
              <w:rPr>
                <w:rFonts w:ascii="Calibri" w:hAnsi="Calibri"/>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21</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22.1</w:t>
            </w:r>
            <w:r>
              <w:rPr>
                <w:rFonts w:ascii="Calibri" w:hAnsi="Calibri"/>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21</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22.1</w:t>
            </w:r>
            <w:r>
              <w:rPr>
                <w:rFonts w:ascii="Calibri" w:hAnsi="Calibri"/>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47</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49.</w:t>
            </w:r>
            <w:r>
              <w:rPr>
                <w:rFonts w:ascii="Calibri" w:hAnsi="Calibri"/>
                <w:color w:val="000000"/>
                <w:sz w:val="22"/>
                <w:szCs w:val="22"/>
              </w:rPr>
              <w:t>5%</w:t>
            </w:r>
          </w:p>
        </w:tc>
      </w:tr>
      <w:tr w:rsidR="000C7E45" w:rsidRPr="00F240EB" w:rsidTr="00C561A4">
        <w:trPr>
          <w:trHeight w:val="264"/>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0C7E45" w:rsidRPr="00F240EB" w:rsidRDefault="000C7E45">
            <w:pPr>
              <w:rPr>
                <w:rFonts w:ascii="Calibri" w:hAnsi="Calibri"/>
                <w:b/>
                <w:bCs/>
                <w:color w:val="000000"/>
                <w:szCs w:val="22"/>
              </w:rPr>
            </w:pPr>
            <w:r w:rsidRPr="00F240EB">
              <w:rPr>
                <w:rFonts w:ascii="Calibri" w:hAnsi="Calibri"/>
                <w:b/>
                <w:bCs/>
                <w:color w:val="000000"/>
                <w:sz w:val="22"/>
                <w:szCs w:val="22"/>
              </w:rPr>
              <w:t>Fentanyl and Likely Heroin Present</w:t>
            </w:r>
          </w:p>
        </w:tc>
        <w:tc>
          <w:tcPr>
            <w:tcW w:w="0" w:type="auto"/>
            <w:tcBorders>
              <w:top w:val="single" w:sz="4" w:space="0" w:color="auto"/>
              <w:left w:val="single" w:sz="4" w:space="0" w:color="auto"/>
              <w:bottom w:val="single" w:sz="4" w:space="0" w:color="auto"/>
              <w:right w:val="single" w:sz="4" w:space="0" w:color="auto"/>
            </w:tcBorders>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83</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6</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13.6</w:t>
            </w:r>
            <w:r>
              <w:rPr>
                <w:rFonts w:ascii="Calibri" w:hAnsi="Calibri"/>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6</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13.6</w:t>
            </w:r>
            <w:r>
              <w:rPr>
                <w:rFonts w:ascii="Calibri" w:hAnsi="Calibri"/>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7</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15.9</w:t>
            </w:r>
            <w:r>
              <w:rPr>
                <w:rFonts w:ascii="Calibri" w:hAnsi="Calibri"/>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14</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31.8</w:t>
            </w:r>
            <w:r>
              <w:rPr>
                <w:rFonts w:ascii="Calibri" w:hAnsi="Calibri"/>
                <w:color w:val="000000"/>
                <w:sz w:val="22"/>
                <w:szCs w:val="22"/>
              </w:rPr>
              <w:t>%</w:t>
            </w:r>
          </w:p>
        </w:tc>
      </w:tr>
      <w:tr w:rsidR="000C7E45" w:rsidRPr="00F240EB" w:rsidTr="00C561A4">
        <w:trPr>
          <w:trHeight w:val="264"/>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0C7E45" w:rsidRPr="00F240EB" w:rsidRDefault="000C7E45">
            <w:pPr>
              <w:rPr>
                <w:rFonts w:ascii="Calibri" w:hAnsi="Calibri"/>
                <w:b/>
                <w:bCs/>
                <w:color w:val="000000"/>
                <w:szCs w:val="22"/>
              </w:rPr>
            </w:pPr>
            <w:r w:rsidRPr="00F240EB">
              <w:rPr>
                <w:rFonts w:ascii="Calibri" w:hAnsi="Calibri"/>
                <w:b/>
                <w:bCs/>
                <w:color w:val="000000"/>
                <w:sz w:val="22"/>
                <w:szCs w:val="22"/>
              </w:rPr>
              <w:t>Fentanyl Present</w:t>
            </w:r>
          </w:p>
        </w:tc>
        <w:tc>
          <w:tcPr>
            <w:tcW w:w="0" w:type="auto"/>
            <w:tcBorders>
              <w:top w:val="single" w:sz="4" w:space="0" w:color="auto"/>
              <w:left w:val="single" w:sz="4" w:space="0" w:color="auto"/>
              <w:bottom w:val="single" w:sz="4" w:space="0" w:color="auto"/>
              <w:right w:val="single" w:sz="4" w:space="0" w:color="auto"/>
            </w:tcBorders>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288</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31</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18.0</w:t>
            </w:r>
            <w:r>
              <w:rPr>
                <w:rFonts w:ascii="Calibri" w:hAnsi="Calibri"/>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38</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22.</w:t>
            </w:r>
            <w:r>
              <w:rPr>
                <w:rFonts w:ascii="Calibri" w:hAnsi="Calibri"/>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44</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25.</w:t>
            </w:r>
            <w:r>
              <w:rPr>
                <w:rFonts w:ascii="Calibri" w:hAnsi="Calibri"/>
                <w:color w:val="000000"/>
                <w:sz w:val="22"/>
                <w:szCs w:val="22"/>
              </w:rPr>
              <w:t>6%</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78</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45.</w:t>
            </w:r>
            <w:r>
              <w:rPr>
                <w:rFonts w:ascii="Calibri" w:hAnsi="Calibri"/>
                <w:color w:val="000000"/>
                <w:sz w:val="22"/>
                <w:szCs w:val="22"/>
              </w:rPr>
              <w:t>4%</w:t>
            </w:r>
          </w:p>
        </w:tc>
      </w:tr>
      <w:tr w:rsidR="000C7E45" w:rsidRPr="00F240EB" w:rsidTr="00C561A4">
        <w:trPr>
          <w:trHeight w:val="264"/>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0C7E45" w:rsidRPr="00F240EB" w:rsidRDefault="000C7E45">
            <w:pPr>
              <w:rPr>
                <w:rFonts w:ascii="Calibri" w:hAnsi="Calibri"/>
                <w:b/>
                <w:bCs/>
                <w:color w:val="000000"/>
                <w:szCs w:val="22"/>
              </w:rPr>
            </w:pPr>
            <w:r w:rsidRPr="00F240EB">
              <w:rPr>
                <w:rFonts w:ascii="Calibri" w:hAnsi="Calibri"/>
                <w:b/>
                <w:bCs/>
                <w:color w:val="000000"/>
                <w:sz w:val="22"/>
                <w:szCs w:val="22"/>
              </w:rPr>
              <w:t>Definite Heroin Present</w:t>
            </w:r>
          </w:p>
        </w:tc>
        <w:tc>
          <w:tcPr>
            <w:tcW w:w="0" w:type="auto"/>
            <w:tcBorders>
              <w:top w:val="single" w:sz="4" w:space="0" w:color="auto"/>
              <w:left w:val="single" w:sz="4" w:space="0" w:color="auto"/>
              <w:bottom w:val="single" w:sz="4" w:space="0" w:color="auto"/>
              <w:right w:val="single" w:sz="4" w:space="0" w:color="auto"/>
            </w:tcBorders>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547</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54</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17.9</w:t>
            </w:r>
            <w:r>
              <w:rPr>
                <w:rFonts w:ascii="Calibri" w:hAnsi="Calibri"/>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75</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24.9</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93</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30.9</w:t>
            </w:r>
            <w:r>
              <w:rPr>
                <w:rFonts w:ascii="Calibri" w:hAnsi="Calibri"/>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146</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48.5</w:t>
            </w:r>
            <w:r>
              <w:rPr>
                <w:rFonts w:ascii="Calibri" w:hAnsi="Calibri"/>
                <w:color w:val="000000"/>
                <w:sz w:val="22"/>
                <w:szCs w:val="22"/>
              </w:rPr>
              <w:t>%</w:t>
            </w:r>
          </w:p>
        </w:tc>
      </w:tr>
      <w:tr w:rsidR="000C7E45" w:rsidRPr="00F240EB" w:rsidTr="00C561A4">
        <w:trPr>
          <w:trHeight w:val="264"/>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0C7E45" w:rsidRPr="00F240EB" w:rsidRDefault="000C7E45">
            <w:pPr>
              <w:rPr>
                <w:rFonts w:ascii="Calibri" w:hAnsi="Calibri"/>
                <w:b/>
                <w:bCs/>
                <w:color w:val="000000"/>
                <w:szCs w:val="22"/>
              </w:rPr>
            </w:pPr>
            <w:r w:rsidRPr="00F240EB">
              <w:rPr>
                <w:rFonts w:ascii="Calibri" w:hAnsi="Calibri"/>
                <w:b/>
                <w:bCs/>
                <w:color w:val="000000"/>
                <w:sz w:val="22"/>
                <w:szCs w:val="22"/>
              </w:rPr>
              <w:t>Likely Heroin Present</w:t>
            </w:r>
          </w:p>
        </w:tc>
        <w:tc>
          <w:tcPr>
            <w:tcW w:w="0" w:type="auto"/>
            <w:tcBorders>
              <w:top w:val="single" w:sz="4" w:space="0" w:color="auto"/>
              <w:left w:val="single" w:sz="4" w:space="0" w:color="auto"/>
              <w:bottom w:val="single" w:sz="4" w:space="0" w:color="auto"/>
              <w:right w:val="single" w:sz="4" w:space="0" w:color="auto"/>
            </w:tcBorders>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320</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40</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2</w:t>
            </w:r>
            <w:r>
              <w:rPr>
                <w:rFonts w:ascii="Calibri" w:hAnsi="Calibri"/>
                <w:color w:val="000000"/>
                <w:sz w:val="22"/>
                <w:szCs w:val="22"/>
              </w:rPr>
              <w:t>2.0%</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54</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29.</w:t>
            </w:r>
            <w:r>
              <w:rPr>
                <w:rFonts w:ascii="Calibri" w:hAnsi="Calibri"/>
                <w:color w:val="000000"/>
                <w:sz w:val="22"/>
                <w:szCs w:val="22"/>
              </w:rPr>
              <w:t>7</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63</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34.6</w:t>
            </w:r>
            <w:r>
              <w:rPr>
                <w:rFonts w:ascii="Calibri" w:hAnsi="Calibri"/>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94</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51.</w:t>
            </w:r>
            <w:r>
              <w:rPr>
                <w:rFonts w:ascii="Calibri" w:hAnsi="Calibri"/>
                <w:color w:val="000000"/>
                <w:sz w:val="22"/>
                <w:szCs w:val="22"/>
              </w:rPr>
              <w:t>7%</w:t>
            </w:r>
          </w:p>
        </w:tc>
      </w:tr>
      <w:tr w:rsidR="000C7E45" w:rsidRPr="00F240EB" w:rsidTr="00C561A4">
        <w:trPr>
          <w:trHeight w:val="264"/>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0C7E45" w:rsidRPr="00F240EB" w:rsidRDefault="000C7E45">
            <w:pPr>
              <w:rPr>
                <w:rFonts w:ascii="Calibri" w:hAnsi="Calibri"/>
                <w:b/>
                <w:bCs/>
                <w:color w:val="000000"/>
                <w:szCs w:val="22"/>
              </w:rPr>
            </w:pPr>
            <w:r w:rsidRPr="00F240EB">
              <w:rPr>
                <w:rFonts w:ascii="Calibri" w:hAnsi="Calibri"/>
                <w:b/>
                <w:bCs/>
                <w:color w:val="000000"/>
                <w:sz w:val="22"/>
                <w:szCs w:val="22"/>
              </w:rPr>
              <w:t>Methadone Present</w:t>
            </w:r>
          </w:p>
        </w:tc>
        <w:tc>
          <w:tcPr>
            <w:tcW w:w="0" w:type="auto"/>
            <w:tcBorders>
              <w:top w:val="single" w:sz="4" w:space="0" w:color="auto"/>
              <w:left w:val="single" w:sz="4" w:space="0" w:color="auto"/>
              <w:bottom w:val="single" w:sz="4" w:space="0" w:color="auto"/>
              <w:right w:val="single" w:sz="4" w:space="0" w:color="auto"/>
            </w:tcBorders>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84</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14</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24.1</w:t>
            </w:r>
            <w:r>
              <w:rPr>
                <w:rFonts w:ascii="Calibri" w:hAnsi="Calibri"/>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19</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32.</w:t>
            </w:r>
            <w:r>
              <w:rPr>
                <w:rFonts w:ascii="Calibri" w:hAnsi="Calibri"/>
                <w:color w:val="000000"/>
                <w:sz w:val="22"/>
                <w:szCs w:val="22"/>
              </w:rPr>
              <w:t>8%</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25</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43.1</w:t>
            </w:r>
            <w:r>
              <w:rPr>
                <w:rFonts w:ascii="Calibri" w:hAnsi="Calibri"/>
                <w:color w:val="000000"/>
                <w:sz w:val="22"/>
                <w:szCs w:val="22"/>
              </w:rPr>
              <w:t>%</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40</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Pr>
                <w:rFonts w:ascii="Calibri" w:hAnsi="Calibri"/>
                <w:color w:val="000000"/>
                <w:sz w:val="22"/>
                <w:szCs w:val="22"/>
              </w:rPr>
              <w:t>69.0%</w:t>
            </w:r>
          </w:p>
        </w:tc>
      </w:tr>
      <w:tr w:rsidR="000C7E45" w:rsidRPr="00F240EB" w:rsidTr="00C561A4">
        <w:trPr>
          <w:trHeight w:val="264"/>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0C7E45" w:rsidRPr="00F240EB" w:rsidRDefault="000C7E45">
            <w:pPr>
              <w:rPr>
                <w:rFonts w:ascii="Calibri" w:hAnsi="Calibri"/>
                <w:b/>
                <w:bCs/>
                <w:color w:val="000000"/>
                <w:szCs w:val="22"/>
              </w:rPr>
            </w:pPr>
            <w:r>
              <w:rPr>
                <w:rFonts w:ascii="Calibri" w:hAnsi="Calibri"/>
                <w:b/>
                <w:bCs/>
                <w:color w:val="000000"/>
                <w:sz w:val="22"/>
                <w:szCs w:val="22"/>
              </w:rPr>
              <w:t>Prescription Opioid</w:t>
            </w:r>
            <w:r w:rsidRPr="00F240EB">
              <w:rPr>
                <w:rFonts w:ascii="Calibri" w:hAnsi="Calibri"/>
                <w:b/>
                <w:bCs/>
                <w:color w:val="000000"/>
                <w:sz w:val="22"/>
                <w:szCs w:val="22"/>
              </w:rPr>
              <w:t xml:space="preserve"> Present</w:t>
            </w:r>
          </w:p>
        </w:tc>
        <w:tc>
          <w:tcPr>
            <w:tcW w:w="0" w:type="auto"/>
            <w:tcBorders>
              <w:top w:val="single" w:sz="4" w:space="0" w:color="auto"/>
              <w:left w:val="single" w:sz="4" w:space="0" w:color="auto"/>
              <w:bottom w:val="single" w:sz="4" w:space="0" w:color="auto"/>
              <w:right w:val="single" w:sz="4" w:space="0" w:color="auto"/>
            </w:tcBorders>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154</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24</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25.</w:t>
            </w:r>
            <w:r>
              <w:rPr>
                <w:rFonts w:ascii="Calibri" w:hAnsi="Calibri"/>
                <w:color w:val="000000"/>
                <w:sz w:val="22"/>
                <w:szCs w:val="22"/>
              </w:rPr>
              <w:t>3%</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34</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35.</w:t>
            </w:r>
            <w:r>
              <w:rPr>
                <w:rFonts w:ascii="Calibri" w:hAnsi="Calibri"/>
                <w:color w:val="000000"/>
                <w:sz w:val="22"/>
                <w:szCs w:val="22"/>
              </w:rPr>
              <w:t>8%</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39</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41.</w:t>
            </w:r>
            <w:r>
              <w:rPr>
                <w:rFonts w:ascii="Calibri" w:hAnsi="Calibri"/>
                <w:color w:val="000000"/>
                <w:sz w:val="22"/>
                <w:szCs w:val="22"/>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60</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63.</w:t>
            </w:r>
            <w:r>
              <w:rPr>
                <w:rFonts w:ascii="Calibri" w:hAnsi="Calibri"/>
                <w:color w:val="000000"/>
                <w:sz w:val="22"/>
                <w:szCs w:val="22"/>
              </w:rPr>
              <w:t>2%</w:t>
            </w:r>
          </w:p>
        </w:tc>
      </w:tr>
      <w:tr w:rsidR="000C7E45" w:rsidRPr="00F240EB" w:rsidTr="00C561A4">
        <w:trPr>
          <w:trHeight w:val="277"/>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0C7E45" w:rsidRPr="00F240EB" w:rsidRDefault="000C7E45">
            <w:pPr>
              <w:rPr>
                <w:rFonts w:ascii="Calibri" w:hAnsi="Calibri"/>
                <w:b/>
                <w:bCs/>
                <w:color w:val="000000"/>
                <w:szCs w:val="22"/>
              </w:rPr>
            </w:pPr>
            <w:r w:rsidRPr="00F240EB">
              <w:rPr>
                <w:rFonts w:ascii="Calibri" w:hAnsi="Calibri"/>
                <w:b/>
                <w:bCs/>
                <w:color w:val="000000"/>
                <w:sz w:val="22"/>
                <w:szCs w:val="22"/>
              </w:rPr>
              <w:t>Buprenorphine</w:t>
            </w:r>
          </w:p>
        </w:tc>
        <w:tc>
          <w:tcPr>
            <w:tcW w:w="0" w:type="auto"/>
            <w:tcBorders>
              <w:top w:val="single" w:sz="4" w:space="0" w:color="auto"/>
              <w:left w:val="single" w:sz="4" w:space="0" w:color="auto"/>
              <w:bottom w:val="single" w:sz="4" w:space="0" w:color="auto"/>
              <w:right w:val="single" w:sz="4" w:space="0" w:color="auto"/>
            </w:tcBorders>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15</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&lt;5</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N/A</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&lt;5</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N/A</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&lt;5</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N/</w:t>
            </w:r>
            <w:r>
              <w:rPr>
                <w:rFonts w:ascii="Calibri" w:hAnsi="Calibri"/>
                <w:color w:val="000000"/>
                <w:sz w:val="22"/>
                <w:szCs w:val="22"/>
              </w:rPr>
              <w:t>A</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8</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57.1</w:t>
            </w:r>
            <w:r>
              <w:rPr>
                <w:rFonts w:ascii="Calibri" w:hAnsi="Calibri"/>
                <w:color w:val="000000"/>
                <w:sz w:val="22"/>
                <w:szCs w:val="22"/>
              </w:rPr>
              <w:t>%</w:t>
            </w:r>
          </w:p>
        </w:tc>
      </w:tr>
      <w:tr w:rsidR="000C7E45" w:rsidRPr="00F240EB" w:rsidTr="00C561A4">
        <w:trPr>
          <w:trHeight w:val="277"/>
          <w:jc w:val="center"/>
        </w:trPr>
        <w:tc>
          <w:tcPr>
            <w:tcW w:w="0" w:type="auto"/>
            <w:tcBorders>
              <w:top w:val="single" w:sz="4" w:space="0" w:color="auto"/>
              <w:left w:val="single" w:sz="4" w:space="0" w:color="auto"/>
              <w:bottom w:val="single" w:sz="4" w:space="0" w:color="auto"/>
              <w:right w:val="single" w:sz="4" w:space="0" w:color="auto"/>
            </w:tcBorders>
            <w:noWrap/>
            <w:vAlign w:val="bottom"/>
          </w:tcPr>
          <w:p w:rsidR="000C7E45" w:rsidRPr="00F240EB" w:rsidRDefault="000C7E45">
            <w:pPr>
              <w:rPr>
                <w:rFonts w:ascii="Calibri" w:hAnsi="Calibri"/>
                <w:b/>
                <w:bCs/>
                <w:color w:val="000000"/>
                <w:szCs w:val="22"/>
              </w:rPr>
            </w:pPr>
            <w:r w:rsidRPr="00F240EB">
              <w:rPr>
                <w:rFonts w:ascii="Calibri" w:hAnsi="Calibri"/>
                <w:b/>
                <w:bCs/>
                <w:color w:val="000000"/>
                <w:sz w:val="22"/>
                <w:szCs w:val="22"/>
              </w:rPr>
              <w:t>Total</w:t>
            </w:r>
          </w:p>
        </w:tc>
        <w:tc>
          <w:tcPr>
            <w:tcW w:w="0" w:type="auto"/>
            <w:tcBorders>
              <w:top w:val="single" w:sz="4" w:space="0" w:color="auto"/>
              <w:left w:val="single" w:sz="4" w:space="0" w:color="auto"/>
              <w:bottom w:val="single" w:sz="4" w:space="0" w:color="auto"/>
              <w:right w:val="single" w:sz="4" w:space="0" w:color="auto"/>
            </w:tcBorders>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1657</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E11012" w:rsidRDefault="000C7E45" w:rsidP="003764D8">
            <w:pPr>
              <w:rPr>
                <w:rFonts w:ascii="Calibri" w:hAnsi="Calibri"/>
                <w:color w:val="000000"/>
                <w:szCs w:val="22"/>
                <w:vertAlign w:val="superscript"/>
              </w:rPr>
            </w:pPr>
            <w:r w:rsidRPr="00E11012">
              <w:rPr>
                <w:rFonts w:ascii="Calibri" w:hAnsi="Calibri"/>
                <w:color w:val="000000"/>
                <w:sz w:val="22"/>
                <w:szCs w:val="22"/>
              </w:rPr>
              <w:t>--</w:t>
            </w:r>
            <w:r w:rsidRPr="00E11012">
              <w:rPr>
                <w:rFonts w:ascii="Calibri" w:hAnsi="Calibri"/>
                <w:color w:val="000000"/>
                <w:sz w:val="22"/>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E11012" w:rsidRDefault="000C7E45" w:rsidP="003764D8">
            <w:pPr>
              <w:rPr>
                <w:rFonts w:ascii="Calibri" w:hAnsi="Calibri"/>
                <w:color w:val="000000"/>
                <w:szCs w:val="22"/>
              </w:rPr>
            </w:pPr>
            <w:r w:rsidRPr="00E11012">
              <w:rPr>
                <w:rFonts w:ascii="Calibri" w:hAnsi="Calibri"/>
                <w:color w:val="000000"/>
                <w:sz w:val="22"/>
                <w:szCs w:val="22"/>
              </w:rPr>
              <w:t>--</w:t>
            </w:r>
            <w:r w:rsidRPr="00E11012">
              <w:rPr>
                <w:rFonts w:ascii="Calibri" w:hAnsi="Calibri"/>
                <w:color w:val="000000"/>
                <w:sz w:val="22"/>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E11012" w:rsidRDefault="000C7E45" w:rsidP="003764D8">
            <w:pPr>
              <w:rPr>
                <w:rFonts w:ascii="Calibri" w:hAnsi="Calibri"/>
                <w:color w:val="000000"/>
                <w:szCs w:val="22"/>
              </w:rPr>
            </w:pPr>
            <w:r w:rsidRPr="00E11012">
              <w:rPr>
                <w:rFonts w:ascii="Calibri" w:hAnsi="Calibri"/>
                <w:color w:val="000000"/>
                <w:sz w:val="22"/>
                <w:szCs w:val="22"/>
              </w:rPr>
              <w:t>--</w:t>
            </w:r>
            <w:r w:rsidRPr="00E11012">
              <w:rPr>
                <w:rFonts w:ascii="Calibri" w:hAnsi="Calibri"/>
                <w:color w:val="000000"/>
                <w:sz w:val="22"/>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E11012" w:rsidRDefault="000C7E45" w:rsidP="003764D8">
            <w:pPr>
              <w:rPr>
                <w:rFonts w:ascii="Calibri" w:hAnsi="Calibri"/>
                <w:color w:val="000000"/>
                <w:szCs w:val="22"/>
              </w:rPr>
            </w:pPr>
            <w:r w:rsidRPr="00E11012">
              <w:rPr>
                <w:rFonts w:ascii="Calibri" w:hAnsi="Calibri"/>
                <w:color w:val="000000"/>
                <w:sz w:val="22"/>
                <w:szCs w:val="22"/>
              </w:rPr>
              <w:t>--</w:t>
            </w:r>
            <w:r w:rsidRPr="00E11012">
              <w:rPr>
                <w:rFonts w:ascii="Calibri" w:hAnsi="Calibri"/>
                <w:color w:val="000000"/>
                <w:sz w:val="22"/>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E11012" w:rsidRDefault="000C7E45" w:rsidP="003764D8">
            <w:pPr>
              <w:rPr>
                <w:rFonts w:ascii="Calibri" w:hAnsi="Calibri"/>
                <w:color w:val="000000"/>
                <w:szCs w:val="22"/>
              </w:rPr>
            </w:pPr>
            <w:r w:rsidRPr="00E11012">
              <w:rPr>
                <w:rFonts w:ascii="Calibri" w:hAnsi="Calibri"/>
                <w:color w:val="000000"/>
                <w:sz w:val="22"/>
                <w:szCs w:val="22"/>
              </w:rPr>
              <w:t>--</w:t>
            </w:r>
            <w:r w:rsidRPr="00E11012">
              <w:rPr>
                <w:rFonts w:ascii="Calibri" w:hAnsi="Calibri"/>
                <w:color w:val="000000"/>
                <w:sz w:val="22"/>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E11012" w:rsidRDefault="000C7E45" w:rsidP="003764D8">
            <w:pPr>
              <w:rPr>
                <w:rFonts w:ascii="Calibri" w:hAnsi="Calibri"/>
                <w:color w:val="000000"/>
                <w:szCs w:val="22"/>
              </w:rPr>
            </w:pPr>
            <w:r w:rsidRPr="00E11012">
              <w:rPr>
                <w:rFonts w:ascii="Calibri" w:hAnsi="Calibri"/>
                <w:color w:val="000000"/>
                <w:sz w:val="22"/>
                <w:szCs w:val="22"/>
              </w:rPr>
              <w:t>--</w:t>
            </w:r>
            <w:r w:rsidRPr="00E11012">
              <w:rPr>
                <w:rFonts w:ascii="Calibri" w:hAnsi="Calibri"/>
                <w:color w:val="000000"/>
                <w:sz w:val="22"/>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E11012" w:rsidRDefault="000C7E45" w:rsidP="003764D8">
            <w:pPr>
              <w:rPr>
                <w:rFonts w:ascii="Calibri" w:hAnsi="Calibri"/>
                <w:color w:val="000000"/>
                <w:szCs w:val="22"/>
                <w:vertAlign w:val="superscript"/>
              </w:rPr>
            </w:pPr>
            <w:r w:rsidRPr="00E11012">
              <w:rPr>
                <w:rFonts w:ascii="Calibri" w:hAnsi="Calibri"/>
                <w:color w:val="000000"/>
                <w:sz w:val="22"/>
                <w:szCs w:val="22"/>
              </w:rPr>
              <w:t>--</w:t>
            </w:r>
            <w:r w:rsidRPr="00E11012">
              <w:rPr>
                <w:rFonts w:ascii="Calibri" w:hAnsi="Calibri"/>
                <w:color w:val="000000"/>
                <w:sz w:val="22"/>
                <w:szCs w:val="22"/>
                <w:vertAlign w:val="superscript"/>
              </w:rPr>
              <w:t>1</w:t>
            </w:r>
          </w:p>
        </w:tc>
        <w:tc>
          <w:tcPr>
            <w:tcW w:w="0" w:type="auto"/>
            <w:tcBorders>
              <w:top w:val="single" w:sz="4" w:space="0" w:color="auto"/>
              <w:left w:val="single" w:sz="4" w:space="0" w:color="auto"/>
              <w:bottom w:val="single" w:sz="4" w:space="0" w:color="auto"/>
              <w:right w:val="single" w:sz="4" w:space="0" w:color="auto"/>
            </w:tcBorders>
            <w:noWrap/>
            <w:vAlign w:val="center"/>
          </w:tcPr>
          <w:p w:rsidR="000C7E45" w:rsidRPr="00F240EB" w:rsidRDefault="000C7E45" w:rsidP="003764D8">
            <w:pPr>
              <w:rPr>
                <w:rFonts w:ascii="Calibri" w:hAnsi="Calibri"/>
                <w:color w:val="000000"/>
                <w:szCs w:val="22"/>
              </w:rPr>
            </w:pPr>
            <w:r w:rsidRPr="00F240EB">
              <w:rPr>
                <w:rFonts w:ascii="Calibri" w:hAnsi="Calibri"/>
                <w:color w:val="000000"/>
                <w:sz w:val="22"/>
                <w:szCs w:val="22"/>
              </w:rPr>
              <w:t>50.4</w:t>
            </w:r>
            <w:r>
              <w:rPr>
                <w:rFonts w:ascii="Calibri" w:hAnsi="Calibri"/>
                <w:color w:val="000000"/>
                <w:sz w:val="22"/>
                <w:szCs w:val="22"/>
              </w:rPr>
              <w:t>%</w:t>
            </w:r>
          </w:p>
        </w:tc>
      </w:tr>
    </w:tbl>
    <w:p w:rsidR="0034597F" w:rsidRPr="003A4F27" w:rsidRDefault="000C7E45">
      <w:pPr>
        <w:pStyle w:val="ListParagraph"/>
        <w:widowControl w:val="0"/>
        <w:numPr>
          <w:ilvl w:val="0"/>
          <w:numId w:val="19"/>
        </w:numPr>
        <w:autoSpaceDE w:val="0"/>
        <w:autoSpaceDN w:val="0"/>
        <w:adjustRightInd w:val="0"/>
        <w:spacing w:line="480" w:lineRule="auto"/>
        <w:ind w:left="360"/>
        <w:rPr>
          <w:rFonts w:ascii="Calibri" w:hAnsi="Calibri"/>
          <w:sz w:val="18"/>
          <w:szCs w:val="22"/>
        </w:rPr>
      </w:pPr>
      <w:r w:rsidRPr="003A4F27">
        <w:rPr>
          <w:rFonts w:ascii="Calibri" w:hAnsi="Calibri"/>
          <w:sz w:val="18"/>
          <w:szCs w:val="22"/>
        </w:rPr>
        <w:t>Number not displayed because of complimentary suppression rules.</w:t>
      </w:r>
    </w:p>
    <w:p w:rsidR="000C7E45" w:rsidRPr="004259C1" w:rsidRDefault="00533FC0">
      <w:pPr>
        <w:spacing w:after="240" w:line="276" w:lineRule="auto"/>
        <w:ind w:firstLine="720"/>
        <w:rPr>
          <w:rFonts w:asciiTheme="minorHAnsi" w:hAnsiTheme="minorHAnsi"/>
          <w:sz w:val="22"/>
          <w:szCs w:val="22"/>
        </w:rPr>
      </w:pPr>
      <w:r w:rsidRPr="004259C1">
        <w:rPr>
          <w:rFonts w:asciiTheme="minorHAnsi" w:hAnsiTheme="minorHAnsi"/>
          <w:sz w:val="22"/>
          <w:szCs w:val="22"/>
        </w:rPr>
        <w:t>As a result</w:t>
      </w:r>
      <w:r w:rsidR="009D633F" w:rsidRPr="004259C1">
        <w:rPr>
          <w:rFonts w:asciiTheme="minorHAnsi" w:hAnsiTheme="minorHAnsi"/>
          <w:sz w:val="22"/>
          <w:szCs w:val="22"/>
        </w:rPr>
        <w:t xml:space="preserve"> of these findin</w:t>
      </w:r>
      <w:r w:rsidR="00137C13" w:rsidRPr="004259C1">
        <w:rPr>
          <w:rFonts w:asciiTheme="minorHAnsi" w:hAnsiTheme="minorHAnsi"/>
          <w:sz w:val="22"/>
          <w:szCs w:val="22"/>
        </w:rPr>
        <w:t>g</w:t>
      </w:r>
      <w:r w:rsidR="009D633F" w:rsidRPr="004259C1">
        <w:rPr>
          <w:rFonts w:asciiTheme="minorHAnsi" w:hAnsiTheme="minorHAnsi"/>
          <w:sz w:val="22"/>
          <w:szCs w:val="22"/>
        </w:rPr>
        <w:t>s</w:t>
      </w:r>
      <w:r w:rsidRPr="004259C1">
        <w:rPr>
          <w:rFonts w:asciiTheme="minorHAnsi" w:hAnsiTheme="minorHAnsi"/>
          <w:sz w:val="22"/>
          <w:szCs w:val="22"/>
        </w:rPr>
        <w:t xml:space="preserve">, increasing the availability of harm reduction strategies and interventions that target Heroin, Fentanyl, and polysubstance use (especially benzodiazepine and </w:t>
      </w:r>
      <w:r w:rsidR="00207F65" w:rsidRPr="004259C1">
        <w:rPr>
          <w:rFonts w:asciiTheme="minorHAnsi" w:hAnsiTheme="minorHAnsi"/>
          <w:sz w:val="22"/>
          <w:szCs w:val="22"/>
        </w:rPr>
        <w:t>c</w:t>
      </w:r>
      <w:r w:rsidRPr="004259C1">
        <w:rPr>
          <w:rFonts w:asciiTheme="minorHAnsi" w:hAnsiTheme="minorHAnsi"/>
          <w:sz w:val="22"/>
          <w:szCs w:val="22"/>
        </w:rPr>
        <w:t xml:space="preserve">ocaine use) could significantly reduce the opioid-related death rate.  </w:t>
      </w:r>
      <w:r w:rsidR="00C51C29" w:rsidRPr="004259C1">
        <w:rPr>
          <w:rFonts w:asciiTheme="minorHAnsi" w:hAnsiTheme="minorHAnsi"/>
          <w:sz w:val="22"/>
          <w:szCs w:val="22"/>
        </w:rPr>
        <w:t>In addition</w:t>
      </w:r>
      <w:r w:rsidR="00207F65" w:rsidRPr="004259C1">
        <w:rPr>
          <w:rFonts w:asciiTheme="minorHAnsi" w:hAnsiTheme="minorHAnsi"/>
          <w:sz w:val="22"/>
          <w:szCs w:val="22"/>
        </w:rPr>
        <w:t>, these</w:t>
      </w:r>
      <w:r w:rsidR="00C51C29" w:rsidRPr="004259C1">
        <w:rPr>
          <w:rFonts w:asciiTheme="minorHAnsi" w:hAnsiTheme="minorHAnsi"/>
          <w:sz w:val="22"/>
          <w:szCs w:val="22"/>
        </w:rPr>
        <w:t xml:space="preserve"> data were used to determine that the risk of death is 7 times higher for individuals who filled opioid prescriptions at 3 or more pharmacies.</w:t>
      </w:r>
    </w:p>
    <w:p w:rsidR="00EF03DC" w:rsidRPr="000C7E45" w:rsidRDefault="00EF03DC">
      <w:pPr>
        <w:spacing w:after="240" w:line="276" w:lineRule="auto"/>
        <w:ind w:firstLine="720"/>
        <w:rPr>
          <w:rFonts w:asciiTheme="minorHAnsi" w:hAnsiTheme="minorHAnsi" w:cs="Calibri"/>
          <w:sz w:val="22"/>
          <w:szCs w:val="22"/>
        </w:rPr>
      </w:pPr>
    </w:p>
    <w:p w:rsidR="009D633F" w:rsidRPr="003764D8" w:rsidRDefault="00533FC0" w:rsidP="00BA2011">
      <w:pPr>
        <w:pStyle w:val="PBody"/>
        <w:ind w:firstLine="0"/>
        <w:jc w:val="left"/>
        <w:rPr>
          <w:b/>
        </w:rPr>
      </w:pPr>
      <w:r w:rsidRPr="003764D8">
        <w:rPr>
          <w:b/>
        </w:rPr>
        <w:lastRenderedPageBreak/>
        <w:t>Medication Assisted Treatment Reduces the Risk of Fatal Opioid Overdose</w:t>
      </w:r>
      <w:r w:rsidR="009D633F" w:rsidRPr="003764D8">
        <w:rPr>
          <w:b/>
        </w:rPr>
        <w:t>.</w:t>
      </w:r>
    </w:p>
    <w:p w:rsidR="00137C13" w:rsidRDefault="00137C13" w:rsidP="00207F65">
      <w:pPr>
        <w:pStyle w:val="PBody"/>
        <w:ind w:firstLine="0"/>
        <w:jc w:val="left"/>
      </w:pPr>
      <w:r w:rsidRPr="00F240EB">
        <w:t xml:space="preserve">Over </w:t>
      </w:r>
      <w:r w:rsidR="000C7E45">
        <w:t>the study period,</w:t>
      </w:r>
      <w:r>
        <w:t xml:space="preserve"> 6.8% of </w:t>
      </w:r>
      <w:r w:rsidRPr="00F240EB">
        <w:t>total opioid</w:t>
      </w:r>
      <w:r>
        <w:t>-related</w:t>
      </w:r>
      <w:r w:rsidRPr="00F240EB">
        <w:t xml:space="preserve"> overdose deaths in Massachusetts were preceded by a nonfatal opioid</w:t>
      </w:r>
      <w:r>
        <w:t>-related</w:t>
      </w:r>
      <w:r w:rsidRPr="00F240EB">
        <w:t xml:space="preserve"> overdose</w:t>
      </w:r>
      <w:r>
        <w:t xml:space="preserve"> as detected in EMS data</w:t>
      </w:r>
      <w:r w:rsidRPr="00F240EB">
        <w:t>.</w:t>
      </w:r>
      <w:r>
        <w:t xml:space="preserve"> </w:t>
      </w:r>
      <w:r w:rsidR="000C7E45">
        <w:t>Of note, this estimate</w:t>
      </w:r>
      <w:r w:rsidR="000C7E45" w:rsidRPr="00F240EB">
        <w:t xml:space="preserve"> represent</w:t>
      </w:r>
      <w:r w:rsidR="000C7E45">
        <w:t>s</w:t>
      </w:r>
      <w:r w:rsidR="000C7E45" w:rsidRPr="00F240EB">
        <w:t xml:space="preserve"> a substantial underestimate of the number of nonfatal opioid</w:t>
      </w:r>
      <w:r w:rsidR="000C7E45">
        <w:t>-related</w:t>
      </w:r>
      <w:r w:rsidR="000C7E45" w:rsidRPr="00F240EB">
        <w:t xml:space="preserve"> overdoses in Massachusetts</w:t>
      </w:r>
      <w:r w:rsidR="000C7E45">
        <w:t>. N</w:t>
      </w:r>
      <w:r w:rsidR="000C7E45" w:rsidRPr="00F240EB">
        <w:t>ot all nonfatal opioid</w:t>
      </w:r>
      <w:r w:rsidR="000C7E45">
        <w:t>-related</w:t>
      </w:r>
      <w:r w:rsidR="000C7E45" w:rsidRPr="00F240EB">
        <w:t xml:space="preserve"> overdose events result in an ambulance encounter, and not all ambulance encounters are captured in </w:t>
      </w:r>
      <w:r w:rsidR="000C7E45">
        <w:t>the EMS (MATRIS) data. T</w:t>
      </w:r>
      <w:r w:rsidR="000C7E45" w:rsidRPr="00F240EB">
        <w:t>o build on this analysis</w:t>
      </w:r>
      <w:r w:rsidR="000C7E45">
        <w:t xml:space="preserve">, </w:t>
      </w:r>
      <w:r w:rsidR="000C7E45" w:rsidRPr="00F240EB">
        <w:t>nonfatal opioid</w:t>
      </w:r>
      <w:r w:rsidR="000C7E45">
        <w:t>-related</w:t>
      </w:r>
      <w:r w:rsidR="000C7E45" w:rsidRPr="00F240EB">
        <w:t xml:space="preserve"> overdoses identified in the emergency </w:t>
      </w:r>
      <w:r w:rsidR="000C7E45">
        <w:t>department</w:t>
      </w:r>
      <w:r w:rsidR="000C7E45" w:rsidRPr="00F240EB">
        <w:t xml:space="preserve"> and inpatient settings from the </w:t>
      </w:r>
      <w:r w:rsidR="000C7E45">
        <w:t>Case Mix</w:t>
      </w:r>
      <w:r w:rsidR="000C7E45" w:rsidRPr="00F240EB">
        <w:t xml:space="preserve"> </w:t>
      </w:r>
      <w:r w:rsidR="000C7E45">
        <w:t>will be included once these data</w:t>
      </w:r>
      <w:r w:rsidR="00207F65">
        <w:t xml:space="preserve">sets </w:t>
      </w:r>
      <w:r w:rsidR="000C7E45">
        <w:t>are available</w:t>
      </w:r>
      <w:r w:rsidR="00B814C4">
        <w:t>.</w:t>
      </w:r>
    </w:p>
    <w:p w:rsidR="00137C13" w:rsidRDefault="00137C13" w:rsidP="003D1C7B">
      <w:pPr>
        <w:pStyle w:val="PBody"/>
        <w:ind w:firstLine="0"/>
        <w:jc w:val="left"/>
      </w:pPr>
      <w:r>
        <w:t>T</w:t>
      </w:r>
      <w:r w:rsidRPr="00F240EB">
        <w:t>he cumulative incidence of fatal opioid</w:t>
      </w:r>
      <w:r>
        <w:t>-related</w:t>
      </w:r>
      <w:r w:rsidRPr="00F240EB">
        <w:t xml:space="preserve"> overdose was 1.1% for those engaged in </w:t>
      </w:r>
      <w:r w:rsidR="006924F6" w:rsidRPr="00F240EB">
        <w:t xml:space="preserve">opioid agonist treatment </w:t>
      </w:r>
      <w:r w:rsidR="006924F6">
        <w:t>(</w:t>
      </w:r>
      <w:r w:rsidRPr="00F240EB">
        <w:t>OAT</w:t>
      </w:r>
      <w:r w:rsidR="006924F6">
        <w:t xml:space="preserve">) </w:t>
      </w:r>
      <w:r w:rsidR="006924F6" w:rsidRPr="00570FB0">
        <w:rPr>
          <w:rFonts w:cs="Arial"/>
        </w:rPr>
        <w:t xml:space="preserve">(i.e., medications like </w:t>
      </w:r>
      <w:r w:rsidR="006924F6">
        <w:rPr>
          <w:rFonts w:cs="Arial"/>
        </w:rPr>
        <w:t>m</w:t>
      </w:r>
      <w:r w:rsidR="006924F6" w:rsidRPr="00570FB0">
        <w:rPr>
          <w:rFonts w:cs="Arial"/>
        </w:rPr>
        <w:t>ethadone &amp;</w:t>
      </w:r>
      <w:r w:rsidR="006924F6">
        <w:rPr>
          <w:rFonts w:cs="Arial"/>
        </w:rPr>
        <w:t xml:space="preserve"> b</w:t>
      </w:r>
      <w:r w:rsidR="006924F6" w:rsidRPr="00570FB0">
        <w:rPr>
          <w:rFonts w:cs="Arial"/>
        </w:rPr>
        <w:t>uprenorphine that block the effect of opioids)</w:t>
      </w:r>
      <w:r w:rsidRPr="00F240EB">
        <w:t xml:space="preserve"> versus 2.3% for those not engaged in OAT</w:t>
      </w:r>
      <w:r>
        <w:t xml:space="preserve">.  </w:t>
      </w:r>
      <w:r w:rsidR="000C7E45">
        <w:t>A</w:t>
      </w:r>
      <w:r>
        <w:t xml:space="preserve">mong people who have a nonfatal opioid-related overdose, those who are engaged in OAT had </w:t>
      </w:r>
      <w:r w:rsidR="000C7E45">
        <w:t xml:space="preserve">half the </w:t>
      </w:r>
      <w:r>
        <w:t xml:space="preserve">risk of subsequent fatal opioid-related overdose </w:t>
      </w:r>
      <w:r w:rsidR="000C7E45">
        <w:t>than</w:t>
      </w:r>
      <w:r>
        <w:t xml:space="preserve"> those who are not engaged in OAT.</w:t>
      </w:r>
    </w:p>
    <w:p w:rsidR="0011230A" w:rsidRDefault="0011230A" w:rsidP="003D1C7B">
      <w:pPr>
        <w:pStyle w:val="PBody"/>
        <w:ind w:firstLine="0"/>
        <w:jc w:val="left"/>
      </w:pPr>
    </w:p>
    <w:p w:rsidR="0034597F" w:rsidRDefault="0011230A" w:rsidP="003764D8">
      <w:pPr>
        <w:pStyle w:val="PBody"/>
        <w:jc w:val="left"/>
      </w:pPr>
      <w:r>
        <w:rPr>
          <w:noProof/>
        </w:rPr>
        <w:drawing>
          <wp:inline distT="0" distB="0" distL="0" distR="0" wp14:anchorId="36429661" wp14:editId="338FDE02">
            <wp:extent cx="5486400" cy="3067050"/>
            <wp:effectExtent l="0" t="0" r="19050" b="1905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4597F" w:rsidRDefault="0034597F" w:rsidP="003764D8">
      <w:pPr>
        <w:pStyle w:val="PBody"/>
        <w:jc w:val="left"/>
      </w:pPr>
    </w:p>
    <w:p w:rsidR="003A4F27" w:rsidRDefault="000C7E45" w:rsidP="003764D8">
      <w:pPr>
        <w:pStyle w:val="PBody"/>
        <w:ind w:firstLine="0"/>
        <w:jc w:val="left"/>
      </w:pPr>
      <w:r>
        <w:t>This suggests that overdose survivors</w:t>
      </w:r>
      <w:r w:rsidRPr="00A92FFC">
        <w:t xml:space="preserve"> have a short window of opportunity after a nonfatal overdose to reduce their risk of death</w:t>
      </w:r>
      <w:r>
        <w:t xml:space="preserve"> by undergoing an evidence-based medication-assisted treatment (MAT)</w:t>
      </w:r>
      <w:r w:rsidRPr="00A92FFC">
        <w:t xml:space="preserve">.  A comprehensive plan for delivering </w:t>
      </w:r>
      <w:r>
        <w:t>evidence-based MAT</w:t>
      </w:r>
      <w:r w:rsidRPr="00A92FFC">
        <w:t xml:space="preserve">, </w:t>
      </w:r>
      <w:r>
        <w:t>such as</w:t>
      </w:r>
      <w:r w:rsidRPr="00A92FFC">
        <w:t xml:space="preserve"> </w:t>
      </w:r>
      <w:r>
        <w:t>bup</w:t>
      </w:r>
      <w:r w:rsidRPr="00A92FFC">
        <w:t xml:space="preserve">renorphine or </w:t>
      </w:r>
      <w:r>
        <w:t>methadone treatment</w:t>
      </w:r>
      <w:r w:rsidRPr="00A92FFC">
        <w:t xml:space="preserve">, </w:t>
      </w:r>
      <w:r>
        <w:t>to treat</w:t>
      </w:r>
      <w:r w:rsidRPr="00A92FFC">
        <w:t xml:space="preserve"> opioid use disorder</w:t>
      </w:r>
      <w:r>
        <w:t xml:space="preserve"> for</w:t>
      </w:r>
      <w:r w:rsidRPr="00A92FFC">
        <w:t xml:space="preserve"> those with high overdose risk could significantly lower the death rate</w:t>
      </w:r>
      <w:r>
        <w:t>.  T</w:t>
      </w:r>
      <w:r w:rsidRPr="00A92FFC">
        <w:t xml:space="preserve">his report only includes data </w:t>
      </w:r>
      <w:r>
        <w:t>for state-funded</w:t>
      </w:r>
      <w:r w:rsidRPr="00A92FFC">
        <w:t xml:space="preserve"> opioid agonist treatment</w:t>
      </w:r>
      <w:r>
        <w:t xml:space="preserve"> (i.e. </w:t>
      </w:r>
      <w:r w:rsidRPr="00A92FFC">
        <w:t>Buprenorphine or Methadone</w:t>
      </w:r>
      <w:r>
        <w:t>).</w:t>
      </w:r>
      <w:r w:rsidRPr="00A92FFC">
        <w:t xml:space="preserve"> </w:t>
      </w:r>
      <w:r>
        <w:t xml:space="preserve">Work is ongoing to examine risk reductions associated with </w:t>
      </w:r>
      <w:r w:rsidRPr="00A92FFC">
        <w:t xml:space="preserve">additional </w:t>
      </w:r>
      <w:r>
        <w:t xml:space="preserve">MATs </w:t>
      </w:r>
      <w:r w:rsidRPr="00A92FFC">
        <w:t>including naltrexone</w:t>
      </w:r>
      <w:r>
        <w:t xml:space="preserve">. </w:t>
      </w:r>
      <w:r w:rsidRPr="000C7E45">
        <w:t>Naltrexone, also known as Vivitrol, is a Schedule VI drug</w:t>
      </w:r>
      <w:r w:rsidR="00207F65">
        <w:t xml:space="preserve"> and</w:t>
      </w:r>
      <w:r w:rsidRPr="000C7E45">
        <w:t xml:space="preserve"> it is not captured in the PDMP.</w:t>
      </w:r>
      <w:r w:rsidR="00207F65">
        <w:t xml:space="preserve"> </w:t>
      </w:r>
      <w:r w:rsidRPr="000C7E45">
        <w:t xml:space="preserve"> In future work, All Payer Claims Database (APCD) data will be used to assess the potential risk reduction associated with Vivitrol use.</w:t>
      </w:r>
    </w:p>
    <w:p w:rsidR="003A4F27" w:rsidRDefault="003A4F27" w:rsidP="003764D8">
      <w:pPr>
        <w:pStyle w:val="PBody"/>
        <w:jc w:val="left"/>
      </w:pPr>
    </w:p>
    <w:p w:rsidR="00137C13" w:rsidRPr="003764D8" w:rsidRDefault="00533FC0" w:rsidP="003764D8">
      <w:pPr>
        <w:pStyle w:val="PBody"/>
        <w:ind w:firstLine="0"/>
        <w:jc w:val="left"/>
        <w:rPr>
          <w:b/>
        </w:rPr>
      </w:pPr>
      <w:r w:rsidRPr="003764D8">
        <w:rPr>
          <w:b/>
        </w:rPr>
        <w:lastRenderedPageBreak/>
        <w:t xml:space="preserve">Women are More Likely </w:t>
      </w:r>
      <w:r w:rsidR="000C7E45" w:rsidRPr="003764D8">
        <w:rPr>
          <w:b/>
        </w:rPr>
        <w:t xml:space="preserve">than Men </w:t>
      </w:r>
      <w:r w:rsidRPr="003764D8">
        <w:rPr>
          <w:b/>
        </w:rPr>
        <w:t>to Experience a Fatal Overdose Due to Prescription Opioid Use</w:t>
      </w:r>
      <w:r w:rsidR="00137C13" w:rsidRPr="003764D8">
        <w:rPr>
          <w:b/>
        </w:rPr>
        <w:t>.</w:t>
      </w:r>
    </w:p>
    <w:p w:rsidR="00137C13" w:rsidRDefault="00533FC0" w:rsidP="00BA2011">
      <w:pPr>
        <w:pStyle w:val="PBody"/>
        <w:ind w:firstLine="0"/>
        <w:jc w:val="left"/>
      </w:pPr>
      <w:r w:rsidRPr="001178AC">
        <w:t xml:space="preserve">While </w:t>
      </w:r>
      <w:r>
        <w:t>men were found to be significantly more likely to die from an</w:t>
      </w:r>
      <w:r w:rsidR="00FB486A">
        <w:t>y</w:t>
      </w:r>
      <w:r>
        <w:t xml:space="preserve"> opioid-related overdose,</w:t>
      </w:r>
      <w:r>
        <w:rPr>
          <w:b/>
        </w:rPr>
        <w:t xml:space="preserve"> </w:t>
      </w:r>
      <w:r w:rsidRPr="00A92FFC">
        <w:t xml:space="preserve">women </w:t>
      </w:r>
      <w:r w:rsidR="00FB486A" w:rsidRPr="00A92FFC">
        <w:t xml:space="preserve">are more likely than men to </w:t>
      </w:r>
      <w:r w:rsidR="00FB486A">
        <w:t xml:space="preserve">die of a prescription opioid-related overdose. Women </w:t>
      </w:r>
      <w:r w:rsidRPr="00A92FFC">
        <w:t xml:space="preserve">are more likely than men to </w:t>
      </w:r>
      <w:r w:rsidR="00FB486A">
        <w:t xml:space="preserve">both </w:t>
      </w:r>
      <w:r w:rsidRPr="00A92FFC">
        <w:t xml:space="preserve">obtain </w:t>
      </w:r>
      <w:r w:rsidRPr="001C267C">
        <w:rPr>
          <w:rFonts w:cs="Arial"/>
        </w:rPr>
        <w:t xml:space="preserve">Schedule II-III </w:t>
      </w:r>
      <w:r w:rsidRPr="00A92FFC">
        <w:t xml:space="preserve">opioids and to have </w:t>
      </w:r>
      <w:r w:rsidRPr="001C267C">
        <w:rPr>
          <w:rFonts w:cs="Arial"/>
        </w:rPr>
        <w:t xml:space="preserve">Schedule II-III </w:t>
      </w:r>
      <w:r w:rsidRPr="00A92FFC">
        <w:t>opioids present in post-mortem toxicology</w:t>
      </w:r>
      <w:r>
        <w:t xml:space="preserve"> following an opioid-related overdose death</w:t>
      </w:r>
      <w:r w:rsidRPr="00A92FFC">
        <w:t xml:space="preserve">.  </w:t>
      </w:r>
    </w:p>
    <w:p w:rsidR="00A425BF" w:rsidRDefault="00A425BF" w:rsidP="003D1C7B">
      <w:pPr>
        <w:pStyle w:val="PBody"/>
        <w:ind w:firstLine="0"/>
        <w:jc w:val="left"/>
      </w:pPr>
      <w:r>
        <w:t>Additionally, females were more likely than males to have opioid prescriptions filled by multiple providers</w:t>
      </w:r>
      <w:r w:rsidR="000C7E45">
        <w:t xml:space="preserve"> and/or at multiple pharmacies. These finding highlight that p</w:t>
      </w:r>
      <w:r w:rsidR="000C7E45" w:rsidRPr="00447F84">
        <w:t>rescribers and pharmacists</w:t>
      </w:r>
      <w:r w:rsidR="000C7E45">
        <w:t xml:space="preserve"> should be educated about personal biases.</w:t>
      </w:r>
    </w:p>
    <w:p w:rsidR="0034597F" w:rsidRDefault="007F1755" w:rsidP="007F1755">
      <w:pPr>
        <w:pStyle w:val="PBody"/>
        <w:jc w:val="center"/>
      </w:pPr>
      <w:r w:rsidRPr="007F1755">
        <w:rPr>
          <w:noProof/>
        </w:rPr>
        <w:drawing>
          <wp:inline distT="0" distB="0" distL="0" distR="0" wp14:anchorId="37B9A14E" wp14:editId="676E0214">
            <wp:extent cx="5411055" cy="2781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4028" cy="2782828"/>
                    </a:xfrm>
                    <a:prstGeom prst="rect">
                      <a:avLst/>
                    </a:prstGeom>
                    <a:noFill/>
                    <a:ln>
                      <a:noFill/>
                    </a:ln>
                  </pic:spPr>
                </pic:pic>
              </a:graphicData>
            </a:graphic>
          </wp:inline>
        </w:drawing>
      </w:r>
    </w:p>
    <w:p w:rsidR="007F1755" w:rsidRPr="007F1755" w:rsidRDefault="00533FC0" w:rsidP="00207F65">
      <w:pPr>
        <w:pStyle w:val="PBody"/>
        <w:ind w:firstLine="0"/>
        <w:jc w:val="left"/>
      </w:pPr>
      <w:r w:rsidRPr="00A92FFC">
        <w:t>While legal</w:t>
      </w:r>
      <w:r>
        <w:t>ly-</w:t>
      </w:r>
      <w:r w:rsidRPr="00A92FFC">
        <w:t xml:space="preserve"> and </w:t>
      </w:r>
      <w:r>
        <w:t>illegally-obtained</w:t>
      </w:r>
      <w:r w:rsidRPr="00A92FFC">
        <w:t xml:space="preserve"> opioids pose a risk for men and women alike, prescribers and pharmacists should be educated to utilize</w:t>
      </w:r>
      <w:r>
        <w:t xml:space="preserve"> the Prescription Drug Monitoring Database (</w:t>
      </w:r>
      <w:r w:rsidRPr="00A92FFC">
        <w:t>PDMP</w:t>
      </w:r>
      <w:r>
        <w:t>) through th</w:t>
      </w:r>
      <w:r w:rsidRPr="00A92FFC">
        <w:t>e</w:t>
      </w:r>
      <w:r>
        <w:t xml:space="preserve"> Massachusetts Prescription Awareness Tool (MassPAT) in order </w:t>
      </w:r>
      <w:r w:rsidRPr="00A92FFC">
        <w:t>to identify any active or past prescriptions for their patients, and to provide coordinated ca</w:t>
      </w:r>
      <w:r>
        <w:t>re and overdose risk reduction.</w:t>
      </w:r>
    </w:p>
    <w:p w:rsidR="007F1755" w:rsidRDefault="007F1755" w:rsidP="00207F65">
      <w:pPr>
        <w:pStyle w:val="PBody"/>
        <w:ind w:firstLine="0"/>
        <w:jc w:val="left"/>
        <w:rPr>
          <w:rFonts w:cs="Arial"/>
          <w:b/>
        </w:rPr>
      </w:pPr>
    </w:p>
    <w:p w:rsidR="008A4303" w:rsidRPr="003764D8" w:rsidRDefault="00B814C4" w:rsidP="00207F65">
      <w:pPr>
        <w:pStyle w:val="PBody"/>
        <w:ind w:firstLine="0"/>
        <w:jc w:val="left"/>
        <w:rPr>
          <w:rFonts w:cs="Arial"/>
          <w:b/>
        </w:rPr>
      </w:pPr>
      <w:r>
        <w:rPr>
          <w:rFonts w:cs="Arial"/>
          <w:b/>
        </w:rPr>
        <w:t>Age-related D</w:t>
      </w:r>
      <w:r w:rsidR="008A4303" w:rsidRPr="003764D8">
        <w:rPr>
          <w:rFonts w:cs="Arial"/>
          <w:b/>
        </w:rPr>
        <w:t>ifferences</w:t>
      </w:r>
    </w:p>
    <w:p w:rsidR="003764D8" w:rsidRDefault="008A4303" w:rsidP="003D1C7B">
      <w:pPr>
        <w:pStyle w:val="PBody"/>
        <w:ind w:firstLine="0"/>
        <w:jc w:val="left"/>
      </w:pPr>
      <w:r w:rsidRPr="003764D8">
        <w:t>The percentage of opioid deaths fo</w:t>
      </w:r>
      <w:r w:rsidR="003D1C7B" w:rsidRPr="003764D8">
        <w:t>r different age groups shows that</w:t>
      </w:r>
      <w:r w:rsidRPr="003764D8">
        <w:t xml:space="preserve"> young people of Massachusetts are especially at risk. In 2013-2014, opioids accounted for more than a quarter of </w:t>
      </w:r>
      <w:r w:rsidRPr="003764D8">
        <w:rPr>
          <w:b/>
          <w:u w:val="single"/>
        </w:rPr>
        <w:t>all</w:t>
      </w:r>
      <w:r w:rsidRPr="003764D8">
        <w:t xml:space="preserve"> fatalities in the 18-24 age group. For individuals from 25-34, opioids were responsible for more than a third of all deaths, rising to more than 40% for men in this group. In 2015, roughly 2 out of every 3 people who died from opioids were younger than 44.</w:t>
      </w:r>
      <w:r w:rsidRPr="003764D8">
        <w:br/>
      </w:r>
      <w:r w:rsidRPr="003764D8">
        <w:br/>
        <w:t>The percentage of opioid deaths for different age groups shows that the young people of Massachusetts are at risk.</w:t>
      </w:r>
    </w:p>
    <w:p w:rsidR="00EF03DC" w:rsidRPr="003764D8" w:rsidRDefault="00EF03DC" w:rsidP="00EF03DC">
      <w:pPr>
        <w:pStyle w:val="PBody"/>
        <w:ind w:firstLine="0"/>
        <w:jc w:val="center"/>
        <w:rPr>
          <w:b/>
        </w:rPr>
      </w:pPr>
      <w:r w:rsidRPr="00EF03DC">
        <w:rPr>
          <w:noProof/>
        </w:rPr>
        <w:lastRenderedPageBreak/>
        <w:drawing>
          <wp:inline distT="0" distB="0" distL="0" distR="0" wp14:anchorId="55862D1F" wp14:editId="177DE537">
            <wp:extent cx="4943475" cy="3028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43475" cy="3028950"/>
                    </a:xfrm>
                    <a:prstGeom prst="rect">
                      <a:avLst/>
                    </a:prstGeom>
                    <a:noFill/>
                    <a:ln>
                      <a:noFill/>
                    </a:ln>
                  </pic:spPr>
                </pic:pic>
              </a:graphicData>
            </a:graphic>
          </wp:inline>
        </w:drawing>
      </w:r>
    </w:p>
    <w:p w:rsidR="00137C13" w:rsidRPr="003764D8" w:rsidRDefault="00533FC0" w:rsidP="003764D8">
      <w:pPr>
        <w:pStyle w:val="PBody"/>
        <w:ind w:firstLine="0"/>
        <w:jc w:val="left"/>
        <w:rPr>
          <w:b/>
        </w:rPr>
      </w:pPr>
      <w:r w:rsidRPr="003764D8">
        <w:rPr>
          <w:b/>
        </w:rPr>
        <w:t>Individuals Who Have Recently Been Released from Massachusetts Prisons are 56 Times as Likely to Die from an Opioid Related Overdose</w:t>
      </w:r>
      <w:r w:rsidR="00137C13" w:rsidRPr="003764D8">
        <w:rPr>
          <w:b/>
        </w:rPr>
        <w:t>.</w:t>
      </w:r>
      <w:r w:rsidRPr="003764D8">
        <w:rPr>
          <w:b/>
        </w:rPr>
        <w:t xml:space="preserve"> </w:t>
      </w:r>
    </w:p>
    <w:p w:rsidR="0034597F" w:rsidRDefault="00FB486A" w:rsidP="003764D8">
      <w:pPr>
        <w:pStyle w:val="PBody"/>
        <w:ind w:firstLine="0"/>
        <w:jc w:val="left"/>
      </w:pPr>
      <w:r>
        <w:t>Those who have recently been released from Massachusetts prisons have a</w:t>
      </w:r>
      <w:r w:rsidRPr="00A92FFC">
        <w:t xml:space="preserve"> short-term risk of death from opioid overdose </w:t>
      </w:r>
      <w:r>
        <w:t xml:space="preserve">that </w:t>
      </w:r>
      <w:r w:rsidRPr="00A92FFC">
        <w:t xml:space="preserve">is </w:t>
      </w:r>
      <w:r>
        <w:t>greater</w:t>
      </w:r>
      <w:r w:rsidRPr="00A92FFC">
        <w:t xml:space="preserve"> than 50 times </w:t>
      </w:r>
      <w:r>
        <w:t>the risk</w:t>
      </w:r>
      <w:r w:rsidRPr="00A92FFC">
        <w:t xml:space="preserve"> for the general public.  </w:t>
      </w:r>
      <w:r>
        <w:t xml:space="preserve">Twenty-five percent of Massachusetts prison inmates received treatment during their incarceration, </w:t>
      </w:r>
      <w:r w:rsidRPr="009E1213">
        <w:t xml:space="preserve">and there was not a notable reduction in risk of fatal overdose in </w:t>
      </w:r>
      <w:r>
        <w:t>those</w:t>
      </w:r>
      <w:r w:rsidRPr="009E1213">
        <w:t xml:space="preserve"> that received treatment</w:t>
      </w:r>
      <w:r>
        <w:t>.  The first month after release proved to be a critical time period for former inmates, having rates that were between 2 to 6 times higher than for later times for both all-cause mortality and for opioid-related overdoses.</w:t>
      </w:r>
      <w:r w:rsidR="00C51C29" w:rsidDel="00C51C29">
        <w:t xml:space="preserve"> </w:t>
      </w:r>
    </w:p>
    <w:p w:rsidR="00B148D8" w:rsidRPr="0011230A" w:rsidRDefault="00B148D8" w:rsidP="007F1755">
      <w:pPr>
        <w:pStyle w:val="PBody"/>
        <w:ind w:firstLine="0"/>
        <w:jc w:val="center"/>
        <w:rPr>
          <w:sz w:val="24"/>
        </w:rPr>
      </w:pPr>
      <w:r w:rsidRPr="0011230A">
        <w:rPr>
          <w:noProof/>
          <w:sz w:val="24"/>
        </w:rPr>
        <w:drawing>
          <wp:inline distT="0" distB="0" distL="0" distR="0" wp14:anchorId="6A0DF9DC" wp14:editId="35376A0E">
            <wp:extent cx="5772150" cy="264795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335B7" w:rsidRPr="0011230A" w:rsidRDefault="00FB486A" w:rsidP="003764D8">
      <w:pPr>
        <w:spacing w:after="240" w:line="276" w:lineRule="auto"/>
        <w:rPr>
          <w:rFonts w:asciiTheme="minorHAnsi" w:eastAsiaTheme="minorHAnsi" w:hAnsiTheme="minorHAnsi"/>
          <w:b/>
          <w:sz w:val="24"/>
          <w:szCs w:val="22"/>
        </w:rPr>
      </w:pPr>
      <w:r w:rsidRPr="0011230A">
        <w:rPr>
          <w:rFonts w:asciiTheme="minorHAnsi" w:hAnsiTheme="minorHAnsi"/>
          <w:sz w:val="22"/>
        </w:rPr>
        <w:t>To further reduce the opioid-related death rate, additional focus should be paid to those being released from Massachusetts prisons, and treatment opportunities should be standardized regardless of setting.</w:t>
      </w:r>
      <w:r w:rsidR="00C51C29" w:rsidRPr="0011230A" w:rsidDel="00C51C29">
        <w:rPr>
          <w:rFonts w:asciiTheme="minorHAnsi" w:hAnsiTheme="minorHAnsi"/>
          <w:sz w:val="22"/>
        </w:rPr>
        <w:t xml:space="preserve"> </w:t>
      </w:r>
    </w:p>
    <w:sectPr w:rsidR="00A335B7" w:rsidRPr="0011230A" w:rsidSect="00DE5395">
      <w:headerReference w:type="even" r:id="rId16"/>
      <w:headerReference w:type="default" r:id="rId17"/>
      <w:footerReference w:type="even" r:id="rId18"/>
      <w:footerReference w:type="default" r:id="rId19"/>
      <w:headerReference w:type="first" r:id="rId20"/>
      <w:footerReference w:type="firs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6F7" w:rsidRDefault="008516F7" w:rsidP="007C32A4">
      <w:r>
        <w:separator/>
      </w:r>
    </w:p>
  </w:endnote>
  <w:endnote w:type="continuationSeparator" w:id="0">
    <w:p w:rsidR="008516F7" w:rsidRDefault="008516F7"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yriad Pro">
    <w:altName w:val="Myriad Pro"/>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F65" w:rsidRDefault="00207F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8"/>
        <w:szCs w:val="18"/>
      </w:rPr>
      <w:id w:val="-508909476"/>
      <w:docPartObj>
        <w:docPartGallery w:val="Page Numbers (Bottom of Page)"/>
        <w:docPartUnique/>
      </w:docPartObj>
    </w:sdtPr>
    <w:sdtEndPr>
      <w:rPr>
        <w:noProof/>
      </w:rPr>
    </w:sdtEndPr>
    <w:sdtContent>
      <w:p w:rsidR="00207F65" w:rsidRPr="00F87162" w:rsidRDefault="00207F65">
        <w:pPr>
          <w:pStyle w:val="Footer"/>
          <w:jc w:val="right"/>
          <w:rPr>
            <w:rFonts w:asciiTheme="minorHAnsi" w:hAnsiTheme="minorHAnsi"/>
            <w:sz w:val="18"/>
            <w:szCs w:val="18"/>
          </w:rPr>
        </w:pPr>
        <w:r w:rsidRPr="00F87162">
          <w:rPr>
            <w:rFonts w:asciiTheme="minorHAnsi" w:hAnsiTheme="minorHAnsi"/>
            <w:sz w:val="18"/>
            <w:szCs w:val="18"/>
          </w:rPr>
          <w:fldChar w:fldCharType="begin"/>
        </w:r>
        <w:r w:rsidRPr="00F87162">
          <w:rPr>
            <w:rFonts w:asciiTheme="minorHAnsi" w:hAnsiTheme="minorHAnsi"/>
            <w:sz w:val="18"/>
            <w:szCs w:val="18"/>
          </w:rPr>
          <w:instrText xml:space="preserve"> PAGE   \* MERGEFORMAT </w:instrText>
        </w:r>
        <w:r w:rsidRPr="00F87162">
          <w:rPr>
            <w:rFonts w:asciiTheme="minorHAnsi" w:hAnsiTheme="minorHAnsi"/>
            <w:sz w:val="18"/>
            <w:szCs w:val="18"/>
          </w:rPr>
          <w:fldChar w:fldCharType="separate"/>
        </w:r>
        <w:r w:rsidR="00C8584B">
          <w:rPr>
            <w:rFonts w:asciiTheme="minorHAnsi" w:hAnsiTheme="minorHAnsi"/>
            <w:noProof/>
            <w:sz w:val="18"/>
            <w:szCs w:val="18"/>
          </w:rPr>
          <w:t>1</w:t>
        </w:r>
        <w:r w:rsidRPr="00F87162">
          <w:rPr>
            <w:rFonts w:asciiTheme="minorHAnsi" w:hAnsiTheme="minorHAnsi"/>
            <w:noProof/>
            <w:sz w:val="18"/>
            <w:szCs w:val="18"/>
          </w:rPr>
          <w:fldChar w:fldCharType="end"/>
        </w:r>
      </w:p>
    </w:sdtContent>
  </w:sdt>
  <w:p w:rsidR="00207F65" w:rsidRPr="00F87162" w:rsidRDefault="00207F65">
    <w:pPr>
      <w:pStyle w:val="Footer"/>
      <w:rPr>
        <w:rFonts w:asciiTheme="minorHAnsi" w:hAnsiTheme="minorHAns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F65" w:rsidRDefault="00207F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6F7" w:rsidRDefault="008516F7" w:rsidP="007C32A4">
      <w:r>
        <w:separator/>
      </w:r>
    </w:p>
  </w:footnote>
  <w:footnote w:type="continuationSeparator" w:id="0">
    <w:p w:rsidR="008516F7" w:rsidRDefault="008516F7" w:rsidP="007C3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F65" w:rsidRDefault="00207F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F65" w:rsidRDefault="00207F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F65" w:rsidRDefault="00207F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912"/>
    <w:multiLevelType w:val="hybridMultilevel"/>
    <w:tmpl w:val="F9D8957A"/>
    <w:lvl w:ilvl="0" w:tplc="282EE5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919071F"/>
    <w:multiLevelType w:val="hybridMultilevel"/>
    <w:tmpl w:val="EAFED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4C0366"/>
    <w:multiLevelType w:val="hybridMultilevel"/>
    <w:tmpl w:val="8B163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251AF7"/>
    <w:multiLevelType w:val="hybridMultilevel"/>
    <w:tmpl w:val="D02A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610237"/>
    <w:multiLevelType w:val="hybridMultilevel"/>
    <w:tmpl w:val="65001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5B240A"/>
    <w:multiLevelType w:val="hybridMultilevel"/>
    <w:tmpl w:val="A6825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EC164C"/>
    <w:multiLevelType w:val="hybridMultilevel"/>
    <w:tmpl w:val="261E9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303688"/>
    <w:multiLevelType w:val="hybridMultilevel"/>
    <w:tmpl w:val="30D6E814"/>
    <w:lvl w:ilvl="0" w:tplc="CD74670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9">
    <w:nsid w:val="52A67FA8"/>
    <w:multiLevelType w:val="hybridMultilevel"/>
    <w:tmpl w:val="341C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D249A8"/>
    <w:multiLevelType w:val="hybridMultilevel"/>
    <w:tmpl w:val="04C08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7128A2"/>
    <w:multiLevelType w:val="hybridMultilevel"/>
    <w:tmpl w:val="EF620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862F79"/>
    <w:multiLevelType w:val="hybridMultilevel"/>
    <w:tmpl w:val="11B6D1FE"/>
    <w:lvl w:ilvl="0" w:tplc="6186D8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94424C8"/>
    <w:multiLevelType w:val="hybridMultilevel"/>
    <w:tmpl w:val="A714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58E2B37"/>
    <w:multiLevelType w:val="hybridMultilevel"/>
    <w:tmpl w:val="FE7EBB28"/>
    <w:lvl w:ilvl="0" w:tplc="A9164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5E34B23"/>
    <w:multiLevelType w:val="hybridMultilevel"/>
    <w:tmpl w:val="38382926"/>
    <w:lvl w:ilvl="0" w:tplc="40068282">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6">
    <w:nsid w:val="79766D91"/>
    <w:multiLevelType w:val="hybridMultilevel"/>
    <w:tmpl w:val="04C08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0F50F1"/>
    <w:multiLevelType w:val="hybridMultilevel"/>
    <w:tmpl w:val="EAFED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7B7121"/>
    <w:multiLevelType w:val="hybridMultilevel"/>
    <w:tmpl w:val="B88C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0"/>
  </w:num>
  <w:num w:numId="4">
    <w:abstractNumId w:val="16"/>
  </w:num>
  <w:num w:numId="5">
    <w:abstractNumId w:val="5"/>
  </w:num>
  <w:num w:numId="6">
    <w:abstractNumId w:val="17"/>
  </w:num>
  <w:num w:numId="7">
    <w:abstractNumId w:val="12"/>
  </w:num>
  <w:num w:numId="8">
    <w:abstractNumId w:val="7"/>
  </w:num>
  <w:num w:numId="9">
    <w:abstractNumId w:val="13"/>
  </w:num>
  <w:num w:numId="10">
    <w:abstractNumId w:val="18"/>
  </w:num>
  <w:num w:numId="11">
    <w:abstractNumId w:val="9"/>
  </w:num>
  <w:num w:numId="12">
    <w:abstractNumId w:val="1"/>
  </w:num>
  <w:num w:numId="13">
    <w:abstractNumId w:val="8"/>
  </w:num>
  <w:num w:numId="14">
    <w:abstractNumId w:val="15"/>
  </w:num>
  <w:num w:numId="15">
    <w:abstractNumId w:val="3"/>
  </w:num>
  <w:num w:numId="16">
    <w:abstractNumId w:val="0"/>
  </w:num>
  <w:num w:numId="17">
    <w:abstractNumId w:val="14"/>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95392500-bfea-410d-be44-fc3f8c457c67"/>
  </w:docVars>
  <w:rsids>
    <w:rsidRoot w:val="00C2229E"/>
    <w:rsid w:val="000029AD"/>
    <w:rsid w:val="00002AB6"/>
    <w:rsid w:val="00004E45"/>
    <w:rsid w:val="00007AD9"/>
    <w:rsid w:val="000106D4"/>
    <w:rsid w:val="00010B7A"/>
    <w:rsid w:val="00011169"/>
    <w:rsid w:val="00014CCA"/>
    <w:rsid w:val="00022B9A"/>
    <w:rsid w:val="00024731"/>
    <w:rsid w:val="000305E4"/>
    <w:rsid w:val="0003225B"/>
    <w:rsid w:val="00034994"/>
    <w:rsid w:val="00043493"/>
    <w:rsid w:val="00044FFF"/>
    <w:rsid w:val="00046A3F"/>
    <w:rsid w:val="00047DCF"/>
    <w:rsid w:val="000505C4"/>
    <w:rsid w:val="00050EEE"/>
    <w:rsid w:val="00052761"/>
    <w:rsid w:val="00056028"/>
    <w:rsid w:val="000601FF"/>
    <w:rsid w:val="00061D37"/>
    <w:rsid w:val="0006559B"/>
    <w:rsid w:val="000665E3"/>
    <w:rsid w:val="00067D83"/>
    <w:rsid w:val="000701B6"/>
    <w:rsid w:val="000714E0"/>
    <w:rsid w:val="00074594"/>
    <w:rsid w:val="0007643F"/>
    <w:rsid w:val="000802FF"/>
    <w:rsid w:val="00081E61"/>
    <w:rsid w:val="00084B65"/>
    <w:rsid w:val="00084F32"/>
    <w:rsid w:val="000909E7"/>
    <w:rsid w:val="00091544"/>
    <w:rsid w:val="00091641"/>
    <w:rsid w:val="00091C56"/>
    <w:rsid w:val="00092625"/>
    <w:rsid w:val="000934BB"/>
    <w:rsid w:val="000A2F95"/>
    <w:rsid w:val="000A35D6"/>
    <w:rsid w:val="000B33AA"/>
    <w:rsid w:val="000B5D87"/>
    <w:rsid w:val="000B7A65"/>
    <w:rsid w:val="000C040C"/>
    <w:rsid w:val="000C1559"/>
    <w:rsid w:val="000C4EC3"/>
    <w:rsid w:val="000C56BA"/>
    <w:rsid w:val="000C56F3"/>
    <w:rsid w:val="000C7465"/>
    <w:rsid w:val="000C7A61"/>
    <w:rsid w:val="000C7AD2"/>
    <w:rsid w:val="000C7E45"/>
    <w:rsid w:val="000D05F8"/>
    <w:rsid w:val="000D0C2A"/>
    <w:rsid w:val="000D2679"/>
    <w:rsid w:val="000D2688"/>
    <w:rsid w:val="000D2D8B"/>
    <w:rsid w:val="000D4331"/>
    <w:rsid w:val="000E1BDC"/>
    <w:rsid w:val="000E36D3"/>
    <w:rsid w:val="000E4688"/>
    <w:rsid w:val="000E6ACF"/>
    <w:rsid w:val="000F157F"/>
    <w:rsid w:val="000F2527"/>
    <w:rsid w:val="000F257D"/>
    <w:rsid w:val="000F5BD1"/>
    <w:rsid w:val="00107032"/>
    <w:rsid w:val="0011230A"/>
    <w:rsid w:val="00113A4B"/>
    <w:rsid w:val="0011627D"/>
    <w:rsid w:val="00116FD5"/>
    <w:rsid w:val="00120589"/>
    <w:rsid w:val="00120DB5"/>
    <w:rsid w:val="00126AD6"/>
    <w:rsid w:val="001279BC"/>
    <w:rsid w:val="001347DB"/>
    <w:rsid w:val="001367F9"/>
    <w:rsid w:val="00136AB3"/>
    <w:rsid w:val="00137C13"/>
    <w:rsid w:val="0014011C"/>
    <w:rsid w:val="00140AF2"/>
    <w:rsid w:val="0014493A"/>
    <w:rsid w:val="00145DF1"/>
    <w:rsid w:val="001473DB"/>
    <w:rsid w:val="0015294F"/>
    <w:rsid w:val="001544F3"/>
    <w:rsid w:val="001624DF"/>
    <w:rsid w:val="00166097"/>
    <w:rsid w:val="00171437"/>
    <w:rsid w:val="00175A60"/>
    <w:rsid w:val="00176A73"/>
    <w:rsid w:val="00182B0F"/>
    <w:rsid w:val="00182CF2"/>
    <w:rsid w:val="00182EC3"/>
    <w:rsid w:val="00183213"/>
    <w:rsid w:val="00183C22"/>
    <w:rsid w:val="00187F88"/>
    <w:rsid w:val="0019050A"/>
    <w:rsid w:val="00190ACD"/>
    <w:rsid w:val="0019456E"/>
    <w:rsid w:val="0019714E"/>
    <w:rsid w:val="001A125B"/>
    <w:rsid w:val="001A3D51"/>
    <w:rsid w:val="001A6EF6"/>
    <w:rsid w:val="001B075A"/>
    <w:rsid w:val="001B1377"/>
    <w:rsid w:val="001B2472"/>
    <w:rsid w:val="001B56F9"/>
    <w:rsid w:val="001B69EE"/>
    <w:rsid w:val="001B78CC"/>
    <w:rsid w:val="001C60AB"/>
    <w:rsid w:val="001D2CC1"/>
    <w:rsid w:val="001D7834"/>
    <w:rsid w:val="001E3379"/>
    <w:rsid w:val="001E6C05"/>
    <w:rsid w:val="0020067B"/>
    <w:rsid w:val="002025AF"/>
    <w:rsid w:val="00206780"/>
    <w:rsid w:val="0020731D"/>
    <w:rsid w:val="00207F65"/>
    <w:rsid w:val="0021254E"/>
    <w:rsid w:val="0021457C"/>
    <w:rsid w:val="00220530"/>
    <w:rsid w:val="00222FDC"/>
    <w:rsid w:val="00223C11"/>
    <w:rsid w:val="0022428B"/>
    <w:rsid w:val="0022742A"/>
    <w:rsid w:val="00230121"/>
    <w:rsid w:val="00237FD2"/>
    <w:rsid w:val="002408A5"/>
    <w:rsid w:val="002416BF"/>
    <w:rsid w:val="002421BB"/>
    <w:rsid w:val="002440EB"/>
    <w:rsid w:val="0024575E"/>
    <w:rsid w:val="00245E34"/>
    <w:rsid w:val="00246D0F"/>
    <w:rsid w:val="00247048"/>
    <w:rsid w:val="00247E4D"/>
    <w:rsid w:val="0025052F"/>
    <w:rsid w:val="0025387F"/>
    <w:rsid w:val="00254E59"/>
    <w:rsid w:val="00255C4B"/>
    <w:rsid w:val="00261995"/>
    <w:rsid w:val="00261BBC"/>
    <w:rsid w:val="00262E28"/>
    <w:rsid w:val="00263563"/>
    <w:rsid w:val="0026592D"/>
    <w:rsid w:val="00266428"/>
    <w:rsid w:val="00267AE5"/>
    <w:rsid w:val="00270E37"/>
    <w:rsid w:val="00270E83"/>
    <w:rsid w:val="0027439F"/>
    <w:rsid w:val="002771FA"/>
    <w:rsid w:val="002774F4"/>
    <w:rsid w:val="0028359D"/>
    <w:rsid w:val="00284237"/>
    <w:rsid w:val="00285B56"/>
    <w:rsid w:val="00285C1B"/>
    <w:rsid w:val="00291B65"/>
    <w:rsid w:val="002923FD"/>
    <w:rsid w:val="0029338A"/>
    <w:rsid w:val="00293CC9"/>
    <w:rsid w:val="002A00B7"/>
    <w:rsid w:val="002A1AF5"/>
    <w:rsid w:val="002A2A2E"/>
    <w:rsid w:val="002A5447"/>
    <w:rsid w:val="002A5579"/>
    <w:rsid w:val="002A700B"/>
    <w:rsid w:val="002A7A8A"/>
    <w:rsid w:val="002B0268"/>
    <w:rsid w:val="002B3060"/>
    <w:rsid w:val="002B32E2"/>
    <w:rsid w:val="002B3A1F"/>
    <w:rsid w:val="002B7C21"/>
    <w:rsid w:val="002B7C77"/>
    <w:rsid w:val="002C4015"/>
    <w:rsid w:val="002D0514"/>
    <w:rsid w:val="002E74D6"/>
    <w:rsid w:val="002F2795"/>
    <w:rsid w:val="002F3A80"/>
    <w:rsid w:val="002F665D"/>
    <w:rsid w:val="002F7E6F"/>
    <w:rsid w:val="003021AA"/>
    <w:rsid w:val="0030473B"/>
    <w:rsid w:val="00306DE5"/>
    <w:rsid w:val="003107BC"/>
    <w:rsid w:val="00315A18"/>
    <w:rsid w:val="003171BE"/>
    <w:rsid w:val="00317A25"/>
    <w:rsid w:val="00320A0B"/>
    <w:rsid w:val="00321BB4"/>
    <w:rsid w:val="00324C6D"/>
    <w:rsid w:val="003250DE"/>
    <w:rsid w:val="00331EB3"/>
    <w:rsid w:val="00340AD9"/>
    <w:rsid w:val="003412D6"/>
    <w:rsid w:val="00343CF1"/>
    <w:rsid w:val="0034457B"/>
    <w:rsid w:val="00345744"/>
    <w:rsid w:val="0034597F"/>
    <w:rsid w:val="00345C20"/>
    <w:rsid w:val="00346A0E"/>
    <w:rsid w:val="00350C5D"/>
    <w:rsid w:val="003522F4"/>
    <w:rsid w:val="003545C6"/>
    <w:rsid w:val="00360AA1"/>
    <w:rsid w:val="00362F77"/>
    <w:rsid w:val="00364018"/>
    <w:rsid w:val="00366626"/>
    <w:rsid w:val="00372714"/>
    <w:rsid w:val="00372C20"/>
    <w:rsid w:val="00375160"/>
    <w:rsid w:val="003764D8"/>
    <w:rsid w:val="0038000E"/>
    <w:rsid w:val="0038257B"/>
    <w:rsid w:val="0038391D"/>
    <w:rsid w:val="00385C53"/>
    <w:rsid w:val="0039320F"/>
    <w:rsid w:val="00395778"/>
    <w:rsid w:val="003A1E6D"/>
    <w:rsid w:val="003A2ABD"/>
    <w:rsid w:val="003A2E3D"/>
    <w:rsid w:val="003A4111"/>
    <w:rsid w:val="003A4F27"/>
    <w:rsid w:val="003B12FC"/>
    <w:rsid w:val="003B50D9"/>
    <w:rsid w:val="003B60D6"/>
    <w:rsid w:val="003C00B4"/>
    <w:rsid w:val="003C047D"/>
    <w:rsid w:val="003C3BC2"/>
    <w:rsid w:val="003C5AB6"/>
    <w:rsid w:val="003C628D"/>
    <w:rsid w:val="003C7781"/>
    <w:rsid w:val="003C7797"/>
    <w:rsid w:val="003C79E7"/>
    <w:rsid w:val="003D0A9B"/>
    <w:rsid w:val="003D0B20"/>
    <w:rsid w:val="003D1855"/>
    <w:rsid w:val="003D1C7B"/>
    <w:rsid w:val="003D2FB2"/>
    <w:rsid w:val="003E1C45"/>
    <w:rsid w:val="003E7FBC"/>
    <w:rsid w:val="003F161B"/>
    <w:rsid w:val="003F2E98"/>
    <w:rsid w:val="003F2F51"/>
    <w:rsid w:val="003F3A55"/>
    <w:rsid w:val="003F5FDE"/>
    <w:rsid w:val="00401350"/>
    <w:rsid w:val="00403483"/>
    <w:rsid w:val="004059CE"/>
    <w:rsid w:val="00406153"/>
    <w:rsid w:val="00406912"/>
    <w:rsid w:val="00413D60"/>
    <w:rsid w:val="00414926"/>
    <w:rsid w:val="00417B7B"/>
    <w:rsid w:val="00420380"/>
    <w:rsid w:val="00425870"/>
    <w:rsid w:val="004259C1"/>
    <w:rsid w:val="004267D3"/>
    <w:rsid w:val="00426B4D"/>
    <w:rsid w:val="00427B7B"/>
    <w:rsid w:val="004331A6"/>
    <w:rsid w:val="00434045"/>
    <w:rsid w:val="004374A2"/>
    <w:rsid w:val="004405B0"/>
    <w:rsid w:val="00441E65"/>
    <w:rsid w:val="004424BE"/>
    <w:rsid w:val="004433E9"/>
    <w:rsid w:val="0045285F"/>
    <w:rsid w:val="00461688"/>
    <w:rsid w:val="0046198F"/>
    <w:rsid w:val="00461F78"/>
    <w:rsid w:val="00462F04"/>
    <w:rsid w:val="0046403E"/>
    <w:rsid w:val="00467FA1"/>
    <w:rsid w:val="00491188"/>
    <w:rsid w:val="00492DCC"/>
    <w:rsid w:val="00493F6A"/>
    <w:rsid w:val="00496F53"/>
    <w:rsid w:val="0049720C"/>
    <w:rsid w:val="004A052F"/>
    <w:rsid w:val="004A58AF"/>
    <w:rsid w:val="004A5F97"/>
    <w:rsid w:val="004A6690"/>
    <w:rsid w:val="004B0270"/>
    <w:rsid w:val="004B0286"/>
    <w:rsid w:val="004B0BFE"/>
    <w:rsid w:val="004B21DA"/>
    <w:rsid w:val="004C171A"/>
    <w:rsid w:val="004C5B76"/>
    <w:rsid w:val="004D01C9"/>
    <w:rsid w:val="004D5B08"/>
    <w:rsid w:val="004E060B"/>
    <w:rsid w:val="004E1BFE"/>
    <w:rsid w:val="004E2D53"/>
    <w:rsid w:val="004E661B"/>
    <w:rsid w:val="004F122B"/>
    <w:rsid w:val="005003D0"/>
    <w:rsid w:val="00504668"/>
    <w:rsid w:val="0050567F"/>
    <w:rsid w:val="00506251"/>
    <w:rsid w:val="0051017C"/>
    <w:rsid w:val="00516975"/>
    <w:rsid w:val="00517549"/>
    <w:rsid w:val="00517CBE"/>
    <w:rsid w:val="00522090"/>
    <w:rsid w:val="00524DB2"/>
    <w:rsid w:val="00525FC4"/>
    <w:rsid w:val="00530D9D"/>
    <w:rsid w:val="005313DC"/>
    <w:rsid w:val="0053205E"/>
    <w:rsid w:val="00532D2E"/>
    <w:rsid w:val="00533FC0"/>
    <w:rsid w:val="0053404C"/>
    <w:rsid w:val="00534F7A"/>
    <w:rsid w:val="005367CF"/>
    <w:rsid w:val="00537483"/>
    <w:rsid w:val="00537F42"/>
    <w:rsid w:val="00545AB8"/>
    <w:rsid w:val="00546C49"/>
    <w:rsid w:val="00553139"/>
    <w:rsid w:val="00563C4B"/>
    <w:rsid w:val="00563DD5"/>
    <w:rsid w:val="00565751"/>
    <w:rsid w:val="00567765"/>
    <w:rsid w:val="0057111F"/>
    <w:rsid w:val="0057183B"/>
    <w:rsid w:val="00573445"/>
    <w:rsid w:val="00573EED"/>
    <w:rsid w:val="00576028"/>
    <w:rsid w:val="00576262"/>
    <w:rsid w:val="00576A6C"/>
    <w:rsid w:val="0058034E"/>
    <w:rsid w:val="0058187A"/>
    <w:rsid w:val="00581C0B"/>
    <w:rsid w:val="00582985"/>
    <w:rsid w:val="00586430"/>
    <w:rsid w:val="00590BFA"/>
    <w:rsid w:val="00592218"/>
    <w:rsid w:val="00592309"/>
    <w:rsid w:val="00597400"/>
    <w:rsid w:val="005B1035"/>
    <w:rsid w:val="005B1930"/>
    <w:rsid w:val="005B2278"/>
    <w:rsid w:val="005B4541"/>
    <w:rsid w:val="005B5287"/>
    <w:rsid w:val="005B7001"/>
    <w:rsid w:val="005B7769"/>
    <w:rsid w:val="005C13D0"/>
    <w:rsid w:val="005C4EB4"/>
    <w:rsid w:val="005D12DC"/>
    <w:rsid w:val="005D1797"/>
    <w:rsid w:val="005D5CEE"/>
    <w:rsid w:val="005D7941"/>
    <w:rsid w:val="005E1BD6"/>
    <w:rsid w:val="005F0376"/>
    <w:rsid w:val="005F0EC4"/>
    <w:rsid w:val="005F787F"/>
    <w:rsid w:val="006010B0"/>
    <w:rsid w:val="00601EC4"/>
    <w:rsid w:val="0061498C"/>
    <w:rsid w:val="00617955"/>
    <w:rsid w:val="006237EF"/>
    <w:rsid w:val="006260CC"/>
    <w:rsid w:val="00626457"/>
    <w:rsid w:val="00626CBC"/>
    <w:rsid w:val="006304C2"/>
    <w:rsid w:val="00630C7F"/>
    <w:rsid w:val="00637F1B"/>
    <w:rsid w:val="00640236"/>
    <w:rsid w:val="00643882"/>
    <w:rsid w:val="00655495"/>
    <w:rsid w:val="006576A4"/>
    <w:rsid w:val="00662BA8"/>
    <w:rsid w:val="00665122"/>
    <w:rsid w:val="006661EA"/>
    <w:rsid w:val="006671E7"/>
    <w:rsid w:val="006702B3"/>
    <w:rsid w:val="00670DA0"/>
    <w:rsid w:val="006715C5"/>
    <w:rsid w:val="0067406A"/>
    <w:rsid w:val="00674E41"/>
    <w:rsid w:val="0067580A"/>
    <w:rsid w:val="00676983"/>
    <w:rsid w:val="0068148B"/>
    <w:rsid w:val="006861EA"/>
    <w:rsid w:val="006924F6"/>
    <w:rsid w:val="00692DD8"/>
    <w:rsid w:val="00695C87"/>
    <w:rsid w:val="00696B67"/>
    <w:rsid w:val="00697A1F"/>
    <w:rsid w:val="006B669A"/>
    <w:rsid w:val="006C157C"/>
    <w:rsid w:val="006C54E4"/>
    <w:rsid w:val="006C54EF"/>
    <w:rsid w:val="006C7962"/>
    <w:rsid w:val="006D4BBF"/>
    <w:rsid w:val="006D4DEC"/>
    <w:rsid w:val="006D525A"/>
    <w:rsid w:val="006E52C7"/>
    <w:rsid w:val="006E7E12"/>
    <w:rsid w:val="006F146F"/>
    <w:rsid w:val="0070001E"/>
    <w:rsid w:val="00701124"/>
    <w:rsid w:val="0071170A"/>
    <w:rsid w:val="00711D15"/>
    <w:rsid w:val="00714CCA"/>
    <w:rsid w:val="00714EF7"/>
    <w:rsid w:val="007155F4"/>
    <w:rsid w:val="00722A70"/>
    <w:rsid w:val="00724A24"/>
    <w:rsid w:val="0072694B"/>
    <w:rsid w:val="00732351"/>
    <w:rsid w:val="007326E1"/>
    <w:rsid w:val="0073527D"/>
    <w:rsid w:val="00736B45"/>
    <w:rsid w:val="00736F32"/>
    <w:rsid w:val="00737D0D"/>
    <w:rsid w:val="00740B95"/>
    <w:rsid w:val="00741509"/>
    <w:rsid w:val="00750BDB"/>
    <w:rsid w:val="00750E54"/>
    <w:rsid w:val="00753F66"/>
    <w:rsid w:val="007609EC"/>
    <w:rsid w:val="0076166F"/>
    <w:rsid w:val="00762D9B"/>
    <w:rsid w:val="00763D92"/>
    <w:rsid w:val="00771CE7"/>
    <w:rsid w:val="00772621"/>
    <w:rsid w:val="007812AA"/>
    <w:rsid w:val="007867F1"/>
    <w:rsid w:val="00790963"/>
    <w:rsid w:val="00795B5D"/>
    <w:rsid w:val="007A33BC"/>
    <w:rsid w:val="007B07C5"/>
    <w:rsid w:val="007B2C66"/>
    <w:rsid w:val="007B2C97"/>
    <w:rsid w:val="007B4903"/>
    <w:rsid w:val="007B6613"/>
    <w:rsid w:val="007B684E"/>
    <w:rsid w:val="007B74C8"/>
    <w:rsid w:val="007C32A4"/>
    <w:rsid w:val="007C5F19"/>
    <w:rsid w:val="007D1C6D"/>
    <w:rsid w:val="007D30AA"/>
    <w:rsid w:val="007D3D9E"/>
    <w:rsid w:val="007D4A92"/>
    <w:rsid w:val="007D7CD9"/>
    <w:rsid w:val="007F1755"/>
    <w:rsid w:val="007F58F4"/>
    <w:rsid w:val="00804431"/>
    <w:rsid w:val="00807247"/>
    <w:rsid w:val="00812171"/>
    <w:rsid w:val="008145FD"/>
    <w:rsid w:val="008210D8"/>
    <w:rsid w:val="00824354"/>
    <w:rsid w:val="0082492A"/>
    <w:rsid w:val="00826D05"/>
    <w:rsid w:val="008274F8"/>
    <w:rsid w:val="00831DF4"/>
    <w:rsid w:val="00840AB7"/>
    <w:rsid w:val="00841B30"/>
    <w:rsid w:val="00844B65"/>
    <w:rsid w:val="0085064D"/>
    <w:rsid w:val="008516F7"/>
    <w:rsid w:val="00853819"/>
    <w:rsid w:val="00853FE0"/>
    <w:rsid w:val="0085554E"/>
    <w:rsid w:val="00860B54"/>
    <w:rsid w:val="0086306E"/>
    <w:rsid w:val="0086525D"/>
    <w:rsid w:val="00873EEE"/>
    <w:rsid w:val="008745F9"/>
    <w:rsid w:val="00880300"/>
    <w:rsid w:val="008911A6"/>
    <w:rsid w:val="00894686"/>
    <w:rsid w:val="00895FC0"/>
    <w:rsid w:val="008961EE"/>
    <w:rsid w:val="0089766C"/>
    <w:rsid w:val="008A068B"/>
    <w:rsid w:val="008A403D"/>
    <w:rsid w:val="008A4303"/>
    <w:rsid w:val="008A62CB"/>
    <w:rsid w:val="008B5565"/>
    <w:rsid w:val="008C008A"/>
    <w:rsid w:val="008C026D"/>
    <w:rsid w:val="008C5F35"/>
    <w:rsid w:val="008C6659"/>
    <w:rsid w:val="008C766D"/>
    <w:rsid w:val="008D0385"/>
    <w:rsid w:val="008D08E0"/>
    <w:rsid w:val="008D1B17"/>
    <w:rsid w:val="008D24D2"/>
    <w:rsid w:val="008D4BCF"/>
    <w:rsid w:val="008D4DD8"/>
    <w:rsid w:val="008D6702"/>
    <w:rsid w:val="008E0377"/>
    <w:rsid w:val="008E08B5"/>
    <w:rsid w:val="008E0D33"/>
    <w:rsid w:val="008E44CF"/>
    <w:rsid w:val="008E59C5"/>
    <w:rsid w:val="008E78F4"/>
    <w:rsid w:val="008E7A53"/>
    <w:rsid w:val="008F0DE9"/>
    <w:rsid w:val="008F47FE"/>
    <w:rsid w:val="008F480A"/>
    <w:rsid w:val="008F5185"/>
    <w:rsid w:val="00901636"/>
    <w:rsid w:val="00901D74"/>
    <w:rsid w:val="00907FC3"/>
    <w:rsid w:val="0091112A"/>
    <w:rsid w:val="00914B0F"/>
    <w:rsid w:val="00914D96"/>
    <w:rsid w:val="00914FF6"/>
    <w:rsid w:val="00915B73"/>
    <w:rsid w:val="009178AF"/>
    <w:rsid w:val="00920EC9"/>
    <w:rsid w:val="00932B2C"/>
    <w:rsid w:val="00936482"/>
    <w:rsid w:val="009405F7"/>
    <w:rsid w:val="009419A4"/>
    <w:rsid w:val="00944F14"/>
    <w:rsid w:val="0094509F"/>
    <w:rsid w:val="009458DE"/>
    <w:rsid w:val="00945BE7"/>
    <w:rsid w:val="009477DE"/>
    <w:rsid w:val="009503A0"/>
    <w:rsid w:val="00950D5D"/>
    <w:rsid w:val="00950DAB"/>
    <w:rsid w:val="00950E9F"/>
    <w:rsid w:val="00952E27"/>
    <w:rsid w:val="00953F2B"/>
    <w:rsid w:val="00953F32"/>
    <w:rsid w:val="00954128"/>
    <w:rsid w:val="0095754A"/>
    <w:rsid w:val="00961FCB"/>
    <w:rsid w:val="009629C0"/>
    <w:rsid w:val="0097192B"/>
    <w:rsid w:val="00972B8D"/>
    <w:rsid w:val="00974388"/>
    <w:rsid w:val="00982E73"/>
    <w:rsid w:val="00984CC0"/>
    <w:rsid w:val="009914E8"/>
    <w:rsid w:val="00996A63"/>
    <w:rsid w:val="009A0663"/>
    <w:rsid w:val="009A158D"/>
    <w:rsid w:val="009A49B9"/>
    <w:rsid w:val="009A6A46"/>
    <w:rsid w:val="009B2B34"/>
    <w:rsid w:val="009B4233"/>
    <w:rsid w:val="009C1E86"/>
    <w:rsid w:val="009C4588"/>
    <w:rsid w:val="009C5086"/>
    <w:rsid w:val="009C6577"/>
    <w:rsid w:val="009C7BD4"/>
    <w:rsid w:val="009D0629"/>
    <w:rsid w:val="009D10EB"/>
    <w:rsid w:val="009D3556"/>
    <w:rsid w:val="009D633F"/>
    <w:rsid w:val="009D6A2C"/>
    <w:rsid w:val="009D6C03"/>
    <w:rsid w:val="009D6EF0"/>
    <w:rsid w:val="009D7019"/>
    <w:rsid w:val="009D7175"/>
    <w:rsid w:val="009E1E92"/>
    <w:rsid w:val="009F1AD4"/>
    <w:rsid w:val="009F4E34"/>
    <w:rsid w:val="00A0201F"/>
    <w:rsid w:val="00A02AA0"/>
    <w:rsid w:val="00A0766E"/>
    <w:rsid w:val="00A10A6B"/>
    <w:rsid w:val="00A12D22"/>
    <w:rsid w:val="00A159C4"/>
    <w:rsid w:val="00A169E2"/>
    <w:rsid w:val="00A20E81"/>
    <w:rsid w:val="00A21E59"/>
    <w:rsid w:val="00A2292B"/>
    <w:rsid w:val="00A25363"/>
    <w:rsid w:val="00A25584"/>
    <w:rsid w:val="00A25727"/>
    <w:rsid w:val="00A26626"/>
    <w:rsid w:val="00A2720C"/>
    <w:rsid w:val="00A30B77"/>
    <w:rsid w:val="00A318F0"/>
    <w:rsid w:val="00A31E63"/>
    <w:rsid w:val="00A31FA8"/>
    <w:rsid w:val="00A3292A"/>
    <w:rsid w:val="00A335B7"/>
    <w:rsid w:val="00A36E68"/>
    <w:rsid w:val="00A41F92"/>
    <w:rsid w:val="00A425BF"/>
    <w:rsid w:val="00A43916"/>
    <w:rsid w:val="00A446C9"/>
    <w:rsid w:val="00A454A7"/>
    <w:rsid w:val="00A5147B"/>
    <w:rsid w:val="00A567D7"/>
    <w:rsid w:val="00A574BF"/>
    <w:rsid w:val="00A62D14"/>
    <w:rsid w:val="00A64DDD"/>
    <w:rsid w:val="00A66550"/>
    <w:rsid w:val="00A736BA"/>
    <w:rsid w:val="00A75CAB"/>
    <w:rsid w:val="00A83FAA"/>
    <w:rsid w:val="00A86325"/>
    <w:rsid w:val="00A868D6"/>
    <w:rsid w:val="00A90851"/>
    <w:rsid w:val="00A9156C"/>
    <w:rsid w:val="00A91A7E"/>
    <w:rsid w:val="00A92693"/>
    <w:rsid w:val="00A949D3"/>
    <w:rsid w:val="00A959FE"/>
    <w:rsid w:val="00AA09A8"/>
    <w:rsid w:val="00AA4570"/>
    <w:rsid w:val="00AA4651"/>
    <w:rsid w:val="00AA793E"/>
    <w:rsid w:val="00AB15F0"/>
    <w:rsid w:val="00AB2A87"/>
    <w:rsid w:val="00AB5810"/>
    <w:rsid w:val="00AC24E5"/>
    <w:rsid w:val="00AC58DE"/>
    <w:rsid w:val="00AC60DF"/>
    <w:rsid w:val="00AD6095"/>
    <w:rsid w:val="00AD778B"/>
    <w:rsid w:val="00AE4FBE"/>
    <w:rsid w:val="00AE6113"/>
    <w:rsid w:val="00AE6ED7"/>
    <w:rsid w:val="00AE6F44"/>
    <w:rsid w:val="00AE7958"/>
    <w:rsid w:val="00AF2D52"/>
    <w:rsid w:val="00AF4A01"/>
    <w:rsid w:val="00AF4A8B"/>
    <w:rsid w:val="00B00E65"/>
    <w:rsid w:val="00B035F6"/>
    <w:rsid w:val="00B0683F"/>
    <w:rsid w:val="00B07FBD"/>
    <w:rsid w:val="00B10671"/>
    <w:rsid w:val="00B116B2"/>
    <w:rsid w:val="00B13977"/>
    <w:rsid w:val="00B148D8"/>
    <w:rsid w:val="00B152B5"/>
    <w:rsid w:val="00B15E20"/>
    <w:rsid w:val="00B161B5"/>
    <w:rsid w:val="00B255AA"/>
    <w:rsid w:val="00B30E3F"/>
    <w:rsid w:val="00B31C74"/>
    <w:rsid w:val="00B32B2B"/>
    <w:rsid w:val="00B33B1C"/>
    <w:rsid w:val="00B3730D"/>
    <w:rsid w:val="00B426FF"/>
    <w:rsid w:val="00B44D89"/>
    <w:rsid w:val="00B546C0"/>
    <w:rsid w:val="00B547B9"/>
    <w:rsid w:val="00B55904"/>
    <w:rsid w:val="00B6321C"/>
    <w:rsid w:val="00B658D1"/>
    <w:rsid w:val="00B67801"/>
    <w:rsid w:val="00B6795D"/>
    <w:rsid w:val="00B721C3"/>
    <w:rsid w:val="00B73BE6"/>
    <w:rsid w:val="00B77813"/>
    <w:rsid w:val="00B814C4"/>
    <w:rsid w:val="00B860C2"/>
    <w:rsid w:val="00B9176C"/>
    <w:rsid w:val="00B96C93"/>
    <w:rsid w:val="00BA0168"/>
    <w:rsid w:val="00BA2011"/>
    <w:rsid w:val="00BA4BD6"/>
    <w:rsid w:val="00BB2AD4"/>
    <w:rsid w:val="00BC566E"/>
    <w:rsid w:val="00BC6A53"/>
    <w:rsid w:val="00BD1F87"/>
    <w:rsid w:val="00BD3732"/>
    <w:rsid w:val="00BD4F7A"/>
    <w:rsid w:val="00BE5B15"/>
    <w:rsid w:val="00BE5DC3"/>
    <w:rsid w:val="00BE6A77"/>
    <w:rsid w:val="00BF370B"/>
    <w:rsid w:val="00BF5A46"/>
    <w:rsid w:val="00BF5EEA"/>
    <w:rsid w:val="00C0294A"/>
    <w:rsid w:val="00C02B9D"/>
    <w:rsid w:val="00C03F92"/>
    <w:rsid w:val="00C050CD"/>
    <w:rsid w:val="00C05391"/>
    <w:rsid w:val="00C10BD7"/>
    <w:rsid w:val="00C11E58"/>
    <w:rsid w:val="00C142B2"/>
    <w:rsid w:val="00C147CA"/>
    <w:rsid w:val="00C178A8"/>
    <w:rsid w:val="00C17FB0"/>
    <w:rsid w:val="00C2229E"/>
    <w:rsid w:val="00C32BA6"/>
    <w:rsid w:val="00C34563"/>
    <w:rsid w:val="00C347C2"/>
    <w:rsid w:val="00C41FE0"/>
    <w:rsid w:val="00C42EA2"/>
    <w:rsid w:val="00C4340E"/>
    <w:rsid w:val="00C512D3"/>
    <w:rsid w:val="00C51C29"/>
    <w:rsid w:val="00C52C29"/>
    <w:rsid w:val="00C5392D"/>
    <w:rsid w:val="00C54AB7"/>
    <w:rsid w:val="00C55376"/>
    <w:rsid w:val="00C556D2"/>
    <w:rsid w:val="00C55744"/>
    <w:rsid w:val="00C561A4"/>
    <w:rsid w:val="00C603D3"/>
    <w:rsid w:val="00C62CD2"/>
    <w:rsid w:val="00C641A6"/>
    <w:rsid w:val="00C67143"/>
    <w:rsid w:val="00C67DC5"/>
    <w:rsid w:val="00C67E24"/>
    <w:rsid w:val="00C67EE5"/>
    <w:rsid w:val="00C71219"/>
    <w:rsid w:val="00C736F1"/>
    <w:rsid w:val="00C76608"/>
    <w:rsid w:val="00C8584B"/>
    <w:rsid w:val="00C8687E"/>
    <w:rsid w:val="00C911C4"/>
    <w:rsid w:val="00CA0670"/>
    <w:rsid w:val="00CA3427"/>
    <w:rsid w:val="00CB56B9"/>
    <w:rsid w:val="00CB6908"/>
    <w:rsid w:val="00CB6F35"/>
    <w:rsid w:val="00CC0964"/>
    <w:rsid w:val="00CC68BC"/>
    <w:rsid w:val="00CD0F9D"/>
    <w:rsid w:val="00CD1E89"/>
    <w:rsid w:val="00CD2FE2"/>
    <w:rsid w:val="00CD400C"/>
    <w:rsid w:val="00CE1532"/>
    <w:rsid w:val="00CE250A"/>
    <w:rsid w:val="00CE2681"/>
    <w:rsid w:val="00CF1A5D"/>
    <w:rsid w:val="00CF5DF0"/>
    <w:rsid w:val="00CF7DB0"/>
    <w:rsid w:val="00D02F64"/>
    <w:rsid w:val="00D12220"/>
    <w:rsid w:val="00D14C0F"/>
    <w:rsid w:val="00D1613E"/>
    <w:rsid w:val="00D16346"/>
    <w:rsid w:val="00D1720F"/>
    <w:rsid w:val="00D2258E"/>
    <w:rsid w:val="00D26CBF"/>
    <w:rsid w:val="00D303EC"/>
    <w:rsid w:val="00D34581"/>
    <w:rsid w:val="00D3724F"/>
    <w:rsid w:val="00D41B0D"/>
    <w:rsid w:val="00D4336A"/>
    <w:rsid w:val="00D44E3A"/>
    <w:rsid w:val="00D471A6"/>
    <w:rsid w:val="00D47344"/>
    <w:rsid w:val="00D47440"/>
    <w:rsid w:val="00D504EF"/>
    <w:rsid w:val="00D561A1"/>
    <w:rsid w:val="00D6363C"/>
    <w:rsid w:val="00D64E57"/>
    <w:rsid w:val="00D71452"/>
    <w:rsid w:val="00D73CF8"/>
    <w:rsid w:val="00D74324"/>
    <w:rsid w:val="00D75814"/>
    <w:rsid w:val="00D76F52"/>
    <w:rsid w:val="00D7715A"/>
    <w:rsid w:val="00D82746"/>
    <w:rsid w:val="00D833DA"/>
    <w:rsid w:val="00D837F2"/>
    <w:rsid w:val="00D8465D"/>
    <w:rsid w:val="00D84C6E"/>
    <w:rsid w:val="00D84E41"/>
    <w:rsid w:val="00D85A30"/>
    <w:rsid w:val="00D90A24"/>
    <w:rsid w:val="00D94CEF"/>
    <w:rsid w:val="00D94F1B"/>
    <w:rsid w:val="00D96F41"/>
    <w:rsid w:val="00DA0670"/>
    <w:rsid w:val="00DA5C8F"/>
    <w:rsid w:val="00DB2996"/>
    <w:rsid w:val="00DB3085"/>
    <w:rsid w:val="00DB5407"/>
    <w:rsid w:val="00DB6D6B"/>
    <w:rsid w:val="00DC09B0"/>
    <w:rsid w:val="00DC70A7"/>
    <w:rsid w:val="00DD2E94"/>
    <w:rsid w:val="00DD50FB"/>
    <w:rsid w:val="00DE2078"/>
    <w:rsid w:val="00DE5395"/>
    <w:rsid w:val="00DE59EA"/>
    <w:rsid w:val="00DE659E"/>
    <w:rsid w:val="00DE72D0"/>
    <w:rsid w:val="00DF0060"/>
    <w:rsid w:val="00DF03EF"/>
    <w:rsid w:val="00DF236F"/>
    <w:rsid w:val="00DF2D04"/>
    <w:rsid w:val="00DF4D5C"/>
    <w:rsid w:val="00DF690C"/>
    <w:rsid w:val="00DF714E"/>
    <w:rsid w:val="00E00C8B"/>
    <w:rsid w:val="00E030ED"/>
    <w:rsid w:val="00E03AA4"/>
    <w:rsid w:val="00E0716C"/>
    <w:rsid w:val="00E13629"/>
    <w:rsid w:val="00E162BF"/>
    <w:rsid w:val="00E200A8"/>
    <w:rsid w:val="00E225A6"/>
    <w:rsid w:val="00E3090A"/>
    <w:rsid w:val="00E31195"/>
    <w:rsid w:val="00E315C8"/>
    <w:rsid w:val="00E36BF5"/>
    <w:rsid w:val="00E37291"/>
    <w:rsid w:val="00E3731B"/>
    <w:rsid w:val="00E37A20"/>
    <w:rsid w:val="00E40A07"/>
    <w:rsid w:val="00E45026"/>
    <w:rsid w:val="00E5287A"/>
    <w:rsid w:val="00E54453"/>
    <w:rsid w:val="00E565CD"/>
    <w:rsid w:val="00E56FDB"/>
    <w:rsid w:val="00E570A6"/>
    <w:rsid w:val="00E63AB7"/>
    <w:rsid w:val="00E65BF1"/>
    <w:rsid w:val="00E67C8F"/>
    <w:rsid w:val="00E705AD"/>
    <w:rsid w:val="00E72402"/>
    <w:rsid w:val="00E73933"/>
    <w:rsid w:val="00E74B62"/>
    <w:rsid w:val="00E76049"/>
    <w:rsid w:val="00E80D12"/>
    <w:rsid w:val="00E827F5"/>
    <w:rsid w:val="00E86F5C"/>
    <w:rsid w:val="00E90823"/>
    <w:rsid w:val="00E91B69"/>
    <w:rsid w:val="00E92043"/>
    <w:rsid w:val="00E95C84"/>
    <w:rsid w:val="00E964AF"/>
    <w:rsid w:val="00EA0D9A"/>
    <w:rsid w:val="00EA1F6F"/>
    <w:rsid w:val="00EA4BBA"/>
    <w:rsid w:val="00EA50D9"/>
    <w:rsid w:val="00EA5DAB"/>
    <w:rsid w:val="00EA62F4"/>
    <w:rsid w:val="00EA6952"/>
    <w:rsid w:val="00EB0101"/>
    <w:rsid w:val="00EB4AE9"/>
    <w:rsid w:val="00EB75BC"/>
    <w:rsid w:val="00EC0C5B"/>
    <w:rsid w:val="00EC4AE9"/>
    <w:rsid w:val="00ED2EFB"/>
    <w:rsid w:val="00ED7915"/>
    <w:rsid w:val="00ED7A99"/>
    <w:rsid w:val="00EE29C7"/>
    <w:rsid w:val="00EE34A6"/>
    <w:rsid w:val="00EE3A1C"/>
    <w:rsid w:val="00EF03DC"/>
    <w:rsid w:val="00EF3234"/>
    <w:rsid w:val="00EF3406"/>
    <w:rsid w:val="00EF546E"/>
    <w:rsid w:val="00EF7221"/>
    <w:rsid w:val="00F00E8D"/>
    <w:rsid w:val="00F00F90"/>
    <w:rsid w:val="00F01818"/>
    <w:rsid w:val="00F04906"/>
    <w:rsid w:val="00F0749F"/>
    <w:rsid w:val="00F11E0D"/>
    <w:rsid w:val="00F14F18"/>
    <w:rsid w:val="00F15225"/>
    <w:rsid w:val="00F176D8"/>
    <w:rsid w:val="00F17A87"/>
    <w:rsid w:val="00F21692"/>
    <w:rsid w:val="00F2278F"/>
    <w:rsid w:val="00F23506"/>
    <w:rsid w:val="00F23717"/>
    <w:rsid w:val="00F261D5"/>
    <w:rsid w:val="00F327FB"/>
    <w:rsid w:val="00F335BB"/>
    <w:rsid w:val="00F3670D"/>
    <w:rsid w:val="00F36A1F"/>
    <w:rsid w:val="00F3713E"/>
    <w:rsid w:val="00F41C90"/>
    <w:rsid w:val="00F52689"/>
    <w:rsid w:val="00F52BD9"/>
    <w:rsid w:val="00F551F0"/>
    <w:rsid w:val="00F56995"/>
    <w:rsid w:val="00F56E60"/>
    <w:rsid w:val="00F577BB"/>
    <w:rsid w:val="00F6194C"/>
    <w:rsid w:val="00F62D6F"/>
    <w:rsid w:val="00F64E80"/>
    <w:rsid w:val="00F65D56"/>
    <w:rsid w:val="00F72ABE"/>
    <w:rsid w:val="00F73B21"/>
    <w:rsid w:val="00F75102"/>
    <w:rsid w:val="00F76D7A"/>
    <w:rsid w:val="00F80995"/>
    <w:rsid w:val="00F827B9"/>
    <w:rsid w:val="00F843C9"/>
    <w:rsid w:val="00F85EFA"/>
    <w:rsid w:val="00F8631C"/>
    <w:rsid w:val="00F87162"/>
    <w:rsid w:val="00F90711"/>
    <w:rsid w:val="00FA01B3"/>
    <w:rsid w:val="00FA36BB"/>
    <w:rsid w:val="00FA6D9D"/>
    <w:rsid w:val="00FA6EA3"/>
    <w:rsid w:val="00FA7335"/>
    <w:rsid w:val="00FB486A"/>
    <w:rsid w:val="00FB5FCE"/>
    <w:rsid w:val="00FB63EB"/>
    <w:rsid w:val="00FC0FC6"/>
    <w:rsid w:val="00FC3F2A"/>
    <w:rsid w:val="00FC5AE6"/>
    <w:rsid w:val="00FD0D44"/>
    <w:rsid w:val="00FD1353"/>
    <w:rsid w:val="00FD1BC5"/>
    <w:rsid w:val="00FD5CAD"/>
    <w:rsid w:val="00FD7C1A"/>
    <w:rsid w:val="00FE1844"/>
    <w:rsid w:val="00FE355C"/>
    <w:rsid w:val="00FF5D10"/>
    <w:rsid w:val="00FF6427"/>
    <w:rsid w:val="00FF7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paragraph" w:styleId="Heading1">
    <w:name w:val="heading 1"/>
    <w:basedOn w:val="Normal"/>
    <w:next w:val="Normal"/>
    <w:link w:val="Heading1Char"/>
    <w:qFormat/>
    <w:locked/>
    <w:rsid w:val="00DE53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rsid w:val="00C347C2"/>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rsid w:val="00285B56"/>
    <w:rPr>
      <w:rFonts w:cs="Times New Roman"/>
      <w:color w:val="003366"/>
      <w:u w:val="single"/>
    </w:rPr>
  </w:style>
  <w:style w:type="paragraph" w:customStyle="1" w:styleId="xl65">
    <w:name w:val="xl65"/>
    <w:basedOn w:val="Normal"/>
    <w:rsid w:val="00285B56"/>
    <w:pPr>
      <w:spacing w:before="100" w:beforeAutospacing="1" w:after="100" w:afterAutospacing="1"/>
    </w:pPr>
    <w:rPr>
      <w:sz w:val="24"/>
      <w:szCs w:val="24"/>
    </w:rPr>
  </w:style>
  <w:style w:type="paragraph" w:customStyle="1" w:styleId="xl66">
    <w:name w:val="xl66"/>
    <w:basedOn w:val="Normal"/>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rsid w:val="00285B56"/>
    <w:pPr>
      <w:spacing w:before="100" w:beforeAutospacing="1" w:after="100" w:afterAutospacing="1"/>
      <w:jc w:val="center"/>
    </w:pPr>
    <w:rPr>
      <w:sz w:val="24"/>
      <w:szCs w:val="24"/>
    </w:rPr>
  </w:style>
  <w:style w:type="paragraph" w:customStyle="1" w:styleId="xl68">
    <w:name w:val="xl68"/>
    <w:basedOn w:val="Normal"/>
    <w:rsid w:val="00285B56"/>
    <w:pPr>
      <w:pBdr>
        <w:left w:val="single" w:sz="8" w:space="0" w:color="C1C1C1"/>
      </w:pBdr>
      <w:spacing w:before="100" w:beforeAutospacing="1" w:after="100" w:afterAutospacing="1"/>
      <w:textAlignment w:val="top"/>
    </w:pPr>
    <w:rPr>
      <w:color w:val="000000"/>
      <w:sz w:val="24"/>
      <w:szCs w:val="24"/>
    </w:rPr>
  </w:style>
  <w:style w:type="table" w:styleId="LightShading">
    <w:name w:val="Light Shading"/>
    <w:basedOn w:val="TableNormal"/>
    <w:uiPriority w:val="60"/>
    <w:rsid w:val="00FE184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4">
    <w:name w:val="s4"/>
    <w:basedOn w:val="DefaultParagraphFont"/>
    <w:rsid w:val="00E315C8"/>
  </w:style>
  <w:style w:type="table" w:styleId="LightList">
    <w:name w:val="Light List"/>
    <w:basedOn w:val="TableNormal"/>
    <w:uiPriority w:val="61"/>
    <w:rsid w:val="004972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972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972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numbering" w:customStyle="1" w:styleId="NoList1">
    <w:name w:val="No List1"/>
    <w:next w:val="NoList"/>
    <w:uiPriority w:val="99"/>
    <w:semiHidden/>
    <w:unhideWhenUsed/>
    <w:rsid w:val="00B3730D"/>
  </w:style>
  <w:style w:type="paragraph" w:customStyle="1" w:styleId="xl69">
    <w:name w:val="xl69"/>
    <w:basedOn w:val="Normal"/>
    <w:rsid w:val="00804431"/>
    <w:pPr>
      <w:pBdr>
        <w:top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70">
    <w:name w:val="xl70"/>
    <w:basedOn w:val="Normal"/>
    <w:rsid w:val="00804431"/>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71">
    <w:name w:val="xl71"/>
    <w:basedOn w:val="Normal"/>
    <w:rsid w:val="00804431"/>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3">
    <w:name w:val="xl63"/>
    <w:basedOn w:val="Normal"/>
    <w:rsid w:val="00804431"/>
    <w:pPr>
      <w:spacing w:before="100" w:beforeAutospacing="1" w:after="100" w:afterAutospacing="1"/>
      <w:jc w:val="center"/>
    </w:pPr>
    <w:rPr>
      <w:rFonts w:ascii="Times New Roman" w:hAnsi="Times New Roman" w:cs="Times New Roman"/>
      <w:sz w:val="24"/>
      <w:szCs w:val="24"/>
    </w:rPr>
  </w:style>
  <w:style w:type="paragraph" w:customStyle="1" w:styleId="xl64">
    <w:name w:val="xl64"/>
    <w:basedOn w:val="Normal"/>
    <w:rsid w:val="008044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character" w:customStyle="1" w:styleId="A8">
    <w:name w:val="A8"/>
    <w:uiPriority w:val="99"/>
    <w:rsid w:val="00915B73"/>
    <w:rPr>
      <w:rFonts w:cs="Myriad Pro"/>
      <w:color w:val="000000"/>
      <w:sz w:val="23"/>
      <w:szCs w:val="23"/>
    </w:rPr>
  </w:style>
  <w:style w:type="character" w:customStyle="1" w:styleId="A9">
    <w:name w:val="A9"/>
    <w:uiPriority w:val="99"/>
    <w:rsid w:val="00915B73"/>
    <w:rPr>
      <w:rFonts w:cs="Myriad Pro"/>
      <w:color w:val="000000"/>
      <w:sz w:val="13"/>
      <w:szCs w:val="13"/>
    </w:rPr>
  </w:style>
  <w:style w:type="character" w:customStyle="1" w:styleId="A7">
    <w:name w:val="A7"/>
    <w:uiPriority w:val="99"/>
    <w:rsid w:val="00915B73"/>
    <w:rPr>
      <w:rFonts w:cs="Myriad Pro"/>
      <w:color w:val="000000"/>
      <w:sz w:val="18"/>
      <w:szCs w:val="18"/>
    </w:rPr>
  </w:style>
  <w:style w:type="character" w:customStyle="1" w:styleId="Heading1Char">
    <w:name w:val="Heading 1 Char"/>
    <w:basedOn w:val="DefaultParagraphFont"/>
    <w:link w:val="Heading1"/>
    <w:rsid w:val="00DE5395"/>
    <w:rPr>
      <w:rFonts w:asciiTheme="majorHAnsi" w:eastAsiaTheme="majorEastAsia" w:hAnsiTheme="majorHAnsi" w:cstheme="majorBidi"/>
      <w:b/>
      <w:bCs/>
      <w:color w:val="365F91" w:themeColor="accent1" w:themeShade="BF"/>
      <w:sz w:val="28"/>
      <w:szCs w:val="28"/>
    </w:rPr>
  </w:style>
  <w:style w:type="paragraph" w:customStyle="1" w:styleId="PBody">
    <w:name w:val="PBody"/>
    <w:basedOn w:val="Normal"/>
    <w:autoRedefine/>
    <w:qFormat/>
    <w:rsid w:val="00C51C29"/>
    <w:pPr>
      <w:spacing w:after="240" w:line="276" w:lineRule="auto"/>
      <w:ind w:firstLine="720"/>
      <w:jc w:val="both"/>
    </w:pPr>
    <w:rPr>
      <w:rFonts w:asciiTheme="minorHAnsi" w:hAnsiTheme="minorHAnsi" w:cs="Times New Roman"/>
      <w:sz w:val="22"/>
      <w:szCs w:val="22"/>
      <w:shd w:val="clear" w:color="auto" w:fill="FFFFFF"/>
    </w:rPr>
  </w:style>
  <w:style w:type="paragraph" w:customStyle="1" w:styleId="Headingp2">
    <w:name w:val="Heading p2"/>
    <w:basedOn w:val="PBody"/>
    <w:qFormat/>
    <w:rsid w:val="00DE5395"/>
    <w:pPr>
      <w:spacing w:after="120"/>
      <w:ind w:firstLine="0"/>
    </w:pPr>
    <w:rPr>
      <w:b/>
    </w:rPr>
  </w:style>
  <w:style w:type="paragraph" w:styleId="TOCHeading">
    <w:name w:val="TOC Heading"/>
    <w:basedOn w:val="Heading1"/>
    <w:next w:val="Normal"/>
    <w:uiPriority w:val="39"/>
    <w:rsid w:val="00E030ED"/>
    <w:pPr>
      <w:keepNext w:val="0"/>
      <w:keepLines w:val="0"/>
      <w:spacing w:after="240" w:line="276" w:lineRule="auto"/>
      <w:outlineLvl w:val="9"/>
    </w:pPr>
    <w:rPr>
      <w:rFonts w:ascii="Calibri" w:eastAsia="Times New Roman" w:hAnsi="Calibri" w:cs="Arial"/>
      <w:b w:val="0"/>
      <w:color w:val="auto"/>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paragraph" w:styleId="Heading1">
    <w:name w:val="heading 1"/>
    <w:basedOn w:val="Normal"/>
    <w:next w:val="Normal"/>
    <w:link w:val="Heading1Char"/>
    <w:qFormat/>
    <w:locked/>
    <w:rsid w:val="00DE53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254E59"/>
    <w:rPr>
      <w:rFonts w:ascii="Tahoma" w:hAnsi="Tahoma" w:cs="Tahoma"/>
      <w:sz w:val="16"/>
      <w:szCs w:val="16"/>
    </w:rPr>
  </w:style>
  <w:style w:type="character" w:customStyle="1" w:styleId="BalloonTextChar">
    <w:name w:val="Balloon Text Char"/>
    <w:basedOn w:val="DefaultParagraphFont"/>
    <w:link w:val="BalloonText"/>
    <w:uiPriority w:val="99"/>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uiPriority w:val="99"/>
    <w:rsid w:val="007C32A4"/>
    <w:pPr>
      <w:tabs>
        <w:tab w:val="center" w:pos="4680"/>
        <w:tab w:val="right" w:pos="9360"/>
      </w:tabs>
    </w:pPr>
  </w:style>
  <w:style w:type="character" w:customStyle="1" w:styleId="HeaderChar">
    <w:name w:val="Header Char"/>
    <w:basedOn w:val="DefaultParagraphFont"/>
    <w:link w:val="Header"/>
    <w:uiPriority w:val="99"/>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uiPriority w:val="99"/>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uiPriority w:val="99"/>
    <w:rsid w:val="00E72402"/>
    <w:rPr>
      <w:rFonts w:cs="Times New Roman"/>
      <w:sz w:val="18"/>
      <w:szCs w:val="18"/>
    </w:rPr>
  </w:style>
  <w:style w:type="paragraph" w:styleId="CommentText">
    <w:name w:val="annotation text"/>
    <w:basedOn w:val="Normal"/>
    <w:link w:val="CommentTextChar"/>
    <w:uiPriority w:val="99"/>
    <w:rsid w:val="00E72402"/>
    <w:rPr>
      <w:sz w:val="24"/>
      <w:szCs w:val="24"/>
    </w:rPr>
  </w:style>
  <w:style w:type="character" w:customStyle="1" w:styleId="CommentTextChar">
    <w:name w:val="Comment Text Char"/>
    <w:basedOn w:val="DefaultParagraphFont"/>
    <w:link w:val="CommentText"/>
    <w:uiPriority w:val="99"/>
    <w:locked/>
    <w:rsid w:val="00E72402"/>
    <w:rPr>
      <w:rFonts w:ascii="Arial" w:hAnsi="Arial" w:cs="Arial"/>
      <w:sz w:val="24"/>
      <w:szCs w:val="24"/>
    </w:rPr>
  </w:style>
  <w:style w:type="paragraph" w:styleId="CommentSubject">
    <w:name w:val="annotation subject"/>
    <w:basedOn w:val="CommentText"/>
    <w:next w:val="CommentText"/>
    <w:link w:val="CommentSubjectChar"/>
    <w:uiPriority w:val="99"/>
    <w:rsid w:val="00E72402"/>
    <w:rPr>
      <w:b/>
      <w:bCs/>
      <w:sz w:val="20"/>
      <w:szCs w:val="20"/>
    </w:rPr>
  </w:style>
  <w:style w:type="character" w:customStyle="1" w:styleId="CommentSubjectChar">
    <w:name w:val="Comment Subject Char"/>
    <w:basedOn w:val="CommentTextChar"/>
    <w:link w:val="CommentSubject"/>
    <w:uiPriority w:val="99"/>
    <w:locked/>
    <w:rsid w:val="00E72402"/>
    <w:rPr>
      <w:rFonts w:ascii="Arial" w:hAnsi="Arial" w:cs="Arial"/>
      <w:b/>
      <w:bCs/>
      <w:sz w:val="24"/>
      <w:szCs w:val="24"/>
    </w:rPr>
  </w:style>
  <w:style w:type="paragraph" w:styleId="NormalWeb">
    <w:name w:val="Normal (Web)"/>
    <w:basedOn w:val="Normal"/>
    <w:uiPriority w:val="99"/>
    <w:rsid w:val="00C347C2"/>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rsid w:val="00285B56"/>
    <w:rPr>
      <w:rFonts w:cs="Times New Roman"/>
      <w:color w:val="003366"/>
      <w:u w:val="single"/>
    </w:rPr>
  </w:style>
  <w:style w:type="paragraph" w:customStyle="1" w:styleId="xl65">
    <w:name w:val="xl65"/>
    <w:basedOn w:val="Normal"/>
    <w:rsid w:val="00285B56"/>
    <w:pPr>
      <w:spacing w:before="100" w:beforeAutospacing="1" w:after="100" w:afterAutospacing="1"/>
    </w:pPr>
    <w:rPr>
      <w:sz w:val="24"/>
      <w:szCs w:val="24"/>
    </w:rPr>
  </w:style>
  <w:style w:type="paragraph" w:customStyle="1" w:styleId="xl66">
    <w:name w:val="xl66"/>
    <w:basedOn w:val="Normal"/>
    <w:rsid w:val="00285B56"/>
    <w:pPr>
      <w:pBdr>
        <w:left w:val="single" w:sz="8" w:space="0" w:color="C1C1C1"/>
      </w:pBdr>
      <w:spacing w:before="100" w:beforeAutospacing="1" w:after="100" w:afterAutospacing="1"/>
      <w:textAlignment w:val="top"/>
    </w:pPr>
    <w:rPr>
      <w:color w:val="000000"/>
      <w:sz w:val="24"/>
      <w:szCs w:val="24"/>
    </w:rPr>
  </w:style>
  <w:style w:type="paragraph" w:customStyle="1" w:styleId="xl67">
    <w:name w:val="xl67"/>
    <w:basedOn w:val="Normal"/>
    <w:rsid w:val="00285B56"/>
    <w:pPr>
      <w:spacing w:before="100" w:beforeAutospacing="1" w:after="100" w:afterAutospacing="1"/>
      <w:jc w:val="center"/>
    </w:pPr>
    <w:rPr>
      <w:sz w:val="24"/>
      <w:szCs w:val="24"/>
    </w:rPr>
  </w:style>
  <w:style w:type="paragraph" w:customStyle="1" w:styleId="xl68">
    <w:name w:val="xl68"/>
    <w:basedOn w:val="Normal"/>
    <w:rsid w:val="00285B56"/>
    <w:pPr>
      <w:pBdr>
        <w:left w:val="single" w:sz="8" w:space="0" w:color="C1C1C1"/>
      </w:pBdr>
      <w:spacing w:before="100" w:beforeAutospacing="1" w:after="100" w:afterAutospacing="1"/>
      <w:textAlignment w:val="top"/>
    </w:pPr>
    <w:rPr>
      <w:color w:val="000000"/>
      <w:sz w:val="24"/>
      <w:szCs w:val="24"/>
    </w:rPr>
  </w:style>
  <w:style w:type="table" w:styleId="LightShading">
    <w:name w:val="Light Shading"/>
    <w:basedOn w:val="TableNormal"/>
    <w:uiPriority w:val="60"/>
    <w:rsid w:val="00FE184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4">
    <w:name w:val="s4"/>
    <w:basedOn w:val="DefaultParagraphFont"/>
    <w:rsid w:val="00E315C8"/>
  </w:style>
  <w:style w:type="table" w:styleId="LightList">
    <w:name w:val="Light List"/>
    <w:basedOn w:val="TableNormal"/>
    <w:uiPriority w:val="61"/>
    <w:rsid w:val="004972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972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9720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numbering" w:customStyle="1" w:styleId="NoList1">
    <w:name w:val="No List1"/>
    <w:next w:val="NoList"/>
    <w:uiPriority w:val="99"/>
    <w:semiHidden/>
    <w:unhideWhenUsed/>
    <w:rsid w:val="00B3730D"/>
  </w:style>
  <w:style w:type="paragraph" w:customStyle="1" w:styleId="xl69">
    <w:name w:val="xl69"/>
    <w:basedOn w:val="Normal"/>
    <w:rsid w:val="00804431"/>
    <w:pPr>
      <w:pBdr>
        <w:top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70">
    <w:name w:val="xl70"/>
    <w:basedOn w:val="Normal"/>
    <w:rsid w:val="00804431"/>
    <w:pPr>
      <w:pBdr>
        <w:top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71">
    <w:name w:val="xl71"/>
    <w:basedOn w:val="Normal"/>
    <w:rsid w:val="00804431"/>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cs="Times New Roman"/>
      <w:sz w:val="24"/>
      <w:szCs w:val="24"/>
    </w:rPr>
  </w:style>
  <w:style w:type="paragraph" w:customStyle="1" w:styleId="xl63">
    <w:name w:val="xl63"/>
    <w:basedOn w:val="Normal"/>
    <w:rsid w:val="00804431"/>
    <w:pPr>
      <w:spacing w:before="100" w:beforeAutospacing="1" w:after="100" w:afterAutospacing="1"/>
      <w:jc w:val="center"/>
    </w:pPr>
    <w:rPr>
      <w:rFonts w:ascii="Times New Roman" w:hAnsi="Times New Roman" w:cs="Times New Roman"/>
      <w:sz w:val="24"/>
      <w:szCs w:val="24"/>
    </w:rPr>
  </w:style>
  <w:style w:type="paragraph" w:customStyle="1" w:styleId="xl64">
    <w:name w:val="xl64"/>
    <w:basedOn w:val="Normal"/>
    <w:rsid w:val="008044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rPr>
  </w:style>
  <w:style w:type="character" w:customStyle="1" w:styleId="A8">
    <w:name w:val="A8"/>
    <w:uiPriority w:val="99"/>
    <w:rsid w:val="00915B73"/>
    <w:rPr>
      <w:rFonts w:cs="Myriad Pro"/>
      <w:color w:val="000000"/>
      <w:sz w:val="23"/>
      <w:szCs w:val="23"/>
    </w:rPr>
  </w:style>
  <w:style w:type="character" w:customStyle="1" w:styleId="A9">
    <w:name w:val="A9"/>
    <w:uiPriority w:val="99"/>
    <w:rsid w:val="00915B73"/>
    <w:rPr>
      <w:rFonts w:cs="Myriad Pro"/>
      <w:color w:val="000000"/>
      <w:sz w:val="13"/>
      <w:szCs w:val="13"/>
    </w:rPr>
  </w:style>
  <w:style w:type="character" w:customStyle="1" w:styleId="A7">
    <w:name w:val="A7"/>
    <w:uiPriority w:val="99"/>
    <w:rsid w:val="00915B73"/>
    <w:rPr>
      <w:rFonts w:cs="Myriad Pro"/>
      <w:color w:val="000000"/>
      <w:sz w:val="18"/>
      <w:szCs w:val="18"/>
    </w:rPr>
  </w:style>
  <w:style w:type="character" w:customStyle="1" w:styleId="Heading1Char">
    <w:name w:val="Heading 1 Char"/>
    <w:basedOn w:val="DefaultParagraphFont"/>
    <w:link w:val="Heading1"/>
    <w:rsid w:val="00DE5395"/>
    <w:rPr>
      <w:rFonts w:asciiTheme="majorHAnsi" w:eastAsiaTheme="majorEastAsia" w:hAnsiTheme="majorHAnsi" w:cstheme="majorBidi"/>
      <w:b/>
      <w:bCs/>
      <w:color w:val="365F91" w:themeColor="accent1" w:themeShade="BF"/>
      <w:sz w:val="28"/>
      <w:szCs w:val="28"/>
    </w:rPr>
  </w:style>
  <w:style w:type="paragraph" w:customStyle="1" w:styleId="PBody">
    <w:name w:val="PBody"/>
    <w:basedOn w:val="Normal"/>
    <w:autoRedefine/>
    <w:qFormat/>
    <w:rsid w:val="00C51C29"/>
    <w:pPr>
      <w:spacing w:after="240" w:line="276" w:lineRule="auto"/>
      <w:ind w:firstLine="720"/>
      <w:jc w:val="both"/>
    </w:pPr>
    <w:rPr>
      <w:rFonts w:asciiTheme="minorHAnsi" w:hAnsiTheme="minorHAnsi" w:cs="Times New Roman"/>
      <w:sz w:val="22"/>
      <w:szCs w:val="22"/>
      <w:shd w:val="clear" w:color="auto" w:fill="FFFFFF"/>
    </w:rPr>
  </w:style>
  <w:style w:type="paragraph" w:customStyle="1" w:styleId="Headingp2">
    <w:name w:val="Heading p2"/>
    <w:basedOn w:val="PBody"/>
    <w:qFormat/>
    <w:rsid w:val="00DE5395"/>
    <w:pPr>
      <w:spacing w:after="120"/>
      <w:ind w:firstLine="0"/>
    </w:pPr>
    <w:rPr>
      <w:b/>
    </w:rPr>
  </w:style>
  <w:style w:type="paragraph" w:styleId="TOCHeading">
    <w:name w:val="TOC Heading"/>
    <w:basedOn w:val="Heading1"/>
    <w:next w:val="Normal"/>
    <w:uiPriority w:val="39"/>
    <w:rsid w:val="00E030ED"/>
    <w:pPr>
      <w:keepNext w:val="0"/>
      <w:keepLines w:val="0"/>
      <w:spacing w:after="240" w:line="276" w:lineRule="auto"/>
      <w:outlineLvl w:val="9"/>
    </w:pPr>
    <w:rPr>
      <w:rFonts w:ascii="Calibri" w:eastAsia="Times New Roman" w:hAnsi="Calibri" w:cs="Arial"/>
      <w:b w:val="0"/>
      <w:color w:val="aut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2357">
      <w:bodyDiv w:val="1"/>
      <w:marLeft w:val="0"/>
      <w:marRight w:val="0"/>
      <w:marTop w:val="0"/>
      <w:marBottom w:val="0"/>
      <w:divBdr>
        <w:top w:val="none" w:sz="0" w:space="0" w:color="auto"/>
        <w:left w:val="none" w:sz="0" w:space="0" w:color="auto"/>
        <w:bottom w:val="none" w:sz="0" w:space="0" w:color="auto"/>
        <w:right w:val="none" w:sz="0" w:space="0" w:color="auto"/>
      </w:divBdr>
    </w:div>
    <w:div w:id="105855404">
      <w:bodyDiv w:val="1"/>
      <w:marLeft w:val="0"/>
      <w:marRight w:val="0"/>
      <w:marTop w:val="0"/>
      <w:marBottom w:val="0"/>
      <w:divBdr>
        <w:top w:val="none" w:sz="0" w:space="0" w:color="auto"/>
        <w:left w:val="none" w:sz="0" w:space="0" w:color="auto"/>
        <w:bottom w:val="none" w:sz="0" w:space="0" w:color="auto"/>
        <w:right w:val="none" w:sz="0" w:space="0" w:color="auto"/>
      </w:divBdr>
    </w:div>
    <w:div w:id="133957609">
      <w:bodyDiv w:val="1"/>
      <w:marLeft w:val="0"/>
      <w:marRight w:val="0"/>
      <w:marTop w:val="0"/>
      <w:marBottom w:val="0"/>
      <w:divBdr>
        <w:top w:val="none" w:sz="0" w:space="0" w:color="auto"/>
        <w:left w:val="none" w:sz="0" w:space="0" w:color="auto"/>
        <w:bottom w:val="none" w:sz="0" w:space="0" w:color="auto"/>
        <w:right w:val="none" w:sz="0" w:space="0" w:color="auto"/>
      </w:divBdr>
    </w:div>
    <w:div w:id="347872083">
      <w:bodyDiv w:val="1"/>
      <w:marLeft w:val="0"/>
      <w:marRight w:val="0"/>
      <w:marTop w:val="0"/>
      <w:marBottom w:val="0"/>
      <w:divBdr>
        <w:top w:val="none" w:sz="0" w:space="0" w:color="auto"/>
        <w:left w:val="none" w:sz="0" w:space="0" w:color="auto"/>
        <w:bottom w:val="none" w:sz="0" w:space="0" w:color="auto"/>
        <w:right w:val="none" w:sz="0" w:space="0" w:color="auto"/>
      </w:divBdr>
    </w:div>
    <w:div w:id="389571813">
      <w:bodyDiv w:val="1"/>
      <w:marLeft w:val="0"/>
      <w:marRight w:val="0"/>
      <w:marTop w:val="0"/>
      <w:marBottom w:val="0"/>
      <w:divBdr>
        <w:top w:val="none" w:sz="0" w:space="0" w:color="auto"/>
        <w:left w:val="none" w:sz="0" w:space="0" w:color="auto"/>
        <w:bottom w:val="none" w:sz="0" w:space="0" w:color="auto"/>
        <w:right w:val="none" w:sz="0" w:space="0" w:color="auto"/>
      </w:divBdr>
    </w:div>
    <w:div w:id="406879943">
      <w:bodyDiv w:val="1"/>
      <w:marLeft w:val="0"/>
      <w:marRight w:val="0"/>
      <w:marTop w:val="0"/>
      <w:marBottom w:val="0"/>
      <w:divBdr>
        <w:top w:val="none" w:sz="0" w:space="0" w:color="auto"/>
        <w:left w:val="none" w:sz="0" w:space="0" w:color="auto"/>
        <w:bottom w:val="none" w:sz="0" w:space="0" w:color="auto"/>
        <w:right w:val="none" w:sz="0" w:space="0" w:color="auto"/>
      </w:divBdr>
    </w:div>
    <w:div w:id="469172983">
      <w:marLeft w:val="0"/>
      <w:marRight w:val="0"/>
      <w:marTop w:val="0"/>
      <w:marBottom w:val="0"/>
      <w:divBdr>
        <w:top w:val="none" w:sz="0" w:space="0" w:color="auto"/>
        <w:left w:val="none" w:sz="0" w:space="0" w:color="auto"/>
        <w:bottom w:val="none" w:sz="0" w:space="0" w:color="auto"/>
        <w:right w:val="none" w:sz="0" w:space="0" w:color="auto"/>
      </w:divBdr>
    </w:div>
    <w:div w:id="469172984">
      <w:marLeft w:val="0"/>
      <w:marRight w:val="0"/>
      <w:marTop w:val="0"/>
      <w:marBottom w:val="0"/>
      <w:divBdr>
        <w:top w:val="none" w:sz="0" w:space="0" w:color="auto"/>
        <w:left w:val="none" w:sz="0" w:space="0" w:color="auto"/>
        <w:bottom w:val="none" w:sz="0" w:space="0" w:color="auto"/>
        <w:right w:val="none" w:sz="0" w:space="0" w:color="auto"/>
      </w:divBdr>
    </w:div>
    <w:div w:id="469172985">
      <w:marLeft w:val="0"/>
      <w:marRight w:val="0"/>
      <w:marTop w:val="0"/>
      <w:marBottom w:val="0"/>
      <w:divBdr>
        <w:top w:val="none" w:sz="0" w:space="0" w:color="auto"/>
        <w:left w:val="none" w:sz="0" w:space="0" w:color="auto"/>
        <w:bottom w:val="none" w:sz="0" w:space="0" w:color="auto"/>
        <w:right w:val="none" w:sz="0" w:space="0" w:color="auto"/>
      </w:divBdr>
    </w:div>
    <w:div w:id="469172986">
      <w:marLeft w:val="0"/>
      <w:marRight w:val="0"/>
      <w:marTop w:val="0"/>
      <w:marBottom w:val="0"/>
      <w:divBdr>
        <w:top w:val="none" w:sz="0" w:space="0" w:color="auto"/>
        <w:left w:val="none" w:sz="0" w:space="0" w:color="auto"/>
        <w:bottom w:val="none" w:sz="0" w:space="0" w:color="auto"/>
        <w:right w:val="none" w:sz="0" w:space="0" w:color="auto"/>
      </w:divBdr>
    </w:div>
    <w:div w:id="469172987">
      <w:marLeft w:val="0"/>
      <w:marRight w:val="0"/>
      <w:marTop w:val="0"/>
      <w:marBottom w:val="0"/>
      <w:divBdr>
        <w:top w:val="none" w:sz="0" w:space="0" w:color="auto"/>
        <w:left w:val="none" w:sz="0" w:space="0" w:color="auto"/>
        <w:bottom w:val="none" w:sz="0" w:space="0" w:color="auto"/>
        <w:right w:val="none" w:sz="0" w:space="0" w:color="auto"/>
      </w:divBdr>
    </w:div>
    <w:div w:id="469172988">
      <w:marLeft w:val="0"/>
      <w:marRight w:val="0"/>
      <w:marTop w:val="0"/>
      <w:marBottom w:val="0"/>
      <w:divBdr>
        <w:top w:val="none" w:sz="0" w:space="0" w:color="auto"/>
        <w:left w:val="none" w:sz="0" w:space="0" w:color="auto"/>
        <w:bottom w:val="none" w:sz="0" w:space="0" w:color="auto"/>
        <w:right w:val="none" w:sz="0" w:space="0" w:color="auto"/>
      </w:divBdr>
    </w:div>
    <w:div w:id="469172989">
      <w:marLeft w:val="0"/>
      <w:marRight w:val="0"/>
      <w:marTop w:val="0"/>
      <w:marBottom w:val="0"/>
      <w:divBdr>
        <w:top w:val="none" w:sz="0" w:space="0" w:color="auto"/>
        <w:left w:val="none" w:sz="0" w:space="0" w:color="auto"/>
        <w:bottom w:val="none" w:sz="0" w:space="0" w:color="auto"/>
        <w:right w:val="none" w:sz="0" w:space="0" w:color="auto"/>
      </w:divBdr>
    </w:div>
    <w:div w:id="469172990">
      <w:marLeft w:val="0"/>
      <w:marRight w:val="0"/>
      <w:marTop w:val="0"/>
      <w:marBottom w:val="0"/>
      <w:divBdr>
        <w:top w:val="none" w:sz="0" w:space="0" w:color="auto"/>
        <w:left w:val="none" w:sz="0" w:space="0" w:color="auto"/>
        <w:bottom w:val="none" w:sz="0" w:space="0" w:color="auto"/>
        <w:right w:val="none" w:sz="0" w:space="0" w:color="auto"/>
      </w:divBdr>
    </w:div>
    <w:div w:id="469172991">
      <w:marLeft w:val="0"/>
      <w:marRight w:val="0"/>
      <w:marTop w:val="0"/>
      <w:marBottom w:val="0"/>
      <w:divBdr>
        <w:top w:val="none" w:sz="0" w:space="0" w:color="auto"/>
        <w:left w:val="none" w:sz="0" w:space="0" w:color="auto"/>
        <w:bottom w:val="none" w:sz="0" w:space="0" w:color="auto"/>
        <w:right w:val="none" w:sz="0" w:space="0" w:color="auto"/>
      </w:divBdr>
    </w:div>
    <w:div w:id="469172992">
      <w:marLeft w:val="0"/>
      <w:marRight w:val="0"/>
      <w:marTop w:val="0"/>
      <w:marBottom w:val="0"/>
      <w:divBdr>
        <w:top w:val="none" w:sz="0" w:space="0" w:color="auto"/>
        <w:left w:val="none" w:sz="0" w:space="0" w:color="auto"/>
        <w:bottom w:val="none" w:sz="0" w:space="0" w:color="auto"/>
        <w:right w:val="none" w:sz="0" w:space="0" w:color="auto"/>
      </w:divBdr>
    </w:div>
    <w:div w:id="469172993">
      <w:marLeft w:val="0"/>
      <w:marRight w:val="0"/>
      <w:marTop w:val="0"/>
      <w:marBottom w:val="0"/>
      <w:divBdr>
        <w:top w:val="none" w:sz="0" w:space="0" w:color="auto"/>
        <w:left w:val="none" w:sz="0" w:space="0" w:color="auto"/>
        <w:bottom w:val="none" w:sz="0" w:space="0" w:color="auto"/>
        <w:right w:val="none" w:sz="0" w:space="0" w:color="auto"/>
      </w:divBdr>
    </w:div>
    <w:div w:id="469172994">
      <w:marLeft w:val="0"/>
      <w:marRight w:val="0"/>
      <w:marTop w:val="0"/>
      <w:marBottom w:val="0"/>
      <w:divBdr>
        <w:top w:val="none" w:sz="0" w:space="0" w:color="auto"/>
        <w:left w:val="none" w:sz="0" w:space="0" w:color="auto"/>
        <w:bottom w:val="none" w:sz="0" w:space="0" w:color="auto"/>
        <w:right w:val="none" w:sz="0" w:space="0" w:color="auto"/>
      </w:divBdr>
    </w:div>
    <w:div w:id="469172995">
      <w:marLeft w:val="0"/>
      <w:marRight w:val="0"/>
      <w:marTop w:val="0"/>
      <w:marBottom w:val="0"/>
      <w:divBdr>
        <w:top w:val="none" w:sz="0" w:space="0" w:color="auto"/>
        <w:left w:val="none" w:sz="0" w:space="0" w:color="auto"/>
        <w:bottom w:val="none" w:sz="0" w:space="0" w:color="auto"/>
        <w:right w:val="none" w:sz="0" w:space="0" w:color="auto"/>
      </w:divBdr>
    </w:div>
    <w:div w:id="469172996">
      <w:marLeft w:val="0"/>
      <w:marRight w:val="0"/>
      <w:marTop w:val="0"/>
      <w:marBottom w:val="0"/>
      <w:divBdr>
        <w:top w:val="none" w:sz="0" w:space="0" w:color="auto"/>
        <w:left w:val="none" w:sz="0" w:space="0" w:color="auto"/>
        <w:bottom w:val="none" w:sz="0" w:space="0" w:color="auto"/>
        <w:right w:val="none" w:sz="0" w:space="0" w:color="auto"/>
      </w:divBdr>
    </w:div>
    <w:div w:id="469172997">
      <w:marLeft w:val="0"/>
      <w:marRight w:val="0"/>
      <w:marTop w:val="0"/>
      <w:marBottom w:val="0"/>
      <w:divBdr>
        <w:top w:val="none" w:sz="0" w:space="0" w:color="auto"/>
        <w:left w:val="none" w:sz="0" w:space="0" w:color="auto"/>
        <w:bottom w:val="none" w:sz="0" w:space="0" w:color="auto"/>
        <w:right w:val="none" w:sz="0" w:space="0" w:color="auto"/>
      </w:divBdr>
    </w:div>
    <w:div w:id="469172998">
      <w:marLeft w:val="0"/>
      <w:marRight w:val="0"/>
      <w:marTop w:val="0"/>
      <w:marBottom w:val="0"/>
      <w:divBdr>
        <w:top w:val="none" w:sz="0" w:space="0" w:color="auto"/>
        <w:left w:val="none" w:sz="0" w:space="0" w:color="auto"/>
        <w:bottom w:val="none" w:sz="0" w:space="0" w:color="auto"/>
        <w:right w:val="none" w:sz="0" w:space="0" w:color="auto"/>
      </w:divBdr>
    </w:div>
    <w:div w:id="469172999">
      <w:marLeft w:val="0"/>
      <w:marRight w:val="0"/>
      <w:marTop w:val="0"/>
      <w:marBottom w:val="0"/>
      <w:divBdr>
        <w:top w:val="none" w:sz="0" w:space="0" w:color="auto"/>
        <w:left w:val="none" w:sz="0" w:space="0" w:color="auto"/>
        <w:bottom w:val="none" w:sz="0" w:space="0" w:color="auto"/>
        <w:right w:val="none" w:sz="0" w:space="0" w:color="auto"/>
      </w:divBdr>
    </w:div>
    <w:div w:id="469173000">
      <w:marLeft w:val="0"/>
      <w:marRight w:val="0"/>
      <w:marTop w:val="0"/>
      <w:marBottom w:val="0"/>
      <w:divBdr>
        <w:top w:val="none" w:sz="0" w:space="0" w:color="auto"/>
        <w:left w:val="none" w:sz="0" w:space="0" w:color="auto"/>
        <w:bottom w:val="none" w:sz="0" w:space="0" w:color="auto"/>
        <w:right w:val="none" w:sz="0" w:space="0" w:color="auto"/>
      </w:divBdr>
    </w:div>
    <w:div w:id="469173001">
      <w:marLeft w:val="0"/>
      <w:marRight w:val="0"/>
      <w:marTop w:val="0"/>
      <w:marBottom w:val="0"/>
      <w:divBdr>
        <w:top w:val="none" w:sz="0" w:space="0" w:color="auto"/>
        <w:left w:val="none" w:sz="0" w:space="0" w:color="auto"/>
        <w:bottom w:val="none" w:sz="0" w:space="0" w:color="auto"/>
        <w:right w:val="none" w:sz="0" w:space="0" w:color="auto"/>
      </w:divBdr>
    </w:div>
    <w:div w:id="469173002">
      <w:marLeft w:val="0"/>
      <w:marRight w:val="0"/>
      <w:marTop w:val="0"/>
      <w:marBottom w:val="0"/>
      <w:divBdr>
        <w:top w:val="none" w:sz="0" w:space="0" w:color="auto"/>
        <w:left w:val="none" w:sz="0" w:space="0" w:color="auto"/>
        <w:bottom w:val="none" w:sz="0" w:space="0" w:color="auto"/>
        <w:right w:val="none" w:sz="0" w:space="0" w:color="auto"/>
      </w:divBdr>
    </w:div>
    <w:div w:id="469173003">
      <w:marLeft w:val="0"/>
      <w:marRight w:val="0"/>
      <w:marTop w:val="0"/>
      <w:marBottom w:val="0"/>
      <w:divBdr>
        <w:top w:val="none" w:sz="0" w:space="0" w:color="auto"/>
        <w:left w:val="none" w:sz="0" w:space="0" w:color="auto"/>
        <w:bottom w:val="none" w:sz="0" w:space="0" w:color="auto"/>
        <w:right w:val="none" w:sz="0" w:space="0" w:color="auto"/>
      </w:divBdr>
    </w:div>
    <w:div w:id="469173004">
      <w:marLeft w:val="0"/>
      <w:marRight w:val="0"/>
      <w:marTop w:val="0"/>
      <w:marBottom w:val="0"/>
      <w:divBdr>
        <w:top w:val="none" w:sz="0" w:space="0" w:color="auto"/>
        <w:left w:val="none" w:sz="0" w:space="0" w:color="auto"/>
        <w:bottom w:val="none" w:sz="0" w:space="0" w:color="auto"/>
        <w:right w:val="none" w:sz="0" w:space="0" w:color="auto"/>
      </w:divBdr>
    </w:div>
    <w:div w:id="469173005">
      <w:marLeft w:val="0"/>
      <w:marRight w:val="0"/>
      <w:marTop w:val="0"/>
      <w:marBottom w:val="0"/>
      <w:divBdr>
        <w:top w:val="none" w:sz="0" w:space="0" w:color="auto"/>
        <w:left w:val="none" w:sz="0" w:space="0" w:color="auto"/>
        <w:bottom w:val="none" w:sz="0" w:space="0" w:color="auto"/>
        <w:right w:val="none" w:sz="0" w:space="0" w:color="auto"/>
      </w:divBdr>
    </w:div>
    <w:div w:id="469173006">
      <w:marLeft w:val="0"/>
      <w:marRight w:val="0"/>
      <w:marTop w:val="0"/>
      <w:marBottom w:val="0"/>
      <w:divBdr>
        <w:top w:val="none" w:sz="0" w:space="0" w:color="auto"/>
        <w:left w:val="none" w:sz="0" w:space="0" w:color="auto"/>
        <w:bottom w:val="none" w:sz="0" w:space="0" w:color="auto"/>
        <w:right w:val="none" w:sz="0" w:space="0" w:color="auto"/>
      </w:divBdr>
    </w:div>
    <w:div w:id="469173007">
      <w:marLeft w:val="0"/>
      <w:marRight w:val="0"/>
      <w:marTop w:val="0"/>
      <w:marBottom w:val="0"/>
      <w:divBdr>
        <w:top w:val="none" w:sz="0" w:space="0" w:color="auto"/>
        <w:left w:val="none" w:sz="0" w:space="0" w:color="auto"/>
        <w:bottom w:val="none" w:sz="0" w:space="0" w:color="auto"/>
        <w:right w:val="none" w:sz="0" w:space="0" w:color="auto"/>
      </w:divBdr>
    </w:div>
    <w:div w:id="469173008">
      <w:marLeft w:val="0"/>
      <w:marRight w:val="0"/>
      <w:marTop w:val="0"/>
      <w:marBottom w:val="0"/>
      <w:divBdr>
        <w:top w:val="none" w:sz="0" w:space="0" w:color="auto"/>
        <w:left w:val="none" w:sz="0" w:space="0" w:color="auto"/>
        <w:bottom w:val="none" w:sz="0" w:space="0" w:color="auto"/>
        <w:right w:val="none" w:sz="0" w:space="0" w:color="auto"/>
      </w:divBdr>
    </w:div>
    <w:div w:id="469173009">
      <w:marLeft w:val="0"/>
      <w:marRight w:val="0"/>
      <w:marTop w:val="0"/>
      <w:marBottom w:val="0"/>
      <w:divBdr>
        <w:top w:val="none" w:sz="0" w:space="0" w:color="auto"/>
        <w:left w:val="none" w:sz="0" w:space="0" w:color="auto"/>
        <w:bottom w:val="none" w:sz="0" w:space="0" w:color="auto"/>
        <w:right w:val="none" w:sz="0" w:space="0" w:color="auto"/>
      </w:divBdr>
    </w:div>
    <w:div w:id="469173010">
      <w:marLeft w:val="0"/>
      <w:marRight w:val="0"/>
      <w:marTop w:val="0"/>
      <w:marBottom w:val="0"/>
      <w:divBdr>
        <w:top w:val="none" w:sz="0" w:space="0" w:color="auto"/>
        <w:left w:val="none" w:sz="0" w:space="0" w:color="auto"/>
        <w:bottom w:val="none" w:sz="0" w:space="0" w:color="auto"/>
        <w:right w:val="none" w:sz="0" w:space="0" w:color="auto"/>
      </w:divBdr>
    </w:div>
    <w:div w:id="469173011">
      <w:marLeft w:val="0"/>
      <w:marRight w:val="0"/>
      <w:marTop w:val="0"/>
      <w:marBottom w:val="0"/>
      <w:divBdr>
        <w:top w:val="none" w:sz="0" w:space="0" w:color="auto"/>
        <w:left w:val="none" w:sz="0" w:space="0" w:color="auto"/>
        <w:bottom w:val="none" w:sz="0" w:space="0" w:color="auto"/>
        <w:right w:val="none" w:sz="0" w:space="0" w:color="auto"/>
      </w:divBdr>
    </w:div>
    <w:div w:id="469173012">
      <w:marLeft w:val="0"/>
      <w:marRight w:val="0"/>
      <w:marTop w:val="0"/>
      <w:marBottom w:val="0"/>
      <w:divBdr>
        <w:top w:val="none" w:sz="0" w:space="0" w:color="auto"/>
        <w:left w:val="none" w:sz="0" w:space="0" w:color="auto"/>
        <w:bottom w:val="none" w:sz="0" w:space="0" w:color="auto"/>
        <w:right w:val="none" w:sz="0" w:space="0" w:color="auto"/>
      </w:divBdr>
    </w:div>
    <w:div w:id="519054045">
      <w:bodyDiv w:val="1"/>
      <w:marLeft w:val="0"/>
      <w:marRight w:val="0"/>
      <w:marTop w:val="0"/>
      <w:marBottom w:val="0"/>
      <w:divBdr>
        <w:top w:val="none" w:sz="0" w:space="0" w:color="auto"/>
        <w:left w:val="none" w:sz="0" w:space="0" w:color="auto"/>
        <w:bottom w:val="none" w:sz="0" w:space="0" w:color="auto"/>
        <w:right w:val="none" w:sz="0" w:space="0" w:color="auto"/>
      </w:divBdr>
    </w:div>
    <w:div w:id="580407402">
      <w:bodyDiv w:val="1"/>
      <w:marLeft w:val="0"/>
      <w:marRight w:val="0"/>
      <w:marTop w:val="0"/>
      <w:marBottom w:val="0"/>
      <w:divBdr>
        <w:top w:val="none" w:sz="0" w:space="0" w:color="auto"/>
        <w:left w:val="none" w:sz="0" w:space="0" w:color="auto"/>
        <w:bottom w:val="none" w:sz="0" w:space="0" w:color="auto"/>
        <w:right w:val="none" w:sz="0" w:space="0" w:color="auto"/>
      </w:divBdr>
    </w:div>
    <w:div w:id="621158790">
      <w:bodyDiv w:val="1"/>
      <w:marLeft w:val="0"/>
      <w:marRight w:val="0"/>
      <w:marTop w:val="0"/>
      <w:marBottom w:val="0"/>
      <w:divBdr>
        <w:top w:val="none" w:sz="0" w:space="0" w:color="auto"/>
        <w:left w:val="none" w:sz="0" w:space="0" w:color="auto"/>
        <w:bottom w:val="none" w:sz="0" w:space="0" w:color="auto"/>
        <w:right w:val="none" w:sz="0" w:space="0" w:color="auto"/>
      </w:divBdr>
    </w:div>
    <w:div w:id="686908323">
      <w:bodyDiv w:val="1"/>
      <w:marLeft w:val="0"/>
      <w:marRight w:val="0"/>
      <w:marTop w:val="0"/>
      <w:marBottom w:val="0"/>
      <w:divBdr>
        <w:top w:val="none" w:sz="0" w:space="0" w:color="auto"/>
        <w:left w:val="none" w:sz="0" w:space="0" w:color="auto"/>
        <w:bottom w:val="none" w:sz="0" w:space="0" w:color="auto"/>
        <w:right w:val="none" w:sz="0" w:space="0" w:color="auto"/>
      </w:divBdr>
    </w:div>
    <w:div w:id="782458135">
      <w:bodyDiv w:val="1"/>
      <w:marLeft w:val="0"/>
      <w:marRight w:val="0"/>
      <w:marTop w:val="0"/>
      <w:marBottom w:val="0"/>
      <w:divBdr>
        <w:top w:val="none" w:sz="0" w:space="0" w:color="auto"/>
        <w:left w:val="none" w:sz="0" w:space="0" w:color="auto"/>
        <w:bottom w:val="none" w:sz="0" w:space="0" w:color="auto"/>
        <w:right w:val="none" w:sz="0" w:space="0" w:color="auto"/>
      </w:divBdr>
    </w:div>
    <w:div w:id="864825134">
      <w:bodyDiv w:val="1"/>
      <w:marLeft w:val="0"/>
      <w:marRight w:val="0"/>
      <w:marTop w:val="0"/>
      <w:marBottom w:val="0"/>
      <w:divBdr>
        <w:top w:val="none" w:sz="0" w:space="0" w:color="auto"/>
        <w:left w:val="none" w:sz="0" w:space="0" w:color="auto"/>
        <w:bottom w:val="none" w:sz="0" w:space="0" w:color="auto"/>
        <w:right w:val="none" w:sz="0" w:space="0" w:color="auto"/>
      </w:divBdr>
    </w:div>
    <w:div w:id="906652455">
      <w:bodyDiv w:val="1"/>
      <w:marLeft w:val="0"/>
      <w:marRight w:val="0"/>
      <w:marTop w:val="0"/>
      <w:marBottom w:val="0"/>
      <w:divBdr>
        <w:top w:val="none" w:sz="0" w:space="0" w:color="auto"/>
        <w:left w:val="none" w:sz="0" w:space="0" w:color="auto"/>
        <w:bottom w:val="none" w:sz="0" w:space="0" w:color="auto"/>
        <w:right w:val="none" w:sz="0" w:space="0" w:color="auto"/>
      </w:divBdr>
    </w:div>
    <w:div w:id="966549819">
      <w:bodyDiv w:val="1"/>
      <w:marLeft w:val="0"/>
      <w:marRight w:val="0"/>
      <w:marTop w:val="0"/>
      <w:marBottom w:val="0"/>
      <w:divBdr>
        <w:top w:val="none" w:sz="0" w:space="0" w:color="auto"/>
        <w:left w:val="none" w:sz="0" w:space="0" w:color="auto"/>
        <w:bottom w:val="none" w:sz="0" w:space="0" w:color="auto"/>
        <w:right w:val="none" w:sz="0" w:space="0" w:color="auto"/>
      </w:divBdr>
    </w:div>
    <w:div w:id="1031303908">
      <w:bodyDiv w:val="1"/>
      <w:marLeft w:val="0"/>
      <w:marRight w:val="0"/>
      <w:marTop w:val="0"/>
      <w:marBottom w:val="0"/>
      <w:divBdr>
        <w:top w:val="none" w:sz="0" w:space="0" w:color="auto"/>
        <w:left w:val="none" w:sz="0" w:space="0" w:color="auto"/>
        <w:bottom w:val="none" w:sz="0" w:space="0" w:color="auto"/>
        <w:right w:val="none" w:sz="0" w:space="0" w:color="auto"/>
      </w:divBdr>
    </w:div>
    <w:div w:id="1194615076">
      <w:bodyDiv w:val="1"/>
      <w:marLeft w:val="0"/>
      <w:marRight w:val="0"/>
      <w:marTop w:val="0"/>
      <w:marBottom w:val="0"/>
      <w:divBdr>
        <w:top w:val="none" w:sz="0" w:space="0" w:color="auto"/>
        <w:left w:val="none" w:sz="0" w:space="0" w:color="auto"/>
        <w:bottom w:val="none" w:sz="0" w:space="0" w:color="auto"/>
        <w:right w:val="none" w:sz="0" w:space="0" w:color="auto"/>
      </w:divBdr>
    </w:div>
    <w:div w:id="1351712718">
      <w:bodyDiv w:val="1"/>
      <w:marLeft w:val="0"/>
      <w:marRight w:val="0"/>
      <w:marTop w:val="0"/>
      <w:marBottom w:val="0"/>
      <w:divBdr>
        <w:top w:val="none" w:sz="0" w:space="0" w:color="auto"/>
        <w:left w:val="none" w:sz="0" w:space="0" w:color="auto"/>
        <w:bottom w:val="none" w:sz="0" w:space="0" w:color="auto"/>
        <w:right w:val="none" w:sz="0" w:space="0" w:color="auto"/>
      </w:divBdr>
    </w:div>
    <w:div w:id="1401368274">
      <w:bodyDiv w:val="1"/>
      <w:marLeft w:val="0"/>
      <w:marRight w:val="0"/>
      <w:marTop w:val="0"/>
      <w:marBottom w:val="0"/>
      <w:divBdr>
        <w:top w:val="none" w:sz="0" w:space="0" w:color="auto"/>
        <w:left w:val="none" w:sz="0" w:space="0" w:color="auto"/>
        <w:bottom w:val="none" w:sz="0" w:space="0" w:color="auto"/>
        <w:right w:val="none" w:sz="0" w:space="0" w:color="auto"/>
      </w:divBdr>
    </w:div>
    <w:div w:id="1521578347">
      <w:bodyDiv w:val="1"/>
      <w:marLeft w:val="0"/>
      <w:marRight w:val="0"/>
      <w:marTop w:val="0"/>
      <w:marBottom w:val="0"/>
      <w:divBdr>
        <w:top w:val="none" w:sz="0" w:space="0" w:color="auto"/>
        <w:left w:val="none" w:sz="0" w:space="0" w:color="auto"/>
        <w:bottom w:val="none" w:sz="0" w:space="0" w:color="auto"/>
        <w:right w:val="none" w:sz="0" w:space="0" w:color="auto"/>
      </w:divBdr>
    </w:div>
    <w:div w:id="1533224358">
      <w:bodyDiv w:val="1"/>
      <w:marLeft w:val="0"/>
      <w:marRight w:val="0"/>
      <w:marTop w:val="0"/>
      <w:marBottom w:val="0"/>
      <w:divBdr>
        <w:top w:val="none" w:sz="0" w:space="0" w:color="auto"/>
        <w:left w:val="none" w:sz="0" w:space="0" w:color="auto"/>
        <w:bottom w:val="none" w:sz="0" w:space="0" w:color="auto"/>
        <w:right w:val="none" w:sz="0" w:space="0" w:color="auto"/>
      </w:divBdr>
    </w:div>
    <w:div w:id="1579752316">
      <w:bodyDiv w:val="1"/>
      <w:marLeft w:val="0"/>
      <w:marRight w:val="0"/>
      <w:marTop w:val="0"/>
      <w:marBottom w:val="0"/>
      <w:divBdr>
        <w:top w:val="none" w:sz="0" w:space="0" w:color="auto"/>
        <w:left w:val="none" w:sz="0" w:space="0" w:color="auto"/>
        <w:bottom w:val="none" w:sz="0" w:space="0" w:color="auto"/>
        <w:right w:val="none" w:sz="0" w:space="0" w:color="auto"/>
      </w:divBdr>
    </w:div>
    <w:div w:id="1739135743">
      <w:bodyDiv w:val="1"/>
      <w:marLeft w:val="0"/>
      <w:marRight w:val="0"/>
      <w:marTop w:val="0"/>
      <w:marBottom w:val="0"/>
      <w:divBdr>
        <w:top w:val="none" w:sz="0" w:space="0" w:color="auto"/>
        <w:left w:val="none" w:sz="0" w:space="0" w:color="auto"/>
        <w:bottom w:val="none" w:sz="0" w:space="0" w:color="auto"/>
        <w:right w:val="none" w:sz="0" w:space="0" w:color="auto"/>
      </w:divBdr>
    </w:div>
    <w:div w:id="1741244295">
      <w:bodyDiv w:val="1"/>
      <w:marLeft w:val="0"/>
      <w:marRight w:val="0"/>
      <w:marTop w:val="0"/>
      <w:marBottom w:val="0"/>
      <w:divBdr>
        <w:top w:val="none" w:sz="0" w:space="0" w:color="auto"/>
        <w:left w:val="none" w:sz="0" w:space="0" w:color="auto"/>
        <w:bottom w:val="none" w:sz="0" w:space="0" w:color="auto"/>
        <w:right w:val="none" w:sz="0" w:space="0" w:color="auto"/>
      </w:divBdr>
    </w:div>
    <w:div w:id="1801802397">
      <w:bodyDiv w:val="1"/>
      <w:marLeft w:val="0"/>
      <w:marRight w:val="0"/>
      <w:marTop w:val="0"/>
      <w:marBottom w:val="0"/>
      <w:divBdr>
        <w:top w:val="none" w:sz="0" w:space="0" w:color="auto"/>
        <w:left w:val="none" w:sz="0" w:space="0" w:color="auto"/>
        <w:bottom w:val="none" w:sz="0" w:space="0" w:color="auto"/>
        <w:right w:val="none" w:sz="0" w:space="0" w:color="auto"/>
      </w:divBdr>
    </w:div>
    <w:div w:id="2130926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2.png"/>
  <Relationship Id="rId11" Type="http://schemas.openxmlformats.org/officeDocument/2006/relationships/chart" Target="charts/chart1.xml"/>
  <Relationship Id="rId12" Type="http://schemas.openxmlformats.org/officeDocument/2006/relationships/chart" Target="charts/chart2.xml"/>
  <Relationship Id="rId13" Type="http://schemas.openxmlformats.org/officeDocument/2006/relationships/image" Target="media/image3.emf"/>
  <Relationship Id="rId14" Type="http://schemas.openxmlformats.org/officeDocument/2006/relationships/image" Target="media/image4.emf"/>
  <Relationship Id="rId15" Type="http://schemas.openxmlformats.org/officeDocument/2006/relationships/chart" Target="charts/chart3.xml"/>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numbering" Target="numbering.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 Id="rId2" Type="http://schemas.openxmlformats.org/officeDocument/2006/relationships/chartUserShapes" Target="../drawings/drawing1.xml"/>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oleObject" TargetMode="External" Target="Book1"/>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400"/>
              <a:t>Figure 1: Fatal Opioid-Related Overdoses</a:t>
            </a:r>
          </a:p>
          <a:p>
            <a:pPr>
              <a:defRPr/>
            </a:pPr>
            <a:r>
              <a:rPr lang="en-US" sz="1400"/>
              <a:t>Mutually Exclusive</a:t>
            </a:r>
            <a:r>
              <a:rPr lang="en-US" sz="1400" baseline="30000"/>
              <a:t>1</a:t>
            </a:r>
            <a:r>
              <a:rPr lang="en-US" sz="1400"/>
              <a:t> Toxicology Categories: 2013-2014</a:t>
            </a:r>
          </a:p>
        </c:rich>
      </c:tx>
      <c:layout>
        <c:manualLayout>
          <c:xMode val="edge"/>
          <c:yMode val="edge"/>
          <c:x val="0.13811979572840899"/>
          <c:y val="0"/>
        </c:manualLayout>
      </c:layout>
      <c:overlay val="0"/>
    </c:title>
    <c:autoTitleDeleted val="0"/>
    <c:plotArea>
      <c:layout/>
      <c:pieChart>
        <c:varyColors val="1"/>
        <c:ser>
          <c:idx val="0"/>
          <c:order val="0"/>
          <c:tx>
            <c:strRef>
              <c:f>Sheet1!$B$1</c:f>
              <c:strCache>
                <c:ptCount val="1"/>
                <c:pt idx="0">
                  <c:v>Fatal opioid-related overdoses: 2013-2014 Mutually exclusive toxicology categories (n=1657)</c:v>
                </c:pt>
              </c:strCache>
            </c:strRef>
          </c:tx>
          <c:spPr>
            <a:scene3d>
              <a:camera prst="orthographicFront"/>
              <a:lightRig rig="threePt" dir="t">
                <a:rot lat="0" lon="0" rev="1200000"/>
              </a:lightRig>
            </a:scene3d>
            <a:sp3d/>
          </c:spPr>
          <c:dPt>
            <c:idx val="0"/>
            <c:bubble3D val="0"/>
          </c:dPt>
          <c:dPt>
            <c:idx val="1"/>
            <c:bubble3D val="0"/>
          </c:dPt>
          <c:dPt>
            <c:idx val="2"/>
            <c:bubble3D val="0"/>
          </c:dPt>
          <c:dPt>
            <c:idx val="3"/>
            <c:bubble3D val="0"/>
          </c:dPt>
          <c:dLbls>
            <c:dLbl>
              <c:idx val="0"/>
              <c:layout>
                <c:manualLayout>
                  <c:x val="-6.7088979562130127E-2"/>
                  <c:y val="-0.18882907818340888"/>
                </c:manualLayout>
              </c:layout>
              <c:tx>
                <c:rich>
                  <a:bodyPr/>
                  <a:lstStyle/>
                  <a:p>
                    <a:r>
                      <a:rPr lang="en-US">
                        <a:solidFill>
                          <a:schemeClr val="bg1"/>
                        </a:solidFill>
                      </a:rPr>
                      <a:t>85%</a:t>
                    </a:r>
                  </a:p>
                </c:rich>
              </c:tx>
              <c:showLegendKey val="0"/>
              <c:showVal val="0"/>
              <c:showCatName val="0"/>
              <c:showSerName val="0"/>
              <c:showPercent val="1"/>
              <c:showBubbleSize val="0"/>
            </c:dLbl>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Sheet1!$A$2:$A$5</c:f>
              <c:strCache>
                <c:ptCount val="4"/>
                <c:pt idx="0">
                  <c:v>Fentanyl and/or Heroin²</c:v>
                </c:pt>
                <c:pt idx="1">
                  <c:v>Methadone</c:v>
                </c:pt>
                <c:pt idx="2">
                  <c:v>Prescription Opioids³</c:v>
                </c:pt>
                <c:pt idx="3">
                  <c:v>Buprenorphine</c:v>
                </c:pt>
              </c:strCache>
            </c:strRef>
          </c:cat>
          <c:val>
            <c:numRef>
              <c:f>Sheet1!$B$2:$B$5</c:f>
              <c:numCache>
                <c:formatCode>General</c:formatCode>
                <c:ptCount val="4"/>
                <c:pt idx="0">
                  <c:v>1404</c:v>
                </c:pt>
                <c:pt idx="1">
                  <c:v>84</c:v>
                </c:pt>
                <c:pt idx="2">
                  <c:v>154</c:v>
                </c:pt>
                <c:pt idx="3">
                  <c:v>15</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zero"/>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sz="1400"/>
              <a:t>Figure 2: Cumulative Incidence of Opioid-Related</a:t>
            </a:r>
            <a:r>
              <a:rPr lang="en-US" sz="1400" baseline="0"/>
              <a:t> Death by OAT Status</a:t>
            </a:r>
            <a:endParaRPr lang="en-US" sz="1400"/>
          </a:p>
        </c:rich>
      </c:tx>
      <c:overlay val="0"/>
    </c:title>
    <c:autoTitleDeleted val="0"/>
    <c:plotArea>
      <c:layout/>
      <c:barChart>
        <c:barDir val="col"/>
        <c:grouping val="stacked"/>
        <c:varyColors val="0"/>
        <c:ser>
          <c:idx val="0"/>
          <c:order val="0"/>
          <c:tx>
            <c:strRef>
              <c:f>Sheet1!$B$1</c:f>
              <c:strCache>
                <c:ptCount val="1"/>
                <c:pt idx="0">
                  <c:v>Incidence Rate</c:v>
                </c:pt>
              </c:strCache>
            </c:strRef>
          </c:tx>
          <c:spPr>
            <a:scene3d>
              <a:camera prst="orthographicFront"/>
              <a:lightRig rig="threePt" dir="t">
                <a:rot lat="0" lon="0" rev="1200000"/>
              </a:lightRig>
            </a:scene3d>
            <a:sp3d/>
          </c:spPr>
          <c:invertIfNegative val="0"/>
          <c:dPt>
            <c:idx val="0"/>
            <c:invertIfNegative val="0"/>
            <c:bubble3D val="0"/>
          </c:dPt>
          <c:dPt>
            <c:idx val="1"/>
            <c:invertIfNegative val="0"/>
            <c:bubble3D val="0"/>
          </c:dPt>
          <c:cat>
            <c:strRef>
              <c:f>Sheet1!$A$2:$A$3</c:f>
              <c:strCache>
                <c:ptCount val="2"/>
                <c:pt idx="0">
                  <c:v>Engaged in OAT</c:v>
                </c:pt>
                <c:pt idx="1">
                  <c:v>Not Engaged in OAT</c:v>
                </c:pt>
              </c:strCache>
            </c:strRef>
          </c:cat>
          <c:val>
            <c:numRef>
              <c:f>Sheet1!$B$2:$B$3</c:f>
              <c:numCache>
                <c:formatCode>General</c:formatCode>
                <c:ptCount val="2"/>
                <c:pt idx="0">
                  <c:v>1.1000000000000001</c:v>
                </c:pt>
                <c:pt idx="1">
                  <c:v>2.2999999999999998</c:v>
                </c:pt>
              </c:numCache>
            </c:numRef>
          </c:val>
        </c:ser>
        <c:dLbls>
          <c:showLegendKey val="0"/>
          <c:showVal val="0"/>
          <c:showCatName val="0"/>
          <c:showSerName val="0"/>
          <c:showPercent val="0"/>
          <c:showBubbleSize val="0"/>
        </c:dLbls>
        <c:gapWidth val="150"/>
        <c:overlap val="100"/>
        <c:axId val="967244800"/>
        <c:axId val="968521216"/>
      </c:barChart>
      <c:catAx>
        <c:axId val="967244800"/>
        <c:scaling>
          <c:orientation val="minMax"/>
        </c:scaling>
        <c:delete val="0"/>
        <c:axPos val="b"/>
        <c:majorTickMark val="out"/>
        <c:minorTickMark val="none"/>
        <c:tickLblPos val="nextTo"/>
        <c:crossAx val="968521216"/>
        <c:crosses val="autoZero"/>
        <c:auto val="1"/>
        <c:lblAlgn val="ctr"/>
        <c:lblOffset val="100"/>
        <c:noMultiLvlLbl val="0"/>
      </c:catAx>
      <c:valAx>
        <c:axId val="968521216"/>
        <c:scaling>
          <c:orientation val="minMax"/>
        </c:scaling>
        <c:delete val="0"/>
        <c:axPos val="l"/>
        <c:majorGridlines>
          <c:spPr>
            <a:ln>
              <a:noFill/>
            </a:ln>
          </c:spPr>
        </c:majorGridlines>
        <c:title>
          <c:tx>
            <c:rich>
              <a:bodyPr rot="-5400000" vert="horz"/>
              <a:lstStyle/>
              <a:p>
                <a:pPr>
                  <a:defRPr/>
                </a:pPr>
                <a:r>
                  <a:rPr lang="en-US"/>
                  <a:t>Cumulative Incidence</a:t>
                </a:r>
                <a:r>
                  <a:rPr lang="en-US" baseline="0"/>
                  <a:t> (%)</a:t>
                </a:r>
                <a:endParaRPr lang="en-US"/>
              </a:p>
            </c:rich>
          </c:tx>
          <c:overlay val="0"/>
        </c:title>
        <c:numFmt formatCode="General" sourceLinked="1"/>
        <c:majorTickMark val="out"/>
        <c:minorTickMark val="none"/>
        <c:tickLblPos val="nextTo"/>
        <c:crossAx val="967244800"/>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en-US" sz="1400" dirty="0"/>
              <a:t>Comparison of Opioid Death Rates </a:t>
            </a:r>
            <a:r>
              <a:rPr lang="en-US" sz="1400" dirty="0" smtClean="0"/>
              <a:t>Among </a:t>
            </a:r>
            <a:r>
              <a:rPr lang="en-US" sz="1400" dirty="0"/>
              <a:t>Former Inmates to the Rest of State (2013 - 2014)</a:t>
            </a:r>
          </a:p>
        </c:rich>
      </c:tx>
      <c:layout>
        <c:manualLayout>
          <c:xMode val="edge"/>
          <c:yMode val="edge"/>
          <c:x val="0.14217366579177604"/>
          <c:y val="0"/>
        </c:manualLayout>
      </c:layout>
      <c:overlay val="0"/>
    </c:title>
    <c:autoTitleDeleted val="0"/>
    <c:plotArea>
      <c:layout/>
      <c:barChart>
        <c:barDir val="col"/>
        <c:grouping val="clustered"/>
        <c:varyColors val="0"/>
        <c:ser>
          <c:idx val="0"/>
          <c:order val="0"/>
          <c:tx>
            <c:strRef>
              <c:f>Sheet1!$B$1</c:f>
              <c:strCache>
                <c:ptCount val="1"/>
                <c:pt idx="0">
                  <c:v>Comparison of Opioid Death Rates for Former Inmates to the Rest of State </c:v>
                </c:pt>
              </c:strCache>
            </c:strRef>
          </c:tx>
          <c:spPr>
            <a:solidFill>
              <a:srgbClr val="006699"/>
            </a:solidFill>
            <a:ln>
              <a:solidFill>
                <a:schemeClr val="tx2">
                  <a:lumMod val="75000"/>
                </a:schemeClr>
              </a:solidFill>
            </a:ln>
          </c:spPr>
          <c:invertIfNegative val="0"/>
          <c:dPt>
            <c:idx val="0"/>
            <c:invertIfNegative val="0"/>
            <c:bubble3D val="0"/>
            <c:spPr>
              <a:solidFill>
                <a:srgbClr val="006699"/>
              </a:solidFill>
              <a:ln>
                <a:solidFill>
                  <a:schemeClr val="tx2">
                    <a:lumMod val="60000"/>
                    <a:lumOff val="40000"/>
                  </a:schemeClr>
                </a:solidFill>
              </a:ln>
            </c:spPr>
          </c:dPt>
          <c:dPt>
            <c:idx val="1"/>
            <c:invertIfNegative val="0"/>
            <c:bubble3D val="0"/>
            <c:spPr>
              <a:solidFill>
                <a:srgbClr val="006699"/>
              </a:solidFill>
              <a:ln>
                <a:solidFill>
                  <a:schemeClr val="tx2">
                    <a:lumMod val="50000"/>
                  </a:schemeClr>
                </a:solidFill>
              </a:ln>
            </c:spPr>
          </c:dPt>
          <c:dLbls>
            <c:dLbl>
              <c:idx val="0"/>
              <c:tx>
                <c:rich>
                  <a:bodyPr/>
                  <a:lstStyle/>
                  <a:p>
                    <a:r>
                      <a:rPr lang="en-US" sz="900"/>
                      <a:t>869.4 opioid deaths / 100,000</a:t>
                    </a:r>
                  </a:p>
                </c:rich>
              </c:tx>
              <c:showLegendKey val="0"/>
              <c:showVal val="1"/>
              <c:showCatName val="0"/>
              <c:showSerName val="0"/>
              <c:showPercent val="0"/>
              <c:showBubbleSize val="0"/>
            </c:dLbl>
            <c:dLbl>
              <c:idx val="1"/>
              <c:tx>
                <c:rich>
                  <a:bodyPr/>
                  <a:lstStyle/>
                  <a:p>
                    <a:r>
                      <a:rPr lang="en-US" sz="900"/>
                      <a:t>15.4 opioid deaths/ 100,000</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Former Inmates</c:v>
                </c:pt>
                <c:pt idx="1">
                  <c:v>All Others</c:v>
                </c:pt>
              </c:strCache>
            </c:strRef>
          </c:cat>
          <c:val>
            <c:numRef>
              <c:f>Sheet1!$B$2:$B$3</c:f>
              <c:numCache>
                <c:formatCode>General</c:formatCode>
                <c:ptCount val="2"/>
                <c:pt idx="0">
                  <c:v>869.4</c:v>
                </c:pt>
                <c:pt idx="1">
                  <c:v>15.4</c:v>
                </c:pt>
              </c:numCache>
            </c:numRef>
          </c:val>
        </c:ser>
        <c:dLbls>
          <c:showLegendKey val="0"/>
          <c:showVal val="0"/>
          <c:showCatName val="0"/>
          <c:showSerName val="0"/>
          <c:showPercent val="0"/>
          <c:showBubbleSize val="0"/>
        </c:dLbls>
        <c:gapWidth val="150"/>
        <c:axId val="973337728"/>
        <c:axId val="973340032"/>
      </c:barChart>
      <c:catAx>
        <c:axId val="973337728"/>
        <c:scaling>
          <c:orientation val="minMax"/>
        </c:scaling>
        <c:delete val="0"/>
        <c:axPos val="b"/>
        <c:majorTickMark val="out"/>
        <c:minorTickMark val="none"/>
        <c:tickLblPos val="nextTo"/>
        <c:crossAx val="973340032"/>
        <c:crosses val="autoZero"/>
        <c:auto val="1"/>
        <c:lblAlgn val="ctr"/>
        <c:lblOffset val="100"/>
        <c:noMultiLvlLbl val="0"/>
      </c:catAx>
      <c:valAx>
        <c:axId val="973340032"/>
        <c:scaling>
          <c:orientation val="minMax"/>
        </c:scaling>
        <c:delete val="0"/>
        <c:axPos val="l"/>
        <c:majorGridlines>
          <c:spPr>
            <a:ln>
              <a:noFill/>
            </a:ln>
          </c:spPr>
        </c:majorGridlines>
        <c:numFmt formatCode="General" sourceLinked="1"/>
        <c:majorTickMark val="out"/>
        <c:minorTickMark val="none"/>
        <c:tickLblPos val="nextTo"/>
        <c:crossAx val="973337728"/>
        <c:crosses val="autoZero"/>
        <c:crossBetween val="between"/>
      </c:valAx>
    </c:plotArea>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0.1869</cdr:x>
      <cdr:y>0.62773</cdr:y>
    </cdr:from>
    <cdr:to>
      <cdr:x>0.22524</cdr:x>
      <cdr:y>0.66222</cdr:y>
    </cdr:to>
    <cdr:sp macro="" textlink="">
      <cdr:nvSpPr>
        <cdr:cNvPr id="2" name="Text Box 1"/>
        <cdr:cNvSpPr txBox="1"/>
      </cdr:nvSpPr>
      <cdr:spPr>
        <a:xfrm xmlns:a="http://schemas.openxmlformats.org/drawingml/2006/main">
          <a:off x="1114425" y="1733550"/>
          <a:ext cx="228600" cy="95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9EA1-4B9B-46C5-8260-C3158AE0F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1586</Words>
  <Characters>9041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10606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2016-09-15T13:02:00Z</dcterms:created>
  <dc:creator>dbernson</dc:creator>
  <lastModifiedBy/>
  <lastPrinted>2016-09-14T21:23:00Z</lastPrinted>
  <dcterms:modified xsi:type="dcterms:W3CDTF">2016-09-15T13:02:00Z</dcterms:modified>
  <revision>2</revision>
</coreProperties>
</file>