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54458" w:rsidRPr="00954458" w:rsidRDefault="00BB12AB" w:rsidP="00954458">
      <w:pPr>
        <w:ind w:left="-720"/>
      </w:pPr>
      <w:r w:rsidRPr="00954458">
        <w:rPr>
          <w:noProof/>
        </w:rPr>
        <mc:AlternateContent>
          <mc:Choice Requires="wps">
            <w:drawing>
              <wp:anchor distT="0" distB="0" distL="114300" distR="114300" simplePos="0" relativeHeight="251659264" behindDoc="1" locked="0" layoutInCell="1" allowOverlap="1" wp14:anchorId="0EA496D4" wp14:editId="5B3AF9F0">
                <wp:simplePos x="0" y="0"/>
                <wp:positionH relativeFrom="column">
                  <wp:posOffset>-400050</wp:posOffset>
                </wp:positionH>
                <wp:positionV relativeFrom="paragraph">
                  <wp:posOffset>1219835</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954458" w:rsidRPr="00573EED" w:rsidRDefault="00954458" w:rsidP="00954458">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F56600">
                              <w:rPr>
                                <w:rFonts w:ascii="Calibri" w:hAnsi="Calibri"/>
                                <w:caps/>
                                <w:sz w:val="18"/>
                                <w:szCs w:val="16"/>
                              </w:rPr>
                              <w:t>jANUARY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5pt;margin-top:96.05pt;width:533.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" strokeweight="1pt">
                <v:textbox inset=",0,,0">
                  <w:txbxContent>
                    <w:p w:rsidR="00954458" w:rsidRPr="00573EED" w:rsidRDefault="00954458" w:rsidP="00954458">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F56600">
                        <w:rPr>
                          <w:rFonts w:ascii="Calibri" w:hAnsi="Calibri"/>
                          <w:caps/>
                          <w:sz w:val="18"/>
                          <w:szCs w:val="16"/>
                        </w:rPr>
                        <w:t>jANUARY 2016</w:t>
                      </w:r>
                    </w:p>
                  </w:txbxContent>
                </v:textbox>
              </v:shape>
            </w:pict>
          </mc:Fallback>
        </mc:AlternateContent>
      </w:r>
      <w:r w:rsidR="00954458" w:rsidRPr="00954458">
        <w:rPr>
          <w:noProof/>
        </w:rPr>
        <mc:AlternateContent>
          <mc:Choice Requires="wps">
            <w:drawing>
              <wp:anchor distT="0" distB="0" distL="114300" distR="114300" simplePos="0" relativeHeight="251661312" behindDoc="0" locked="0" layoutInCell="1" allowOverlap="1" wp14:anchorId="2581B245" wp14:editId="7BA0D7D4">
                <wp:simplePos x="0" y="0"/>
                <wp:positionH relativeFrom="column">
                  <wp:posOffset>838199</wp:posOffset>
                </wp:positionH>
                <wp:positionV relativeFrom="paragraph">
                  <wp:posOffset>0</wp:posOffset>
                </wp:positionV>
                <wp:extent cx="5534025" cy="12192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1219200"/>
                        </a:xfrm>
                        <a:prstGeom prst="rect">
                          <a:avLst/>
                        </a:prstGeom>
                        <a:noFill/>
                        <a:ln>
                          <a:noFill/>
                        </a:ln>
                        <a:effectLst/>
                      </wps:spPr>
                      <wps:txbx>
                        <w:txbxContent>
                          <w:p w:rsidR="00954458" w:rsidRDefault="00954458" w:rsidP="004F056E">
                            <w:pPr>
                              <w:spacing w:after="0"/>
                              <w:jc w:val="center"/>
                              <w:rPr>
                                <w:b/>
                                <w:color w:val="E36C0A"/>
                                <w:sz w:val="32"/>
                                <w:szCs w:val="32"/>
                              </w:rPr>
                            </w:pPr>
                            <w:r w:rsidRPr="004F056E">
                              <w:rPr>
                                <w:b/>
                                <w:color w:val="E36C0A"/>
                                <w:sz w:val="36"/>
                                <w:szCs w:val="36"/>
                              </w:rPr>
                              <w:t>Data Brief:</w:t>
                            </w:r>
                            <w:r w:rsidRPr="006C54EF">
                              <w:rPr>
                                <w:b/>
                                <w:color w:val="E36C0A"/>
                                <w:sz w:val="48"/>
                                <w:szCs w:val="52"/>
                              </w:rPr>
                              <w:t xml:space="preserve"> </w:t>
                            </w:r>
                            <w:r w:rsidRPr="006C54EF">
                              <w:rPr>
                                <w:b/>
                                <w:color w:val="E36C0A"/>
                                <w:sz w:val="48"/>
                                <w:szCs w:val="52"/>
                              </w:rPr>
                              <w:br/>
                            </w:r>
                            <w:r w:rsidR="005C5A81">
                              <w:rPr>
                                <w:b/>
                                <w:color w:val="E36C0A"/>
                                <w:sz w:val="32"/>
                                <w:szCs w:val="32"/>
                              </w:rPr>
                              <w:t>Putting Data to Work: Health Indicators by Occupation and Industry</w:t>
                            </w:r>
                          </w:p>
                          <w:p w:rsidR="005C5A81" w:rsidRPr="005C5A81" w:rsidRDefault="005C5A81" w:rsidP="004F056E">
                            <w:pPr>
                              <w:spacing w:after="0"/>
                              <w:jc w:val="center"/>
                              <w:rPr>
                                <w:b/>
                                <w:color w:val="E36C0A"/>
                                <w:sz w:val="26"/>
                                <w:szCs w:val="26"/>
                              </w:rPr>
                            </w:pPr>
                            <w:r w:rsidRPr="005C5A81">
                              <w:rPr>
                                <w:b/>
                                <w:color w:val="E36C0A"/>
                                <w:sz w:val="26"/>
                                <w:szCs w:val="26"/>
                              </w:rPr>
                              <w:t>Findings from the MA B</w:t>
                            </w:r>
                            <w:r>
                              <w:rPr>
                                <w:b/>
                                <w:color w:val="E36C0A"/>
                                <w:sz w:val="26"/>
                                <w:szCs w:val="26"/>
                              </w:rPr>
                              <w:t xml:space="preserve">ehavioral </w:t>
                            </w:r>
                            <w:r w:rsidRPr="005C5A81">
                              <w:rPr>
                                <w:b/>
                                <w:color w:val="E36C0A"/>
                                <w:sz w:val="26"/>
                                <w:szCs w:val="26"/>
                              </w:rPr>
                              <w:t>R</w:t>
                            </w:r>
                            <w:r>
                              <w:rPr>
                                <w:b/>
                                <w:color w:val="E36C0A"/>
                                <w:sz w:val="26"/>
                                <w:szCs w:val="26"/>
                              </w:rPr>
                              <w:t xml:space="preserve">isk </w:t>
                            </w:r>
                            <w:r w:rsidRPr="005C5A81">
                              <w:rPr>
                                <w:b/>
                                <w:color w:val="E36C0A"/>
                                <w:sz w:val="26"/>
                                <w:szCs w:val="26"/>
                              </w:rPr>
                              <w:t>F</w:t>
                            </w:r>
                            <w:r>
                              <w:rPr>
                                <w:b/>
                                <w:color w:val="E36C0A"/>
                                <w:sz w:val="26"/>
                                <w:szCs w:val="26"/>
                              </w:rPr>
                              <w:t xml:space="preserve">actor </w:t>
                            </w:r>
                            <w:r w:rsidRPr="005C5A81">
                              <w:rPr>
                                <w:b/>
                                <w:color w:val="E36C0A"/>
                                <w:sz w:val="26"/>
                                <w:szCs w:val="26"/>
                              </w:rPr>
                              <w:t>S</w:t>
                            </w:r>
                            <w:r>
                              <w:rPr>
                                <w:b/>
                                <w:color w:val="E36C0A"/>
                                <w:sz w:val="26"/>
                                <w:szCs w:val="26"/>
                              </w:rPr>
                              <w:t xml:space="preserve">urveillance </w:t>
                            </w:r>
                            <w:r w:rsidRPr="005C5A81">
                              <w:rPr>
                                <w:b/>
                                <w:color w:val="E36C0A"/>
                                <w:sz w:val="26"/>
                                <w:szCs w:val="26"/>
                              </w:rPr>
                              <w:t>S</w:t>
                            </w:r>
                            <w:r>
                              <w:rPr>
                                <w:b/>
                                <w:color w:val="E36C0A"/>
                                <w:sz w:val="26"/>
                                <w:szCs w:val="26"/>
                              </w:rPr>
                              <w:t>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66pt;margin-top:0;width:435.7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" filled="f" stroked="f">
                <v:path arrowok="t"/>
                <v:textbox>
                  <w:txbxContent>
                    <w:p w:rsidR="00954458" w:rsidRDefault="00954458" w:rsidP="004F056E">
                      <w:pPr>
                        <w:spacing w:after="0"/>
                        <w:jc w:val="center"/>
                        <w:rPr>
                          <w:b/>
                          <w:color w:val="E36C0A"/>
                          <w:sz w:val="32"/>
                          <w:szCs w:val="32"/>
                        </w:rPr>
                      </w:pPr>
                      <w:r w:rsidRPr="004F056E">
                        <w:rPr>
                          <w:b/>
                          <w:color w:val="E36C0A"/>
                          <w:sz w:val="36"/>
                          <w:szCs w:val="36"/>
                        </w:rPr>
                        <w:t>Data Brief:</w:t>
                      </w:r>
                      <w:r w:rsidRPr="006C54EF">
                        <w:rPr>
                          <w:b/>
                          <w:color w:val="E36C0A"/>
                          <w:sz w:val="48"/>
                          <w:szCs w:val="52"/>
                        </w:rPr>
                        <w:t xml:space="preserve"> </w:t>
                      </w:r>
                      <w:r w:rsidRPr="006C54EF">
                        <w:rPr>
                          <w:b/>
                          <w:color w:val="E36C0A"/>
                          <w:sz w:val="48"/>
                          <w:szCs w:val="52"/>
                        </w:rPr>
                        <w:br/>
                      </w:r>
                      <w:r w:rsidR="005C5A81">
                        <w:rPr>
                          <w:b/>
                          <w:color w:val="E36C0A"/>
                          <w:sz w:val="32"/>
                          <w:szCs w:val="32"/>
                        </w:rPr>
                        <w:t>Putting Data to Work: Health Indicators by Occupation and Industry</w:t>
                      </w:r>
                    </w:p>
                    <w:p w:rsidR="005C5A81" w:rsidRPr="005C5A81" w:rsidRDefault="005C5A81" w:rsidP="004F056E">
                      <w:pPr>
                        <w:spacing w:after="0"/>
                        <w:jc w:val="center"/>
                        <w:rPr>
                          <w:b/>
                          <w:color w:val="E36C0A"/>
                          <w:sz w:val="26"/>
                          <w:szCs w:val="26"/>
                        </w:rPr>
                      </w:pPr>
                      <w:r w:rsidRPr="005C5A81">
                        <w:rPr>
                          <w:b/>
                          <w:color w:val="E36C0A"/>
                          <w:sz w:val="26"/>
                          <w:szCs w:val="26"/>
                        </w:rPr>
                        <w:t>Findings from the MA B</w:t>
                      </w:r>
                      <w:r>
                        <w:rPr>
                          <w:b/>
                          <w:color w:val="E36C0A"/>
                          <w:sz w:val="26"/>
                          <w:szCs w:val="26"/>
                        </w:rPr>
                        <w:t xml:space="preserve">ehavioral </w:t>
                      </w:r>
                      <w:r w:rsidRPr="005C5A81">
                        <w:rPr>
                          <w:b/>
                          <w:color w:val="E36C0A"/>
                          <w:sz w:val="26"/>
                          <w:szCs w:val="26"/>
                        </w:rPr>
                        <w:t>R</w:t>
                      </w:r>
                      <w:r>
                        <w:rPr>
                          <w:b/>
                          <w:color w:val="E36C0A"/>
                          <w:sz w:val="26"/>
                          <w:szCs w:val="26"/>
                        </w:rPr>
                        <w:t xml:space="preserve">isk </w:t>
                      </w:r>
                      <w:r w:rsidRPr="005C5A81">
                        <w:rPr>
                          <w:b/>
                          <w:color w:val="E36C0A"/>
                          <w:sz w:val="26"/>
                          <w:szCs w:val="26"/>
                        </w:rPr>
                        <w:t>F</w:t>
                      </w:r>
                      <w:r>
                        <w:rPr>
                          <w:b/>
                          <w:color w:val="E36C0A"/>
                          <w:sz w:val="26"/>
                          <w:szCs w:val="26"/>
                        </w:rPr>
                        <w:t xml:space="preserve">actor </w:t>
                      </w:r>
                      <w:r w:rsidRPr="005C5A81">
                        <w:rPr>
                          <w:b/>
                          <w:color w:val="E36C0A"/>
                          <w:sz w:val="26"/>
                          <w:szCs w:val="26"/>
                        </w:rPr>
                        <w:t>S</w:t>
                      </w:r>
                      <w:r>
                        <w:rPr>
                          <w:b/>
                          <w:color w:val="E36C0A"/>
                          <w:sz w:val="26"/>
                          <w:szCs w:val="26"/>
                        </w:rPr>
                        <w:t xml:space="preserve">urveillance </w:t>
                      </w:r>
                      <w:r w:rsidRPr="005C5A81">
                        <w:rPr>
                          <w:b/>
                          <w:color w:val="E36C0A"/>
                          <w:sz w:val="26"/>
                          <w:szCs w:val="26"/>
                        </w:rPr>
                        <w:t>S</w:t>
                      </w:r>
                      <w:r>
                        <w:rPr>
                          <w:b/>
                          <w:color w:val="E36C0A"/>
                          <w:sz w:val="26"/>
                          <w:szCs w:val="26"/>
                        </w:rPr>
                        <w:t>ystem</w:t>
                      </w:r>
                    </w:p>
                  </w:txbxContent>
                </v:textbox>
              </v:shape>
            </w:pict>
          </mc:Fallback>
        </mc:AlternateContent>
      </w:r>
      <w:r w:rsidR="00954458" w:rsidRPr="00954458">
        <w:rPr>
          <w:noProof/>
        </w:rPr>
        <mc:AlternateContent>
          <mc:Choice Requires="wps">
            <w:drawing>
              <wp:anchor distT="0" distB="274320" distL="114300" distR="114300" simplePos="0" relativeHeight="251660288" behindDoc="1" locked="0" layoutInCell="1" allowOverlap="1" wp14:anchorId="6484ED41" wp14:editId="5A8EBF96">
                <wp:simplePos x="0" y="0"/>
                <wp:positionH relativeFrom="column">
                  <wp:posOffset>-400685</wp:posOffset>
                </wp:positionH>
                <wp:positionV relativeFrom="paragraph">
                  <wp:posOffset>-28575</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1.55pt;margin-top:-2.25pt;width:533.25pt;height:98.25pt;z-index:-25165619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" strokeweight="1pt"/>
            </w:pict>
          </mc:Fallback>
        </mc:AlternateContent>
      </w:r>
      <w:r w:rsidR="00954458" w:rsidRPr="00954458">
        <w:t xml:space="preserve">      </w:t>
      </w:r>
      <w:r w:rsidR="00954458" w:rsidRPr="00954458">
        <w:rPr>
          <w:noProof/>
        </w:rPr>
        <w:drawing>
          <wp:inline distT="0" distB="0" distL="0" distR="0" wp14:anchorId="3158C9B1" wp14:editId="363E49DE">
            <wp:extent cx="1190180" cy="1201408"/>
            <wp:effectExtent l="0" t="0" r="0" b="0"/>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180" cy="1201408"/>
                    </a:xfrm>
                    <a:prstGeom prst="rect">
                      <a:avLst/>
                    </a:prstGeom>
                    <a:noFill/>
                    <a:ln>
                      <a:noFill/>
                    </a:ln>
                  </pic:spPr>
                </pic:pic>
              </a:graphicData>
            </a:graphic>
          </wp:inline>
        </w:drawing>
      </w:r>
    </w:p>
    <w:p w:rsidR="00954458" w:rsidRPr="00954458" w:rsidRDefault="00954458" w:rsidP="00BB12AB">
      <w:pPr>
        <w:spacing w:after="0" w:line="240" w:lineRule="auto"/>
        <w:ind w:left="-720"/>
        <w:rPr>
          <w:b/>
        </w:rPr>
      </w:pPr>
    </w:p>
    <w:p w:rsidR="00BB12AB" w:rsidRDefault="00BB12AB" w:rsidP="00BB12AB">
      <w:pPr>
        <w:spacing w:after="0"/>
        <w:ind w:left="-720"/>
        <w:rPr>
          <w:rFonts w:eastAsia="Calibri" w:cs="Calibri"/>
          <w:color w:val="000000"/>
          <w:u w:color="000000"/>
          <w:lang w:eastAsia="en-GB"/>
        </w:rPr>
      </w:pPr>
    </w:p>
    <w:p w:rsidR="00F71704" w:rsidRDefault="004C27B0" w:rsidP="00E34DA9">
      <w:pPr>
        <w:ind w:left="-720"/>
        <w:rPr>
          <w:rFonts w:eastAsia="Calibri" w:cs="Calibri"/>
          <w:color w:val="000000"/>
          <w:u w:color="000000"/>
          <w:lang w:eastAsia="en-GB"/>
        </w:rPr>
      </w:pPr>
      <w:r w:rsidRPr="00466C70">
        <w:rPr>
          <w:rFonts w:eastAsia="Calibri" w:cs="Calibri"/>
          <w:color w:val="000000"/>
          <w:u w:color="000000"/>
          <w:lang w:eastAsia="en-GB"/>
        </w:rPr>
        <w:t>Over three million Massachusetts residents are employed in thousands of workplaces throughout the Commonwealth.</w:t>
      </w:r>
      <w:r>
        <w:rPr>
          <w:rFonts w:eastAsia="Calibri" w:cs="Calibri"/>
          <w:color w:val="000000"/>
          <w:u w:color="000000"/>
          <w:lang w:eastAsia="en-GB"/>
        </w:rPr>
        <w:t xml:space="preserve"> </w:t>
      </w:r>
      <w:r w:rsidRPr="004C27B0">
        <w:rPr>
          <w:rFonts w:eastAsia="Calibri" w:cs="Calibri"/>
          <w:color w:val="000000"/>
          <w:u w:color="000000"/>
          <w:lang w:eastAsia="en-GB"/>
        </w:rPr>
        <w:t>While work is fund</w:t>
      </w:r>
      <w:r>
        <w:rPr>
          <w:rFonts w:eastAsia="Calibri" w:cs="Calibri"/>
          <w:color w:val="000000"/>
          <w:u w:color="000000"/>
          <w:lang w:eastAsia="en-GB"/>
        </w:rPr>
        <w:t>amental to well-being,</w:t>
      </w:r>
      <w:r w:rsidRPr="004C27B0">
        <w:rPr>
          <w:rFonts w:eastAsia="Calibri" w:cs="Calibri"/>
          <w:color w:val="000000"/>
          <w:u w:color="000000"/>
          <w:lang w:eastAsia="en-GB"/>
        </w:rPr>
        <w:t xml:space="preserve"> working </w:t>
      </w:r>
      <w:r w:rsidR="003372A9" w:rsidRPr="004C27B0">
        <w:rPr>
          <w:rFonts w:eastAsia="Calibri" w:cs="Calibri"/>
          <w:color w:val="000000"/>
          <w:u w:color="000000"/>
          <w:lang w:eastAsia="en-GB"/>
        </w:rPr>
        <w:t>conditions can</w:t>
      </w:r>
      <w:r w:rsidRPr="004C27B0">
        <w:rPr>
          <w:rFonts w:eastAsia="Calibri" w:cs="Calibri"/>
          <w:color w:val="000000"/>
          <w:u w:color="000000"/>
          <w:lang w:eastAsia="en-GB"/>
        </w:rPr>
        <w:t xml:space="preserve"> also </w:t>
      </w:r>
      <w:r w:rsidR="003372A9" w:rsidRPr="004C27B0">
        <w:rPr>
          <w:rFonts w:eastAsia="Calibri" w:cs="Calibri"/>
          <w:color w:val="000000"/>
          <w:u w:color="000000"/>
          <w:lang w:eastAsia="en-GB"/>
        </w:rPr>
        <w:t>negatively affect</w:t>
      </w:r>
      <w:r w:rsidRPr="004C27B0">
        <w:rPr>
          <w:rFonts w:eastAsia="Calibri" w:cs="Calibri"/>
          <w:color w:val="000000"/>
          <w:u w:color="000000"/>
          <w:lang w:eastAsia="en-GB"/>
        </w:rPr>
        <w:t xml:space="preserve"> health</w:t>
      </w:r>
      <w:r>
        <w:rPr>
          <w:rFonts w:eastAsia="Calibri" w:cs="Calibri"/>
          <w:color w:val="000000"/>
          <w:u w:color="000000"/>
          <w:lang w:eastAsia="en-GB"/>
        </w:rPr>
        <w:t>.</w:t>
      </w:r>
      <w:r w:rsidR="00AB3AE8">
        <w:rPr>
          <w:rFonts w:eastAsia="Calibri" w:cs="Calibri"/>
          <w:color w:val="000000"/>
          <w:u w:color="000000"/>
          <w:lang w:eastAsia="en-GB"/>
        </w:rPr>
        <w:t xml:space="preserve"> </w:t>
      </w:r>
      <w:r w:rsidR="00005BCF" w:rsidRPr="00005BCF">
        <w:rPr>
          <w:rFonts w:eastAsia="Calibri" w:cs="Calibri"/>
          <w:color w:val="000000"/>
          <w:u w:color="000000"/>
          <w:lang w:eastAsia="en-GB"/>
        </w:rPr>
        <w:t>The work environment can have both direct and indirect adverse impacts on health. Direct impacts include workplace injuries and illnesses that occur as a result of exposure to hazards in the workplace such as toxic chemicals, dangerous equipment, and violence at work. There is also increasing evidence that work organization factors</w:t>
      </w:r>
      <w:r w:rsidR="00005BCF">
        <w:rPr>
          <w:rFonts w:eastAsia="Calibri" w:cs="Calibri"/>
          <w:color w:val="000000"/>
          <w:u w:color="000000"/>
          <w:lang w:eastAsia="en-GB"/>
        </w:rPr>
        <w:t xml:space="preserve">, </w:t>
      </w:r>
      <w:r w:rsidR="00005BCF" w:rsidRPr="00005BCF">
        <w:rPr>
          <w:rFonts w:eastAsia="Calibri" w:cs="Calibri"/>
          <w:color w:val="000000"/>
          <w:u w:color="000000"/>
          <w:lang w:eastAsia="en-GB"/>
        </w:rPr>
        <w:t>such as shift work, long work hours, and jobs with high demand, low control and poor social support</w:t>
      </w:r>
      <w:r w:rsidR="00005BCF">
        <w:rPr>
          <w:rFonts w:eastAsia="Calibri" w:cs="Calibri"/>
          <w:color w:val="000000"/>
          <w:u w:color="000000"/>
          <w:lang w:eastAsia="en-GB"/>
        </w:rPr>
        <w:t>,</w:t>
      </w:r>
      <w:r w:rsidR="00005BCF" w:rsidRPr="00005BCF">
        <w:rPr>
          <w:rFonts w:eastAsia="Calibri" w:cs="Calibri"/>
          <w:color w:val="000000"/>
          <w:u w:color="000000"/>
          <w:lang w:eastAsia="en-GB"/>
        </w:rPr>
        <w:t xml:space="preserve"> </w:t>
      </w:r>
      <w:r w:rsidR="006B1055">
        <w:rPr>
          <w:rFonts w:eastAsia="Calibri" w:cs="Calibri"/>
          <w:color w:val="000000"/>
          <w:u w:color="000000"/>
          <w:lang w:eastAsia="en-GB"/>
        </w:rPr>
        <w:t xml:space="preserve">impact health directly and </w:t>
      </w:r>
      <w:r w:rsidR="00005BCF" w:rsidRPr="00005BCF">
        <w:rPr>
          <w:rFonts w:eastAsia="Calibri" w:cs="Calibri"/>
          <w:color w:val="000000"/>
          <w:u w:color="000000"/>
          <w:lang w:eastAsia="en-GB"/>
        </w:rPr>
        <w:t xml:space="preserve">can </w:t>
      </w:r>
      <w:r w:rsidR="006B1055">
        <w:rPr>
          <w:rFonts w:eastAsia="Calibri" w:cs="Calibri"/>
          <w:color w:val="000000"/>
          <w:u w:color="000000"/>
          <w:lang w:eastAsia="en-GB"/>
        </w:rPr>
        <w:t xml:space="preserve">also </w:t>
      </w:r>
      <w:r w:rsidR="00005BCF" w:rsidRPr="00005BCF">
        <w:rPr>
          <w:rFonts w:eastAsia="Calibri" w:cs="Calibri"/>
          <w:color w:val="000000"/>
          <w:u w:color="000000"/>
          <w:lang w:eastAsia="en-GB"/>
        </w:rPr>
        <w:t xml:space="preserve">indirectly affect health by influencing lifestyle behaviors – such as eating habits, leisure time exercise, and sleep, as well as </w:t>
      </w:r>
      <w:r w:rsidR="00005BCF">
        <w:rPr>
          <w:rFonts w:eastAsia="Calibri" w:cs="Calibri"/>
          <w:color w:val="000000"/>
          <w:u w:color="000000"/>
          <w:lang w:eastAsia="en-GB"/>
        </w:rPr>
        <w:t xml:space="preserve">ability to manage </w:t>
      </w:r>
      <w:r w:rsidR="00005BCF" w:rsidRPr="00005BCF">
        <w:rPr>
          <w:rFonts w:eastAsia="Calibri" w:cs="Calibri"/>
          <w:color w:val="000000"/>
          <w:u w:color="000000"/>
          <w:lang w:eastAsia="en-GB"/>
        </w:rPr>
        <w:t>chronic disease</w:t>
      </w:r>
      <w:r w:rsidR="00005BCF">
        <w:rPr>
          <w:rFonts w:eastAsia="Calibri" w:cs="Calibri"/>
          <w:color w:val="000000"/>
          <w:u w:color="000000"/>
          <w:lang w:eastAsia="en-GB"/>
        </w:rPr>
        <w:t xml:space="preserve">s. </w:t>
      </w:r>
      <w:r>
        <w:rPr>
          <w:rFonts w:eastAsia="Calibri" w:cs="Calibri"/>
          <w:color w:val="000000"/>
          <w:u w:color="000000"/>
          <w:lang w:eastAsia="en-GB"/>
        </w:rPr>
        <w:t>L</w:t>
      </w:r>
      <w:r w:rsidRPr="004C27B0">
        <w:rPr>
          <w:rFonts w:eastAsia="Calibri" w:cs="Calibri"/>
          <w:color w:val="000000"/>
          <w:u w:color="000000"/>
          <w:lang w:eastAsia="en-GB"/>
        </w:rPr>
        <w:t>eave and benefit schedules c</w:t>
      </w:r>
      <w:r>
        <w:rPr>
          <w:rFonts w:eastAsia="Calibri" w:cs="Calibri"/>
          <w:color w:val="000000"/>
          <w:u w:color="000000"/>
          <w:lang w:eastAsia="en-GB"/>
        </w:rPr>
        <w:t>an</w:t>
      </w:r>
      <w:r w:rsidRPr="004C27B0">
        <w:rPr>
          <w:rFonts w:eastAsia="Calibri" w:cs="Calibri"/>
          <w:color w:val="000000"/>
          <w:u w:color="000000"/>
          <w:lang w:eastAsia="en-GB"/>
        </w:rPr>
        <w:t xml:space="preserve"> influence workers’ access to healthcare as well as ability to care for</w:t>
      </w:r>
      <w:r>
        <w:rPr>
          <w:rFonts w:eastAsia="Calibri" w:cs="Calibri"/>
          <w:color w:val="000000"/>
          <w:u w:color="000000"/>
          <w:lang w:eastAsia="en-GB"/>
        </w:rPr>
        <w:t xml:space="preserve"> depende</w:t>
      </w:r>
      <w:r w:rsidR="00E34DA9">
        <w:rPr>
          <w:rFonts w:eastAsia="Calibri" w:cs="Calibri"/>
          <w:color w:val="000000"/>
          <w:u w:color="000000"/>
          <w:lang w:eastAsia="en-GB"/>
        </w:rPr>
        <w:t xml:space="preserve">nts. </w:t>
      </w:r>
      <w:r w:rsidR="003372A9">
        <w:rPr>
          <w:rFonts w:eastAsia="Calibri" w:cs="Calibri"/>
          <w:color w:val="000000"/>
          <w:u w:color="000000"/>
          <w:lang w:eastAsia="en-GB"/>
        </w:rPr>
        <w:t>T</w:t>
      </w:r>
      <w:r w:rsidR="00005BCF">
        <w:rPr>
          <w:rFonts w:eastAsia="Calibri" w:cs="Calibri"/>
          <w:color w:val="000000"/>
          <w:u w:color="000000"/>
          <w:lang w:eastAsia="en-GB"/>
        </w:rPr>
        <w:t>his</w:t>
      </w:r>
      <w:r w:rsidR="00E34DA9" w:rsidRPr="00E34DA9">
        <w:rPr>
          <w:rFonts w:eastAsia="Calibri" w:cs="Calibri"/>
          <w:color w:val="000000"/>
          <w:u w:color="000000"/>
          <w:lang w:eastAsia="en-GB"/>
        </w:rPr>
        <w:t xml:space="preserve"> burden of occupational risks is not borne equally.  It is widely recognized that low wage workers, including many immigrant and minority workers, are disproportionately employed in physically demanding, high risk jobs and in high stress positions –those that offer little opportunity to inf</w:t>
      </w:r>
      <w:r w:rsidR="003372A9">
        <w:rPr>
          <w:rFonts w:eastAsia="Calibri" w:cs="Calibri"/>
          <w:color w:val="000000"/>
          <w:u w:color="000000"/>
          <w:lang w:eastAsia="en-GB"/>
        </w:rPr>
        <w:t xml:space="preserve">luence how or when they work.  </w:t>
      </w:r>
    </w:p>
    <w:p w:rsidR="003372A9" w:rsidRPr="00B343C3" w:rsidRDefault="00A84038" w:rsidP="00B343C3">
      <w:pPr>
        <w:tabs>
          <w:tab w:val="left" w:pos="9360"/>
        </w:tabs>
        <w:ind w:left="-720"/>
      </w:pPr>
      <w:r w:rsidRPr="00A84038">
        <w:rPr>
          <w:noProof/>
        </w:rPr>
        <mc:AlternateContent>
          <mc:Choice Requires="wps">
            <w:drawing>
              <wp:anchor distT="0" distB="0" distL="114300" distR="114300" simplePos="0" relativeHeight="251663360" behindDoc="0" locked="0" layoutInCell="1" allowOverlap="1" wp14:anchorId="136803E9" wp14:editId="186AC635">
                <wp:simplePos x="0" y="0"/>
                <wp:positionH relativeFrom="column">
                  <wp:posOffset>2943225</wp:posOffset>
                </wp:positionH>
                <wp:positionV relativeFrom="paragraph">
                  <wp:posOffset>224790</wp:posOffset>
                </wp:positionV>
                <wp:extent cx="3371850" cy="43529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4352925"/>
                        </a:xfrm>
                        <a:prstGeom prst="rect">
                          <a:avLst/>
                        </a:prstGeom>
                        <a:solidFill>
                          <a:sysClr val="window" lastClr="FFFFFF">
                            <a:lumMod val="85000"/>
                          </a:sysClr>
                        </a:solidFill>
                        <a:ln w="9525">
                          <a:solidFill>
                            <a:srgbClr val="000000"/>
                          </a:solidFill>
                          <a:miter lim="800000"/>
                          <a:headEnd/>
                          <a:tailEnd/>
                        </a:ln>
                      </wps:spPr>
                      <wps:txbx>
                        <w:txbxContent>
                          <w:p w:rsidR="00A84038" w:rsidRPr="00F333CE" w:rsidRDefault="00A84038" w:rsidP="00A84038">
                            <w:pPr>
                              <w:spacing w:after="0"/>
                              <w:rPr>
                                <w:rFonts w:ascii="Arial" w:hAnsi="Arial" w:cs="Arial"/>
                                <w:b/>
                                <w:bCs/>
                                <w:sz w:val="20"/>
                                <w:szCs w:val="20"/>
                              </w:rPr>
                            </w:pPr>
                            <w:r>
                              <w:rPr>
                                <w:rFonts w:ascii="Arial" w:hAnsi="Arial" w:cs="Arial"/>
                                <w:b/>
                                <w:bCs/>
                                <w:sz w:val="20"/>
                                <w:szCs w:val="20"/>
                              </w:rPr>
                              <w:t>Box</w:t>
                            </w:r>
                            <w:r w:rsidR="00500468">
                              <w:rPr>
                                <w:rFonts w:ascii="Arial" w:hAnsi="Arial" w:cs="Arial"/>
                                <w:b/>
                                <w:bCs/>
                                <w:sz w:val="20"/>
                                <w:szCs w:val="20"/>
                              </w:rPr>
                              <w:t xml:space="preserve"> 1</w:t>
                            </w:r>
                            <w:r w:rsidRPr="00F333CE">
                              <w:rPr>
                                <w:rFonts w:ascii="Arial" w:hAnsi="Arial" w:cs="Arial"/>
                                <w:b/>
                                <w:bCs/>
                                <w:sz w:val="20"/>
                                <w:szCs w:val="20"/>
                              </w:rPr>
                              <w:t xml:space="preserve">. Health </w:t>
                            </w:r>
                            <w:r w:rsidR="000374E2">
                              <w:rPr>
                                <w:rFonts w:ascii="Arial" w:hAnsi="Arial" w:cs="Arial"/>
                                <w:b/>
                                <w:bCs/>
                                <w:sz w:val="20"/>
                                <w:szCs w:val="20"/>
                              </w:rPr>
                              <w:t>I</w:t>
                            </w:r>
                            <w:r w:rsidRPr="00F333CE">
                              <w:rPr>
                                <w:rFonts w:ascii="Arial" w:hAnsi="Arial" w:cs="Arial"/>
                                <w:b/>
                                <w:bCs/>
                                <w:sz w:val="20"/>
                                <w:szCs w:val="20"/>
                              </w:rPr>
                              <w:t>ndicators</w:t>
                            </w:r>
                          </w:p>
                          <w:p w:rsidR="00A84038" w:rsidRPr="00FD307E" w:rsidRDefault="00A84038" w:rsidP="00A84038">
                            <w:pPr>
                              <w:spacing w:after="0"/>
                              <w:rPr>
                                <w:rFonts w:ascii="Arial" w:hAnsi="Arial" w:cs="Arial"/>
                                <w:b/>
                                <w:bCs/>
                                <w:sz w:val="18"/>
                                <w:szCs w:val="18"/>
                              </w:rPr>
                            </w:pPr>
                            <w:r w:rsidRPr="00FD307E">
                              <w:rPr>
                                <w:rFonts w:ascii="Arial" w:hAnsi="Arial" w:cs="Arial"/>
                                <w:b/>
                                <w:bCs/>
                                <w:sz w:val="18"/>
                                <w:szCs w:val="18"/>
                              </w:rPr>
                              <w:t>Health Access</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No health insurance</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No personal physician</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Could not see doctor due to cost</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No routine check-up in previous year</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No dental visit in previous year</w:t>
                            </w:r>
                          </w:p>
                          <w:p w:rsidR="00A84038" w:rsidRPr="00FD307E" w:rsidRDefault="00A84038" w:rsidP="00A84038">
                            <w:pPr>
                              <w:spacing w:after="0"/>
                              <w:rPr>
                                <w:rFonts w:ascii="Arial" w:hAnsi="Arial" w:cs="Arial"/>
                                <w:b/>
                                <w:bCs/>
                                <w:sz w:val="18"/>
                                <w:szCs w:val="18"/>
                              </w:rPr>
                            </w:pPr>
                            <w:r w:rsidRPr="00FD307E">
                              <w:rPr>
                                <w:rFonts w:ascii="Arial" w:hAnsi="Arial" w:cs="Arial"/>
                                <w:b/>
                                <w:bCs/>
                                <w:sz w:val="18"/>
                                <w:szCs w:val="18"/>
                              </w:rPr>
                              <w:t>Health Outcomes</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Fair or poor health status</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≥15 days poor physical health, past month</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≥15 days poor mental health, past month</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Current asthma</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Hypertension</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Depression (ever diagnosed)</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 xml:space="preserve">Obesity </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 6 teeth lost due to decay</w:t>
                            </w:r>
                          </w:p>
                          <w:p w:rsidR="00A84038" w:rsidRPr="00FD307E" w:rsidRDefault="00A84038" w:rsidP="00A84038">
                            <w:pPr>
                              <w:spacing w:after="0"/>
                              <w:rPr>
                                <w:rFonts w:ascii="Arial" w:hAnsi="Arial" w:cs="Arial"/>
                                <w:sz w:val="18"/>
                                <w:szCs w:val="18"/>
                              </w:rPr>
                            </w:pPr>
                            <w:r w:rsidRPr="00FD307E">
                              <w:rPr>
                                <w:rFonts w:ascii="Arial" w:hAnsi="Arial" w:cs="Arial"/>
                                <w:b/>
                                <w:bCs/>
                                <w:sz w:val="18"/>
                                <w:szCs w:val="18"/>
                              </w:rPr>
                              <w:t>Health Behaviors</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Smoking</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E</w:t>
                            </w:r>
                            <w:r>
                              <w:rPr>
                                <w:rFonts w:ascii="Arial" w:hAnsi="Arial" w:cs="Arial"/>
                                <w:sz w:val="18"/>
                                <w:szCs w:val="18"/>
                              </w:rPr>
                              <w:t>nvironmental tobacco smoke</w:t>
                            </w:r>
                            <w:r w:rsidRPr="00FD307E">
                              <w:rPr>
                                <w:rFonts w:ascii="Arial" w:hAnsi="Arial" w:cs="Arial"/>
                                <w:sz w:val="18"/>
                                <w:szCs w:val="18"/>
                              </w:rPr>
                              <w:t xml:space="preserve"> exposure at work – among non-smokers</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No influenza vaccination in past year</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Did not meet guidelines for aerobic activity</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Did not meet guidelines for muscle strengthening activity</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Consumed &lt;5 servings of fruits and vegetables daily</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Binge drinking</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Heavy drinking</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Lack of seatbelt use</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Mean number hours of sleep per night</w:t>
                            </w:r>
                          </w:p>
                          <w:p w:rsidR="00A84038" w:rsidRDefault="00A84038" w:rsidP="00A84038">
                            <w:pPr>
                              <w:tabs>
                                <w:tab w:val="num" w:pos="450"/>
                              </w:tabs>
                              <w:ind w:left="450" w:hanging="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231.75pt;margin-top:17.7pt;width:265.5pt;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" fillcolor="#d9d9d9">
                <v:textbox>
                  <w:txbxContent>
                    <w:p w:rsidR="00A84038" w:rsidRPr="00F333CE" w:rsidRDefault="00A84038" w:rsidP="00A84038">
                      <w:pPr>
                        <w:spacing w:after="0"/>
                        <w:rPr>
                          <w:rFonts w:ascii="Arial" w:hAnsi="Arial" w:cs="Arial"/>
                          <w:b/>
                          <w:bCs/>
                          <w:sz w:val="20"/>
                          <w:szCs w:val="20"/>
                        </w:rPr>
                      </w:pPr>
                      <w:r>
                        <w:rPr>
                          <w:rFonts w:ascii="Arial" w:hAnsi="Arial" w:cs="Arial"/>
                          <w:b/>
                          <w:bCs/>
                          <w:sz w:val="20"/>
                          <w:szCs w:val="20"/>
                        </w:rPr>
                        <w:t>Box</w:t>
                      </w:r>
                      <w:r w:rsidR="00500468">
                        <w:rPr>
                          <w:rFonts w:ascii="Arial" w:hAnsi="Arial" w:cs="Arial"/>
                          <w:b/>
                          <w:bCs/>
                          <w:sz w:val="20"/>
                          <w:szCs w:val="20"/>
                        </w:rPr>
                        <w:t xml:space="preserve"> 1</w:t>
                      </w:r>
                      <w:r w:rsidRPr="00F333CE">
                        <w:rPr>
                          <w:rFonts w:ascii="Arial" w:hAnsi="Arial" w:cs="Arial"/>
                          <w:b/>
                          <w:bCs/>
                          <w:sz w:val="20"/>
                          <w:szCs w:val="20"/>
                        </w:rPr>
                        <w:t xml:space="preserve">. Health </w:t>
                      </w:r>
                      <w:r w:rsidR="000374E2">
                        <w:rPr>
                          <w:rFonts w:ascii="Arial" w:hAnsi="Arial" w:cs="Arial"/>
                          <w:b/>
                          <w:bCs/>
                          <w:sz w:val="20"/>
                          <w:szCs w:val="20"/>
                        </w:rPr>
                        <w:t>I</w:t>
                      </w:r>
                      <w:r w:rsidRPr="00F333CE">
                        <w:rPr>
                          <w:rFonts w:ascii="Arial" w:hAnsi="Arial" w:cs="Arial"/>
                          <w:b/>
                          <w:bCs/>
                          <w:sz w:val="20"/>
                          <w:szCs w:val="20"/>
                        </w:rPr>
                        <w:t>ndicators</w:t>
                      </w:r>
                    </w:p>
                    <w:p w:rsidR="00A84038" w:rsidRPr="00FD307E" w:rsidRDefault="00A84038" w:rsidP="00A84038">
                      <w:pPr>
                        <w:spacing w:after="0"/>
                        <w:rPr>
                          <w:rFonts w:ascii="Arial" w:hAnsi="Arial" w:cs="Arial"/>
                          <w:b/>
                          <w:bCs/>
                          <w:sz w:val="18"/>
                          <w:szCs w:val="18"/>
                        </w:rPr>
                      </w:pPr>
                      <w:r w:rsidRPr="00FD307E">
                        <w:rPr>
                          <w:rFonts w:ascii="Arial" w:hAnsi="Arial" w:cs="Arial"/>
                          <w:b/>
                          <w:bCs/>
                          <w:sz w:val="18"/>
                          <w:szCs w:val="18"/>
                        </w:rPr>
                        <w:t>Health Access</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No health insurance</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No personal physician</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Could not see doctor due to cost</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No routine check-up in previous year</w:t>
                      </w:r>
                    </w:p>
                    <w:p w:rsidR="00A84038" w:rsidRPr="00FD307E" w:rsidRDefault="00A84038" w:rsidP="00A84038">
                      <w:pPr>
                        <w:numPr>
                          <w:ilvl w:val="0"/>
                          <w:numId w:val="1"/>
                        </w:numPr>
                        <w:tabs>
                          <w:tab w:val="clear" w:pos="720"/>
                          <w:tab w:val="num" w:pos="450"/>
                        </w:tabs>
                        <w:spacing w:after="0"/>
                        <w:ind w:hanging="540"/>
                        <w:rPr>
                          <w:rFonts w:ascii="Arial" w:hAnsi="Arial" w:cs="Arial"/>
                          <w:bCs/>
                          <w:sz w:val="18"/>
                          <w:szCs w:val="18"/>
                        </w:rPr>
                      </w:pPr>
                      <w:r w:rsidRPr="00FD307E">
                        <w:rPr>
                          <w:rFonts w:ascii="Arial" w:hAnsi="Arial" w:cs="Arial"/>
                          <w:bCs/>
                          <w:sz w:val="18"/>
                          <w:szCs w:val="18"/>
                        </w:rPr>
                        <w:t>No dental visit in previous year</w:t>
                      </w:r>
                    </w:p>
                    <w:p w:rsidR="00A84038" w:rsidRPr="00FD307E" w:rsidRDefault="00A84038" w:rsidP="00A84038">
                      <w:pPr>
                        <w:spacing w:after="0"/>
                        <w:rPr>
                          <w:rFonts w:ascii="Arial" w:hAnsi="Arial" w:cs="Arial"/>
                          <w:b/>
                          <w:bCs/>
                          <w:sz w:val="18"/>
                          <w:szCs w:val="18"/>
                        </w:rPr>
                      </w:pPr>
                      <w:r w:rsidRPr="00FD307E">
                        <w:rPr>
                          <w:rFonts w:ascii="Arial" w:hAnsi="Arial" w:cs="Arial"/>
                          <w:b/>
                          <w:bCs/>
                          <w:sz w:val="18"/>
                          <w:szCs w:val="18"/>
                        </w:rPr>
                        <w:t>Health Outcomes</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Fair or poor health status</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≥15 days poor physical health, past month</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≥15 days poor mental health, past month</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Current asthma</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Hypertension</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Depression (ever diagnosed)</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 xml:space="preserve">Obesity </w:t>
                      </w:r>
                    </w:p>
                    <w:p w:rsidR="00A84038" w:rsidRPr="00FD307E" w:rsidRDefault="00A84038" w:rsidP="00A84038">
                      <w:pPr>
                        <w:numPr>
                          <w:ilvl w:val="0"/>
                          <w:numId w:val="2"/>
                        </w:numPr>
                        <w:tabs>
                          <w:tab w:val="clear" w:pos="720"/>
                          <w:tab w:val="num" w:pos="450"/>
                        </w:tabs>
                        <w:spacing w:after="0"/>
                        <w:ind w:left="450" w:hanging="270"/>
                        <w:rPr>
                          <w:rFonts w:ascii="Arial" w:hAnsi="Arial" w:cs="Arial"/>
                          <w:bCs/>
                          <w:sz w:val="18"/>
                          <w:szCs w:val="18"/>
                        </w:rPr>
                      </w:pPr>
                      <w:r w:rsidRPr="00FD307E">
                        <w:rPr>
                          <w:rFonts w:ascii="Arial" w:hAnsi="Arial" w:cs="Arial"/>
                          <w:bCs/>
                          <w:sz w:val="18"/>
                          <w:szCs w:val="18"/>
                        </w:rPr>
                        <w:t>≥ 6 teeth lost due to decay</w:t>
                      </w:r>
                    </w:p>
                    <w:p w:rsidR="00A84038" w:rsidRPr="00FD307E" w:rsidRDefault="00A84038" w:rsidP="00A84038">
                      <w:pPr>
                        <w:spacing w:after="0"/>
                        <w:rPr>
                          <w:rFonts w:ascii="Arial" w:hAnsi="Arial" w:cs="Arial"/>
                          <w:sz w:val="18"/>
                          <w:szCs w:val="18"/>
                        </w:rPr>
                      </w:pPr>
                      <w:r w:rsidRPr="00FD307E">
                        <w:rPr>
                          <w:rFonts w:ascii="Arial" w:hAnsi="Arial" w:cs="Arial"/>
                          <w:b/>
                          <w:bCs/>
                          <w:sz w:val="18"/>
                          <w:szCs w:val="18"/>
                        </w:rPr>
                        <w:t>Health Behaviors</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Smoking</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E</w:t>
                      </w:r>
                      <w:r>
                        <w:rPr>
                          <w:rFonts w:ascii="Arial" w:hAnsi="Arial" w:cs="Arial"/>
                          <w:sz w:val="18"/>
                          <w:szCs w:val="18"/>
                        </w:rPr>
                        <w:t>nvironmental tobacco smoke</w:t>
                      </w:r>
                      <w:r w:rsidRPr="00FD307E">
                        <w:rPr>
                          <w:rFonts w:ascii="Arial" w:hAnsi="Arial" w:cs="Arial"/>
                          <w:sz w:val="18"/>
                          <w:szCs w:val="18"/>
                        </w:rPr>
                        <w:t xml:space="preserve"> exposure at work – among non-smokers</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No influenza vaccination in past year</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Did not meet guidelines for aerobic activity</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Did not meet guidelines for muscle strengthening activity</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Consumed &lt;5 servings of fruits and vegetables daily</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Binge drinking</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Heavy drinking</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Lack of seatbelt use</w:t>
                      </w:r>
                    </w:p>
                    <w:p w:rsidR="00A84038" w:rsidRPr="00FD307E" w:rsidRDefault="00A84038" w:rsidP="00A84038">
                      <w:pPr>
                        <w:numPr>
                          <w:ilvl w:val="0"/>
                          <w:numId w:val="3"/>
                        </w:numPr>
                        <w:tabs>
                          <w:tab w:val="clear" w:pos="720"/>
                          <w:tab w:val="num" w:pos="450"/>
                        </w:tabs>
                        <w:spacing w:after="0"/>
                        <w:ind w:left="450" w:hanging="270"/>
                        <w:rPr>
                          <w:rFonts w:ascii="Arial" w:hAnsi="Arial" w:cs="Arial"/>
                          <w:sz w:val="18"/>
                          <w:szCs w:val="18"/>
                        </w:rPr>
                      </w:pPr>
                      <w:r w:rsidRPr="00FD307E">
                        <w:rPr>
                          <w:rFonts w:ascii="Arial" w:hAnsi="Arial" w:cs="Arial"/>
                          <w:sz w:val="18"/>
                          <w:szCs w:val="18"/>
                        </w:rPr>
                        <w:t>Mean number hours of sleep per night</w:t>
                      </w:r>
                    </w:p>
                    <w:p w:rsidR="00A84038" w:rsidRDefault="00A84038" w:rsidP="00A84038">
                      <w:pPr>
                        <w:tabs>
                          <w:tab w:val="num" w:pos="450"/>
                        </w:tabs>
                        <w:ind w:left="450" w:hanging="270"/>
                      </w:pPr>
                    </w:p>
                  </w:txbxContent>
                </v:textbox>
                <w10:wrap type="square"/>
              </v:shape>
            </w:pict>
          </mc:Fallback>
        </mc:AlternateContent>
      </w:r>
      <w:r w:rsidR="00E34DA9" w:rsidRPr="00E34DA9">
        <w:rPr>
          <w:rFonts w:eastAsia="Calibri" w:cs="Calibri"/>
          <w:color w:val="000000"/>
          <w:u w:color="000000"/>
          <w:lang w:eastAsia="en-GB"/>
        </w:rPr>
        <w:t>In short, work is an important determinant of health that needs to be taken into account in developing comprehensive approaches to improving population health and reducing health inequities.</w:t>
      </w:r>
      <w:r w:rsidR="00F71704">
        <w:rPr>
          <w:rFonts w:eastAsia="Calibri" w:cs="Calibri"/>
          <w:color w:val="000000"/>
          <w:u w:color="000000"/>
          <w:lang w:eastAsia="en-GB"/>
        </w:rPr>
        <w:t xml:space="preserve"> </w:t>
      </w:r>
      <w:r w:rsidR="007E4D7C">
        <w:rPr>
          <w:rFonts w:eastAsia="Calibri" w:cs="Calibri"/>
          <w:color w:val="000000"/>
          <w:u w:color="000000"/>
          <w:lang w:eastAsia="en-GB"/>
        </w:rPr>
        <w:t xml:space="preserve"> </w:t>
      </w:r>
      <w:r w:rsidR="003372A9" w:rsidRPr="003372A9">
        <w:rPr>
          <w:rFonts w:eastAsia="Calibri" w:cs="Calibri"/>
          <w:color w:val="000000"/>
          <w:u w:color="000000"/>
          <w:lang w:eastAsia="en-GB"/>
        </w:rPr>
        <w:t>Many of our state health data systems include limited</w:t>
      </w:r>
      <w:r w:rsidR="000374E2">
        <w:rPr>
          <w:rFonts w:eastAsia="Calibri" w:cs="Calibri"/>
          <w:color w:val="000000"/>
          <w:u w:color="000000"/>
          <w:lang w:eastAsia="en-GB"/>
        </w:rPr>
        <w:t>,</w:t>
      </w:r>
      <w:r w:rsidR="003372A9" w:rsidRPr="003372A9">
        <w:rPr>
          <w:rFonts w:eastAsia="Calibri" w:cs="Calibri"/>
          <w:color w:val="000000"/>
          <w:u w:color="000000"/>
          <w:lang w:eastAsia="en-GB"/>
        </w:rPr>
        <w:t xml:space="preserve"> if any</w:t>
      </w:r>
      <w:r w:rsidR="000374E2">
        <w:rPr>
          <w:rFonts w:eastAsia="Calibri" w:cs="Calibri"/>
          <w:color w:val="000000"/>
          <w:u w:color="000000"/>
          <w:lang w:eastAsia="en-GB"/>
        </w:rPr>
        <w:t>,</w:t>
      </w:r>
      <w:r w:rsidR="003372A9" w:rsidRPr="003372A9">
        <w:rPr>
          <w:rFonts w:eastAsia="Calibri" w:cs="Calibri"/>
          <w:color w:val="000000"/>
          <w:u w:color="000000"/>
          <w:lang w:eastAsia="en-GB"/>
        </w:rPr>
        <w:t xml:space="preserve"> information about the employment status of individuals. To address this gap, </w:t>
      </w:r>
      <w:r w:rsidR="00AB3AE8" w:rsidRPr="003372A9">
        <w:rPr>
          <w:rFonts w:eastAsia="Calibri" w:cs="Calibri"/>
          <w:color w:val="000000"/>
          <w:u w:color="000000"/>
          <w:lang w:eastAsia="en-GB"/>
        </w:rPr>
        <w:t xml:space="preserve">Massachusetts </w:t>
      </w:r>
      <w:r w:rsidR="00AB3AE8">
        <w:rPr>
          <w:rFonts w:eastAsia="Calibri" w:cs="Calibri"/>
          <w:color w:val="000000"/>
          <w:u w:color="000000"/>
          <w:lang w:eastAsia="en-GB"/>
        </w:rPr>
        <w:t>has added</w:t>
      </w:r>
      <w:r w:rsidR="003372A9" w:rsidRPr="003372A9">
        <w:rPr>
          <w:rFonts w:eastAsia="Calibri" w:cs="Calibri"/>
          <w:color w:val="000000"/>
          <w:u w:color="000000"/>
          <w:lang w:eastAsia="en-GB"/>
        </w:rPr>
        <w:t xml:space="preserve"> questions about occupation and industry to the Behavioral Risk Factor Surveillance System (BRFSS).  In </w:t>
      </w:r>
      <w:r w:rsidR="003372A9">
        <w:rPr>
          <w:rFonts w:eastAsia="Calibri" w:cs="Calibri"/>
          <w:color w:val="000000"/>
          <w:u w:color="000000"/>
          <w:lang w:eastAsia="en-GB"/>
        </w:rPr>
        <w:t>the report</w:t>
      </w:r>
      <w:r w:rsidR="007E4D7C">
        <w:rPr>
          <w:rFonts w:eastAsia="Calibri" w:cs="Calibri"/>
          <w:color w:val="000000"/>
          <w:u w:color="000000"/>
          <w:lang w:eastAsia="en-GB"/>
        </w:rPr>
        <w:t xml:space="preserve"> attached to this data brief</w:t>
      </w:r>
      <w:r w:rsidR="003372A9" w:rsidRPr="003372A9">
        <w:rPr>
          <w:rFonts w:eastAsia="Calibri" w:cs="Calibri"/>
          <w:color w:val="000000"/>
          <w:u w:color="000000"/>
          <w:lang w:eastAsia="en-GB"/>
        </w:rPr>
        <w:t xml:space="preserve">, we present findings from the 2012-2013 Massachusetts BRFSS surveys on 23 key health indicators by occupation and industry groups.  </w:t>
      </w:r>
      <w:r w:rsidR="00B343C3">
        <w:t xml:space="preserve">The </w:t>
      </w:r>
      <w:r w:rsidR="007E4D7C">
        <w:t>23</w:t>
      </w:r>
      <w:r w:rsidR="00B343C3">
        <w:t xml:space="preserve"> health indicators are grouped into three categories – health access, health outcomes, and health behaviors</w:t>
      </w:r>
      <w:r w:rsidR="005F0C4E">
        <w:t xml:space="preserve"> (Box</w:t>
      </w:r>
      <w:r w:rsidR="005718EA">
        <w:t xml:space="preserve"> 1</w:t>
      </w:r>
      <w:r w:rsidR="005F0C4E">
        <w:t>)</w:t>
      </w:r>
      <w:r w:rsidR="00B343C3">
        <w:t xml:space="preserve">. </w:t>
      </w:r>
    </w:p>
    <w:p w:rsidR="00B343C3" w:rsidRDefault="00AB3AE8" w:rsidP="00B343C3">
      <w:pPr>
        <w:tabs>
          <w:tab w:val="left" w:pos="9360"/>
        </w:tabs>
        <w:ind w:left="-720"/>
      </w:pPr>
      <w:r w:rsidRPr="00AB3AE8">
        <w:t xml:space="preserve">Occupation describes the kind of work a person does to earn a living (i.e., job title), whereas industry describes what a person’s employer or business does.  </w:t>
      </w:r>
      <w:r>
        <w:t xml:space="preserve">All respondents to the BRFSS who were employed within the previous year were asked their occupation and industry. Responses were grouped into 16 categories for occupation and 20 categories </w:t>
      </w:r>
      <w:r w:rsidR="00435946">
        <w:t xml:space="preserve">for industry based on </w:t>
      </w:r>
      <w:r w:rsidR="00D96E05">
        <w:t xml:space="preserve">codes from the </w:t>
      </w:r>
      <w:r w:rsidR="00D43ACE">
        <w:t xml:space="preserve">U.S. </w:t>
      </w:r>
      <w:r w:rsidR="00435946">
        <w:t xml:space="preserve">Census Occupation and Industry </w:t>
      </w:r>
      <w:r w:rsidR="00D96E05">
        <w:t>Classification Systems</w:t>
      </w:r>
      <w:r w:rsidR="00435946">
        <w:t xml:space="preserve">, respectively. </w:t>
      </w:r>
      <w:r w:rsidRPr="00AB3AE8">
        <w:t>Overall, 20,421 respondents (</w:t>
      </w:r>
      <w:r>
        <w:t>55.5</w:t>
      </w:r>
      <w:r w:rsidRPr="00AB3AE8">
        <w:t xml:space="preserve">%)   in the 2012 and 2013 samples </w:t>
      </w:r>
      <w:r w:rsidRPr="00AB3AE8">
        <w:lastRenderedPageBreak/>
        <w:t>reported having been employed within the last year. Of these, 17,311 (84.7%) were assigned an occupation code and included in the occupation analyses, and 17,955 (87.9%) were assigned an industry code and included in the industry analyses.</w:t>
      </w:r>
    </w:p>
    <w:p w:rsidR="006B7CC5" w:rsidRDefault="00A4351D" w:rsidP="00915D55">
      <w:pPr>
        <w:tabs>
          <w:tab w:val="left" w:pos="9360"/>
        </w:tabs>
        <w:spacing w:after="0"/>
        <w:ind w:left="-720"/>
      </w:pPr>
      <w:r>
        <w:t xml:space="preserve">Below are </w:t>
      </w:r>
      <w:r w:rsidR="006B7CC5">
        <w:t>example</w:t>
      </w:r>
      <w:r>
        <w:t>s</w:t>
      </w:r>
      <w:r w:rsidR="006B7CC5">
        <w:t xml:space="preserve"> of charts from the attached report</w:t>
      </w:r>
      <w:r>
        <w:t xml:space="preserve"> for the health outcome indicator obesity. </w:t>
      </w:r>
      <w:r w:rsidRPr="00A4351D">
        <w:t>All respondents were asked to report their height and weight. Respondents’ obesity status was categorized based on their Body Mass Index (BMI), which equals weight in kilograms divided by height in meters squared.  All adults with a BMI greater than or equal to 30.0 were classified as being obese.</w:t>
      </w:r>
    </w:p>
    <w:p w:rsidR="00A67D9B" w:rsidRDefault="00A67D9B" w:rsidP="00915D55">
      <w:pPr>
        <w:tabs>
          <w:tab w:val="left" w:pos="9360"/>
        </w:tabs>
        <w:spacing w:after="0"/>
        <w:ind w:left="-720"/>
      </w:pPr>
    </w:p>
    <w:p w:rsidR="00A4351D" w:rsidRDefault="00A67D9B" w:rsidP="00A4351D">
      <w:pPr>
        <w:tabs>
          <w:tab w:val="left" w:pos="9360"/>
        </w:tabs>
        <w:spacing w:after="0" w:line="240" w:lineRule="auto"/>
        <w:ind w:left="-720"/>
      </w:pPr>
      <w:r>
        <w:rPr>
          <w:noProof/>
        </w:rPr>
        <w:drawing>
          <wp:inline distT="0" distB="0" distL="0" distR="0" wp14:anchorId="4902ACB0" wp14:editId="06A7A4D9">
            <wp:extent cx="6400800" cy="5853723"/>
            <wp:effectExtent l="0" t="0" r="19050" b="1397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5D55" w:rsidRPr="00915D55" w:rsidRDefault="00915D55" w:rsidP="00915D55">
      <w:pPr>
        <w:tabs>
          <w:tab w:val="left" w:pos="9360"/>
        </w:tabs>
        <w:ind w:left="-720"/>
        <w:rPr>
          <w:sz w:val="18"/>
          <w:szCs w:val="18"/>
        </w:rPr>
      </w:pPr>
      <w:r w:rsidRPr="00915D55">
        <w:rPr>
          <w:sz w:val="18"/>
          <w:szCs w:val="18"/>
        </w:rPr>
        <w:t>All workers = respondents with an occupation code</w:t>
      </w:r>
      <w:r>
        <w:rPr>
          <w:sz w:val="18"/>
          <w:szCs w:val="18"/>
        </w:rPr>
        <w:t xml:space="preserve">; </w:t>
      </w:r>
      <w:r w:rsidRPr="00915D55">
        <w:rPr>
          <w:sz w:val="18"/>
          <w:szCs w:val="18"/>
        </w:rPr>
        <w:t xml:space="preserve">Insufficient data for Farming, Forestry &amp; Fishing </w:t>
      </w:r>
    </w:p>
    <w:p w:rsidR="004F056E" w:rsidRDefault="00915D55" w:rsidP="00E34DA9">
      <w:pPr>
        <w:tabs>
          <w:tab w:val="left" w:pos="9360"/>
        </w:tabs>
        <w:ind w:left="-720"/>
      </w:pPr>
      <w:r>
        <w:t xml:space="preserve">Overall, 23.7% </w:t>
      </w:r>
      <w:r w:rsidR="00C1453F">
        <w:t xml:space="preserve">+/- 1% </w:t>
      </w:r>
      <w:r w:rsidR="003B4758">
        <w:t xml:space="preserve">of all workers </w:t>
      </w:r>
      <w:r w:rsidR="00B71762">
        <w:t xml:space="preserve">with an occupation code </w:t>
      </w:r>
      <w:r w:rsidR="003B4758">
        <w:t>we</w:t>
      </w:r>
      <w:r>
        <w:t>re classified as obese</w:t>
      </w:r>
      <w:r w:rsidR="00C1453F">
        <w:t>. The prevalence of obesity, however,</w:t>
      </w:r>
      <w:r w:rsidR="006E3573">
        <w:t xml:space="preserve"> </w:t>
      </w:r>
      <w:r w:rsidR="006B1055">
        <w:t>was</w:t>
      </w:r>
      <w:r w:rsidR="006E3573">
        <w:t xml:space="preserve"> not equal across occupation groups</w:t>
      </w:r>
      <w:r w:rsidR="00C1453F">
        <w:t xml:space="preserve">. </w:t>
      </w:r>
      <w:r w:rsidR="0056126A">
        <w:t xml:space="preserve">Workers in healthcare support, protective service, office &amp; administrative support, installation, repair &amp; maintenance, and transportation &amp; material moving </w:t>
      </w:r>
      <w:r w:rsidR="007E4D7C">
        <w:t xml:space="preserve">occupations </w:t>
      </w:r>
      <w:r w:rsidR="0056126A">
        <w:t xml:space="preserve">were significantly more likely than all workers to be classified as obese (indicated by darker bars). Professional workers </w:t>
      </w:r>
      <w:r w:rsidR="0056126A">
        <w:lastRenderedPageBreak/>
        <w:t>(excluding healthcare practitioners and technical) were less likely than all workers to be classified as obese (indicated by lighter bars).</w:t>
      </w:r>
    </w:p>
    <w:p w:rsidR="009D3764" w:rsidRPr="009D3764" w:rsidRDefault="00E34DA9" w:rsidP="00B0282B">
      <w:pPr>
        <w:tabs>
          <w:tab w:val="left" w:pos="9360"/>
        </w:tabs>
        <w:spacing w:after="0" w:line="240" w:lineRule="auto"/>
        <w:ind w:left="-720"/>
      </w:pPr>
      <w:r>
        <w:rPr>
          <w:noProof/>
        </w:rPr>
        <w:drawing>
          <wp:inline distT="0" distB="0" distL="0" distR="0" wp14:anchorId="3F5FB04D" wp14:editId="54FB4EF1">
            <wp:extent cx="6781800" cy="5429250"/>
            <wp:effectExtent l="0" t="0" r="19050" b="19050"/>
            <wp:docPr id="112" name="Chart 112" descr="All workers 23.5&#10;Agriculture, Forestry, Fishing and Hunting 23.6&#10;Utilities 32.4&#10;Construction 22.1&#10;Manufacturing 22.9&#10;Wholesale Trade 37.1&#10;Retail Trade 26.9&#10;Transportation and Warehousing 35.0&#10;Information 26.3&#10;Finance and Insurance 21.4&#10;Real Estate and Rental and Leasing 22.8&#10;Professional, Scientific, and Technical Services  18.2&#10;Administrative &amp; Support &amp; Waste Management &amp; Remediation Services  24.1&#10;Educational Services 19.4&#10;Health Care and Social Assistance 23.8&#10;Arts, Entertainment, and Recreation 15.8&#10;Accommodation and Food Services 23.9&#10;Other Services (except Public Administration) 22.2&#10;Public Administration 30.8&#10;" title="Figure 2. Obesity among MA workers, by industry group, 2012-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D3764" w:rsidRPr="009D3764">
        <w:rPr>
          <w:sz w:val="18"/>
          <w:szCs w:val="18"/>
        </w:rPr>
        <w:t>All workers = respondents with an industry code</w:t>
      </w:r>
      <w:r w:rsidR="009D3764">
        <w:t xml:space="preserve">; </w:t>
      </w:r>
      <w:proofErr w:type="gramStart"/>
      <w:r w:rsidR="009D3764" w:rsidRPr="009D3764">
        <w:rPr>
          <w:sz w:val="18"/>
          <w:szCs w:val="18"/>
        </w:rPr>
        <w:t>Insufficient</w:t>
      </w:r>
      <w:proofErr w:type="gramEnd"/>
      <w:r w:rsidR="009D3764" w:rsidRPr="009D3764">
        <w:rPr>
          <w:sz w:val="18"/>
          <w:szCs w:val="18"/>
        </w:rPr>
        <w:t xml:space="preserve"> data for</w:t>
      </w:r>
      <w:r w:rsidR="009D3764">
        <w:rPr>
          <w:sz w:val="18"/>
          <w:szCs w:val="18"/>
        </w:rPr>
        <w:t xml:space="preserve"> the following industries: </w:t>
      </w:r>
      <w:r w:rsidR="009D3764" w:rsidRPr="009D3764">
        <w:rPr>
          <w:sz w:val="18"/>
          <w:szCs w:val="18"/>
        </w:rPr>
        <w:t>Mining, Quarrying, &amp; Oil &amp;Gas Extraction</w:t>
      </w:r>
      <w:r w:rsidR="00B0282B">
        <w:rPr>
          <w:sz w:val="18"/>
          <w:szCs w:val="18"/>
        </w:rPr>
        <w:t xml:space="preserve"> and </w:t>
      </w:r>
      <w:r w:rsidR="009D3764" w:rsidRPr="009D3764">
        <w:rPr>
          <w:sz w:val="18"/>
          <w:szCs w:val="18"/>
        </w:rPr>
        <w:t>Management of Companies &amp;Enterprises</w:t>
      </w:r>
    </w:p>
    <w:p w:rsidR="009D3764" w:rsidRDefault="009D3764" w:rsidP="009D3764">
      <w:pPr>
        <w:tabs>
          <w:tab w:val="left" w:pos="9360"/>
        </w:tabs>
        <w:spacing w:after="0"/>
        <w:ind w:left="-720"/>
      </w:pPr>
    </w:p>
    <w:p w:rsidR="00B0282B" w:rsidRDefault="00B71762" w:rsidP="009D3764">
      <w:pPr>
        <w:tabs>
          <w:tab w:val="left" w:pos="9360"/>
        </w:tabs>
        <w:spacing w:after="0"/>
        <w:ind w:left="-720"/>
      </w:pPr>
      <w:r>
        <w:t xml:space="preserve">Overall, 23.5% +/- 1% of all workers with an industry code were classified as obese. </w:t>
      </w:r>
      <w:r w:rsidR="00516E56">
        <w:t>The prevalence of obesi</w:t>
      </w:r>
      <w:r w:rsidR="004B19E7">
        <w:t>ty also varie</w:t>
      </w:r>
      <w:r w:rsidR="006B1055">
        <w:t>d</w:t>
      </w:r>
      <w:r w:rsidR="004B19E7">
        <w:t xml:space="preserve"> across industry groups</w:t>
      </w:r>
      <w:r w:rsidR="00516E56">
        <w:t>. Those workers in wholesale trade, transportation &amp; warehousing, and public administration were significantly more likely than all workers to be classified as obese (indicated by darker bars); whereas those employed in professional, scientific &amp; technical services, educational services, and arts, entertainment &amp; recreation were less likely than all workers to be classified as obese (indicated by lighter bars).</w:t>
      </w:r>
    </w:p>
    <w:p w:rsidR="004B19E7" w:rsidRDefault="004B19E7" w:rsidP="009D3764">
      <w:pPr>
        <w:tabs>
          <w:tab w:val="left" w:pos="9360"/>
        </w:tabs>
        <w:spacing w:after="0"/>
        <w:ind w:left="-720"/>
      </w:pPr>
    </w:p>
    <w:p w:rsidR="004B19E7" w:rsidRDefault="004B19E7" w:rsidP="009D3764">
      <w:pPr>
        <w:tabs>
          <w:tab w:val="left" w:pos="9360"/>
        </w:tabs>
        <w:spacing w:after="0"/>
        <w:ind w:left="-720"/>
      </w:pPr>
      <w:r>
        <w:t>Overall, the</w:t>
      </w:r>
      <w:r w:rsidRPr="004B19E7">
        <w:t xml:space="preserve"> information </w:t>
      </w:r>
      <w:r>
        <w:t xml:space="preserve">presented in the attached report </w:t>
      </w:r>
      <w:r w:rsidRPr="004B19E7">
        <w:t>may be useful in targeting activities to both protect and promote the health of working people. In providing this information, we encourage readers to go beyond thinking about the workplace solely as a venue to address “personal health choices” and to consider the potential impact of work exposures and work organization on health and health related behaviors.</w:t>
      </w:r>
    </w:p>
    <w:sectPr w:rsidR="004B19E7" w:rsidSect="00BB12AB">
      <w:pgSz w:w="12240" w:h="15840"/>
      <w:pgMar w:top="990"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0ADF"/>
    <w:multiLevelType w:val="hybridMultilevel"/>
    <w:tmpl w:val="802EC4C6"/>
    <w:lvl w:ilvl="0" w:tplc="71D6796C">
      <w:start w:val="1"/>
      <w:numFmt w:val="bullet"/>
      <w:lvlText w:val="•"/>
      <w:lvlJc w:val="left"/>
      <w:pPr>
        <w:tabs>
          <w:tab w:val="num" w:pos="720"/>
        </w:tabs>
        <w:ind w:left="720" w:hanging="360"/>
      </w:pPr>
      <w:rPr>
        <w:rFonts w:ascii="Arial" w:hAnsi="Arial" w:hint="default"/>
      </w:rPr>
    </w:lvl>
    <w:lvl w:ilvl="1" w:tplc="803CE5C6">
      <w:start w:val="1"/>
      <w:numFmt w:val="bullet"/>
      <w:lvlText w:val="•"/>
      <w:lvlJc w:val="left"/>
      <w:pPr>
        <w:tabs>
          <w:tab w:val="num" w:pos="1440"/>
        </w:tabs>
        <w:ind w:left="1440" w:hanging="360"/>
      </w:pPr>
      <w:rPr>
        <w:rFonts w:ascii="Arial" w:hAnsi="Arial" w:hint="default"/>
      </w:rPr>
    </w:lvl>
    <w:lvl w:ilvl="2" w:tplc="77B86B06" w:tentative="1">
      <w:start w:val="1"/>
      <w:numFmt w:val="bullet"/>
      <w:lvlText w:val="•"/>
      <w:lvlJc w:val="left"/>
      <w:pPr>
        <w:tabs>
          <w:tab w:val="num" w:pos="2160"/>
        </w:tabs>
        <w:ind w:left="2160" w:hanging="360"/>
      </w:pPr>
      <w:rPr>
        <w:rFonts w:ascii="Arial" w:hAnsi="Arial" w:hint="default"/>
      </w:rPr>
    </w:lvl>
    <w:lvl w:ilvl="3" w:tplc="4B2C3602" w:tentative="1">
      <w:start w:val="1"/>
      <w:numFmt w:val="bullet"/>
      <w:lvlText w:val="•"/>
      <w:lvlJc w:val="left"/>
      <w:pPr>
        <w:tabs>
          <w:tab w:val="num" w:pos="2880"/>
        </w:tabs>
        <w:ind w:left="2880" w:hanging="360"/>
      </w:pPr>
      <w:rPr>
        <w:rFonts w:ascii="Arial" w:hAnsi="Arial" w:hint="default"/>
      </w:rPr>
    </w:lvl>
    <w:lvl w:ilvl="4" w:tplc="5D5E4DD4" w:tentative="1">
      <w:start w:val="1"/>
      <w:numFmt w:val="bullet"/>
      <w:lvlText w:val="•"/>
      <w:lvlJc w:val="left"/>
      <w:pPr>
        <w:tabs>
          <w:tab w:val="num" w:pos="3600"/>
        </w:tabs>
        <w:ind w:left="3600" w:hanging="360"/>
      </w:pPr>
      <w:rPr>
        <w:rFonts w:ascii="Arial" w:hAnsi="Arial" w:hint="default"/>
      </w:rPr>
    </w:lvl>
    <w:lvl w:ilvl="5" w:tplc="18BE712A" w:tentative="1">
      <w:start w:val="1"/>
      <w:numFmt w:val="bullet"/>
      <w:lvlText w:val="•"/>
      <w:lvlJc w:val="left"/>
      <w:pPr>
        <w:tabs>
          <w:tab w:val="num" w:pos="4320"/>
        </w:tabs>
        <w:ind w:left="4320" w:hanging="360"/>
      </w:pPr>
      <w:rPr>
        <w:rFonts w:ascii="Arial" w:hAnsi="Arial" w:hint="default"/>
      </w:rPr>
    </w:lvl>
    <w:lvl w:ilvl="6" w:tplc="B83C8042" w:tentative="1">
      <w:start w:val="1"/>
      <w:numFmt w:val="bullet"/>
      <w:lvlText w:val="•"/>
      <w:lvlJc w:val="left"/>
      <w:pPr>
        <w:tabs>
          <w:tab w:val="num" w:pos="5040"/>
        </w:tabs>
        <w:ind w:left="5040" w:hanging="360"/>
      </w:pPr>
      <w:rPr>
        <w:rFonts w:ascii="Arial" w:hAnsi="Arial" w:hint="default"/>
      </w:rPr>
    </w:lvl>
    <w:lvl w:ilvl="7" w:tplc="E9807150" w:tentative="1">
      <w:start w:val="1"/>
      <w:numFmt w:val="bullet"/>
      <w:lvlText w:val="•"/>
      <w:lvlJc w:val="left"/>
      <w:pPr>
        <w:tabs>
          <w:tab w:val="num" w:pos="5760"/>
        </w:tabs>
        <w:ind w:left="5760" w:hanging="360"/>
      </w:pPr>
      <w:rPr>
        <w:rFonts w:ascii="Arial" w:hAnsi="Arial" w:hint="default"/>
      </w:rPr>
    </w:lvl>
    <w:lvl w:ilvl="8" w:tplc="8800D0AC" w:tentative="1">
      <w:start w:val="1"/>
      <w:numFmt w:val="bullet"/>
      <w:lvlText w:val="•"/>
      <w:lvlJc w:val="left"/>
      <w:pPr>
        <w:tabs>
          <w:tab w:val="num" w:pos="6480"/>
        </w:tabs>
        <w:ind w:left="6480" w:hanging="360"/>
      </w:pPr>
      <w:rPr>
        <w:rFonts w:ascii="Arial" w:hAnsi="Arial" w:hint="default"/>
      </w:rPr>
    </w:lvl>
  </w:abstractNum>
  <w:abstractNum w:abstractNumId="1">
    <w:nsid w:val="5FFC0100"/>
    <w:multiLevelType w:val="hybridMultilevel"/>
    <w:tmpl w:val="3D2E720A"/>
    <w:lvl w:ilvl="0" w:tplc="48403158">
      <w:start w:val="1"/>
      <w:numFmt w:val="bullet"/>
      <w:lvlText w:val="•"/>
      <w:lvlJc w:val="left"/>
      <w:pPr>
        <w:tabs>
          <w:tab w:val="num" w:pos="720"/>
        </w:tabs>
        <w:ind w:left="720" w:hanging="360"/>
      </w:pPr>
      <w:rPr>
        <w:rFonts w:ascii="Arial" w:hAnsi="Arial" w:hint="default"/>
      </w:rPr>
    </w:lvl>
    <w:lvl w:ilvl="1" w:tplc="7B1EB664">
      <w:start w:val="1"/>
      <w:numFmt w:val="bullet"/>
      <w:lvlText w:val="•"/>
      <w:lvlJc w:val="left"/>
      <w:pPr>
        <w:tabs>
          <w:tab w:val="num" w:pos="1440"/>
        </w:tabs>
        <w:ind w:left="1440" w:hanging="360"/>
      </w:pPr>
      <w:rPr>
        <w:rFonts w:ascii="Arial" w:hAnsi="Arial" w:hint="default"/>
      </w:rPr>
    </w:lvl>
    <w:lvl w:ilvl="2" w:tplc="B0C02D04" w:tentative="1">
      <w:start w:val="1"/>
      <w:numFmt w:val="bullet"/>
      <w:lvlText w:val="•"/>
      <w:lvlJc w:val="left"/>
      <w:pPr>
        <w:tabs>
          <w:tab w:val="num" w:pos="2160"/>
        </w:tabs>
        <w:ind w:left="2160" w:hanging="360"/>
      </w:pPr>
      <w:rPr>
        <w:rFonts w:ascii="Arial" w:hAnsi="Arial" w:hint="default"/>
      </w:rPr>
    </w:lvl>
    <w:lvl w:ilvl="3" w:tplc="6038E0C0" w:tentative="1">
      <w:start w:val="1"/>
      <w:numFmt w:val="bullet"/>
      <w:lvlText w:val="•"/>
      <w:lvlJc w:val="left"/>
      <w:pPr>
        <w:tabs>
          <w:tab w:val="num" w:pos="2880"/>
        </w:tabs>
        <w:ind w:left="2880" w:hanging="360"/>
      </w:pPr>
      <w:rPr>
        <w:rFonts w:ascii="Arial" w:hAnsi="Arial" w:hint="default"/>
      </w:rPr>
    </w:lvl>
    <w:lvl w:ilvl="4" w:tplc="DFC87D6C" w:tentative="1">
      <w:start w:val="1"/>
      <w:numFmt w:val="bullet"/>
      <w:lvlText w:val="•"/>
      <w:lvlJc w:val="left"/>
      <w:pPr>
        <w:tabs>
          <w:tab w:val="num" w:pos="3600"/>
        </w:tabs>
        <w:ind w:left="3600" w:hanging="360"/>
      </w:pPr>
      <w:rPr>
        <w:rFonts w:ascii="Arial" w:hAnsi="Arial" w:hint="default"/>
      </w:rPr>
    </w:lvl>
    <w:lvl w:ilvl="5" w:tplc="139820F6" w:tentative="1">
      <w:start w:val="1"/>
      <w:numFmt w:val="bullet"/>
      <w:lvlText w:val="•"/>
      <w:lvlJc w:val="left"/>
      <w:pPr>
        <w:tabs>
          <w:tab w:val="num" w:pos="4320"/>
        </w:tabs>
        <w:ind w:left="4320" w:hanging="360"/>
      </w:pPr>
      <w:rPr>
        <w:rFonts w:ascii="Arial" w:hAnsi="Arial" w:hint="default"/>
      </w:rPr>
    </w:lvl>
    <w:lvl w:ilvl="6" w:tplc="F0DA6BEC" w:tentative="1">
      <w:start w:val="1"/>
      <w:numFmt w:val="bullet"/>
      <w:lvlText w:val="•"/>
      <w:lvlJc w:val="left"/>
      <w:pPr>
        <w:tabs>
          <w:tab w:val="num" w:pos="5040"/>
        </w:tabs>
        <w:ind w:left="5040" w:hanging="360"/>
      </w:pPr>
      <w:rPr>
        <w:rFonts w:ascii="Arial" w:hAnsi="Arial" w:hint="default"/>
      </w:rPr>
    </w:lvl>
    <w:lvl w:ilvl="7" w:tplc="A6EC1CF0" w:tentative="1">
      <w:start w:val="1"/>
      <w:numFmt w:val="bullet"/>
      <w:lvlText w:val="•"/>
      <w:lvlJc w:val="left"/>
      <w:pPr>
        <w:tabs>
          <w:tab w:val="num" w:pos="5760"/>
        </w:tabs>
        <w:ind w:left="5760" w:hanging="360"/>
      </w:pPr>
      <w:rPr>
        <w:rFonts w:ascii="Arial" w:hAnsi="Arial" w:hint="default"/>
      </w:rPr>
    </w:lvl>
    <w:lvl w:ilvl="8" w:tplc="AB9047F6" w:tentative="1">
      <w:start w:val="1"/>
      <w:numFmt w:val="bullet"/>
      <w:lvlText w:val="•"/>
      <w:lvlJc w:val="left"/>
      <w:pPr>
        <w:tabs>
          <w:tab w:val="num" w:pos="6480"/>
        </w:tabs>
        <w:ind w:left="6480" w:hanging="360"/>
      </w:pPr>
      <w:rPr>
        <w:rFonts w:ascii="Arial" w:hAnsi="Arial" w:hint="default"/>
      </w:rPr>
    </w:lvl>
  </w:abstractNum>
  <w:abstractNum w:abstractNumId="2">
    <w:nsid w:val="6620300B"/>
    <w:multiLevelType w:val="hybridMultilevel"/>
    <w:tmpl w:val="C61E2456"/>
    <w:lvl w:ilvl="0" w:tplc="4CD287F0">
      <w:start w:val="1"/>
      <w:numFmt w:val="bullet"/>
      <w:lvlText w:val="•"/>
      <w:lvlJc w:val="left"/>
      <w:pPr>
        <w:tabs>
          <w:tab w:val="num" w:pos="720"/>
        </w:tabs>
        <w:ind w:left="720" w:hanging="360"/>
      </w:pPr>
      <w:rPr>
        <w:rFonts w:ascii="Arial" w:hAnsi="Arial" w:hint="default"/>
      </w:rPr>
    </w:lvl>
    <w:lvl w:ilvl="1" w:tplc="63E0F756">
      <w:start w:val="1"/>
      <w:numFmt w:val="bullet"/>
      <w:lvlText w:val="•"/>
      <w:lvlJc w:val="left"/>
      <w:pPr>
        <w:tabs>
          <w:tab w:val="num" w:pos="1440"/>
        </w:tabs>
        <w:ind w:left="1440" w:hanging="360"/>
      </w:pPr>
      <w:rPr>
        <w:rFonts w:ascii="Arial" w:hAnsi="Arial" w:hint="default"/>
      </w:rPr>
    </w:lvl>
    <w:lvl w:ilvl="2" w:tplc="2B18C38A" w:tentative="1">
      <w:start w:val="1"/>
      <w:numFmt w:val="bullet"/>
      <w:lvlText w:val="•"/>
      <w:lvlJc w:val="left"/>
      <w:pPr>
        <w:tabs>
          <w:tab w:val="num" w:pos="2160"/>
        </w:tabs>
        <w:ind w:left="2160" w:hanging="360"/>
      </w:pPr>
      <w:rPr>
        <w:rFonts w:ascii="Arial" w:hAnsi="Arial" w:hint="default"/>
      </w:rPr>
    </w:lvl>
    <w:lvl w:ilvl="3" w:tplc="1034D730" w:tentative="1">
      <w:start w:val="1"/>
      <w:numFmt w:val="bullet"/>
      <w:lvlText w:val="•"/>
      <w:lvlJc w:val="left"/>
      <w:pPr>
        <w:tabs>
          <w:tab w:val="num" w:pos="2880"/>
        </w:tabs>
        <w:ind w:left="2880" w:hanging="360"/>
      </w:pPr>
      <w:rPr>
        <w:rFonts w:ascii="Arial" w:hAnsi="Arial" w:hint="default"/>
      </w:rPr>
    </w:lvl>
    <w:lvl w:ilvl="4" w:tplc="DC8C9986" w:tentative="1">
      <w:start w:val="1"/>
      <w:numFmt w:val="bullet"/>
      <w:lvlText w:val="•"/>
      <w:lvlJc w:val="left"/>
      <w:pPr>
        <w:tabs>
          <w:tab w:val="num" w:pos="3600"/>
        </w:tabs>
        <w:ind w:left="3600" w:hanging="360"/>
      </w:pPr>
      <w:rPr>
        <w:rFonts w:ascii="Arial" w:hAnsi="Arial" w:hint="default"/>
      </w:rPr>
    </w:lvl>
    <w:lvl w:ilvl="5" w:tplc="2C02D570" w:tentative="1">
      <w:start w:val="1"/>
      <w:numFmt w:val="bullet"/>
      <w:lvlText w:val="•"/>
      <w:lvlJc w:val="left"/>
      <w:pPr>
        <w:tabs>
          <w:tab w:val="num" w:pos="4320"/>
        </w:tabs>
        <w:ind w:left="4320" w:hanging="360"/>
      </w:pPr>
      <w:rPr>
        <w:rFonts w:ascii="Arial" w:hAnsi="Arial" w:hint="default"/>
      </w:rPr>
    </w:lvl>
    <w:lvl w:ilvl="6" w:tplc="B6567CE8" w:tentative="1">
      <w:start w:val="1"/>
      <w:numFmt w:val="bullet"/>
      <w:lvlText w:val="•"/>
      <w:lvlJc w:val="left"/>
      <w:pPr>
        <w:tabs>
          <w:tab w:val="num" w:pos="5040"/>
        </w:tabs>
        <w:ind w:left="5040" w:hanging="360"/>
      </w:pPr>
      <w:rPr>
        <w:rFonts w:ascii="Arial" w:hAnsi="Arial" w:hint="default"/>
      </w:rPr>
    </w:lvl>
    <w:lvl w:ilvl="7" w:tplc="641E3854" w:tentative="1">
      <w:start w:val="1"/>
      <w:numFmt w:val="bullet"/>
      <w:lvlText w:val="•"/>
      <w:lvlJc w:val="left"/>
      <w:pPr>
        <w:tabs>
          <w:tab w:val="num" w:pos="5760"/>
        </w:tabs>
        <w:ind w:left="5760" w:hanging="360"/>
      </w:pPr>
      <w:rPr>
        <w:rFonts w:ascii="Arial" w:hAnsi="Arial" w:hint="default"/>
      </w:rPr>
    </w:lvl>
    <w:lvl w:ilvl="8" w:tplc="4F4C824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58"/>
    <w:rsid w:val="00005BCF"/>
    <w:rsid w:val="000374E2"/>
    <w:rsid w:val="000818B5"/>
    <w:rsid w:val="00163CC6"/>
    <w:rsid w:val="002E0B28"/>
    <w:rsid w:val="002F149A"/>
    <w:rsid w:val="003372A9"/>
    <w:rsid w:val="003423A1"/>
    <w:rsid w:val="003B4758"/>
    <w:rsid w:val="00435946"/>
    <w:rsid w:val="004B19E7"/>
    <w:rsid w:val="004C27B0"/>
    <w:rsid w:val="004F056E"/>
    <w:rsid w:val="00500468"/>
    <w:rsid w:val="00516E56"/>
    <w:rsid w:val="0056126A"/>
    <w:rsid w:val="005718EA"/>
    <w:rsid w:val="005C5A81"/>
    <w:rsid w:val="005F0C4E"/>
    <w:rsid w:val="006B1055"/>
    <w:rsid w:val="006B7CC5"/>
    <w:rsid w:val="006E3573"/>
    <w:rsid w:val="007312D0"/>
    <w:rsid w:val="007E4D7C"/>
    <w:rsid w:val="00807B94"/>
    <w:rsid w:val="00915D55"/>
    <w:rsid w:val="00954458"/>
    <w:rsid w:val="009D3764"/>
    <w:rsid w:val="009E278B"/>
    <w:rsid w:val="00A4351D"/>
    <w:rsid w:val="00A67D9B"/>
    <w:rsid w:val="00A84038"/>
    <w:rsid w:val="00A903A0"/>
    <w:rsid w:val="00AB3AE8"/>
    <w:rsid w:val="00AF44EF"/>
    <w:rsid w:val="00B0282B"/>
    <w:rsid w:val="00B31BB3"/>
    <w:rsid w:val="00B343C3"/>
    <w:rsid w:val="00B71762"/>
    <w:rsid w:val="00B9413B"/>
    <w:rsid w:val="00BB12AB"/>
    <w:rsid w:val="00C1453F"/>
    <w:rsid w:val="00C2086F"/>
    <w:rsid w:val="00C75ACE"/>
    <w:rsid w:val="00C75C44"/>
    <w:rsid w:val="00C94F0D"/>
    <w:rsid w:val="00D43ACE"/>
    <w:rsid w:val="00D96E05"/>
    <w:rsid w:val="00DC24A6"/>
    <w:rsid w:val="00E229A0"/>
    <w:rsid w:val="00E34DA9"/>
    <w:rsid w:val="00E46867"/>
    <w:rsid w:val="00EA28EF"/>
    <w:rsid w:val="00F56600"/>
    <w:rsid w:val="00F71704"/>
    <w:rsid w:val="00F840BA"/>
    <w:rsid w:val="00FE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58"/>
    <w:rPr>
      <w:rFonts w:ascii="Tahoma" w:hAnsi="Tahoma" w:cs="Tahoma"/>
      <w:sz w:val="16"/>
      <w:szCs w:val="16"/>
    </w:rPr>
  </w:style>
  <w:style w:type="character" w:styleId="CommentReference">
    <w:name w:val="annotation reference"/>
    <w:basedOn w:val="DefaultParagraphFont"/>
    <w:uiPriority w:val="99"/>
    <w:semiHidden/>
    <w:unhideWhenUsed/>
    <w:rsid w:val="000374E2"/>
    <w:rPr>
      <w:sz w:val="16"/>
      <w:szCs w:val="16"/>
    </w:rPr>
  </w:style>
  <w:style w:type="paragraph" w:styleId="CommentText">
    <w:name w:val="annotation text"/>
    <w:basedOn w:val="Normal"/>
    <w:link w:val="CommentTextChar"/>
    <w:uiPriority w:val="99"/>
    <w:semiHidden/>
    <w:unhideWhenUsed/>
    <w:rsid w:val="000374E2"/>
    <w:pPr>
      <w:spacing w:line="240" w:lineRule="auto"/>
    </w:pPr>
    <w:rPr>
      <w:sz w:val="20"/>
      <w:szCs w:val="20"/>
    </w:rPr>
  </w:style>
  <w:style w:type="character" w:customStyle="1" w:styleId="CommentTextChar">
    <w:name w:val="Comment Text Char"/>
    <w:basedOn w:val="DefaultParagraphFont"/>
    <w:link w:val="CommentText"/>
    <w:uiPriority w:val="99"/>
    <w:semiHidden/>
    <w:rsid w:val="000374E2"/>
    <w:rPr>
      <w:sz w:val="20"/>
      <w:szCs w:val="20"/>
    </w:rPr>
  </w:style>
  <w:style w:type="paragraph" w:styleId="CommentSubject">
    <w:name w:val="annotation subject"/>
    <w:basedOn w:val="CommentText"/>
    <w:next w:val="CommentText"/>
    <w:link w:val="CommentSubjectChar"/>
    <w:uiPriority w:val="99"/>
    <w:semiHidden/>
    <w:unhideWhenUsed/>
    <w:rsid w:val="000374E2"/>
    <w:rPr>
      <w:b/>
      <w:bCs/>
    </w:rPr>
  </w:style>
  <w:style w:type="character" w:customStyle="1" w:styleId="CommentSubjectChar">
    <w:name w:val="Comment Subject Char"/>
    <w:basedOn w:val="CommentTextChar"/>
    <w:link w:val="CommentSubject"/>
    <w:uiPriority w:val="99"/>
    <w:semiHidden/>
    <w:rsid w:val="000374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58"/>
    <w:rPr>
      <w:rFonts w:ascii="Tahoma" w:hAnsi="Tahoma" w:cs="Tahoma"/>
      <w:sz w:val="16"/>
      <w:szCs w:val="16"/>
    </w:rPr>
  </w:style>
  <w:style w:type="character" w:styleId="CommentReference">
    <w:name w:val="annotation reference"/>
    <w:basedOn w:val="DefaultParagraphFont"/>
    <w:uiPriority w:val="99"/>
    <w:semiHidden/>
    <w:unhideWhenUsed/>
    <w:rsid w:val="000374E2"/>
    <w:rPr>
      <w:sz w:val="16"/>
      <w:szCs w:val="16"/>
    </w:rPr>
  </w:style>
  <w:style w:type="paragraph" w:styleId="CommentText">
    <w:name w:val="annotation text"/>
    <w:basedOn w:val="Normal"/>
    <w:link w:val="CommentTextChar"/>
    <w:uiPriority w:val="99"/>
    <w:semiHidden/>
    <w:unhideWhenUsed/>
    <w:rsid w:val="000374E2"/>
    <w:pPr>
      <w:spacing w:line="240" w:lineRule="auto"/>
    </w:pPr>
    <w:rPr>
      <w:sz w:val="20"/>
      <w:szCs w:val="20"/>
    </w:rPr>
  </w:style>
  <w:style w:type="character" w:customStyle="1" w:styleId="CommentTextChar">
    <w:name w:val="Comment Text Char"/>
    <w:basedOn w:val="DefaultParagraphFont"/>
    <w:link w:val="CommentText"/>
    <w:uiPriority w:val="99"/>
    <w:semiHidden/>
    <w:rsid w:val="000374E2"/>
    <w:rPr>
      <w:sz w:val="20"/>
      <w:szCs w:val="20"/>
    </w:rPr>
  </w:style>
  <w:style w:type="paragraph" w:styleId="CommentSubject">
    <w:name w:val="annotation subject"/>
    <w:basedOn w:val="CommentText"/>
    <w:next w:val="CommentText"/>
    <w:link w:val="CommentSubjectChar"/>
    <w:uiPriority w:val="99"/>
    <w:semiHidden/>
    <w:unhideWhenUsed/>
    <w:rsid w:val="000374E2"/>
    <w:rPr>
      <w:b/>
      <w:bCs/>
    </w:rPr>
  </w:style>
  <w:style w:type="character" w:customStyle="1" w:styleId="CommentSubjectChar">
    <w:name w:val="Comment Subject Char"/>
    <w:basedOn w:val="CommentTextChar"/>
    <w:link w:val="CommentSubject"/>
    <w:uiPriority w:val="99"/>
    <w:semiHidden/>
    <w:rsid w:val="000374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image" Target="media/image1.png"/>
  <Relationship Id="rId8" Type="http://schemas.openxmlformats.org/officeDocument/2006/relationships/chart" Target="charts/chart1.xml"/>
  <Relationship Id="rId9" Type="http://schemas.openxmlformats.org/officeDocument/2006/relationships/chart" Target="charts/chart2.xml"/>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b="1" i="0" baseline="0">
                <a:effectLst/>
              </a:rPr>
              <a:t>Figure 1. Percentage of MA workers classified as obese, by occupation group, 2012-2013</a:t>
            </a:r>
            <a:endParaRPr lang="en-US" sz="1200">
              <a:effectLst/>
            </a:endParaRPr>
          </a:p>
        </c:rich>
      </c:tx>
      <c:overlay val="0"/>
    </c:title>
    <c:autoTitleDeleted val="0"/>
    <c:plotArea>
      <c:layout/>
      <c:barChart>
        <c:barDir val="bar"/>
        <c:grouping val="clustered"/>
        <c:varyColors val="0"/>
        <c:ser>
          <c:idx val="0"/>
          <c:order val="0"/>
          <c:tx>
            <c:strRef>
              <c:f>Sheet1!$B$1</c:f>
              <c:strCache>
                <c:ptCount val="1"/>
                <c:pt idx="0">
                  <c:v>%</c:v>
                </c:pt>
              </c:strCache>
            </c:strRef>
          </c:tx>
          <c:spPr>
            <a:solidFill>
              <a:srgbClr val="0070C0"/>
            </a:solidFill>
            <a:ln>
              <a:solidFill>
                <a:srgbClr val="0070C0"/>
              </a:solidFill>
            </a:ln>
          </c:spPr>
          <c:invertIfNegative val="0"/>
          <c:dPt>
            <c:idx val="0"/>
            <c:invertIfNegative val="0"/>
            <c:bubble3D val="0"/>
            <c:spPr>
              <a:solidFill>
                <a:srgbClr val="376092"/>
              </a:solidFill>
              <a:ln>
                <a:solidFill>
                  <a:srgbClr val="0070C0"/>
                </a:solidFill>
              </a:ln>
            </c:spPr>
          </c:dPt>
          <c:dPt>
            <c:idx val="1"/>
            <c:invertIfNegative val="0"/>
            <c:bubble3D val="0"/>
            <c:spPr>
              <a:solidFill>
                <a:srgbClr val="8CADD4"/>
              </a:solidFill>
              <a:ln>
                <a:solidFill>
                  <a:srgbClr val="0070C0"/>
                </a:solidFill>
              </a:ln>
            </c:spPr>
          </c:dPt>
          <c:dPt>
            <c:idx val="2"/>
            <c:invertIfNegative val="0"/>
            <c:bubble3D val="0"/>
            <c:spPr>
              <a:solidFill>
                <a:srgbClr val="376092"/>
              </a:solidFill>
              <a:ln>
                <a:solidFill>
                  <a:srgbClr val="0070C0"/>
                </a:solidFill>
              </a:ln>
            </c:spPr>
          </c:dPt>
          <c:dPt>
            <c:idx val="3"/>
            <c:invertIfNegative val="0"/>
            <c:bubble3D val="0"/>
            <c:spPr>
              <a:solidFill>
                <a:srgbClr val="8CADD4"/>
              </a:solidFill>
              <a:ln>
                <a:solidFill>
                  <a:srgbClr val="0070C0"/>
                </a:solidFill>
              </a:ln>
            </c:spPr>
          </c:dPt>
          <c:dPt>
            <c:idx val="4"/>
            <c:invertIfNegative val="0"/>
            <c:bubble3D val="0"/>
            <c:spPr>
              <a:solidFill>
                <a:srgbClr val="376092"/>
              </a:solidFill>
              <a:ln>
                <a:solidFill>
                  <a:srgbClr val="0070C0"/>
                </a:solidFill>
              </a:ln>
            </c:spPr>
          </c:dPt>
          <c:dPt>
            <c:idx val="5"/>
            <c:invertIfNegative val="0"/>
            <c:bubble3D val="0"/>
            <c:spPr>
              <a:solidFill>
                <a:srgbClr val="8CADD4"/>
              </a:solidFill>
              <a:ln>
                <a:solidFill>
                  <a:srgbClr val="0070C0"/>
                </a:solidFill>
              </a:ln>
            </c:spPr>
          </c:dPt>
          <c:dPt>
            <c:idx val="6"/>
            <c:invertIfNegative val="0"/>
            <c:bubble3D val="0"/>
            <c:spPr>
              <a:solidFill>
                <a:srgbClr val="8CADD4"/>
              </a:solidFill>
              <a:ln>
                <a:solidFill>
                  <a:srgbClr val="0070C0"/>
                </a:solidFill>
              </a:ln>
            </c:spPr>
          </c:dPt>
          <c:dPt>
            <c:idx val="7"/>
            <c:invertIfNegative val="0"/>
            <c:bubble3D val="0"/>
            <c:spPr>
              <a:solidFill>
                <a:srgbClr val="8CADD4"/>
              </a:solidFill>
              <a:ln>
                <a:solidFill>
                  <a:srgbClr val="0070C0"/>
                </a:solidFill>
              </a:ln>
            </c:spPr>
          </c:dPt>
          <c:dPt>
            <c:idx val="8"/>
            <c:invertIfNegative val="0"/>
            <c:bubble3D val="0"/>
            <c:spPr>
              <a:solidFill>
                <a:srgbClr val="8CADD4"/>
              </a:solidFill>
              <a:ln>
                <a:solidFill>
                  <a:srgbClr val="0070C0"/>
                </a:solidFill>
              </a:ln>
            </c:spPr>
          </c:dPt>
          <c:dPt>
            <c:idx val="9"/>
            <c:invertIfNegative val="0"/>
            <c:bubble3D val="0"/>
            <c:spPr>
              <a:solidFill>
                <a:srgbClr val="376092"/>
              </a:solidFill>
              <a:ln>
                <a:solidFill>
                  <a:srgbClr val="0070C0"/>
                </a:solidFill>
              </a:ln>
            </c:spPr>
          </c:dPt>
          <c:dPt>
            <c:idx val="10"/>
            <c:invertIfNegative val="0"/>
            <c:bubble3D val="0"/>
            <c:spPr>
              <a:solidFill>
                <a:srgbClr val="376092"/>
              </a:solidFill>
              <a:ln>
                <a:solidFill>
                  <a:srgbClr val="0070C0"/>
                </a:solidFill>
              </a:ln>
            </c:spPr>
          </c:dPt>
          <c:dPt>
            <c:idx val="11"/>
            <c:invertIfNegative val="0"/>
            <c:bubble3D val="0"/>
            <c:spPr>
              <a:solidFill>
                <a:srgbClr val="F0F5FA"/>
              </a:solidFill>
              <a:ln>
                <a:solidFill>
                  <a:srgbClr val="0070C0"/>
                </a:solidFill>
              </a:ln>
            </c:spPr>
          </c:dPt>
          <c:dPt>
            <c:idx val="12"/>
            <c:invertIfNegative val="0"/>
            <c:bubble3D val="0"/>
            <c:spPr>
              <a:solidFill>
                <a:srgbClr val="8CADD4"/>
              </a:solidFill>
              <a:ln>
                <a:solidFill>
                  <a:srgbClr val="0070C0"/>
                </a:solidFill>
              </a:ln>
            </c:spPr>
          </c:dPt>
          <c:dPt>
            <c:idx val="13"/>
            <c:invertIfNegative val="0"/>
            <c:bubble3D val="0"/>
            <c:spPr>
              <a:solidFill>
                <a:srgbClr val="F0F5FA"/>
              </a:solidFill>
              <a:ln>
                <a:solidFill>
                  <a:srgbClr val="0070C0"/>
                </a:solidFill>
              </a:ln>
            </c:spPr>
          </c:dPt>
          <c:dPt>
            <c:idx val="14"/>
            <c:invertIfNegative val="0"/>
            <c:bubble3D val="0"/>
            <c:spPr>
              <a:solidFill>
                <a:srgbClr val="8CADD4"/>
              </a:solidFill>
              <a:ln>
                <a:solidFill>
                  <a:srgbClr val="0070C0"/>
                </a:solidFill>
              </a:ln>
            </c:spPr>
          </c:dPt>
          <c:dPt>
            <c:idx val="15"/>
            <c:invertIfNegative val="0"/>
            <c:bubble3D val="0"/>
            <c:spPr>
              <a:pattFill prst="wdUpDiag">
                <a:fgClr>
                  <a:srgbClr val="0070C0"/>
                </a:fgClr>
                <a:bgClr>
                  <a:schemeClr val="bg1"/>
                </a:bgClr>
              </a:pattFill>
              <a:ln>
                <a:solidFill>
                  <a:srgbClr val="0070C0"/>
                </a:solidFill>
              </a:ln>
            </c:spPr>
          </c:dPt>
          <c:dLbls>
            <c:dLbl>
              <c:idx val="0"/>
              <c:layout>
                <c:manualLayout>
                  <c:x val="5.8879392212725548E-2"/>
                  <c:y val="0"/>
                </c:manualLayout>
              </c:layout>
              <c:dLblPos val="outEnd"/>
              <c:showLegendKey val="0"/>
              <c:showVal val="1"/>
              <c:showCatName val="0"/>
              <c:showSerName val="0"/>
              <c:showPercent val="0"/>
              <c:showBubbleSize val="0"/>
            </c:dLbl>
            <c:dLbl>
              <c:idx val="1"/>
              <c:layout>
                <c:manualLayout>
                  <c:x val="5.6980056980056981E-2"/>
                  <c:y val="0"/>
                </c:manualLayout>
              </c:layout>
              <c:dLblPos val="outEnd"/>
              <c:showLegendKey val="0"/>
              <c:showVal val="1"/>
              <c:showCatName val="0"/>
              <c:showSerName val="0"/>
              <c:showPercent val="0"/>
              <c:showBubbleSize val="0"/>
            </c:dLbl>
            <c:dLbl>
              <c:idx val="2"/>
              <c:layout>
                <c:manualLayout>
                  <c:x val="8.1671415004748338E-2"/>
                  <c:y val="0"/>
                </c:manualLayout>
              </c:layout>
              <c:dLblPos val="outEnd"/>
              <c:showLegendKey val="0"/>
              <c:showVal val="1"/>
              <c:showCatName val="0"/>
              <c:showSerName val="0"/>
              <c:showPercent val="0"/>
              <c:showBubbleSize val="0"/>
            </c:dLbl>
            <c:dLbl>
              <c:idx val="3"/>
              <c:layout>
                <c:manualLayout>
                  <c:x val="4.5584045584045586E-2"/>
                  <c:y val="0"/>
                </c:manualLayout>
              </c:layout>
              <c:dLblPos val="outEnd"/>
              <c:showLegendKey val="0"/>
              <c:showVal val="1"/>
              <c:showCatName val="0"/>
              <c:showSerName val="0"/>
              <c:showPercent val="0"/>
              <c:showBubbleSize val="0"/>
            </c:dLbl>
            <c:dLbl>
              <c:idx val="4"/>
              <c:layout>
                <c:manualLayout>
                  <c:x val="3.6087369420702751E-2"/>
                  <c:y val="0"/>
                </c:manualLayout>
              </c:layout>
              <c:dLblPos val="outEnd"/>
              <c:showLegendKey val="0"/>
              <c:showVal val="1"/>
              <c:showCatName val="0"/>
              <c:showSerName val="0"/>
              <c:showPercent val="0"/>
              <c:showBubbleSize val="0"/>
            </c:dLbl>
            <c:dLbl>
              <c:idx val="5"/>
              <c:layout>
                <c:manualLayout>
                  <c:x val="3.4188034188034191E-2"/>
                  <c:y val="7.6150037580680326E-17"/>
                </c:manualLayout>
              </c:layout>
              <c:dLblPos val="outEnd"/>
              <c:showLegendKey val="0"/>
              <c:showVal val="1"/>
              <c:showCatName val="0"/>
              <c:showSerName val="0"/>
              <c:showPercent val="0"/>
              <c:showBubbleSize val="0"/>
            </c:dLbl>
            <c:dLbl>
              <c:idx val="6"/>
              <c:layout>
                <c:manualLayout>
                  <c:x val="5.5080721747388414E-2"/>
                  <c:y val="0"/>
                </c:manualLayout>
              </c:layout>
              <c:dLblPos val="outEnd"/>
              <c:showLegendKey val="0"/>
              <c:showVal val="1"/>
              <c:showCatName val="0"/>
              <c:showSerName val="0"/>
              <c:showPercent val="0"/>
              <c:showBubbleSize val="0"/>
            </c:dLbl>
            <c:dLbl>
              <c:idx val="7"/>
              <c:layout>
                <c:manualLayout>
                  <c:x val="5.8879392212725548E-2"/>
                  <c:y val="0"/>
                </c:manualLayout>
              </c:layout>
              <c:dLblPos val="outEnd"/>
              <c:showLegendKey val="0"/>
              <c:showVal val="1"/>
              <c:showCatName val="0"/>
              <c:showSerName val="0"/>
              <c:showPercent val="0"/>
              <c:showBubbleSize val="0"/>
            </c:dLbl>
            <c:dLbl>
              <c:idx val="8"/>
              <c:layout>
                <c:manualLayout>
                  <c:x val="5.8879392212725548E-2"/>
                  <c:y val="0"/>
                </c:manualLayout>
              </c:layout>
              <c:dLblPos val="outEnd"/>
              <c:showLegendKey val="0"/>
              <c:showVal val="1"/>
              <c:showCatName val="0"/>
              <c:showSerName val="0"/>
              <c:showPercent val="0"/>
              <c:showBubbleSize val="0"/>
            </c:dLbl>
            <c:dLbl>
              <c:idx val="9"/>
              <c:layout>
                <c:manualLayout>
                  <c:x val="9.1168091168091173E-2"/>
                  <c:y val="0"/>
                </c:manualLayout>
              </c:layout>
              <c:dLblPos val="outEnd"/>
              <c:showLegendKey val="0"/>
              <c:showVal val="1"/>
              <c:showCatName val="0"/>
              <c:showSerName val="0"/>
              <c:showPercent val="0"/>
              <c:showBubbleSize val="0"/>
            </c:dLbl>
            <c:dLbl>
              <c:idx val="10"/>
              <c:layout>
                <c:manualLayout>
                  <c:x val="7.407407407407407E-2"/>
                  <c:y val="0"/>
                </c:manualLayout>
              </c:layout>
              <c:dLblPos val="outEnd"/>
              <c:showLegendKey val="0"/>
              <c:showVal val="1"/>
              <c:showCatName val="0"/>
              <c:showSerName val="0"/>
              <c:showPercent val="0"/>
              <c:showBubbleSize val="0"/>
            </c:dLbl>
            <c:dLbl>
              <c:idx val="11"/>
              <c:layout>
                <c:manualLayout>
                  <c:x val="2.0892687559354226E-2"/>
                  <c:y val="0"/>
                </c:manualLayout>
              </c:layout>
              <c:dLblPos val="outEnd"/>
              <c:showLegendKey val="0"/>
              <c:showVal val="1"/>
              <c:showCatName val="0"/>
              <c:showSerName val="0"/>
              <c:showPercent val="0"/>
              <c:showBubbleSize val="0"/>
            </c:dLbl>
            <c:dLbl>
              <c:idx val="12"/>
              <c:layout>
                <c:manualLayout>
                  <c:x val="2.8490028490028491E-2"/>
                  <c:y val="0"/>
                </c:manualLayout>
              </c:layout>
              <c:dLblPos val="outEnd"/>
              <c:showLegendKey val="0"/>
              <c:showVal val="1"/>
              <c:showCatName val="0"/>
              <c:showSerName val="0"/>
              <c:showPercent val="0"/>
              <c:showBubbleSize val="0"/>
            </c:dLbl>
            <c:dLbl>
              <c:idx val="13"/>
              <c:layout>
                <c:manualLayout>
                  <c:x val="2.8490028490028491E-2"/>
                  <c:y val="-2.0768431983385254E-3"/>
                </c:manualLayout>
              </c:layout>
              <c:dLblPos val="outEnd"/>
              <c:showLegendKey val="0"/>
              <c:showVal val="1"/>
              <c:showCatName val="0"/>
              <c:showSerName val="0"/>
              <c:showPercent val="0"/>
              <c:showBubbleSize val="0"/>
            </c:dLbl>
            <c:dLbl>
              <c:idx val="14"/>
              <c:layout>
                <c:manualLayout>
                  <c:x val="2.2792022792022793E-2"/>
                  <c:y val="-1.9037509395170081E-17"/>
                </c:manualLayout>
              </c:layout>
              <c:dLblPos val="outEnd"/>
              <c:showLegendKey val="0"/>
              <c:showVal val="1"/>
              <c:showCatName val="0"/>
              <c:showSerName val="0"/>
              <c:showPercent val="0"/>
              <c:showBubbleSize val="0"/>
            </c:dLbl>
            <c:dLbl>
              <c:idx val="15"/>
              <c:layout>
                <c:manualLayout>
                  <c:x val="1.1396011396011397E-2"/>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Sheet1!$E$2:$E$17</c:f>
                <c:numCache>
                  <c:formatCode>General</c:formatCode>
                  <c:ptCount val="16"/>
                  <c:pt idx="0">
                    <c:v>6.2000000000000028</c:v>
                  </c:pt>
                  <c:pt idx="1">
                    <c:v>5.3650999999999982</c:v>
                  </c:pt>
                  <c:pt idx="2">
                    <c:v>7.975200000000001</c:v>
                  </c:pt>
                  <c:pt idx="3">
                    <c:v>4.0799000000000021</c:v>
                  </c:pt>
                  <c:pt idx="4">
                    <c:v>3.3402999999999992</c:v>
                  </c:pt>
                  <c:pt idx="5">
                    <c:v>3.3430999999999997</c:v>
                  </c:pt>
                  <c:pt idx="6">
                    <c:v>5.197499999999998</c:v>
                  </c:pt>
                  <c:pt idx="7">
                    <c:v>5.6885999999999974</c:v>
                  </c:pt>
                  <c:pt idx="8">
                    <c:v>5.9355999999999973</c:v>
                  </c:pt>
                  <c:pt idx="9">
                    <c:v>8.7706999999999979</c:v>
                  </c:pt>
                  <c:pt idx="10">
                    <c:v>7.3575999999999979</c:v>
                  </c:pt>
                  <c:pt idx="11">
                    <c:v>2.0277999999999992</c:v>
                  </c:pt>
                  <c:pt idx="12">
                    <c:v>2.8999000000000024</c:v>
                  </c:pt>
                  <c:pt idx="13">
                    <c:v>2.8936999999999991</c:v>
                  </c:pt>
                  <c:pt idx="14">
                    <c:v>2.3617999999999988</c:v>
                  </c:pt>
                  <c:pt idx="15">
                    <c:v>1.0106999999999999</c:v>
                  </c:pt>
                </c:numCache>
              </c:numRef>
            </c:plus>
            <c:minus>
              <c:numRef>
                <c:f>Sheet1!$F$2:$F$17</c:f>
                <c:numCache>
                  <c:formatCode>General</c:formatCode>
                  <c:ptCount val="16"/>
                  <c:pt idx="0">
                    <c:v>6.0999999999999979</c:v>
                  </c:pt>
                  <c:pt idx="1">
                    <c:v>5.3651000000000018</c:v>
                  </c:pt>
                  <c:pt idx="2">
                    <c:v>7.9752999999999972</c:v>
                  </c:pt>
                  <c:pt idx="3">
                    <c:v>4.0798999999999985</c:v>
                  </c:pt>
                  <c:pt idx="4">
                    <c:v>3.3402999999999992</c:v>
                  </c:pt>
                  <c:pt idx="5">
                    <c:v>3.3431999999999995</c:v>
                  </c:pt>
                  <c:pt idx="6">
                    <c:v>5.1975000000000016</c:v>
                  </c:pt>
                  <c:pt idx="7">
                    <c:v>5.688600000000001</c:v>
                  </c:pt>
                  <c:pt idx="8">
                    <c:v>5.9356000000000009</c:v>
                  </c:pt>
                  <c:pt idx="9">
                    <c:v>8.7708000000000013</c:v>
                  </c:pt>
                  <c:pt idx="10">
                    <c:v>7.3575999999999979</c:v>
                  </c:pt>
                  <c:pt idx="11">
                    <c:v>2.0277999999999992</c:v>
                  </c:pt>
                  <c:pt idx="12">
                    <c:v>2.899799999999999</c:v>
                  </c:pt>
                  <c:pt idx="13">
                    <c:v>2.8937000000000008</c:v>
                  </c:pt>
                  <c:pt idx="14">
                    <c:v>2.3617000000000026</c:v>
                  </c:pt>
                  <c:pt idx="15">
                    <c:v>1.0106999999999999</c:v>
                  </c:pt>
                </c:numCache>
              </c:numRef>
            </c:minus>
            <c:spPr>
              <a:ln w="15875"/>
            </c:spPr>
          </c:errBars>
          <c:cat>
            <c:strRef>
              <c:f>Sheet1!$A$2:$A$17</c:f>
              <c:strCache>
                <c:ptCount val="16"/>
                <c:pt idx="0">
                  <c:v>Transportation &amp; Material Moving</c:v>
                </c:pt>
                <c:pt idx="1">
                  <c:v>Production</c:v>
                </c:pt>
                <c:pt idx="2">
                  <c:v>Installation, Repair, &amp; Maintenance</c:v>
                </c:pt>
                <c:pt idx="3">
                  <c:v>Construction &amp; Extraction</c:v>
                </c:pt>
                <c:pt idx="4">
                  <c:v>Office &amp; Administrative Support</c:v>
                </c:pt>
                <c:pt idx="5">
                  <c:v>Sales &amp; Related</c:v>
                </c:pt>
                <c:pt idx="6">
                  <c:v>Service - Personal Care &amp; Service</c:v>
                </c:pt>
                <c:pt idx="7">
                  <c:v>Service - Building &amp; Grounds Cleaning &amp; Maintenance</c:v>
                </c:pt>
                <c:pt idx="8">
                  <c:v>Service - Food Prep &amp; Serving Related</c:v>
                </c:pt>
                <c:pt idx="9">
                  <c:v>Service - Protective Service</c:v>
                </c:pt>
                <c:pt idx="10">
                  <c:v>Service - Healthcare Support</c:v>
                </c:pt>
                <c:pt idx="11">
                  <c:v>Professional - Other</c:v>
                </c:pt>
                <c:pt idx="12">
                  <c:v>Professional - Healthcare Practitioners &amp; Technical</c:v>
                </c:pt>
                <c:pt idx="13">
                  <c:v>Professional - Education, Training, &amp; Library</c:v>
                </c:pt>
                <c:pt idx="14">
                  <c:v>Management, Business &amp; Financial Operations</c:v>
                </c:pt>
                <c:pt idx="15">
                  <c:v>All Workers</c:v>
                </c:pt>
              </c:strCache>
            </c:strRef>
          </c:cat>
          <c:val>
            <c:numRef>
              <c:f>Sheet1!$B$2:$B$17</c:f>
              <c:numCache>
                <c:formatCode>0.0</c:formatCode>
                <c:ptCount val="16"/>
                <c:pt idx="0">
                  <c:v>37.4</c:v>
                </c:pt>
                <c:pt idx="1">
                  <c:v>23.506900000000002</c:v>
                </c:pt>
                <c:pt idx="2">
                  <c:v>38.541899999999998</c:v>
                </c:pt>
                <c:pt idx="3">
                  <c:v>21.148499999999999</c:v>
                </c:pt>
                <c:pt idx="4">
                  <c:v>28.4633</c:v>
                </c:pt>
                <c:pt idx="5">
                  <c:v>25.501899999999999</c:v>
                </c:pt>
                <c:pt idx="6">
                  <c:v>20.133800000000001</c:v>
                </c:pt>
                <c:pt idx="7">
                  <c:v>20.638300000000001</c:v>
                </c:pt>
                <c:pt idx="8">
                  <c:v>24.311900000000001</c:v>
                </c:pt>
                <c:pt idx="9">
                  <c:v>33.016500000000001</c:v>
                </c:pt>
                <c:pt idx="10">
                  <c:v>35.033999999999999</c:v>
                </c:pt>
                <c:pt idx="11">
                  <c:v>18.128399999999999</c:v>
                </c:pt>
                <c:pt idx="12">
                  <c:v>20.38</c:v>
                </c:pt>
                <c:pt idx="13">
                  <c:v>18.609500000000001</c:v>
                </c:pt>
                <c:pt idx="14">
                  <c:v>21.885000000000002</c:v>
                </c:pt>
                <c:pt idx="15">
                  <c:v>23.6782</c:v>
                </c:pt>
              </c:numCache>
            </c:numRef>
          </c:val>
        </c:ser>
        <c:dLbls>
          <c:dLblPos val="outEnd"/>
          <c:showLegendKey val="0"/>
          <c:showVal val="1"/>
          <c:showCatName val="0"/>
          <c:showSerName val="0"/>
          <c:showPercent val="0"/>
          <c:showBubbleSize val="0"/>
        </c:dLbls>
        <c:gapWidth val="150"/>
        <c:axId val="151966080"/>
        <c:axId val="151967616"/>
      </c:barChart>
      <c:catAx>
        <c:axId val="151966080"/>
        <c:scaling>
          <c:orientation val="minMax"/>
        </c:scaling>
        <c:delete val="0"/>
        <c:axPos val="l"/>
        <c:majorTickMark val="none"/>
        <c:minorTickMark val="none"/>
        <c:tickLblPos val="nextTo"/>
        <c:crossAx val="151967616"/>
        <c:crosses val="autoZero"/>
        <c:auto val="1"/>
        <c:lblAlgn val="ctr"/>
        <c:lblOffset val="100"/>
        <c:noMultiLvlLbl val="0"/>
      </c:catAx>
      <c:valAx>
        <c:axId val="151967616"/>
        <c:scaling>
          <c:orientation val="minMax"/>
        </c:scaling>
        <c:delete val="0"/>
        <c:axPos val="b"/>
        <c:majorGridlines>
          <c:spPr>
            <a:ln>
              <a:noFill/>
            </a:ln>
          </c:spPr>
        </c:majorGridlines>
        <c:title>
          <c:tx>
            <c:rich>
              <a:bodyPr/>
              <a:lstStyle/>
              <a:p>
                <a:pPr>
                  <a:defRPr/>
                </a:pPr>
                <a:r>
                  <a:rPr lang="en-US"/>
                  <a:t>% obese</a:t>
                </a:r>
              </a:p>
            </c:rich>
          </c:tx>
          <c:overlay val="0"/>
        </c:title>
        <c:numFmt formatCode="0.0" sourceLinked="1"/>
        <c:majorTickMark val="none"/>
        <c:minorTickMark val="none"/>
        <c:tickLblPos val="nextTo"/>
        <c:crossAx val="151966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2. Obesity among MA workers, by industry group, 2012-2013</a:t>
            </a:r>
            <a:endParaRPr lang="en-US" sz="1200">
              <a:effectLst/>
            </a:endParaRPr>
          </a:p>
        </c:rich>
      </c:tx>
      <c:overlay val="0"/>
    </c:title>
    <c:autoTitleDeleted val="0"/>
    <c:plotArea>
      <c:layout>
        <c:manualLayout>
          <c:layoutTarget val="inner"/>
          <c:xMode val="edge"/>
          <c:yMode val="edge"/>
          <c:x val="0.38842486083265199"/>
          <c:y val="8.5928123250521668E-2"/>
          <c:w val="0.58109623921476383"/>
          <c:h val="0.83641008862811816"/>
        </c:manualLayout>
      </c:layout>
      <c:barChart>
        <c:barDir val="bar"/>
        <c:grouping val="clustered"/>
        <c:varyColors val="0"/>
        <c:ser>
          <c:idx val="0"/>
          <c:order val="0"/>
          <c:tx>
            <c:strRef>
              <c:f>Sheet1!$B$1</c:f>
              <c:strCache>
                <c:ptCount val="1"/>
                <c:pt idx="0">
                  <c:v>%</c:v>
                </c:pt>
              </c:strCache>
            </c:strRef>
          </c:tx>
          <c:spPr>
            <a:solidFill>
              <a:srgbClr val="00B050"/>
            </a:solidFill>
            <a:ln>
              <a:solidFill>
                <a:srgbClr val="00B050"/>
              </a:solidFill>
            </a:ln>
          </c:spPr>
          <c:invertIfNegative val="0"/>
          <c:dPt>
            <c:idx val="0"/>
            <c:invertIfNegative val="0"/>
            <c:bubble3D val="0"/>
            <c:spPr>
              <a:solidFill>
                <a:srgbClr val="005426"/>
              </a:solidFill>
              <a:ln>
                <a:solidFill>
                  <a:srgbClr val="00B050"/>
                </a:solidFill>
              </a:ln>
            </c:spPr>
          </c:dPt>
          <c:dPt>
            <c:idx val="3"/>
            <c:invertIfNegative val="0"/>
            <c:bubble3D val="0"/>
            <c:spPr>
              <a:solidFill>
                <a:srgbClr val="D7FACE"/>
              </a:solidFill>
              <a:ln>
                <a:solidFill>
                  <a:srgbClr val="00B050"/>
                </a:solidFill>
              </a:ln>
            </c:spPr>
          </c:dPt>
          <c:dPt>
            <c:idx val="5"/>
            <c:invertIfNegative val="0"/>
            <c:bubble3D val="0"/>
            <c:spPr>
              <a:solidFill>
                <a:srgbClr val="D7FACE"/>
              </a:solidFill>
              <a:ln>
                <a:solidFill>
                  <a:srgbClr val="00B050"/>
                </a:solidFill>
              </a:ln>
            </c:spPr>
          </c:dPt>
          <c:dPt>
            <c:idx val="7"/>
            <c:invertIfNegative val="0"/>
            <c:bubble3D val="0"/>
            <c:spPr>
              <a:solidFill>
                <a:srgbClr val="D7FACE"/>
              </a:solidFill>
              <a:ln>
                <a:solidFill>
                  <a:srgbClr val="00B050"/>
                </a:solidFill>
              </a:ln>
            </c:spPr>
          </c:dPt>
          <c:dPt>
            <c:idx val="11"/>
            <c:invertIfNegative val="0"/>
            <c:bubble3D val="0"/>
            <c:spPr>
              <a:solidFill>
                <a:srgbClr val="005426"/>
              </a:solidFill>
              <a:ln>
                <a:solidFill>
                  <a:srgbClr val="00B050"/>
                </a:solidFill>
              </a:ln>
            </c:spPr>
          </c:dPt>
          <c:dPt>
            <c:idx val="13"/>
            <c:invertIfNegative val="0"/>
            <c:bubble3D val="0"/>
            <c:spPr>
              <a:solidFill>
                <a:srgbClr val="005426"/>
              </a:solidFill>
              <a:ln>
                <a:solidFill>
                  <a:srgbClr val="00B050"/>
                </a:solidFill>
              </a:ln>
            </c:spPr>
          </c:dPt>
          <c:dPt>
            <c:idx val="18"/>
            <c:invertIfNegative val="0"/>
            <c:bubble3D val="0"/>
            <c:spPr>
              <a:pattFill prst="wdUpDiag">
                <a:fgClr>
                  <a:srgbClr val="00B050"/>
                </a:fgClr>
                <a:bgClr>
                  <a:schemeClr val="bg1"/>
                </a:bgClr>
              </a:pattFill>
              <a:ln>
                <a:solidFill>
                  <a:srgbClr val="00B050"/>
                </a:solidFill>
              </a:ln>
            </c:spPr>
          </c:dPt>
          <c:dLbls>
            <c:dLbl>
              <c:idx val="0"/>
              <c:layout>
                <c:manualLayout>
                  <c:x val="5.6899004267425321E-2"/>
                  <c:y val="0"/>
                </c:manualLayout>
              </c:layout>
              <c:dLblPos val="outEnd"/>
              <c:showLegendKey val="0"/>
              <c:showVal val="1"/>
              <c:showCatName val="0"/>
              <c:showSerName val="0"/>
              <c:showPercent val="0"/>
              <c:showBubbleSize val="0"/>
            </c:dLbl>
            <c:dLbl>
              <c:idx val="1"/>
              <c:layout>
                <c:manualLayout>
                  <c:x val="5.5002370791844474E-2"/>
                  <c:y val="0"/>
                </c:manualLayout>
              </c:layout>
              <c:dLblPos val="outEnd"/>
              <c:showLegendKey val="0"/>
              <c:showVal val="1"/>
              <c:showCatName val="0"/>
              <c:showSerName val="0"/>
              <c:showPercent val="0"/>
              <c:showBubbleSize val="0"/>
            </c:dLbl>
            <c:dLbl>
              <c:idx val="2"/>
              <c:layout>
                <c:manualLayout>
                  <c:x val="5.8795637743006161E-2"/>
                  <c:y val="0"/>
                </c:manualLayout>
              </c:layout>
              <c:dLblPos val="outEnd"/>
              <c:showLegendKey val="0"/>
              <c:showVal val="1"/>
              <c:showCatName val="0"/>
              <c:showSerName val="0"/>
              <c:showPercent val="0"/>
              <c:showBubbleSize val="0"/>
            </c:dLbl>
            <c:dLbl>
              <c:idx val="3"/>
              <c:layout>
                <c:manualLayout>
                  <c:x val="6.4485538169748696E-2"/>
                  <c:y val="0"/>
                </c:manualLayout>
              </c:layout>
              <c:dLblPos val="outEnd"/>
              <c:showLegendKey val="0"/>
              <c:showVal val="1"/>
              <c:showCatName val="0"/>
              <c:showSerName val="0"/>
              <c:showPercent val="0"/>
              <c:showBubbleSize val="0"/>
            </c:dLbl>
            <c:dLbl>
              <c:idx val="4"/>
              <c:layout>
                <c:manualLayout>
                  <c:x val="2.4656235182550973E-2"/>
                  <c:y val="0"/>
                </c:manualLayout>
              </c:layout>
              <c:dLblPos val="outEnd"/>
              <c:showLegendKey val="0"/>
              <c:showVal val="1"/>
              <c:showCatName val="0"/>
              <c:showSerName val="0"/>
              <c:showPercent val="0"/>
              <c:showBubbleSize val="0"/>
            </c:dLbl>
            <c:dLbl>
              <c:idx val="5"/>
              <c:layout>
                <c:manualLayout>
                  <c:x val="2.6552868658131817E-2"/>
                  <c:y val="0"/>
                </c:manualLayout>
              </c:layout>
              <c:dLblPos val="outEnd"/>
              <c:showLegendKey val="0"/>
              <c:showVal val="1"/>
              <c:showCatName val="0"/>
              <c:showSerName val="0"/>
              <c:showPercent val="0"/>
              <c:showBubbleSize val="0"/>
            </c:dLbl>
            <c:dLbl>
              <c:idx val="6"/>
              <c:layout>
                <c:manualLayout>
                  <c:x val="6.2588904694167849E-2"/>
                  <c:y val="0"/>
                </c:manualLayout>
              </c:layout>
              <c:dLblPos val="outEnd"/>
              <c:showLegendKey val="0"/>
              <c:showVal val="1"/>
              <c:showCatName val="0"/>
              <c:showSerName val="0"/>
              <c:showPercent val="0"/>
              <c:showBubbleSize val="0"/>
            </c:dLbl>
            <c:dLbl>
              <c:idx val="7"/>
              <c:layout>
                <c:manualLayout>
                  <c:x val="3.0346135609293504E-2"/>
                  <c:y val="0"/>
                </c:manualLayout>
              </c:layout>
              <c:dLblPos val="outEnd"/>
              <c:showLegendKey val="0"/>
              <c:showVal val="1"/>
              <c:showCatName val="0"/>
              <c:showSerName val="0"/>
              <c:showPercent val="0"/>
              <c:showBubbleSize val="0"/>
            </c:dLbl>
            <c:dLbl>
              <c:idx val="8"/>
              <c:layout>
                <c:manualLayout>
                  <c:x val="7.3968705547652919E-2"/>
                  <c:y val="-6.7712360286422121E-17"/>
                </c:manualLayout>
              </c:layout>
              <c:dLblPos val="outEnd"/>
              <c:showLegendKey val="0"/>
              <c:showVal val="1"/>
              <c:showCatName val="0"/>
              <c:showSerName val="0"/>
              <c:showPercent val="0"/>
              <c:showBubbleSize val="0"/>
            </c:dLbl>
            <c:dLbl>
              <c:idx val="9"/>
              <c:layout>
                <c:manualLayout>
                  <c:x val="4.3622569938359411E-2"/>
                  <c:y val="-1.8467220683287165E-3"/>
                </c:manualLayout>
              </c:layout>
              <c:dLblPos val="outEnd"/>
              <c:showLegendKey val="0"/>
              <c:showVal val="1"/>
              <c:showCatName val="0"/>
              <c:showSerName val="0"/>
              <c:showPercent val="0"/>
              <c:showBubbleSize val="0"/>
            </c:dLbl>
            <c:dLbl>
              <c:idx val="10"/>
              <c:layout>
                <c:manualLayout>
                  <c:x val="7.9658605974395447E-2"/>
                  <c:y val="-1.8467220683287165E-3"/>
                </c:manualLayout>
              </c:layout>
              <c:dLblPos val="outEnd"/>
              <c:showLegendKey val="0"/>
              <c:showVal val="1"/>
              <c:showCatName val="0"/>
              <c:showSerName val="0"/>
              <c:showPercent val="0"/>
              <c:showBubbleSize val="0"/>
            </c:dLbl>
            <c:dLbl>
              <c:idx val="11"/>
              <c:layout>
                <c:manualLayout>
                  <c:x val="7.3968705547652919E-2"/>
                  <c:y val="0"/>
                </c:manualLayout>
              </c:layout>
              <c:dLblPos val="outEnd"/>
              <c:showLegendKey val="0"/>
              <c:showVal val="1"/>
              <c:showCatName val="0"/>
              <c:showSerName val="0"/>
              <c:showPercent val="0"/>
              <c:showBubbleSize val="0"/>
            </c:dLbl>
            <c:dLbl>
              <c:idx val="12"/>
              <c:layout>
                <c:manualLayout>
                  <c:x val="4.5519203413940258E-2"/>
                  <c:y val="0"/>
                </c:manualLayout>
              </c:layout>
              <c:dLblPos val="outEnd"/>
              <c:showLegendKey val="0"/>
              <c:showVal val="1"/>
              <c:showCatName val="0"/>
              <c:showSerName val="0"/>
              <c:showPercent val="0"/>
              <c:showBubbleSize val="0"/>
            </c:dLbl>
            <c:dLbl>
              <c:idx val="13"/>
              <c:layout>
                <c:manualLayout>
                  <c:x val="0.11948790896159317"/>
                  <c:y val="0"/>
                </c:manualLayout>
              </c:layout>
              <c:dLblPos val="outEnd"/>
              <c:showLegendKey val="0"/>
              <c:showVal val="1"/>
              <c:showCatName val="0"/>
              <c:showSerName val="0"/>
              <c:showPercent val="0"/>
              <c:showBubbleSize val="0"/>
            </c:dLbl>
            <c:dLbl>
              <c:idx val="14"/>
              <c:layout>
                <c:manualLayout>
                  <c:x val="3.6036036036036036E-2"/>
                  <c:y val="0"/>
                </c:manualLayout>
              </c:layout>
              <c:dLblPos val="outEnd"/>
              <c:showLegendKey val="0"/>
              <c:showVal val="1"/>
              <c:showCatName val="0"/>
              <c:showSerName val="0"/>
              <c:showPercent val="0"/>
              <c:showBubbleSize val="0"/>
            </c:dLbl>
            <c:dLbl>
              <c:idx val="15"/>
              <c:layout>
                <c:manualLayout>
                  <c:x val="3.9829302987197723E-2"/>
                  <c:y val="0"/>
                </c:manualLayout>
              </c:layout>
              <c:dLblPos val="outEnd"/>
              <c:showLegendKey val="0"/>
              <c:showVal val="1"/>
              <c:showCatName val="0"/>
              <c:showSerName val="0"/>
              <c:showPercent val="0"/>
              <c:showBubbleSize val="0"/>
            </c:dLbl>
            <c:dLbl>
              <c:idx val="16"/>
              <c:layout>
                <c:manualLayout>
                  <c:x val="0.16311047889995259"/>
                  <c:y val="0"/>
                </c:manualLayout>
              </c:layout>
              <c:dLblPos val="outEnd"/>
              <c:showLegendKey val="0"/>
              <c:showVal val="1"/>
              <c:showCatName val="0"/>
              <c:showSerName val="0"/>
              <c:showPercent val="0"/>
              <c:showBubbleSize val="0"/>
            </c:dLbl>
            <c:dLbl>
              <c:idx val="17"/>
              <c:layout>
                <c:manualLayout>
                  <c:x val="0.14793741109530584"/>
                  <c:y val="0"/>
                </c:manualLayout>
              </c:layout>
              <c:dLblPos val="outEnd"/>
              <c:showLegendKey val="0"/>
              <c:showVal val="1"/>
              <c:showCatName val="0"/>
              <c:showSerName val="0"/>
              <c:showPercent val="0"/>
              <c:showBubbleSize val="0"/>
            </c:dLbl>
            <c:dLbl>
              <c:idx val="18"/>
              <c:layout>
                <c:manualLayout>
                  <c:x val="9.4831673779042207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Sheet1!$E$2:$E$20</c:f>
                <c:numCache>
                  <c:formatCode>General</c:formatCode>
                  <c:ptCount val="19"/>
                  <c:pt idx="0">
                    <c:v>4.9528999999999996</c:v>
                  </c:pt>
                  <c:pt idx="1">
                    <c:v>4.8722999999999992</c:v>
                  </c:pt>
                  <c:pt idx="2">
                    <c:v>5.1237999999999992</c:v>
                  </c:pt>
                  <c:pt idx="3">
                    <c:v>5.6382999999999992</c:v>
                  </c:pt>
                  <c:pt idx="4">
                    <c:v>2.2950000000000017</c:v>
                  </c:pt>
                  <c:pt idx="5">
                    <c:v>2.4091000000000022</c:v>
                  </c:pt>
                  <c:pt idx="6">
                    <c:v>5.634999999999998</c:v>
                  </c:pt>
                  <c:pt idx="7">
                    <c:v>2.6550000000000011</c:v>
                  </c:pt>
                  <c:pt idx="8">
                    <c:v>6.4712000000000032</c:v>
                  </c:pt>
                  <c:pt idx="9">
                    <c:v>3.6945000000000014</c:v>
                  </c:pt>
                  <c:pt idx="10">
                    <c:v>6.8181999999999974</c:v>
                  </c:pt>
                  <c:pt idx="11">
                    <c:v>6.7158999999999978</c:v>
                  </c:pt>
                  <c:pt idx="12">
                    <c:v>3.7135000000000034</c:v>
                  </c:pt>
                  <c:pt idx="13">
                    <c:v>10.766100000000002</c:v>
                  </c:pt>
                  <c:pt idx="14">
                    <c:v>3.1660000000000004</c:v>
                  </c:pt>
                  <c:pt idx="15">
                    <c:v>3.6298999999999992</c:v>
                  </c:pt>
                  <c:pt idx="16">
                    <c:v>14.167300000000004</c:v>
                  </c:pt>
                  <c:pt idx="17">
                    <c:v>12.758400000000002</c:v>
                  </c:pt>
                  <c:pt idx="18">
                    <c:v>0.99329999999999785</c:v>
                  </c:pt>
                </c:numCache>
              </c:numRef>
            </c:plus>
            <c:minus>
              <c:numRef>
                <c:f>Sheet1!$F$2:$F$20</c:f>
                <c:numCache>
                  <c:formatCode>General</c:formatCode>
                  <c:ptCount val="19"/>
                  <c:pt idx="0">
                    <c:v>4.9529999999999994</c:v>
                  </c:pt>
                  <c:pt idx="1">
                    <c:v>4.8723000000000027</c:v>
                  </c:pt>
                  <c:pt idx="2">
                    <c:v>5.123899999999999</c:v>
                  </c:pt>
                  <c:pt idx="3">
                    <c:v>5.638300000000001</c:v>
                  </c:pt>
                  <c:pt idx="4">
                    <c:v>2.2948999999999984</c:v>
                  </c:pt>
                  <c:pt idx="5">
                    <c:v>2.4091999999999985</c:v>
                  </c:pt>
                  <c:pt idx="6">
                    <c:v>5.6350000000000016</c:v>
                  </c:pt>
                  <c:pt idx="7">
                    <c:v>2.6548999999999996</c:v>
                  </c:pt>
                  <c:pt idx="8">
                    <c:v>6.4712999999999994</c:v>
                  </c:pt>
                  <c:pt idx="9">
                    <c:v>3.6945999999999977</c:v>
                  </c:pt>
                  <c:pt idx="10">
                    <c:v>6.8182000000000009</c:v>
                  </c:pt>
                  <c:pt idx="11">
                    <c:v>6.7158000000000015</c:v>
                  </c:pt>
                  <c:pt idx="12">
                    <c:v>3.7134999999999998</c:v>
                  </c:pt>
                  <c:pt idx="13">
                    <c:v>10.766200000000001</c:v>
                  </c:pt>
                  <c:pt idx="14">
                    <c:v>3.1659000000000006</c:v>
                  </c:pt>
                  <c:pt idx="15">
                    <c:v>3.6300000000000026</c:v>
                  </c:pt>
                  <c:pt idx="16">
                    <c:v>14.167299999999997</c:v>
                  </c:pt>
                  <c:pt idx="17">
                    <c:v>12.7584</c:v>
                  </c:pt>
                  <c:pt idx="18">
                    <c:v>0.99340000000000117</c:v>
                  </c:pt>
                </c:numCache>
              </c:numRef>
            </c:minus>
            <c:spPr>
              <a:ln w="15875"/>
            </c:spPr>
          </c:errBars>
          <c:cat>
            <c:strRef>
              <c:f>Sheet1!$A$2:$A$20</c:f>
              <c:strCache>
                <c:ptCount val="19"/>
                <c:pt idx="0">
                  <c:v>Public Administration</c:v>
                </c:pt>
                <c:pt idx="1">
                  <c:v>Other Services (except Public Administration)</c:v>
                </c:pt>
                <c:pt idx="2">
                  <c:v>Accommodation &amp; Food Services</c:v>
                </c:pt>
                <c:pt idx="3">
                  <c:v>Arts, Entertainment, &amp; Recreation</c:v>
                </c:pt>
                <c:pt idx="4">
                  <c:v>Health Care &amp; Social Assistance</c:v>
                </c:pt>
                <c:pt idx="5">
                  <c:v>Educational Services</c:v>
                </c:pt>
                <c:pt idx="6">
                  <c:v>Administrative, Support &amp; Waste Services</c:v>
                </c:pt>
                <c:pt idx="7">
                  <c:v>Professional, Scientific, &amp; Technical Services </c:v>
                </c:pt>
                <c:pt idx="8">
                  <c:v>Real Estate &amp; Rental &amp; Leasing</c:v>
                </c:pt>
                <c:pt idx="9">
                  <c:v>Finance &amp; Insurance</c:v>
                </c:pt>
                <c:pt idx="10">
                  <c:v>Information</c:v>
                </c:pt>
                <c:pt idx="11">
                  <c:v>Transportation &amp; Warehousing</c:v>
                </c:pt>
                <c:pt idx="12">
                  <c:v>Retail Trade</c:v>
                </c:pt>
                <c:pt idx="13">
                  <c:v>Wholesale Trade</c:v>
                </c:pt>
                <c:pt idx="14">
                  <c:v>Manufacturing</c:v>
                </c:pt>
                <c:pt idx="15">
                  <c:v>Construction</c:v>
                </c:pt>
                <c:pt idx="16">
                  <c:v>Utilities</c:v>
                </c:pt>
                <c:pt idx="17">
                  <c:v>Agriculture, Forestry, Fishing &amp; Hunting</c:v>
                </c:pt>
                <c:pt idx="18">
                  <c:v>All workers</c:v>
                </c:pt>
              </c:strCache>
            </c:strRef>
          </c:cat>
          <c:val>
            <c:numRef>
              <c:f>Sheet1!$B$2:$B$20</c:f>
              <c:numCache>
                <c:formatCode>0.0</c:formatCode>
                <c:ptCount val="19"/>
                <c:pt idx="0">
                  <c:v>30.817</c:v>
                </c:pt>
                <c:pt idx="1">
                  <c:v>22.153300000000002</c:v>
                </c:pt>
                <c:pt idx="2">
                  <c:v>23.8688</c:v>
                </c:pt>
                <c:pt idx="3">
                  <c:v>15.8451</c:v>
                </c:pt>
                <c:pt idx="4">
                  <c:v>23.817599999999999</c:v>
                </c:pt>
                <c:pt idx="5">
                  <c:v>19.448799999999999</c:v>
                </c:pt>
                <c:pt idx="6">
                  <c:v>24.107700000000001</c:v>
                </c:pt>
                <c:pt idx="7">
                  <c:v>18.178599999999999</c:v>
                </c:pt>
                <c:pt idx="8">
                  <c:v>22.811699999999998</c:v>
                </c:pt>
                <c:pt idx="9">
                  <c:v>21.352699999999999</c:v>
                </c:pt>
                <c:pt idx="10">
                  <c:v>26.3035</c:v>
                </c:pt>
                <c:pt idx="11">
                  <c:v>34.963000000000001</c:v>
                </c:pt>
                <c:pt idx="12">
                  <c:v>26.942799999999998</c:v>
                </c:pt>
                <c:pt idx="13">
                  <c:v>37.147500000000001</c:v>
                </c:pt>
                <c:pt idx="14">
                  <c:v>22.899799999999999</c:v>
                </c:pt>
                <c:pt idx="15">
                  <c:v>22.112300000000001</c:v>
                </c:pt>
                <c:pt idx="16">
                  <c:v>32.44</c:v>
                </c:pt>
                <c:pt idx="17">
                  <c:v>23.5672</c:v>
                </c:pt>
                <c:pt idx="18">
                  <c:v>23.452500000000001</c:v>
                </c:pt>
              </c:numCache>
            </c:numRef>
          </c:val>
        </c:ser>
        <c:dLbls>
          <c:dLblPos val="outEnd"/>
          <c:showLegendKey val="0"/>
          <c:showVal val="1"/>
          <c:showCatName val="0"/>
          <c:showSerName val="0"/>
          <c:showPercent val="0"/>
          <c:showBubbleSize val="0"/>
        </c:dLbls>
        <c:gapWidth val="150"/>
        <c:axId val="151488000"/>
        <c:axId val="151489536"/>
      </c:barChart>
      <c:catAx>
        <c:axId val="151488000"/>
        <c:scaling>
          <c:orientation val="minMax"/>
        </c:scaling>
        <c:delete val="0"/>
        <c:axPos val="l"/>
        <c:majorTickMark val="none"/>
        <c:minorTickMark val="none"/>
        <c:tickLblPos val="nextTo"/>
        <c:crossAx val="151489536"/>
        <c:crosses val="autoZero"/>
        <c:auto val="1"/>
        <c:lblAlgn val="ctr"/>
        <c:lblOffset val="100"/>
        <c:noMultiLvlLbl val="0"/>
      </c:catAx>
      <c:valAx>
        <c:axId val="151489536"/>
        <c:scaling>
          <c:orientation val="minMax"/>
          <c:max val="50"/>
        </c:scaling>
        <c:delete val="0"/>
        <c:axPos val="b"/>
        <c:majorGridlines>
          <c:spPr>
            <a:ln>
              <a:noFill/>
            </a:ln>
          </c:spPr>
        </c:majorGridlines>
        <c:title>
          <c:tx>
            <c:rich>
              <a:bodyPr/>
              <a:lstStyle/>
              <a:p>
                <a:pPr>
                  <a:defRPr/>
                </a:pPr>
                <a:r>
                  <a:rPr lang="en-US"/>
                  <a:t>% obese</a:t>
                </a:r>
              </a:p>
            </c:rich>
          </c:tx>
          <c:overlay val="0"/>
        </c:title>
        <c:numFmt formatCode="0.0" sourceLinked="1"/>
        <c:majorTickMark val="none"/>
        <c:minorTickMark val="none"/>
        <c:tickLblPos val="nextTo"/>
        <c:crossAx val="1514880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1D62-A748-4B5D-AF29-4654318D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2016-01-25T17:54:00Z</dcterms:created>
  <dc:creator>McKenna, Maria (DPH)</dc:creator>
  <lastModifiedBy>Sara Rattigan</lastModifiedBy>
  <dcterms:modified xsi:type="dcterms:W3CDTF">2016-01-25T17:54:00Z</dcterms:modified>
  <revision>2</revision>
</coreProperties>
</file>