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CA" w:rsidRPr="00C36DAC" w:rsidRDefault="00F04377" w:rsidP="00156FCA">
      <w:pPr>
        <w:rPr>
          <w:rFonts w:ascii="Times New Roman" w:hAnsi="Times New Roman" w:cs="Times New Roman"/>
        </w:rPr>
      </w:pPr>
      <w:r w:rsidRPr="00C36DAC">
        <w:rPr>
          <w:rFonts w:ascii="Times New Roman" w:hAnsi="Times New Roman" w:cs="Times New Roman"/>
          <w:noProof/>
        </w:rPr>
        <mc:AlternateContent>
          <mc:Choice Requires="wps">
            <w:drawing>
              <wp:anchor distT="0" distB="274320" distL="114300" distR="114300" simplePos="0" relativeHeight="251691008" behindDoc="1" locked="0" layoutInCell="1" allowOverlap="1" wp14:anchorId="14E756BF" wp14:editId="09F79763">
                <wp:simplePos x="0" y="0"/>
                <wp:positionH relativeFrom="column">
                  <wp:posOffset>40090</wp:posOffset>
                </wp:positionH>
                <wp:positionV relativeFrom="paragraph">
                  <wp:posOffset>68021</wp:posOffset>
                </wp:positionV>
                <wp:extent cx="6460490" cy="1228725"/>
                <wp:effectExtent l="0" t="0" r="1651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0490" cy="12287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15pt;margin-top:5.35pt;width:508.7pt;height:96.75pt;z-index:-25162547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" strokeweight="1pt"/>
            </w:pict>
          </mc:Fallback>
        </mc:AlternateContent>
      </w:r>
      <w:r w:rsidR="00B3358A" w:rsidRPr="00C36DAC">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1F82373" wp14:editId="2774B072">
                <wp:simplePos x="0" y="0"/>
                <wp:positionH relativeFrom="column">
                  <wp:posOffset>142875</wp:posOffset>
                </wp:positionH>
                <wp:positionV relativeFrom="paragraph">
                  <wp:posOffset>67310</wp:posOffset>
                </wp:positionV>
                <wp:extent cx="1190625" cy="12287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28725"/>
                        </a:xfrm>
                        <a:prstGeom prst="rect">
                          <a:avLst/>
                        </a:prstGeom>
                        <a:noFill/>
                        <a:ln w="9525">
                          <a:noFill/>
                          <a:miter lim="800000"/>
                          <a:headEnd/>
                          <a:tailEnd/>
                        </a:ln>
                      </wps:spPr>
                      <wps:txbx>
                        <w:txbxContent>
                          <w:p w:rsidR="00557281" w:rsidRDefault="00557281" w:rsidP="00156FCA">
                            <w:pPr>
                              <w:ind w:left="-90"/>
                            </w:pPr>
                            <w:r>
                              <w:rPr>
                                <w:noProof/>
                              </w:rPr>
                              <w:drawing>
                                <wp:inline distT="0" distB="0" distL="0" distR="0" wp14:anchorId="0CFB5190" wp14:editId="2074B71E">
                                  <wp:extent cx="989462" cy="989462"/>
                                  <wp:effectExtent l="0" t="0" r="1270" b="1270"/>
                                  <wp:docPr id="30"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5202" cy="985202"/>
                                          </a:xfrm>
                                          <a:prstGeom prst="rect">
                                            <a:avLst/>
                                          </a:prstGeom>
                                          <a:noFill/>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5.3pt;width:93.75pt;height:9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" filled="f" stroked="f">
                <v:textbox>
                  <w:txbxContent>
                    <w:p w:rsidR="00557281" w:rsidRDefault="00557281" w:rsidP="00156FCA">
                      <w:pPr>
                        <w:ind w:left="-90"/>
                      </w:pPr>
                      <w:r>
                        <w:rPr>
                          <w:noProof/>
                        </w:rPr>
                        <w:drawing>
                          <wp:inline distT="0" distB="0" distL="0" distR="0" wp14:anchorId="0CFB5190" wp14:editId="2074B71E">
                            <wp:extent cx="989462" cy="989462"/>
                            <wp:effectExtent l="0" t="0" r="1270" b="1270"/>
                            <wp:docPr id="30"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DPH-logo-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5202" cy="985202"/>
                                    </a:xfrm>
                                    <a:prstGeom prst="rect">
                                      <a:avLst/>
                                    </a:prstGeom>
                                    <a:noFill/>
                                    <a:extLst/>
                                  </pic:spPr>
                                </pic:pic>
                              </a:graphicData>
                            </a:graphic>
                          </wp:inline>
                        </w:drawing>
                      </w:r>
                    </w:p>
                  </w:txbxContent>
                </v:textbox>
              </v:shape>
            </w:pict>
          </mc:Fallback>
        </mc:AlternateContent>
      </w:r>
      <w:r w:rsidR="00724500" w:rsidRPr="00C36DAC">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42A1CBB3" wp14:editId="54106B0B">
                <wp:simplePos x="0" y="0"/>
                <wp:positionH relativeFrom="column">
                  <wp:posOffset>1314450</wp:posOffset>
                </wp:positionH>
                <wp:positionV relativeFrom="paragraph">
                  <wp:posOffset>190500</wp:posOffset>
                </wp:positionV>
                <wp:extent cx="5181600" cy="885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181600" cy="885825"/>
                        </a:xfrm>
                        <a:prstGeom prst="rect">
                          <a:avLst/>
                        </a:prstGeom>
                        <a:noFill/>
                        <a:ln>
                          <a:noFill/>
                        </a:ln>
                        <a:effectLst/>
                      </wps:spPr>
                      <wps:txbx>
                        <w:txbxContent>
                          <w:p w:rsidR="00557281" w:rsidRPr="00A21D8F" w:rsidRDefault="00557281" w:rsidP="008F358F">
                            <w:pPr>
                              <w:spacing w:line="240" w:lineRule="auto"/>
                              <w:rPr>
                                <w:rFonts w:asciiTheme="majorHAnsi" w:hAnsiTheme="majorHAnsi"/>
                                <w:b/>
                                <w:color w:val="A86C2A" w:themeColor="accent6" w:themeShade="BF"/>
                                <w:sz w:val="34"/>
                                <w:szCs w:val="34"/>
                              </w:rPr>
                            </w:pPr>
                            <w:r w:rsidRPr="00A21D8F">
                              <w:rPr>
                                <w:rFonts w:asciiTheme="majorHAnsi" w:hAnsiTheme="majorHAnsi"/>
                                <w:b/>
                                <w:color w:val="A86C2A"/>
                                <w:sz w:val="34"/>
                                <w:szCs w:val="34"/>
                              </w:rPr>
                              <w:t xml:space="preserve">Data Brief: </w:t>
                            </w:r>
                            <w:r w:rsidRPr="008F358F">
                              <w:rPr>
                                <w:rFonts w:asciiTheme="majorHAnsi" w:hAnsiTheme="majorHAnsi"/>
                                <w:b/>
                                <w:color w:val="A86C2A"/>
                                <w:sz w:val="34"/>
                                <w:szCs w:val="34"/>
                              </w:rPr>
                              <w:t>Response to Community Concerns Related to Vapor Intrusion</w:t>
                            </w:r>
                            <w:r>
                              <w:rPr>
                                <w:rFonts w:asciiTheme="majorHAnsi" w:hAnsiTheme="majorHAnsi"/>
                                <w:b/>
                                <w:color w:val="A86C2A"/>
                                <w:sz w:val="34"/>
                                <w:szCs w:val="34"/>
                              </w:rPr>
                              <w:t xml:space="preserve"> </w:t>
                            </w:r>
                            <w:r w:rsidRPr="008F358F">
                              <w:rPr>
                                <w:rFonts w:asciiTheme="majorHAnsi" w:hAnsiTheme="majorHAnsi"/>
                                <w:b/>
                                <w:color w:val="A86C2A"/>
                                <w:sz w:val="34"/>
                                <w:szCs w:val="34"/>
                              </w:rPr>
                              <w:t>in the Nonantum Area of Newton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03.5pt;margin-top:15pt;width:408pt;height:6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" filled="f" stroked="f">
                <v:textbox>
                  <w:txbxContent>
                    <w:p w:rsidR="00557281" w:rsidRPr="00A21D8F" w:rsidRDefault="00557281" w:rsidP="008F358F">
                      <w:pPr>
                        <w:spacing w:line="240" w:lineRule="auto"/>
                        <w:rPr>
                          <w:rFonts w:asciiTheme="majorHAnsi" w:hAnsiTheme="majorHAnsi"/>
                          <w:b/>
                          <w:color w:val="A86C2A" w:themeColor="accent6" w:themeShade="BF"/>
                          <w:sz w:val="34"/>
                          <w:szCs w:val="34"/>
                        </w:rPr>
                      </w:pPr>
                      <w:r w:rsidRPr="00A21D8F">
                        <w:rPr>
                          <w:rFonts w:asciiTheme="majorHAnsi" w:hAnsiTheme="majorHAnsi"/>
                          <w:b/>
                          <w:color w:val="A86C2A"/>
                          <w:sz w:val="34"/>
                          <w:szCs w:val="34"/>
                        </w:rPr>
                        <w:t xml:space="preserve">Data Brief: </w:t>
                      </w:r>
                      <w:r w:rsidRPr="008F358F">
                        <w:rPr>
                          <w:rFonts w:asciiTheme="majorHAnsi" w:hAnsiTheme="majorHAnsi"/>
                          <w:b/>
                          <w:color w:val="A86C2A"/>
                          <w:sz w:val="34"/>
                          <w:szCs w:val="34"/>
                        </w:rPr>
                        <w:t>Response to Community Concerns Related to Vapor Intrusion</w:t>
                      </w:r>
                      <w:r>
                        <w:rPr>
                          <w:rFonts w:asciiTheme="majorHAnsi" w:hAnsiTheme="majorHAnsi"/>
                          <w:b/>
                          <w:color w:val="A86C2A"/>
                          <w:sz w:val="34"/>
                          <w:szCs w:val="34"/>
                        </w:rPr>
                        <w:t xml:space="preserve"> </w:t>
                      </w:r>
                      <w:r w:rsidRPr="008F358F">
                        <w:rPr>
                          <w:rFonts w:asciiTheme="majorHAnsi" w:hAnsiTheme="majorHAnsi"/>
                          <w:b/>
                          <w:color w:val="A86C2A"/>
                          <w:sz w:val="34"/>
                          <w:szCs w:val="34"/>
                        </w:rPr>
                        <w:t>in the Nonantum Area of Newton</w:t>
                      </w:r>
                    </w:p>
                  </w:txbxContent>
                </v:textbox>
              </v:shape>
            </w:pict>
          </mc:Fallback>
        </mc:AlternateContent>
      </w:r>
    </w:p>
    <w:p w:rsidR="00156FCA" w:rsidRPr="00C36DAC" w:rsidRDefault="00156FCA" w:rsidP="00156FCA">
      <w:pPr>
        <w:rPr>
          <w:rFonts w:ascii="Times New Roman" w:hAnsi="Times New Roman" w:cs="Times New Roman"/>
        </w:rPr>
      </w:pPr>
    </w:p>
    <w:p w:rsidR="00156FCA" w:rsidRPr="00C36DAC" w:rsidRDefault="00156FCA" w:rsidP="00156FCA">
      <w:pPr>
        <w:rPr>
          <w:rFonts w:ascii="Times New Roman" w:hAnsi="Times New Roman" w:cs="Times New Roman"/>
        </w:rPr>
      </w:pPr>
    </w:p>
    <w:p w:rsidR="00156FCA" w:rsidRPr="00C36DAC" w:rsidRDefault="00724500" w:rsidP="00156FCA">
      <w:pPr>
        <w:rPr>
          <w:rFonts w:ascii="Times New Roman" w:hAnsi="Times New Roman" w:cs="Times New Roman"/>
        </w:rPr>
      </w:pPr>
      <w:r w:rsidRPr="00C36DAC">
        <w:rPr>
          <w:rFonts w:ascii="Times New Roman" w:hAnsi="Times New Roman" w:cs="Times New Roman"/>
          <w:noProof/>
        </w:rPr>
        <mc:AlternateContent>
          <mc:Choice Requires="wps">
            <w:drawing>
              <wp:anchor distT="0" distB="0" distL="114300" distR="114300" simplePos="0" relativeHeight="251692032" behindDoc="1" locked="0" layoutInCell="1" allowOverlap="1" wp14:anchorId="43C915F6" wp14:editId="145C52AA">
                <wp:simplePos x="0" y="0"/>
                <wp:positionH relativeFrom="column">
                  <wp:posOffset>40090</wp:posOffset>
                </wp:positionH>
                <wp:positionV relativeFrom="paragraph">
                  <wp:posOffset>191003</wp:posOffset>
                </wp:positionV>
                <wp:extent cx="6460490" cy="272956"/>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272956"/>
                        </a:xfrm>
                        <a:prstGeom prst="rect">
                          <a:avLst/>
                        </a:prstGeom>
                        <a:solidFill>
                          <a:srgbClr val="FFFFFF"/>
                        </a:solidFill>
                        <a:ln w="12700">
                          <a:solidFill>
                            <a:srgbClr val="000000"/>
                          </a:solidFill>
                          <a:miter lim="800000"/>
                          <a:headEnd/>
                          <a:tailEnd/>
                        </a:ln>
                      </wps:spPr>
                      <wps:txbx>
                        <w:txbxContent>
                          <w:p w:rsidR="00557281" w:rsidRPr="00A6433C" w:rsidRDefault="00557281" w:rsidP="00156FCA">
                            <w:pPr>
                              <w:tabs>
                                <w:tab w:val="right" w:pos="9810"/>
                              </w:tabs>
                              <w:spacing w:before="120" w:after="0" w:line="240" w:lineRule="auto"/>
                              <w:ind w:right="1411"/>
                              <w:rPr>
                                <w:rFonts w:ascii="Arial" w:hAnsi="Arial" w:cs="Arial"/>
                                <w:sz w:val="16"/>
                                <w:szCs w:val="16"/>
                              </w:rPr>
                            </w:pPr>
                            <w:r w:rsidRPr="000144A8">
                              <w:rPr>
                                <w:rFonts w:ascii="Arial" w:hAnsi="Arial" w:cs="Arial"/>
                                <w:sz w:val="16"/>
                                <w:szCs w:val="16"/>
                              </w:rPr>
                              <w:t>Massachusetts Department of Public Health</w:t>
                            </w:r>
                            <w:r w:rsidRPr="000144A8">
                              <w:rPr>
                                <w:rFonts w:ascii="Arial" w:hAnsi="Arial" w:cs="Arial"/>
                                <w:caps/>
                                <w:sz w:val="16"/>
                                <w:szCs w:val="16"/>
                              </w:rPr>
                              <w:t xml:space="preserve"> </w:t>
                            </w:r>
                            <w:r w:rsidRPr="000144A8">
                              <w:rPr>
                                <w:rFonts w:ascii="Arial" w:hAnsi="Arial" w:cs="Arial"/>
                                <w:caps/>
                                <w:sz w:val="16"/>
                                <w:szCs w:val="16"/>
                              </w:rPr>
                              <w:tab/>
                            </w:r>
                            <w:r w:rsidR="007A02A3">
                              <w:rPr>
                                <w:rFonts w:ascii="Arial" w:hAnsi="Arial" w:cs="Arial"/>
                                <w:i/>
                                <w:caps/>
                                <w:sz w:val="16"/>
                                <w:szCs w:val="16"/>
                              </w:rPr>
                              <w:t>October</w:t>
                            </w:r>
                            <w:r>
                              <w:rPr>
                                <w:rFonts w:ascii="Arial" w:hAnsi="Arial" w:cs="Arial"/>
                                <w:i/>
                                <w:sz w:val="16"/>
                                <w:szCs w:val="16"/>
                              </w:rPr>
                              <w:t xml:space="preserve"> 2019</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15pt;margin-top:15.05pt;width:508.7pt;height:2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" strokeweight="1pt">
                <v:textbox inset=",0,,0">
                  <w:txbxContent>
                    <w:p w:rsidR="00557281" w:rsidRPr="00A6433C" w:rsidRDefault="00557281" w:rsidP="00156FCA">
                      <w:pPr>
                        <w:tabs>
                          <w:tab w:val="right" w:pos="9810"/>
                        </w:tabs>
                        <w:spacing w:before="120" w:after="0" w:line="240" w:lineRule="auto"/>
                        <w:ind w:right="1411"/>
                        <w:rPr>
                          <w:rFonts w:ascii="Arial" w:hAnsi="Arial" w:cs="Arial"/>
                          <w:sz w:val="16"/>
                          <w:szCs w:val="16"/>
                        </w:rPr>
                      </w:pPr>
                      <w:r w:rsidRPr="000144A8">
                        <w:rPr>
                          <w:rFonts w:ascii="Arial" w:hAnsi="Arial" w:cs="Arial"/>
                          <w:sz w:val="16"/>
                          <w:szCs w:val="16"/>
                        </w:rPr>
                        <w:t>Massachusetts Department of Public Health</w:t>
                      </w:r>
                      <w:r w:rsidRPr="000144A8">
                        <w:rPr>
                          <w:rFonts w:ascii="Arial" w:hAnsi="Arial" w:cs="Arial"/>
                          <w:caps/>
                          <w:sz w:val="16"/>
                          <w:szCs w:val="16"/>
                        </w:rPr>
                        <w:t xml:space="preserve"> </w:t>
                      </w:r>
                      <w:r w:rsidRPr="000144A8">
                        <w:rPr>
                          <w:rFonts w:ascii="Arial" w:hAnsi="Arial" w:cs="Arial"/>
                          <w:caps/>
                          <w:sz w:val="16"/>
                          <w:szCs w:val="16"/>
                        </w:rPr>
                        <w:tab/>
                      </w:r>
                      <w:r w:rsidR="007A02A3">
                        <w:rPr>
                          <w:rFonts w:ascii="Arial" w:hAnsi="Arial" w:cs="Arial"/>
                          <w:i/>
                          <w:caps/>
                          <w:sz w:val="16"/>
                          <w:szCs w:val="16"/>
                        </w:rPr>
                        <w:t>October</w:t>
                      </w:r>
                      <w:r>
                        <w:rPr>
                          <w:rFonts w:ascii="Arial" w:hAnsi="Arial" w:cs="Arial"/>
                          <w:i/>
                          <w:sz w:val="16"/>
                          <w:szCs w:val="16"/>
                        </w:rPr>
                        <w:t xml:space="preserve"> 2019</w:t>
                      </w:r>
                    </w:p>
                  </w:txbxContent>
                </v:textbox>
              </v:shape>
            </w:pict>
          </mc:Fallback>
        </mc:AlternateContent>
      </w:r>
    </w:p>
    <w:p w:rsidR="00EC09A3" w:rsidRPr="00C36DAC" w:rsidRDefault="00EC09A3" w:rsidP="00A77AC1">
      <w:pPr>
        <w:keepNext/>
        <w:framePr w:dropCap="drop" w:lines="3" w:wrap="around" w:vAnchor="text" w:hAnchor="page" w:x="1020" w:y="486"/>
        <w:spacing w:after="0" w:line="952" w:lineRule="exact"/>
        <w:ind w:right="-120"/>
        <w:textAlignment w:val="baseline"/>
        <w:rPr>
          <w:rFonts w:ascii="Times New Roman" w:hAnsi="Times New Roman" w:cs="Times New Roman"/>
          <w:color w:val="A86C2A"/>
          <w:position w:val="-10"/>
          <w:sz w:val="56"/>
          <w:szCs w:val="24"/>
        </w:rPr>
      </w:pPr>
      <w:r w:rsidRPr="00C36DAC">
        <w:rPr>
          <w:rFonts w:ascii="Times New Roman" w:hAnsi="Times New Roman" w:cs="Times New Roman"/>
          <w:color w:val="A86C2A"/>
          <w:position w:val="-10"/>
          <w:sz w:val="124"/>
          <w:szCs w:val="24"/>
        </w:rPr>
        <w:t>T</w:t>
      </w:r>
    </w:p>
    <w:p w:rsidR="00966F87" w:rsidRPr="00C36DAC" w:rsidRDefault="00966F87" w:rsidP="00966F87">
      <w:pPr>
        <w:tabs>
          <w:tab w:val="left" w:pos="720"/>
        </w:tabs>
        <w:ind w:firstLine="720"/>
        <w:rPr>
          <w:rFonts w:ascii="Times New Roman" w:hAnsi="Times New Roman" w:cs="Times New Roman"/>
        </w:rPr>
      </w:pPr>
    </w:p>
    <w:p w:rsidR="00864682" w:rsidRPr="00991725" w:rsidRDefault="005C76C9" w:rsidP="00A15688">
      <w:pPr>
        <w:ind w:right="-120"/>
        <w:rPr>
          <w:rFonts w:ascii="Times New Roman" w:hAnsi="Times New Roman" w:cs="Times New Roman"/>
        </w:rPr>
      </w:pPr>
      <w:r w:rsidRPr="00991725">
        <w:rPr>
          <w:rFonts w:ascii="Times New Roman" w:hAnsi="Times New Roman" w:cs="Times New Roman"/>
        </w:rPr>
        <w:t xml:space="preserve">he Massachusetts Department of Public Health, Bureau of Environmental Health (MDPH/BEH) </w:t>
      </w:r>
      <w:r w:rsidR="00355422" w:rsidRPr="00991725">
        <w:rPr>
          <w:rFonts w:ascii="Times New Roman" w:hAnsi="Times New Roman" w:cs="Times New Roman"/>
        </w:rPr>
        <w:t xml:space="preserve">conducted a screening-level review of </w:t>
      </w:r>
      <w:r w:rsidR="007B5A77" w:rsidRPr="00991725">
        <w:rPr>
          <w:rFonts w:ascii="Times New Roman" w:hAnsi="Times New Roman" w:cs="Times New Roman"/>
        </w:rPr>
        <w:t xml:space="preserve">the incidence of </w:t>
      </w:r>
      <w:r w:rsidR="00355422" w:rsidRPr="00991725">
        <w:rPr>
          <w:rFonts w:ascii="Times New Roman" w:hAnsi="Times New Roman" w:cs="Times New Roman"/>
        </w:rPr>
        <w:t xml:space="preserve">three </w:t>
      </w:r>
      <w:r w:rsidR="00070696" w:rsidRPr="00991725">
        <w:rPr>
          <w:rFonts w:ascii="Times New Roman" w:hAnsi="Times New Roman" w:cs="Times New Roman"/>
        </w:rPr>
        <w:t xml:space="preserve">types of </w:t>
      </w:r>
      <w:r w:rsidR="007D3DAC" w:rsidRPr="00991725">
        <w:rPr>
          <w:rFonts w:ascii="Times New Roman" w:hAnsi="Times New Roman" w:cs="Times New Roman"/>
        </w:rPr>
        <w:t>cancer</w:t>
      </w:r>
      <w:r w:rsidR="00355422" w:rsidRPr="00991725">
        <w:rPr>
          <w:rFonts w:ascii="Times New Roman" w:hAnsi="Times New Roman" w:cs="Times New Roman"/>
        </w:rPr>
        <w:t xml:space="preserve"> </w:t>
      </w:r>
      <w:r w:rsidR="00C86DC1" w:rsidRPr="00991725">
        <w:rPr>
          <w:rFonts w:ascii="Times New Roman" w:hAnsi="Times New Roman" w:cs="Times New Roman"/>
        </w:rPr>
        <w:t xml:space="preserve">and </w:t>
      </w:r>
      <w:r w:rsidR="00355422" w:rsidRPr="00991725">
        <w:rPr>
          <w:rFonts w:ascii="Times New Roman" w:hAnsi="Times New Roman" w:cs="Times New Roman"/>
        </w:rPr>
        <w:t xml:space="preserve">the </w:t>
      </w:r>
      <w:r w:rsidR="00C86DC1" w:rsidRPr="00991725">
        <w:rPr>
          <w:rFonts w:ascii="Times New Roman" w:hAnsi="Times New Roman" w:cs="Times New Roman"/>
        </w:rPr>
        <w:t xml:space="preserve">prevalence of </w:t>
      </w:r>
      <w:r w:rsidR="00DD0392" w:rsidRPr="00991725">
        <w:rPr>
          <w:rFonts w:ascii="Times New Roman" w:hAnsi="Times New Roman" w:cs="Times New Roman"/>
        </w:rPr>
        <w:t xml:space="preserve">congenital </w:t>
      </w:r>
      <w:r w:rsidR="00355422" w:rsidRPr="00991725">
        <w:rPr>
          <w:rFonts w:ascii="Times New Roman" w:hAnsi="Times New Roman" w:cs="Times New Roman"/>
        </w:rPr>
        <w:t xml:space="preserve">heart </w:t>
      </w:r>
      <w:r w:rsidR="00C86DC1" w:rsidRPr="00991725">
        <w:rPr>
          <w:rFonts w:ascii="Times New Roman" w:hAnsi="Times New Roman" w:cs="Times New Roman"/>
        </w:rPr>
        <w:t xml:space="preserve">defects </w:t>
      </w:r>
      <w:r w:rsidR="007D3DAC" w:rsidRPr="00991725">
        <w:rPr>
          <w:rFonts w:ascii="Times New Roman" w:hAnsi="Times New Roman" w:cs="Times New Roman"/>
        </w:rPr>
        <w:t xml:space="preserve">in response to community concerns about </w:t>
      </w:r>
      <w:r w:rsidR="00B044EA" w:rsidRPr="00991725">
        <w:rPr>
          <w:rFonts w:ascii="Times New Roman" w:hAnsi="Times New Roman" w:cs="Times New Roman"/>
        </w:rPr>
        <w:t xml:space="preserve">indoor air exposure to </w:t>
      </w:r>
      <w:r w:rsidR="00B408A9" w:rsidRPr="00991725">
        <w:rPr>
          <w:rFonts w:ascii="Times New Roman" w:hAnsi="Times New Roman" w:cs="Times New Roman"/>
        </w:rPr>
        <w:t xml:space="preserve">the chemical </w:t>
      </w:r>
      <w:r w:rsidR="00B044EA" w:rsidRPr="00991725">
        <w:rPr>
          <w:rFonts w:ascii="Times New Roman" w:hAnsi="Times New Roman" w:cs="Times New Roman"/>
        </w:rPr>
        <w:t>trichloroethylene (TCE)</w:t>
      </w:r>
      <w:r w:rsidR="00355422" w:rsidRPr="00991725">
        <w:rPr>
          <w:rFonts w:ascii="Times New Roman" w:hAnsi="Times New Roman" w:cs="Times New Roman"/>
        </w:rPr>
        <w:t xml:space="preserve"> in the Nonantum area of Newton</w:t>
      </w:r>
      <w:r w:rsidR="00B044EA" w:rsidRPr="00991725">
        <w:rPr>
          <w:rFonts w:ascii="Times New Roman" w:hAnsi="Times New Roman" w:cs="Times New Roman"/>
        </w:rPr>
        <w:t xml:space="preserve">. </w:t>
      </w:r>
      <w:r w:rsidR="00E36267" w:rsidRPr="00991725">
        <w:rPr>
          <w:rFonts w:ascii="Times New Roman" w:hAnsi="Times New Roman" w:cs="Times New Roman"/>
        </w:rPr>
        <w:t xml:space="preserve">These specific health outcomes were selected because studies </w:t>
      </w:r>
      <w:r w:rsidR="00070696" w:rsidRPr="00991725">
        <w:rPr>
          <w:rFonts w:ascii="Times New Roman" w:hAnsi="Times New Roman" w:cs="Times New Roman"/>
        </w:rPr>
        <w:t xml:space="preserve">show that they could be </w:t>
      </w:r>
      <w:r w:rsidR="00E36267" w:rsidRPr="00991725">
        <w:rPr>
          <w:rFonts w:ascii="Times New Roman" w:hAnsi="Times New Roman" w:cs="Times New Roman"/>
        </w:rPr>
        <w:t>associated with TCE exposure.</w:t>
      </w:r>
    </w:p>
    <w:p w:rsidR="00F971E7" w:rsidRPr="00991725" w:rsidRDefault="00FC432C" w:rsidP="00365D07">
      <w:pPr>
        <w:ind w:right="-120"/>
        <w:rPr>
          <w:rFonts w:ascii="Times New Roman" w:hAnsi="Times New Roman" w:cs="Times New Roman"/>
        </w:rPr>
      </w:pPr>
      <w:r w:rsidRPr="00991725">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26254648" wp14:editId="7F0604CE">
                <wp:simplePos x="0" y="0"/>
                <wp:positionH relativeFrom="column">
                  <wp:posOffset>-99391</wp:posOffset>
                </wp:positionH>
                <wp:positionV relativeFrom="paragraph">
                  <wp:posOffset>1376376</wp:posOffset>
                </wp:positionV>
                <wp:extent cx="6711351" cy="2393343"/>
                <wp:effectExtent l="0" t="0" r="13335" b="26035"/>
                <wp:wrapNone/>
                <wp:docPr id="5" name="Rectangle 5"/>
                <wp:cNvGraphicFramePr/>
                <a:graphic xmlns:a="http://schemas.openxmlformats.org/drawingml/2006/main">
                  <a:graphicData uri="http://schemas.microsoft.com/office/word/2010/wordprocessingShape">
                    <wps:wsp>
                      <wps:cNvSpPr/>
                      <wps:spPr>
                        <a:xfrm>
                          <a:off x="0" y="0"/>
                          <a:ext cx="6711351" cy="239334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85pt;margin-top:108.4pt;width:528.45pt;height:188.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" filled="f" strokecolor="black [3213]" strokeweight="1pt"/>
            </w:pict>
          </mc:Fallback>
        </mc:AlternateContent>
      </w:r>
      <w:r w:rsidR="00F971E7" w:rsidRPr="00991725">
        <w:rPr>
          <w:rFonts w:ascii="Times New Roman" w:hAnsi="Times New Roman" w:cs="Times New Roman"/>
        </w:rPr>
        <w:t xml:space="preserve">This </w:t>
      </w:r>
      <w:r w:rsidR="00D579EF" w:rsidRPr="00991725">
        <w:rPr>
          <w:rFonts w:ascii="Times New Roman" w:hAnsi="Times New Roman" w:cs="Times New Roman"/>
        </w:rPr>
        <w:t>bulletin</w:t>
      </w:r>
      <w:r w:rsidR="00F971E7" w:rsidRPr="00991725">
        <w:rPr>
          <w:rFonts w:ascii="Times New Roman" w:hAnsi="Times New Roman" w:cs="Times New Roman"/>
        </w:rPr>
        <w:t xml:space="preserve"> summarizes the incidence of </w:t>
      </w:r>
      <w:r w:rsidR="00D579EF" w:rsidRPr="00991725">
        <w:rPr>
          <w:rFonts w:ascii="Times New Roman" w:hAnsi="Times New Roman" w:cs="Times New Roman"/>
        </w:rPr>
        <w:t>kidney and renal pelvis</w:t>
      </w:r>
      <w:r w:rsidR="006039B3" w:rsidRPr="00991725">
        <w:rPr>
          <w:rFonts w:ascii="Times New Roman" w:hAnsi="Times New Roman" w:cs="Times New Roman"/>
        </w:rPr>
        <w:t xml:space="preserve"> cancer</w:t>
      </w:r>
      <w:r w:rsidR="00D579EF" w:rsidRPr="00991725">
        <w:rPr>
          <w:rFonts w:ascii="Times New Roman" w:hAnsi="Times New Roman" w:cs="Times New Roman"/>
        </w:rPr>
        <w:t>, liver and intrahepatic bile du</w:t>
      </w:r>
      <w:r w:rsidR="006039B3" w:rsidRPr="00991725">
        <w:rPr>
          <w:rFonts w:ascii="Times New Roman" w:hAnsi="Times New Roman" w:cs="Times New Roman"/>
        </w:rPr>
        <w:t>ct</w:t>
      </w:r>
      <w:r w:rsidR="00C03219" w:rsidRPr="00991725">
        <w:rPr>
          <w:rFonts w:ascii="Times New Roman" w:hAnsi="Times New Roman" w:cs="Times New Roman"/>
        </w:rPr>
        <w:t xml:space="preserve"> (IBD)</w:t>
      </w:r>
      <w:r w:rsidR="006039B3" w:rsidRPr="00991725">
        <w:rPr>
          <w:rFonts w:ascii="Times New Roman" w:hAnsi="Times New Roman" w:cs="Times New Roman"/>
        </w:rPr>
        <w:t xml:space="preserve"> cancer</w:t>
      </w:r>
      <w:r w:rsidR="00D579EF" w:rsidRPr="00991725">
        <w:rPr>
          <w:rFonts w:ascii="Times New Roman" w:hAnsi="Times New Roman" w:cs="Times New Roman"/>
        </w:rPr>
        <w:t>, and non-Hodgkin lymphoma</w:t>
      </w:r>
      <w:r w:rsidR="005F2531" w:rsidRPr="00991725">
        <w:rPr>
          <w:rFonts w:ascii="Times New Roman" w:hAnsi="Times New Roman" w:cs="Times New Roman"/>
        </w:rPr>
        <w:t xml:space="preserve"> (NHL)</w:t>
      </w:r>
      <w:r w:rsidR="00D579EF" w:rsidRPr="00991725">
        <w:rPr>
          <w:rFonts w:ascii="Times New Roman" w:hAnsi="Times New Roman" w:cs="Times New Roman"/>
        </w:rPr>
        <w:t xml:space="preserve"> in one area of Newton </w:t>
      </w:r>
      <w:r w:rsidR="002A4811" w:rsidRPr="00991725">
        <w:rPr>
          <w:rFonts w:ascii="Times New Roman" w:hAnsi="Times New Roman" w:cs="Times New Roman"/>
        </w:rPr>
        <w:t xml:space="preserve">(Census Tract 3732) using data collected by the Massachusetts Cancer Registry </w:t>
      </w:r>
      <w:r w:rsidR="00F971E7" w:rsidRPr="00991725">
        <w:rPr>
          <w:rFonts w:ascii="Times New Roman" w:hAnsi="Times New Roman" w:cs="Times New Roman"/>
        </w:rPr>
        <w:t>during three 10-year periods: 1984-1993, 1994-2003, and 2004-2013</w:t>
      </w:r>
      <w:r w:rsidR="00EB7291" w:rsidRPr="00991725">
        <w:rPr>
          <w:rFonts w:ascii="Times New Roman" w:hAnsi="Times New Roman" w:cs="Times New Roman"/>
        </w:rPr>
        <w:t xml:space="preserve"> as well as more recent years of 2014 and 2015</w:t>
      </w:r>
      <w:r w:rsidR="00F971E7" w:rsidRPr="00991725">
        <w:rPr>
          <w:rFonts w:ascii="Times New Roman" w:hAnsi="Times New Roman" w:cs="Times New Roman"/>
        </w:rPr>
        <w:t xml:space="preserve">. </w:t>
      </w:r>
      <w:r w:rsidR="00D579EF" w:rsidRPr="00991725">
        <w:rPr>
          <w:rFonts w:ascii="Times New Roman" w:hAnsi="Times New Roman" w:cs="Times New Roman"/>
        </w:rPr>
        <w:t xml:space="preserve">This bulletin also summarizes the prevalence of </w:t>
      </w:r>
      <w:r w:rsidR="00DD0392" w:rsidRPr="00991725">
        <w:rPr>
          <w:rFonts w:ascii="Times New Roman" w:hAnsi="Times New Roman" w:cs="Times New Roman"/>
        </w:rPr>
        <w:t xml:space="preserve">congenital </w:t>
      </w:r>
      <w:r w:rsidR="00D579EF" w:rsidRPr="00991725">
        <w:rPr>
          <w:rFonts w:ascii="Times New Roman" w:hAnsi="Times New Roman" w:cs="Times New Roman"/>
        </w:rPr>
        <w:t>heart</w:t>
      </w:r>
      <w:r w:rsidR="00F971E7" w:rsidRPr="00991725">
        <w:rPr>
          <w:rFonts w:ascii="Times New Roman" w:hAnsi="Times New Roman" w:cs="Times New Roman"/>
        </w:rPr>
        <w:t xml:space="preserve"> defects</w:t>
      </w:r>
      <w:r w:rsidR="00D579EF" w:rsidRPr="00991725">
        <w:rPr>
          <w:rFonts w:ascii="Times New Roman" w:hAnsi="Times New Roman" w:cs="Times New Roman"/>
        </w:rPr>
        <w:t xml:space="preserve"> in the same area of Newton </w:t>
      </w:r>
      <w:r w:rsidR="002A4811" w:rsidRPr="00991725">
        <w:rPr>
          <w:rFonts w:ascii="Times New Roman" w:hAnsi="Times New Roman" w:cs="Times New Roman"/>
        </w:rPr>
        <w:t xml:space="preserve">using readily available data from the Massachusetts Birth Defects Monitoring Program </w:t>
      </w:r>
      <w:r w:rsidR="00D579EF" w:rsidRPr="00991725">
        <w:rPr>
          <w:rFonts w:ascii="Times New Roman" w:hAnsi="Times New Roman" w:cs="Times New Roman"/>
        </w:rPr>
        <w:t>during</w:t>
      </w:r>
      <w:r w:rsidR="00DD0392" w:rsidRPr="00991725">
        <w:rPr>
          <w:rFonts w:ascii="Times New Roman" w:hAnsi="Times New Roman" w:cs="Times New Roman"/>
        </w:rPr>
        <w:t xml:space="preserve"> the period of</w:t>
      </w:r>
      <w:r w:rsidR="00D579EF" w:rsidRPr="00991725">
        <w:rPr>
          <w:rFonts w:ascii="Times New Roman" w:hAnsi="Times New Roman" w:cs="Times New Roman"/>
        </w:rPr>
        <w:t xml:space="preserve"> </w:t>
      </w:r>
      <w:r w:rsidR="00F971E7" w:rsidRPr="00991725">
        <w:rPr>
          <w:rFonts w:ascii="Times New Roman" w:hAnsi="Times New Roman" w:cs="Times New Roman"/>
        </w:rPr>
        <w:t>2000-201</w:t>
      </w:r>
      <w:r w:rsidR="0069161E" w:rsidRPr="00991725">
        <w:rPr>
          <w:rFonts w:ascii="Times New Roman" w:hAnsi="Times New Roman" w:cs="Times New Roman"/>
        </w:rPr>
        <w:t>4</w:t>
      </w:r>
      <w:r w:rsidR="00EB7291" w:rsidRPr="00991725">
        <w:rPr>
          <w:rFonts w:ascii="Times New Roman" w:hAnsi="Times New Roman" w:cs="Times New Roman"/>
        </w:rPr>
        <w:t xml:space="preserve"> and provisional data from 2015 and 2016</w:t>
      </w:r>
      <w:r w:rsidR="00F971E7" w:rsidRPr="00991725">
        <w:rPr>
          <w:rFonts w:ascii="Times New Roman" w:hAnsi="Times New Roman" w:cs="Times New Roman"/>
        </w:rPr>
        <w:t xml:space="preserve">. </w:t>
      </w:r>
      <w:r w:rsidR="002A4811" w:rsidRPr="00991725">
        <w:rPr>
          <w:rFonts w:ascii="Times New Roman" w:hAnsi="Times New Roman" w:cs="Times New Roman"/>
        </w:rPr>
        <w:t xml:space="preserve">These years </w:t>
      </w:r>
      <w:r w:rsidR="00F971E7" w:rsidRPr="00991725">
        <w:rPr>
          <w:rFonts w:ascii="Times New Roman" w:hAnsi="Times New Roman" w:cs="Times New Roman"/>
        </w:rPr>
        <w:t xml:space="preserve">constitute </w:t>
      </w:r>
      <w:r w:rsidR="002A4811" w:rsidRPr="00991725">
        <w:rPr>
          <w:rFonts w:ascii="Times New Roman" w:hAnsi="Times New Roman" w:cs="Times New Roman"/>
        </w:rPr>
        <w:t xml:space="preserve">the </w:t>
      </w:r>
      <w:r w:rsidR="00F971E7" w:rsidRPr="00991725">
        <w:rPr>
          <w:rFonts w:ascii="Times New Roman" w:hAnsi="Times New Roman" w:cs="Times New Roman"/>
        </w:rPr>
        <w:t xml:space="preserve">most recent and complete data available </w:t>
      </w:r>
      <w:r w:rsidR="002A4811" w:rsidRPr="00991725">
        <w:rPr>
          <w:rFonts w:ascii="Times New Roman" w:hAnsi="Times New Roman" w:cs="Times New Roman"/>
        </w:rPr>
        <w:t>at the initiation of this evaluation</w:t>
      </w:r>
      <w:r w:rsidR="00F971E7" w:rsidRPr="00991725">
        <w:rPr>
          <w:rFonts w:ascii="Times New Roman" w:hAnsi="Times New Roman" w:cs="Times New Roman"/>
        </w:rPr>
        <w:t>.</w:t>
      </w:r>
    </w:p>
    <w:p w:rsidR="00A4181F" w:rsidRPr="00A77AC1" w:rsidRDefault="00A4181F" w:rsidP="00A77AC1">
      <w:pPr>
        <w:rPr>
          <w:rFonts w:ascii="Times New Roman" w:hAnsi="Times New Roman" w:cs="Times New Roman"/>
          <w:b/>
          <w:sz w:val="28"/>
          <w:szCs w:val="28"/>
        </w:rPr>
      </w:pPr>
      <w:r w:rsidRPr="00A77AC1">
        <w:rPr>
          <w:rFonts w:ascii="Times New Roman" w:hAnsi="Times New Roman" w:cs="Times New Roman"/>
          <w:b/>
          <w:sz w:val="28"/>
          <w:szCs w:val="28"/>
        </w:rPr>
        <w:t>Summary of Findings</w:t>
      </w:r>
    </w:p>
    <w:p w:rsidR="009B0667" w:rsidRDefault="00D2798F" w:rsidP="00A77AC1">
      <w:pPr>
        <w:rPr>
          <w:rFonts w:ascii="Times New Roman" w:hAnsi="Times New Roman" w:cs="Times New Roman"/>
        </w:rPr>
      </w:pPr>
      <w:r>
        <w:rPr>
          <w:rFonts w:ascii="Times New Roman" w:hAnsi="Times New Roman" w:cs="Times New Roman"/>
        </w:rPr>
        <w:t>MDPH reviewed s</w:t>
      </w:r>
      <w:r w:rsidR="0033760C">
        <w:rPr>
          <w:rFonts w:ascii="Times New Roman" w:hAnsi="Times New Roman" w:cs="Times New Roman"/>
        </w:rPr>
        <w:t xml:space="preserve">elected health outcomes that could be associated with TCE in response to community concerns about possible indoor air exposure. </w:t>
      </w:r>
    </w:p>
    <w:p w:rsidR="009B0667" w:rsidRDefault="0033760C" w:rsidP="00D4353B">
      <w:pPr>
        <w:pStyle w:val="ListParagraph"/>
        <w:numPr>
          <w:ilvl w:val="0"/>
          <w:numId w:val="15"/>
        </w:numPr>
        <w:rPr>
          <w:rFonts w:ascii="Times New Roman" w:hAnsi="Times New Roman" w:cs="Times New Roman"/>
        </w:rPr>
      </w:pPr>
      <w:r w:rsidRPr="00D4353B">
        <w:rPr>
          <w:rFonts w:ascii="Times New Roman" w:hAnsi="Times New Roman" w:cs="Times New Roman"/>
        </w:rPr>
        <w:t xml:space="preserve">No unusual patterns were observed in the incidence of kidney and renal pelvis cancer, liver and IBD cancer, and NHL among residents of CT 3732 </w:t>
      </w:r>
      <w:r w:rsidR="00A52469" w:rsidRPr="00D4353B">
        <w:rPr>
          <w:rFonts w:ascii="Times New Roman" w:hAnsi="Times New Roman" w:cs="Times New Roman"/>
        </w:rPr>
        <w:t>during 1984-2015</w:t>
      </w:r>
      <w:r w:rsidR="00850F1B">
        <w:rPr>
          <w:rFonts w:ascii="Times New Roman" w:hAnsi="Times New Roman" w:cs="Times New Roman"/>
        </w:rPr>
        <w:t>.</w:t>
      </w:r>
      <w:r w:rsidR="00A52469" w:rsidRPr="00D4353B">
        <w:rPr>
          <w:rFonts w:ascii="Times New Roman" w:hAnsi="Times New Roman" w:cs="Times New Roman"/>
        </w:rPr>
        <w:t xml:space="preserve"> </w:t>
      </w:r>
    </w:p>
    <w:p w:rsidR="00850F1B" w:rsidRDefault="009B0667" w:rsidP="00D4353B">
      <w:pPr>
        <w:pStyle w:val="ListParagraph"/>
        <w:numPr>
          <w:ilvl w:val="0"/>
          <w:numId w:val="15"/>
        </w:numPr>
        <w:rPr>
          <w:rFonts w:ascii="Times New Roman" w:hAnsi="Times New Roman" w:cs="Times New Roman"/>
        </w:rPr>
      </w:pPr>
      <w:r>
        <w:rPr>
          <w:rFonts w:ascii="Times New Roman" w:hAnsi="Times New Roman" w:cs="Times New Roman"/>
        </w:rPr>
        <w:t xml:space="preserve">No unusual patterns were observed </w:t>
      </w:r>
      <w:r w:rsidR="00A52469" w:rsidRPr="00D4353B">
        <w:rPr>
          <w:rFonts w:ascii="Times New Roman" w:hAnsi="Times New Roman" w:cs="Times New Roman"/>
        </w:rPr>
        <w:t xml:space="preserve">in </w:t>
      </w:r>
      <w:r w:rsidR="00CF7D3F" w:rsidRPr="00D4353B">
        <w:rPr>
          <w:rFonts w:ascii="Times New Roman" w:hAnsi="Times New Roman" w:cs="Times New Roman"/>
        </w:rPr>
        <w:t xml:space="preserve">the prevalence of </w:t>
      </w:r>
      <w:r w:rsidR="00A52469" w:rsidRPr="00D4353B">
        <w:rPr>
          <w:rFonts w:ascii="Times New Roman" w:hAnsi="Times New Roman" w:cs="Times New Roman"/>
        </w:rPr>
        <w:t xml:space="preserve">congenital heart defects among live births or stillbirths to mothers residing in this area during 2000-2016. </w:t>
      </w:r>
    </w:p>
    <w:p w:rsidR="0033760C" w:rsidRPr="00D4353B" w:rsidRDefault="00027BA6" w:rsidP="00D4353B">
      <w:pPr>
        <w:pStyle w:val="ListParagraph"/>
        <w:numPr>
          <w:ilvl w:val="0"/>
          <w:numId w:val="15"/>
        </w:numPr>
        <w:rPr>
          <w:rFonts w:ascii="Times New Roman" w:hAnsi="Times New Roman" w:cs="Times New Roman"/>
        </w:rPr>
      </w:pPr>
      <w:r w:rsidRPr="00D4353B">
        <w:rPr>
          <w:rFonts w:ascii="Times New Roman" w:hAnsi="Times New Roman" w:cs="Times New Roman"/>
        </w:rPr>
        <w:t>No</w:t>
      </w:r>
      <w:r w:rsidR="00850F1B">
        <w:rPr>
          <w:rFonts w:ascii="Times New Roman" w:hAnsi="Times New Roman" w:cs="Times New Roman"/>
        </w:rPr>
        <w:t xml:space="preserve"> diagnoses of these cancer types or congenital heart defects</w:t>
      </w:r>
      <w:r w:rsidR="00D2798F" w:rsidRPr="00D4353B">
        <w:rPr>
          <w:rFonts w:ascii="Times New Roman" w:hAnsi="Times New Roman" w:cs="Times New Roman"/>
        </w:rPr>
        <w:t xml:space="preserve"> </w:t>
      </w:r>
      <w:r w:rsidRPr="00D4353B">
        <w:rPr>
          <w:rFonts w:ascii="Times New Roman" w:hAnsi="Times New Roman" w:cs="Times New Roman"/>
        </w:rPr>
        <w:t xml:space="preserve">occurred among individuals living at residences </w:t>
      </w:r>
      <w:r w:rsidR="00624089">
        <w:rPr>
          <w:rFonts w:ascii="Times New Roman" w:hAnsi="Times New Roman" w:cs="Times New Roman"/>
        </w:rPr>
        <w:t xml:space="preserve">within the MassDEP study area </w:t>
      </w:r>
      <w:r w:rsidRPr="00D4353B">
        <w:rPr>
          <w:rFonts w:ascii="Times New Roman" w:hAnsi="Times New Roman" w:cs="Times New Roman"/>
        </w:rPr>
        <w:t xml:space="preserve">where TCE </w:t>
      </w:r>
      <w:r w:rsidR="00801C47" w:rsidRPr="00D4353B">
        <w:rPr>
          <w:rFonts w:ascii="Times New Roman" w:hAnsi="Times New Roman" w:cs="Times New Roman"/>
        </w:rPr>
        <w:t xml:space="preserve">in indoor air </w:t>
      </w:r>
      <w:r w:rsidRPr="00D4353B">
        <w:rPr>
          <w:rFonts w:ascii="Times New Roman" w:hAnsi="Times New Roman" w:cs="Times New Roman"/>
        </w:rPr>
        <w:t>was found above threshold levels.</w:t>
      </w:r>
    </w:p>
    <w:p w:rsidR="000B5A02" w:rsidRPr="00991725" w:rsidRDefault="000B5A02" w:rsidP="00A77AC1">
      <w:pPr>
        <w:rPr>
          <w:rFonts w:ascii="Times New Roman" w:hAnsi="Times New Roman" w:cs="Times New Roman"/>
        </w:rPr>
      </w:pPr>
      <w:r w:rsidRPr="00991725">
        <w:rPr>
          <w:rFonts w:ascii="Times New Roman" w:hAnsi="Times New Roman" w:cs="Times New Roman"/>
        </w:rPr>
        <w:t xml:space="preserve">Based on this screening-level review, MDPH recommends no further evaluation of health information. </w:t>
      </w:r>
    </w:p>
    <w:p w:rsidR="0023518A" w:rsidRPr="00311F3D" w:rsidRDefault="0023518A" w:rsidP="00B63DD2">
      <w:pPr>
        <w:ind w:right="-120"/>
        <w:rPr>
          <w:rFonts w:ascii="Times New Roman" w:hAnsi="Times New Roman" w:cs="Times New Roman"/>
          <w:b/>
          <w:sz w:val="28"/>
          <w:szCs w:val="28"/>
        </w:rPr>
      </w:pPr>
      <w:r w:rsidRPr="00311F3D">
        <w:rPr>
          <w:rFonts w:ascii="Times New Roman" w:hAnsi="Times New Roman" w:cs="Times New Roman"/>
          <w:b/>
          <w:sz w:val="28"/>
          <w:szCs w:val="28"/>
        </w:rPr>
        <w:t>Background</w:t>
      </w:r>
    </w:p>
    <w:p w:rsidR="009538CE" w:rsidRDefault="0023518A" w:rsidP="00AF0993">
      <w:pPr>
        <w:ind w:right="-120"/>
        <w:rPr>
          <w:rFonts w:ascii="Times New Roman" w:hAnsi="Times New Roman" w:cs="Times New Roman"/>
        </w:rPr>
      </w:pPr>
      <w:r w:rsidRPr="00991725">
        <w:rPr>
          <w:rFonts w:ascii="Times New Roman" w:hAnsi="Times New Roman" w:cs="Times New Roman"/>
        </w:rPr>
        <w:t>In 2014, the Massachusetts Department of Environmental Protection (MassDEP) began investigating groundwater contamination in the Nonantum area of Newton caused by TCE. MassDEP conducted indoor air sampling in over</w:t>
      </w:r>
      <w:r w:rsidR="000D1005" w:rsidRPr="00991725">
        <w:rPr>
          <w:rFonts w:ascii="Times New Roman" w:hAnsi="Times New Roman" w:cs="Times New Roman"/>
        </w:rPr>
        <w:t xml:space="preserve"> 160 nearby homes and buildings</w:t>
      </w:r>
      <w:r w:rsidRPr="00991725">
        <w:rPr>
          <w:rFonts w:ascii="Times New Roman" w:hAnsi="Times New Roman" w:cs="Times New Roman"/>
        </w:rPr>
        <w:t xml:space="preserve"> to </w:t>
      </w:r>
      <w:r w:rsidR="00C60AA2" w:rsidRPr="00991725">
        <w:rPr>
          <w:rFonts w:ascii="Times New Roman" w:hAnsi="Times New Roman" w:cs="Times New Roman"/>
        </w:rPr>
        <w:t>determine</w:t>
      </w:r>
      <w:r w:rsidRPr="00991725">
        <w:rPr>
          <w:rFonts w:ascii="Times New Roman" w:hAnsi="Times New Roman" w:cs="Times New Roman"/>
        </w:rPr>
        <w:t xml:space="preserve"> if TCE evaporated from the groundwater and entered indoor air through seams and cracks in foundation</w:t>
      </w:r>
      <w:r w:rsidR="00C60AA2" w:rsidRPr="00991725">
        <w:rPr>
          <w:rFonts w:ascii="Times New Roman" w:hAnsi="Times New Roman" w:cs="Times New Roman"/>
        </w:rPr>
        <w:t>s</w:t>
      </w:r>
      <w:r w:rsidRPr="00991725">
        <w:rPr>
          <w:rFonts w:ascii="Times New Roman" w:hAnsi="Times New Roman" w:cs="Times New Roman"/>
        </w:rPr>
        <w:t xml:space="preserve"> (a process called vapor intrusion). In a small number of </w:t>
      </w:r>
      <w:r w:rsidR="0021106D" w:rsidRPr="00991725">
        <w:rPr>
          <w:rFonts w:ascii="Times New Roman" w:hAnsi="Times New Roman" w:cs="Times New Roman"/>
        </w:rPr>
        <w:t>buildings (approximately 11)</w:t>
      </w:r>
      <w:r w:rsidRPr="00991725">
        <w:rPr>
          <w:rFonts w:ascii="Times New Roman" w:hAnsi="Times New Roman" w:cs="Times New Roman"/>
        </w:rPr>
        <w:t xml:space="preserve"> where contamination w</w:t>
      </w:r>
      <w:r w:rsidR="0021106D" w:rsidRPr="00991725">
        <w:rPr>
          <w:rFonts w:ascii="Times New Roman" w:hAnsi="Times New Roman" w:cs="Times New Roman"/>
        </w:rPr>
        <w:t>as found above threshold levels</w:t>
      </w:r>
      <w:r w:rsidRPr="00991725">
        <w:rPr>
          <w:rFonts w:ascii="Times New Roman" w:hAnsi="Times New Roman" w:cs="Times New Roman"/>
        </w:rPr>
        <w:t>, MassDEP installed systems to prevent vapors from entering</w:t>
      </w:r>
      <w:r w:rsidR="00C60AA2" w:rsidRPr="00991725">
        <w:rPr>
          <w:rFonts w:ascii="Times New Roman" w:hAnsi="Times New Roman" w:cs="Times New Roman"/>
        </w:rPr>
        <w:t xml:space="preserve"> the buildings</w:t>
      </w:r>
      <w:r w:rsidRPr="00991725">
        <w:rPr>
          <w:rFonts w:ascii="Times New Roman" w:hAnsi="Times New Roman" w:cs="Times New Roman"/>
        </w:rPr>
        <w:t xml:space="preserve">. </w:t>
      </w:r>
      <w:r w:rsidR="00365D07" w:rsidRPr="00991725">
        <w:rPr>
          <w:rFonts w:ascii="Times New Roman" w:hAnsi="Times New Roman" w:cs="Times New Roman"/>
        </w:rPr>
        <w:t xml:space="preserve">The approximate area that MassDEP studied within CT 3732 is shown in yellow in Figure 1. </w:t>
      </w:r>
      <w:r w:rsidR="008F2B22" w:rsidRPr="00991725">
        <w:rPr>
          <w:rFonts w:ascii="Times New Roman" w:hAnsi="Times New Roman" w:cs="Times New Roman"/>
        </w:rPr>
        <w:t xml:space="preserve">See the MassDEP fact sheet </w:t>
      </w:r>
      <w:hyperlink r:id="rId11" w:history="1">
        <w:r w:rsidR="008F2B22" w:rsidRPr="00991725">
          <w:rPr>
            <w:rStyle w:val="Hyperlink"/>
            <w:i/>
          </w:rPr>
          <w:t>TCE Contamination, Nonantum Area of Newton, October 2017</w:t>
        </w:r>
      </w:hyperlink>
      <w:r w:rsidR="008F2B22" w:rsidRPr="00991725">
        <w:rPr>
          <w:rFonts w:ascii="Times New Roman" w:hAnsi="Times New Roman" w:cs="Times New Roman"/>
        </w:rPr>
        <w:t xml:space="preserve"> for more details regarding the groundwater investigation. </w:t>
      </w:r>
    </w:p>
    <w:p w:rsidR="00850F1B" w:rsidRPr="00991725" w:rsidRDefault="00850F1B" w:rsidP="00AF0993">
      <w:pPr>
        <w:ind w:right="-120"/>
        <w:rPr>
          <w:rFonts w:ascii="Times New Roman" w:hAnsi="Times New Roman" w:cs="Times New Roman"/>
        </w:rPr>
      </w:pPr>
    </w:p>
    <w:p w:rsidR="00A57D6B" w:rsidRPr="00991725" w:rsidRDefault="00A57D6B" w:rsidP="00A77AC1">
      <w:pPr>
        <w:rPr>
          <w:rFonts w:ascii="Times New Roman" w:hAnsi="Times New Roman" w:cs="Times New Roman"/>
        </w:rPr>
      </w:pPr>
      <w:r w:rsidRPr="00991725">
        <w:rPr>
          <w:rFonts w:ascii="Times New Roman" w:hAnsi="Times New Roman" w:cs="Times New Roman"/>
          <w:b/>
        </w:rPr>
        <w:t>Figure 1:</w:t>
      </w:r>
      <w:r w:rsidRPr="00991725">
        <w:rPr>
          <w:rFonts w:ascii="Times New Roman" w:hAnsi="Times New Roman" w:cs="Times New Roman"/>
        </w:rPr>
        <w:t xml:space="preserve"> Approximate MassDEP study area within CT 3732 in Newton</w:t>
      </w:r>
    </w:p>
    <w:p w:rsidR="00A57D6B" w:rsidRDefault="006A13AC" w:rsidP="00A57D6B">
      <w:pPr>
        <w:ind w:right="-120"/>
        <w:rPr>
          <w:rFonts w:ascii="Times New Roman" w:hAnsi="Times New Roman" w:cs="Times New Roman"/>
          <w:sz w:val="24"/>
          <w:szCs w:val="28"/>
        </w:rPr>
      </w:pPr>
      <w:r>
        <w:rPr>
          <w:rFonts w:ascii="Times New Roman" w:hAnsi="Times New Roman" w:cs="Times New Roman"/>
          <w:noProof/>
          <w:sz w:val="24"/>
          <w:szCs w:val="28"/>
        </w:rPr>
        <w:drawing>
          <wp:inline distT="0" distB="0" distL="0" distR="0" wp14:anchorId="39BBDF07" wp14:editId="7767EE06">
            <wp:extent cx="4429125" cy="4820128"/>
            <wp:effectExtent l="0" t="0" r="0" b="0"/>
            <wp:docPr id="2" name="Picture 2" title="Figure 1: Approximate MassDEP study area within CT 3732 in New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amp;A Figure.jp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431145" cy="4822326"/>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77228D" w:rsidRPr="003106AE" w:rsidRDefault="00897A98" w:rsidP="00290F74">
      <w:pPr>
        <w:pStyle w:val="Heading1"/>
        <w:spacing w:after="200" w:line="276" w:lineRule="auto"/>
      </w:pPr>
      <w:r w:rsidRPr="00290F74">
        <w:rPr>
          <w:shadow w:val="0"/>
          <w:szCs w:val="28"/>
        </w:rPr>
        <w:t xml:space="preserve">What is </w:t>
      </w:r>
      <w:r w:rsidRPr="003106AE">
        <w:rPr>
          <w:szCs w:val="28"/>
        </w:rPr>
        <w:t>TCE?</w:t>
      </w:r>
    </w:p>
    <w:p w:rsidR="0062030E" w:rsidRPr="00991725" w:rsidRDefault="00AD5D96" w:rsidP="00365D07">
      <w:pPr>
        <w:rPr>
          <w:rFonts w:ascii="Times New Roman" w:hAnsi="Times New Roman" w:cs="Times New Roman"/>
        </w:rPr>
      </w:pPr>
      <w:r w:rsidRPr="00991725">
        <w:rPr>
          <w:rFonts w:ascii="Times New Roman" w:hAnsi="Times New Roman" w:cs="Times New Roman"/>
        </w:rPr>
        <w:t xml:space="preserve">TCE is </w:t>
      </w:r>
      <w:r w:rsidR="00365D07" w:rsidRPr="00991725">
        <w:rPr>
          <w:rFonts w:ascii="Times New Roman" w:hAnsi="Times New Roman" w:cs="Times New Roman"/>
        </w:rPr>
        <w:t>a nonflammable, colorless liquid used as a solvent to remove grease from metal parts. It is also found in adhesives, paint removers, varnishes, lubricants, and spot removers. It is not unusual for low levels of TCE to be present in indoor air.</w:t>
      </w:r>
      <w:r w:rsidR="001139DC" w:rsidRPr="00991725">
        <w:rPr>
          <w:rFonts w:ascii="Times New Roman" w:hAnsi="Times New Roman" w:cs="Times New Roman"/>
        </w:rPr>
        <w:t xml:space="preserve"> </w:t>
      </w:r>
    </w:p>
    <w:p w:rsidR="00F26973" w:rsidRPr="00991725" w:rsidRDefault="002D37F3" w:rsidP="00365D07">
      <w:pPr>
        <w:rPr>
          <w:rFonts w:ascii="Times New Roman" w:hAnsi="Times New Roman" w:cs="Times New Roman"/>
        </w:rPr>
      </w:pPr>
      <w:r w:rsidRPr="00991725">
        <w:rPr>
          <w:rFonts w:ascii="Times New Roman" w:hAnsi="Times New Roman" w:cs="Times New Roman"/>
        </w:rPr>
        <w:t xml:space="preserve">Effects from TCE depend on how much </w:t>
      </w:r>
      <w:r w:rsidR="00125D2E" w:rsidRPr="00991725">
        <w:rPr>
          <w:rFonts w:ascii="Times New Roman" w:hAnsi="Times New Roman" w:cs="Times New Roman"/>
        </w:rPr>
        <w:t>a person has been</w:t>
      </w:r>
      <w:r w:rsidRPr="00991725">
        <w:rPr>
          <w:rFonts w:ascii="Times New Roman" w:hAnsi="Times New Roman" w:cs="Times New Roman"/>
        </w:rPr>
        <w:t xml:space="preserve"> exposed to, how long the exposure lasted, and how </w:t>
      </w:r>
      <w:r w:rsidR="00125D2E" w:rsidRPr="00991725">
        <w:rPr>
          <w:rFonts w:ascii="Times New Roman" w:hAnsi="Times New Roman" w:cs="Times New Roman"/>
        </w:rPr>
        <w:t xml:space="preserve">the person was </w:t>
      </w:r>
      <w:r w:rsidRPr="00991725">
        <w:rPr>
          <w:rFonts w:ascii="Times New Roman" w:hAnsi="Times New Roman" w:cs="Times New Roman"/>
        </w:rPr>
        <w:t>exposed</w:t>
      </w:r>
      <w:r w:rsidR="00125D2E" w:rsidRPr="00991725">
        <w:rPr>
          <w:rFonts w:ascii="Times New Roman" w:hAnsi="Times New Roman" w:cs="Times New Roman"/>
        </w:rPr>
        <w:t xml:space="preserve"> (for example, by inhalation or ingestion)</w:t>
      </w:r>
      <w:r w:rsidRPr="00991725">
        <w:rPr>
          <w:rFonts w:ascii="Times New Roman" w:hAnsi="Times New Roman" w:cs="Times New Roman"/>
        </w:rPr>
        <w:t xml:space="preserve">. Possible harm from exposure may also depend on personal factors such as age, sex, diet, lifestyle, and current health status. </w:t>
      </w:r>
      <w:r w:rsidR="00C30DFB" w:rsidRPr="00991725">
        <w:rPr>
          <w:rFonts w:ascii="Times New Roman" w:hAnsi="Times New Roman" w:cs="Times New Roman"/>
        </w:rPr>
        <w:t xml:space="preserve">Exposure to TCE at high levels, such as industrial workplaces, has been linked with an increased risk for kidney cancer, liver cancer, and NHL. Some scientific studies suggest that exposure to TCE during early pregnancy may </w:t>
      </w:r>
      <w:r w:rsidR="00CF30E8" w:rsidRPr="00991725">
        <w:rPr>
          <w:rFonts w:ascii="Times New Roman" w:hAnsi="Times New Roman" w:cs="Times New Roman"/>
        </w:rPr>
        <w:t xml:space="preserve">result in a small </w:t>
      </w:r>
      <w:r w:rsidR="00C30DFB" w:rsidRPr="00991725">
        <w:rPr>
          <w:rFonts w:ascii="Times New Roman" w:hAnsi="Times New Roman" w:cs="Times New Roman"/>
        </w:rPr>
        <w:t>increase</w:t>
      </w:r>
      <w:r w:rsidR="00CF30E8" w:rsidRPr="00991725">
        <w:rPr>
          <w:rFonts w:ascii="Times New Roman" w:hAnsi="Times New Roman" w:cs="Times New Roman"/>
        </w:rPr>
        <w:t>d</w:t>
      </w:r>
      <w:r w:rsidR="00C30DFB" w:rsidRPr="00991725">
        <w:rPr>
          <w:rFonts w:ascii="Times New Roman" w:hAnsi="Times New Roman" w:cs="Times New Roman"/>
        </w:rPr>
        <w:t xml:space="preserve"> risk </w:t>
      </w:r>
      <w:r w:rsidR="00CF30E8" w:rsidRPr="00991725">
        <w:rPr>
          <w:rFonts w:ascii="Times New Roman" w:hAnsi="Times New Roman" w:cs="Times New Roman"/>
        </w:rPr>
        <w:t xml:space="preserve">of </w:t>
      </w:r>
      <w:r w:rsidR="00C30DFB" w:rsidRPr="00991725">
        <w:rPr>
          <w:rFonts w:ascii="Times New Roman" w:hAnsi="Times New Roman" w:cs="Times New Roman"/>
        </w:rPr>
        <w:t>heart defects in the developing fetus.</w:t>
      </w:r>
      <w:r w:rsidR="00A57D6B" w:rsidRPr="00991725">
        <w:rPr>
          <w:rFonts w:ascii="Times New Roman" w:hAnsi="Times New Roman" w:cs="Times New Roman"/>
        </w:rPr>
        <w:t xml:space="preserve"> </w:t>
      </w:r>
      <w:r w:rsidR="00E548C3" w:rsidRPr="00991725">
        <w:rPr>
          <w:rFonts w:ascii="Times New Roman" w:hAnsi="Times New Roman" w:cs="Times New Roman"/>
        </w:rPr>
        <w:t xml:space="preserve">See the MDPH fact sheet </w:t>
      </w:r>
      <w:hyperlink r:id="rId13" w:history="1">
        <w:r w:rsidR="00E548C3" w:rsidRPr="00991725">
          <w:rPr>
            <w:rStyle w:val="Hyperlink"/>
            <w:i/>
          </w:rPr>
          <w:t>Trichloroethylene (TCE) in Indoor Air</w:t>
        </w:r>
      </w:hyperlink>
      <w:r w:rsidR="00E548C3" w:rsidRPr="00991725">
        <w:rPr>
          <w:rFonts w:ascii="Times New Roman" w:hAnsi="Times New Roman" w:cs="Times New Roman"/>
        </w:rPr>
        <w:t xml:space="preserve"> for more information. </w:t>
      </w:r>
      <w:r w:rsidR="004F04F3">
        <w:rPr>
          <w:rFonts w:ascii="Times New Roman" w:hAnsi="Times New Roman" w:cs="Times New Roman"/>
        </w:rPr>
        <w:t xml:space="preserve"> </w:t>
      </w:r>
    </w:p>
    <w:p w:rsidR="002663F0" w:rsidRPr="00290F74" w:rsidRDefault="00B83954" w:rsidP="00290F74">
      <w:pPr>
        <w:pStyle w:val="Heading2"/>
        <w:spacing w:before="0" w:after="200"/>
        <w:rPr>
          <w:rFonts w:cs="Times New Roman"/>
          <w:sz w:val="28"/>
          <w:szCs w:val="28"/>
        </w:rPr>
      </w:pPr>
      <w:r w:rsidRPr="00290F74">
        <w:rPr>
          <w:rFonts w:cs="Times New Roman"/>
          <w:sz w:val="28"/>
          <w:szCs w:val="28"/>
        </w:rPr>
        <w:t>Incidence of Three Types</w:t>
      </w:r>
      <w:r w:rsidR="00A15688" w:rsidRPr="00290F74">
        <w:rPr>
          <w:rFonts w:cs="Times New Roman"/>
          <w:sz w:val="28"/>
          <w:szCs w:val="28"/>
        </w:rPr>
        <w:t xml:space="preserve"> of Cancer</w:t>
      </w:r>
      <w:r w:rsidRPr="00290F74">
        <w:rPr>
          <w:rFonts w:cs="Times New Roman"/>
          <w:sz w:val="28"/>
          <w:szCs w:val="28"/>
        </w:rPr>
        <w:t xml:space="preserve"> in CT 3732</w:t>
      </w:r>
      <w:r w:rsidR="00A15688">
        <w:rPr>
          <w:rFonts w:cs="Times New Roman"/>
          <w:sz w:val="28"/>
          <w:szCs w:val="28"/>
        </w:rPr>
        <w:t xml:space="preserve"> </w:t>
      </w:r>
    </w:p>
    <w:p w:rsidR="000F0FD1" w:rsidRPr="00C36DAC" w:rsidRDefault="00521685" w:rsidP="00290F74">
      <w:pPr>
        <w:pStyle w:val="Heading3"/>
        <w:spacing w:before="0" w:after="200"/>
        <w:ind w:left="720"/>
      </w:pPr>
      <w:r w:rsidRPr="00290F74">
        <w:rPr>
          <w:rFonts w:cs="Times New Roman"/>
          <w:i/>
        </w:rPr>
        <w:t>Kidney and Renal Pelvis Cancer</w:t>
      </w:r>
    </w:p>
    <w:p w:rsidR="005B7E0E" w:rsidRPr="00991725" w:rsidRDefault="009A3C4B" w:rsidP="00290F74">
      <w:pPr>
        <w:rPr>
          <w:rFonts w:ascii="Times New Roman" w:hAnsi="Times New Roman" w:cs="Times New Roman"/>
        </w:rPr>
      </w:pPr>
      <w:r w:rsidRPr="00991725">
        <w:rPr>
          <w:rFonts w:ascii="Times New Roman" w:hAnsi="Times New Roman" w:cs="Times New Roman"/>
        </w:rPr>
        <w:t xml:space="preserve">The incidence of </w:t>
      </w:r>
      <w:r w:rsidR="000F0FD1" w:rsidRPr="00991725">
        <w:rPr>
          <w:rFonts w:ascii="Times New Roman" w:hAnsi="Times New Roman" w:cs="Times New Roman"/>
        </w:rPr>
        <w:t>kidney and renal pelvis</w:t>
      </w:r>
      <w:r w:rsidRPr="00991725">
        <w:rPr>
          <w:rFonts w:ascii="Times New Roman" w:hAnsi="Times New Roman" w:cs="Times New Roman"/>
        </w:rPr>
        <w:t xml:space="preserve"> cancer among males in </w:t>
      </w:r>
      <w:r w:rsidR="000F0FD1" w:rsidRPr="00991725">
        <w:rPr>
          <w:rFonts w:ascii="Times New Roman" w:hAnsi="Times New Roman" w:cs="Times New Roman"/>
        </w:rPr>
        <w:t xml:space="preserve">CT 3732 </w:t>
      </w:r>
      <w:r w:rsidR="004420D1" w:rsidRPr="00991725">
        <w:rPr>
          <w:rFonts w:ascii="Times New Roman" w:hAnsi="Times New Roman" w:cs="Times New Roman"/>
        </w:rPr>
        <w:t>was as expected during 1984-1993</w:t>
      </w:r>
      <w:r w:rsidR="00A955EF" w:rsidRPr="00991725">
        <w:rPr>
          <w:rFonts w:ascii="Times New Roman" w:hAnsi="Times New Roman" w:cs="Times New Roman"/>
        </w:rPr>
        <w:t>,</w:t>
      </w:r>
      <w:r w:rsidR="004420D1" w:rsidRPr="00991725">
        <w:rPr>
          <w:rFonts w:ascii="Times New Roman" w:hAnsi="Times New Roman" w:cs="Times New Roman"/>
        </w:rPr>
        <w:t xml:space="preserve"> statistically significantly ele</w:t>
      </w:r>
      <w:r w:rsidR="00C94B5E" w:rsidRPr="00991725">
        <w:rPr>
          <w:rFonts w:ascii="Times New Roman" w:hAnsi="Times New Roman" w:cs="Times New Roman"/>
        </w:rPr>
        <w:t>vated during 19</w:t>
      </w:r>
      <w:r w:rsidR="004420D1" w:rsidRPr="00991725">
        <w:rPr>
          <w:rFonts w:ascii="Times New Roman" w:hAnsi="Times New Roman" w:cs="Times New Roman"/>
        </w:rPr>
        <w:t>94-2003 (10 observed</w:t>
      </w:r>
      <w:r w:rsidR="001F2C71" w:rsidRPr="00991725">
        <w:rPr>
          <w:rFonts w:ascii="Times New Roman" w:hAnsi="Times New Roman" w:cs="Times New Roman"/>
        </w:rPr>
        <w:t xml:space="preserve"> versus</w:t>
      </w:r>
      <w:r w:rsidR="004420D1" w:rsidRPr="00991725">
        <w:rPr>
          <w:rFonts w:ascii="Times New Roman" w:hAnsi="Times New Roman" w:cs="Times New Roman"/>
        </w:rPr>
        <w:t xml:space="preserve"> </w:t>
      </w:r>
      <w:r w:rsidR="001F2C71" w:rsidRPr="00991725">
        <w:rPr>
          <w:rFonts w:ascii="Times New Roman" w:hAnsi="Times New Roman" w:cs="Times New Roman"/>
        </w:rPr>
        <w:t>4</w:t>
      </w:r>
      <w:r w:rsidR="004420D1" w:rsidRPr="00991725">
        <w:rPr>
          <w:rFonts w:ascii="Times New Roman" w:hAnsi="Times New Roman" w:cs="Times New Roman"/>
        </w:rPr>
        <w:t xml:space="preserve"> expected)</w:t>
      </w:r>
      <w:r w:rsidR="009F332C" w:rsidRPr="00991725">
        <w:rPr>
          <w:rFonts w:ascii="Times New Roman" w:hAnsi="Times New Roman" w:cs="Times New Roman"/>
        </w:rPr>
        <w:t>,</w:t>
      </w:r>
      <w:r w:rsidR="001F2C71" w:rsidRPr="00991725">
        <w:rPr>
          <w:rFonts w:ascii="Times New Roman" w:hAnsi="Times New Roman" w:cs="Times New Roman"/>
        </w:rPr>
        <w:t xml:space="preserve"> and</w:t>
      </w:r>
      <w:r w:rsidR="009F332C" w:rsidRPr="00991725">
        <w:rPr>
          <w:rFonts w:ascii="Times New Roman" w:hAnsi="Times New Roman" w:cs="Times New Roman"/>
        </w:rPr>
        <w:t xml:space="preserve"> elevated but not statistically significantly during 2004-2013</w:t>
      </w:r>
      <w:r w:rsidR="001F2C71" w:rsidRPr="00991725">
        <w:rPr>
          <w:rFonts w:ascii="Times New Roman" w:hAnsi="Times New Roman" w:cs="Times New Roman"/>
        </w:rPr>
        <w:t xml:space="preserve"> (8 observed versus 5 expected)</w:t>
      </w:r>
      <w:r w:rsidR="004420D1" w:rsidRPr="00991725">
        <w:rPr>
          <w:rFonts w:ascii="Times New Roman" w:hAnsi="Times New Roman" w:cs="Times New Roman"/>
        </w:rPr>
        <w:t>. Among females, the incidence of kidney and renal pelvis cancer was as exp</w:t>
      </w:r>
      <w:r w:rsidR="00C94B5E" w:rsidRPr="00991725">
        <w:rPr>
          <w:rFonts w:ascii="Times New Roman" w:hAnsi="Times New Roman" w:cs="Times New Roman"/>
        </w:rPr>
        <w:t>ected</w:t>
      </w:r>
      <w:r w:rsidR="00086F27" w:rsidRPr="00991725">
        <w:rPr>
          <w:rFonts w:ascii="Times New Roman" w:hAnsi="Times New Roman" w:cs="Times New Roman"/>
        </w:rPr>
        <w:t xml:space="preserve"> (within 1 or 2 diagnoses)</w:t>
      </w:r>
      <w:r w:rsidR="004901B4" w:rsidRPr="00991725">
        <w:rPr>
          <w:rFonts w:ascii="Times New Roman" w:hAnsi="Times New Roman" w:cs="Times New Roman"/>
        </w:rPr>
        <w:t xml:space="preserve"> during all three time periods (</w:t>
      </w:r>
      <w:r w:rsidR="004901B4" w:rsidRPr="00991725">
        <w:rPr>
          <w:rFonts w:ascii="Times New Roman" w:hAnsi="Times New Roman" w:cs="Times New Roman"/>
        </w:rPr>
        <w:fldChar w:fldCharType="begin"/>
      </w:r>
      <w:r w:rsidR="004901B4" w:rsidRPr="00991725">
        <w:rPr>
          <w:rFonts w:ascii="Times New Roman" w:hAnsi="Times New Roman" w:cs="Times New Roman"/>
        </w:rPr>
        <w:instrText xml:space="preserve"> REF _Ref524618940 \h  \* MERGEFORMAT </w:instrText>
      </w:r>
      <w:r w:rsidR="004901B4" w:rsidRPr="00991725">
        <w:rPr>
          <w:rFonts w:ascii="Times New Roman" w:hAnsi="Times New Roman" w:cs="Times New Roman"/>
        </w:rPr>
      </w:r>
      <w:r w:rsidR="004901B4" w:rsidRPr="00991725">
        <w:rPr>
          <w:rFonts w:ascii="Times New Roman" w:hAnsi="Times New Roman" w:cs="Times New Roman"/>
        </w:rPr>
        <w:fldChar w:fldCharType="separate"/>
      </w:r>
      <w:r w:rsidR="00BC000F" w:rsidRPr="00991725">
        <w:rPr>
          <w:rFonts w:ascii="Times New Roman" w:hAnsi="Times New Roman" w:cs="Times New Roman"/>
        </w:rPr>
        <w:t xml:space="preserve">Table </w:t>
      </w:r>
      <w:r w:rsidR="00BC000F">
        <w:rPr>
          <w:rFonts w:ascii="Times New Roman" w:hAnsi="Times New Roman" w:cs="Times New Roman"/>
          <w:noProof/>
        </w:rPr>
        <w:t>1</w:t>
      </w:r>
      <w:r w:rsidR="004901B4" w:rsidRPr="00991725">
        <w:rPr>
          <w:rFonts w:ascii="Times New Roman" w:hAnsi="Times New Roman" w:cs="Times New Roman"/>
        </w:rPr>
        <w:fldChar w:fldCharType="end"/>
      </w:r>
      <w:r w:rsidR="004901B4" w:rsidRPr="00991725">
        <w:rPr>
          <w:rFonts w:ascii="Times New Roman" w:hAnsi="Times New Roman" w:cs="Times New Roman"/>
        </w:rPr>
        <w:t>)</w:t>
      </w:r>
      <w:r w:rsidR="00C94B5E" w:rsidRPr="00991725">
        <w:rPr>
          <w:rFonts w:ascii="Times New Roman" w:hAnsi="Times New Roman" w:cs="Times New Roman"/>
        </w:rPr>
        <w:t>.</w:t>
      </w:r>
    </w:p>
    <w:p w:rsidR="004901B4" w:rsidRPr="00991725" w:rsidRDefault="004901B4" w:rsidP="004901B4">
      <w:pPr>
        <w:pStyle w:val="Caption"/>
        <w:keepNext/>
        <w:rPr>
          <w:rFonts w:ascii="Times New Roman" w:hAnsi="Times New Roman" w:cs="Times New Roman"/>
          <w:color w:val="auto"/>
          <w:sz w:val="22"/>
          <w:szCs w:val="22"/>
        </w:rPr>
      </w:pPr>
      <w:bookmarkStart w:id="1" w:name="_Ref524618940"/>
      <w:r w:rsidRPr="00991725">
        <w:rPr>
          <w:rFonts w:ascii="Times New Roman" w:hAnsi="Times New Roman" w:cs="Times New Roman"/>
          <w:color w:val="auto"/>
          <w:sz w:val="22"/>
          <w:szCs w:val="22"/>
        </w:rPr>
        <w:t xml:space="preserve">Table </w:t>
      </w:r>
      <w:r w:rsidRPr="00991725">
        <w:rPr>
          <w:rFonts w:ascii="Times New Roman" w:hAnsi="Times New Roman" w:cs="Times New Roman"/>
          <w:color w:val="auto"/>
          <w:sz w:val="22"/>
          <w:szCs w:val="22"/>
        </w:rPr>
        <w:fldChar w:fldCharType="begin"/>
      </w:r>
      <w:r w:rsidRPr="00991725">
        <w:rPr>
          <w:rFonts w:ascii="Times New Roman" w:hAnsi="Times New Roman" w:cs="Times New Roman"/>
          <w:color w:val="auto"/>
          <w:sz w:val="22"/>
          <w:szCs w:val="22"/>
        </w:rPr>
        <w:instrText xml:space="preserve"> SEQ Table \* ARABIC </w:instrText>
      </w:r>
      <w:r w:rsidRPr="00991725">
        <w:rPr>
          <w:rFonts w:ascii="Times New Roman" w:hAnsi="Times New Roman" w:cs="Times New Roman"/>
          <w:color w:val="auto"/>
          <w:sz w:val="22"/>
          <w:szCs w:val="22"/>
        </w:rPr>
        <w:fldChar w:fldCharType="separate"/>
      </w:r>
      <w:r w:rsidR="00BC000F">
        <w:rPr>
          <w:rFonts w:ascii="Times New Roman" w:hAnsi="Times New Roman" w:cs="Times New Roman"/>
          <w:noProof/>
          <w:color w:val="auto"/>
          <w:sz w:val="22"/>
          <w:szCs w:val="22"/>
        </w:rPr>
        <w:t>1</w:t>
      </w:r>
      <w:r w:rsidRPr="00991725">
        <w:rPr>
          <w:rFonts w:ascii="Times New Roman" w:hAnsi="Times New Roman" w:cs="Times New Roman"/>
          <w:color w:val="auto"/>
          <w:sz w:val="22"/>
          <w:szCs w:val="22"/>
        </w:rPr>
        <w:fldChar w:fldCharType="end"/>
      </w:r>
      <w:bookmarkEnd w:id="1"/>
      <w:r w:rsidRPr="00991725">
        <w:rPr>
          <w:rFonts w:ascii="Times New Roman" w:hAnsi="Times New Roman" w:cs="Times New Roman"/>
          <w:color w:val="auto"/>
          <w:sz w:val="22"/>
          <w:szCs w:val="22"/>
        </w:rPr>
        <w:t xml:space="preserve">: </w:t>
      </w:r>
      <w:r w:rsidRPr="00991725">
        <w:rPr>
          <w:rFonts w:ascii="Times New Roman" w:hAnsi="Times New Roman" w:cs="Times New Roman"/>
          <w:b w:val="0"/>
          <w:color w:val="auto"/>
          <w:sz w:val="22"/>
          <w:szCs w:val="22"/>
        </w:rPr>
        <w:t>Incidence of Kidney and Renal Pelvis Cancer in CT 3732 from 1984-2013</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88"/>
        <w:gridCol w:w="630"/>
        <w:gridCol w:w="630"/>
        <w:gridCol w:w="630"/>
        <w:gridCol w:w="1170"/>
        <w:gridCol w:w="720"/>
        <w:gridCol w:w="630"/>
        <w:gridCol w:w="720"/>
        <w:gridCol w:w="1080"/>
        <w:gridCol w:w="630"/>
        <w:gridCol w:w="630"/>
        <w:gridCol w:w="630"/>
        <w:gridCol w:w="1098"/>
      </w:tblGrid>
      <w:tr w:rsidR="00BB502F" w:rsidRPr="00A81574" w:rsidTr="00A81574">
        <w:tc>
          <w:tcPr>
            <w:tcW w:w="1188" w:type="dxa"/>
            <w:vMerge w:val="restart"/>
            <w:shd w:val="clear" w:color="auto" w:fill="D2DFD0" w:themeFill="accent5" w:themeFillTint="66"/>
          </w:tcPr>
          <w:p w:rsidR="00BB502F" w:rsidRPr="00A81574" w:rsidRDefault="00BB502F" w:rsidP="00A81574">
            <w:pPr>
              <w:rPr>
                <w:rFonts w:ascii="Times New Roman" w:hAnsi="Times New Roman" w:cs="Times New Roman"/>
              </w:rPr>
            </w:pPr>
          </w:p>
        </w:tc>
        <w:tc>
          <w:tcPr>
            <w:tcW w:w="3060" w:type="dxa"/>
            <w:gridSpan w:val="4"/>
            <w:shd w:val="clear" w:color="auto" w:fill="D2DFD0" w:themeFill="accent5" w:themeFillTint="66"/>
          </w:tcPr>
          <w:p w:rsidR="00BB502F" w:rsidRPr="00A81574" w:rsidRDefault="00BB502F" w:rsidP="00A81574">
            <w:pPr>
              <w:jc w:val="center"/>
              <w:rPr>
                <w:rFonts w:ascii="Times New Roman" w:hAnsi="Times New Roman" w:cs="Times New Roman"/>
                <w:b/>
              </w:rPr>
            </w:pPr>
            <w:r w:rsidRPr="00A81574">
              <w:rPr>
                <w:rFonts w:ascii="Times New Roman" w:hAnsi="Times New Roman" w:cs="Times New Roman"/>
                <w:b/>
              </w:rPr>
              <w:t>1984-1993</w:t>
            </w:r>
          </w:p>
        </w:tc>
        <w:tc>
          <w:tcPr>
            <w:tcW w:w="3150" w:type="dxa"/>
            <w:gridSpan w:val="4"/>
            <w:shd w:val="clear" w:color="auto" w:fill="D2DFD0" w:themeFill="accent5" w:themeFillTint="66"/>
          </w:tcPr>
          <w:p w:rsidR="00BB502F" w:rsidRPr="00A81574" w:rsidRDefault="00BB502F" w:rsidP="00A81574">
            <w:pPr>
              <w:jc w:val="center"/>
              <w:rPr>
                <w:rFonts w:ascii="Times New Roman" w:hAnsi="Times New Roman" w:cs="Times New Roman"/>
                <w:b/>
              </w:rPr>
            </w:pPr>
            <w:r w:rsidRPr="00A81574">
              <w:rPr>
                <w:rFonts w:ascii="Times New Roman" w:hAnsi="Times New Roman" w:cs="Times New Roman"/>
                <w:b/>
              </w:rPr>
              <w:t>1994-2003</w:t>
            </w:r>
          </w:p>
        </w:tc>
        <w:tc>
          <w:tcPr>
            <w:tcW w:w="2988" w:type="dxa"/>
            <w:gridSpan w:val="4"/>
            <w:shd w:val="clear" w:color="auto" w:fill="D2DFD0" w:themeFill="accent5" w:themeFillTint="66"/>
          </w:tcPr>
          <w:p w:rsidR="00BB502F" w:rsidRPr="00A81574" w:rsidRDefault="00BB502F" w:rsidP="00A81574">
            <w:pPr>
              <w:jc w:val="center"/>
              <w:rPr>
                <w:rFonts w:ascii="Times New Roman" w:hAnsi="Times New Roman" w:cs="Times New Roman"/>
                <w:b/>
              </w:rPr>
            </w:pPr>
            <w:r w:rsidRPr="00A81574">
              <w:rPr>
                <w:rFonts w:ascii="Times New Roman" w:hAnsi="Times New Roman" w:cs="Times New Roman"/>
                <w:b/>
              </w:rPr>
              <w:t>2004-2013</w:t>
            </w:r>
          </w:p>
        </w:tc>
      </w:tr>
      <w:tr w:rsidR="00BB502F" w:rsidRPr="00A81574" w:rsidTr="00BB502F">
        <w:tc>
          <w:tcPr>
            <w:tcW w:w="1188" w:type="dxa"/>
            <w:vMerge/>
            <w:shd w:val="clear" w:color="auto" w:fill="D2DFD0" w:themeFill="accent5" w:themeFillTint="66"/>
          </w:tcPr>
          <w:p w:rsidR="00BB502F" w:rsidRPr="00A81574" w:rsidRDefault="00BB502F" w:rsidP="00A81574">
            <w:pPr>
              <w:rPr>
                <w:rFonts w:ascii="Times New Roman" w:hAnsi="Times New Roman" w:cs="Times New Roman"/>
              </w:rPr>
            </w:pPr>
          </w:p>
        </w:tc>
        <w:tc>
          <w:tcPr>
            <w:tcW w:w="630" w:type="dxa"/>
            <w:shd w:val="clear" w:color="auto" w:fill="D2DFD0" w:themeFill="accent5" w:themeFillTint="66"/>
          </w:tcPr>
          <w:p w:rsidR="00BB502F" w:rsidRPr="00A81574" w:rsidRDefault="00BB502F" w:rsidP="00A81574">
            <w:pPr>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BB502F" w:rsidRPr="00A81574" w:rsidRDefault="00BB502F" w:rsidP="00A81574">
            <w:pPr>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630" w:type="dxa"/>
            <w:tcBorders>
              <w:bottom w:val="single" w:sz="12" w:space="0" w:color="auto"/>
            </w:tcBorders>
            <w:shd w:val="clear" w:color="auto" w:fill="D2DFD0" w:themeFill="accent5" w:themeFillTint="66"/>
          </w:tcPr>
          <w:p w:rsidR="00BB502F" w:rsidRPr="00A81574" w:rsidRDefault="00BB502F" w:rsidP="00A81574">
            <w:pPr>
              <w:rPr>
                <w:rFonts w:ascii="Times New Roman" w:hAnsi="Times New Roman" w:cs="Times New Roman"/>
                <w:b/>
                <w:szCs w:val="24"/>
              </w:rPr>
            </w:pPr>
            <w:r w:rsidRPr="00A81574">
              <w:rPr>
                <w:rFonts w:ascii="Times New Roman" w:hAnsi="Times New Roman" w:cs="Times New Roman"/>
                <w:b/>
                <w:szCs w:val="24"/>
              </w:rPr>
              <w:t>SIR</w:t>
            </w:r>
          </w:p>
        </w:tc>
        <w:tc>
          <w:tcPr>
            <w:tcW w:w="1170" w:type="dxa"/>
            <w:shd w:val="clear" w:color="auto" w:fill="D2DFD0" w:themeFill="accent5" w:themeFillTint="66"/>
          </w:tcPr>
          <w:p w:rsidR="00BB502F" w:rsidRPr="00A81574" w:rsidRDefault="00BB502F" w:rsidP="00A81574">
            <w:pPr>
              <w:rPr>
                <w:rFonts w:ascii="Times New Roman" w:hAnsi="Times New Roman" w:cs="Times New Roman"/>
                <w:b/>
                <w:szCs w:val="24"/>
              </w:rPr>
            </w:pPr>
            <w:r w:rsidRPr="00A81574">
              <w:rPr>
                <w:rFonts w:ascii="Times New Roman" w:hAnsi="Times New Roman" w:cs="Times New Roman"/>
                <w:b/>
                <w:szCs w:val="24"/>
              </w:rPr>
              <w:t>95% CI</w:t>
            </w:r>
          </w:p>
        </w:tc>
        <w:tc>
          <w:tcPr>
            <w:tcW w:w="720" w:type="dxa"/>
            <w:shd w:val="clear" w:color="auto" w:fill="D2DFD0" w:themeFill="accent5" w:themeFillTint="66"/>
          </w:tcPr>
          <w:p w:rsidR="00BB502F" w:rsidRPr="00A81574" w:rsidRDefault="00BB502F" w:rsidP="00A81574">
            <w:pPr>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BB502F" w:rsidRPr="00A81574" w:rsidRDefault="00BB502F" w:rsidP="00A81574">
            <w:pPr>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720" w:type="dxa"/>
            <w:tcBorders>
              <w:bottom w:val="single" w:sz="12" w:space="0" w:color="auto"/>
            </w:tcBorders>
            <w:shd w:val="clear" w:color="auto" w:fill="D2DFD0" w:themeFill="accent5" w:themeFillTint="66"/>
          </w:tcPr>
          <w:p w:rsidR="00BB502F" w:rsidRPr="00A81574" w:rsidRDefault="00BB502F" w:rsidP="00A81574">
            <w:pPr>
              <w:rPr>
                <w:rFonts w:ascii="Times New Roman" w:hAnsi="Times New Roman" w:cs="Times New Roman"/>
                <w:b/>
                <w:szCs w:val="24"/>
              </w:rPr>
            </w:pPr>
            <w:r w:rsidRPr="00A81574">
              <w:rPr>
                <w:rFonts w:ascii="Times New Roman" w:hAnsi="Times New Roman" w:cs="Times New Roman"/>
                <w:b/>
                <w:szCs w:val="24"/>
              </w:rPr>
              <w:t>SIR</w:t>
            </w:r>
          </w:p>
        </w:tc>
        <w:tc>
          <w:tcPr>
            <w:tcW w:w="1080" w:type="dxa"/>
            <w:shd w:val="clear" w:color="auto" w:fill="D2DFD0" w:themeFill="accent5" w:themeFillTint="66"/>
          </w:tcPr>
          <w:p w:rsidR="00BB502F" w:rsidRPr="00A81574" w:rsidRDefault="00BB502F" w:rsidP="00A81574">
            <w:pPr>
              <w:rPr>
                <w:rFonts w:ascii="Times New Roman" w:hAnsi="Times New Roman" w:cs="Times New Roman"/>
                <w:b/>
                <w:szCs w:val="24"/>
              </w:rPr>
            </w:pPr>
            <w:r w:rsidRPr="00A81574">
              <w:rPr>
                <w:rFonts w:ascii="Times New Roman" w:hAnsi="Times New Roman" w:cs="Times New Roman"/>
                <w:b/>
                <w:szCs w:val="24"/>
              </w:rPr>
              <w:t>95% CI</w:t>
            </w:r>
          </w:p>
        </w:tc>
        <w:tc>
          <w:tcPr>
            <w:tcW w:w="630" w:type="dxa"/>
            <w:shd w:val="clear" w:color="auto" w:fill="D2DFD0" w:themeFill="accent5" w:themeFillTint="66"/>
          </w:tcPr>
          <w:p w:rsidR="00BB502F" w:rsidRPr="00A81574" w:rsidRDefault="00BB502F" w:rsidP="00A81574">
            <w:pPr>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BB502F" w:rsidRPr="00A81574" w:rsidRDefault="00BB502F" w:rsidP="00A81574">
            <w:pPr>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630" w:type="dxa"/>
            <w:tcBorders>
              <w:bottom w:val="single" w:sz="12" w:space="0" w:color="auto"/>
            </w:tcBorders>
            <w:shd w:val="clear" w:color="auto" w:fill="D2DFD0" w:themeFill="accent5" w:themeFillTint="66"/>
          </w:tcPr>
          <w:p w:rsidR="00BB502F" w:rsidRPr="00A81574" w:rsidRDefault="00BB502F" w:rsidP="00A81574">
            <w:pPr>
              <w:rPr>
                <w:rFonts w:ascii="Times New Roman" w:hAnsi="Times New Roman" w:cs="Times New Roman"/>
                <w:b/>
                <w:szCs w:val="24"/>
              </w:rPr>
            </w:pPr>
            <w:r w:rsidRPr="00A81574">
              <w:rPr>
                <w:rFonts w:ascii="Times New Roman" w:hAnsi="Times New Roman" w:cs="Times New Roman"/>
                <w:b/>
                <w:szCs w:val="24"/>
              </w:rPr>
              <w:t>SIR</w:t>
            </w:r>
          </w:p>
        </w:tc>
        <w:tc>
          <w:tcPr>
            <w:tcW w:w="1098" w:type="dxa"/>
            <w:shd w:val="clear" w:color="auto" w:fill="D2DFD0" w:themeFill="accent5" w:themeFillTint="66"/>
          </w:tcPr>
          <w:p w:rsidR="00BB502F" w:rsidRPr="00A81574" w:rsidRDefault="00BB502F" w:rsidP="00A81574">
            <w:pPr>
              <w:rPr>
                <w:rFonts w:ascii="Times New Roman" w:hAnsi="Times New Roman" w:cs="Times New Roman"/>
                <w:b/>
                <w:szCs w:val="24"/>
              </w:rPr>
            </w:pPr>
            <w:r w:rsidRPr="00A81574">
              <w:rPr>
                <w:rFonts w:ascii="Times New Roman" w:hAnsi="Times New Roman" w:cs="Times New Roman"/>
                <w:b/>
                <w:szCs w:val="24"/>
              </w:rPr>
              <w:t>95% CI</w:t>
            </w:r>
          </w:p>
        </w:tc>
      </w:tr>
      <w:tr w:rsidR="00A81574" w:rsidRPr="00A81574" w:rsidTr="00BB502F">
        <w:tc>
          <w:tcPr>
            <w:tcW w:w="1188" w:type="dxa"/>
          </w:tcPr>
          <w:p w:rsidR="00A81574" w:rsidRPr="00A81574" w:rsidRDefault="00A81574" w:rsidP="00A81574">
            <w:pPr>
              <w:rPr>
                <w:rFonts w:ascii="Times New Roman" w:hAnsi="Times New Roman" w:cs="Times New Roman"/>
              </w:rPr>
            </w:pPr>
            <w:r w:rsidRPr="00A81574">
              <w:rPr>
                <w:rFonts w:ascii="Times New Roman" w:hAnsi="Times New Roman" w:cs="Times New Roman"/>
              </w:rPr>
              <w:t>Males</w:t>
            </w:r>
          </w:p>
        </w:tc>
        <w:tc>
          <w:tcPr>
            <w:tcW w:w="630" w:type="dxa"/>
            <w:tcBorders>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3</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3</w:t>
            </w:r>
            <w:r w:rsidR="00086F27">
              <w:rPr>
                <w:rFonts w:ascii="Times New Roman" w:hAnsi="Times New Roman" w:cs="Times New Roman"/>
                <w:szCs w:val="24"/>
              </w:rPr>
              <w:t>.0</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NC</w:t>
            </w:r>
          </w:p>
        </w:tc>
        <w:tc>
          <w:tcPr>
            <w:tcW w:w="1170" w:type="dxa"/>
            <w:tcBorders>
              <w:lef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 xml:space="preserve">NC -- </w:t>
            </w:r>
            <w:proofErr w:type="spellStart"/>
            <w:r w:rsidRPr="00A81574">
              <w:rPr>
                <w:rFonts w:ascii="Times New Roman" w:hAnsi="Times New Roman" w:cs="Times New Roman"/>
                <w:szCs w:val="24"/>
              </w:rPr>
              <w:t>NC</w:t>
            </w:r>
            <w:proofErr w:type="spellEnd"/>
          </w:p>
        </w:tc>
        <w:tc>
          <w:tcPr>
            <w:tcW w:w="720" w:type="dxa"/>
            <w:tcBorders>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10</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3.8</w:t>
            </w:r>
          </w:p>
        </w:tc>
        <w:tc>
          <w:tcPr>
            <w:tcW w:w="72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266</w:t>
            </w:r>
            <w:r>
              <w:rPr>
                <w:rFonts w:ascii="Times New Roman" w:hAnsi="Times New Roman" w:cs="Times New Roman"/>
                <w:szCs w:val="24"/>
              </w:rPr>
              <w:t>*</w:t>
            </w:r>
          </w:p>
        </w:tc>
        <w:tc>
          <w:tcPr>
            <w:tcW w:w="1080" w:type="dxa"/>
            <w:tcBorders>
              <w:lef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127--489</w:t>
            </w:r>
          </w:p>
        </w:tc>
        <w:tc>
          <w:tcPr>
            <w:tcW w:w="630" w:type="dxa"/>
            <w:tcBorders>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8</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5.4</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149</w:t>
            </w:r>
          </w:p>
        </w:tc>
        <w:tc>
          <w:tcPr>
            <w:tcW w:w="1098" w:type="dxa"/>
            <w:tcBorders>
              <w:lef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64--293</w:t>
            </w:r>
          </w:p>
        </w:tc>
      </w:tr>
      <w:tr w:rsidR="00A81574" w:rsidRPr="00A81574" w:rsidTr="00BB502F">
        <w:tc>
          <w:tcPr>
            <w:tcW w:w="1188" w:type="dxa"/>
          </w:tcPr>
          <w:p w:rsidR="00A81574" w:rsidRPr="00A81574" w:rsidRDefault="00A81574" w:rsidP="00A81574">
            <w:pPr>
              <w:rPr>
                <w:rFonts w:ascii="Times New Roman" w:hAnsi="Times New Roman" w:cs="Times New Roman"/>
              </w:rPr>
            </w:pPr>
            <w:r w:rsidRPr="00A81574">
              <w:rPr>
                <w:rFonts w:ascii="Times New Roman" w:hAnsi="Times New Roman" w:cs="Times New Roman"/>
              </w:rPr>
              <w:t>Females</w:t>
            </w:r>
          </w:p>
        </w:tc>
        <w:tc>
          <w:tcPr>
            <w:tcW w:w="630" w:type="dxa"/>
            <w:tcBorders>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1</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2.1</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NC</w:t>
            </w:r>
          </w:p>
        </w:tc>
        <w:tc>
          <w:tcPr>
            <w:tcW w:w="1170" w:type="dxa"/>
            <w:tcBorders>
              <w:lef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 xml:space="preserve">NC -- </w:t>
            </w:r>
            <w:proofErr w:type="spellStart"/>
            <w:r w:rsidRPr="00A81574">
              <w:rPr>
                <w:rFonts w:ascii="Times New Roman" w:hAnsi="Times New Roman" w:cs="Times New Roman"/>
                <w:szCs w:val="24"/>
              </w:rPr>
              <w:t>NC</w:t>
            </w:r>
            <w:proofErr w:type="spellEnd"/>
          </w:p>
        </w:tc>
        <w:tc>
          <w:tcPr>
            <w:tcW w:w="720" w:type="dxa"/>
            <w:tcBorders>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3</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2.8</w:t>
            </w:r>
          </w:p>
        </w:tc>
        <w:tc>
          <w:tcPr>
            <w:tcW w:w="72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NC</w:t>
            </w:r>
          </w:p>
        </w:tc>
        <w:tc>
          <w:tcPr>
            <w:tcW w:w="1080" w:type="dxa"/>
            <w:tcBorders>
              <w:lef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NC – NC</w:t>
            </w:r>
          </w:p>
        </w:tc>
        <w:tc>
          <w:tcPr>
            <w:tcW w:w="630" w:type="dxa"/>
            <w:tcBorders>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5</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3.5</w:t>
            </w:r>
          </w:p>
        </w:tc>
        <w:tc>
          <w:tcPr>
            <w:tcW w:w="630" w:type="dxa"/>
            <w:tcBorders>
              <w:left w:val="nil"/>
              <w:righ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141</w:t>
            </w:r>
          </w:p>
        </w:tc>
        <w:tc>
          <w:tcPr>
            <w:tcW w:w="1098" w:type="dxa"/>
            <w:tcBorders>
              <w:left w:val="nil"/>
            </w:tcBorders>
          </w:tcPr>
          <w:p w:rsidR="00A81574" w:rsidRPr="00A81574" w:rsidRDefault="00A81574" w:rsidP="00BB502F">
            <w:pPr>
              <w:jc w:val="center"/>
              <w:rPr>
                <w:rFonts w:ascii="Times New Roman" w:hAnsi="Times New Roman" w:cs="Times New Roman"/>
                <w:szCs w:val="24"/>
              </w:rPr>
            </w:pPr>
            <w:r w:rsidRPr="00A81574">
              <w:rPr>
                <w:rFonts w:ascii="Times New Roman" w:hAnsi="Times New Roman" w:cs="Times New Roman"/>
                <w:szCs w:val="24"/>
              </w:rPr>
              <w:t>45--329</w:t>
            </w:r>
          </w:p>
        </w:tc>
      </w:tr>
    </w:tbl>
    <w:p w:rsidR="00FB1281" w:rsidRPr="00C36DAC" w:rsidRDefault="00FB1281" w:rsidP="00FB1281">
      <w:pPr>
        <w:rPr>
          <w:rFonts w:ascii="Times New Roman" w:hAnsi="Times New Roman" w:cs="Times New Roman"/>
          <w:sz w:val="20"/>
          <w:szCs w:val="24"/>
        </w:rPr>
      </w:pPr>
      <w:r w:rsidRPr="00C36DAC">
        <w:rPr>
          <w:rFonts w:ascii="Times New Roman" w:hAnsi="Times New Roman" w:cs="Times New Roman"/>
          <w:sz w:val="20"/>
          <w:szCs w:val="24"/>
        </w:rPr>
        <w:t>Source: Massachusetts Cancer Registry, Office of Data Management and Outcomes Assessment, MDPH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5329"/>
      </w:tblGrid>
      <w:tr w:rsidR="00FB1281" w:rsidRPr="00C36DAC" w:rsidTr="00557281">
        <w:tc>
          <w:tcPr>
            <w:tcW w:w="2448" w:type="pct"/>
          </w:tcPr>
          <w:p w:rsidR="00FB1281" w:rsidRPr="00C36DAC" w:rsidRDefault="00FB1281" w:rsidP="00557281">
            <w:pPr>
              <w:jc w:val="center"/>
              <w:rPr>
                <w:rFonts w:ascii="Times New Roman" w:hAnsi="Times New Roman" w:cs="Times New Roman"/>
                <w:szCs w:val="24"/>
              </w:rPr>
            </w:pPr>
            <w:proofErr w:type="spellStart"/>
            <w:r w:rsidRPr="00C36DAC">
              <w:rPr>
                <w:rFonts w:ascii="Times New Roman" w:hAnsi="Times New Roman" w:cs="Times New Roman"/>
                <w:szCs w:val="24"/>
              </w:rPr>
              <w:t>Obs</w:t>
            </w:r>
            <w:proofErr w:type="spellEnd"/>
            <w:r w:rsidRPr="00C36DAC">
              <w:rPr>
                <w:rFonts w:ascii="Times New Roman" w:hAnsi="Times New Roman" w:cs="Times New Roman"/>
                <w:szCs w:val="24"/>
              </w:rPr>
              <w:t xml:space="preserve"> = Observed number of diagnos</w:t>
            </w:r>
            <w:r w:rsidR="00E90E9A">
              <w:rPr>
                <w:rFonts w:ascii="Times New Roman" w:hAnsi="Times New Roman" w:cs="Times New Roman"/>
                <w:szCs w:val="24"/>
              </w:rPr>
              <w:t>e</w:t>
            </w:r>
            <w:r w:rsidRPr="00C36DAC">
              <w:rPr>
                <w:rFonts w:ascii="Times New Roman" w:hAnsi="Times New Roman" w:cs="Times New Roman"/>
                <w:szCs w:val="24"/>
              </w:rPr>
              <w:t>s</w:t>
            </w:r>
          </w:p>
          <w:p w:rsidR="00FB1281" w:rsidRPr="00C36DAC" w:rsidRDefault="00FB1281" w:rsidP="00557281">
            <w:pPr>
              <w:jc w:val="center"/>
              <w:rPr>
                <w:rFonts w:ascii="Times New Roman" w:hAnsi="Times New Roman" w:cs="Times New Roman"/>
                <w:szCs w:val="24"/>
              </w:rPr>
            </w:pPr>
            <w:proofErr w:type="spellStart"/>
            <w:r w:rsidRPr="00C36DAC">
              <w:rPr>
                <w:rFonts w:ascii="Times New Roman" w:hAnsi="Times New Roman" w:cs="Times New Roman"/>
                <w:szCs w:val="24"/>
              </w:rPr>
              <w:t>Exp</w:t>
            </w:r>
            <w:proofErr w:type="spellEnd"/>
            <w:r w:rsidRPr="00C36DAC">
              <w:rPr>
                <w:rFonts w:ascii="Times New Roman" w:hAnsi="Times New Roman" w:cs="Times New Roman"/>
                <w:szCs w:val="24"/>
              </w:rPr>
              <w:t xml:space="preserve"> = Expected number of diagnos</w:t>
            </w:r>
            <w:r w:rsidR="00E90E9A">
              <w:rPr>
                <w:rFonts w:ascii="Times New Roman" w:hAnsi="Times New Roman" w:cs="Times New Roman"/>
                <w:szCs w:val="24"/>
              </w:rPr>
              <w:t>e</w:t>
            </w:r>
            <w:r w:rsidRPr="00C36DAC">
              <w:rPr>
                <w:rFonts w:ascii="Times New Roman" w:hAnsi="Times New Roman" w:cs="Times New Roman"/>
                <w:szCs w:val="24"/>
              </w:rPr>
              <w:t>s</w:t>
            </w:r>
          </w:p>
          <w:p w:rsidR="00FB1281" w:rsidRPr="00C36DAC" w:rsidRDefault="00FB1281" w:rsidP="00557281">
            <w:pPr>
              <w:jc w:val="center"/>
              <w:rPr>
                <w:rFonts w:ascii="Times New Roman" w:hAnsi="Times New Roman" w:cs="Times New Roman"/>
                <w:szCs w:val="24"/>
              </w:rPr>
            </w:pPr>
            <w:r w:rsidRPr="00C36DAC">
              <w:rPr>
                <w:rFonts w:ascii="Times New Roman" w:hAnsi="Times New Roman" w:cs="Times New Roman"/>
                <w:szCs w:val="24"/>
              </w:rPr>
              <w:t>SIR = Standardized Incidence Ratio</w:t>
            </w:r>
          </w:p>
        </w:tc>
        <w:tc>
          <w:tcPr>
            <w:tcW w:w="2552" w:type="pct"/>
          </w:tcPr>
          <w:p w:rsidR="00FB1281" w:rsidRPr="00C36DAC" w:rsidRDefault="00FB1281" w:rsidP="00557281">
            <w:pPr>
              <w:jc w:val="center"/>
              <w:rPr>
                <w:rFonts w:ascii="Times New Roman" w:hAnsi="Times New Roman" w:cs="Times New Roman"/>
                <w:szCs w:val="24"/>
              </w:rPr>
            </w:pPr>
            <w:r w:rsidRPr="00C36DAC">
              <w:rPr>
                <w:rFonts w:ascii="Times New Roman" w:hAnsi="Times New Roman" w:cs="Times New Roman"/>
                <w:szCs w:val="24"/>
              </w:rPr>
              <w:t>95% CI = 95% Confidence interval</w:t>
            </w:r>
          </w:p>
          <w:p w:rsidR="00FB1281" w:rsidRPr="00C36DAC" w:rsidRDefault="00FB1281" w:rsidP="00557281">
            <w:pPr>
              <w:jc w:val="center"/>
              <w:rPr>
                <w:rFonts w:ascii="Times New Roman" w:hAnsi="Times New Roman" w:cs="Times New Roman"/>
                <w:szCs w:val="24"/>
              </w:rPr>
            </w:pPr>
            <w:r w:rsidRPr="00C36DAC">
              <w:rPr>
                <w:rFonts w:ascii="Times New Roman" w:hAnsi="Times New Roman" w:cs="Times New Roman"/>
                <w:szCs w:val="24"/>
              </w:rPr>
              <w:t>* = Statistical significance</w:t>
            </w:r>
          </w:p>
          <w:p w:rsidR="00FB1281" w:rsidRPr="00C36DAC" w:rsidRDefault="00FB1281" w:rsidP="00557281">
            <w:pPr>
              <w:jc w:val="center"/>
              <w:rPr>
                <w:rFonts w:ascii="Times New Roman" w:hAnsi="Times New Roman" w:cs="Times New Roman"/>
                <w:szCs w:val="24"/>
              </w:rPr>
            </w:pPr>
            <w:r w:rsidRPr="00C36DAC">
              <w:rPr>
                <w:rFonts w:ascii="Times New Roman" w:hAnsi="Times New Roman" w:cs="Times New Roman"/>
                <w:szCs w:val="24"/>
              </w:rPr>
              <w:t>NC = Not calculated</w:t>
            </w:r>
          </w:p>
        </w:tc>
      </w:tr>
    </w:tbl>
    <w:p w:rsidR="00A81574" w:rsidRDefault="00A81574" w:rsidP="00290F74">
      <w:pPr>
        <w:spacing w:after="0"/>
        <w:rPr>
          <w:rFonts w:ascii="Times New Roman" w:hAnsi="Times New Roman" w:cs="Times New Roman"/>
          <w:sz w:val="24"/>
        </w:rPr>
      </w:pPr>
    </w:p>
    <w:p w:rsidR="00E16711" w:rsidRPr="00597718" w:rsidRDefault="007B4211" w:rsidP="00290F7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cs="Times New Roman"/>
          <w:b/>
          <w:i/>
        </w:rPr>
      </w:pPr>
      <w:r w:rsidRPr="00597718">
        <w:rPr>
          <w:rFonts w:ascii="Times New Roman" w:hAnsi="Times New Roman" w:cs="Times New Roman"/>
          <w:b/>
          <w:i/>
        </w:rPr>
        <w:t>About</w:t>
      </w:r>
      <w:r w:rsidR="00E16711" w:rsidRPr="00597718">
        <w:rPr>
          <w:rFonts w:ascii="Times New Roman" w:hAnsi="Times New Roman" w:cs="Times New Roman"/>
          <w:b/>
          <w:i/>
        </w:rPr>
        <w:t xml:space="preserve"> Kidney and Renal Pelvis Cancer</w:t>
      </w:r>
    </w:p>
    <w:p w:rsidR="00E331C5" w:rsidRPr="00991725" w:rsidRDefault="007B4211" w:rsidP="00290F7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cs="Times New Roman"/>
        </w:rPr>
      </w:pPr>
      <w:r w:rsidRPr="00597718">
        <w:rPr>
          <w:rFonts w:ascii="Times New Roman" w:hAnsi="Times New Roman" w:cs="Times New Roman"/>
        </w:rPr>
        <w:t>Kidne</w:t>
      </w:r>
      <w:r w:rsidRPr="00991725">
        <w:rPr>
          <w:rFonts w:ascii="Times New Roman" w:hAnsi="Times New Roman" w:cs="Times New Roman"/>
        </w:rPr>
        <w:t>y and renal pelvis cancer</w:t>
      </w:r>
      <w:r w:rsidR="00211417" w:rsidRPr="00991725">
        <w:rPr>
          <w:rFonts w:ascii="Times New Roman" w:hAnsi="Times New Roman" w:cs="Times New Roman"/>
        </w:rPr>
        <w:t xml:space="preserve"> </w:t>
      </w:r>
      <w:r w:rsidR="006039B3" w:rsidRPr="00991725">
        <w:rPr>
          <w:rFonts w:ascii="Times New Roman" w:hAnsi="Times New Roman" w:cs="Times New Roman"/>
        </w:rPr>
        <w:t>is</w:t>
      </w:r>
      <w:r w:rsidRPr="00991725">
        <w:rPr>
          <w:rFonts w:ascii="Times New Roman" w:hAnsi="Times New Roman" w:cs="Times New Roman"/>
        </w:rPr>
        <w:t xml:space="preserve"> more common among older people and males. The average age at diagnosis is 64 and it is very uncommon in people under the age of 45. M</w:t>
      </w:r>
      <w:r w:rsidR="00E6484F" w:rsidRPr="00991725">
        <w:rPr>
          <w:rFonts w:ascii="Times New Roman" w:hAnsi="Times New Roman" w:cs="Times New Roman"/>
        </w:rPr>
        <w:t xml:space="preserve">en are almost twice as likely to </w:t>
      </w:r>
      <w:r w:rsidRPr="00991725">
        <w:rPr>
          <w:rFonts w:ascii="Times New Roman" w:hAnsi="Times New Roman" w:cs="Times New Roman"/>
        </w:rPr>
        <w:t>develop this type of</w:t>
      </w:r>
      <w:r w:rsidR="00E6484F" w:rsidRPr="00991725">
        <w:rPr>
          <w:rFonts w:ascii="Times New Roman" w:hAnsi="Times New Roman" w:cs="Times New Roman"/>
        </w:rPr>
        <w:t xml:space="preserve"> cancer during their lifetime </w:t>
      </w:r>
      <w:r w:rsidR="00971A7C" w:rsidRPr="00991725">
        <w:rPr>
          <w:rFonts w:ascii="Times New Roman" w:hAnsi="Times New Roman" w:cs="Times New Roman"/>
        </w:rPr>
        <w:t xml:space="preserve">as </w:t>
      </w:r>
      <w:r w:rsidR="00E6484F" w:rsidRPr="00991725">
        <w:rPr>
          <w:rFonts w:ascii="Times New Roman" w:hAnsi="Times New Roman" w:cs="Times New Roman"/>
        </w:rPr>
        <w:t>women.</w:t>
      </w:r>
      <w:r w:rsidR="00971A7C" w:rsidRPr="00991725">
        <w:rPr>
          <w:rFonts w:ascii="Times New Roman" w:hAnsi="Times New Roman" w:cs="Times New Roman"/>
        </w:rPr>
        <w:t xml:space="preserve"> </w:t>
      </w:r>
      <w:r w:rsidR="002044E6" w:rsidRPr="00991725">
        <w:rPr>
          <w:rFonts w:ascii="Times New Roman" w:hAnsi="Times New Roman" w:cs="Times New Roman"/>
        </w:rPr>
        <w:t>Renal cell carcinoma</w:t>
      </w:r>
      <w:r w:rsidR="005975F1" w:rsidRPr="00991725">
        <w:rPr>
          <w:rFonts w:ascii="Times New Roman" w:hAnsi="Times New Roman" w:cs="Times New Roman"/>
        </w:rPr>
        <w:t xml:space="preserve"> (RCC)</w:t>
      </w:r>
      <w:r w:rsidR="002044E6" w:rsidRPr="00991725">
        <w:rPr>
          <w:rFonts w:ascii="Times New Roman" w:hAnsi="Times New Roman" w:cs="Times New Roman"/>
        </w:rPr>
        <w:t xml:space="preserve"> is </w:t>
      </w:r>
      <w:r w:rsidRPr="00991725">
        <w:rPr>
          <w:rFonts w:ascii="Times New Roman" w:hAnsi="Times New Roman" w:cs="Times New Roman"/>
        </w:rPr>
        <w:t xml:space="preserve">by far </w:t>
      </w:r>
      <w:r w:rsidR="00657A07" w:rsidRPr="00991725">
        <w:rPr>
          <w:rFonts w:ascii="Times New Roman" w:hAnsi="Times New Roman" w:cs="Times New Roman"/>
        </w:rPr>
        <w:t>t</w:t>
      </w:r>
      <w:r w:rsidR="00CE6A76" w:rsidRPr="00991725">
        <w:rPr>
          <w:rFonts w:ascii="Times New Roman" w:hAnsi="Times New Roman" w:cs="Times New Roman"/>
        </w:rPr>
        <w:t xml:space="preserve">he most common type </w:t>
      </w:r>
      <w:r w:rsidRPr="00991725">
        <w:rPr>
          <w:rFonts w:ascii="Times New Roman" w:hAnsi="Times New Roman" w:cs="Times New Roman"/>
        </w:rPr>
        <w:t xml:space="preserve">of kidney and renal pelvis cancer </w:t>
      </w:r>
      <w:r w:rsidR="00CE6A76" w:rsidRPr="00991725">
        <w:rPr>
          <w:rFonts w:ascii="Times New Roman" w:hAnsi="Times New Roman" w:cs="Times New Roman"/>
        </w:rPr>
        <w:t xml:space="preserve">and </w:t>
      </w:r>
      <w:r w:rsidR="00B438A7" w:rsidRPr="00991725">
        <w:rPr>
          <w:rFonts w:ascii="Times New Roman" w:hAnsi="Times New Roman" w:cs="Times New Roman"/>
        </w:rPr>
        <w:t xml:space="preserve">accounts for 90% of all diagnoses. </w:t>
      </w:r>
      <w:r w:rsidRPr="00991725">
        <w:rPr>
          <w:rFonts w:ascii="Times New Roman" w:hAnsi="Times New Roman" w:cs="Times New Roman"/>
        </w:rPr>
        <w:t>T</w:t>
      </w:r>
      <w:r w:rsidR="00616B58" w:rsidRPr="00991725">
        <w:rPr>
          <w:rFonts w:ascii="Times New Roman" w:hAnsi="Times New Roman" w:cs="Times New Roman"/>
        </w:rPr>
        <w:t xml:space="preserve">ransitional cell carcinoma </w:t>
      </w:r>
      <w:r w:rsidRPr="00991725">
        <w:rPr>
          <w:rFonts w:ascii="Times New Roman" w:hAnsi="Times New Roman" w:cs="Times New Roman"/>
        </w:rPr>
        <w:t xml:space="preserve">is another type that </w:t>
      </w:r>
      <w:r w:rsidR="00616B58" w:rsidRPr="00991725">
        <w:rPr>
          <w:rFonts w:ascii="Times New Roman" w:hAnsi="Times New Roman" w:cs="Times New Roman"/>
        </w:rPr>
        <w:t>starts in the renal pelvis</w:t>
      </w:r>
      <w:r w:rsidRPr="00991725">
        <w:rPr>
          <w:rFonts w:ascii="Times New Roman" w:hAnsi="Times New Roman" w:cs="Times New Roman"/>
        </w:rPr>
        <w:t xml:space="preserve"> (where the kidney meets the ureter)</w:t>
      </w:r>
      <w:r w:rsidR="00616B58" w:rsidRPr="00991725">
        <w:rPr>
          <w:rFonts w:ascii="Times New Roman" w:hAnsi="Times New Roman" w:cs="Times New Roman"/>
        </w:rPr>
        <w:t xml:space="preserve">. </w:t>
      </w:r>
      <w:r w:rsidRPr="00991725">
        <w:rPr>
          <w:rFonts w:ascii="Times New Roman" w:hAnsi="Times New Roman" w:cs="Times New Roman"/>
        </w:rPr>
        <w:t>S</w:t>
      </w:r>
      <w:r w:rsidR="00E331C5" w:rsidRPr="00991725">
        <w:rPr>
          <w:rFonts w:ascii="Times New Roman" w:hAnsi="Times New Roman" w:cs="Times New Roman"/>
        </w:rPr>
        <w:t xml:space="preserve">moking is a major risk factor for kidney and renal pelvis cancer, and the risk </w:t>
      </w:r>
      <w:r w:rsidR="00657A07" w:rsidRPr="00991725">
        <w:rPr>
          <w:rFonts w:ascii="Times New Roman" w:hAnsi="Times New Roman" w:cs="Times New Roman"/>
        </w:rPr>
        <w:t>seems related to how much is smoked</w:t>
      </w:r>
      <w:r w:rsidR="00E331C5" w:rsidRPr="00991725">
        <w:rPr>
          <w:rFonts w:ascii="Times New Roman" w:hAnsi="Times New Roman" w:cs="Times New Roman"/>
        </w:rPr>
        <w:t>.</w:t>
      </w:r>
      <w:r w:rsidR="00657A07" w:rsidRPr="00991725">
        <w:rPr>
          <w:rFonts w:ascii="Times New Roman" w:hAnsi="Times New Roman" w:cs="Times New Roman"/>
        </w:rPr>
        <w:t xml:space="preserve"> Additional established risk factors include family history, </w:t>
      </w:r>
      <w:r w:rsidRPr="00991725">
        <w:rPr>
          <w:rFonts w:ascii="Times New Roman" w:hAnsi="Times New Roman" w:cs="Times New Roman"/>
        </w:rPr>
        <w:t xml:space="preserve">certain </w:t>
      </w:r>
      <w:r w:rsidR="00657A07" w:rsidRPr="00991725">
        <w:rPr>
          <w:rFonts w:ascii="Times New Roman" w:hAnsi="Times New Roman" w:cs="Times New Roman"/>
        </w:rPr>
        <w:t xml:space="preserve">hereditary conditions, advanced kidney disease, and obesity. Possible risk factors may include </w:t>
      </w:r>
      <w:r w:rsidR="00775634" w:rsidRPr="00991725">
        <w:rPr>
          <w:rFonts w:ascii="Times New Roman" w:hAnsi="Times New Roman" w:cs="Times New Roman"/>
        </w:rPr>
        <w:t xml:space="preserve">high blood pressure and </w:t>
      </w:r>
      <w:r w:rsidR="00657A07" w:rsidRPr="00991725">
        <w:rPr>
          <w:rFonts w:ascii="Times New Roman" w:hAnsi="Times New Roman" w:cs="Times New Roman"/>
        </w:rPr>
        <w:t>workplace exposures to substances such as cadmium (a type of metal), some herbicides</w:t>
      </w:r>
      <w:r w:rsidR="00E15B1B" w:rsidRPr="00991725">
        <w:rPr>
          <w:rFonts w:ascii="Times New Roman" w:hAnsi="Times New Roman" w:cs="Times New Roman"/>
        </w:rPr>
        <w:t>,</w:t>
      </w:r>
      <w:r w:rsidRPr="00991725">
        <w:rPr>
          <w:rFonts w:ascii="Times New Roman" w:hAnsi="Times New Roman" w:cs="Times New Roman"/>
        </w:rPr>
        <w:t xml:space="preserve"> </w:t>
      </w:r>
      <w:r w:rsidR="00657A07" w:rsidRPr="00991725">
        <w:rPr>
          <w:rFonts w:ascii="Times New Roman" w:hAnsi="Times New Roman" w:cs="Times New Roman"/>
        </w:rPr>
        <w:t xml:space="preserve">and organic solvents (like TCE). </w:t>
      </w:r>
      <w:r w:rsidR="006E2A3F" w:rsidRPr="00991725">
        <w:rPr>
          <w:rFonts w:ascii="Times New Roman" w:hAnsi="Times New Roman" w:cs="Times New Roman"/>
        </w:rPr>
        <w:t>See the</w:t>
      </w:r>
      <w:r w:rsidR="006E2A3F" w:rsidRPr="00991725">
        <w:t xml:space="preserve"> </w:t>
      </w:r>
      <w:hyperlink r:id="rId14" w:history="1">
        <w:r w:rsidR="006E2A3F" w:rsidRPr="00991725">
          <w:rPr>
            <w:rStyle w:val="Hyperlink"/>
            <w:i/>
          </w:rPr>
          <w:t>American Cancer Society</w:t>
        </w:r>
      </w:hyperlink>
      <w:r w:rsidR="006E2A3F" w:rsidRPr="00991725">
        <w:t xml:space="preserve"> </w:t>
      </w:r>
      <w:r w:rsidR="006E2A3F" w:rsidRPr="00991725">
        <w:rPr>
          <w:rFonts w:ascii="Times New Roman" w:hAnsi="Times New Roman" w:cs="Times New Roman"/>
        </w:rPr>
        <w:t>website and the risk factor summary on</w:t>
      </w:r>
      <w:r w:rsidR="006E2A3F" w:rsidRPr="00991725">
        <w:t xml:space="preserve"> </w:t>
      </w:r>
      <w:hyperlink r:id="rId15" w:history="1">
        <w:r w:rsidR="006E2A3F" w:rsidRPr="00991725">
          <w:rPr>
            <w:rStyle w:val="Hyperlink"/>
            <w:i/>
          </w:rPr>
          <w:t>Massachusetts Environmental Public Health Tracking</w:t>
        </w:r>
      </w:hyperlink>
      <w:r w:rsidR="006E2A3F" w:rsidRPr="00991725">
        <w:t xml:space="preserve"> </w:t>
      </w:r>
      <w:r w:rsidR="006E2A3F" w:rsidRPr="00991725">
        <w:rPr>
          <w:rFonts w:ascii="Times New Roman" w:hAnsi="Times New Roman" w:cs="Times New Roman"/>
        </w:rPr>
        <w:t>for more information.</w:t>
      </w:r>
    </w:p>
    <w:p w:rsidR="00DF614C" w:rsidRPr="00991725" w:rsidRDefault="00E365E7" w:rsidP="00290F74">
      <w:pPr>
        <w:rPr>
          <w:rFonts w:ascii="Times New Roman" w:hAnsi="Times New Roman" w:cs="Times New Roman"/>
        </w:rPr>
      </w:pPr>
      <w:r w:rsidRPr="00991725">
        <w:rPr>
          <w:rFonts w:ascii="Times New Roman" w:hAnsi="Times New Roman" w:cs="Times New Roman"/>
        </w:rPr>
        <w:t xml:space="preserve">Consistent with national trends, </w:t>
      </w:r>
      <w:r w:rsidR="00E42A27" w:rsidRPr="00991725">
        <w:rPr>
          <w:rFonts w:ascii="Times New Roman" w:hAnsi="Times New Roman" w:cs="Times New Roman"/>
        </w:rPr>
        <w:t>the average age of the 1</w:t>
      </w:r>
      <w:r w:rsidR="00F5582F" w:rsidRPr="00991725">
        <w:rPr>
          <w:rFonts w:ascii="Times New Roman" w:hAnsi="Times New Roman" w:cs="Times New Roman"/>
        </w:rPr>
        <w:t>8</w:t>
      </w:r>
      <w:r w:rsidR="00E42A27" w:rsidRPr="00991725">
        <w:rPr>
          <w:rFonts w:ascii="Times New Roman" w:hAnsi="Times New Roman" w:cs="Times New Roman"/>
        </w:rPr>
        <w:t xml:space="preserve"> males </w:t>
      </w:r>
      <w:r w:rsidRPr="00991725">
        <w:rPr>
          <w:rFonts w:ascii="Times New Roman" w:hAnsi="Times New Roman" w:cs="Times New Roman"/>
        </w:rPr>
        <w:t>diagnosed with kidney and renal pelvis cancer in CT 3732 during 1994-20</w:t>
      </w:r>
      <w:r w:rsidR="00F5582F" w:rsidRPr="00991725">
        <w:rPr>
          <w:rFonts w:ascii="Times New Roman" w:hAnsi="Times New Roman" w:cs="Times New Roman"/>
        </w:rPr>
        <w:t>1</w:t>
      </w:r>
      <w:r w:rsidRPr="00991725">
        <w:rPr>
          <w:rFonts w:ascii="Times New Roman" w:hAnsi="Times New Roman" w:cs="Times New Roman"/>
        </w:rPr>
        <w:t xml:space="preserve">3 </w:t>
      </w:r>
      <w:r w:rsidR="00E42A27" w:rsidRPr="00991725">
        <w:rPr>
          <w:rFonts w:ascii="Times New Roman" w:hAnsi="Times New Roman" w:cs="Times New Roman"/>
        </w:rPr>
        <w:t xml:space="preserve">was 65 and none were younger than 45. </w:t>
      </w:r>
      <w:r w:rsidR="00000CB6" w:rsidRPr="00991725">
        <w:rPr>
          <w:rFonts w:ascii="Times New Roman" w:hAnsi="Times New Roman" w:cs="Times New Roman"/>
        </w:rPr>
        <w:t xml:space="preserve">Nearly 90% </w:t>
      </w:r>
      <w:r w:rsidR="00E42A27" w:rsidRPr="00991725">
        <w:rPr>
          <w:rFonts w:ascii="Times New Roman" w:hAnsi="Times New Roman" w:cs="Times New Roman"/>
        </w:rPr>
        <w:t>were diagnosed with</w:t>
      </w:r>
      <w:r w:rsidRPr="00991725">
        <w:rPr>
          <w:rFonts w:ascii="Times New Roman" w:hAnsi="Times New Roman" w:cs="Times New Roman"/>
        </w:rPr>
        <w:t xml:space="preserve"> the most common type called renal cell carcinoma</w:t>
      </w:r>
      <w:r w:rsidR="005975F1" w:rsidRPr="00991725">
        <w:rPr>
          <w:rFonts w:ascii="Times New Roman" w:hAnsi="Times New Roman" w:cs="Times New Roman"/>
        </w:rPr>
        <w:t xml:space="preserve"> (RCC)</w:t>
      </w:r>
      <w:r w:rsidRPr="00991725">
        <w:rPr>
          <w:rFonts w:ascii="Times New Roman" w:hAnsi="Times New Roman" w:cs="Times New Roman"/>
        </w:rPr>
        <w:t xml:space="preserve">. </w:t>
      </w:r>
      <w:r w:rsidR="00B115BF" w:rsidRPr="00991725">
        <w:rPr>
          <w:rFonts w:ascii="Times New Roman" w:hAnsi="Times New Roman" w:cs="Times New Roman"/>
        </w:rPr>
        <w:t xml:space="preserve">The remaining 2 males </w:t>
      </w:r>
      <w:r w:rsidR="005975F1" w:rsidRPr="00991725">
        <w:rPr>
          <w:rFonts w:ascii="Times New Roman" w:hAnsi="Times New Roman" w:cs="Times New Roman"/>
        </w:rPr>
        <w:t xml:space="preserve">diagnosed with </w:t>
      </w:r>
      <w:r w:rsidR="00B115BF" w:rsidRPr="00991725">
        <w:rPr>
          <w:rFonts w:ascii="Times New Roman" w:hAnsi="Times New Roman" w:cs="Times New Roman"/>
        </w:rPr>
        <w:t xml:space="preserve">kidney and renal pelvis cancer during this time period had </w:t>
      </w:r>
      <w:r w:rsidR="005975F1" w:rsidRPr="00991725">
        <w:rPr>
          <w:rFonts w:ascii="Times New Roman" w:hAnsi="Times New Roman" w:cs="Times New Roman"/>
        </w:rPr>
        <w:t>a type called transitional cell carcinom</w:t>
      </w:r>
      <w:r w:rsidR="005F32B7" w:rsidRPr="00991725">
        <w:rPr>
          <w:rFonts w:ascii="Times New Roman" w:hAnsi="Times New Roman" w:cs="Times New Roman"/>
        </w:rPr>
        <w:t>a and may have had a possible</w:t>
      </w:r>
      <w:r w:rsidR="005F32B7">
        <w:rPr>
          <w:rFonts w:ascii="Times New Roman" w:hAnsi="Times New Roman" w:cs="Times New Roman"/>
          <w:sz w:val="24"/>
        </w:rPr>
        <w:t xml:space="preserve"> </w:t>
      </w:r>
      <w:r w:rsidR="005F32B7" w:rsidRPr="00991725">
        <w:rPr>
          <w:rFonts w:ascii="Times New Roman" w:hAnsi="Times New Roman" w:cs="Times New Roman"/>
        </w:rPr>
        <w:t xml:space="preserve">occupational exposure. </w:t>
      </w:r>
      <w:r w:rsidR="00BA1484" w:rsidRPr="00991725">
        <w:rPr>
          <w:rFonts w:ascii="Times New Roman" w:hAnsi="Times New Roman" w:cs="Times New Roman"/>
        </w:rPr>
        <w:t>Of the 16 males for whom tobacco use history was available, 9 reported using tobacco in the past or present, which could have been a contributing factor</w:t>
      </w:r>
      <w:r w:rsidR="00BA1484" w:rsidRPr="00991725">
        <w:rPr>
          <w:rStyle w:val="FootnoteReference"/>
          <w:rFonts w:ascii="Times New Roman" w:hAnsi="Times New Roman" w:cs="Times New Roman"/>
        </w:rPr>
        <w:footnoteReference w:id="1"/>
      </w:r>
      <w:r w:rsidR="00BA1484" w:rsidRPr="00991725">
        <w:rPr>
          <w:rFonts w:ascii="Times New Roman" w:hAnsi="Times New Roman" w:cs="Times New Roman"/>
        </w:rPr>
        <w:t>.</w:t>
      </w:r>
    </w:p>
    <w:p w:rsidR="009F332C" w:rsidRPr="00991725" w:rsidRDefault="00E90E9A" w:rsidP="00290F74">
      <w:pPr>
        <w:rPr>
          <w:rFonts w:ascii="Times New Roman" w:hAnsi="Times New Roman" w:cs="Times New Roman"/>
        </w:rPr>
      </w:pPr>
      <w:r w:rsidRPr="00991725">
        <w:rPr>
          <w:rFonts w:ascii="Times New Roman" w:hAnsi="Times New Roman" w:cs="Times New Roman"/>
        </w:rPr>
        <w:t xml:space="preserve">An analysis of the residential address at the time of diagnosis did not reveal any </w:t>
      </w:r>
      <w:r w:rsidR="009F332C" w:rsidRPr="00991725">
        <w:rPr>
          <w:rFonts w:ascii="Times New Roman" w:hAnsi="Times New Roman" w:cs="Times New Roman"/>
        </w:rPr>
        <w:t xml:space="preserve">unusual spatial or temporal patterns </w:t>
      </w:r>
      <w:r w:rsidRPr="00991725">
        <w:rPr>
          <w:rFonts w:ascii="Times New Roman" w:hAnsi="Times New Roman" w:cs="Times New Roman"/>
        </w:rPr>
        <w:t xml:space="preserve">for those diagnosed with kidney and renal pelvis cancer </w:t>
      </w:r>
      <w:r w:rsidR="009F332C" w:rsidRPr="00991725">
        <w:rPr>
          <w:rFonts w:ascii="Times New Roman" w:hAnsi="Times New Roman" w:cs="Times New Roman"/>
        </w:rPr>
        <w:t xml:space="preserve">in CT 3732 during </w:t>
      </w:r>
      <w:r w:rsidR="001D1EDF" w:rsidRPr="00991725">
        <w:rPr>
          <w:rFonts w:ascii="Times New Roman" w:hAnsi="Times New Roman" w:cs="Times New Roman"/>
        </w:rPr>
        <w:t xml:space="preserve">the 30-year time period of </w:t>
      </w:r>
      <w:r w:rsidR="009F332C" w:rsidRPr="00991725">
        <w:rPr>
          <w:rFonts w:ascii="Times New Roman" w:hAnsi="Times New Roman" w:cs="Times New Roman"/>
        </w:rPr>
        <w:t>1984-2013.</w:t>
      </w:r>
      <w:r w:rsidRPr="00991725">
        <w:rPr>
          <w:rFonts w:ascii="Times New Roman" w:hAnsi="Times New Roman" w:cs="Times New Roman"/>
        </w:rPr>
        <w:t xml:space="preserve"> The geographic distribution of diagnoses generally followed the pattern of population density with no unusual spatial clustering. </w:t>
      </w:r>
    </w:p>
    <w:p w:rsidR="00930D9E" w:rsidRPr="00C36DAC" w:rsidRDefault="00521685" w:rsidP="00290F74">
      <w:pPr>
        <w:pStyle w:val="Heading3"/>
        <w:spacing w:before="0" w:after="200"/>
        <w:ind w:left="720"/>
      </w:pPr>
      <w:r w:rsidRPr="00290F74">
        <w:rPr>
          <w:rFonts w:cs="Times New Roman"/>
          <w:i/>
        </w:rPr>
        <w:t xml:space="preserve">Liver and </w:t>
      </w:r>
      <w:r w:rsidR="00C03219">
        <w:rPr>
          <w:rFonts w:cs="Times New Roman"/>
          <w:i/>
        </w:rPr>
        <w:t xml:space="preserve">IBD </w:t>
      </w:r>
      <w:r w:rsidRPr="00290F74">
        <w:rPr>
          <w:rFonts w:cs="Times New Roman"/>
          <w:i/>
        </w:rPr>
        <w:t>Cancer</w:t>
      </w:r>
    </w:p>
    <w:p w:rsidR="0077645E" w:rsidRPr="00991725" w:rsidRDefault="00794F2B" w:rsidP="00290F74">
      <w:pPr>
        <w:rPr>
          <w:rFonts w:ascii="Times New Roman" w:hAnsi="Times New Roman" w:cs="Times New Roman"/>
        </w:rPr>
      </w:pPr>
      <w:r w:rsidRPr="00991725">
        <w:rPr>
          <w:rFonts w:ascii="Times New Roman" w:hAnsi="Times New Roman" w:cs="Times New Roman"/>
        </w:rPr>
        <w:t xml:space="preserve">The incidence of </w:t>
      </w:r>
      <w:r w:rsidR="00930D9E" w:rsidRPr="00991725">
        <w:rPr>
          <w:rFonts w:ascii="Times New Roman" w:hAnsi="Times New Roman" w:cs="Times New Roman"/>
        </w:rPr>
        <w:t xml:space="preserve">liver and IBD cancer was </w:t>
      </w:r>
      <w:r w:rsidRPr="00991725">
        <w:rPr>
          <w:rFonts w:ascii="Times New Roman" w:hAnsi="Times New Roman" w:cs="Times New Roman"/>
        </w:rPr>
        <w:t xml:space="preserve">less than or as expected (within 1 or 2 diagnoses) </w:t>
      </w:r>
      <w:r w:rsidR="00960A30" w:rsidRPr="00991725">
        <w:rPr>
          <w:rFonts w:ascii="Times New Roman" w:hAnsi="Times New Roman" w:cs="Times New Roman"/>
        </w:rPr>
        <w:t xml:space="preserve">among males </w:t>
      </w:r>
      <w:r w:rsidRPr="00991725">
        <w:rPr>
          <w:rFonts w:ascii="Times New Roman" w:hAnsi="Times New Roman" w:cs="Times New Roman"/>
        </w:rPr>
        <w:t xml:space="preserve">and females </w:t>
      </w:r>
      <w:r w:rsidR="00930D9E" w:rsidRPr="00991725">
        <w:rPr>
          <w:rFonts w:ascii="Times New Roman" w:hAnsi="Times New Roman" w:cs="Times New Roman"/>
        </w:rPr>
        <w:t xml:space="preserve">in CT 3732 </w:t>
      </w:r>
      <w:r w:rsidR="001F2C71" w:rsidRPr="00991725">
        <w:rPr>
          <w:rFonts w:ascii="Times New Roman" w:hAnsi="Times New Roman" w:cs="Times New Roman"/>
        </w:rPr>
        <w:t>during</w:t>
      </w:r>
      <w:r w:rsidR="00AF74CD" w:rsidRPr="00991725">
        <w:rPr>
          <w:rFonts w:ascii="Times New Roman" w:hAnsi="Times New Roman" w:cs="Times New Roman"/>
        </w:rPr>
        <w:t xml:space="preserve"> each 10</w:t>
      </w:r>
      <w:r w:rsidRPr="00991725">
        <w:rPr>
          <w:rFonts w:ascii="Times New Roman" w:hAnsi="Times New Roman" w:cs="Times New Roman"/>
        </w:rPr>
        <w:t>-year time period from</w:t>
      </w:r>
      <w:r w:rsidR="001F2C71" w:rsidRPr="00991725">
        <w:rPr>
          <w:rFonts w:ascii="Times New Roman" w:hAnsi="Times New Roman" w:cs="Times New Roman"/>
        </w:rPr>
        <w:t xml:space="preserve"> </w:t>
      </w:r>
      <w:r w:rsidR="00930D9E" w:rsidRPr="00991725">
        <w:rPr>
          <w:rFonts w:ascii="Times New Roman" w:hAnsi="Times New Roman" w:cs="Times New Roman"/>
        </w:rPr>
        <w:t>1984-20</w:t>
      </w:r>
      <w:r w:rsidRPr="00991725">
        <w:rPr>
          <w:rFonts w:ascii="Times New Roman" w:hAnsi="Times New Roman" w:cs="Times New Roman"/>
        </w:rPr>
        <w:t>1</w:t>
      </w:r>
      <w:r w:rsidR="00930D9E" w:rsidRPr="00991725">
        <w:rPr>
          <w:rFonts w:ascii="Times New Roman" w:hAnsi="Times New Roman" w:cs="Times New Roman"/>
        </w:rPr>
        <w:t>3</w:t>
      </w:r>
      <w:r w:rsidR="00960A30" w:rsidRPr="00991725">
        <w:rPr>
          <w:rFonts w:ascii="Times New Roman" w:hAnsi="Times New Roman" w:cs="Times New Roman"/>
        </w:rPr>
        <w:t xml:space="preserve"> </w:t>
      </w:r>
      <w:r w:rsidR="006F1144" w:rsidRPr="00991725">
        <w:rPr>
          <w:rFonts w:ascii="Times New Roman" w:hAnsi="Times New Roman" w:cs="Times New Roman"/>
        </w:rPr>
        <w:t>(</w:t>
      </w:r>
      <w:r w:rsidR="006F1144" w:rsidRPr="00991725">
        <w:rPr>
          <w:rFonts w:ascii="Times New Roman" w:hAnsi="Times New Roman" w:cs="Times New Roman"/>
        </w:rPr>
        <w:fldChar w:fldCharType="begin"/>
      </w:r>
      <w:r w:rsidR="006F1144" w:rsidRPr="00991725">
        <w:rPr>
          <w:rFonts w:ascii="Times New Roman" w:hAnsi="Times New Roman" w:cs="Times New Roman"/>
        </w:rPr>
        <w:instrText xml:space="preserve"> REF _Ref524619183 \h  \* MERGEFORMAT </w:instrText>
      </w:r>
      <w:r w:rsidR="006F1144" w:rsidRPr="00991725">
        <w:rPr>
          <w:rFonts w:ascii="Times New Roman" w:hAnsi="Times New Roman" w:cs="Times New Roman"/>
        </w:rPr>
      </w:r>
      <w:r w:rsidR="006F1144" w:rsidRPr="00991725">
        <w:rPr>
          <w:rFonts w:ascii="Times New Roman" w:hAnsi="Times New Roman" w:cs="Times New Roman"/>
        </w:rPr>
        <w:fldChar w:fldCharType="separate"/>
      </w:r>
      <w:r w:rsidR="00BC000F" w:rsidRPr="00991725">
        <w:rPr>
          <w:rFonts w:ascii="Times New Roman" w:hAnsi="Times New Roman" w:cs="Times New Roman"/>
        </w:rPr>
        <w:t xml:space="preserve">Table </w:t>
      </w:r>
      <w:r w:rsidR="00BC000F">
        <w:rPr>
          <w:rFonts w:ascii="Times New Roman" w:hAnsi="Times New Roman" w:cs="Times New Roman"/>
          <w:noProof/>
        </w:rPr>
        <w:t>2</w:t>
      </w:r>
      <w:r w:rsidR="006F1144" w:rsidRPr="00991725">
        <w:rPr>
          <w:rFonts w:ascii="Times New Roman" w:hAnsi="Times New Roman" w:cs="Times New Roman"/>
        </w:rPr>
        <w:fldChar w:fldCharType="end"/>
      </w:r>
      <w:r w:rsidR="006F1144" w:rsidRPr="00991725">
        <w:rPr>
          <w:rFonts w:ascii="Times New Roman" w:hAnsi="Times New Roman" w:cs="Times New Roman"/>
        </w:rPr>
        <w:t>)</w:t>
      </w:r>
      <w:r w:rsidR="00930D9E" w:rsidRPr="00991725">
        <w:rPr>
          <w:rFonts w:ascii="Times New Roman" w:hAnsi="Times New Roman" w:cs="Times New Roman"/>
        </w:rPr>
        <w:t>.</w:t>
      </w:r>
    </w:p>
    <w:p w:rsidR="0077645E" w:rsidRPr="00991725" w:rsidRDefault="0077645E" w:rsidP="0077645E">
      <w:pPr>
        <w:pStyle w:val="Caption"/>
        <w:keepNext/>
        <w:rPr>
          <w:rFonts w:ascii="Times New Roman" w:hAnsi="Times New Roman" w:cs="Times New Roman"/>
          <w:color w:val="auto"/>
          <w:sz w:val="22"/>
          <w:szCs w:val="22"/>
        </w:rPr>
      </w:pPr>
      <w:bookmarkStart w:id="2" w:name="_Ref524619183"/>
      <w:r w:rsidRPr="00991725">
        <w:rPr>
          <w:rFonts w:ascii="Times New Roman" w:hAnsi="Times New Roman" w:cs="Times New Roman"/>
          <w:color w:val="auto"/>
          <w:sz w:val="22"/>
          <w:szCs w:val="22"/>
        </w:rPr>
        <w:t xml:space="preserve">Table </w:t>
      </w:r>
      <w:r w:rsidRPr="00991725">
        <w:rPr>
          <w:rFonts w:ascii="Times New Roman" w:hAnsi="Times New Roman" w:cs="Times New Roman"/>
          <w:color w:val="auto"/>
          <w:sz w:val="22"/>
          <w:szCs w:val="22"/>
        </w:rPr>
        <w:fldChar w:fldCharType="begin"/>
      </w:r>
      <w:r w:rsidRPr="00991725">
        <w:rPr>
          <w:rFonts w:ascii="Times New Roman" w:hAnsi="Times New Roman" w:cs="Times New Roman"/>
          <w:color w:val="auto"/>
          <w:sz w:val="22"/>
          <w:szCs w:val="22"/>
        </w:rPr>
        <w:instrText xml:space="preserve"> SEQ Table \* ARABIC </w:instrText>
      </w:r>
      <w:r w:rsidRPr="00991725">
        <w:rPr>
          <w:rFonts w:ascii="Times New Roman" w:hAnsi="Times New Roman" w:cs="Times New Roman"/>
          <w:color w:val="auto"/>
          <w:sz w:val="22"/>
          <w:szCs w:val="22"/>
        </w:rPr>
        <w:fldChar w:fldCharType="separate"/>
      </w:r>
      <w:r w:rsidR="00BC000F">
        <w:rPr>
          <w:rFonts w:ascii="Times New Roman" w:hAnsi="Times New Roman" w:cs="Times New Roman"/>
          <w:noProof/>
          <w:color w:val="auto"/>
          <w:sz w:val="22"/>
          <w:szCs w:val="22"/>
        </w:rPr>
        <w:t>2</w:t>
      </w:r>
      <w:r w:rsidRPr="00991725">
        <w:rPr>
          <w:rFonts w:ascii="Times New Roman" w:hAnsi="Times New Roman" w:cs="Times New Roman"/>
          <w:color w:val="auto"/>
          <w:sz w:val="22"/>
          <w:szCs w:val="22"/>
        </w:rPr>
        <w:fldChar w:fldCharType="end"/>
      </w:r>
      <w:bookmarkEnd w:id="2"/>
      <w:r w:rsidRPr="00991725">
        <w:rPr>
          <w:rFonts w:ascii="Times New Roman" w:hAnsi="Times New Roman" w:cs="Times New Roman"/>
          <w:color w:val="auto"/>
          <w:sz w:val="22"/>
          <w:szCs w:val="22"/>
        </w:rPr>
        <w:t xml:space="preserve">: </w:t>
      </w:r>
      <w:r w:rsidRPr="00991725">
        <w:rPr>
          <w:rFonts w:ascii="Times New Roman" w:hAnsi="Times New Roman" w:cs="Times New Roman"/>
          <w:b w:val="0"/>
          <w:color w:val="auto"/>
          <w:sz w:val="22"/>
          <w:szCs w:val="22"/>
        </w:rPr>
        <w:t>Incidence of Liver and IBD Cancer in CT 3732 from 1984-2013</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88"/>
        <w:gridCol w:w="630"/>
        <w:gridCol w:w="630"/>
        <w:gridCol w:w="630"/>
        <w:gridCol w:w="1170"/>
        <w:gridCol w:w="720"/>
        <w:gridCol w:w="630"/>
        <w:gridCol w:w="630"/>
        <w:gridCol w:w="1170"/>
        <w:gridCol w:w="630"/>
        <w:gridCol w:w="630"/>
        <w:gridCol w:w="630"/>
        <w:gridCol w:w="1098"/>
      </w:tblGrid>
      <w:tr w:rsidR="0077645E" w:rsidRPr="00A81574" w:rsidTr="00557281">
        <w:tc>
          <w:tcPr>
            <w:tcW w:w="1188" w:type="dxa"/>
            <w:vMerge w:val="restart"/>
            <w:shd w:val="clear" w:color="auto" w:fill="D2DFD0" w:themeFill="accent5" w:themeFillTint="66"/>
          </w:tcPr>
          <w:p w:rsidR="0077645E" w:rsidRPr="00A81574" w:rsidRDefault="0077645E" w:rsidP="00557281">
            <w:pPr>
              <w:rPr>
                <w:rFonts w:ascii="Times New Roman" w:hAnsi="Times New Roman" w:cs="Times New Roman"/>
              </w:rPr>
            </w:pPr>
          </w:p>
        </w:tc>
        <w:tc>
          <w:tcPr>
            <w:tcW w:w="3060" w:type="dxa"/>
            <w:gridSpan w:val="4"/>
            <w:shd w:val="clear" w:color="auto" w:fill="D2DFD0" w:themeFill="accent5" w:themeFillTint="66"/>
          </w:tcPr>
          <w:p w:rsidR="0077645E" w:rsidRPr="00A81574" w:rsidRDefault="0077645E" w:rsidP="00557281">
            <w:pPr>
              <w:jc w:val="center"/>
              <w:rPr>
                <w:rFonts w:ascii="Times New Roman" w:hAnsi="Times New Roman" w:cs="Times New Roman"/>
                <w:b/>
              </w:rPr>
            </w:pPr>
            <w:r w:rsidRPr="00A81574">
              <w:rPr>
                <w:rFonts w:ascii="Times New Roman" w:hAnsi="Times New Roman" w:cs="Times New Roman"/>
                <w:b/>
              </w:rPr>
              <w:t>1984-1993</w:t>
            </w:r>
          </w:p>
        </w:tc>
        <w:tc>
          <w:tcPr>
            <w:tcW w:w="3150" w:type="dxa"/>
            <w:gridSpan w:val="4"/>
            <w:shd w:val="clear" w:color="auto" w:fill="D2DFD0" w:themeFill="accent5" w:themeFillTint="66"/>
          </w:tcPr>
          <w:p w:rsidR="0077645E" w:rsidRPr="00A81574" w:rsidRDefault="0077645E" w:rsidP="00557281">
            <w:pPr>
              <w:jc w:val="center"/>
              <w:rPr>
                <w:rFonts w:ascii="Times New Roman" w:hAnsi="Times New Roman" w:cs="Times New Roman"/>
                <w:b/>
              </w:rPr>
            </w:pPr>
            <w:r w:rsidRPr="00A81574">
              <w:rPr>
                <w:rFonts w:ascii="Times New Roman" w:hAnsi="Times New Roman" w:cs="Times New Roman"/>
                <w:b/>
              </w:rPr>
              <w:t>1994-2003</w:t>
            </w:r>
          </w:p>
        </w:tc>
        <w:tc>
          <w:tcPr>
            <w:tcW w:w="2988" w:type="dxa"/>
            <w:gridSpan w:val="4"/>
            <w:shd w:val="clear" w:color="auto" w:fill="D2DFD0" w:themeFill="accent5" w:themeFillTint="66"/>
          </w:tcPr>
          <w:p w:rsidR="0077645E" w:rsidRPr="00A81574" w:rsidRDefault="0077645E" w:rsidP="00557281">
            <w:pPr>
              <w:jc w:val="center"/>
              <w:rPr>
                <w:rFonts w:ascii="Times New Roman" w:hAnsi="Times New Roman" w:cs="Times New Roman"/>
                <w:b/>
              </w:rPr>
            </w:pPr>
            <w:r w:rsidRPr="00A81574">
              <w:rPr>
                <w:rFonts w:ascii="Times New Roman" w:hAnsi="Times New Roman" w:cs="Times New Roman"/>
                <w:b/>
              </w:rPr>
              <w:t>2004-2013</w:t>
            </w:r>
          </w:p>
        </w:tc>
      </w:tr>
      <w:tr w:rsidR="0077645E" w:rsidRPr="00A81574" w:rsidTr="006F1144">
        <w:tc>
          <w:tcPr>
            <w:tcW w:w="1188" w:type="dxa"/>
            <w:vMerge/>
            <w:shd w:val="clear" w:color="auto" w:fill="D2DFD0" w:themeFill="accent5" w:themeFillTint="66"/>
          </w:tcPr>
          <w:p w:rsidR="0077645E" w:rsidRPr="00A81574" w:rsidRDefault="0077645E" w:rsidP="00557281">
            <w:pPr>
              <w:rPr>
                <w:rFonts w:ascii="Times New Roman" w:hAnsi="Times New Roman" w:cs="Times New Roman"/>
              </w:rPr>
            </w:pPr>
          </w:p>
        </w:tc>
        <w:tc>
          <w:tcPr>
            <w:tcW w:w="630" w:type="dxa"/>
            <w:shd w:val="clear" w:color="auto" w:fill="D2DFD0" w:themeFill="accent5" w:themeFillTint="66"/>
          </w:tcPr>
          <w:p w:rsidR="0077645E" w:rsidRPr="00A81574" w:rsidRDefault="0077645E" w:rsidP="00557281">
            <w:pPr>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77645E" w:rsidRPr="00A81574" w:rsidRDefault="0077645E" w:rsidP="00557281">
            <w:pPr>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630" w:type="dxa"/>
            <w:tcBorders>
              <w:bottom w:val="single" w:sz="12" w:space="0" w:color="auto"/>
            </w:tcBorders>
            <w:shd w:val="clear" w:color="auto" w:fill="D2DFD0" w:themeFill="accent5" w:themeFillTint="66"/>
          </w:tcPr>
          <w:p w:rsidR="0077645E" w:rsidRPr="00A81574" w:rsidRDefault="0077645E" w:rsidP="00557281">
            <w:pPr>
              <w:rPr>
                <w:rFonts w:ascii="Times New Roman" w:hAnsi="Times New Roman" w:cs="Times New Roman"/>
                <w:b/>
                <w:szCs w:val="24"/>
              </w:rPr>
            </w:pPr>
            <w:r w:rsidRPr="00A81574">
              <w:rPr>
                <w:rFonts w:ascii="Times New Roman" w:hAnsi="Times New Roman" w:cs="Times New Roman"/>
                <w:b/>
                <w:szCs w:val="24"/>
              </w:rPr>
              <w:t>SIR</w:t>
            </w:r>
          </w:p>
        </w:tc>
        <w:tc>
          <w:tcPr>
            <w:tcW w:w="1170" w:type="dxa"/>
            <w:shd w:val="clear" w:color="auto" w:fill="D2DFD0" w:themeFill="accent5" w:themeFillTint="66"/>
          </w:tcPr>
          <w:p w:rsidR="0077645E" w:rsidRPr="00A81574" w:rsidRDefault="0077645E" w:rsidP="00557281">
            <w:pPr>
              <w:rPr>
                <w:rFonts w:ascii="Times New Roman" w:hAnsi="Times New Roman" w:cs="Times New Roman"/>
                <w:b/>
                <w:szCs w:val="24"/>
              </w:rPr>
            </w:pPr>
            <w:r w:rsidRPr="00A81574">
              <w:rPr>
                <w:rFonts w:ascii="Times New Roman" w:hAnsi="Times New Roman" w:cs="Times New Roman"/>
                <w:b/>
                <w:szCs w:val="24"/>
              </w:rPr>
              <w:t>95% CI</w:t>
            </w:r>
          </w:p>
        </w:tc>
        <w:tc>
          <w:tcPr>
            <w:tcW w:w="720" w:type="dxa"/>
            <w:shd w:val="clear" w:color="auto" w:fill="D2DFD0" w:themeFill="accent5" w:themeFillTint="66"/>
          </w:tcPr>
          <w:p w:rsidR="0077645E" w:rsidRPr="00A81574" w:rsidRDefault="0077645E" w:rsidP="00557281">
            <w:pPr>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77645E" w:rsidRPr="00A81574" w:rsidRDefault="0077645E" w:rsidP="00557281">
            <w:pPr>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630" w:type="dxa"/>
            <w:tcBorders>
              <w:bottom w:val="single" w:sz="12" w:space="0" w:color="auto"/>
            </w:tcBorders>
            <w:shd w:val="clear" w:color="auto" w:fill="D2DFD0" w:themeFill="accent5" w:themeFillTint="66"/>
          </w:tcPr>
          <w:p w:rsidR="0077645E" w:rsidRPr="00A81574" w:rsidRDefault="0077645E" w:rsidP="00557281">
            <w:pPr>
              <w:rPr>
                <w:rFonts w:ascii="Times New Roman" w:hAnsi="Times New Roman" w:cs="Times New Roman"/>
                <w:b/>
                <w:szCs w:val="24"/>
              </w:rPr>
            </w:pPr>
            <w:r w:rsidRPr="00A81574">
              <w:rPr>
                <w:rFonts w:ascii="Times New Roman" w:hAnsi="Times New Roman" w:cs="Times New Roman"/>
                <w:b/>
                <w:szCs w:val="24"/>
              </w:rPr>
              <w:t>SIR</w:t>
            </w:r>
          </w:p>
        </w:tc>
        <w:tc>
          <w:tcPr>
            <w:tcW w:w="1170" w:type="dxa"/>
            <w:shd w:val="clear" w:color="auto" w:fill="D2DFD0" w:themeFill="accent5" w:themeFillTint="66"/>
          </w:tcPr>
          <w:p w:rsidR="0077645E" w:rsidRPr="00A81574" w:rsidRDefault="0077645E" w:rsidP="00557281">
            <w:pPr>
              <w:rPr>
                <w:rFonts w:ascii="Times New Roman" w:hAnsi="Times New Roman" w:cs="Times New Roman"/>
                <w:b/>
                <w:szCs w:val="24"/>
              </w:rPr>
            </w:pPr>
            <w:r w:rsidRPr="00A81574">
              <w:rPr>
                <w:rFonts w:ascii="Times New Roman" w:hAnsi="Times New Roman" w:cs="Times New Roman"/>
                <w:b/>
                <w:szCs w:val="24"/>
              </w:rPr>
              <w:t>95% CI</w:t>
            </w:r>
          </w:p>
        </w:tc>
        <w:tc>
          <w:tcPr>
            <w:tcW w:w="630" w:type="dxa"/>
            <w:shd w:val="clear" w:color="auto" w:fill="D2DFD0" w:themeFill="accent5" w:themeFillTint="66"/>
          </w:tcPr>
          <w:p w:rsidR="0077645E" w:rsidRPr="00A81574" w:rsidRDefault="0077645E" w:rsidP="00557281">
            <w:pPr>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77645E" w:rsidRPr="00A81574" w:rsidRDefault="0077645E" w:rsidP="00557281">
            <w:pPr>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630" w:type="dxa"/>
            <w:tcBorders>
              <w:bottom w:val="single" w:sz="12" w:space="0" w:color="auto"/>
            </w:tcBorders>
            <w:shd w:val="clear" w:color="auto" w:fill="D2DFD0" w:themeFill="accent5" w:themeFillTint="66"/>
          </w:tcPr>
          <w:p w:rsidR="0077645E" w:rsidRPr="00A81574" w:rsidRDefault="0077645E" w:rsidP="00557281">
            <w:pPr>
              <w:rPr>
                <w:rFonts w:ascii="Times New Roman" w:hAnsi="Times New Roman" w:cs="Times New Roman"/>
                <w:b/>
                <w:szCs w:val="24"/>
              </w:rPr>
            </w:pPr>
            <w:r w:rsidRPr="00A81574">
              <w:rPr>
                <w:rFonts w:ascii="Times New Roman" w:hAnsi="Times New Roman" w:cs="Times New Roman"/>
                <w:b/>
                <w:szCs w:val="24"/>
              </w:rPr>
              <w:t>SIR</w:t>
            </w:r>
          </w:p>
        </w:tc>
        <w:tc>
          <w:tcPr>
            <w:tcW w:w="1098" w:type="dxa"/>
            <w:shd w:val="clear" w:color="auto" w:fill="D2DFD0" w:themeFill="accent5" w:themeFillTint="66"/>
          </w:tcPr>
          <w:p w:rsidR="0077645E" w:rsidRPr="00A81574" w:rsidRDefault="0077645E" w:rsidP="00557281">
            <w:pPr>
              <w:rPr>
                <w:rFonts w:ascii="Times New Roman" w:hAnsi="Times New Roman" w:cs="Times New Roman"/>
                <w:b/>
                <w:szCs w:val="24"/>
              </w:rPr>
            </w:pPr>
            <w:r w:rsidRPr="00A81574">
              <w:rPr>
                <w:rFonts w:ascii="Times New Roman" w:hAnsi="Times New Roman" w:cs="Times New Roman"/>
                <w:b/>
                <w:szCs w:val="24"/>
              </w:rPr>
              <w:t>95% CI</w:t>
            </w:r>
          </w:p>
        </w:tc>
      </w:tr>
      <w:tr w:rsidR="0077645E" w:rsidRPr="00A81574" w:rsidTr="006F1144">
        <w:tc>
          <w:tcPr>
            <w:tcW w:w="1188" w:type="dxa"/>
          </w:tcPr>
          <w:p w:rsidR="0077645E" w:rsidRPr="00A81574" w:rsidRDefault="0077645E" w:rsidP="00557281">
            <w:pPr>
              <w:rPr>
                <w:rFonts w:ascii="Times New Roman" w:hAnsi="Times New Roman" w:cs="Times New Roman"/>
              </w:rPr>
            </w:pPr>
            <w:r w:rsidRPr="00A81574">
              <w:rPr>
                <w:rFonts w:ascii="Times New Roman" w:hAnsi="Times New Roman" w:cs="Times New Roman"/>
              </w:rPr>
              <w:t>Males</w:t>
            </w:r>
          </w:p>
        </w:tc>
        <w:tc>
          <w:tcPr>
            <w:tcW w:w="630" w:type="dxa"/>
            <w:tcBorders>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0</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0.8</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NC</w:t>
            </w:r>
          </w:p>
        </w:tc>
        <w:tc>
          <w:tcPr>
            <w:tcW w:w="1170" w:type="dxa"/>
            <w:tcBorders>
              <w:lef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 xml:space="preserve">NC -- </w:t>
            </w:r>
            <w:proofErr w:type="spellStart"/>
            <w:r w:rsidRPr="0077645E">
              <w:rPr>
                <w:rFonts w:ascii="Times New Roman" w:hAnsi="Times New Roman" w:cs="Times New Roman"/>
                <w:szCs w:val="24"/>
              </w:rPr>
              <w:t>NC</w:t>
            </w:r>
            <w:proofErr w:type="spellEnd"/>
          </w:p>
        </w:tc>
        <w:tc>
          <w:tcPr>
            <w:tcW w:w="720" w:type="dxa"/>
            <w:tcBorders>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0</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1.6</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NC</w:t>
            </w:r>
          </w:p>
        </w:tc>
        <w:tc>
          <w:tcPr>
            <w:tcW w:w="1170" w:type="dxa"/>
            <w:tcBorders>
              <w:lef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 xml:space="preserve">NC -- </w:t>
            </w:r>
            <w:proofErr w:type="spellStart"/>
            <w:r w:rsidRPr="0077645E">
              <w:rPr>
                <w:rFonts w:ascii="Times New Roman" w:hAnsi="Times New Roman" w:cs="Times New Roman"/>
                <w:szCs w:val="24"/>
              </w:rPr>
              <w:t>NC</w:t>
            </w:r>
            <w:proofErr w:type="spellEnd"/>
          </w:p>
        </w:tc>
        <w:tc>
          <w:tcPr>
            <w:tcW w:w="630" w:type="dxa"/>
            <w:tcBorders>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3</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3</w:t>
            </w:r>
            <w:r w:rsidR="00CF2B31">
              <w:rPr>
                <w:rFonts w:ascii="Times New Roman" w:hAnsi="Times New Roman" w:cs="Times New Roman"/>
                <w:szCs w:val="24"/>
              </w:rPr>
              <w:t>.0</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NC</w:t>
            </w:r>
          </w:p>
        </w:tc>
        <w:tc>
          <w:tcPr>
            <w:tcW w:w="1098" w:type="dxa"/>
            <w:tcBorders>
              <w:lef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 xml:space="preserve">NC -- </w:t>
            </w:r>
            <w:proofErr w:type="spellStart"/>
            <w:r w:rsidRPr="0077645E">
              <w:rPr>
                <w:rFonts w:ascii="Times New Roman" w:hAnsi="Times New Roman" w:cs="Times New Roman"/>
                <w:szCs w:val="24"/>
              </w:rPr>
              <w:t>NC</w:t>
            </w:r>
            <w:proofErr w:type="spellEnd"/>
          </w:p>
        </w:tc>
      </w:tr>
      <w:tr w:rsidR="0077645E" w:rsidRPr="00A81574" w:rsidTr="006F1144">
        <w:tc>
          <w:tcPr>
            <w:tcW w:w="1188" w:type="dxa"/>
          </w:tcPr>
          <w:p w:rsidR="0077645E" w:rsidRPr="00A81574" w:rsidRDefault="0077645E" w:rsidP="00557281">
            <w:pPr>
              <w:rPr>
                <w:rFonts w:ascii="Times New Roman" w:hAnsi="Times New Roman" w:cs="Times New Roman"/>
              </w:rPr>
            </w:pPr>
            <w:r w:rsidRPr="00A81574">
              <w:rPr>
                <w:rFonts w:ascii="Times New Roman" w:hAnsi="Times New Roman" w:cs="Times New Roman"/>
              </w:rPr>
              <w:t>Females</w:t>
            </w:r>
          </w:p>
        </w:tc>
        <w:tc>
          <w:tcPr>
            <w:tcW w:w="630" w:type="dxa"/>
            <w:tcBorders>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2</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0.4</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NC</w:t>
            </w:r>
          </w:p>
        </w:tc>
        <w:tc>
          <w:tcPr>
            <w:tcW w:w="1170" w:type="dxa"/>
            <w:tcBorders>
              <w:lef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 xml:space="preserve">NC -- </w:t>
            </w:r>
            <w:proofErr w:type="spellStart"/>
            <w:r w:rsidRPr="0077645E">
              <w:rPr>
                <w:rFonts w:ascii="Times New Roman" w:hAnsi="Times New Roman" w:cs="Times New Roman"/>
                <w:szCs w:val="24"/>
              </w:rPr>
              <w:t>NC</w:t>
            </w:r>
            <w:proofErr w:type="spellEnd"/>
          </w:p>
        </w:tc>
        <w:tc>
          <w:tcPr>
            <w:tcW w:w="720" w:type="dxa"/>
            <w:tcBorders>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0</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3.8</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NC</w:t>
            </w:r>
          </w:p>
        </w:tc>
        <w:tc>
          <w:tcPr>
            <w:tcW w:w="1170" w:type="dxa"/>
            <w:tcBorders>
              <w:lef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 xml:space="preserve">NC -- </w:t>
            </w:r>
            <w:proofErr w:type="spellStart"/>
            <w:r w:rsidRPr="0077645E">
              <w:rPr>
                <w:rFonts w:ascii="Times New Roman" w:hAnsi="Times New Roman" w:cs="Times New Roman"/>
                <w:szCs w:val="24"/>
              </w:rPr>
              <w:t>NC</w:t>
            </w:r>
            <w:proofErr w:type="spellEnd"/>
          </w:p>
        </w:tc>
        <w:tc>
          <w:tcPr>
            <w:tcW w:w="630" w:type="dxa"/>
            <w:tcBorders>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2</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1.2</w:t>
            </w:r>
          </w:p>
        </w:tc>
        <w:tc>
          <w:tcPr>
            <w:tcW w:w="630" w:type="dxa"/>
            <w:tcBorders>
              <w:left w:val="nil"/>
              <w:righ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NC</w:t>
            </w:r>
          </w:p>
        </w:tc>
        <w:tc>
          <w:tcPr>
            <w:tcW w:w="1098" w:type="dxa"/>
            <w:tcBorders>
              <w:left w:val="nil"/>
            </w:tcBorders>
          </w:tcPr>
          <w:p w:rsidR="0077645E" w:rsidRPr="0077645E" w:rsidRDefault="0077645E" w:rsidP="006F1144">
            <w:pPr>
              <w:jc w:val="center"/>
              <w:rPr>
                <w:rFonts w:ascii="Times New Roman" w:hAnsi="Times New Roman" w:cs="Times New Roman"/>
                <w:szCs w:val="24"/>
              </w:rPr>
            </w:pPr>
            <w:r w:rsidRPr="0077645E">
              <w:rPr>
                <w:rFonts w:ascii="Times New Roman" w:hAnsi="Times New Roman" w:cs="Times New Roman"/>
                <w:szCs w:val="24"/>
              </w:rPr>
              <w:t xml:space="preserve">NC -- </w:t>
            </w:r>
            <w:proofErr w:type="spellStart"/>
            <w:r w:rsidRPr="0077645E">
              <w:rPr>
                <w:rFonts w:ascii="Times New Roman" w:hAnsi="Times New Roman" w:cs="Times New Roman"/>
                <w:szCs w:val="24"/>
              </w:rPr>
              <w:t>NC</w:t>
            </w:r>
            <w:proofErr w:type="spellEnd"/>
          </w:p>
        </w:tc>
      </w:tr>
    </w:tbl>
    <w:p w:rsidR="0077645E" w:rsidRPr="00C36DAC" w:rsidRDefault="0077645E" w:rsidP="0077645E">
      <w:pPr>
        <w:rPr>
          <w:rFonts w:ascii="Times New Roman" w:hAnsi="Times New Roman" w:cs="Times New Roman"/>
          <w:sz w:val="20"/>
          <w:szCs w:val="24"/>
        </w:rPr>
      </w:pPr>
      <w:r w:rsidRPr="00C36DAC">
        <w:rPr>
          <w:rFonts w:ascii="Times New Roman" w:hAnsi="Times New Roman" w:cs="Times New Roman"/>
          <w:sz w:val="20"/>
          <w:szCs w:val="24"/>
        </w:rPr>
        <w:t>Source: Massachusetts Cancer Registry, Office of Data Management and Outcomes Assessment, MDPH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5329"/>
      </w:tblGrid>
      <w:tr w:rsidR="0077645E" w:rsidRPr="00C36DAC" w:rsidTr="00557281">
        <w:tc>
          <w:tcPr>
            <w:tcW w:w="2448" w:type="pct"/>
          </w:tcPr>
          <w:p w:rsidR="0077645E" w:rsidRPr="00C36DAC" w:rsidRDefault="0077645E" w:rsidP="00557281">
            <w:pPr>
              <w:jc w:val="center"/>
              <w:rPr>
                <w:rFonts w:ascii="Times New Roman" w:hAnsi="Times New Roman" w:cs="Times New Roman"/>
                <w:szCs w:val="24"/>
              </w:rPr>
            </w:pPr>
            <w:proofErr w:type="spellStart"/>
            <w:r w:rsidRPr="00C36DAC">
              <w:rPr>
                <w:rFonts w:ascii="Times New Roman" w:hAnsi="Times New Roman" w:cs="Times New Roman"/>
                <w:szCs w:val="24"/>
              </w:rPr>
              <w:t>Obs</w:t>
            </w:r>
            <w:proofErr w:type="spellEnd"/>
            <w:r w:rsidRPr="00C36DAC">
              <w:rPr>
                <w:rFonts w:ascii="Times New Roman" w:hAnsi="Times New Roman" w:cs="Times New Roman"/>
                <w:szCs w:val="24"/>
              </w:rPr>
              <w:t xml:space="preserve"> = Observed number of diagnos</w:t>
            </w:r>
            <w:r w:rsidR="00F31C41">
              <w:rPr>
                <w:rFonts w:ascii="Times New Roman" w:hAnsi="Times New Roman" w:cs="Times New Roman"/>
                <w:szCs w:val="24"/>
              </w:rPr>
              <w:t>e</w:t>
            </w:r>
            <w:r w:rsidRPr="00C36DAC">
              <w:rPr>
                <w:rFonts w:ascii="Times New Roman" w:hAnsi="Times New Roman" w:cs="Times New Roman"/>
                <w:szCs w:val="24"/>
              </w:rPr>
              <w:t>s</w:t>
            </w:r>
          </w:p>
          <w:p w:rsidR="0077645E" w:rsidRPr="00C36DAC" w:rsidRDefault="0077645E" w:rsidP="00557281">
            <w:pPr>
              <w:jc w:val="center"/>
              <w:rPr>
                <w:rFonts w:ascii="Times New Roman" w:hAnsi="Times New Roman" w:cs="Times New Roman"/>
                <w:szCs w:val="24"/>
              </w:rPr>
            </w:pPr>
            <w:proofErr w:type="spellStart"/>
            <w:r w:rsidRPr="00C36DAC">
              <w:rPr>
                <w:rFonts w:ascii="Times New Roman" w:hAnsi="Times New Roman" w:cs="Times New Roman"/>
                <w:szCs w:val="24"/>
              </w:rPr>
              <w:t>Exp</w:t>
            </w:r>
            <w:proofErr w:type="spellEnd"/>
            <w:r w:rsidRPr="00C36DAC">
              <w:rPr>
                <w:rFonts w:ascii="Times New Roman" w:hAnsi="Times New Roman" w:cs="Times New Roman"/>
                <w:szCs w:val="24"/>
              </w:rPr>
              <w:t xml:space="preserve"> = Expected number of diagnos</w:t>
            </w:r>
            <w:r w:rsidR="00F31C41">
              <w:rPr>
                <w:rFonts w:ascii="Times New Roman" w:hAnsi="Times New Roman" w:cs="Times New Roman"/>
                <w:szCs w:val="24"/>
              </w:rPr>
              <w:t>e</w:t>
            </w:r>
            <w:r w:rsidRPr="00C36DAC">
              <w:rPr>
                <w:rFonts w:ascii="Times New Roman" w:hAnsi="Times New Roman" w:cs="Times New Roman"/>
                <w:szCs w:val="24"/>
              </w:rPr>
              <w:t>s</w:t>
            </w:r>
          </w:p>
          <w:p w:rsidR="0077645E" w:rsidRPr="00C36DAC" w:rsidRDefault="0077645E" w:rsidP="00557281">
            <w:pPr>
              <w:jc w:val="center"/>
              <w:rPr>
                <w:rFonts w:ascii="Times New Roman" w:hAnsi="Times New Roman" w:cs="Times New Roman"/>
                <w:szCs w:val="24"/>
              </w:rPr>
            </w:pPr>
            <w:r w:rsidRPr="00C36DAC">
              <w:rPr>
                <w:rFonts w:ascii="Times New Roman" w:hAnsi="Times New Roman" w:cs="Times New Roman"/>
                <w:szCs w:val="24"/>
              </w:rPr>
              <w:t>SIR = Standardized Incidence Ratio</w:t>
            </w:r>
          </w:p>
        </w:tc>
        <w:tc>
          <w:tcPr>
            <w:tcW w:w="2552" w:type="pct"/>
          </w:tcPr>
          <w:p w:rsidR="0077645E" w:rsidRPr="00C36DAC" w:rsidRDefault="0077645E" w:rsidP="00557281">
            <w:pPr>
              <w:jc w:val="center"/>
              <w:rPr>
                <w:rFonts w:ascii="Times New Roman" w:hAnsi="Times New Roman" w:cs="Times New Roman"/>
                <w:szCs w:val="24"/>
              </w:rPr>
            </w:pPr>
            <w:r w:rsidRPr="00C36DAC">
              <w:rPr>
                <w:rFonts w:ascii="Times New Roman" w:hAnsi="Times New Roman" w:cs="Times New Roman"/>
                <w:szCs w:val="24"/>
              </w:rPr>
              <w:t>95% CI = 95% Confidence interval</w:t>
            </w:r>
          </w:p>
          <w:p w:rsidR="0077645E" w:rsidRPr="00C36DAC" w:rsidRDefault="0077645E" w:rsidP="00557281">
            <w:pPr>
              <w:jc w:val="center"/>
              <w:rPr>
                <w:rFonts w:ascii="Times New Roman" w:hAnsi="Times New Roman" w:cs="Times New Roman"/>
                <w:szCs w:val="24"/>
              </w:rPr>
            </w:pPr>
            <w:r w:rsidRPr="00C36DAC">
              <w:rPr>
                <w:rFonts w:ascii="Times New Roman" w:hAnsi="Times New Roman" w:cs="Times New Roman"/>
                <w:szCs w:val="24"/>
              </w:rPr>
              <w:t>* = Statistical significance</w:t>
            </w:r>
          </w:p>
          <w:p w:rsidR="0077645E" w:rsidRPr="00C36DAC" w:rsidRDefault="0077645E" w:rsidP="00557281">
            <w:pPr>
              <w:jc w:val="center"/>
              <w:rPr>
                <w:rFonts w:ascii="Times New Roman" w:hAnsi="Times New Roman" w:cs="Times New Roman"/>
                <w:szCs w:val="24"/>
              </w:rPr>
            </w:pPr>
            <w:r w:rsidRPr="00C36DAC">
              <w:rPr>
                <w:rFonts w:ascii="Times New Roman" w:hAnsi="Times New Roman" w:cs="Times New Roman"/>
                <w:szCs w:val="24"/>
              </w:rPr>
              <w:t>NC = Not calculated</w:t>
            </w:r>
          </w:p>
        </w:tc>
      </w:tr>
    </w:tbl>
    <w:p w:rsidR="0077645E" w:rsidRPr="00C36DAC" w:rsidRDefault="0077645E" w:rsidP="008F3B2F">
      <w:pPr>
        <w:spacing w:after="0"/>
        <w:rPr>
          <w:rFonts w:ascii="Times New Roman" w:hAnsi="Times New Roman" w:cs="Times New Roman"/>
          <w:sz w:val="24"/>
        </w:rPr>
      </w:pPr>
    </w:p>
    <w:p w:rsidR="00366DC9" w:rsidRPr="00597718" w:rsidRDefault="00211417" w:rsidP="00290F74">
      <w:pPr>
        <w:pStyle w:val="CAUBodyText"/>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jc w:val="left"/>
        <w:rPr>
          <w:sz w:val="22"/>
          <w:szCs w:val="22"/>
        </w:rPr>
      </w:pPr>
      <w:r w:rsidRPr="00597718">
        <w:rPr>
          <w:b/>
          <w:i/>
          <w:sz w:val="22"/>
          <w:szCs w:val="22"/>
        </w:rPr>
        <w:t>About</w:t>
      </w:r>
      <w:r w:rsidR="00366DC9" w:rsidRPr="00597718">
        <w:rPr>
          <w:b/>
          <w:i/>
          <w:sz w:val="22"/>
          <w:szCs w:val="22"/>
        </w:rPr>
        <w:t xml:space="preserve"> Liver and Intrahepatic Bile Duct Cancer</w:t>
      </w:r>
    </w:p>
    <w:p w:rsidR="008F3B2F" w:rsidRPr="00991725" w:rsidRDefault="00211417" w:rsidP="00290F74">
      <w:pPr>
        <w:pStyle w:val="CAUBodyText"/>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jc w:val="left"/>
        <w:rPr>
          <w:sz w:val="22"/>
          <w:szCs w:val="22"/>
        </w:rPr>
      </w:pPr>
      <w:r w:rsidRPr="00597718">
        <w:rPr>
          <w:sz w:val="22"/>
          <w:szCs w:val="22"/>
        </w:rPr>
        <w:t>Liver and IBD cancer</w:t>
      </w:r>
      <w:r w:rsidR="006039B3" w:rsidRPr="00597718">
        <w:rPr>
          <w:sz w:val="22"/>
          <w:szCs w:val="22"/>
        </w:rPr>
        <w:t xml:space="preserve"> is</w:t>
      </w:r>
      <w:r w:rsidRPr="00597718">
        <w:rPr>
          <w:sz w:val="22"/>
          <w:szCs w:val="22"/>
        </w:rPr>
        <w:t xml:space="preserve"> more common among men and older adults. </w:t>
      </w:r>
      <w:r w:rsidR="008A18DE" w:rsidRPr="00597718">
        <w:rPr>
          <w:sz w:val="22"/>
          <w:szCs w:val="22"/>
        </w:rPr>
        <w:t xml:space="preserve">Hepatocellular carcinoma is the most common type </w:t>
      </w:r>
      <w:r w:rsidR="00777BF0" w:rsidRPr="00597718">
        <w:rPr>
          <w:sz w:val="22"/>
          <w:szCs w:val="22"/>
        </w:rPr>
        <w:t>among adults</w:t>
      </w:r>
      <w:r w:rsidR="008A18DE" w:rsidRPr="00597718">
        <w:rPr>
          <w:sz w:val="22"/>
          <w:szCs w:val="22"/>
        </w:rPr>
        <w:t>, accounting for 80% of</w:t>
      </w:r>
      <w:r w:rsidR="00CC464D" w:rsidRPr="00597718">
        <w:rPr>
          <w:sz w:val="22"/>
          <w:szCs w:val="22"/>
        </w:rPr>
        <w:t xml:space="preserve"> all</w:t>
      </w:r>
      <w:r w:rsidR="008A18DE" w:rsidRPr="00597718">
        <w:rPr>
          <w:sz w:val="22"/>
          <w:szCs w:val="22"/>
        </w:rPr>
        <w:t xml:space="preserve"> diagnos</w:t>
      </w:r>
      <w:r w:rsidR="00CC464D" w:rsidRPr="00597718">
        <w:rPr>
          <w:sz w:val="22"/>
          <w:szCs w:val="22"/>
        </w:rPr>
        <w:t>e</w:t>
      </w:r>
      <w:r w:rsidR="008A18DE" w:rsidRPr="00597718">
        <w:rPr>
          <w:sz w:val="22"/>
          <w:szCs w:val="22"/>
        </w:rPr>
        <w:t>s</w:t>
      </w:r>
      <w:r w:rsidR="009921D2" w:rsidRPr="00597718">
        <w:rPr>
          <w:sz w:val="22"/>
          <w:szCs w:val="22"/>
        </w:rPr>
        <w:t xml:space="preserve">, while intrahepatic </w:t>
      </w:r>
      <w:proofErr w:type="spellStart"/>
      <w:r w:rsidR="009921D2" w:rsidRPr="00597718">
        <w:rPr>
          <w:sz w:val="22"/>
          <w:szCs w:val="22"/>
        </w:rPr>
        <w:t>cholangiocarcinomas</w:t>
      </w:r>
      <w:proofErr w:type="spellEnd"/>
      <w:r w:rsidR="009921D2" w:rsidRPr="00597718">
        <w:rPr>
          <w:sz w:val="22"/>
          <w:szCs w:val="22"/>
        </w:rPr>
        <w:t xml:space="preserve"> account for a</w:t>
      </w:r>
      <w:r w:rsidR="00EC5535" w:rsidRPr="00597718">
        <w:rPr>
          <w:sz w:val="22"/>
          <w:szCs w:val="22"/>
        </w:rPr>
        <w:t>bout 10-20%.</w:t>
      </w:r>
      <w:r w:rsidR="00EC5535" w:rsidRPr="00991725">
        <w:rPr>
          <w:sz w:val="22"/>
          <w:szCs w:val="22"/>
        </w:rPr>
        <w:t xml:space="preserve"> </w:t>
      </w:r>
      <w:r w:rsidR="00513A8F" w:rsidRPr="00991725">
        <w:rPr>
          <w:sz w:val="22"/>
          <w:szCs w:val="22"/>
        </w:rPr>
        <w:t xml:space="preserve">Cirrhosis (a disease in which liver cells are damaged and replaced by scar tissue) is a major risk factor for the development of liver and </w:t>
      </w:r>
      <w:r w:rsidR="0056797D" w:rsidRPr="00991725">
        <w:rPr>
          <w:sz w:val="22"/>
          <w:szCs w:val="22"/>
        </w:rPr>
        <w:t>IBD</w:t>
      </w:r>
      <w:r w:rsidR="00513A8F" w:rsidRPr="00991725">
        <w:rPr>
          <w:sz w:val="22"/>
          <w:szCs w:val="22"/>
        </w:rPr>
        <w:t xml:space="preserve"> cancer. Most cirrhosis in the U.S. occurs as a result of </w:t>
      </w:r>
      <w:r w:rsidR="004909B6" w:rsidRPr="00991725">
        <w:rPr>
          <w:sz w:val="22"/>
          <w:szCs w:val="22"/>
        </w:rPr>
        <w:t>long-term</w:t>
      </w:r>
      <w:r w:rsidR="00930D9E" w:rsidRPr="00991725">
        <w:rPr>
          <w:sz w:val="22"/>
          <w:szCs w:val="22"/>
        </w:rPr>
        <w:t xml:space="preserve"> infection with </w:t>
      </w:r>
      <w:r w:rsidR="00513A8F" w:rsidRPr="00991725">
        <w:rPr>
          <w:sz w:val="22"/>
          <w:szCs w:val="22"/>
        </w:rPr>
        <w:t xml:space="preserve">the </w:t>
      </w:r>
      <w:r w:rsidR="00930D9E" w:rsidRPr="00991725">
        <w:rPr>
          <w:sz w:val="22"/>
          <w:szCs w:val="22"/>
        </w:rPr>
        <w:t>hepatitis B virus (HBV) or hepatitis C virus (HCV)</w:t>
      </w:r>
      <w:r w:rsidR="00A53323" w:rsidRPr="00991725">
        <w:rPr>
          <w:sz w:val="22"/>
          <w:szCs w:val="22"/>
        </w:rPr>
        <w:t xml:space="preserve"> or heavy alcohol consumption</w:t>
      </w:r>
      <w:r w:rsidR="004909B6" w:rsidRPr="00991725">
        <w:rPr>
          <w:sz w:val="22"/>
          <w:szCs w:val="22"/>
        </w:rPr>
        <w:t>.</w:t>
      </w:r>
      <w:r w:rsidR="00930D9E" w:rsidRPr="00991725">
        <w:rPr>
          <w:sz w:val="22"/>
          <w:szCs w:val="22"/>
        </w:rPr>
        <w:t xml:space="preserve"> </w:t>
      </w:r>
      <w:r w:rsidR="00774784" w:rsidRPr="00991725">
        <w:rPr>
          <w:sz w:val="22"/>
          <w:szCs w:val="22"/>
        </w:rPr>
        <w:t>Other conditions that may lead to cirrhosis include c</w:t>
      </w:r>
      <w:r w:rsidR="00513A8F" w:rsidRPr="00991725">
        <w:rPr>
          <w:sz w:val="22"/>
          <w:szCs w:val="22"/>
        </w:rPr>
        <w:t>ertain inherited metabolic diseases</w:t>
      </w:r>
      <w:r w:rsidR="00774784" w:rsidRPr="00991725">
        <w:rPr>
          <w:sz w:val="22"/>
          <w:szCs w:val="22"/>
        </w:rPr>
        <w:t xml:space="preserve"> and autoimmune diseases</w:t>
      </w:r>
      <w:r w:rsidR="00513A8F" w:rsidRPr="00991725">
        <w:rPr>
          <w:sz w:val="22"/>
          <w:szCs w:val="22"/>
        </w:rPr>
        <w:t xml:space="preserve">. </w:t>
      </w:r>
      <w:r w:rsidR="00AC732F" w:rsidRPr="00991725">
        <w:rPr>
          <w:sz w:val="22"/>
          <w:szCs w:val="22"/>
        </w:rPr>
        <w:t xml:space="preserve">Additional </w:t>
      </w:r>
      <w:r w:rsidR="0056797D" w:rsidRPr="00991725">
        <w:rPr>
          <w:sz w:val="22"/>
          <w:szCs w:val="22"/>
        </w:rPr>
        <w:t xml:space="preserve">established risk </w:t>
      </w:r>
      <w:r w:rsidR="00AC732F" w:rsidRPr="00991725">
        <w:rPr>
          <w:sz w:val="22"/>
          <w:szCs w:val="22"/>
        </w:rPr>
        <w:t xml:space="preserve">factors </w:t>
      </w:r>
      <w:r w:rsidR="0056797D" w:rsidRPr="00991725">
        <w:rPr>
          <w:sz w:val="22"/>
          <w:szCs w:val="22"/>
        </w:rPr>
        <w:t>for</w:t>
      </w:r>
      <w:r w:rsidR="00AC732F" w:rsidRPr="00991725">
        <w:rPr>
          <w:sz w:val="22"/>
          <w:szCs w:val="22"/>
        </w:rPr>
        <w:t xml:space="preserve"> liver and IBD cancer include </w:t>
      </w:r>
      <w:r w:rsidR="009921D2" w:rsidRPr="00991725">
        <w:rPr>
          <w:sz w:val="22"/>
          <w:szCs w:val="22"/>
        </w:rPr>
        <w:t xml:space="preserve">tobacco use, </w:t>
      </w:r>
      <w:r w:rsidR="00C40DEE" w:rsidRPr="00991725">
        <w:rPr>
          <w:sz w:val="22"/>
          <w:szCs w:val="22"/>
        </w:rPr>
        <w:t>obesity</w:t>
      </w:r>
      <w:r w:rsidR="00AC732F" w:rsidRPr="00991725">
        <w:rPr>
          <w:sz w:val="22"/>
          <w:szCs w:val="22"/>
        </w:rPr>
        <w:t>, l</w:t>
      </w:r>
      <w:r w:rsidR="00A53323" w:rsidRPr="00991725">
        <w:rPr>
          <w:sz w:val="22"/>
          <w:szCs w:val="22"/>
        </w:rPr>
        <w:t>ong-term exposure to drinking water contaminated with arsenic</w:t>
      </w:r>
      <w:r w:rsidR="009921D2" w:rsidRPr="00991725">
        <w:rPr>
          <w:sz w:val="22"/>
          <w:szCs w:val="22"/>
        </w:rPr>
        <w:t xml:space="preserve">, exposure to vinyl chloride (used in making some plastics and strictly regulated), and exposure to thorium dioxide, also called </w:t>
      </w:r>
      <w:proofErr w:type="spellStart"/>
      <w:r w:rsidR="009921D2" w:rsidRPr="00991725">
        <w:rPr>
          <w:sz w:val="22"/>
          <w:szCs w:val="22"/>
        </w:rPr>
        <w:t>Thorotrast</w:t>
      </w:r>
      <w:proofErr w:type="spellEnd"/>
      <w:r w:rsidR="009921D2" w:rsidRPr="00991725">
        <w:rPr>
          <w:sz w:val="22"/>
          <w:szCs w:val="22"/>
        </w:rPr>
        <w:t xml:space="preserve"> (a chemical injected into some patients in the past for certain x-ray tests but no longer used)</w:t>
      </w:r>
      <w:r w:rsidR="00B87C5C" w:rsidRPr="00991725">
        <w:rPr>
          <w:sz w:val="22"/>
          <w:szCs w:val="22"/>
        </w:rPr>
        <w:t>. Possible risk factors may include Type 2 diabetes</w:t>
      </w:r>
      <w:r w:rsidR="00C1205D" w:rsidRPr="00991725">
        <w:rPr>
          <w:sz w:val="22"/>
          <w:szCs w:val="22"/>
        </w:rPr>
        <w:t>, infection with a parasite called a liver fluke, long-term use of anabolic steroids</w:t>
      </w:r>
      <w:r w:rsidR="008A4187" w:rsidRPr="00991725">
        <w:rPr>
          <w:sz w:val="22"/>
          <w:szCs w:val="22"/>
        </w:rPr>
        <w:t>, and TCE exposure</w:t>
      </w:r>
      <w:r w:rsidR="00930D9E" w:rsidRPr="00991725">
        <w:rPr>
          <w:sz w:val="22"/>
          <w:szCs w:val="22"/>
        </w:rPr>
        <w:t>.</w:t>
      </w:r>
      <w:r w:rsidR="004909B6" w:rsidRPr="00991725">
        <w:rPr>
          <w:sz w:val="22"/>
          <w:szCs w:val="22"/>
        </w:rPr>
        <w:t xml:space="preserve"> </w:t>
      </w:r>
      <w:r w:rsidR="00C1205D" w:rsidRPr="00991725">
        <w:rPr>
          <w:sz w:val="22"/>
          <w:szCs w:val="22"/>
        </w:rPr>
        <w:t xml:space="preserve">See the </w:t>
      </w:r>
      <w:hyperlink r:id="rId16" w:history="1">
        <w:r w:rsidR="00C1205D" w:rsidRPr="00991725">
          <w:rPr>
            <w:rStyle w:val="Hyperlink"/>
            <w:rFonts w:asciiTheme="minorHAnsi" w:hAnsiTheme="minorHAnsi"/>
            <w:i/>
            <w:sz w:val="22"/>
            <w:szCs w:val="22"/>
          </w:rPr>
          <w:t>American Cancer Society</w:t>
        </w:r>
      </w:hyperlink>
      <w:r w:rsidR="00C1205D" w:rsidRPr="00991725">
        <w:rPr>
          <w:sz w:val="22"/>
          <w:szCs w:val="22"/>
        </w:rPr>
        <w:t xml:space="preserve"> website and the risk factor summary</w:t>
      </w:r>
      <w:r w:rsidR="00B87C5C" w:rsidRPr="00991725">
        <w:rPr>
          <w:sz w:val="22"/>
          <w:szCs w:val="22"/>
        </w:rPr>
        <w:t xml:space="preserve"> on </w:t>
      </w:r>
      <w:hyperlink r:id="rId17" w:history="1">
        <w:r w:rsidR="00B87C5C" w:rsidRPr="00991725">
          <w:rPr>
            <w:rStyle w:val="Hyperlink"/>
            <w:rFonts w:asciiTheme="minorHAnsi" w:hAnsiTheme="minorHAnsi"/>
            <w:i/>
            <w:sz w:val="22"/>
            <w:szCs w:val="22"/>
          </w:rPr>
          <w:t>Massachusetts Environmental Public Health Tracking</w:t>
        </w:r>
      </w:hyperlink>
      <w:r w:rsidR="00B87C5C" w:rsidRPr="00991725">
        <w:rPr>
          <w:sz w:val="22"/>
          <w:szCs w:val="22"/>
        </w:rPr>
        <w:t xml:space="preserve"> for more information.</w:t>
      </w:r>
    </w:p>
    <w:p w:rsidR="00923BFE" w:rsidRPr="00991725" w:rsidRDefault="00D16B91" w:rsidP="00290F74">
      <w:pPr>
        <w:rPr>
          <w:rFonts w:ascii="Times New Roman" w:hAnsi="Times New Roman" w:cs="Times New Roman"/>
        </w:rPr>
      </w:pPr>
      <w:r w:rsidRPr="00991725">
        <w:rPr>
          <w:rFonts w:ascii="Times New Roman" w:hAnsi="Times New Roman" w:cs="Times New Roman"/>
        </w:rPr>
        <w:t xml:space="preserve">An analysis of the residential address at the time of diagnosis did not reveal any unusual spatial or temporal patterns for those diagnosed with liver and </w:t>
      </w:r>
      <w:r w:rsidR="007511A8" w:rsidRPr="00991725">
        <w:rPr>
          <w:rFonts w:ascii="Times New Roman" w:hAnsi="Times New Roman" w:cs="Times New Roman"/>
        </w:rPr>
        <w:t>IBD</w:t>
      </w:r>
      <w:r w:rsidRPr="00991725">
        <w:rPr>
          <w:rFonts w:ascii="Times New Roman" w:hAnsi="Times New Roman" w:cs="Times New Roman"/>
        </w:rPr>
        <w:t xml:space="preserve"> cancer in CT 3732 during 1984-2013. </w:t>
      </w:r>
    </w:p>
    <w:p w:rsidR="00BC494B" w:rsidRDefault="00521685" w:rsidP="00290F74">
      <w:pPr>
        <w:pStyle w:val="Heading3"/>
        <w:spacing w:before="0" w:after="200"/>
        <w:ind w:left="720"/>
      </w:pPr>
      <w:r w:rsidRPr="00290F74">
        <w:rPr>
          <w:rFonts w:cs="Times New Roman"/>
          <w:i/>
        </w:rPr>
        <w:t>Non-Hodgkin Lymphoma</w:t>
      </w:r>
    </w:p>
    <w:p w:rsidR="00EA586A" w:rsidRPr="005A04C7" w:rsidRDefault="00224F94" w:rsidP="00D4353B">
      <w:pPr>
        <w:rPr>
          <w:rFonts w:ascii="Times New Roman" w:hAnsi="Times New Roman" w:cs="Times New Roman"/>
        </w:rPr>
      </w:pPr>
      <w:r w:rsidRPr="00991725">
        <w:rPr>
          <w:rFonts w:ascii="Times New Roman" w:hAnsi="Times New Roman" w:cs="Times New Roman"/>
        </w:rPr>
        <w:t>Among males</w:t>
      </w:r>
      <w:r w:rsidR="005A1284" w:rsidRPr="00991725">
        <w:rPr>
          <w:rFonts w:ascii="Times New Roman" w:hAnsi="Times New Roman" w:cs="Times New Roman"/>
        </w:rPr>
        <w:t xml:space="preserve"> in CT 3732</w:t>
      </w:r>
      <w:r w:rsidRPr="00991725">
        <w:rPr>
          <w:rFonts w:ascii="Times New Roman" w:hAnsi="Times New Roman" w:cs="Times New Roman"/>
        </w:rPr>
        <w:t>, t</w:t>
      </w:r>
      <w:r w:rsidR="003B697D" w:rsidRPr="00991725">
        <w:rPr>
          <w:rFonts w:ascii="Times New Roman" w:hAnsi="Times New Roman" w:cs="Times New Roman"/>
        </w:rPr>
        <w:t xml:space="preserve">he incidence of NHL occurred less than </w:t>
      </w:r>
      <w:r w:rsidRPr="00991725">
        <w:rPr>
          <w:rFonts w:ascii="Times New Roman" w:hAnsi="Times New Roman" w:cs="Times New Roman"/>
        </w:rPr>
        <w:t xml:space="preserve">or as </w:t>
      </w:r>
      <w:r w:rsidR="003B697D" w:rsidRPr="00991725">
        <w:rPr>
          <w:rFonts w:ascii="Times New Roman" w:hAnsi="Times New Roman" w:cs="Times New Roman"/>
        </w:rPr>
        <w:t xml:space="preserve">expected </w:t>
      </w:r>
      <w:r w:rsidRPr="00991725">
        <w:rPr>
          <w:rFonts w:ascii="Times New Roman" w:hAnsi="Times New Roman" w:cs="Times New Roman"/>
        </w:rPr>
        <w:t xml:space="preserve">(within 1 or 2 diagnoses) </w:t>
      </w:r>
      <w:r w:rsidR="003B697D" w:rsidRPr="00991725">
        <w:rPr>
          <w:rFonts w:ascii="Times New Roman" w:hAnsi="Times New Roman" w:cs="Times New Roman"/>
        </w:rPr>
        <w:t xml:space="preserve">for all three </w:t>
      </w:r>
      <w:r w:rsidR="00AF74CD" w:rsidRPr="00991725">
        <w:rPr>
          <w:rFonts w:ascii="Times New Roman" w:hAnsi="Times New Roman" w:cs="Times New Roman"/>
        </w:rPr>
        <w:t>10</w:t>
      </w:r>
      <w:r w:rsidRPr="00991725">
        <w:rPr>
          <w:rFonts w:ascii="Times New Roman" w:hAnsi="Times New Roman" w:cs="Times New Roman"/>
        </w:rPr>
        <w:t xml:space="preserve">-year </w:t>
      </w:r>
      <w:r w:rsidR="003B697D" w:rsidRPr="00991725">
        <w:rPr>
          <w:rFonts w:ascii="Times New Roman" w:hAnsi="Times New Roman" w:cs="Times New Roman"/>
        </w:rPr>
        <w:t>time periods</w:t>
      </w:r>
      <w:r w:rsidRPr="00991725">
        <w:rPr>
          <w:rFonts w:ascii="Times New Roman" w:hAnsi="Times New Roman" w:cs="Times New Roman"/>
        </w:rPr>
        <w:t xml:space="preserve"> from 1984-2013</w:t>
      </w:r>
      <w:r w:rsidR="003B697D" w:rsidRPr="00991725">
        <w:rPr>
          <w:rFonts w:ascii="Times New Roman" w:hAnsi="Times New Roman" w:cs="Times New Roman"/>
        </w:rPr>
        <w:t xml:space="preserve">. </w:t>
      </w:r>
      <w:r w:rsidRPr="00991725">
        <w:rPr>
          <w:rFonts w:ascii="Times New Roman" w:hAnsi="Times New Roman" w:cs="Times New Roman"/>
        </w:rPr>
        <w:t xml:space="preserve">Among </w:t>
      </w:r>
      <w:r w:rsidR="003B697D" w:rsidRPr="00991725">
        <w:rPr>
          <w:rFonts w:ascii="Times New Roman" w:hAnsi="Times New Roman" w:cs="Times New Roman"/>
        </w:rPr>
        <w:t>females</w:t>
      </w:r>
      <w:r w:rsidR="005A1284" w:rsidRPr="00991725">
        <w:rPr>
          <w:rFonts w:ascii="Times New Roman" w:hAnsi="Times New Roman" w:cs="Times New Roman"/>
        </w:rPr>
        <w:t xml:space="preserve"> in CT 3732</w:t>
      </w:r>
      <w:r w:rsidR="003B697D" w:rsidRPr="00991725">
        <w:rPr>
          <w:rFonts w:ascii="Times New Roman" w:hAnsi="Times New Roman" w:cs="Times New Roman"/>
        </w:rPr>
        <w:t>, NHL occurred as expected during 1984-1993 and 2004-2013 but was statistically significantly elevated during 1994-2003 (11 observed versus 5.3 expected)</w:t>
      </w:r>
      <w:r w:rsidR="00A06CA9" w:rsidRPr="00991725">
        <w:rPr>
          <w:rFonts w:ascii="Times New Roman" w:hAnsi="Times New Roman" w:cs="Times New Roman"/>
        </w:rPr>
        <w:t xml:space="preserve"> (</w:t>
      </w:r>
      <w:r w:rsidR="00A71F6D">
        <w:rPr>
          <w:rFonts w:ascii="Times New Roman" w:hAnsi="Times New Roman" w:cs="Times New Roman"/>
        </w:rPr>
        <w:t>Table 3</w:t>
      </w:r>
      <w:r w:rsidR="00A06CA9" w:rsidRPr="00991725">
        <w:rPr>
          <w:rFonts w:ascii="Times New Roman" w:hAnsi="Times New Roman" w:cs="Times New Roman"/>
        </w:rPr>
        <w:t>)</w:t>
      </w:r>
      <w:r w:rsidR="003B697D" w:rsidRPr="00991725">
        <w:rPr>
          <w:rFonts w:ascii="Times New Roman" w:hAnsi="Times New Roman" w:cs="Times New Roman"/>
        </w:rPr>
        <w:t>.</w:t>
      </w:r>
      <w:bookmarkStart w:id="3" w:name="_Ref524684262"/>
      <w:bookmarkStart w:id="4" w:name="_Ref524684258"/>
      <w:r w:rsidR="00B447DE">
        <w:rPr>
          <w:rFonts w:ascii="Times New Roman" w:hAnsi="Times New Roman" w:cs="Times New Roman"/>
        </w:rPr>
        <w:t xml:space="preserve"> </w:t>
      </w:r>
      <w:r w:rsidR="00EA586A">
        <w:rPr>
          <w:rFonts w:ascii="Times New Roman" w:hAnsi="Times New Roman" w:cs="Times New Roman"/>
        </w:rPr>
        <w:t xml:space="preserve"> </w:t>
      </w:r>
    </w:p>
    <w:p w:rsidR="00A06CA9" w:rsidRPr="00991725" w:rsidRDefault="00A06CA9" w:rsidP="006B7304">
      <w:pPr>
        <w:pStyle w:val="Caption"/>
        <w:keepNext/>
        <w:keepLines/>
        <w:rPr>
          <w:rFonts w:ascii="Times New Roman" w:hAnsi="Times New Roman" w:cs="Times New Roman"/>
          <w:color w:val="auto"/>
          <w:sz w:val="22"/>
          <w:szCs w:val="22"/>
        </w:rPr>
      </w:pPr>
      <w:r w:rsidRPr="00991725">
        <w:rPr>
          <w:rFonts w:ascii="Times New Roman" w:hAnsi="Times New Roman" w:cs="Times New Roman"/>
          <w:color w:val="auto"/>
          <w:sz w:val="22"/>
          <w:szCs w:val="22"/>
        </w:rPr>
        <w:t xml:space="preserve">Table </w:t>
      </w:r>
      <w:r w:rsidRPr="00991725">
        <w:rPr>
          <w:rFonts w:ascii="Times New Roman" w:hAnsi="Times New Roman" w:cs="Times New Roman"/>
          <w:color w:val="auto"/>
          <w:sz w:val="22"/>
          <w:szCs w:val="22"/>
        </w:rPr>
        <w:fldChar w:fldCharType="begin"/>
      </w:r>
      <w:r w:rsidRPr="00991725">
        <w:rPr>
          <w:rFonts w:ascii="Times New Roman" w:hAnsi="Times New Roman" w:cs="Times New Roman"/>
          <w:color w:val="auto"/>
          <w:sz w:val="22"/>
          <w:szCs w:val="22"/>
        </w:rPr>
        <w:instrText xml:space="preserve"> SEQ Table \* ARABIC </w:instrText>
      </w:r>
      <w:r w:rsidRPr="00991725">
        <w:rPr>
          <w:rFonts w:ascii="Times New Roman" w:hAnsi="Times New Roman" w:cs="Times New Roman"/>
          <w:color w:val="auto"/>
          <w:sz w:val="22"/>
          <w:szCs w:val="22"/>
        </w:rPr>
        <w:fldChar w:fldCharType="separate"/>
      </w:r>
      <w:r w:rsidR="00BC000F">
        <w:rPr>
          <w:rFonts w:ascii="Times New Roman" w:hAnsi="Times New Roman" w:cs="Times New Roman"/>
          <w:noProof/>
          <w:color w:val="auto"/>
          <w:sz w:val="22"/>
          <w:szCs w:val="22"/>
        </w:rPr>
        <w:t>3</w:t>
      </w:r>
      <w:r w:rsidRPr="00991725">
        <w:rPr>
          <w:rFonts w:ascii="Times New Roman" w:hAnsi="Times New Roman" w:cs="Times New Roman"/>
          <w:color w:val="auto"/>
          <w:sz w:val="22"/>
          <w:szCs w:val="22"/>
        </w:rPr>
        <w:fldChar w:fldCharType="end"/>
      </w:r>
      <w:bookmarkEnd w:id="3"/>
      <w:r w:rsidRPr="00991725">
        <w:rPr>
          <w:rFonts w:ascii="Times New Roman" w:hAnsi="Times New Roman" w:cs="Times New Roman"/>
          <w:color w:val="auto"/>
          <w:sz w:val="22"/>
          <w:szCs w:val="22"/>
        </w:rPr>
        <w:t xml:space="preserve">: </w:t>
      </w:r>
      <w:r w:rsidRPr="00991725">
        <w:rPr>
          <w:rFonts w:ascii="Times New Roman" w:hAnsi="Times New Roman" w:cs="Times New Roman"/>
          <w:b w:val="0"/>
          <w:color w:val="auto"/>
          <w:sz w:val="22"/>
          <w:szCs w:val="22"/>
        </w:rPr>
        <w:t xml:space="preserve">Incidence of </w:t>
      </w:r>
      <w:r w:rsidR="00A67035" w:rsidRPr="00991725">
        <w:rPr>
          <w:rFonts w:ascii="Times New Roman" w:hAnsi="Times New Roman" w:cs="Times New Roman"/>
          <w:b w:val="0"/>
          <w:color w:val="auto"/>
          <w:sz w:val="22"/>
          <w:szCs w:val="22"/>
        </w:rPr>
        <w:t>NHL</w:t>
      </w:r>
      <w:r w:rsidRPr="00991725">
        <w:rPr>
          <w:rFonts w:ascii="Times New Roman" w:hAnsi="Times New Roman" w:cs="Times New Roman"/>
          <w:b w:val="0"/>
          <w:color w:val="auto"/>
          <w:sz w:val="22"/>
          <w:szCs w:val="22"/>
        </w:rPr>
        <w:t xml:space="preserve"> in CT 3732 from 1984-2013</w:t>
      </w:r>
      <w:bookmarkEnd w:id="4"/>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88"/>
        <w:gridCol w:w="630"/>
        <w:gridCol w:w="630"/>
        <w:gridCol w:w="630"/>
        <w:gridCol w:w="1170"/>
        <w:gridCol w:w="630"/>
        <w:gridCol w:w="630"/>
        <w:gridCol w:w="720"/>
        <w:gridCol w:w="1170"/>
        <w:gridCol w:w="630"/>
        <w:gridCol w:w="630"/>
        <w:gridCol w:w="630"/>
        <w:gridCol w:w="1098"/>
      </w:tblGrid>
      <w:tr w:rsidR="006F1144" w:rsidRPr="00A81574" w:rsidTr="00D4353B">
        <w:trPr>
          <w:cantSplit/>
        </w:trPr>
        <w:tc>
          <w:tcPr>
            <w:tcW w:w="1188" w:type="dxa"/>
            <w:vMerge w:val="restart"/>
            <w:shd w:val="clear" w:color="auto" w:fill="D2DFD0" w:themeFill="accent5" w:themeFillTint="66"/>
          </w:tcPr>
          <w:p w:rsidR="006F1144" w:rsidRPr="00A81574" w:rsidRDefault="006F1144" w:rsidP="00D4353B">
            <w:pPr>
              <w:keepNext/>
              <w:keepLines/>
              <w:rPr>
                <w:rFonts w:ascii="Times New Roman" w:hAnsi="Times New Roman" w:cs="Times New Roman"/>
              </w:rPr>
            </w:pPr>
          </w:p>
        </w:tc>
        <w:tc>
          <w:tcPr>
            <w:tcW w:w="3060" w:type="dxa"/>
            <w:gridSpan w:val="4"/>
            <w:shd w:val="clear" w:color="auto" w:fill="D2DFD0" w:themeFill="accent5" w:themeFillTint="66"/>
          </w:tcPr>
          <w:p w:rsidR="006F1144" w:rsidRPr="00A81574" w:rsidRDefault="006F1144" w:rsidP="00D4353B">
            <w:pPr>
              <w:keepNext/>
              <w:keepLines/>
              <w:jc w:val="center"/>
              <w:rPr>
                <w:rFonts w:ascii="Times New Roman" w:hAnsi="Times New Roman" w:cs="Times New Roman"/>
                <w:b/>
              </w:rPr>
            </w:pPr>
            <w:r w:rsidRPr="00A81574">
              <w:rPr>
                <w:rFonts w:ascii="Times New Roman" w:hAnsi="Times New Roman" w:cs="Times New Roman"/>
                <w:b/>
              </w:rPr>
              <w:t>1984-1993</w:t>
            </w:r>
          </w:p>
        </w:tc>
        <w:tc>
          <w:tcPr>
            <w:tcW w:w="3150" w:type="dxa"/>
            <w:gridSpan w:val="4"/>
            <w:shd w:val="clear" w:color="auto" w:fill="D2DFD0" w:themeFill="accent5" w:themeFillTint="66"/>
          </w:tcPr>
          <w:p w:rsidR="006F1144" w:rsidRPr="00A81574" w:rsidRDefault="006F1144" w:rsidP="00D4353B">
            <w:pPr>
              <w:keepNext/>
              <w:keepLines/>
              <w:jc w:val="center"/>
              <w:rPr>
                <w:rFonts w:ascii="Times New Roman" w:hAnsi="Times New Roman" w:cs="Times New Roman"/>
                <w:b/>
              </w:rPr>
            </w:pPr>
            <w:r w:rsidRPr="00A81574">
              <w:rPr>
                <w:rFonts w:ascii="Times New Roman" w:hAnsi="Times New Roman" w:cs="Times New Roman"/>
                <w:b/>
              </w:rPr>
              <w:t>1994-2003</w:t>
            </w:r>
          </w:p>
        </w:tc>
        <w:tc>
          <w:tcPr>
            <w:tcW w:w="2988" w:type="dxa"/>
            <w:gridSpan w:val="4"/>
            <w:shd w:val="clear" w:color="auto" w:fill="D2DFD0" w:themeFill="accent5" w:themeFillTint="66"/>
          </w:tcPr>
          <w:p w:rsidR="006F1144" w:rsidRPr="00A81574" w:rsidRDefault="006F1144" w:rsidP="00D4353B">
            <w:pPr>
              <w:keepNext/>
              <w:keepLines/>
              <w:jc w:val="center"/>
              <w:rPr>
                <w:rFonts w:ascii="Times New Roman" w:hAnsi="Times New Roman" w:cs="Times New Roman"/>
                <w:b/>
              </w:rPr>
            </w:pPr>
            <w:r w:rsidRPr="00A81574">
              <w:rPr>
                <w:rFonts w:ascii="Times New Roman" w:hAnsi="Times New Roman" w:cs="Times New Roman"/>
                <w:b/>
              </w:rPr>
              <w:t>2004-2013</w:t>
            </w:r>
          </w:p>
        </w:tc>
      </w:tr>
      <w:tr w:rsidR="006F1144" w:rsidRPr="00A81574" w:rsidTr="00D4353B">
        <w:trPr>
          <w:cantSplit/>
        </w:trPr>
        <w:tc>
          <w:tcPr>
            <w:tcW w:w="1188" w:type="dxa"/>
            <w:vMerge/>
            <w:shd w:val="clear" w:color="auto" w:fill="D2DFD0" w:themeFill="accent5" w:themeFillTint="66"/>
          </w:tcPr>
          <w:p w:rsidR="006F1144" w:rsidRPr="00A81574" w:rsidRDefault="006F1144" w:rsidP="00D4353B">
            <w:pPr>
              <w:keepNext/>
              <w:keepLines/>
              <w:rPr>
                <w:rFonts w:ascii="Times New Roman" w:hAnsi="Times New Roman" w:cs="Times New Roman"/>
              </w:rPr>
            </w:pPr>
          </w:p>
        </w:tc>
        <w:tc>
          <w:tcPr>
            <w:tcW w:w="630" w:type="dxa"/>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630" w:type="dxa"/>
            <w:tcBorders>
              <w:bottom w:val="single" w:sz="12" w:space="0" w:color="auto"/>
            </w:tcBorders>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r w:rsidRPr="00A81574">
              <w:rPr>
                <w:rFonts w:ascii="Times New Roman" w:hAnsi="Times New Roman" w:cs="Times New Roman"/>
                <w:b/>
                <w:szCs w:val="24"/>
              </w:rPr>
              <w:t>SIR</w:t>
            </w:r>
          </w:p>
        </w:tc>
        <w:tc>
          <w:tcPr>
            <w:tcW w:w="1170" w:type="dxa"/>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r w:rsidRPr="00A81574">
              <w:rPr>
                <w:rFonts w:ascii="Times New Roman" w:hAnsi="Times New Roman" w:cs="Times New Roman"/>
                <w:b/>
                <w:szCs w:val="24"/>
              </w:rPr>
              <w:t>95% CI</w:t>
            </w:r>
          </w:p>
        </w:tc>
        <w:tc>
          <w:tcPr>
            <w:tcW w:w="630" w:type="dxa"/>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720" w:type="dxa"/>
            <w:tcBorders>
              <w:bottom w:val="single" w:sz="12" w:space="0" w:color="auto"/>
            </w:tcBorders>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r w:rsidRPr="00A81574">
              <w:rPr>
                <w:rFonts w:ascii="Times New Roman" w:hAnsi="Times New Roman" w:cs="Times New Roman"/>
                <w:b/>
                <w:szCs w:val="24"/>
              </w:rPr>
              <w:t>SIR</w:t>
            </w:r>
          </w:p>
        </w:tc>
        <w:tc>
          <w:tcPr>
            <w:tcW w:w="1170" w:type="dxa"/>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r w:rsidRPr="00A81574">
              <w:rPr>
                <w:rFonts w:ascii="Times New Roman" w:hAnsi="Times New Roman" w:cs="Times New Roman"/>
                <w:b/>
                <w:szCs w:val="24"/>
              </w:rPr>
              <w:t>95% CI</w:t>
            </w:r>
          </w:p>
        </w:tc>
        <w:tc>
          <w:tcPr>
            <w:tcW w:w="630" w:type="dxa"/>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proofErr w:type="spellStart"/>
            <w:r w:rsidRPr="00A81574">
              <w:rPr>
                <w:rFonts w:ascii="Times New Roman" w:hAnsi="Times New Roman" w:cs="Times New Roman"/>
                <w:b/>
                <w:szCs w:val="24"/>
              </w:rPr>
              <w:t>Obs</w:t>
            </w:r>
            <w:proofErr w:type="spellEnd"/>
          </w:p>
        </w:tc>
        <w:tc>
          <w:tcPr>
            <w:tcW w:w="630" w:type="dxa"/>
            <w:tcBorders>
              <w:bottom w:val="single" w:sz="12" w:space="0" w:color="auto"/>
            </w:tcBorders>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proofErr w:type="spellStart"/>
            <w:r w:rsidRPr="00A81574">
              <w:rPr>
                <w:rFonts w:ascii="Times New Roman" w:hAnsi="Times New Roman" w:cs="Times New Roman"/>
                <w:b/>
                <w:szCs w:val="24"/>
              </w:rPr>
              <w:t>Exp</w:t>
            </w:r>
            <w:proofErr w:type="spellEnd"/>
          </w:p>
        </w:tc>
        <w:tc>
          <w:tcPr>
            <w:tcW w:w="630" w:type="dxa"/>
            <w:tcBorders>
              <w:bottom w:val="single" w:sz="12" w:space="0" w:color="auto"/>
            </w:tcBorders>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r w:rsidRPr="00A81574">
              <w:rPr>
                <w:rFonts w:ascii="Times New Roman" w:hAnsi="Times New Roman" w:cs="Times New Roman"/>
                <w:b/>
                <w:szCs w:val="24"/>
              </w:rPr>
              <w:t>SIR</w:t>
            </w:r>
          </w:p>
        </w:tc>
        <w:tc>
          <w:tcPr>
            <w:tcW w:w="1098" w:type="dxa"/>
            <w:shd w:val="clear" w:color="auto" w:fill="D2DFD0" w:themeFill="accent5" w:themeFillTint="66"/>
          </w:tcPr>
          <w:p w:rsidR="006F1144" w:rsidRPr="00A81574" w:rsidRDefault="006F1144" w:rsidP="00D4353B">
            <w:pPr>
              <w:keepNext/>
              <w:keepLines/>
              <w:rPr>
                <w:rFonts w:ascii="Times New Roman" w:hAnsi="Times New Roman" w:cs="Times New Roman"/>
                <w:b/>
                <w:szCs w:val="24"/>
              </w:rPr>
            </w:pPr>
            <w:r w:rsidRPr="00A81574">
              <w:rPr>
                <w:rFonts w:ascii="Times New Roman" w:hAnsi="Times New Roman" w:cs="Times New Roman"/>
                <w:b/>
                <w:szCs w:val="24"/>
              </w:rPr>
              <w:t>95% CI</w:t>
            </w:r>
          </w:p>
        </w:tc>
      </w:tr>
      <w:tr w:rsidR="003E2E92" w:rsidRPr="00A81574" w:rsidTr="00D4353B">
        <w:trPr>
          <w:cantSplit/>
        </w:trPr>
        <w:tc>
          <w:tcPr>
            <w:tcW w:w="1188" w:type="dxa"/>
          </w:tcPr>
          <w:p w:rsidR="003E2E92" w:rsidRPr="00A81574" w:rsidRDefault="003E2E92" w:rsidP="00D4353B">
            <w:pPr>
              <w:keepNext/>
              <w:keepLines/>
              <w:rPr>
                <w:rFonts w:ascii="Times New Roman" w:hAnsi="Times New Roman" w:cs="Times New Roman"/>
              </w:rPr>
            </w:pPr>
            <w:r w:rsidRPr="00A81574">
              <w:rPr>
                <w:rFonts w:ascii="Times New Roman" w:hAnsi="Times New Roman" w:cs="Times New Roman"/>
              </w:rPr>
              <w:t>Males</w:t>
            </w:r>
          </w:p>
        </w:tc>
        <w:tc>
          <w:tcPr>
            <w:tcW w:w="630" w:type="dxa"/>
            <w:tcBorders>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3</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3.9</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NC</w:t>
            </w:r>
          </w:p>
        </w:tc>
        <w:tc>
          <w:tcPr>
            <w:tcW w:w="1170" w:type="dxa"/>
            <w:tcBorders>
              <w:lef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 xml:space="preserve">NC -- </w:t>
            </w:r>
            <w:proofErr w:type="spellStart"/>
            <w:r w:rsidRPr="003E2E92">
              <w:rPr>
                <w:rFonts w:ascii="Times New Roman" w:hAnsi="Times New Roman" w:cs="Times New Roman"/>
                <w:szCs w:val="24"/>
              </w:rPr>
              <w:t>NC</w:t>
            </w:r>
            <w:proofErr w:type="spellEnd"/>
          </w:p>
        </w:tc>
        <w:tc>
          <w:tcPr>
            <w:tcW w:w="630" w:type="dxa"/>
            <w:tcBorders>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2</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5.1</w:t>
            </w:r>
          </w:p>
        </w:tc>
        <w:tc>
          <w:tcPr>
            <w:tcW w:w="72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NC</w:t>
            </w:r>
          </w:p>
        </w:tc>
        <w:tc>
          <w:tcPr>
            <w:tcW w:w="1170" w:type="dxa"/>
            <w:tcBorders>
              <w:lef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 xml:space="preserve">NC -- </w:t>
            </w:r>
            <w:proofErr w:type="spellStart"/>
            <w:r w:rsidRPr="003E2E92">
              <w:rPr>
                <w:rFonts w:ascii="Times New Roman" w:hAnsi="Times New Roman" w:cs="Times New Roman"/>
                <w:szCs w:val="24"/>
              </w:rPr>
              <w:t>NC</w:t>
            </w:r>
            <w:proofErr w:type="spellEnd"/>
          </w:p>
        </w:tc>
        <w:tc>
          <w:tcPr>
            <w:tcW w:w="630" w:type="dxa"/>
            <w:tcBorders>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5</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6.0</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84</w:t>
            </w:r>
          </w:p>
        </w:tc>
        <w:tc>
          <w:tcPr>
            <w:tcW w:w="1098" w:type="dxa"/>
            <w:tcBorders>
              <w:lef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27</w:t>
            </w:r>
            <w:r w:rsidR="00F35E4F">
              <w:rPr>
                <w:rFonts w:ascii="Times New Roman" w:hAnsi="Times New Roman" w:cs="Times New Roman"/>
                <w:szCs w:val="24"/>
              </w:rPr>
              <w:t xml:space="preserve"> </w:t>
            </w:r>
            <w:r w:rsidRPr="003E2E92">
              <w:rPr>
                <w:rFonts w:ascii="Times New Roman" w:hAnsi="Times New Roman" w:cs="Times New Roman"/>
                <w:szCs w:val="24"/>
              </w:rPr>
              <w:t>--</w:t>
            </w:r>
            <w:r w:rsidR="00F35E4F">
              <w:rPr>
                <w:rFonts w:ascii="Times New Roman" w:hAnsi="Times New Roman" w:cs="Times New Roman"/>
                <w:szCs w:val="24"/>
              </w:rPr>
              <w:t xml:space="preserve"> </w:t>
            </w:r>
            <w:r w:rsidRPr="003E2E92">
              <w:rPr>
                <w:rFonts w:ascii="Times New Roman" w:hAnsi="Times New Roman" w:cs="Times New Roman"/>
                <w:szCs w:val="24"/>
              </w:rPr>
              <w:t>196</w:t>
            </w:r>
          </w:p>
        </w:tc>
      </w:tr>
      <w:tr w:rsidR="003E2E92" w:rsidRPr="00A81574" w:rsidTr="00D4353B">
        <w:trPr>
          <w:cantSplit/>
        </w:trPr>
        <w:tc>
          <w:tcPr>
            <w:tcW w:w="1188" w:type="dxa"/>
          </w:tcPr>
          <w:p w:rsidR="003E2E92" w:rsidRPr="00A81574" w:rsidRDefault="003E2E92" w:rsidP="00D4353B">
            <w:pPr>
              <w:keepNext/>
              <w:keepLines/>
              <w:rPr>
                <w:rFonts w:ascii="Times New Roman" w:hAnsi="Times New Roman" w:cs="Times New Roman"/>
              </w:rPr>
            </w:pPr>
            <w:r w:rsidRPr="00A81574">
              <w:rPr>
                <w:rFonts w:ascii="Times New Roman" w:hAnsi="Times New Roman" w:cs="Times New Roman"/>
              </w:rPr>
              <w:t>Females</w:t>
            </w:r>
          </w:p>
        </w:tc>
        <w:tc>
          <w:tcPr>
            <w:tcW w:w="630" w:type="dxa"/>
            <w:tcBorders>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6</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4.1</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148</w:t>
            </w:r>
          </w:p>
        </w:tc>
        <w:tc>
          <w:tcPr>
            <w:tcW w:w="1170" w:type="dxa"/>
            <w:tcBorders>
              <w:lef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54</w:t>
            </w:r>
            <w:r w:rsidR="00F35E4F">
              <w:rPr>
                <w:rFonts w:ascii="Times New Roman" w:hAnsi="Times New Roman" w:cs="Times New Roman"/>
                <w:szCs w:val="24"/>
              </w:rPr>
              <w:t xml:space="preserve"> </w:t>
            </w:r>
            <w:r w:rsidRPr="003E2E92">
              <w:rPr>
                <w:rFonts w:ascii="Times New Roman" w:hAnsi="Times New Roman" w:cs="Times New Roman"/>
                <w:szCs w:val="24"/>
              </w:rPr>
              <w:t>--</w:t>
            </w:r>
            <w:r w:rsidR="00F35E4F">
              <w:rPr>
                <w:rFonts w:ascii="Times New Roman" w:hAnsi="Times New Roman" w:cs="Times New Roman"/>
                <w:szCs w:val="24"/>
              </w:rPr>
              <w:t xml:space="preserve"> </w:t>
            </w:r>
            <w:r w:rsidRPr="003E2E92">
              <w:rPr>
                <w:rFonts w:ascii="Times New Roman" w:hAnsi="Times New Roman" w:cs="Times New Roman"/>
                <w:szCs w:val="24"/>
              </w:rPr>
              <w:t>322</w:t>
            </w:r>
          </w:p>
        </w:tc>
        <w:tc>
          <w:tcPr>
            <w:tcW w:w="630" w:type="dxa"/>
            <w:tcBorders>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11</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5.3</w:t>
            </w:r>
          </w:p>
        </w:tc>
        <w:tc>
          <w:tcPr>
            <w:tcW w:w="72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207*</w:t>
            </w:r>
          </w:p>
        </w:tc>
        <w:tc>
          <w:tcPr>
            <w:tcW w:w="1170" w:type="dxa"/>
            <w:tcBorders>
              <w:lef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103</w:t>
            </w:r>
            <w:r w:rsidR="00F35E4F">
              <w:rPr>
                <w:rFonts w:ascii="Times New Roman" w:hAnsi="Times New Roman" w:cs="Times New Roman"/>
                <w:szCs w:val="24"/>
              </w:rPr>
              <w:t xml:space="preserve"> </w:t>
            </w:r>
            <w:r w:rsidRPr="003E2E92">
              <w:rPr>
                <w:rFonts w:ascii="Times New Roman" w:hAnsi="Times New Roman" w:cs="Times New Roman"/>
                <w:szCs w:val="24"/>
              </w:rPr>
              <w:t>--</w:t>
            </w:r>
            <w:r w:rsidR="00F35E4F">
              <w:rPr>
                <w:rFonts w:ascii="Times New Roman" w:hAnsi="Times New Roman" w:cs="Times New Roman"/>
                <w:szCs w:val="24"/>
              </w:rPr>
              <w:t xml:space="preserve"> </w:t>
            </w:r>
            <w:r w:rsidRPr="003E2E92">
              <w:rPr>
                <w:rFonts w:ascii="Times New Roman" w:hAnsi="Times New Roman" w:cs="Times New Roman"/>
                <w:szCs w:val="24"/>
              </w:rPr>
              <w:t>371</w:t>
            </w:r>
          </w:p>
        </w:tc>
        <w:tc>
          <w:tcPr>
            <w:tcW w:w="630" w:type="dxa"/>
            <w:tcBorders>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8</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5.7</w:t>
            </w:r>
          </w:p>
        </w:tc>
        <w:tc>
          <w:tcPr>
            <w:tcW w:w="630" w:type="dxa"/>
            <w:tcBorders>
              <w:left w:val="nil"/>
              <w:righ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140</w:t>
            </w:r>
          </w:p>
        </w:tc>
        <w:tc>
          <w:tcPr>
            <w:tcW w:w="1098" w:type="dxa"/>
            <w:tcBorders>
              <w:left w:val="nil"/>
            </w:tcBorders>
          </w:tcPr>
          <w:p w:rsidR="003E2E92" w:rsidRPr="003E2E92" w:rsidRDefault="003E2E92" w:rsidP="00D4353B">
            <w:pPr>
              <w:keepNext/>
              <w:keepLines/>
              <w:jc w:val="center"/>
              <w:rPr>
                <w:rFonts w:ascii="Times New Roman" w:hAnsi="Times New Roman" w:cs="Times New Roman"/>
                <w:szCs w:val="24"/>
              </w:rPr>
            </w:pPr>
            <w:r w:rsidRPr="003E2E92">
              <w:rPr>
                <w:rFonts w:ascii="Times New Roman" w:hAnsi="Times New Roman" w:cs="Times New Roman"/>
                <w:szCs w:val="24"/>
              </w:rPr>
              <w:t>60</w:t>
            </w:r>
            <w:r w:rsidR="00F35E4F">
              <w:rPr>
                <w:rFonts w:ascii="Times New Roman" w:hAnsi="Times New Roman" w:cs="Times New Roman"/>
                <w:szCs w:val="24"/>
              </w:rPr>
              <w:t xml:space="preserve"> </w:t>
            </w:r>
            <w:r w:rsidRPr="003E2E92">
              <w:rPr>
                <w:rFonts w:ascii="Times New Roman" w:hAnsi="Times New Roman" w:cs="Times New Roman"/>
                <w:szCs w:val="24"/>
              </w:rPr>
              <w:t>--</w:t>
            </w:r>
            <w:r w:rsidR="00F35E4F">
              <w:rPr>
                <w:rFonts w:ascii="Times New Roman" w:hAnsi="Times New Roman" w:cs="Times New Roman"/>
                <w:szCs w:val="24"/>
              </w:rPr>
              <w:t xml:space="preserve"> </w:t>
            </w:r>
            <w:r w:rsidRPr="003E2E92">
              <w:rPr>
                <w:rFonts w:ascii="Times New Roman" w:hAnsi="Times New Roman" w:cs="Times New Roman"/>
                <w:szCs w:val="24"/>
              </w:rPr>
              <w:t>276</w:t>
            </w:r>
          </w:p>
        </w:tc>
      </w:tr>
    </w:tbl>
    <w:p w:rsidR="006F1144" w:rsidRPr="00C36DAC" w:rsidRDefault="006F1144" w:rsidP="00D4353B">
      <w:pPr>
        <w:keepNext/>
        <w:keepLines/>
        <w:rPr>
          <w:rFonts w:ascii="Times New Roman" w:hAnsi="Times New Roman" w:cs="Times New Roman"/>
          <w:sz w:val="20"/>
          <w:szCs w:val="24"/>
        </w:rPr>
      </w:pPr>
      <w:r w:rsidRPr="00C36DAC">
        <w:rPr>
          <w:rFonts w:ascii="Times New Roman" w:hAnsi="Times New Roman" w:cs="Times New Roman"/>
          <w:sz w:val="20"/>
          <w:szCs w:val="24"/>
        </w:rPr>
        <w:t>Source: Massachusetts Cancer Registry, Office of Data Management and Outcomes Assessment, MDPH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5329"/>
      </w:tblGrid>
      <w:tr w:rsidR="006F1144" w:rsidRPr="00C36DAC" w:rsidTr="00557281">
        <w:tc>
          <w:tcPr>
            <w:tcW w:w="2448" w:type="pct"/>
          </w:tcPr>
          <w:p w:rsidR="006F1144" w:rsidRPr="00C36DAC" w:rsidRDefault="006F1144" w:rsidP="00D4353B">
            <w:pPr>
              <w:keepNext/>
              <w:keepLines/>
              <w:jc w:val="center"/>
              <w:rPr>
                <w:rFonts w:ascii="Times New Roman" w:hAnsi="Times New Roman" w:cs="Times New Roman"/>
                <w:szCs w:val="24"/>
              </w:rPr>
            </w:pPr>
            <w:proofErr w:type="spellStart"/>
            <w:r w:rsidRPr="00C36DAC">
              <w:rPr>
                <w:rFonts w:ascii="Times New Roman" w:hAnsi="Times New Roman" w:cs="Times New Roman"/>
                <w:szCs w:val="24"/>
              </w:rPr>
              <w:t>Obs</w:t>
            </w:r>
            <w:proofErr w:type="spellEnd"/>
            <w:r w:rsidRPr="00C36DAC">
              <w:rPr>
                <w:rFonts w:ascii="Times New Roman" w:hAnsi="Times New Roman" w:cs="Times New Roman"/>
                <w:szCs w:val="24"/>
              </w:rPr>
              <w:t xml:space="preserve"> = Observed number of diagnos</w:t>
            </w:r>
            <w:r w:rsidR="00FE6718">
              <w:rPr>
                <w:rFonts w:ascii="Times New Roman" w:hAnsi="Times New Roman" w:cs="Times New Roman"/>
                <w:szCs w:val="24"/>
              </w:rPr>
              <w:t>e</w:t>
            </w:r>
            <w:r w:rsidRPr="00C36DAC">
              <w:rPr>
                <w:rFonts w:ascii="Times New Roman" w:hAnsi="Times New Roman" w:cs="Times New Roman"/>
                <w:szCs w:val="24"/>
              </w:rPr>
              <w:t>s</w:t>
            </w:r>
          </w:p>
          <w:p w:rsidR="006F1144" w:rsidRPr="00C36DAC" w:rsidRDefault="006F1144" w:rsidP="00D4353B">
            <w:pPr>
              <w:keepNext/>
              <w:keepLines/>
              <w:jc w:val="center"/>
              <w:rPr>
                <w:rFonts w:ascii="Times New Roman" w:hAnsi="Times New Roman" w:cs="Times New Roman"/>
                <w:szCs w:val="24"/>
              </w:rPr>
            </w:pPr>
            <w:proofErr w:type="spellStart"/>
            <w:r w:rsidRPr="00C36DAC">
              <w:rPr>
                <w:rFonts w:ascii="Times New Roman" w:hAnsi="Times New Roman" w:cs="Times New Roman"/>
                <w:szCs w:val="24"/>
              </w:rPr>
              <w:t>Exp</w:t>
            </w:r>
            <w:proofErr w:type="spellEnd"/>
            <w:r w:rsidRPr="00C36DAC">
              <w:rPr>
                <w:rFonts w:ascii="Times New Roman" w:hAnsi="Times New Roman" w:cs="Times New Roman"/>
                <w:szCs w:val="24"/>
              </w:rPr>
              <w:t xml:space="preserve"> = Expected number of diagnos</w:t>
            </w:r>
            <w:r w:rsidR="00FE6718">
              <w:rPr>
                <w:rFonts w:ascii="Times New Roman" w:hAnsi="Times New Roman" w:cs="Times New Roman"/>
                <w:szCs w:val="24"/>
              </w:rPr>
              <w:t>e</w:t>
            </w:r>
            <w:r w:rsidRPr="00C36DAC">
              <w:rPr>
                <w:rFonts w:ascii="Times New Roman" w:hAnsi="Times New Roman" w:cs="Times New Roman"/>
                <w:szCs w:val="24"/>
              </w:rPr>
              <w:t>s</w:t>
            </w:r>
          </w:p>
          <w:p w:rsidR="006F1144" w:rsidRPr="00C36DAC" w:rsidRDefault="006F1144" w:rsidP="00D4353B">
            <w:pPr>
              <w:keepNext/>
              <w:keepLines/>
              <w:jc w:val="center"/>
              <w:rPr>
                <w:rFonts w:ascii="Times New Roman" w:hAnsi="Times New Roman" w:cs="Times New Roman"/>
                <w:szCs w:val="24"/>
              </w:rPr>
            </w:pPr>
            <w:r w:rsidRPr="00C36DAC">
              <w:rPr>
                <w:rFonts w:ascii="Times New Roman" w:hAnsi="Times New Roman" w:cs="Times New Roman"/>
                <w:szCs w:val="24"/>
              </w:rPr>
              <w:t>SIR = Standardized Incidence Ratio</w:t>
            </w:r>
          </w:p>
        </w:tc>
        <w:tc>
          <w:tcPr>
            <w:tcW w:w="2552" w:type="pct"/>
          </w:tcPr>
          <w:p w:rsidR="006F1144" w:rsidRPr="00C36DAC" w:rsidRDefault="006F1144" w:rsidP="00D4353B">
            <w:pPr>
              <w:keepNext/>
              <w:keepLines/>
              <w:jc w:val="center"/>
              <w:rPr>
                <w:rFonts w:ascii="Times New Roman" w:hAnsi="Times New Roman" w:cs="Times New Roman"/>
                <w:szCs w:val="24"/>
              </w:rPr>
            </w:pPr>
            <w:r w:rsidRPr="00C36DAC">
              <w:rPr>
                <w:rFonts w:ascii="Times New Roman" w:hAnsi="Times New Roman" w:cs="Times New Roman"/>
                <w:szCs w:val="24"/>
              </w:rPr>
              <w:t>95% CI = 95% Confidence interval</w:t>
            </w:r>
          </w:p>
          <w:p w:rsidR="006F1144" w:rsidRPr="00C36DAC" w:rsidRDefault="006F1144" w:rsidP="00D4353B">
            <w:pPr>
              <w:keepNext/>
              <w:keepLines/>
              <w:jc w:val="center"/>
              <w:rPr>
                <w:rFonts w:ascii="Times New Roman" w:hAnsi="Times New Roman" w:cs="Times New Roman"/>
                <w:szCs w:val="24"/>
              </w:rPr>
            </w:pPr>
            <w:r w:rsidRPr="00C36DAC">
              <w:rPr>
                <w:rFonts w:ascii="Times New Roman" w:hAnsi="Times New Roman" w:cs="Times New Roman"/>
                <w:szCs w:val="24"/>
              </w:rPr>
              <w:t>* = Statistical significance</w:t>
            </w:r>
          </w:p>
          <w:p w:rsidR="006F1144" w:rsidRPr="00C36DAC" w:rsidRDefault="006F1144" w:rsidP="00D4353B">
            <w:pPr>
              <w:keepNext/>
              <w:keepLines/>
              <w:jc w:val="center"/>
              <w:rPr>
                <w:rFonts w:ascii="Times New Roman" w:hAnsi="Times New Roman" w:cs="Times New Roman"/>
                <w:szCs w:val="24"/>
              </w:rPr>
            </w:pPr>
            <w:r w:rsidRPr="00C36DAC">
              <w:rPr>
                <w:rFonts w:ascii="Times New Roman" w:hAnsi="Times New Roman" w:cs="Times New Roman"/>
                <w:szCs w:val="24"/>
              </w:rPr>
              <w:t>NC = Not calculated</w:t>
            </w:r>
          </w:p>
        </w:tc>
      </w:tr>
    </w:tbl>
    <w:p w:rsidR="006F1144" w:rsidRPr="00C36DAC" w:rsidRDefault="006F1144" w:rsidP="00BC494B">
      <w:pPr>
        <w:spacing w:after="0"/>
        <w:rPr>
          <w:rFonts w:ascii="Times New Roman" w:hAnsi="Times New Roman" w:cs="Times New Roman"/>
        </w:rPr>
      </w:pPr>
    </w:p>
    <w:p w:rsidR="00CD6636" w:rsidRPr="00597718" w:rsidRDefault="00C83B76" w:rsidP="00290F7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cs="Times New Roman"/>
        </w:rPr>
      </w:pPr>
      <w:r w:rsidRPr="00597718">
        <w:rPr>
          <w:rFonts w:ascii="Times New Roman" w:hAnsi="Times New Roman" w:cs="Times New Roman"/>
          <w:b/>
          <w:i/>
        </w:rPr>
        <w:t>About</w:t>
      </w:r>
      <w:r w:rsidR="00CD6636" w:rsidRPr="00597718">
        <w:rPr>
          <w:rFonts w:ascii="Times New Roman" w:hAnsi="Times New Roman" w:cs="Times New Roman"/>
          <w:b/>
          <w:i/>
        </w:rPr>
        <w:t xml:space="preserve"> Non-Hodgkin Lymphoma</w:t>
      </w:r>
      <w:r w:rsidRPr="00597718">
        <w:rPr>
          <w:rFonts w:ascii="Times New Roman" w:hAnsi="Times New Roman" w:cs="Times New Roman"/>
          <w:b/>
          <w:i/>
        </w:rPr>
        <w:t xml:space="preserve"> (NHL)</w:t>
      </w:r>
    </w:p>
    <w:p w:rsidR="007F169C" w:rsidRPr="00991725" w:rsidRDefault="00C83B76" w:rsidP="00290F7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cs="Times New Roman"/>
        </w:rPr>
      </w:pPr>
      <w:r w:rsidRPr="00597718">
        <w:rPr>
          <w:rFonts w:ascii="Times New Roman" w:hAnsi="Times New Roman" w:cs="Times New Roman"/>
        </w:rPr>
        <w:t xml:space="preserve">NHL is a group of all lymphomas (cancers that occur in white blood cells) except Hodgkin lymphoma. </w:t>
      </w:r>
      <w:r w:rsidR="002A5AA2" w:rsidRPr="00597718">
        <w:rPr>
          <w:rFonts w:ascii="Times New Roman" w:hAnsi="Times New Roman" w:cs="Times New Roman"/>
        </w:rPr>
        <w:t>Although most diagnoses of NHL occur in older adults</w:t>
      </w:r>
      <w:r w:rsidR="001B60DA" w:rsidRPr="00597718">
        <w:rPr>
          <w:rFonts w:ascii="Times New Roman" w:hAnsi="Times New Roman" w:cs="Times New Roman"/>
        </w:rPr>
        <w:t xml:space="preserve"> in their 60s and older</w:t>
      </w:r>
      <w:r w:rsidR="002A5AA2" w:rsidRPr="00597718">
        <w:rPr>
          <w:rFonts w:ascii="Times New Roman" w:hAnsi="Times New Roman" w:cs="Times New Roman"/>
        </w:rPr>
        <w:t xml:space="preserve">, it is </w:t>
      </w:r>
      <w:r w:rsidR="008E69F3" w:rsidRPr="00597718">
        <w:rPr>
          <w:rFonts w:ascii="Times New Roman" w:hAnsi="Times New Roman" w:cs="Times New Roman"/>
        </w:rPr>
        <w:t>one of the more common cancers among children</w:t>
      </w:r>
      <w:r w:rsidR="008E69F3" w:rsidRPr="00991725">
        <w:rPr>
          <w:rFonts w:ascii="Times New Roman" w:hAnsi="Times New Roman" w:cs="Times New Roman"/>
        </w:rPr>
        <w:t>, teens, and young adults</w:t>
      </w:r>
      <w:r w:rsidR="002A5AA2" w:rsidRPr="00991725">
        <w:rPr>
          <w:rFonts w:ascii="Times New Roman" w:hAnsi="Times New Roman" w:cs="Times New Roman"/>
        </w:rPr>
        <w:t xml:space="preserve">. </w:t>
      </w:r>
      <w:r w:rsidR="00E93F1C" w:rsidRPr="00991725">
        <w:rPr>
          <w:rFonts w:ascii="Times New Roman" w:hAnsi="Times New Roman" w:cs="Times New Roman"/>
        </w:rPr>
        <w:t xml:space="preserve">In the United States, </w:t>
      </w:r>
      <w:r w:rsidR="00DF3AD1" w:rsidRPr="00991725">
        <w:rPr>
          <w:rFonts w:ascii="Times New Roman" w:hAnsi="Times New Roman" w:cs="Times New Roman"/>
        </w:rPr>
        <w:t>B-cell lymphomas account for 85% of all NHL</w:t>
      </w:r>
      <w:r w:rsidR="00093DA4" w:rsidRPr="00991725">
        <w:rPr>
          <w:rFonts w:ascii="Times New Roman" w:hAnsi="Times New Roman" w:cs="Times New Roman"/>
        </w:rPr>
        <w:t xml:space="preserve"> diagnoses </w:t>
      </w:r>
      <w:r w:rsidR="004137F9" w:rsidRPr="00991725">
        <w:rPr>
          <w:rFonts w:ascii="Times New Roman" w:hAnsi="Times New Roman" w:cs="Times New Roman"/>
        </w:rPr>
        <w:t>and T-cell lymphomas account for less than 15%</w:t>
      </w:r>
      <w:r w:rsidR="00DF3AD1" w:rsidRPr="00991725">
        <w:rPr>
          <w:rFonts w:ascii="Times New Roman" w:hAnsi="Times New Roman" w:cs="Times New Roman"/>
        </w:rPr>
        <w:t xml:space="preserve">. </w:t>
      </w:r>
      <w:r w:rsidR="002D24B6" w:rsidRPr="00991725">
        <w:rPr>
          <w:rFonts w:ascii="Times New Roman" w:hAnsi="Times New Roman" w:cs="Times New Roman"/>
        </w:rPr>
        <w:t>P</w:t>
      </w:r>
      <w:r w:rsidR="004137F9" w:rsidRPr="00991725">
        <w:rPr>
          <w:rFonts w:ascii="Times New Roman" w:hAnsi="Times New Roman" w:cs="Times New Roman"/>
        </w:rPr>
        <w:t>eople with weakened immune systems</w:t>
      </w:r>
      <w:r w:rsidR="002D24B6" w:rsidRPr="00991725">
        <w:rPr>
          <w:rFonts w:ascii="Times New Roman" w:hAnsi="Times New Roman" w:cs="Times New Roman"/>
        </w:rPr>
        <w:t xml:space="preserve"> have a higher risk of </w:t>
      </w:r>
      <w:r w:rsidR="00086EDA" w:rsidRPr="00991725">
        <w:rPr>
          <w:rFonts w:ascii="Times New Roman" w:hAnsi="Times New Roman" w:cs="Times New Roman"/>
        </w:rPr>
        <w:t xml:space="preserve">developing </w:t>
      </w:r>
      <w:r w:rsidR="002D24B6" w:rsidRPr="00991725">
        <w:rPr>
          <w:rFonts w:ascii="Times New Roman" w:hAnsi="Times New Roman" w:cs="Times New Roman"/>
        </w:rPr>
        <w:t xml:space="preserve">NHL. These include </w:t>
      </w:r>
      <w:r w:rsidR="00CA1D2F" w:rsidRPr="00991725">
        <w:rPr>
          <w:rFonts w:ascii="Times New Roman" w:hAnsi="Times New Roman" w:cs="Times New Roman"/>
        </w:rPr>
        <w:t>individuals taking immunosuppressant drugs following an orga</w:t>
      </w:r>
      <w:r w:rsidR="002D24B6" w:rsidRPr="00991725">
        <w:rPr>
          <w:rFonts w:ascii="Times New Roman" w:hAnsi="Times New Roman" w:cs="Times New Roman"/>
        </w:rPr>
        <w:t>n transplant, those with inherited immunodeficiency syndromes</w:t>
      </w:r>
      <w:r w:rsidR="00CA1D2F" w:rsidRPr="00991725">
        <w:rPr>
          <w:rFonts w:ascii="Times New Roman" w:hAnsi="Times New Roman" w:cs="Times New Roman"/>
        </w:rPr>
        <w:t>, and individuals infected with human immunodeficiency virus (HIV).</w:t>
      </w:r>
      <w:r w:rsidR="004137F9" w:rsidRPr="00991725" w:rsidDel="008E69F3">
        <w:rPr>
          <w:rFonts w:ascii="Times New Roman" w:hAnsi="Times New Roman" w:cs="Times New Roman"/>
        </w:rPr>
        <w:t xml:space="preserve"> </w:t>
      </w:r>
      <w:r w:rsidR="002D24B6" w:rsidRPr="00991725">
        <w:rPr>
          <w:rFonts w:ascii="Times New Roman" w:hAnsi="Times New Roman" w:cs="Times New Roman"/>
        </w:rPr>
        <w:t xml:space="preserve">Other established risk factors include </w:t>
      </w:r>
      <w:r w:rsidR="0028779D" w:rsidRPr="00991725">
        <w:rPr>
          <w:rFonts w:ascii="Times New Roman" w:hAnsi="Times New Roman" w:cs="Times New Roman"/>
        </w:rPr>
        <w:t xml:space="preserve">infection with the Epstein-Barr virus (EBV), </w:t>
      </w:r>
      <w:r w:rsidR="002D24B6" w:rsidRPr="00991725">
        <w:rPr>
          <w:rFonts w:ascii="Times New Roman" w:hAnsi="Times New Roman" w:cs="Times New Roman"/>
        </w:rPr>
        <w:t>some autoimmune disorders such as rheumatoid arthritis and systemic lupus erythematosus (SLE, or lupus)</w:t>
      </w:r>
      <w:r w:rsidR="001B60DA" w:rsidRPr="00991725">
        <w:rPr>
          <w:rFonts w:ascii="Times New Roman" w:hAnsi="Times New Roman" w:cs="Times New Roman"/>
        </w:rPr>
        <w:t xml:space="preserve">, </w:t>
      </w:r>
      <w:r w:rsidR="0028779D" w:rsidRPr="00991725">
        <w:rPr>
          <w:rFonts w:ascii="Times New Roman" w:hAnsi="Times New Roman" w:cs="Times New Roman"/>
        </w:rPr>
        <w:t>and certain</w:t>
      </w:r>
      <w:r w:rsidR="002D24B6" w:rsidRPr="00991725">
        <w:rPr>
          <w:rFonts w:ascii="Times New Roman" w:hAnsi="Times New Roman" w:cs="Times New Roman"/>
        </w:rPr>
        <w:t xml:space="preserve"> chemotherapy drugs used to treat other cancers. Possible risk factors include </w:t>
      </w:r>
      <w:r w:rsidR="00567C5B" w:rsidRPr="00991725">
        <w:rPr>
          <w:rFonts w:ascii="Times New Roman" w:hAnsi="Times New Roman" w:cs="Times New Roman"/>
        </w:rPr>
        <w:t>workplace</w:t>
      </w:r>
      <w:r w:rsidR="00403E10" w:rsidRPr="00991725">
        <w:rPr>
          <w:rFonts w:ascii="Times New Roman" w:hAnsi="Times New Roman" w:cs="Times New Roman"/>
        </w:rPr>
        <w:t xml:space="preserve"> exposures </w:t>
      </w:r>
      <w:r w:rsidR="00F26EC2" w:rsidRPr="00991725">
        <w:rPr>
          <w:rFonts w:ascii="Times New Roman" w:hAnsi="Times New Roman" w:cs="Times New Roman"/>
        </w:rPr>
        <w:t xml:space="preserve">to chemicals </w:t>
      </w:r>
      <w:r w:rsidR="00403E10" w:rsidRPr="00991725">
        <w:rPr>
          <w:rFonts w:ascii="Times New Roman" w:hAnsi="Times New Roman" w:cs="Times New Roman"/>
        </w:rPr>
        <w:t>such as benzene</w:t>
      </w:r>
      <w:r w:rsidR="009C0842" w:rsidRPr="00991725">
        <w:rPr>
          <w:rFonts w:ascii="Times New Roman" w:hAnsi="Times New Roman" w:cs="Times New Roman"/>
        </w:rPr>
        <w:t>, TCE,</w:t>
      </w:r>
      <w:r w:rsidR="00567C5B" w:rsidRPr="00991725">
        <w:rPr>
          <w:rFonts w:ascii="Times New Roman" w:hAnsi="Times New Roman" w:cs="Times New Roman"/>
        </w:rPr>
        <w:t xml:space="preserve"> and </w:t>
      </w:r>
      <w:r w:rsidR="00403E10" w:rsidRPr="00991725">
        <w:rPr>
          <w:rFonts w:ascii="Times New Roman" w:hAnsi="Times New Roman" w:cs="Times New Roman"/>
        </w:rPr>
        <w:t>some</w:t>
      </w:r>
      <w:r w:rsidR="005D656D" w:rsidRPr="00991725">
        <w:rPr>
          <w:rFonts w:ascii="Times New Roman" w:hAnsi="Times New Roman" w:cs="Times New Roman"/>
        </w:rPr>
        <w:t xml:space="preserve"> herbicides and insecticides. </w:t>
      </w:r>
      <w:r w:rsidR="006E2A3F" w:rsidRPr="00991725">
        <w:rPr>
          <w:rFonts w:ascii="Times New Roman" w:hAnsi="Times New Roman" w:cs="Times New Roman"/>
        </w:rPr>
        <w:t>See the</w:t>
      </w:r>
      <w:r w:rsidR="006E2A3F" w:rsidRPr="00991725">
        <w:t xml:space="preserve"> </w:t>
      </w:r>
      <w:hyperlink r:id="rId18" w:history="1">
        <w:r w:rsidR="006E2A3F" w:rsidRPr="00991725">
          <w:rPr>
            <w:rStyle w:val="Hyperlink"/>
            <w:i/>
          </w:rPr>
          <w:t>American Cancer Society</w:t>
        </w:r>
      </w:hyperlink>
      <w:r w:rsidR="006E2A3F" w:rsidRPr="00991725">
        <w:t xml:space="preserve"> </w:t>
      </w:r>
      <w:r w:rsidR="006E2A3F" w:rsidRPr="00991725">
        <w:rPr>
          <w:rFonts w:ascii="Times New Roman" w:hAnsi="Times New Roman" w:cs="Times New Roman"/>
        </w:rPr>
        <w:t xml:space="preserve">website and the risk factor summary on </w:t>
      </w:r>
      <w:hyperlink r:id="rId19" w:history="1">
        <w:r w:rsidR="006E2A3F" w:rsidRPr="00991725">
          <w:rPr>
            <w:rStyle w:val="Hyperlink"/>
            <w:i/>
          </w:rPr>
          <w:t>Massachusetts Environmental Public Health Tracking</w:t>
        </w:r>
      </w:hyperlink>
      <w:r w:rsidR="006E2A3F" w:rsidRPr="00991725">
        <w:t xml:space="preserve"> </w:t>
      </w:r>
      <w:r w:rsidR="006E2A3F" w:rsidRPr="00991725">
        <w:rPr>
          <w:rFonts w:ascii="Times New Roman" w:hAnsi="Times New Roman" w:cs="Times New Roman"/>
        </w:rPr>
        <w:t>for more information.</w:t>
      </w:r>
    </w:p>
    <w:p w:rsidR="00E15B1B" w:rsidRPr="00991725" w:rsidRDefault="009156BF" w:rsidP="00290F74">
      <w:pPr>
        <w:rPr>
          <w:rFonts w:ascii="Times New Roman" w:hAnsi="Times New Roman" w:cs="Times New Roman"/>
          <w:highlight w:val="yellow"/>
        </w:rPr>
      </w:pPr>
      <w:r w:rsidRPr="00991725">
        <w:rPr>
          <w:rFonts w:ascii="Times New Roman" w:hAnsi="Times New Roman" w:cs="Times New Roman"/>
        </w:rPr>
        <w:t xml:space="preserve">Of the 11 females in CT 3732 diagnosed with NHL during 1994-2003, </w:t>
      </w:r>
      <w:r w:rsidR="00246147" w:rsidRPr="00991725">
        <w:rPr>
          <w:rFonts w:ascii="Times New Roman" w:hAnsi="Times New Roman" w:cs="Times New Roman"/>
        </w:rPr>
        <w:t xml:space="preserve">the ages at the time of diagnosis and type of NHL follow what would be expected based on national trends. The average age at the time of diagnosis was 65 and nearly 75% occurred in older adults age 60 and over. </w:t>
      </w:r>
      <w:r w:rsidR="00E13233" w:rsidRPr="00991725">
        <w:rPr>
          <w:rFonts w:ascii="Times New Roman" w:hAnsi="Times New Roman" w:cs="Times New Roman"/>
        </w:rPr>
        <w:t>Of the 7 females for whom a</w:t>
      </w:r>
      <w:r w:rsidR="00246147" w:rsidRPr="00991725">
        <w:rPr>
          <w:rFonts w:ascii="Times New Roman" w:hAnsi="Times New Roman" w:cs="Times New Roman"/>
        </w:rPr>
        <w:t xml:space="preserve"> specific type</w:t>
      </w:r>
      <w:r w:rsidR="00633578" w:rsidRPr="00991725">
        <w:rPr>
          <w:rFonts w:ascii="Times New Roman" w:hAnsi="Times New Roman" w:cs="Times New Roman"/>
        </w:rPr>
        <w:t xml:space="preserve"> of NHL</w:t>
      </w:r>
      <w:r w:rsidR="00BD74D4" w:rsidRPr="00991725">
        <w:rPr>
          <w:rFonts w:ascii="Times New Roman" w:hAnsi="Times New Roman" w:cs="Times New Roman"/>
        </w:rPr>
        <w:t xml:space="preserve"> was </w:t>
      </w:r>
      <w:r w:rsidR="00E13233" w:rsidRPr="00991725">
        <w:rPr>
          <w:rFonts w:ascii="Times New Roman" w:hAnsi="Times New Roman" w:cs="Times New Roman"/>
        </w:rPr>
        <w:t xml:space="preserve">reported, </w:t>
      </w:r>
      <w:r w:rsidR="00246147" w:rsidRPr="00991725">
        <w:rPr>
          <w:rFonts w:ascii="Times New Roman" w:hAnsi="Times New Roman" w:cs="Times New Roman"/>
        </w:rPr>
        <w:t xml:space="preserve">nearly all consisted of B-cell lymphomas. </w:t>
      </w:r>
      <w:r w:rsidR="00A44B38" w:rsidRPr="00991725">
        <w:rPr>
          <w:rFonts w:ascii="Times New Roman" w:hAnsi="Times New Roman" w:cs="Times New Roman"/>
        </w:rPr>
        <w:t>Although almost half of the females diagnosed during this time period had a previous cancer diagnosis, it is not possible to determine if they received chemotherapy</w:t>
      </w:r>
      <w:r w:rsidR="00E10057" w:rsidRPr="00991725">
        <w:rPr>
          <w:rFonts w:ascii="Times New Roman" w:hAnsi="Times New Roman" w:cs="Times New Roman"/>
        </w:rPr>
        <w:t xml:space="preserve"> for their previous cancer</w:t>
      </w:r>
      <w:r w:rsidR="009338E8" w:rsidRPr="00991725">
        <w:rPr>
          <w:rFonts w:ascii="Times New Roman" w:hAnsi="Times New Roman" w:cs="Times New Roman"/>
        </w:rPr>
        <w:t xml:space="preserve"> (</w:t>
      </w:r>
      <w:r w:rsidR="00E10057" w:rsidRPr="00991725">
        <w:rPr>
          <w:rFonts w:ascii="Times New Roman" w:hAnsi="Times New Roman" w:cs="Times New Roman"/>
        </w:rPr>
        <w:t>a possible risk factor for NHL</w:t>
      </w:r>
      <w:r w:rsidR="009338E8" w:rsidRPr="00991725">
        <w:rPr>
          <w:rFonts w:ascii="Times New Roman" w:hAnsi="Times New Roman" w:cs="Times New Roman"/>
        </w:rPr>
        <w:t>)</w:t>
      </w:r>
      <w:r w:rsidR="00A44B38" w:rsidRPr="00991725">
        <w:rPr>
          <w:rFonts w:ascii="Times New Roman" w:hAnsi="Times New Roman" w:cs="Times New Roman"/>
        </w:rPr>
        <w:t xml:space="preserve"> using readily available information from the MCR. </w:t>
      </w:r>
    </w:p>
    <w:p w:rsidR="004C52AD" w:rsidRPr="00991725" w:rsidRDefault="007A035C" w:rsidP="00290F74">
      <w:pPr>
        <w:rPr>
          <w:rFonts w:ascii="Times New Roman" w:hAnsi="Times New Roman" w:cs="Times New Roman"/>
        </w:rPr>
      </w:pPr>
      <w:r w:rsidRPr="00991725">
        <w:rPr>
          <w:rFonts w:ascii="Times New Roman" w:hAnsi="Times New Roman" w:cs="Times New Roman"/>
        </w:rPr>
        <w:t>An analysis of the residential address at the time of diagnosis did not reveal any unusual spatial or temporal patterns for those diagnosed with NHL in CT 3732 during</w:t>
      </w:r>
      <w:r w:rsidR="004F2279" w:rsidRPr="00991725">
        <w:rPr>
          <w:rFonts w:ascii="Times New Roman" w:hAnsi="Times New Roman" w:cs="Times New Roman"/>
        </w:rPr>
        <w:t xml:space="preserve"> the 30-year time period of</w:t>
      </w:r>
      <w:r w:rsidRPr="00991725">
        <w:rPr>
          <w:rFonts w:ascii="Times New Roman" w:hAnsi="Times New Roman" w:cs="Times New Roman"/>
        </w:rPr>
        <w:t xml:space="preserve"> 1984-2013. The geographic distribution of diagnoses generally followed the pattern of population density with no unusual spatial clustering. </w:t>
      </w:r>
    </w:p>
    <w:p w:rsidR="00D12540" w:rsidRDefault="00D12540" w:rsidP="00290F74">
      <w:pPr>
        <w:pStyle w:val="Heading2"/>
        <w:spacing w:before="0" w:after="200"/>
        <w:rPr>
          <w:rFonts w:cs="Times New Roman"/>
          <w:sz w:val="28"/>
          <w:szCs w:val="28"/>
        </w:rPr>
      </w:pPr>
      <w:r>
        <w:rPr>
          <w:rFonts w:cs="Times New Roman"/>
          <w:sz w:val="28"/>
          <w:szCs w:val="28"/>
        </w:rPr>
        <w:t>Update of Cancer Incidence Data</w:t>
      </w:r>
      <w:r w:rsidR="00266729">
        <w:rPr>
          <w:rFonts w:cs="Times New Roman"/>
          <w:sz w:val="28"/>
          <w:szCs w:val="28"/>
        </w:rPr>
        <w:t xml:space="preserve"> in CT 3732</w:t>
      </w:r>
    </w:p>
    <w:p w:rsidR="00D12540" w:rsidRPr="00991725" w:rsidRDefault="00D12540" w:rsidP="00A77AC1">
      <w:pPr>
        <w:rPr>
          <w:rFonts w:cs="Times New Roman"/>
        </w:rPr>
      </w:pPr>
      <w:r w:rsidRPr="00991725">
        <w:rPr>
          <w:rFonts w:ascii="Times New Roman" w:hAnsi="Times New Roman" w:cs="Times New Roman"/>
        </w:rPr>
        <w:t xml:space="preserve">Since the initiation of this evaluation, the MCR released two additional years of cancer incidence data for 2014 and 2015. </w:t>
      </w:r>
      <w:r w:rsidR="00814FFB" w:rsidRPr="00991725">
        <w:rPr>
          <w:rFonts w:ascii="Times New Roman" w:hAnsi="Times New Roman" w:cs="Times New Roman"/>
        </w:rPr>
        <w:t xml:space="preserve">During 2014 and 2015, </w:t>
      </w:r>
      <w:r w:rsidR="005415FF" w:rsidRPr="00991725">
        <w:rPr>
          <w:rFonts w:ascii="Times New Roman" w:hAnsi="Times New Roman" w:cs="Times New Roman"/>
        </w:rPr>
        <w:t>three</w:t>
      </w:r>
      <w:r w:rsidR="000A5085" w:rsidRPr="00991725">
        <w:rPr>
          <w:rFonts w:ascii="Times New Roman" w:hAnsi="Times New Roman" w:cs="Times New Roman"/>
        </w:rPr>
        <w:t xml:space="preserve"> diagnoses of kidney and renal pelvis cancer, </w:t>
      </w:r>
      <w:r w:rsidR="005415FF" w:rsidRPr="00991725">
        <w:rPr>
          <w:rFonts w:ascii="Times New Roman" w:hAnsi="Times New Roman" w:cs="Times New Roman"/>
        </w:rPr>
        <w:t>one diagnosi</w:t>
      </w:r>
      <w:r w:rsidR="000A5085" w:rsidRPr="00991725">
        <w:rPr>
          <w:rFonts w:ascii="Times New Roman" w:hAnsi="Times New Roman" w:cs="Times New Roman"/>
        </w:rPr>
        <w:t xml:space="preserve">s of liver and IBD cancer, and </w:t>
      </w:r>
      <w:r w:rsidR="005415FF" w:rsidRPr="00991725">
        <w:rPr>
          <w:rFonts w:ascii="Times New Roman" w:hAnsi="Times New Roman" w:cs="Times New Roman"/>
        </w:rPr>
        <w:t>one diagnosi</w:t>
      </w:r>
      <w:r w:rsidR="000A5085" w:rsidRPr="00991725">
        <w:rPr>
          <w:rFonts w:ascii="Times New Roman" w:hAnsi="Times New Roman" w:cs="Times New Roman"/>
        </w:rPr>
        <w:t xml:space="preserve">s of NHL occurred among residents of CT 3732. </w:t>
      </w:r>
      <w:r w:rsidR="00C52059" w:rsidRPr="00991725">
        <w:rPr>
          <w:rFonts w:ascii="Times New Roman" w:hAnsi="Times New Roman" w:cs="Times New Roman"/>
        </w:rPr>
        <w:t>In general, the ages at the time of diagnosis and histology for each of the three cancer types followed what would be expected based on national statistics and the epidemiological literature.</w:t>
      </w:r>
      <w:r w:rsidR="00991725" w:rsidRPr="00991725">
        <w:rPr>
          <w:rFonts w:ascii="Times New Roman" w:hAnsi="Times New Roman" w:cs="Times New Roman"/>
        </w:rPr>
        <w:t xml:space="preserve"> </w:t>
      </w:r>
      <w:r w:rsidR="00A336AA" w:rsidRPr="00991725">
        <w:rPr>
          <w:rFonts w:ascii="Times New Roman" w:hAnsi="Times New Roman" w:cs="Times New Roman"/>
        </w:rPr>
        <w:t>T</w:t>
      </w:r>
      <w:r w:rsidR="00C52059" w:rsidRPr="00991725">
        <w:rPr>
          <w:rFonts w:ascii="Times New Roman" w:hAnsi="Times New Roman" w:cs="Times New Roman"/>
        </w:rPr>
        <w:t xml:space="preserve">he geographic distribution of residential address at the time of diagnosis did not reveal any unusual patterns. </w:t>
      </w:r>
    </w:p>
    <w:p w:rsidR="00A06CA9" w:rsidRPr="00794F2B" w:rsidRDefault="00F438DF" w:rsidP="00290F74">
      <w:pPr>
        <w:pStyle w:val="Heading2"/>
        <w:spacing w:before="0" w:after="200"/>
      </w:pPr>
      <w:r w:rsidRPr="00290F74">
        <w:rPr>
          <w:rFonts w:cs="Times New Roman"/>
          <w:sz w:val="28"/>
          <w:szCs w:val="28"/>
        </w:rPr>
        <w:t>Prevalence</w:t>
      </w:r>
      <w:r w:rsidR="00D75ACF" w:rsidRPr="00290F74">
        <w:rPr>
          <w:rFonts w:cs="Times New Roman"/>
          <w:sz w:val="28"/>
          <w:szCs w:val="28"/>
        </w:rPr>
        <w:t xml:space="preserve"> of </w:t>
      </w:r>
      <w:r w:rsidR="00DD0392">
        <w:rPr>
          <w:rFonts w:cs="Times New Roman"/>
          <w:sz w:val="28"/>
          <w:szCs w:val="28"/>
        </w:rPr>
        <w:t xml:space="preserve">Congenital </w:t>
      </w:r>
      <w:r w:rsidR="00A15688" w:rsidRPr="00A46AA9">
        <w:rPr>
          <w:rFonts w:cs="Times New Roman"/>
          <w:sz w:val="28"/>
          <w:szCs w:val="28"/>
        </w:rPr>
        <w:t xml:space="preserve">Heart </w:t>
      </w:r>
      <w:r w:rsidR="009E32D2" w:rsidRPr="00290F74">
        <w:rPr>
          <w:rFonts w:cs="Times New Roman"/>
          <w:sz w:val="28"/>
          <w:szCs w:val="28"/>
        </w:rPr>
        <w:t>Defects</w:t>
      </w:r>
      <w:r w:rsidR="00A15688" w:rsidRPr="00A46AA9">
        <w:rPr>
          <w:rFonts w:cs="Times New Roman"/>
          <w:sz w:val="28"/>
          <w:szCs w:val="28"/>
        </w:rPr>
        <w:t xml:space="preserve"> in CT 3732</w:t>
      </w:r>
    </w:p>
    <w:p w:rsidR="00F80224" w:rsidRPr="00991725" w:rsidRDefault="00323CF8" w:rsidP="00290F74">
      <w:pPr>
        <w:rPr>
          <w:rFonts w:ascii="Times New Roman" w:hAnsi="Times New Roman" w:cs="Times New Roman"/>
        </w:rPr>
      </w:pPr>
      <w:r w:rsidRPr="00991725">
        <w:rPr>
          <w:rFonts w:ascii="Times New Roman" w:hAnsi="Times New Roman" w:cs="Times New Roman"/>
        </w:rPr>
        <w:t>Fewer than 6</w:t>
      </w:r>
      <w:r w:rsidR="00CF0618" w:rsidRPr="00991725">
        <w:rPr>
          <w:rFonts w:ascii="Times New Roman" w:hAnsi="Times New Roman" w:cs="Times New Roman"/>
        </w:rPr>
        <w:t xml:space="preserve"> </w:t>
      </w:r>
      <w:r w:rsidRPr="00991725">
        <w:rPr>
          <w:rFonts w:ascii="Times New Roman" w:hAnsi="Times New Roman" w:cs="Times New Roman"/>
        </w:rPr>
        <w:t xml:space="preserve">cases of </w:t>
      </w:r>
      <w:r w:rsidR="00DD0392" w:rsidRPr="00991725">
        <w:rPr>
          <w:rFonts w:ascii="Times New Roman" w:hAnsi="Times New Roman" w:cs="Times New Roman"/>
        </w:rPr>
        <w:t xml:space="preserve">congenital </w:t>
      </w:r>
      <w:r w:rsidR="00CF0618" w:rsidRPr="00991725">
        <w:rPr>
          <w:rFonts w:ascii="Times New Roman" w:hAnsi="Times New Roman" w:cs="Times New Roman"/>
        </w:rPr>
        <w:t xml:space="preserve">heart defects were identified among </w:t>
      </w:r>
      <w:r w:rsidRPr="00991725">
        <w:rPr>
          <w:rFonts w:ascii="Times New Roman" w:hAnsi="Times New Roman" w:cs="Times New Roman"/>
        </w:rPr>
        <w:t xml:space="preserve">live </w:t>
      </w:r>
      <w:r w:rsidR="00CF0618" w:rsidRPr="00991725">
        <w:rPr>
          <w:rFonts w:ascii="Times New Roman" w:hAnsi="Times New Roman" w:cs="Times New Roman"/>
        </w:rPr>
        <w:t xml:space="preserve">births to mothers residing in CT 3732 during 2000-2014. </w:t>
      </w:r>
      <w:r w:rsidR="003A1E05" w:rsidRPr="00991725">
        <w:rPr>
          <w:rFonts w:ascii="Times New Roman" w:hAnsi="Times New Roman" w:cs="Times New Roman"/>
        </w:rPr>
        <w:t xml:space="preserve">To protect the privacy of those individuals diagnosed with birth defects and their parents and families, counts are suppressed and prevalence rates are not calculated when fewer than six diagnoses </w:t>
      </w:r>
      <w:r w:rsidR="00B23DC5" w:rsidRPr="00991725">
        <w:rPr>
          <w:rFonts w:ascii="Times New Roman" w:hAnsi="Times New Roman" w:cs="Times New Roman"/>
        </w:rPr>
        <w:t>a</w:t>
      </w:r>
      <w:r w:rsidR="003A1E05" w:rsidRPr="00991725">
        <w:rPr>
          <w:rFonts w:ascii="Times New Roman" w:hAnsi="Times New Roman" w:cs="Times New Roman"/>
        </w:rPr>
        <w:t xml:space="preserve">re observed in a geographic area. </w:t>
      </w:r>
      <w:r w:rsidR="00CF0618" w:rsidRPr="00991725">
        <w:rPr>
          <w:rFonts w:ascii="Times New Roman" w:hAnsi="Times New Roman" w:cs="Times New Roman"/>
        </w:rPr>
        <w:t xml:space="preserve">Statewide, the </w:t>
      </w:r>
      <w:r w:rsidR="00BD7A43" w:rsidRPr="00991725">
        <w:rPr>
          <w:rFonts w:ascii="Times New Roman" w:hAnsi="Times New Roman" w:cs="Times New Roman"/>
        </w:rPr>
        <w:t xml:space="preserve">prevalence rate for </w:t>
      </w:r>
      <w:r w:rsidR="003E1CE5" w:rsidRPr="00991725">
        <w:rPr>
          <w:rFonts w:ascii="Times New Roman" w:hAnsi="Times New Roman" w:cs="Times New Roman"/>
        </w:rPr>
        <w:t xml:space="preserve">congenital </w:t>
      </w:r>
      <w:r w:rsidR="00CF0618" w:rsidRPr="00991725">
        <w:rPr>
          <w:rFonts w:ascii="Times New Roman" w:hAnsi="Times New Roman" w:cs="Times New Roman"/>
        </w:rPr>
        <w:t>heart</w:t>
      </w:r>
      <w:r w:rsidR="00BD7A43" w:rsidRPr="00991725">
        <w:rPr>
          <w:rFonts w:ascii="Times New Roman" w:hAnsi="Times New Roman" w:cs="Times New Roman"/>
        </w:rPr>
        <w:t xml:space="preserve"> defects</w:t>
      </w:r>
      <w:r w:rsidR="00655EC6" w:rsidRPr="00991725">
        <w:rPr>
          <w:rFonts w:ascii="Times New Roman" w:hAnsi="Times New Roman" w:cs="Times New Roman"/>
        </w:rPr>
        <w:t xml:space="preserve"> was</w:t>
      </w:r>
      <w:r w:rsidR="00BD7A43" w:rsidRPr="00991725">
        <w:rPr>
          <w:rFonts w:ascii="Times New Roman" w:hAnsi="Times New Roman" w:cs="Times New Roman"/>
        </w:rPr>
        <w:t xml:space="preserve"> </w:t>
      </w:r>
      <w:r w:rsidR="00CF0618" w:rsidRPr="00991725">
        <w:rPr>
          <w:rFonts w:ascii="Times New Roman" w:hAnsi="Times New Roman" w:cs="Times New Roman"/>
        </w:rPr>
        <w:t xml:space="preserve">54 </w:t>
      </w:r>
      <w:r w:rsidR="00F438DF" w:rsidRPr="00991725">
        <w:rPr>
          <w:rFonts w:ascii="Times New Roman" w:hAnsi="Times New Roman" w:cs="Times New Roman"/>
        </w:rPr>
        <w:t>per 10,000 live births</w:t>
      </w:r>
      <w:r w:rsidRPr="00991725">
        <w:rPr>
          <w:rFonts w:ascii="Times New Roman" w:hAnsi="Times New Roman" w:cs="Times New Roman"/>
        </w:rPr>
        <w:t xml:space="preserve"> over this </w:t>
      </w:r>
      <w:r w:rsidR="001B3131" w:rsidRPr="00991725">
        <w:rPr>
          <w:rFonts w:ascii="Times New Roman" w:hAnsi="Times New Roman" w:cs="Times New Roman"/>
        </w:rPr>
        <w:t xml:space="preserve">15-year </w:t>
      </w:r>
      <w:r w:rsidRPr="00991725">
        <w:rPr>
          <w:rFonts w:ascii="Times New Roman" w:hAnsi="Times New Roman" w:cs="Times New Roman"/>
        </w:rPr>
        <w:t>time period</w:t>
      </w:r>
      <w:r w:rsidR="00CF0618" w:rsidRPr="00991725">
        <w:rPr>
          <w:rFonts w:ascii="Times New Roman" w:hAnsi="Times New Roman" w:cs="Times New Roman"/>
        </w:rPr>
        <w:t xml:space="preserve">. </w:t>
      </w:r>
      <w:r w:rsidR="00714D44" w:rsidRPr="00991725">
        <w:rPr>
          <w:rFonts w:ascii="Times New Roman" w:hAnsi="Times New Roman" w:cs="Times New Roman"/>
        </w:rPr>
        <w:t xml:space="preserve">No </w:t>
      </w:r>
      <w:r w:rsidR="00DD0392" w:rsidRPr="00991725">
        <w:rPr>
          <w:rFonts w:ascii="Times New Roman" w:hAnsi="Times New Roman" w:cs="Times New Roman"/>
        </w:rPr>
        <w:t xml:space="preserve">congenital </w:t>
      </w:r>
      <w:r w:rsidR="005C0570" w:rsidRPr="00991725">
        <w:rPr>
          <w:rFonts w:ascii="Times New Roman" w:hAnsi="Times New Roman" w:cs="Times New Roman"/>
        </w:rPr>
        <w:t xml:space="preserve">heart </w:t>
      </w:r>
      <w:r w:rsidR="00714D44" w:rsidRPr="00991725">
        <w:rPr>
          <w:rFonts w:ascii="Times New Roman" w:hAnsi="Times New Roman" w:cs="Times New Roman"/>
        </w:rPr>
        <w:t>defects were identified among stillbirths in CT 3732 during this time period.</w:t>
      </w:r>
    </w:p>
    <w:p w:rsidR="00266729" w:rsidRDefault="00266729" w:rsidP="00290F74">
      <w:pPr>
        <w:rPr>
          <w:rFonts w:ascii="Times New Roman" w:hAnsi="Times New Roman" w:cs="Times New Roman"/>
          <w:b/>
          <w:sz w:val="28"/>
          <w:szCs w:val="28"/>
        </w:rPr>
      </w:pPr>
      <w:r w:rsidRPr="00A77AC1">
        <w:rPr>
          <w:rFonts w:ascii="Times New Roman" w:hAnsi="Times New Roman" w:cs="Times New Roman"/>
          <w:b/>
          <w:sz w:val="28"/>
          <w:szCs w:val="28"/>
        </w:rPr>
        <w:t>Update</w:t>
      </w:r>
      <w:r>
        <w:rPr>
          <w:rFonts w:ascii="Times New Roman" w:hAnsi="Times New Roman" w:cs="Times New Roman"/>
          <w:b/>
          <w:sz w:val="28"/>
          <w:szCs w:val="28"/>
        </w:rPr>
        <w:t xml:space="preserve"> of </w:t>
      </w:r>
      <w:r w:rsidR="00DD0392">
        <w:rPr>
          <w:rFonts w:ascii="Times New Roman" w:hAnsi="Times New Roman" w:cs="Times New Roman"/>
          <w:b/>
          <w:sz w:val="28"/>
          <w:szCs w:val="28"/>
        </w:rPr>
        <w:t xml:space="preserve">Congenital </w:t>
      </w:r>
      <w:r>
        <w:rPr>
          <w:rFonts w:ascii="Times New Roman" w:hAnsi="Times New Roman" w:cs="Times New Roman"/>
          <w:b/>
          <w:sz w:val="28"/>
          <w:szCs w:val="28"/>
        </w:rPr>
        <w:t>Heart Defects in CT 3732</w:t>
      </w:r>
    </w:p>
    <w:p w:rsidR="00266729" w:rsidRPr="00991725" w:rsidRDefault="00BD6603" w:rsidP="00290F74">
      <w:pPr>
        <w:rPr>
          <w:rFonts w:ascii="Times New Roman" w:hAnsi="Times New Roman" w:cs="Times New Roman"/>
        </w:rPr>
      </w:pPr>
      <w:r w:rsidRPr="00991725">
        <w:rPr>
          <w:rFonts w:ascii="Times New Roman" w:hAnsi="Times New Roman" w:cs="Times New Roman"/>
        </w:rPr>
        <w:t xml:space="preserve">A review of </w:t>
      </w:r>
      <w:r w:rsidR="00FE5163" w:rsidRPr="00991725">
        <w:rPr>
          <w:rFonts w:ascii="Times New Roman" w:hAnsi="Times New Roman" w:cs="Times New Roman"/>
        </w:rPr>
        <w:t xml:space="preserve">more recent </w:t>
      </w:r>
      <w:r w:rsidRPr="00991725">
        <w:rPr>
          <w:rFonts w:ascii="Times New Roman" w:hAnsi="Times New Roman" w:cs="Times New Roman"/>
        </w:rPr>
        <w:t xml:space="preserve">provisional data from 2015 and 2016 did not reveal any </w:t>
      </w:r>
      <w:r w:rsidR="00DA1CC5" w:rsidRPr="00991725">
        <w:rPr>
          <w:rFonts w:ascii="Times New Roman" w:hAnsi="Times New Roman" w:cs="Times New Roman"/>
        </w:rPr>
        <w:t>diagnoses</w:t>
      </w:r>
      <w:r w:rsidRPr="00991725">
        <w:rPr>
          <w:rFonts w:ascii="Times New Roman" w:hAnsi="Times New Roman" w:cs="Times New Roman"/>
        </w:rPr>
        <w:t xml:space="preserve"> of </w:t>
      </w:r>
      <w:r w:rsidR="000D705C" w:rsidRPr="00991725">
        <w:rPr>
          <w:rFonts w:ascii="Times New Roman" w:hAnsi="Times New Roman" w:cs="Times New Roman"/>
        </w:rPr>
        <w:t xml:space="preserve">congenital </w:t>
      </w:r>
      <w:r w:rsidRPr="00991725">
        <w:rPr>
          <w:rFonts w:ascii="Times New Roman" w:hAnsi="Times New Roman" w:cs="Times New Roman"/>
        </w:rPr>
        <w:t xml:space="preserve">heart defects among live births or stillbirths to mothers residing in CT 3732. </w:t>
      </w:r>
    </w:p>
    <w:p w:rsidR="00B93BBA" w:rsidRDefault="003755E1" w:rsidP="00290F74">
      <w:pPr>
        <w:pStyle w:val="Heading1"/>
        <w:spacing w:after="200" w:line="276" w:lineRule="auto"/>
      </w:pPr>
      <w:r>
        <w:t>DISCUSSION</w:t>
      </w:r>
    </w:p>
    <w:p w:rsidR="00F6210B" w:rsidRPr="00991725" w:rsidRDefault="002B048D" w:rsidP="00290F74">
      <w:pPr>
        <w:rPr>
          <w:rFonts w:ascii="Times New Roman" w:hAnsi="Times New Roman" w:cs="Times New Roman"/>
        </w:rPr>
      </w:pPr>
      <w:r w:rsidRPr="00991725">
        <w:rPr>
          <w:rFonts w:ascii="Times New Roman" w:hAnsi="Times New Roman" w:cs="Times New Roman"/>
        </w:rPr>
        <w:t xml:space="preserve">Many cancers occur because of changes to cells that happen by random chance. These are called sporadic or spontaneous mutations and are not due to any particular exposure to a cancer-causing agent (i.e., carcinogen). Other times, exposure may be an initiating or contributing factor to the development of cancer in an individual. The latency period is the time interval between an initiating event (such as a random cellular mutation or exposure to a carcinogen) and the appearance of symptoms of the disease or its diagnosis. Cancer, in general, has a long latency period but it may vary depending on the type, magnitude, and timing of the exposure. Cancers that are solid tumors are believed to have a long latency period, estimated to be no shorter than 10 years and possibly as long as 50 years or more. For hematopoietic or blood-related cancers, such as NHL, experts think that the general latency period may be shorter, most commonly on the order of 5 to 10 years (Hall 2006; NRC 2005; UNSCEAR 2000; Bang 1996; </w:t>
      </w:r>
      <w:proofErr w:type="spellStart"/>
      <w:r w:rsidRPr="00991725">
        <w:rPr>
          <w:rFonts w:ascii="Times New Roman" w:hAnsi="Times New Roman" w:cs="Times New Roman"/>
        </w:rPr>
        <w:t>Frumkin</w:t>
      </w:r>
      <w:proofErr w:type="spellEnd"/>
      <w:r w:rsidRPr="00991725">
        <w:rPr>
          <w:rFonts w:ascii="Times New Roman" w:hAnsi="Times New Roman" w:cs="Times New Roman"/>
        </w:rPr>
        <w:t xml:space="preserve"> 1995). Due to the long latency period for most types of cancer, it is difficult to identify exposures that may have contributed to an individual’s cancer development. </w:t>
      </w:r>
    </w:p>
    <w:p w:rsidR="002B048D" w:rsidRPr="00991725" w:rsidRDefault="00292C35" w:rsidP="00290F74">
      <w:pPr>
        <w:rPr>
          <w:rFonts w:ascii="Times New Roman" w:hAnsi="Times New Roman" w:cs="Times New Roman"/>
        </w:rPr>
      </w:pPr>
      <w:r w:rsidRPr="00991725">
        <w:rPr>
          <w:rFonts w:ascii="Times New Roman" w:hAnsi="Times New Roman" w:cs="Times New Roman"/>
        </w:rPr>
        <w:t xml:space="preserve">A risk factor is anything that increases a person’s chance of developing cancer and can include hereditary conditions, medical conditions or treatments, infections, lifestyle factors, or environmental exposures. </w:t>
      </w:r>
      <w:r w:rsidR="002B048D" w:rsidRPr="00991725">
        <w:rPr>
          <w:rFonts w:ascii="Times New Roman" w:hAnsi="Times New Roman" w:cs="Times New Roman"/>
        </w:rPr>
        <w:t>It is likely that multiple risk factors</w:t>
      </w:r>
      <w:r w:rsidR="00B1474B" w:rsidRPr="00991725">
        <w:rPr>
          <w:rFonts w:ascii="Times New Roman" w:hAnsi="Times New Roman" w:cs="Times New Roman"/>
        </w:rPr>
        <w:t xml:space="preserve"> </w:t>
      </w:r>
      <w:r w:rsidR="002B048D" w:rsidRPr="00991725">
        <w:rPr>
          <w:rFonts w:ascii="Times New Roman" w:hAnsi="Times New Roman" w:cs="Times New Roman"/>
        </w:rPr>
        <w:t xml:space="preserve">influence the development of most cancers. In addition, an individual’s risk of developing cancer may change over time and may depend on a complex interaction between their genetic makeup and exposure to a cancer-causing agent. </w:t>
      </w:r>
    </w:p>
    <w:p w:rsidR="001E19D5" w:rsidRPr="00991725" w:rsidRDefault="002903FC" w:rsidP="00290F74">
      <w:pPr>
        <w:rPr>
          <w:rFonts w:ascii="Times New Roman" w:hAnsi="Times New Roman" w:cs="Times New Roman"/>
        </w:rPr>
      </w:pPr>
      <w:r w:rsidRPr="00991725">
        <w:rPr>
          <w:rFonts w:ascii="Times New Roman" w:hAnsi="Times New Roman" w:cs="Times New Roman"/>
        </w:rPr>
        <w:t xml:space="preserve">Available information reported to the MCR related to risk factors for cancer development was reviewed for residents of CT 3732 who were diagnosed with a cancer type </w:t>
      </w:r>
      <w:r w:rsidR="00EC1CD9" w:rsidRPr="00991725">
        <w:rPr>
          <w:rFonts w:ascii="Times New Roman" w:hAnsi="Times New Roman" w:cs="Times New Roman"/>
        </w:rPr>
        <w:t xml:space="preserve">that could be </w:t>
      </w:r>
      <w:r w:rsidRPr="00991725">
        <w:rPr>
          <w:rFonts w:ascii="Times New Roman" w:hAnsi="Times New Roman" w:cs="Times New Roman"/>
        </w:rPr>
        <w:t>ass</w:t>
      </w:r>
      <w:r w:rsidR="001E19D5" w:rsidRPr="00991725">
        <w:rPr>
          <w:rFonts w:ascii="Times New Roman" w:hAnsi="Times New Roman" w:cs="Times New Roman"/>
        </w:rPr>
        <w:t xml:space="preserve">ociated with TCE during 1984-2013. </w:t>
      </w:r>
      <w:r w:rsidRPr="00991725">
        <w:rPr>
          <w:rFonts w:ascii="Times New Roman" w:hAnsi="Times New Roman" w:cs="Times New Roman"/>
        </w:rPr>
        <w:t xml:space="preserve">This information is collected for each individual at the time of diagnosis and may include the individual’s age, history </w:t>
      </w:r>
      <w:r w:rsidR="001E19D5" w:rsidRPr="00991725">
        <w:rPr>
          <w:rFonts w:ascii="Times New Roman" w:hAnsi="Times New Roman" w:cs="Times New Roman"/>
        </w:rPr>
        <w:t>of tobacco use</w:t>
      </w:r>
      <w:r w:rsidR="00062908" w:rsidRPr="00991725">
        <w:rPr>
          <w:rFonts w:ascii="Times New Roman" w:hAnsi="Times New Roman" w:cs="Times New Roman"/>
        </w:rPr>
        <w:t>,</w:t>
      </w:r>
      <w:r w:rsidR="001E19D5" w:rsidRPr="00991725">
        <w:rPr>
          <w:rFonts w:ascii="Times New Roman" w:hAnsi="Times New Roman" w:cs="Times New Roman"/>
        </w:rPr>
        <w:t xml:space="preserve"> and occupation. However</w:t>
      </w:r>
      <w:r w:rsidRPr="00991725">
        <w:rPr>
          <w:rFonts w:ascii="Times New Roman" w:hAnsi="Times New Roman" w:cs="Times New Roman"/>
        </w:rPr>
        <w:t xml:space="preserve">, information about personal risk factors such as family history, medical </w:t>
      </w:r>
      <w:r w:rsidR="00062908" w:rsidRPr="00991725">
        <w:rPr>
          <w:rFonts w:ascii="Times New Roman" w:hAnsi="Times New Roman" w:cs="Times New Roman"/>
        </w:rPr>
        <w:t>conditions</w:t>
      </w:r>
      <w:r w:rsidRPr="00991725">
        <w:rPr>
          <w:rFonts w:ascii="Times New Roman" w:hAnsi="Times New Roman" w:cs="Times New Roman"/>
        </w:rPr>
        <w:t xml:space="preserve">, diet, and other factors that may also influence the development of cancer is not collected by the MCR. Therefore, it was not possible to consider their contributions to cancer development in this </w:t>
      </w:r>
      <w:r w:rsidR="00802CA5" w:rsidRPr="00991725">
        <w:rPr>
          <w:rFonts w:ascii="Times New Roman" w:hAnsi="Times New Roman" w:cs="Times New Roman"/>
        </w:rPr>
        <w:t>evaluation</w:t>
      </w:r>
      <w:r w:rsidRPr="00991725">
        <w:rPr>
          <w:rFonts w:ascii="Times New Roman" w:hAnsi="Times New Roman" w:cs="Times New Roman"/>
        </w:rPr>
        <w:t xml:space="preserve">.  </w:t>
      </w:r>
    </w:p>
    <w:p w:rsidR="007B6C1F" w:rsidRPr="00991725" w:rsidRDefault="00E30506" w:rsidP="00290F74">
      <w:pPr>
        <w:rPr>
          <w:rFonts w:ascii="Times New Roman" w:hAnsi="Times New Roman" w:cs="Times New Roman"/>
        </w:rPr>
      </w:pPr>
      <w:r w:rsidRPr="00991725">
        <w:rPr>
          <w:rFonts w:ascii="Times New Roman" w:hAnsi="Times New Roman" w:cs="Times New Roman"/>
        </w:rPr>
        <w:t>This</w:t>
      </w:r>
      <w:r w:rsidR="0051522C" w:rsidRPr="00991725">
        <w:rPr>
          <w:rFonts w:ascii="Times New Roman" w:hAnsi="Times New Roman" w:cs="Times New Roman"/>
        </w:rPr>
        <w:t xml:space="preserve"> screening-level review of cancer incidence data</w:t>
      </w:r>
      <w:r w:rsidR="00377F7F" w:rsidRPr="00991725">
        <w:rPr>
          <w:rFonts w:ascii="Times New Roman" w:hAnsi="Times New Roman" w:cs="Times New Roman"/>
        </w:rPr>
        <w:t xml:space="preserve"> </w:t>
      </w:r>
      <w:r w:rsidRPr="00991725">
        <w:rPr>
          <w:rFonts w:ascii="Times New Roman" w:hAnsi="Times New Roman" w:cs="Times New Roman"/>
        </w:rPr>
        <w:t xml:space="preserve">was used </w:t>
      </w:r>
      <w:r w:rsidR="00377F7F" w:rsidRPr="00991725">
        <w:rPr>
          <w:rFonts w:ascii="Times New Roman" w:hAnsi="Times New Roman" w:cs="Times New Roman"/>
        </w:rPr>
        <w:t>to evaluate the pattern of cancer in a geographic context and determine whether further public health investigations or actions may be warranted</w:t>
      </w:r>
      <w:r w:rsidR="0051522C" w:rsidRPr="00991725">
        <w:rPr>
          <w:rFonts w:ascii="Times New Roman" w:hAnsi="Times New Roman" w:cs="Times New Roman"/>
        </w:rPr>
        <w:t xml:space="preserve">. </w:t>
      </w:r>
      <w:r w:rsidR="00377F7F" w:rsidRPr="00991725">
        <w:rPr>
          <w:rFonts w:ascii="Times New Roman" w:hAnsi="Times New Roman" w:cs="Times New Roman"/>
        </w:rPr>
        <w:t xml:space="preserve">This descriptive analysis of cancer incidence data alone cannot be used to establish a causal link between a particular risk factor (either environmental or non-environmental) and the development of cancer. It also cannot determine the cause of cancer in any one particular individual. </w:t>
      </w:r>
      <w:r w:rsidR="003746F0" w:rsidRPr="00991725">
        <w:rPr>
          <w:rFonts w:ascii="Times New Roman" w:hAnsi="Times New Roman" w:cs="Times New Roman"/>
        </w:rPr>
        <w:t>A review of the geographic distribution of addresses at the time of diagnosis was conducted for all three cancer types during</w:t>
      </w:r>
      <w:r w:rsidR="009F332C" w:rsidRPr="00991725">
        <w:rPr>
          <w:rFonts w:ascii="Times New Roman" w:hAnsi="Times New Roman" w:cs="Times New Roman"/>
        </w:rPr>
        <w:t xml:space="preserve"> </w:t>
      </w:r>
      <w:r w:rsidR="00840EE3" w:rsidRPr="00991725">
        <w:rPr>
          <w:rFonts w:ascii="Times New Roman" w:hAnsi="Times New Roman" w:cs="Times New Roman"/>
        </w:rPr>
        <w:t xml:space="preserve">the 30-year time period of </w:t>
      </w:r>
      <w:r w:rsidR="009F332C" w:rsidRPr="00991725">
        <w:rPr>
          <w:rFonts w:ascii="Times New Roman" w:hAnsi="Times New Roman" w:cs="Times New Roman"/>
        </w:rPr>
        <w:t xml:space="preserve">1984-2013. Place of residence at the time of diagnosis was also compared with TCE concentrations in groundwater at the same location. </w:t>
      </w:r>
      <w:r w:rsidR="006232C7" w:rsidRPr="00991725">
        <w:rPr>
          <w:rFonts w:ascii="Times New Roman" w:hAnsi="Times New Roman" w:cs="Times New Roman"/>
        </w:rPr>
        <w:t>Very few diagnoses occurred among individuals at residences located within areas of elevated TCE levels in groundwater as measured</w:t>
      </w:r>
      <w:r w:rsidR="006232C7" w:rsidRPr="008A2F2F">
        <w:rPr>
          <w:rFonts w:ascii="Times New Roman" w:hAnsi="Times New Roman" w:cs="Times New Roman"/>
          <w:sz w:val="24"/>
          <w:szCs w:val="24"/>
        </w:rPr>
        <w:t xml:space="preserve"> </w:t>
      </w:r>
      <w:r w:rsidR="006232C7" w:rsidRPr="00991725">
        <w:rPr>
          <w:rFonts w:ascii="Times New Roman" w:hAnsi="Times New Roman" w:cs="Times New Roman"/>
        </w:rPr>
        <w:t xml:space="preserve">since 2014. </w:t>
      </w:r>
      <w:r w:rsidR="009F332C" w:rsidRPr="00991725">
        <w:rPr>
          <w:rFonts w:ascii="Times New Roman" w:hAnsi="Times New Roman" w:cs="Times New Roman"/>
        </w:rPr>
        <w:t xml:space="preserve">It should be noted, however, that TCE levels in groundwater </w:t>
      </w:r>
      <w:r w:rsidR="007917A9" w:rsidRPr="00991725">
        <w:rPr>
          <w:rFonts w:ascii="Times New Roman" w:hAnsi="Times New Roman" w:cs="Times New Roman"/>
        </w:rPr>
        <w:t>prior to 2014 are unknown</w:t>
      </w:r>
      <w:r w:rsidR="009F332C" w:rsidRPr="00991725">
        <w:rPr>
          <w:rFonts w:ascii="Times New Roman" w:hAnsi="Times New Roman" w:cs="Times New Roman"/>
        </w:rPr>
        <w:t xml:space="preserve">. </w:t>
      </w:r>
      <w:r w:rsidR="00840EE3" w:rsidRPr="00991725">
        <w:rPr>
          <w:rFonts w:ascii="Times New Roman" w:hAnsi="Times New Roman" w:cs="Times New Roman"/>
        </w:rPr>
        <w:t>T</w:t>
      </w:r>
      <w:r w:rsidR="005B20E6" w:rsidRPr="00991725">
        <w:rPr>
          <w:rFonts w:ascii="Times New Roman" w:hAnsi="Times New Roman" w:cs="Times New Roman"/>
        </w:rPr>
        <w:t xml:space="preserve">he </w:t>
      </w:r>
      <w:r w:rsidR="00CD4A7C" w:rsidRPr="00991725">
        <w:rPr>
          <w:rFonts w:ascii="Times New Roman" w:hAnsi="Times New Roman" w:cs="Times New Roman"/>
        </w:rPr>
        <w:t xml:space="preserve">geographic </w:t>
      </w:r>
      <w:r w:rsidR="005B20E6" w:rsidRPr="00991725">
        <w:rPr>
          <w:rFonts w:ascii="Times New Roman" w:hAnsi="Times New Roman" w:cs="Times New Roman"/>
        </w:rPr>
        <w:t>extent of contamination</w:t>
      </w:r>
      <w:r w:rsidR="00840EE3" w:rsidRPr="00991725">
        <w:rPr>
          <w:rFonts w:ascii="Times New Roman" w:hAnsi="Times New Roman" w:cs="Times New Roman"/>
        </w:rPr>
        <w:t xml:space="preserve"> in the past</w:t>
      </w:r>
      <w:r w:rsidR="005B20E6" w:rsidRPr="00991725">
        <w:rPr>
          <w:rFonts w:ascii="Times New Roman" w:hAnsi="Times New Roman" w:cs="Times New Roman"/>
        </w:rPr>
        <w:t xml:space="preserve"> is likely to have been the same or smaller</w:t>
      </w:r>
      <w:r w:rsidR="00CD4A7C" w:rsidRPr="00991725">
        <w:rPr>
          <w:rFonts w:ascii="Times New Roman" w:hAnsi="Times New Roman" w:cs="Times New Roman"/>
        </w:rPr>
        <w:t>.</w:t>
      </w:r>
      <w:r w:rsidR="00840EE3" w:rsidRPr="00991725">
        <w:rPr>
          <w:rFonts w:ascii="Times New Roman" w:hAnsi="Times New Roman" w:cs="Times New Roman"/>
        </w:rPr>
        <w:t xml:space="preserve"> </w:t>
      </w:r>
      <w:r w:rsidR="00CD4A7C" w:rsidRPr="00991725">
        <w:rPr>
          <w:rFonts w:ascii="Times New Roman" w:hAnsi="Times New Roman" w:cs="Times New Roman"/>
        </w:rPr>
        <w:t xml:space="preserve">Historical </w:t>
      </w:r>
      <w:r w:rsidR="00840EE3" w:rsidRPr="00991725">
        <w:rPr>
          <w:rFonts w:ascii="Times New Roman" w:hAnsi="Times New Roman" w:cs="Times New Roman"/>
        </w:rPr>
        <w:t xml:space="preserve">concentrations in </w:t>
      </w:r>
      <w:r w:rsidR="007023A3" w:rsidRPr="00991725">
        <w:rPr>
          <w:rFonts w:ascii="Times New Roman" w:hAnsi="Times New Roman" w:cs="Times New Roman"/>
        </w:rPr>
        <w:t xml:space="preserve">shallow </w:t>
      </w:r>
      <w:r w:rsidR="00840EE3" w:rsidRPr="00991725">
        <w:rPr>
          <w:rFonts w:ascii="Times New Roman" w:hAnsi="Times New Roman" w:cs="Times New Roman"/>
        </w:rPr>
        <w:t xml:space="preserve">groundwater </w:t>
      </w:r>
      <w:r w:rsidR="00CD4A7C" w:rsidRPr="00991725">
        <w:rPr>
          <w:rFonts w:ascii="Times New Roman" w:hAnsi="Times New Roman" w:cs="Times New Roman"/>
        </w:rPr>
        <w:t xml:space="preserve">are unknown and </w:t>
      </w:r>
      <w:r w:rsidR="00840EE3" w:rsidRPr="00991725">
        <w:rPr>
          <w:rFonts w:ascii="Times New Roman" w:hAnsi="Times New Roman" w:cs="Times New Roman"/>
        </w:rPr>
        <w:t xml:space="preserve">may have </w:t>
      </w:r>
      <w:r w:rsidR="00CD4A7C" w:rsidRPr="00991725">
        <w:rPr>
          <w:rFonts w:ascii="Times New Roman" w:hAnsi="Times New Roman" w:cs="Times New Roman"/>
        </w:rPr>
        <w:t xml:space="preserve">changed </w:t>
      </w:r>
      <w:r w:rsidR="00840EE3" w:rsidRPr="00991725">
        <w:rPr>
          <w:rFonts w:ascii="Times New Roman" w:hAnsi="Times New Roman" w:cs="Times New Roman"/>
        </w:rPr>
        <w:t>over time</w:t>
      </w:r>
      <w:r w:rsidR="005B20E6" w:rsidRPr="00991725">
        <w:rPr>
          <w:rFonts w:ascii="Times New Roman" w:hAnsi="Times New Roman" w:cs="Times New Roman"/>
        </w:rPr>
        <w:t>.</w:t>
      </w:r>
      <w:r w:rsidR="004D4A45" w:rsidRPr="00991725">
        <w:rPr>
          <w:rFonts w:ascii="Times New Roman" w:hAnsi="Times New Roman" w:cs="Times New Roman"/>
        </w:rPr>
        <w:t xml:space="preserve"> It should also be noted that residential history </w:t>
      </w:r>
      <w:r w:rsidR="00421093" w:rsidRPr="00991725">
        <w:rPr>
          <w:rFonts w:ascii="Times New Roman" w:hAnsi="Times New Roman" w:cs="Times New Roman"/>
        </w:rPr>
        <w:t xml:space="preserve">prior to the time of diagnosis </w:t>
      </w:r>
      <w:r w:rsidR="004D4A45" w:rsidRPr="00991725">
        <w:rPr>
          <w:rFonts w:ascii="Times New Roman" w:hAnsi="Times New Roman" w:cs="Times New Roman"/>
        </w:rPr>
        <w:t xml:space="preserve">is unknown. </w:t>
      </w:r>
    </w:p>
    <w:p w:rsidR="005C1AE7" w:rsidRPr="00991725" w:rsidRDefault="004D4A45" w:rsidP="00D60142">
      <w:r w:rsidRPr="00991725">
        <w:rPr>
          <w:rFonts w:ascii="Times New Roman" w:hAnsi="Times New Roman" w:cs="Times New Roman"/>
        </w:rPr>
        <w:t>Similarly, w</w:t>
      </w:r>
      <w:r w:rsidR="007649EF" w:rsidRPr="00991725">
        <w:rPr>
          <w:rFonts w:ascii="Times New Roman" w:hAnsi="Times New Roman" w:cs="Times New Roman"/>
        </w:rPr>
        <w:t xml:space="preserve">ith regard to the prevalence of </w:t>
      </w:r>
      <w:r w:rsidR="000D705C" w:rsidRPr="00991725">
        <w:rPr>
          <w:rFonts w:ascii="Times New Roman" w:hAnsi="Times New Roman" w:cs="Times New Roman"/>
        </w:rPr>
        <w:t xml:space="preserve">congenital </w:t>
      </w:r>
      <w:r w:rsidR="007649EF" w:rsidRPr="00991725">
        <w:rPr>
          <w:rFonts w:ascii="Times New Roman" w:hAnsi="Times New Roman" w:cs="Times New Roman"/>
        </w:rPr>
        <w:t xml:space="preserve">heart defects </w:t>
      </w:r>
      <w:r w:rsidR="00674A75" w:rsidRPr="00991725">
        <w:rPr>
          <w:rFonts w:ascii="Times New Roman" w:hAnsi="Times New Roman" w:cs="Times New Roman"/>
        </w:rPr>
        <w:t>in</w:t>
      </w:r>
      <w:r w:rsidR="00382D25" w:rsidRPr="00991725">
        <w:rPr>
          <w:rFonts w:ascii="Times New Roman" w:hAnsi="Times New Roman" w:cs="Times New Roman"/>
        </w:rPr>
        <w:t xml:space="preserve"> </w:t>
      </w:r>
      <w:r w:rsidR="00674A75" w:rsidRPr="00991725">
        <w:rPr>
          <w:rFonts w:ascii="Times New Roman" w:hAnsi="Times New Roman" w:cs="Times New Roman"/>
        </w:rPr>
        <w:t>CT 3732</w:t>
      </w:r>
      <w:r w:rsidR="007649EF" w:rsidRPr="00991725">
        <w:rPr>
          <w:rFonts w:ascii="Times New Roman" w:hAnsi="Times New Roman" w:cs="Times New Roman"/>
        </w:rPr>
        <w:t>, i</w:t>
      </w:r>
      <w:r w:rsidR="00674A75" w:rsidRPr="00991725">
        <w:rPr>
          <w:rFonts w:ascii="Times New Roman" w:hAnsi="Times New Roman" w:cs="Times New Roman"/>
        </w:rPr>
        <w:t xml:space="preserve">t is important to note that </w:t>
      </w:r>
      <w:r w:rsidRPr="00991725">
        <w:rPr>
          <w:rFonts w:ascii="Times New Roman" w:hAnsi="Times New Roman" w:cs="Times New Roman"/>
        </w:rPr>
        <w:t xml:space="preserve">census tract of </w:t>
      </w:r>
      <w:r w:rsidR="005C5558" w:rsidRPr="00991725">
        <w:rPr>
          <w:rFonts w:ascii="Times New Roman" w:hAnsi="Times New Roman" w:cs="Times New Roman"/>
        </w:rPr>
        <w:t xml:space="preserve">mother’s </w:t>
      </w:r>
      <w:r w:rsidRPr="00991725">
        <w:rPr>
          <w:rFonts w:ascii="Times New Roman" w:hAnsi="Times New Roman" w:cs="Times New Roman"/>
        </w:rPr>
        <w:t xml:space="preserve">residence at the time of </w:t>
      </w:r>
      <w:r w:rsidR="005C5558" w:rsidRPr="00991725">
        <w:rPr>
          <w:rFonts w:ascii="Times New Roman" w:hAnsi="Times New Roman" w:cs="Times New Roman"/>
        </w:rPr>
        <w:t>birth</w:t>
      </w:r>
      <w:r w:rsidRPr="00991725">
        <w:rPr>
          <w:rFonts w:ascii="Times New Roman" w:hAnsi="Times New Roman" w:cs="Times New Roman"/>
        </w:rPr>
        <w:t xml:space="preserve"> is a relatively poor proxy for exposure to TCE since the mother may have moved during pregnancy and/or the indoor air within the home may or may not have been contaminated. </w:t>
      </w:r>
    </w:p>
    <w:p w:rsidR="000456A1" w:rsidRDefault="00BA6C8C" w:rsidP="00290F74">
      <w:pPr>
        <w:pStyle w:val="Heading1"/>
        <w:spacing w:after="200" w:line="276" w:lineRule="auto"/>
      </w:pPr>
      <w:r w:rsidRPr="00C36DAC">
        <w:t>CONCLUSIONS</w:t>
      </w:r>
    </w:p>
    <w:p w:rsidR="00557281" w:rsidRPr="00991725" w:rsidRDefault="00A84B96" w:rsidP="00290F74">
      <w:pPr>
        <w:pStyle w:val="NoSpacing"/>
        <w:spacing w:after="200" w:line="276" w:lineRule="auto"/>
        <w:rPr>
          <w:rFonts w:ascii="Times New Roman" w:hAnsi="Times New Roman" w:cs="Times New Roman"/>
        </w:rPr>
      </w:pPr>
      <w:r w:rsidRPr="00991725">
        <w:rPr>
          <w:rFonts w:ascii="Times New Roman" w:hAnsi="Times New Roman" w:cs="Times New Roman"/>
        </w:rPr>
        <w:t xml:space="preserve">The incidence of </w:t>
      </w:r>
      <w:r w:rsidR="00557281" w:rsidRPr="00991725">
        <w:rPr>
          <w:rFonts w:ascii="Times New Roman" w:hAnsi="Times New Roman" w:cs="Times New Roman"/>
        </w:rPr>
        <w:t>kidney and renal pelvis cancer, liver and IBD cancer</w:t>
      </w:r>
      <w:r w:rsidR="00830582" w:rsidRPr="00991725">
        <w:rPr>
          <w:rFonts w:ascii="Times New Roman" w:hAnsi="Times New Roman" w:cs="Times New Roman"/>
        </w:rPr>
        <w:t xml:space="preserve">, and NHL in CT 3732 </w:t>
      </w:r>
      <w:r w:rsidR="00AF74CD" w:rsidRPr="00991725">
        <w:rPr>
          <w:rFonts w:ascii="Times New Roman" w:hAnsi="Times New Roman" w:cs="Times New Roman"/>
        </w:rPr>
        <w:t>during the 10</w:t>
      </w:r>
      <w:r w:rsidRPr="00991725">
        <w:rPr>
          <w:rFonts w:ascii="Times New Roman" w:hAnsi="Times New Roman" w:cs="Times New Roman"/>
        </w:rPr>
        <w:t>-year time periods of 1984-1993, 1994-2003, and 2004-</w:t>
      </w:r>
      <w:r w:rsidR="00153D96">
        <w:rPr>
          <w:rFonts w:ascii="Times New Roman" w:hAnsi="Times New Roman" w:cs="Times New Roman"/>
        </w:rPr>
        <w:t>2</w:t>
      </w:r>
      <w:r w:rsidRPr="00991725">
        <w:rPr>
          <w:rFonts w:ascii="Times New Roman" w:hAnsi="Times New Roman" w:cs="Times New Roman"/>
        </w:rPr>
        <w:t xml:space="preserve">013 </w:t>
      </w:r>
      <w:r w:rsidR="00830582" w:rsidRPr="00991725">
        <w:rPr>
          <w:rFonts w:ascii="Times New Roman" w:hAnsi="Times New Roman" w:cs="Times New Roman"/>
        </w:rPr>
        <w:t xml:space="preserve">was either less than or as expected </w:t>
      </w:r>
      <w:r w:rsidRPr="00991725">
        <w:rPr>
          <w:rFonts w:ascii="Times New Roman" w:hAnsi="Times New Roman" w:cs="Times New Roman"/>
        </w:rPr>
        <w:t xml:space="preserve">based on the statewide experience </w:t>
      </w:r>
      <w:r w:rsidR="00830582" w:rsidRPr="00991725">
        <w:rPr>
          <w:rFonts w:ascii="Times New Roman" w:hAnsi="Times New Roman" w:cs="Times New Roman"/>
        </w:rPr>
        <w:t>e</w:t>
      </w:r>
      <w:r w:rsidR="00871B39" w:rsidRPr="00991725">
        <w:rPr>
          <w:rFonts w:ascii="Times New Roman" w:hAnsi="Times New Roman" w:cs="Times New Roman"/>
        </w:rPr>
        <w:t xml:space="preserve">xcept </w:t>
      </w:r>
      <w:r w:rsidR="00557281" w:rsidRPr="00991725">
        <w:rPr>
          <w:rFonts w:ascii="Times New Roman" w:hAnsi="Times New Roman" w:cs="Times New Roman"/>
        </w:rPr>
        <w:t xml:space="preserve">for </w:t>
      </w:r>
      <w:r w:rsidR="00830582" w:rsidRPr="00991725">
        <w:rPr>
          <w:rFonts w:ascii="Times New Roman" w:hAnsi="Times New Roman" w:cs="Times New Roman"/>
        </w:rPr>
        <w:t xml:space="preserve">the following </w:t>
      </w:r>
      <w:r w:rsidR="00557281" w:rsidRPr="00991725">
        <w:rPr>
          <w:rFonts w:ascii="Times New Roman" w:hAnsi="Times New Roman" w:cs="Times New Roman"/>
        </w:rPr>
        <w:t xml:space="preserve">elevations, two of which were statistically significant: </w:t>
      </w:r>
    </w:p>
    <w:p w:rsidR="00557281" w:rsidRPr="00991725" w:rsidRDefault="00557281" w:rsidP="00290F74">
      <w:pPr>
        <w:pStyle w:val="NoSpacing"/>
        <w:numPr>
          <w:ilvl w:val="0"/>
          <w:numId w:val="7"/>
        </w:numPr>
        <w:spacing w:after="200" w:line="276" w:lineRule="auto"/>
        <w:rPr>
          <w:rFonts w:ascii="Times New Roman" w:hAnsi="Times New Roman" w:cs="Times New Roman"/>
        </w:rPr>
      </w:pPr>
      <w:r w:rsidRPr="00991725">
        <w:rPr>
          <w:rFonts w:ascii="Times New Roman" w:hAnsi="Times New Roman" w:cs="Times New Roman"/>
        </w:rPr>
        <w:t>K</w:t>
      </w:r>
      <w:r w:rsidR="000456A1" w:rsidRPr="00991725">
        <w:rPr>
          <w:rFonts w:ascii="Times New Roman" w:hAnsi="Times New Roman" w:cs="Times New Roman"/>
        </w:rPr>
        <w:t>idney and renal pelvis</w:t>
      </w:r>
      <w:r w:rsidR="008F4EBF" w:rsidRPr="00991725">
        <w:rPr>
          <w:rFonts w:ascii="Times New Roman" w:hAnsi="Times New Roman" w:cs="Times New Roman"/>
        </w:rPr>
        <w:t xml:space="preserve"> cancer was </w:t>
      </w:r>
      <w:r w:rsidRPr="00991725">
        <w:rPr>
          <w:rFonts w:ascii="Times New Roman" w:hAnsi="Times New Roman" w:cs="Times New Roman"/>
        </w:rPr>
        <w:t xml:space="preserve">statistically significantly elevated </w:t>
      </w:r>
      <w:r w:rsidR="008F4EBF" w:rsidRPr="00991725">
        <w:rPr>
          <w:rFonts w:ascii="Times New Roman" w:hAnsi="Times New Roman" w:cs="Times New Roman"/>
        </w:rPr>
        <w:t xml:space="preserve">among males </w:t>
      </w:r>
      <w:r w:rsidRPr="00991725">
        <w:rPr>
          <w:rFonts w:ascii="Times New Roman" w:hAnsi="Times New Roman" w:cs="Times New Roman"/>
        </w:rPr>
        <w:t xml:space="preserve">during 1994-2003 </w:t>
      </w:r>
      <w:r w:rsidR="008F4EBF" w:rsidRPr="00991725">
        <w:rPr>
          <w:rFonts w:ascii="Times New Roman" w:hAnsi="Times New Roman" w:cs="Times New Roman"/>
        </w:rPr>
        <w:t xml:space="preserve">with </w:t>
      </w:r>
      <w:r w:rsidR="000456A1" w:rsidRPr="00991725">
        <w:rPr>
          <w:rFonts w:ascii="Times New Roman" w:hAnsi="Times New Roman" w:cs="Times New Roman"/>
        </w:rPr>
        <w:t xml:space="preserve">10 </w:t>
      </w:r>
      <w:r w:rsidR="008F4EBF" w:rsidRPr="00991725">
        <w:rPr>
          <w:rFonts w:ascii="Times New Roman" w:hAnsi="Times New Roman" w:cs="Times New Roman"/>
        </w:rPr>
        <w:t xml:space="preserve">observed </w:t>
      </w:r>
      <w:r w:rsidRPr="00991725">
        <w:rPr>
          <w:rFonts w:ascii="Times New Roman" w:hAnsi="Times New Roman" w:cs="Times New Roman"/>
        </w:rPr>
        <w:t xml:space="preserve">diagnoses </w:t>
      </w:r>
      <w:r w:rsidR="008F4EBF" w:rsidRPr="00991725">
        <w:rPr>
          <w:rFonts w:ascii="Times New Roman" w:hAnsi="Times New Roman" w:cs="Times New Roman"/>
        </w:rPr>
        <w:t xml:space="preserve">compared to </w:t>
      </w:r>
      <w:r w:rsidRPr="00991725">
        <w:rPr>
          <w:rFonts w:ascii="Times New Roman" w:hAnsi="Times New Roman" w:cs="Times New Roman"/>
        </w:rPr>
        <w:t>4</w:t>
      </w:r>
      <w:r w:rsidR="008F4EBF" w:rsidRPr="00991725">
        <w:rPr>
          <w:rFonts w:ascii="Times New Roman" w:hAnsi="Times New Roman" w:cs="Times New Roman"/>
        </w:rPr>
        <w:t xml:space="preserve"> </w:t>
      </w:r>
      <w:r w:rsidRPr="00991725">
        <w:rPr>
          <w:rFonts w:ascii="Times New Roman" w:hAnsi="Times New Roman" w:cs="Times New Roman"/>
        </w:rPr>
        <w:t xml:space="preserve">that would be </w:t>
      </w:r>
      <w:r w:rsidR="008F4EBF" w:rsidRPr="00991725">
        <w:rPr>
          <w:rFonts w:ascii="Times New Roman" w:hAnsi="Times New Roman" w:cs="Times New Roman"/>
        </w:rPr>
        <w:t>expected.</w:t>
      </w:r>
      <w:r w:rsidR="009E4246" w:rsidRPr="00991725">
        <w:rPr>
          <w:rFonts w:ascii="Times New Roman" w:hAnsi="Times New Roman" w:cs="Times New Roman"/>
        </w:rPr>
        <w:t xml:space="preserve"> </w:t>
      </w:r>
    </w:p>
    <w:p w:rsidR="00557281" w:rsidRPr="00991725" w:rsidRDefault="00557281" w:rsidP="00290F74">
      <w:pPr>
        <w:pStyle w:val="NoSpacing"/>
        <w:numPr>
          <w:ilvl w:val="0"/>
          <w:numId w:val="7"/>
        </w:numPr>
        <w:spacing w:after="200" w:line="276" w:lineRule="auto"/>
        <w:rPr>
          <w:rFonts w:ascii="Times New Roman" w:hAnsi="Times New Roman" w:cs="Times New Roman"/>
        </w:rPr>
      </w:pPr>
      <w:r w:rsidRPr="00991725">
        <w:rPr>
          <w:rFonts w:ascii="Times New Roman" w:hAnsi="Times New Roman" w:cs="Times New Roman"/>
        </w:rPr>
        <w:t xml:space="preserve">Kidney and renal pelvis cancer was elevated (but not statistically significant) among males during 2004-2013 with 8 observed diagnoses compared to 5 that would be expected. </w:t>
      </w:r>
    </w:p>
    <w:p w:rsidR="00557281" w:rsidRPr="00991725" w:rsidRDefault="00557281" w:rsidP="00290F74">
      <w:pPr>
        <w:pStyle w:val="NoSpacing"/>
        <w:numPr>
          <w:ilvl w:val="0"/>
          <w:numId w:val="7"/>
        </w:numPr>
        <w:spacing w:after="200" w:line="276" w:lineRule="auto"/>
        <w:rPr>
          <w:rFonts w:ascii="Times New Roman" w:hAnsi="Times New Roman" w:cs="Times New Roman"/>
        </w:rPr>
      </w:pPr>
      <w:r w:rsidRPr="00991725">
        <w:rPr>
          <w:rFonts w:ascii="Times New Roman" w:hAnsi="Times New Roman" w:cs="Times New Roman"/>
        </w:rPr>
        <w:t xml:space="preserve">NHL was statistically significantly elevated among females during 1994-2003 with 11 observed diagnoses compared to 5 that would be expected. </w:t>
      </w:r>
    </w:p>
    <w:p w:rsidR="00997617" w:rsidRPr="00991725" w:rsidRDefault="006A2410" w:rsidP="00290F74">
      <w:pPr>
        <w:pStyle w:val="NoSpacing"/>
        <w:spacing w:after="200" w:line="276" w:lineRule="auto"/>
        <w:rPr>
          <w:rFonts w:ascii="Times New Roman" w:hAnsi="Times New Roman" w:cs="Times New Roman"/>
        </w:rPr>
      </w:pPr>
      <w:r w:rsidRPr="00991725">
        <w:rPr>
          <w:rFonts w:ascii="Times New Roman" w:hAnsi="Times New Roman" w:cs="Times New Roman"/>
        </w:rPr>
        <w:t xml:space="preserve">Statistical significance does not necessarily imply public health significance. Determination of statistical significance is just one tool used to interpret SIRs. </w:t>
      </w:r>
      <w:r w:rsidR="002337F2" w:rsidRPr="00991725">
        <w:rPr>
          <w:rFonts w:ascii="Times New Roman" w:hAnsi="Times New Roman" w:cs="Times New Roman"/>
        </w:rPr>
        <w:t>Closer examination of risk factor information for each of these three elevations as well as the spatial and temporal distributions did not reveal any unusual patterns or suggest that a common environmental factor played a primary role in these cancer diagnoses. It is possible</w:t>
      </w:r>
      <w:r w:rsidR="00557281" w:rsidRPr="00991725">
        <w:rPr>
          <w:rFonts w:ascii="Times New Roman" w:hAnsi="Times New Roman" w:cs="Times New Roman"/>
        </w:rPr>
        <w:t xml:space="preserve"> that t</w:t>
      </w:r>
      <w:r w:rsidR="009E4246" w:rsidRPr="00991725">
        <w:rPr>
          <w:rFonts w:ascii="Times New Roman" w:hAnsi="Times New Roman" w:cs="Times New Roman"/>
        </w:rPr>
        <w:t xml:space="preserve">obacco </w:t>
      </w:r>
      <w:r w:rsidR="00557281" w:rsidRPr="00991725">
        <w:rPr>
          <w:rFonts w:ascii="Times New Roman" w:hAnsi="Times New Roman" w:cs="Times New Roman"/>
        </w:rPr>
        <w:t xml:space="preserve">use </w:t>
      </w:r>
      <w:r w:rsidR="009E4246" w:rsidRPr="00991725">
        <w:rPr>
          <w:rFonts w:ascii="Times New Roman" w:hAnsi="Times New Roman" w:cs="Times New Roman"/>
        </w:rPr>
        <w:t xml:space="preserve">may have </w:t>
      </w:r>
      <w:r w:rsidR="00557281" w:rsidRPr="00991725">
        <w:rPr>
          <w:rFonts w:ascii="Times New Roman" w:hAnsi="Times New Roman" w:cs="Times New Roman"/>
        </w:rPr>
        <w:t xml:space="preserve">been a </w:t>
      </w:r>
      <w:r w:rsidR="009E4246" w:rsidRPr="00991725">
        <w:rPr>
          <w:rFonts w:ascii="Times New Roman" w:hAnsi="Times New Roman" w:cs="Times New Roman"/>
        </w:rPr>
        <w:t>contribut</w:t>
      </w:r>
      <w:r w:rsidR="00557281" w:rsidRPr="00991725">
        <w:rPr>
          <w:rFonts w:ascii="Times New Roman" w:hAnsi="Times New Roman" w:cs="Times New Roman"/>
        </w:rPr>
        <w:t>ing factor for some of the males diagnosed with kidney and renal pelvis cancer</w:t>
      </w:r>
      <w:r w:rsidR="00B846CA" w:rsidRPr="00991725">
        <w:rPr>
          <w:rFonts w:ascii="Times New Roman" w:hAnsi="Times New Roman" w:cs="Times New Roman"/>
        </w:rPr>
        <w:t xml:space="preserve"> during the time periods for which it was elevated</w:t>
      </w:r>
      <w:r w:rsidR="00557281" w:rsidRPr="00991725">
        <w:rPr>
          <w:rFonts w:ascii="Times New Roman" w:hAnsi="Times New Roman" w:cs="Times New Roman"/>
        </w:rPr>
        <w:t>.</w:t>
      </w:r>
      <w:r w:rsidR="009E4246" w:rsidRPr="00991725">
        <w:rPr>
          <w:rFonts w:ascii="Times New Roman" w:hAnsi="Times New Roman" w:cs="Times New Roman"/>
        </w:rPr>
        <w:t xml:space="preserve"> </w:t>
      </w:r>
      <w:r w:rsidR="00557281" w:rsidRPr="00991725">
        <w:rPr>
          <w:rFonts w:ascii="Times New Roman" w:hAnsi="Times New Roman" w:cs="Times New Roman"/>
        </w:rPr>
        <w:t xml:space="preserve">Similarly, treatment for a previous cancer diagnosis may have been a contributing factor for some of the females </w:t>
      </w:r>
      <w:r w:rsidR="00B846CA" w:rsidRPr="00991725">
        <w:rPr>
          <w:rFonts w:ascii="Times New Roman" w:hAnsi="Times New Roman" w:cs="Times New Roman"/>
        </w:rPr>
        <w:t xml:space="preserve">diagnosed with NHL during 1994-2003. </w:t>
      </w:r>
    </w:p>
    <w:p w:rsidR="00B846CA" w:rsidRPr="00991725" w:rsidRDefault="00216A38" w:rsidP="00290F74">
      <w:pPr>
        <w:pStyle w:val="NoSpacing"/>
        <w:spacing w:after="200" w:line="276" w:lineRule="auto"/>
        <w:rPr>
          <w:rFonts w:ascii="Times New Roman" w:hAnsi="Times New Roman" w:cs="Times New Roman"/>
        </w:rPr>
      </w:pPr>
      <w:r w:rsidRPr="00991725">
        <w:rPr>
          <w:rFonts w:ascii="Times New Roman" w:hAnsi="Times New Roman" w:cs="Times New Roman"/>
        </w:rPr>
        <w:t xml:space="preserve">It is important to note that </w:t>
      </w:r>
      <w:r w:rsidR="00F93D30" w:rsidRPr="00991725">
        <w:rPr>
          <w:rFonts w:ascii="Times New Roman" w:hAnsi="Times New Roman" w:cs="Times New Roman"/>
        </w:rPr>
        <w:t>the majority</w:t>
      </w:r>
      <w:r w:rsidRPr="00991725">
        <w:rPr>
          <w:rFonts w:ascii="Times New Roman" w:hAnsi="Times New Roman" w:cs="Times New Roman"/>
        </w:rPr>
        <w:t xml:space="preserve"> of the diagnoses </w:t>
      </w:r>
      <w:r w:rsidR="00997617" w:rsidRPr="00991725">
        <w:rPr>
          <w:rFonts w:ascii="Times New Roman" w:hAnsi="Times New Roman" w:cs="Times New Roman"/>
        </w:rPr>
        <w:t xml:space="preserve">of these three cancer types </w:t>
      </w:r>
      <w:r w:rsidRPr="00991725">
        <w:rPr>
          <w:rFonts w:ascii="Times New Roman" w:hAnsi="Times New Roman" w:cs="Times New Roman"/>
        </w:rPr>
        <w:t>that occurred in CT 3732 during 1984-201</w:t>
      </w:r>
      <w:r w:rsidR="001906AD" w:rsidRPr="00991725">
        <w:rPr>
          <w:rFonts w:ascii="Times New Roman" w:hAnsi="Times New Roman" w:cs="Times New Roman"/>
        </w:rPr>
        <w:t>5</w:t>
      </w:r>
      <w:r w:rsidRPr="00991725">
        <w:rPr>
          <w:rFonts w:ascii="Times New Roman" w:hAnsi="Times New Roman" w:cs="Times New Roman"/>
        </w:rPr>
        <w:t xml:space="preserve"> were among individuals living </w:t>
      </w:r>
      <w:r w:rsidR="000903B0" w:rsidRPr="00991725">
        <w:rPr>
          <w:rFonts w:ascii="Times New Roman" w:hAnsi="Times New Roman" w:cs="Times New Roman"/>
        </w:rPr>
        <w:t xml:space="preserve">outside </w:t>
      </w:r>
      <w:r w:rsidRPr="00991725">
        <w:rPr>
          <w:rFonts w:ascii="Times New Roman" w:hAnsi="Times New Roman" w:cs="Times New Roman"/>
        </w:rPr>
        <w:t>the MassDEP study area</w:t>
      </w:r>
      <w:r w:rsidR="00F93D30" w:rsidRPr="00991725">
        <w:rPr>
          <w:rFonts w:ascii="Times New Roman" w:hAnsi="Times New Roman" w:cs="Times New Roman"/>
        </w:rPr>
        <w:t>.</w:t>
      </w:r>
      <w:r w:rsidRPr="00991725">
        <w:rPr>
          <w:rFonts w:ascii="Times New Roman" w:hAnsi="Times New Roman" w:cs="Times New Roman"/>
        </w:rPr>
        <w:t xml:space="preserve"> </w:t>
      </w:r>
      <w:r w:rsidR="00F93D30" w:rsidRPr="00991725">
        <w:rPr>
          <w:rFonts w:ascii="Times New Roman" w:hAnsi="Times New Roman" w:cs="Times New Roman"/>
        </w:rPr>
        <w:t>O</w:t>
      </w:r>
      <w:r w:rsidRPr="00991725">
        <w:rPr>
          <w:rFonts w:ascii="Times New Roman" w:hAnsi="Times New Roman" w:cs="Times New Roman"/>
        </w:rPr>
        <w:t xml:space="preserve">f those </w:t>
      </w:r>
      <w:r w:rsidR="00866A55" w:rsidRPr="00991725">
        <w:rPr>
          <w:rFonts w:ascii="Times New Roman" w:hAnsi="Times New Roman" w:cs="Times New Roman"/>
        </w:rPr>
        <w:t>who</w:t>
      </w:r>
      <w:r w:rsidRPr="00991725">
        <w:rPr>
          <w:rFonts w:ascii="Times New Roman" w:hAnsi="Times New Roman" w:cs="Times New Roman"/>
        </w:rPr>
        <w:t xml:space="preserve"> were</w:t>
      </w:r>
      <w:r w:rsidR="00F93D30" w:rsidRPr="00991725">
        <w:rPr>
          <w:rFonts w:ascii="Times New Roman" w:hAnsi="Times New Roman" w:cs="Times New Roman"/>
        </w:rPr>
        <w:t xml:space="preserve"> within the MassDEP study area</w:t>
      </w:r>
      <w:r w:rsidRPr="00991725">
        <w:rPr>
          <w:rFonts w:ascii="Times New Roman" w:hAnsi="Times New Roman" w:cs="Times New Roman"/>
        </w:rPr>
        <w:t xml:space="preserve">, </w:t>
      </w:r>
      <w:r w:rsidR="008C5BEB" w:rsidRPr="00991725">
        <w:rPr>
          <w:rFonts w:ascii="Times New Roman" w:hAnsi="Times New Roman" w:cs="Times New Roman"/>
        </w:rPr>
        <w:t>about 1/3</w:t>
      </w:r>
      <w:r w:rsidR="008C5BEB" w:rsidRPr="00991725">
        <w:rPr>
          <w:rFonts w:ascii="Times New Roman" w:hAnsi="Times New Roman" w:cs="Times New Roman"/>
          <w:vertAlign w:val="superscript"/>
        </w:rPr>
        <w:t>rd</w:t>
      </w:r>
      <w:r w:rsidR="008C5BEB" w:rsidRPr="00991725">
        <w:rPr>
          <w:rFonts w:ascii="Times New Roman" w:hAnsi="Times New Roman" w:cs="Times New Roman"/>
        </w:rPr>
        <w:t xml:space="preserve"> </w:t>
      </w:r>
      <w:r w:rsidRPr="00991725">
        <w:rPr>
          <w:rFonts w:ascii="Times New Roman" w:hAnsi="Times New Roman" w:cs="Times New Roman"/>
        </w:rPr>
        <w:t xml:space="preserve">were at residences located within areas </w:t>
      </w:r>
      <w:r w:rsidR="00997617" w:rsidRPr="00991725">
        <w:rPr>
          <w:rFonts w:ascii="Times New Roman" w:hAnsi="Times New Roman" w:cs="Times New Roman"/>
        </w:rPr>
        <w:t>of</w:t>
      </w:r>
      <w:r w:rsidRPr="00991725">
        <w:rPr>
          <w:rFonts w:ascii="Times New Roman" w:hAnsi="Times New Roman" w:cs="Times New Roman"/>
        </w:rPr>
        <w:t xml:space="preserve"> elevated </w:t>
      </w:r>
      <w:r w:rsidR="00997617" w:rsidRPr="00991725">
        <w:rPr>
          <w:rFonts w:ascii="Times New Roman" w:hAnsi="Times New Roman" w:cs="Times New Roman"/>
        </w:rPr>
        <w:t xml:space="preserve">TCE </w:t>
      </w:r>
      <w:r w:rsidRPr="00991725">
        <w:rPr>
          <w:rFonts w:ascii="Times New Roman" w:hAnsi="Times New Roman" w:cs="Times New Roman"/>
        </w:rPr>
        <w:t>levels in groundwater as measured since 2014</w:t>
      </w:r>
      <w:r w:rsidR="003F0DE4">
        <w:rPr>
          <w:rFonts w:ascii="Times New Roman" w:hAnsi="Times New Roman" w:cs="Times New Roman"/>
        </w:rPr>
        <w:t xml:space="preserve"> and n</w:t>
      </w:r>
      <w:r w:rsidR="000903B0" w:rsidRPr="00991725">
        <w:rPr>
          <w:rFonts w:ascii="Times New Roman" w:hAnsi="Times New Roman" w:cs="Times New Roman"/>
        </w:rPr>
        <w:t xml:space="preserve">one were living at residences where TCE in indoor air was found above threshold levels. </w:t>
      </w:r>
    </w:p>
    <w:p w:rsidR="004D4A45" w:rsidRPr="00991725" w:rsidRDefault="007D62E2" w:rsidP="004D4A45">
      <w:pPr>
        <w:rPr>
          <w:rFonts w:ascii="Times New Roman" w:hAnsi="Times New Roman" w:cs="Times New Roman"/>
        </w:rPr>
      </w:pPr>
      <w:r w:rsidRPr="00991725">
        <w:rPr>
          <w:rFonts w:ascii="Times New Roman" w:hAnsi="Times New Roman" w:cs="Times New Roman"/>
        </w:rPr>
        <w:t xml:space="preserve">Fewer than 6 cases of </w:t>
      </w:r>
      <w:r w:rsidR="00D75892" w:rsidRPr="00991725">
        <w:rPr>
          <w:rFonts w:ascii="Times New Roman" w:hAnsi="Times New Roman" w:cs="Times New Roman"/>
        </w:rPr>
        <w:t xml:space="preserve">congenital </w:t>
      </w:r>
      <w:r w:rsidRPr="00991725">
        <w:rPr>
          <w:rFonts w:ascii="Times New Roman" w:hAnsi="Times New Roman" w:cs="Times New Roman"/>
        </w:rPr>
        <w:t xml:space="preserve">heart </w:t>
      </w:r>
      <w:r w:rsidR="00C621B9" w:rsidRPr="00991725">
        <w:rPr>
          <w:rFonts w:ascii="Times New Roman" w:hAnsi="Times New Roman" w:cs="Times New Roman"/>
        </w:rPr>
        <w:t>defects</w:t>
      </w:r>
      <w:r w:rsidRPr="00991725">
        <w:rPr>
          <w:rFonts w:ascii="Times New Roman" w:hAnsi="Times New Roman" w:cs="Times New Roman"/>
        </w:rPr>
        <w:t xml:space="preserve"> were identified in CT 3732 during 2000-2014</w:t>
      </w:r>
      <w:r w:rsidR="00780EE8" w:rsidRPr="00991725">
        <w:rPr>
          <w:rFonts w:ascii="Times New Roman" w:hAnsi="Times New Roman" w:cs="Times New Roman"/>
        </w:rPr>
        <w:t xml:space="preserve"> and provisional data for 2015 and 2016 did not reveal any</w:t>
      </w:r>
      <w:r w:rsidR="00F8127D" w:rsidRPr="00991725">
        <w:rPr>
          <w:rFonts w:ascii="Times New Roman" w:hAnsi="Times New Roman" w:cs="Times New Roman"/>
        </w:rPr>
        <w:t xml:space="preserve"> </w:t>
      </w:r>
      <w:r w:rsidR="00820F01" w:rsidRPr="00991725">
        <w:rPr>
          <w:rFonts w:ascii="Times New Roman" w:hAnsi="Times New Roman" w:cs="Times New Roman"/>
        </w:rPr>
        <w:t xml:space="preserve">congenial </w:t>
      </w:r>
      <w:r w:rsidR="00F8127D" w:rsidRPr="00991725">
        <w:rPr>
          <w:rFonts w:ascii="Times New Roman" w:hAnsi="Times New Roman" w:cs="Times New Roman"/>
        </w:rPr>
        <w:t>heart defects</w:t>
      </w:r>
      <w:r w:rsidR="002F3502" w:rsidRPr="00991725">
        <w:rPr>
          <w:rFonts w:ascii="Times New Roman" w:hAnsi="Times New Roman" w:cs="Times New Roman"/>
        </w:rPr>
        <w:t xml:space="preserve">. </w:t>
      </w:r>
      <w:r w:rsidR="00A04011" w:rsidRPr="00991725">
        <w:rPr>
          <w:rFonts w:ascii="Times New Roman" w:hAnsi="Times New Roman" w:cs="Times New Roman"/>
        </w:rPr>
        <w:t>T</w:t>
      </w:r>
      <w:r w:rsidR="002F3502" w:rsidRPr="00991725">
        <w:rPr>
          <w:rFonts w:ascii="Times New Roman" w:hAnsi="Times New Roman" w:cs="Times New Roman"/>
        </w:rPr>
        <w:t xml:space="preserve">o protect patient privacy, the exact count was suppressed and the </w:t>
      </w:r>
      <w:r w:rsidRPr="00991725">
        <w:rPr>
          <w:rFonts w:ascii="Times New Roman" w:hAnsi="Times New Roman" w:cs="Times New Roman"/>
        </w:rPr>
        <w:t xml:space="preserve">prevalence </w:t>
      </w:r>
      <w:r w:rsidR="008F40B3" w:rsidRPr="00991725">
        <w:rPr>
          <w:rFonts w:ascii="Times New Roman" w:hAnsi="Times New Roman" w:cs="Times New Roman"/>
        </w:rPr>
        <w:t xml:space="preserve">rate </w:t>
      </w:r>
      <w:r w:rsidR="002F3502" w:rsidRPr="00991725">
        <w:rPr>
          <w:rFonts w:ascii="Times New Roman" w:hAnsi="Times New Roman" w:cs="Times New Roman"/>
        </w:rPr>
        <w:t>was not calculated.</w:t>
      </w:r>
      <w:r w:rsidRPr="00991725">
        <w:rPr>
          <w:rFonts w:ascii="Times New Roman" w:hAnsi="Times New Roman" w:cs="Times New Roman"/>
        </w:rPr>
        <w:t xml:space="preserve"> </w:t>
      </w:r>
      <w:r w:rsidR="00385847" w:rsidRPr="00991725">
        <w:rPr>
          <w:rFonts w:ascii="Times New Roman" w:hAnsi="Times New Roman" w:cs="Times New Roman"/>
        </w:rPr>
        <w:t xml:space="preserve">It is important to note that no cases occurred within the MassDEP study area. </w:t>
      </w:r>
    </w:p>
    <w:p w:rsidR="00156EB7" w:rsidRPr="00991725" w:rsidRDefault="006E5F0A" w:rsidP="00290F74">
      <w:pPr>
        <w:pStyle w:val="NoSpacing"/>
        <w:spacing w:after="200" w:line="276" w:lineRule="auto"/>
        <w:rPr>
          <w:rFonts w:ascii="Times New Roman" w:hAnsi="Times New Roman" w:cs="Times New Roman"/>
          <w:highlight w:val="yellow"/>
        </w:rPr>
      </w:pPr>
      <w:r w:rsidRPr="00991725">
        <w:rPr>
          <w:rFonts w:ascii="Times New Roman" w:hAnsi="Times New Roman" w:cs="Times New Roman"/>
        </w:rPr>
        <w:t xml:space="preserve">Based on the findings of this screening-level review of </w:t>
      </w:r>
      <w:r w:rsidR="006600C8" w:rsidRPr="00991725">
        <w:rPr>
          <w:rFonts w:ascii="Times New Roman" w:hAnsi="Times New Roman" w:cs="Times New Roman"/>
        </w:rPr>
        <w:t xml:space="preserve">selected </w:t>
      </w:r>
      <w:r w:rsidRPr="00991725">
        <w:rPr>
          <w:rFonts w:ascii="Times New Roman" w:hAnsi="Times New Roman" w:cs="Times New Roman"/>
        </w:rPr>
        <w:t>cancer incidence</w:t>
      </w:r>
      <w:r w:rsidR="00AC4704" w:rsidRPr="00991725">
        <w:rPr>
          <w:rFonts w:ascii="Times New Roman" w:hAnsi="Times New Roman" w:cs="Times New Roman"/>
        </w:rPr>
        <w:t xml:space="preserve"> data</w:t>
      </w:r>
      <w:r w:rsidRPr="00991725">
        <w:rPr>
          <w:rFonts w:ascii="Times New Roman" w:hAnsi="Times New Roman" w:cs="Times New Roman"/>
        </w:rPr>
        <w:t xml:space="preserve"> and </w:t>
      </w:r>
      <w:r w:rsidR="00797AD6" w:rsidRPr="00991725">
        <w:rPr>
          <w:rFonts w:ascii="Times New Roman" w:hAnsi="Times New Roman" w:cs="Times New Roman"/>
        </w:rPr>
        <w:t xml:space="preserve">congenital </w:t>
      </w:r>
      <w:r w:rsidR="00B51FB5" w:rsidRPr="00991725">
        <w:rPr>
          <w:rFonts w:ascii="Times New Roman" w:hAnsi="Times New Roman" w:cs="Times New Roman"/>
        </w:rPr>
        <w:t xml:space="preserve">heart </w:t>
      </w:r>
      <w:r w:rsidRPr="00991725">
        <w:rPr>
          <w:rFonts w:ascii="Times New Roman" w:hAnsi="Times New Roman" w:cs="Times New Roman"/>
        </w:rPr>
        <w:t xml:space="preserve">defect prevalence data, </w:t>
      </w:r>
      <w:r w:rsidR="00630289" w:rsidRPr="00991725">
        <w:rPr>
          <w:rFonts w:ascii="Times New Roman" w:hAnsi="Times New Roman" w:cs="Times New Roman"/>
        </w:rPr>
        <w:t xml:space="preserve">MDPH recommends no further </w:t>
      </w:r>
      <w:r w:rsidR="002D7CD7" w:rsidRPr="00991725">
        <w:rPr>
          <w:rFonts w:ascii="Times New Roman" w:hAnsi="Times New Roman" w:cs="Times New Roman"/>
        </w:rPr>
        <w:t>evaluation of health information</w:t>
      </w:r>
      <w:r w:rsidR="00630289" w:rsidRPr="00991725">
        <w:rPr>
          <w:rFonts w:ascii="Times New Roman" w:hAnsi="Times New Roman" w:cs="Times New Roman"/>
        </w:rPr>
        <w:t>.</w:t>
      </w:r>
    </w:p>
    <w:p w:rsidR="005B4D56" w:rsidRPr="00C36DAC" w:rsidRDefault="005B4D56" w:rsidP="00290F74">
      <w:pPr>
        <w:pStyle w:val="Heading1"/>
        <w:spacing w:after="200" w:line="276" w:lineRule="auto"/>
      </w:pPr>
      <w:r>
        <w:t>DATA SOURCES AND METHOD NOTES</w:t>
      </w:r>
    </w:p>
    <w:p w:rsidR="005B4D56" w:rsidRPr="00290F74" w:rsidRDefault="005B4D56" w:rsidP="005B4D56">
      <w:pPr>
        <w:spacing w:line="240" w:lineRule="auto"/>
        <w:contextualSpacing/>
        <w:rPr>
          <w:rFonts w:ascii="Times New Roman" w:hAnsi="Times New Roman" w:cs="Times New Roman"/>
          <w:b/>
          <w:sz w:val="20"/>
          <w:szCs w:val="20"/>
        </w:rPr>
      </w:pPr>
      <w:r w:rsidRPr="00290F74">
        <w:rPr>
          <w:rFonts w:ascii="Times New Roman" w:hAnsi="Times New Roman" w:cs="Times New Roman"/>
          <w:b/>
          <w:sz w:val="20"/>
          <w:szCs w:val="20"/>
        </w:rPr>
        <w:t>Data Source</w:t>
      </w:r>
      <w:r w:rsidR="006835D5">
        <w:rPr>
          <w:rFonts w:ascii="Times New Roman" w:hAnsi="Times New Roman" w:cs="Times New Roman"/>
          <w:b/>
          <w:sz w:val="20"/>
          <w:szCs w:val="20"/>
        </w:rPr>
        <w:t>s</w:t>
      </w:r>
      <w:r w:rsidRPr="00290F74">
        <w:rPr>
          <w:rFonts w:ascii="Times New Roman" w:hAnsi="Times New Roman" w:cs="Times New Roman"/>
          <w:b/>
          <w:sz w:val="20"/>
          <w:szCs w:val="20"/>
        </w:rPr>
        <w:t xml:space="preserve">: </w:t>
      </w:r>
    </w:p>
    <w:p w:rsidR="005B4D56" w:rsidRPr="00290F74" w:rsidRDefault="005B4D56" w:rsidP="005B4D56">
      <w:pPr>
        <w:spacing w:line="240" w:lineRule="auto"/>
        <w:ind w:firstLine="720"/>
        <w:contextualSpacing/>
        <w:rPr>
          <w:rFonts w:ascii="Times New Roman" w:hAnsi="Times New Roman" w:cs="Times New Roman"/>
          <w:sz w:val="20"/>
          <w:szCs w:val="20"/>
        </w:rPr>
      </w:pPr>
      <w:proofErr w:type="gramStart"/>
      <w:r w:rsidRPr="00290F74">
        <w:rPr>
          <w:rFonts w:ascii="Times New Roman" w:hAnsi="Times New Roman" w:cs="Times New Roman"/>
          <w:sz w:val="20"/>
          <w:szCs w:val="20"/>
        </w:rPr>
        <w:t>Massachusetts Cancer Registry, Office of Data Management and Outcomes Assessment, MDPH.</w:t>
      </w:r>
      <w:proofErr w:type="gramEnd"/>
    </w:p>
    <w:p w:rsidR="005B4D56" w:rsidRPr="00290F74" w:rsidRDefault="00934A25" w:rsidP="00934A25">
      <w:pPr>
        <w:spacing w:line="240" w:lineRule="auto"/>
        <w:ind w:firstLine="720"/>
        <w:contextualSpacing/>
        <w:rPr>
          <w:rFonts w:ascii="Times New Roman" w:hAnsi="Times New Roman" w:cs="Times New Roman"/>
          <w:sz w:val="20"/>
          <w:szCs w:val="20"/>
        </w:rPr>
      </w:pPr>
      <w:proofErr w:type="gramStart"/>
      <w:r w:rsidRPr="00290F74">
        <w:rPr>
          <w:rFonts w:ascii="Times New Roman" w:hAnsi="Times New Roman" w:cs="Times New Roman"/>
          <w:sz w:val="20"/>
          <w:szCs w:val="20"/>
        </w:rPr>
        <w:t xml:space="preserve">Massachusetts Center for Birth Defects Research and Prevention, </w:t>
      </w:r>
      <w:r w:rsidR="00BE260C">
        <w:rPr>
          <w:rFonts w:ascii="Times New Roman" w:hAnsi="Times New Roman" w:cs="Times New Roman"/>
          <w:sz w:val="20"/>
          <w:szCs w:val="20"/>
        </w:rPr>
        <w:t xml:space="preserve">Bureau of Family Health and Nutrition, </w:t>
      </w:r>
      <w:r w:rsidRPr="00290F74">
        <w:rPr>
          <w:rFonts w:ascii="Times New Roman" w:hAnsi="Times New Roman" w:cs="Times New Roman"/>
          <w:sz w:val="20"/>
          <w:szCs w:val="20"/>
        </w:rPr>
        <w:t>MDPH.</w:t>
      </w:r>
      <w:proofErr w:type="gramEnd"/>
    </w:p>
    <w:p w:rsidR="00087FE9" w:rsidRPr="00290F74" w:rsidRDefault="00087FE9" w:rsidP="005B4D56">
      <w:pPr>
        <w:spacing w:line="240" w:lineRule="auto"/>
        <w:contextualSpacing/>
        <w:rPr>
          <w:rFonts w:ascii="Times New Roman" w:hAnsi="Times New Roman" w:cs="Times New Roman"/>
          <w:b/>
          <w:sz w:val="20"/>
          <w:szCs w:val="20"/>
        </w:rPr>
      </w:pPr>
    </w:p>
    <w:p w:rsidR="005B4D56" w:rsidRPr="00290F74" w:rsidRDefault="005B4D56" w:rsidP="005B4D56">
      <w:pPr>
        <w:spacing w:line="240" w:lineRule="auto"/>
        <w:contextualSpacing/>
        <w:rPr>
          <w:rFonts w:ascii="Times New Roman" w:hAnsi="Times New Roman" w:cs="Times New Roman"/>
          <w:b/>
          <w:sz w:val="20"/>
          <w:szCs w:val="20"/>
        </w:rPr>
      </w:pPr>
      <w:r w:rsidRPr="00290F74">
        <w:rPr>
          <w:rFonts w:ascii="Times New Roman" w:hAnsi="Times New Roman" w:cs="Times New Roman"/>
          <w:b/>
          <w:sz w:val="20"/>
          <w:szCs w:val="20"/>
        </w:rPr>
        <w:t>Method Notes</w:t>
      </w:r>
      <w:r w:rsidR="00087FE9" w:rsidRPr="00290F74">
        <w:rPr>
          <w:rFonts w:ascii="Times New Roman" w:hAnsi="Times New Roman" w:cs="Times New Roman"/>
          <w:b/>
          <w:sz w:val="20"/>
          <w:szCs w:val="20"/>
        </w:rPr>
        <w:t xml:space="preserve"> for Cancer Incidence</w:t>
      </w:r>
      <w:r w:rsidRPr="00290F74">
        <w:rPr>
          <w:rFonts w:ascii="Times New Roman" w:hAnsi="Times New Roman" w:cs="Times New Roman"/>
          <w:b/>
          <w:sz w:val="20"/>
          <w:szCs w:val="20"/>
        </w:rPr>
        <w:t>:</w:t>
      </w:r>
    </w:p>
    <w:p w:rsidR="00A77154" w:rsidRPr="00290F74" w:rsidRDefault="005B4D56" w:rsidP="00A77154">
      <w:pPr>
        <w:spacing w:line="240" w:lineRule="auto"/>
        <w:ind w:left="1080" w:hanging="360"/>
        <w:contextualSpacing/>
        <w:rPr>
          <w:rFonts w:ascii="Times New Roman" w:hAnsi="Times New Roman" w:cs="Times New Roman"/>
          <w:sz w:val="20"/>
          <w:szCs w:val="20"/>
        </w:rPr>
      </w:pPr>
      <w:r w:rsidRPr="00290F74">
        <w:rPr>
          <w:rFonts w:ascii="Times New Roman" w:hAnsi="Times New Roman" w:cs="Times New Roman"/>
          <w:sz w:val="20"/>
          <w:szCs w:val="20"/>
        </w:rPr>
        <w:t xml:space="preserve">All new diagnoses of invasive cancer, as well as certain in situ (localized) cancers, are required by law to be reported to the MCR within six months of the date of diagnosis (M.G.L. c.111. s 111b). </w:t>
      </w:r>
    </w:p>
    <w:p w:rsidR="00A77154" w:rsidRPr="00290F74" w:rsidRDefault="005B4D56" w:rsidP="00A77154">
      <w:pPr>
        <w:spacing w:line="240" w:lineRule="auto"/>
        <w:ind w:left="1080" w:hanging="360"/>
        <w:contextualSpacing/>
        <w:rPr>
          <w:rFonts w:ascii="Times New Roman" w:hAnsi="Times New Roman" w:cs="Times New Roman"/>
          <w:sz w:val="20"/>
          <w:szCs w:val="20"/>
        </w:rPr>
      </w:pPr>
      <w:r w:rsidRPr="00290F74">
        <w:rPr>
          <w:rFonts w:ascii="Times New Roman" w:hAnsi="Times New Roman" w:cs="Times New Roman"/>
          <w:sz w:val="20"/>
          <w:szCs w:val="20"/>
        </w:rPr>
        <w:t xml:space="preserve">Individuals diagnosed with cancer </w:t>
      </w:r>
      <w:r w:rsidR="00CA7403">
        <w:rPr>
          <w:rFonts w:ascii="Times New Roman" w:hAnsi="Times New Roman" w:cs="Times New Roman"/>
          <w:sz w:val="20"/>
          <w:szCs w:val="20"/>
        </w:rPr>
        <w:t>we</w:t>
      </w:r>
      <w:r w:rsidRPr="00290F74">
        <w:rPr>
          <w:rFonts w:ascii="Times New Roman" w:hAnsi="Times New Roman" w:cs="Times New Roman"/>
          <w:sz w:val="20"/>
          <w:szCs w:val="20"/>
        </w:rPr>
        <w:t>re selected for inclusion based on the residential address provided to the hospital or reporting medical facility at the time of diagnosis.</w:t>
      </w:r>
    </w:p>
    <w:p w:rsidR="002903FC" w:rsidRPr="00290F74" w:rsidRDefault="0008181A" w:rsidP="00A77154">
      <w:pPr>
        <w:spacing w:line="240" w:lineRule="auto"/>
        <w:ind w:left="1080" w:hanging="360"/>
        <w:contextualSpacing/>
        <w:rPr>
          <w:rFonts w:ascii="Times New Roman" w:hAnsi="Times New Roman" w:cs="Times New Roman"/>
          <w:sz w:val="20"/>
          <w:szCs w:val="20"/>
        </w:rPr>
      </w:pPr>
      <w:r w:rsidRPr="00290F74">
        <w:rPr>
          <w:rFonts w:ascii="Times New Roman" w:hAnsi="Times New Roman" w:cs="Times New Roman"/>
          <w:sz w:val="20"/>
          <w:szCs w:val="20"/>
        </w:rPr>
        <w:t>The year 2013</w:t>
      </w:r>
      <w:r w:rsidR="002903FC" w:rsidRPr="00290F74">
        <w:rPr>
          <w:rFonts w:ascii="Times New Roman" w:hAnsi="Times New Roman" w:cs="Times New Roman"/>
          <w:sz w:val="20"/>
          <w:szCs w:val="20"/>
        </w:rPr>
        <w:t xml:space="preserve"> </w:t>
      </w:r>
      <w:r w:rsidR="00CA7403">
        <w:rPr>
          <w:rFonts w:ascii="Times New Roman" w:hAnsi="Times New Roman" w:cs="Times New Roman"/>
          <w:sz w:val="20"/>
          <w:szCs w:val="20"/>
        </w:rPr>
        <w:t>was</w:t>
      </w:r>
      <w:r w:rsidRPr="00290F74">
        <w:rPr>
          <w:rFonts w:ascii="Times New Roman" w:hAnsi="Times New Roman" w:cs="Times New Roman"/>
          <w:sz w:val="20"/>
          <w:szCs w:val="20"/>
        </w:rPr>
        <w:t xml:space="preserve"> the most recent year for which complete cancer incidence </w:t>
      </w:r>
      <w:r w:rsidR="00087FE9" w:rsidRPr="00290F74">
        <w:rPr>
          <w:rFonts w:ascii="Times New Roman" w:hAnsi="Times New Roman" w:cs="Times New Roman"/>
          <w:sz w:val="20"/>
          <w:szCs w:val="20"/>
        </w:rPr>
        <w:t xml:space="preserve">data </w:t>
      </w:r>
      <w:r w:rsidRPr="00290F74">
        <w:rPr>
          <w:rFonts w:ascii="Times New Roman" w:hAnsi="Times New Roman" w:cs="Times New Roman"/>
          <w:sz w:val="20"/>
          <w:szCs w:val="20"/>
        </w:rPr>
        <w:t>were available at the initiation of this analysis.</w:t>
      </w:r>
    </w:p>
    <w:p w:rsidR="00D45E40" w:rsidRPr="00290F74" w:rsidRDefault="00CA7403" w:rsidP="00290F74">
      <w:pPr>
        <w:spacing w:after="0" w:line="240" w:lineRule="auto"/>
        <w:ind w:left="1080" w:hanging="360"/>
        <w:contextualSpacing/>
        <w:rPr>
          <w:rFonts w:ascii="Times New Roman" w:hAnsi="Times New Roman" w:cs="Times New Roman"/>
          <w:sz w:val="20"/>
          <w:szCs w:val="20"/>
        </w:rPr>
      </w:pPr>
      <w:r>
        <w:rPr>
          <w:rFonts w:ascii="Times New Roman" w:eastAsia="Times New Roman" w:hAnsi="Times New Roman" w:cs="Times New Roman"/>
          <w:sz w:val="20"/>
          <w:szCs w:val="20"/>
        </w:rPr>
        <w:t>An</w:t>
      </w:r>
      <w:r w:rsidR="00D45E40" w:rsidRPr="00290F74">
        <w:rPr>
          <w:rFonts w:ascii="Times New Roman" w:eastAsia="Times New Roman" w:hAnsi="Times New Roman" w:cs="Times New Roman"/>
          <w:sz w:val="20"/>
          <w:szCs w:val="20"/>
        </w:rPr>
        <w:t xml:space="preserve"> SIR is the ratio of the observed number of cancer diagnoses in an area to the expected number of dia</w:t>
      </w:r>
      <w:r w:rsidR="001138CB" w:rsidRPr="00290F74">
        <w:rPr>
          <w:rFonts w:ascii="Times New Roman" w:eastAsia="Times New Roman" w:hAnsi="Times New Roman" w:cs="Times New Roman"/>
          <w:sz w:val="20"/>
          <w:szCs w:val="20"/>
        </w:rPr>
        <w:t>gnoses</w:t>
      </w:r>
      <w:r w:rsidR="00D45E40" w:rsidRPr="00290F74">
        <w:rPr>
          <w:rFonts w:ascii="Times New Roman" w:eastAsia="Times New Roman" w:hAnsi="Times New Roman" w:cs="Times New Roman"/>
          <w:sz w:val="20"/>
          <w:szCs w:val="20"/>
        </w:rPr>
        <w:t>, multiplied by 100.</w:t>
      </w:r>
      <w:r w:rsidR="002903FC" w:rsidRPr="00290F74">
        <w:rPr>
          <w:rFonts w:ascii="Times New Roman" w:eastAsia="Times New Roman" w:hAnsi="Times New Roman" w:cs="Times New Roman"/>
          <w:sz w:val="20"/>
          <w:szCs w:val="20"/>
        </w:rPr>
        <w:t xml:space="preserve"> </w:t>
      </w:r>
      <w:r w:rsidR="0008181A" w:rsidRPr="00290F74">
        <w:rPr>
          <w:rFonts w:ascii="Times New Roman" w:hAnsi="Times New Roman" w:cs="Times New Roman"/>
          <w:sz w:val="20"/>
          <w:szCs w:val="20"/>
        </w:rPr>
        <w:t>Age-specific statewide incidence rates were applied to the population distribution of CT 3732 to calculate the number of expected cancer diagnoses.</w:t>
      </w:r>
    </w:p>
    <w:p w:rsidR="0008181A" w:rsidRPr="00290F74" w:rsidRDefault="0014033B" w:rsidP="00A77154">
      <w:pPr>
        <w:spacing w:line="240" w:lineRule="auto"/>
        <w:ind w:left="1080" w:hanging="360"/>
        <w:contextualSpacing/>
        <w:rPr>
          <w:rFonts w:ascii="Times New Roman" w:hAnsi="Times New Roman" w:cs="Times New Roman"/>
          <w:sz w:val="20"/>
          <w:szCs w:val="20"/>
        </w:rPr>
      </w:pPr>
      <w:r w:rsidRPr="00290F74">
        <w:rPr>
          <w:rFonts w:ascii="Times New Roman" w:hAnsi="Times New Roman" w:cs="Times New Roman"/>
          <w:sz w:val="20"/>
          <w:szCs w:val="20"/>
        </w:rPr>
        <w:t>It is standard MCR policy not to calculate rates with fewer than five observed diagnoses due to instability.</w:t>
      </w:r>
    </w:p>
    <w:p w:rsidR="005B4D56" w:rsidRPr="00290F74" w:rsidRDefault="002903FC" w:rsidP="002903FC">
      <w:pPr>
        <w:spacing w:after="0" w:line="240" w:lineRule="auto"/>
        <w:ind w:left="1080" w:hanging="360"/>
        <w:contextualSpacing/>
        <w:rPr>
          <w:rFonts w:ascii="Times New Roman" w:eastAsia="Times New Roman" w:hAnsi="Times New Roman" w:cs="Times New Roman"/>
          <w:sz w:val="20"/>
          <w:szCs w:val="20"/>
        </w:rPr>
      </w:pPr>
      <w:bookmarkStart w:id="5" w:name="_Toc344382815"/>
      <w:bookmarkStart w:id="6" w:name="_Toc344382862"/>
      <w:bookmarkStart w:id="7" w:name="_Toc344383041"/>
      <w:bookmarkStart w:id="8" w:name="_Toc344383065"/>
      <w:bookmarkStart w:id="9" w:name="_Toc344383101"/>
      <w:bookmarkStart w:id="10" w:name="_Toc344383226"/>
      <w:bookmarkEnd w:id="5"/>
      <w:bookmarkEnd w:id="6"/>
      <w:bookmarkEnd w:id="7"/>
      <w:bookmarkEnd w:id="8"/>
      <w:bookmarkEnd w:id="9"/>
      <w:bookmarkEnd w:id="10"/>
      <w:r w:rsidRPr="00290F74">
        <w:rPr>
          <w:rFonts w:ascii="Times New Roman" w:eastAsia="Times New Roman" w:hAnsi="Times New Roman" w:cs="Times New Roman"/>
          <w:sz w:val="20"/>
          <w:szCs w:val="20"/>
        </w:rPr>
        <w:t xml:space="preserve">The </w:t>
      </w:r>
      <w:r w:rsidR="005B4D56" w:rsidRPr="00290F74">
        <w:rPr>
          <w:rFonts w:ascii="Times New Roman" w:eastAsia="Times New Roman" w:hAnsi="Times New Roman" w:cs="Times New Roman"/>
          <w:sz w:val="20"/>
          <w:szCs w:val="20"/>
        </w:rPr>
        <w:t xml:space="preserve">statistical significance of an SIR is assessed by calculating a 95% confidence </w:t>
      </w:r>
      <w:r w:rsidRPr="00290F74">
        <w:rPr>
          <w:rFonts w:ascii="Times New Roman" w:eastAsia="Times New Roman" w:hAnsi="Times New Roman" w:cs="Times New Roman"/>
          <w:sz w:val="20"/>
          <w:szCs w:val="20"/>
        </w:rPr>
        <w:t>interval (</w:t>
      </w:r>
      <w:r w:rsidR="005B4D56" w:rsidRPr="00290F74">
        <w:rPr>
          <w:rFonts w:ascii="Times New Roman" w:eastAsia="Times New Roman" w:hAnsi="Times New Roman" w:cs="Times New Roman"/>
          <w:sz w:val="20"/>
          <w:szCs w:val="20"/>
        </w:rPr>
        <w:t xml:space="preserve">CI) to determine if the observed number of diagnoses is “statistically significantly different” from the expected number or if the difference may be due solely to chance. </w:t>
      </w:r>
      <w:r w:rsidR="005B4D56" w:rsidRPr="00290F74">
        <w:rPr>
          <w:rFonts w:ascii="Times New Roman" w:hAnsi="Times New Roman" w:cs="Times New Roman"/>
          <w:sz w:val="20"/>
          <w:szCs w:val="20"/>
        </w:rPr>
        <w:t xml:space="preserve">If the 95% CI range does not include the value 100, then the study population is significantly different from the comparison or “normal” population. </w:t>
      </w:r>
      <w:r w:rsidR="005B4D56" w:rsidRPr="00290F74">
        <w:rPr>
          <w:rFonts w:ascii="Times New Roman" w:eastAsia="Times New Roman" w:hAnsi="Times New Roman" w:cs="Times New Roman"/>
          <w:sz w:val="20"/>
          <w:szCs w:val="20"/>
        </w:rPr>
        <w:t>“Significantly different” means there is less than</w:t>
      </w:r>
      <w:r w:rsidR="00CA7403">
        <w:rPr>
          <w:rFonts w:ascii="Times New Roman" w:eastAsia="Times New Roman" w:hAnsi="Times New Roman" w:cs="Times New Roman"/>
          <w:sz w:val="20"/>
          <w:szCs w:val="20"/>
        </w:rPr>
        <w:t xml:space="preserve"> a</w:t>
      </w:r>
      <w:r w:rsidR="005B4D56" w:rsidRPr="00290F74">
        <w:rPr>
          <w:rFonts w:ascii="Times New Roman" w:eastAsia="Times New Roman" w:hAnsi="Times New Roman" w:cs="Times New Roman"/>
          <w:sz w:val="20"/>
          <w:szCs w:val="20"/>
        </w:rPr>
        <w:t xml:space="preserve"> 5% percent chance that the observed difference (either increase or decrease) is the result of random fluctuation in the number of observed cancer diagnoses. </w:t>
      </w:r>
    </w:p>
    <w:p w:rsidR="00087FE9" w:rsidRPr="00290F74" w:rsidRDefault="00087FE9" w:rsidP="002903FC">
      <w:pPr>
        <w:spacing w:after="0" w:line="240" w:lineRule="auto"/>
        <w:ind w:left="1080" w:hanging="360"/>
        <w:contextualSpacing/>
        <w:rPr>
          <w:rFonts w:ascii="Times New Roman" w:eastAsia="Times New Roman" w:hAnsi="Times New Roman" w:cs="Times New Roman"/>
          <w:sz w:val="20"/>
          <w:szCs w:val="20"/>
        </w:rPr>
      </w:pPr>
      <w:r w:rsidRPr="00290F74">
        <w:rPr>
          <w:rFonts w:ascii="Times New Roman" w:hAnsi="Times New Roman" w:cs="Times New Roman"/>
          <w:sz w:val="20"/>
          <w:szCs w:val="20"/>
        </w:rPr>
        <w:t xml:space="preserve">The MDPH is bound by state and federal patient privacy and research laws not to make public the names or any information (e.g., place of residence) that could personally identify individuals with cancer whose diagnoses have been reported to the MCR (M.G.L. c.111. s. 24A).  </w:t>
      </w:r>
    </w:p>
    <w:p w:rsidR="00087FE9" w:rsidRPr="00290F74" w:rsidRDefault="00087FE9" w:rsidP="00087FE9">
      <w:pPr>
        <w:spacing w:line="240" w:lineRule="auto"/>
        <w:contextualSpacing/>
        <w:rPr>
          <w:rFonts w:ascii="Times New Roman" w:hAnsi="Times New Roman" w:cs="Times New Roman"/>
          <w:b/>
          <w:sz w:val="20"/>
          <w:szCs w:val="20"/>
        </w:rPr>
      </w:pPr>
    </w:p>
    <w:p w:rsidR="00087FE9" w:rsidRPr="00290F74" w:rsidRDefault="00087FE9" w:rsidP="00087FE9">
      <w:pPr>
        <w:spacing w:line="240" w:lineRule="auto"/>
        <w:contextualSpacing/>
        <w:rPr>
          <w:rFonts w:ascii="Times New Roman" w:hAnsi="Times New Roman" w:cs="Times New Roman"/>
          <w:b/>
          <w:sz w:val="20"/>
          <w:szCs w:val="20"/>
        </w:rPr>
      </w:pPr>
      <w:r w:rsidRPr="00290F74">
        <w:rPr>
          <w:rFonts w:ascii="Times New Roman" w:hAnsi="Times New Roman" w:cs="Times New Roman"/>
          <w:b/>
          <w:sz w:val="20"/>
          <w:szCs w:val="20"/>
        </w:rPr>
        <w:t xml:space="preserve">Method Notes for </w:t>
      </w:r>
      <w:r w:rsidR="007D1C74">
        <w:rPr>
          <w:rFonts w:ascii="Times New Roman" w:hAnsi="Times New Roman" w:cs="Times New Roman"/>
          <w:b/>
          <w:sz w:val="20"/>
          <w:szCs w:val="20"/>
        </w:rPr>
        <w:t>Congenital Heart</w:t>
      </w:r>
      <w:r w:rsidR="007D1C74" w:rsidRPr="00290F74">
        <w:rPr>
          <w:rFonts w:ascii="Times New Roman" w:hAnsi="Times New Roman" w:cs="Times New Roman"/>
          <w:b/>
          <w:sz w:val="20"/>
          <w:szCs w:val="20"/>
        </w:rPr>
        <w:t xml:space="preserve"> </w:t>
      </w:r>
      <w:r w:rsidRPr="00290F74">
        <w:rPr>
          <w:rFonts w:ascii="Times New Roman" w:hAnsi="Times New Roman" w:cs="Times New Roman"/>
          <w:b/>
          <w:sz w:val="20"/>
          <w:szCs w:val="20"/>
        </w:rPr>
        <w:t>Defects Prevalence:</w:t>
      </w:r>
    </w:p>
    <w:p w:rsidR="00087FE9" w:rsidRPr="00290F74" w:rsidRDefault="00087FE9" w:rsidP="00087FE9">
      <w:pPr>
        <w:spacing w:line="240" w:lineRule="auto"/>
        <w:ind w:left="1080" w:hanging="360"/>
        <w:contextualSpacing/>
        <w:rPr>
          <w:rFonts w:ascii="Times New Roman" w:hAnsi="Times New Roman" w:cs="Times New Roman"/>
          <w:sz w:val="20"/>
          <w:szCs w:val="20"/>
        </w:rPr>
      </w:pPr>
      <w:r w:rsidRPr="00290F74">
        <w:rPr>
          <w:rFonts w:ascii="Times New Roman" w:hAnsi="Times New Roman" w:cs="Times New Roman"/>
          <w:sz w:val="20"/>
          <w:szCs w:val="20"/>
        </w:rPr>
        <w:t xml:space="preserve">All birth defect diagnoses are required by law to be reported to the Massachusetts Birth Defects Monitoring Program (MBDMP) within 30 days of </w:t>
      </w:r>
      <w:r w:rsidR="005C5558" w:rsidRPr="00290F74">
        <w:rPr>
          <w:rFonts w:ascii="Times New Roman" w:hAnsi="Times New Roman" w:cs="Times New Roman"/>
          <w:sz w:val="20"/>
          <w:szCs w:val="20"/>
        </w:rPr>
        <w:t xml:space="preserve">the date of </w:t>
      </w:r>
      <w:r w:rsidRPr="00290F74">
        <w:rPr>
          <w:rFonts w:ascii="Times New Roman" w:hAnsi="Times New Roman" w:cs="Times New Roman"/>
          <w:sz w:val="20"/>
          <w:szCs w:val="20"/>
        </w:rPr>
        <w:t>diagnosis (M.G.L. c.111.s67E).</w:t>
      </w:r>
    </w:p>
    <w:p w:rsidR="005C5558" w:rsidRDefault="006B28EA" w:rsidP="00290F74">
      <w:pPr>
        <w:spacing w:after="0" w:line="240" w:lineRule="auto"/>
        <w:ind w:left="1080" w:hanging="360"/>
        <w:contextualSpacing/>
        <w:rPr>
          <w:rFonts w:ascii="Times New Roman" w:hAnsi="Times New Roman" w:cs="Times New Roman"/>
          <w:sz w:val="20"/>
          <w:szCs w:val="20"/>
        </w:rPr>
      </w:pPr>
      <w:r>
        <w:rPr>
          <w:rFonts w:ascii="Times New Roman" w:hAnsi="Times New Roman" w:cs="Times New Roman"/>
          <w:sz w:val="20"/>
          <w:szCs w:val="20"/>
        </w:rPr>
        <w:t>B</w:t>
      </w:r>
      <w:r w:rsidRPr="006B28EA">
        <w:rPr>
          <w:rFonts w:ascii="Times New Roman" w:hAnsi="Times New Roman" w:cs="Times New Roman"/>
          <w:sz w:val="20"/>
          <w:szCs w:val="20"/>
        </w:rPr>
        <w:t xml:space="preserve">irth defect data </w:t>
      </w:r>
      <w:r>
        <w:rPr>
          <w:rFonts w:ascii="Times New Roman" w:hAnsi="Times New Roman" w:cs="Times New Roman"/>
          <w:sz w:val="20"/>
          <w:szCs w:val="20"/>
        </w:rPr>
        <w:t xml:space="preserve">are collected </w:t>
      </w:r>
      <w:r w:rsidRPr="006B28EA">
        <w:rPr>
          <w:rFonts w:ascii="Times New Roman" w:hAnsi="Times New Roman" w:cs="Times New Roman"/>
          <w:sz w:val="20"/>
          <w:szCs w:val="20"/>
        </w:rPr>
        <w:t xml:space="preserve">when all of the following criteria are met: the infant was live born or the fetus was stillborn with a gestational age greater than or equal to 20 weeks or with a weight of at least 350 grams; the infant or fetus had a birth defect that met diagnostic criteria; the diagnosis was made before the infant reached one year of age; and the infant’s mother had a permanent address in Massachusetts at the time of delivery. </w:t>
      </w:r>
    </w:p>
    <w:p w:rsidR="00087FE9" w:rsidRPr="00290F74" w:rsidRDefault="00087FE9" w:rsidP="00290F74">
      <w:pPr>
        <w:spacing w:after="0" w:line="240" w:lineRule="auto"/>
        <w:ind w:left="1080" w:hanging="360"/>
        <w:contextualSpacing/>
        <w:rPr>
          <w:rFonts w:ascii="Times New Roman" w:hAnsi="Times New Roman" w:cs="Times New Roman"/>
          <w:sz w:val="20"/>
          <w:szCs w:val="20"/>
        </w:rPr>
      </w:pPr>
      <w:r w:rsidRPr="00290F74">
        <w:rPr>
          <w:rFonts w:ascii="Times New Roman" w:hAnsi="Times New Roman" w:cs="Times New Roman"/>
          <w:sz w:val="20"/>
          <w:szCs w:val="20"/>
        </w:rPr>
        <w:t xml:space="preserve">The </w:t>
      </w:r>
      <w:r w:rsidR="00BB534A">
        <w:rPr>
          <w:rFonts w:ascii="Times New Roman" w:hAnsi="Times New Roman" w:cs="Times New Roman"/>
          <w:sz w:val="20"/>
          <w:szCs w:val="20"/>
        </w:rPr>
        <w:t>time period</w:t>
      </w:r>
      <w:r w:rsidR="00BB534A" w:rsidRPr="00290F74">
        <w:rPr>
          <w:rFonts w:ascii="Times New Roman" w:hAnsi="Times New Roman" w:cs="Times New Roman"/>
          <w:sz w:val="20"/>
          <w:szCs w:val="20"/>
        </w:rPr>
        <w:t xml:space="preserve"> </w:t>
      </w:r>
      <w:r w:rsidR="00BB534A">
        <w:rPr>
          <w:rFonts w:ascii="Times New Roman" w:hAnsi="Times New Roman" w:cs="Times New Roman"/>
          <w:sz w:val="20"/>
          <w:szCs w:val="20"/>
        </w:rPr>
        <w:t>2000-</w:t>
      </w:r>
      <w:r w:rsidRPr="00290F74">
        <w:rPr>
          <w:rFonts w:ascii="Times New Roman" w:hAnsi="Times New Roman" w:cs="Times New Roman"/>
          <w:sz w:val="20"/>
          <w:szCs w:val="20"/>
        </w:rPr>
        <w:t xml:space="preserve">2014 </w:t>
      </w:r>
      <w:r w:rsidR="00BB534A">
        <w:rPr>
          <w:rFonts w:ascii="Times New Roman" w:hAnsi="Times New Roman" w:cs="Times New Roman"/>
          <w:sz w:val="20"/>
          <w:szCs w:val="20"/>
        </w:rPr>
        <w:t>constitutes</w:t>
      </w:r>
      <w:r w:rsidR="00BB534A" w:rsidRPr="00290F74">
        <w:rPr>
          <w:rFonts w:ascii="Times New Roman" w:hAnsi="Times New Roman" w:cs="Times New Roman"/>
          <w:sz w:val="20"/>
          <w:szCs w:val="20"/>
        </w:rPr>
        <w:t xml:space="preserve"> </w:t>
      </w:r>
      <w:r w:rsidRPr="00290F74">
        <w:rPr>
          <w:rFonts w:ascii="Times New Roman" w:hAnsi="Times New Roman" w:cs="Times New Roman"/>
          <w:sz w:val="20"/>
          <w:szCs w:val="20"/>
        </w:rPr>
        <w:t xml:space="preserve">the </w:t>
      </w:r>
      <w:r w:rsidR="00BB534A">
        <w:rPr>
          <w:rFonts w:ascii="Times New Roman" w:hAnsi="Times New Roman" w:cs="Times New Roman"/>
          <w:sz w:val="20"/>
          <w:szCs w:val="20"/>
        </w:rPr>
        <w:t xml:space="preserve">period for which the </w:t>
      </w:r>
      <w:r w:rsidRPr="00290F74">
        <w:rPr>
          <w:rFonts w:ascii="Times New Roman" w:hAnsi="Times New Roman" w:cs="Times New Roman"/>
          <w:sz w:val="20"/>
          <w:szCs w:val="20"/>
        </w:rPr>
        <w:t xml:space="preserve">most recent </w:t>
      </w:r>
      <w:r w:rsidR="00BB534A">
        <w:rPr>
          <w:rFonts w:ascii="Times New Roman" w:hAnsi="Times New Roman" w:cs="Times New Roman"/>
          <w:sz w:val="20"/>
          <w:szCs w:val="20"/>
        </w:rPr>
        <w:t xml:space="preserve">and </w:t>
      </w:r>
      <w:r w:rsidRPr="00290F74">
        <w:rPr>
          <w:rFonts w:ascii="Times New Roman" w:hAnsi="Times New Roman" w:cs="Times New Roman"/>
          <w:sz w:val="20"/>
          <w:szCs w:val="20"/>
        </w:rPr>
        <w:t>complete birth defects prevalence data were available at the initiation of this analysis.</w:t>
      </w:r>
      <w:r w:rsidR="00E31161" w:rsidRPr="00290F74">
        <w:rPr>
          <w:rFonts w:ascii="Times New Roman" w:hAnsi="Times New Roman" w:cs="Times New Roman"/>
          <w:sz w:val="20"/>
          <w:szCs w:val="20"/>
        </w:rPr>
        <w:t xml:space="preserve"> </w:t>
      </w:r>
      <w:r w:rsidR="000F78DC" w:rsidRPr="000F78DC">
        <w:rPr>
          <w:rFonts w:ascii="Times New Roman" w:hAnsi="Times New Roman" w:cs="Times New Roman"/>
          <w:sz w:val="20"/>
          <w:szCs w:val="20"/>
        </w:rPr>
        <w:t>Birth defects prevalence data for the years 2015 and 2016 are provisional and subject to revision.</w:t>
      </w:r>
    </w:p>
    <w:p w:rsidR="00087FE9" w:rsidRDefault="00087FE9" w:rsidP="00290F74">
      <w:pPr>
        <w:spacing w:after="0" w:line="240" w:lineRule="auto"/>
        <w:ind w:left="1080" w:hanging="360"/>
        <w:contextualSpacing/>
        <w:rPr>
          <w:rFonts w:ascii="Times New Roman" w:hAnsi="Times New Roman" w:cs="Times New Roman"/>
          <w:sz w:val="20"/>
          <w:szCs w:val="20"/>
        </w:rPr>
      </w:pPr>
      <w:r w:rsidRPr="00290F74">
        <w:rPr>
          <w:rFonts w:ascii="Times New Roman" w:hAnsi="Times New Roman" w:cs="Times New Roman"/>
          <w:sz w:val="20"/>
          <w:szCs w:val="20"/>
        </w:rPr>
        <w:t>C</w:t>
      </w:r>
      <w:r w:rsidR="005B4D56" w:rsidRPr="00290F74">
        <w:rPr>
          <w:rFonts w:ascii="Times New Roman" w:hAnsi="Times New Roman" w:cs="Times New Roman"/>
          <w:sz w:val="20"/>
          <w:szCs w:val="20"/>
        </w:rPr>
        <w:t xml:space="preserve">ensus tract of residence at the time of delivery were obtained from vital records data (i.e., birth and fetal death certificates). </w:t>
      </w:r>
    </w:p>
    <w:p w:rsidR="00DB7EB7" w:rsidRDefault="00DB7EB7" w:rsidP="00290F74">
      <w:pPr>
        <w:spacing w:after="0" w:line="240" w:lineRule="auto"/>
        <w:ind w:left="1080" w:hanging="360"/>
        <w:contextualSpacing/>
        <w:rPr>
          <w:rFonts w:ascii="Times New Roman" w:hAnsi="Times New Roman" w:cs="Times New Roman"/>
          <w:sz w:val="20"/>
          <w:szCs w:val="20"/>
        </w:rPr>
      </w:pPr>
      <w:r>
        <w:rPr>
          <w:rFonts w:ascii="Times New Roman" w:hAnsi="Times New Roman" w:cs="Times New Roman"/>
          <w:sz w:val="20"/>
          <w:szCs w:val="20"/>
        </w:rPr>
        <w:t xml:space="preserve">For the purposes of this evaluation, </w:t>
      </w:r>
      <w:r w:rsidR="007D1C74">
        <w:rPr>
          <w:rFonts w:ascii="Times New Roman" w:hAnsi="Times New Roman" w:cs="Times New Roman"/>
          <w:sz w:val="20"/>
          <w:szCs w:val="20"/>
        </w:rPr>
        <w:t xml:space="preserve">congenital heart </w:t>
      </w:r>
      <w:r>
        <w:rPr>
          <w:rFonts w:ascii="Times New Roman" w:hAnsi="Times New Roman" w:cs="Times New Roman"/>
          <w:sz w:val="20"/>
          <w:szCs w:val="20"/>
        </w:rPr>
        <w:t>defects were identified using ICD-9-CM/BPA</w:t>
      </w:r>
      <w:r w:rsidR="00B90BE7">
        <w:rPr>
          <w:rStyle w:val="FootnoteReference"/>
          <w:rFonts w:ascii="Times New Roman" w:hAnsi="Times New Roman" w:cs="Times New Roman"/>
          <w:sz w:val="20"/>
          <w:szCs w:val="20"/>
        </w:rPr>
        <w:footnoteReference w:id="2"/>
      </w:r>
      <w:r>
        <w:rPr>
          <w:rFonts w:ascii="Times New Roman" w:hAnsi="Times New Roman" w:cs="Times New Roman"/>
          <w:sz w:val="20"/>
          <w:szCs w:val="20"/>
        </w:rPr>
        <w:t xml:space="preserve"> birth defect codes</w:t>
      </w:r>
      <w:r w:rsidR="005902E7">
        <w:rPr>
          <w:rFonts w:ascii="Times New Roman" w:hAnsi="Times New Roman" w:cs="Times New Roman"/>
          <w:sz w:val="20"/>
          <w:szCs w:val="20"/>
        </w:rPr>
        <w:t xml:space="preserve"> in the</w:t>
      </w:r>
      <w:r w:rsidR="0097456D" w:rsidRPr="0097456D">
        <w:rPr>
          <w:rFonts w:ascii="Times New Roman" w:hAnsi="Times New Roman" w:cs="Times New Roman"/>
          <w:sz w:val="20"/>
          <w:szCs w:val="20"/>
        </w:rPr>
        <w:t xml:space="preserve"> range </w:t>
      </w:r>
      <w:r w:rsidR="005902E7">
        <w:rPr>
          <w:rFonts w:ascii="Times New Roman" w:hAnsi="Times New Roman" w:cs="Times New Roman"/>
          <w:sz w:val="20"/>
          <w:szCs w:val="20"/>
        </w:rPr>
        <w:t>of</w:t>
      </w:r>
      <w:r w:rsidR="0097456D" w:rsidRPr="0097456D">
        <w:rPr>
          <w:rFonts w:ascii="Times New Roman" w:hAnsi="Times New Roman" w:cs="Times New Roman"/>
          <w:sz w:val="20"/>
          <w:szCs w:val="20"/>
        </w:rPr>
        <w:t xml:space="preserve"> 745.000-747.880, excluding patent ductus arteriosus and patent foramen </w:t>
      </w:r>
      <w:proofErr w:type="spellStart"/>
      <w:r w:rsidR="0097456D" w:rsidRPr="0097456D">
        <w:rPr>
          <w:rFonts w:ascii="Times New Roman" w:hAnsi="Times New Roman" w:cs="Times New Roman"/>
          <w:sz w:val="20"/>
          <w:szCs w:val="20"/>
        </w:rPr>
        <w:t>ovale</w:t>
      </w:r>
      <w:proofErr w:type="spellEnd"/>
      <w:r w:rsidR="0097456D">
        <w:rPr>
          <w:rFonts w:ascii="Times New Roman" w:hAnsi="Times New Roman" w:cs="Times New Roman"/>
          <w:sz w:val="20"/>
          <w:szCs w:val="20"/>
        </w:rPr>
        <w:t xml:space="preserve">. </w:t>
      </w:r>
    </w:p>
    <w:p w:rsidR="006B28EA" w:rsidRPr="00290F74" w:rsidRDefault="006B28EA" w:rsidP="00290F74">
      <w:pPr>
        <w:spacing w:after="0" w:line="240" w:lineRule="auto"/>
        <w:ind w:left="1080" w:hanging="360"/>
        <w:contextualSpacing/>
        <w:rPr>
          <w:rFonts w:ascii="Times New Roman" w:eastAsia="Times New Roman" w:hAnsi="Times New Roman" w:cs="Times New Roman"/>
          <w:sz w:val="20"/>
          <w:szCs w:val="20"/>
        </w:rPr>
      </w:pPr>
      <w:r w:rsidRPr="008F123A">
        <w:rPr>
          <w:rFonts w:ascii="Times New Roman" w:hAnsi="Times New Roman" w:cs="Times New Roman"/>
          <w:sz w:val="20"/>
          <w:szCs w:val="20"/>
        </w:rPr>
        <w:t xml:space="preserve">The MDPH is bound by state and federal patient privacy and research laws not to make public the names or any information (e.g., place of residence) that could personally identify individuals </w:t>
      </w:r>
      <w:r>
        <w:rPr>
          <w:rFonts w:ascii="Times New Roman" w:hAnsi="Times New Roman" w:cs="Times New Roman"/>
          <w:sz w:val="20"/>
          <w:szCs w:val="20"/>
        </w:rPr>
        <w:t>whose child was diagnosed</w:t>
      </w:r>
      <w:r w:rsidRPr="008F123A">
        <w:rPr>
          <w:rFonts w:ascii="Times New Roman" w:hAnsi="Times New Roman" w:cs="Times New Roman"/>
          <w:sz w:val="20"/>
          <w:szCs w:val="20"/>
        </w:rPr>
        <w:t xml:space="preserve"> </w:t>
      </w:r>
      <w:r>
        <w:rPr>
          <w:rFonts w:ascii="Times New Roman" w:hAnsi="Times New Roman" w:cs="Times New Roman"/>
          <w:sz w:val="20"/>
          <w:szCs w:val="20"/>
        </w:rPr>
        <w:t>with a birth defect that was reported to the MBDMP</w:t>
      </w:r>
      <w:r w:rsidRPr="008F123A">
        <w:rPr>
          <w:rFonts w:ascii="Times New Roman" w:hAnsi="Times New Roman" w:cs="Times New Roman"/>
          <w:sz w:val="20"/>
          <w:szCs w:val="20"/>
        </w:rPr>
        <w:t xml:space="preserve"> (M.G.L. c.111. s. 24A).  </w:t>
      </w:r>
    </w:p>
    <w:p w:rsidR="005B4D56" w:rsidRPr="00290F74" w:rsidRDefault="005B4D56" w:rsidP="00290F74">
      <w:pPr>
        <w:spacing w:after="0" w:line="240" w:lineRule="auto"/>
        <w:contextualSpacing/>
        <w:rPr>
          <w:rFonts w:ascii="Times New Roman" w:hAnsi="Times New Roman" w:cs="Times New Roman"/>
          <w:sz w:val="20"/>
          <w:szCs w:val="20"/>
        </w:rPr>
      </w:pPr>
      <w:r w:rsidRPr="00290F74">
        <w:rPr>
          <w:rFonts w:ascii="Times New Roman" w:hAnsi="Times New Roman" w:cs="Times New Roman"/>
          <w:sz w:val="20"/>
          <w:szCs w:val="20"/>
        </w:rPr>
        <w:t xml:space="preserve">   </w:t>
      </w:r>
    </w:p>
    <w:p w:rsidR="00B16BAD" w:rsidRPr="00C36DAC" w:rsidRDefault="0010732D" w:rsidP="00290F74">
      <w:pPr>
        <w:pStyle w:val="Heading1"/>
        <w:spacing w:after="200" w:line="276" w:lineRule="auto"/>
      </w:pPr>
      <w:r w:rsidRPr="00C36DAC">
        <w:t>REFERENCES</w:t>
      </w:r>
    </w:p>
    <w:p w:rsidR="00032ED2" w:rsidRPr="00C36DAC" w:rsidRDefault="00032ED2" w:rsidP="00290F74">
      <w:pPr>
        <w:pStyle w:val="NoSpacing"/>
        <w:spacing w:after="240"/>
        <w:rPr>
          <w:rFonts w:ascii="Times New Roman" w:hAnsi="Times New Roman" w:cs="Times New Roman"/>
          <w:sz w:val="24"/>
          <w:szCs w:val="24"/>
        </w:rPr>
      </w:pPr>
      <w:proofErr w:type="gramStart"/>
      <w:r w:rsidRPr="00C36DAC">
        <w:rPr>
          <w:rFonts w:ascii="Times New Roman" w:hAnsi="Times New Roman" w:cs="Times New Roman"/>
          <w:sz w:val="20"/>
          <w:szCs w:val="20"/>
        </w:rPr>
        <w:t>Agency for Toxic Substances and Disease Registry.</w:t>
      </w:r>
      <w:proofErr w:type="gramEnd"/>
      <w:r w:rsidRPr="00C36DAC">
        <w:rPr>
          <w:rFonts w:ascii="Times New Roman" w:hAnsi="Times New Roman" w:cs="Times New Roman"/>
          <w:sz w:val="20"/>
          <w:szCs w:val="20"/>
        </w:rPr>
        <w:t xml:space="preserve"> 201</w:t>
      </w:r>
      <w:r w:rsidR="00E6484F" w:rsidRPr="00C36DAC">
        <w:rPr>
          <w:rFonts w:ascii="Times New Roman" w:hAnsi="Times New Roman" w:cs="Times New Roman"/>
          <w:sz w:val="20"/>
          <w:szCs w:val="20"/>
        </w:rPr>
        <w:t>4</w:t>
      </w:r>
      <w:r w:rsidRPr="00C36DAC">
        <w:rPr>
          <w:rFonts w:ascii="Times New Roman" w:hAnsi="Times New Roman" w:cs="Times New Roman"/>
          <w:sz w:val="20"/>
          <w:szCs w:val="20"/>
        </w:rPr>
        <w:t>.</w:t>
      </w:r>
      <w:r w:rsidR="00E6484F" w:rsidRPr="00C36DAC">
        <w:rPr>
          <w:rFonts w:ascii="Times New Roman" w:hAnsi="Times New Roman" w:cs="Times New Roman"/>
        </w:rPr>
        <w:t xml:space="preserve"> </w:t>
      </w:r>
      <w:r w:rsidR="00E6484F" w:rsidRPr="00C36DAC">
        <w:rPr>
          <w:rFonts w:ascii="Times New Roman" w:hAnsi="Times New Roman" w:cs="Times New Roman"/>
          <w:sz w:val="20"/>
          <w:szCs w:val="20"/>
        </w:rPr>
        <w:t>Toxicological Profile for Trichloroethylene</w:t>
      </w:r>
      <w:r w:rsidR="00304141">
        <w:rPr>
          <w:rFonts w:ascii="Times New Roman" w:hAnsi="Times New Roman" w:cs="Times New Roman"/>
          <w:sz w:val="20"/>
          <w:szCs w:val="20"/>
        </w:rPr>
        <w:t xml:space="preserve"> (TCE) (Draft for Public Comment)</w:t>
      </w:r>
      <w:r w:rsidRPr="00C36DAC">
        <w:rPr>
          <w:rFonts w:ascii="Times New Roman" w:hAnsi="Times New Roman" w:cs="Times New Roman"/>
          <w:sz w:val="20"/>
          <w:szCs w:val="20"/>
        </w:rPr>
        <w:t>. Atlanta, GA: U.S. Department of Health and Human Services</w:t>
      </w:r>
      <w:r w:rsidR="00304141">
        <w:rPr>
          <w:rFonts w:ascii="Times New Roman" w:hAnsi="Times New Roman" w:cs="Times New Roman"/>
          <w:sz w:val="20"/>
          <w:szCs w:val="20"/>
        </w:rPr>
        <w:t>, Public Health Service</w:t>
      </w:r>
      <w:r w:rsidRPr="00C36DAC">
        <w:rPr>
          <w:rFonts w:ascii="Times New Roman" w:hAnsi="Times New Roman" w:cs="Times New Roman"/>
          <w:sz w:val="20"/>
          <w:szCs w:val="20"/>
        </w:rPr>
        <w:t xml:space="preserve">. Available at: </w:t>
      </w:r>
      <w:hyperlink r:id="rId20" w:history="1">
        <w:r w:rsidR="00E6484F" w:rsidRPr="00C36DAC">
          <w:rPr>
            <w:rStyle w:val="Hyperlink"/>
            <w:rFonts w:ascii="Times New Roman" w:hAnsi="Times New Roman" w:cs="Times New Roman"/>
            <w:sz w:val="20"/>
          </w:rPr>
          <w:t>https://www.atsdr.cdc.gov/toxprofiles/tp19.pdf</w:t>
        </w:r>
      </w:hyperlink>
      <w:r w:rsidR="00E6484F" w:rsidRPr="00C36DAC">
        <w:rPr>
          <w:rFonts w:ascii="Times New Roman" w:hAnsi="Times New Roman" w:cs="Times New Roman"/>
        </w:rPr>
        <w:t xml:space="preserve"> </w:t>
      </w:r>
    </w:p>
    <w:p w:rsidR="00BC03B6" w:rsidRPr="00C36DAC" w:rsidRDefault="00E6484F" w:rsidP="00405168">
      <w:pPr>
        <w:spacing w:after="240" w:line="240" w:lineRule="auto"/>
        <w:rPr>
          <w:rFonts w:ascii="Times New Roman" w:eastAsia="Times New Roman" w:hAnsi="Times New Roman" w:cs="Times New Roman"/>
          <w:sz w:val="20"/>
          <w:szCs w:val="20"/>
        </w:rPr>
      </w:pPr>
      <w:proofErr w:type="gramStart"/>
      <w:r w:rsidRPr="00C36DAC">
        <w:rPr>
          <w:rFonts w:ascii="Times New Roman" w:eastAsia="Times New Roman" w:hAnsi="Times New Roman" w:cs="Times New Roman"/>
          <w:sz w:val="20"/>
          <w:szCs w:val="20"/>
        </w:rPr>
        <w:t>American Cancer Society</w:t>
      </w:r>
      <w:r w:rsidR="00BC03B6" w:rsidRPr="00C36DAC">
        <w:rPr>
          <w:rFonts w:ascii="Times New Roman" w:eastAsia="Times New Roman" w:hAnsi="Times New Roman" w:cs="Times New Roman"/>
          <w:sz w:val="20"/>
          <w:szCs w:val="20"/>
        </w:rPr>
        <w:t>.</w:t>
      </w:r>
      <w:proofErr w:type="gramEnd"/>
      <w:r w:rsidR="00BC03B6" w:rsidRPr="00C36DAC">
        <w:rPr>
          <w:rFonts w:ascii="Times New Roman" w:eastAsia="Times New Roman" w:hAnsi="Times New Roman" w:cs="Times New Roman"/>
          <w:sz w:val="20"/>
          <w:szCs w:val="20"/>
        </w:rPr>
        <w:t xml:space="preserve"> </w:t>
      </w:r>
      <w:proofErr w:type="gramStart"/>
      <w:r w:rsidR="00BC03B6" w:rsidRPr="00C36DAC">
        <w:rPr>
          <w:rFonts w:ascii="Times New Roman" w:eastAsia="Times New Roman" w:hAnsi="Times New Roman" w:cs="Times New Roman"/>
          <w:sz w:val="20"/>
          <w:szCs w:val="20"/>
        </w:rPr>
        <w:t>201</w:t>
      </w:r>
      <w:r w:rsidRPr="00C36DAC">
        <w:rPr>
          <w:rFonts w:ascii="Times New Roman" w:eastAsia="Times New Roman" w:hAnsi="Times New Roman" w:cs="Times New Roman"/>
          <w:sz w:val="20"/>
          <w:szCs w:val="20"/>
        </w:rPr>
        <w:t>8</w:t>
      </w:r>
      <w:r w:rsidR="00881334" w:rsidRPr="00C36DAC">
        <w:rPr>
          <w:rFonts w:ascii="Times New Roman" w:eastAsia="Times New Roman" w:hAnsi="Times New Roman" w:cs="Times New Roman"/>
          <w:sz w:val="20"/>
          <w:szCs w:val="20"/>
        </w:rPr>
        <w:t>a</w:t>
      </w:r>
      <w:r w:rsidR="00BC03B6" w:rsidRPr="00C36DAC">
        <w:rPr>
          <w:rFonts w:ascii="Times New Roman" w:eastAsia="Times New Roman" w:hAnsi="Times New Roman" w:cs="Times New Roman"/>
          <w:sz w:val="20"/>
          <w:szCs w:val="20"/>
        </w:rPr>
        <w:t xml:space="preserve">. </w:t>
      </w:r>
      <w:r w:rsidRPr="00C36DAC">
        <w:rPr>
          <w:rFonts w:ascii="Times New Roman" w:eastAsia="Times New Roman" w:hAnsi="Times New Roman" w:cs="Times New Roman"/>
          <w:sz w:val="20"/>
          <w:szCs w:val="20"/>
        </w:rPr>
        <w:t>Kidney</w:t>
      </w:r>
      <w:r w:rsidR="00BC03B6" w:rsidRPr="00C36DAC">
        <w:rPr>
          <w:rFonts w:ascii="Times New Roman" w:eastAsia="Times New Roman" w:hAnsi="Times New Roman" w:cs="Times New Roman"/>
          <w:sz w:val="20"/>
          <w:szCs w:val="20"/>
        </w:rPr>
        <w:t xml:space="preserve"> Cancer.</w:t>
      </w:r>
      <w:proofErr w:type="gramEnd"/>
      <w:r w:rsidR="00BC03B6" w:rsidRPr="00C36DAC">
        <w:rPr>
          <w:rFonts w:ascii="Times New Roman" w:eastAsia="Times New Roman" w:hAnsi="Times New Roman" w:cs="Times New Roman"/>
          <w:sz w:val="20"/>
          <w:szCs w:val="20"/>
        </w:rPr>
        <w:t xml:space="preserve"> </w:t>
      </w:r>
      <w:proofErr w:type="gramStart"/>
      <w:r w:rsidR="00BC03B6" w:rsidRPr="00C36DAC">
        <w:rPr>
          <w:rFonts w:ascii="Times New Roman" w:eastAsia="Times New Roman" w:hAnsi="Times New Roman" w:cs="Times New Roman"/>
          <w:sz w:val="20"/>
          <w:szCs w:val="20"/>
        </w:rPr>
        <w:t xml:space="preserve">Available at </w:t>
      </w:r>
      <w:hyperlink r:id="rId21" w:history="1">
        <w:r w:rsidR="00A40637" w:rsidRPr="00C36DAC">
          <w:rPr>
            <w:rStyle w:val="Hyperlink"/>
            <w:rFonts w:ascii="Times New Roman" w:hAnsi="Times New Roman" w:cs="Times New Roman"/>
            <w:sz w:val="20"/>
          </w:rPr>
          <w:t>https://www.cancer.org/cancer/kidney-cancer.html</w:t>
        </w:r>
      </w:hyperlink>
      <w:r w:rsidR="00BC03B6" w:rsidRPr="00C36DAC">
        <w:rPr>
          <w:rFonts w:ascii="Times New Roman" w:eastAsia="Times New Roman" w:hAnsi="Times New Roman" w:cs="Times New Roman"/>
          <w:sz w:val="20"/>
          <w:szCs w:val="20"/>
        </w:rPr>
        <w:t>.</w:t>
      </w:r>
      <w:proofErr w:type="gramEnd"/>
    </w:p>
    <w:p w:rsidR="00881334" w:rsidRDefault="00881334" w:rsidP="00405168">
      <w:pPr>
        <w:spacing w:after="240" w:line="240" w:lineRule="auto"/>
        <w:rPr>
          <w:rFonts w:ascii="Times New Roman" w:eastAsia="Times New Roman" w:hAnsi="Times New Roman" w:cs="Times New Roman"/>
          <w:sz w:val="20"/>
          <w:szCs w:val="20"/>
        </w:rPr>
      </w:pPr>
      <w:proofErr w:type="gramStart"/>
      <w:r w:rsidRPr="00C36DAC">
        <w:rPr>
          <w:rFonts w:ascii="Times New Roman" w:eastAsia="Times New Roman" w:hAnsi="Times New Roman" w:cs="Times New Roman"/>
          <w:sz w:val="20"/>
          <w:szCs w:val="20"/>
        </w:rPr>
        <w:t>American Cancer Society.</w:t>
      </w:r>
      <w:proofErr w:type="gramEnd"/>
      <w:r w:rsidRPr="00C36DAC">
        <w:rPr>
          <w:rFonts w:ascii="Times New Roman" w:eastAsia="Times New Roman" w:hAnsi="Times New Roman" w:cs="Times New Roman"/>
          <w:sz w:val="20"/>
          <w:szCs w:val="20"/>
        </w:rPr>
        <w:t xml:space="preserve"> </w:t>
      </w:r>
      <w:proofErr w:type="gramStart"/>
      <w:r w:rsidRPr="00C36DAC">
        <w:rPr>
          <w:rFonts w:ascii="Times New Roman" w:eastAsia="Times New Roman" w:hAnsi="Times New Roman" w:cs="Times New Roman"/>
          <w:sz w:val="20"/>
          <w:szCs w:val="20"/>
        </w:rPr>
        <w:t>2018b. Liver Cancer.</w:t>
      </w:r>
      <w:proofErr w:type="gramEnd"/>
      <w:r w:rsidRPr="00C36DAC">
        <w:rPr>
          <w:rFonts w:ascii="Times New Roman" w:eastAsia="Times New Roman" w:hAnsi="Times New Roman" w:cs="Times New Roman"/>
          <w:sz w:val="20"/>
          <w:szCs w:val="20"/>
        </w:rPr>
        <w:t xml:space="preserve"> </w:t>
      </w:r>
      <w:proofErr w:type="gramStart"/>
      <w:r w:rsidRPr="00C36DAC">
        <w:rPr>
          <w:rFonts w:ascii="Times New Roman" w:eastAsia="Times New Roman" w:hAnsi="Times New Roman" w:cs="Times New Roman"/>
          <w:sz w:val="20"/>
          <w:szCs w:val="20"/>
        </w:rPr>
        <w:t xml:space="preserve">Available at </w:t>
      </w:r>
      <w:hyperlink r:id="rId22" w:history="1">
        <w:r w:rsidRPr="00C36DAC">
          <w:rPr>
            <w:rStyle w:val="Hyperlink"/>
            <w:rFonts w:ascii="Times New Roman" w:eastAsia="Times New Roman" w:hAnsi="Times New Roman" w:cs="Times New Roman"/>
            <w:sz w:val="20"/>
            <w:szCs w:val="20"/>
          </w:rPr>
          <w:t>https://www.cancer.org/cancer/liver-cancer.html</w:t>
        </w:r>
      </w:hyperlink>
      <w:r w:rsidRPr="00C36DAC">
        <w:rPr>
          <w:rFonts w:ascii="Times New Roman" w:eastAsia="Times New Roman" w:hAnsi="Times New Roman" w:cs="Times New Roman"/>
          <w:sz w:val="20"/>
          <w:szCs w:val="20"/>
        </w:rPr>
        <w:t>.</w:t>
      </w:r>
      <w:proofErr w:type="gramEnd"/>
      <w:r w:rsidRPr="00C36DAC">
        <w:rPr>
          <w:rFonts w:ascii="Times New Roman" w:eastAsia="Times New Roman" w:hAnsi="Times New Roman" w:cs="Times New Roman"/>
          <w:sz w:val="20"/>
          <w:szCs w:val="20"/>
        </w:rPr>
        <w:t xml:space="preserve"> </w:t>
      </w:r>
    </w:p>
    <w:p w:rsidR="00FF3B75" w:rsidRDefault="00FF3B75" w:rsidP="00405168">
      <w:pPr>
        <w:spacing w:after="240" w:line="240" w:lineRule="auto"/>
        <w:rPr>
          <w:rFonts w:ascii="Times New Roman" w:hAnsi="Times New Roman" w:cs="Times New Roman"/>
          <w:bCs/>
          <w:sz w:val="20"/>
        </w:rPr>
      </w:pPr>
      <w:proofErr w:type="gramStart"/>
      <w:r w:rsidRPr="00C36DAC">
        <w:rPr>
          <w:rFonts w:ascii="Times New Roman" w:eastAsia="Times New Roman" w:hAnsi="Times New Roman" w:cs="Times New Roman"/>
          <w:sz w:val="20"/>
          <w:szCs w:val="20"/>
        </w:rPr>
        <w:t>American Cancer Society.</w:t>
      </w:r>
      <w:proofErr w:type="gramEnd"/>
      <w:r w:rsidRPr="00C36DAC">
        <w:rPr>
          <w:rFonts w:ascii="Times New Roman" w:eastAsia="Times New Roman" w:hAnsi="Times New Roman" w:cs="Times New Roman"/>
          <w:sz w:val="20"/>
          <w:szCs w:val="20"/>
        </w:rPr>
        <w:t xml:space="preserve"> </w:t>
      </w:r>
      <w:proofErr w:type="gramStart"/>
      <w:r w:rsidRPr="00C36DAC">
        <w:rPr>
          <w:rFonts w:ascii="Times New Roman" w:eastAsia="Times New Roman" w:hAnsi="Times New Roman" w:cs="Times New Roman"/>
          <w:sz w:val="20"/>
          <w:szCs w:val="20"/>
        </w:rPr>
        <w:t>2018</w:t>
      </w:r>
      <w:r>
        <w:rPr>
          <w:rFonts w:ascii="Times New Roman" w:eastAsia="Times New Roman" w:hAnsi="Times New Roman" w:cs="Times New Roman"/>
          <w:sz w:val="20"/>
          <w:szCs w:val="20"/>
        </w:rPr>
        <w:t>c.</w:t>
      </w:r>
      <w:r w:rsidRPr="00FF3B75">
        <w:rPr>
          <w:rFonts w:ascii="Times New Roman" w:hAnsi="Times New Roman" w:cs="Times New Roman"/>
          <w:bCs/>
          <w:sz w:val="20"/>
        </w:rPr>
        <w:t xml:space="preserve"> Non-Hodgkin Lymphoma (Adults)</w:t>
      </w:r>
      <w:r>
        <w:rPr>
          <w:rFonts w:ascii="Times New Roman" w:hAnsi="Times New Roman" w:cs="Times New Roman"/>
          <w:bCs/>
          <w:sz w:val="20"/>
        </w:rPr>
        <w:t>.</w:t>
      </w:r>
      <w:proofErr w:type="gramEnd"/>
      <w:r>
        <w:rPr>
          <w:rFonts w:ascii="Times New Roman" w:hAnsi="Times New Roman" w:cs="Times New Roman"/>
          <w:bCs/>
          <w:sz w:val="20"/>
        </w:rPr>
        <w:t xml:space="preserve"> Available at </w:t>
      </w:r>
      <w:hyperlink r:id="rId23" w:history="1">
        <w:r w:rsidRPr="002B06CD">
          <w:rPr>
            <w:rStyle w:val="Hyperlink"/>
            <w:rFonts w:ascii="Times New Roman" w:hAnsi="Times New Roman" w:cs="Times New Roman"/>
            <w:bCs/>
            <w:sz w:val="20"/>
          </w:rPr>
          <w:t>https://www.cancer.org/cancer/non-hodgkin-lymphoma.html</w:t>
        </w:r>
      </w:hyperlink>
      <w:r>
        <w:rPr>
          <w:rFonts w:ascii="Times New Roman" w:hAnsi="Times New Roman" w:cs="Times New Roman"/>
          <w:bCs/>
          <w:sz w:val="20"/>
        </w:rPr>
        <w:t xml:space="preserve"> </w:t>
      </w:r>
    </w:p>
    <w:p w:rsidR="008109CA" w:rsidRDefault="008109CA" w:rsidP="00405168">
      <w:pPr>
        <w:spacing w:after="240" w:line="240" w:lineRule="auto"/>
        <w:rPr>
          <w:rFonts w:ascii="Times New Roman" w:hAnsi="Times New Roman" w:cs="Times New Roman"/>
          <w:bCs/>
          <w:sz w:val="20"/>
        </w:rPr>
      </w:pPr>
      <w:r w:rsidRPr="008109CA">
        <w:rPr>
          <w:rFonts w:ascii="Times New Roman" w:hAnsi="Times New Roman" w:cs="Times New Roman"/>
          <w:bCs/>
          <w:sz w:val="20"/>
        </w:rPr>
        <w:t xml:space="preserve">Bang KM. 1996. </w:t>
      </w:r>
      <w:proofErr w:type="gramStart"/>
      <w:r w:rsidRPr="008109CA">
        <w:rPr>
          <w:rFonts w:ascii="Times New Roman" w:hAnsi="Times New Roman" w:cs="Times New Roman"/>
          <w:bCs/>
          <w:sz w:val="20"/>
        </w:rPr>
        <w:t>Epidemiology of Occupational Cancer.</w:t>
      </w:r>
      <w:proofErr w:type="gramEnd"/>
      <w:r w:rsidRPr="008109CA">
        <w:rPr>
          <w:rFonts w:ascii="Times New Roman" w:hAnsi="Times New Roman" w:cs="Times New Roman"/>
          <w:bCs/>
          <w:sz w:val="20"/>
        </w:rPr>
        <w:t xml:space="preserve"> </w:t>
      </w:r>
      <w:proofErr w:type="gramStart"/>
      <w:r w:rsidRPr="008109CA">
        <w:rPr>
          <w:rFonts w:ascii="Times New Roman" w:hAnsi="Times New Roman" w:cs="Times New Roman"/>
          <w:bCs/>
          <w:sz w:val="20"/>
        </w:rPr>
        <w:t>Occupational Medicine.</w:t>
      </w:r>
      <w:proofErr w:type="gramEnd"/>
      <w:r w:rsidRPr="008109CA">
        <w:rPr>
          <w:rFonts w:ascii="Times New Roman" w:hAnsi="Times New Roman" w:cs="Times New Roman"/>
          <w:bCs/>
          <w:sz w:val="20"/>
        </w:rPr>
        <w:t xml:space="preserve"> 11(3):467-485.</w:t>
      </w:r>
    </w:p>
    <w:p w:rsidR="008109CA" w:rsidRDefault="008109CA" w:rsidP="00405168">
      <w:pPr>
        <w:spacing w:after="240" w:line="240" w:lineRule="auto"/>
        <w:rPr>
          <w:rFonts w:ascii="Times New Roman" w:hAnsi="Times New Roman" w:cs="Times New Roman"/>
          <w:bCs/>
          <w:sz w:val="20"/>
        </w:rPr>
      </w:pPr>
      <w:proofErr w:type="spellStart"/>
      <w:r w:rsidRPr="008109CA">
        <w:rPr>
          <w:rFonts w:ascii="Times New Roman" w:hAnsi="Times New Roman" w:cs="Times New Roman"/>
          <w:bCs/>
          <w:sz w:val="20"/>
        </w:rPr>
        <w:t>Frumkin</w:t>
      </w:r>
      <w:proofErr w:type="spellEnd"/>
      <w:r w:rsidRPr="008109CA">
        <w:rPr>
          <w:rFonts w:ascii="Times New Roman" w:hAnsi="Times New Roman" w:cs="Times New Roman"/>
          <w:bCs/>
          <w:sz w:val="20"/>
        </w:rPr>
        <w:t xml:space="preserve"> H. 1995. </w:t>
      </w:r>
      <w:proofErr w:type="gramStart"/>
      <w:r w:rsidRPr="008109CA">
        <w:rPr>
          <w:rFonts w:ascii="Times New Roman" w:hAnsi="Times New Roman" w:cs="Times New Roman"/>
          <w:bCs/>
          <w:sz w:val="20"/>
        </w:rPr>
        <w:t>Carcinogens.</w:t>
      </w:r>
      <w:proofErr w:type="gramEnd"/>
      <w:r w:rsidRPr="008109CA">
        <w:rPr>
          <w:rFonts w:ascii="Times New Roman" w:hAnsi="Times New Roman" w:cs="Times New Roman"/>
          <w:bCs/>
          <w:sz w:val="20"/>
        </w:rPr>
        <w:t xml:space="preserve"> In: Levy BS and </w:t>
      </w:r>
      <w:proofErr w:type="spellStart"/>
      <w:r w:rsidRPr="008109CA">
        <w:rPr>
          <w:rFonts w:ascii="Times New Roman" w:hAnsi="Times New Roman" w:cs="Times New Roman"/>
          <w:bCs/>
          <w:sz w:val="20"/>
        </w:rPr>
        <w:t>Wegman</w:t>
      </w:r>
      <w:proofErr w:type="spellEnd"/>
      <w:r w:rsidRPr="008109CA">
        <w:rPr>
          <w:rFonts w:ascii="Times New Roman" w:hAnsi="Times New Roman" w:cs="Times New Roman"/>
          <w:bCs/>
          <w:sz w:val="20"/>
        </w:rPr>
        <w:t xml:space="preserve"> DH, editors. </w:t>
      </w:r>
      <w:proofErr w:type="gramStart"/>
      <w:r w:rsidRPr="008109CA">
        <w:rPr>
          <w:rFonts w:ascii="Times New Roman" w:hAnsi="Times New Roman" w:cs="Times New Roman"/>
          <w:bCs/>
          <w:sz w:val="20"/>
        </w:rPr>
        <w:t>Occupational Health- Recognizing and Preventing Work-Related Disease.</w:t>
      </w:r>
      <w:proofErr w:type="gramEnd"/>
      <w:r w:rsidRPr="008109CA">
        <w:rPr>
          <w:rFonts w:ascii="Times New Roman" w:hAnsi="Times New Roman" w:cs="Times New Roman"/>
          <w:bCs/>
          <w:sz w:val="20"/>
        </w:rPr>
        <w:t xml:space="preserve"> 3rd ed. Boston: Little, Brown and Company. p.293</w:t>
      </w:r>
    </w:p>
    <w:p w:rsidR="008109CA" w:rsidRDefault="008109CA" w:rsidP="00405168">
      <w:pPr>
        <w:spacing w:after="240" w:line="240" w:lineRule="auto"/>
        <w:rPr>
          <w:rFonts w:ascii="Times New Roman" w:hAnsi="Times New Roman" w:cs="Times New Roman"/>
          <w:bCs/>
          <w:sz w:val="20"/>
        </w:rPr>
      </w:pPr>
      <w:r w:rsidRPr="008109CA">
        <w:rPr>
          <w:rFonts w:ascii="Times New Roman" w:hAnsi="Times New Roman" w:cs="Times New Roman"/>
          <w:bCs/>
          <w:sz w:val="20"/>
        </w:rPr>
        <w:t>Hall EJ. 2006. Radiobiology for the radiologist. 6th ed. Philadelphia: Lippincott Williams &amp; Wilkins; p. 138</w:t>
      </w:r>
    </w:p>
    <w:p w:rsidR="006D697E" w:rsidRDefault="006D697E" w:rsidP="00405168">
      <w:pPr>
        <w:spacing w:after="240" w:line="240" w:lineRule="auto"/>
        <w:rPr>
          <w:rFonts w:ascii="Times New Roman" w:hAnsi="Times New Roman" w:cs="Times New Roman"/>
          <w:bCs/>
          <w:sz w:val="20"/>
        </w:rPr>
      </w:pPr>
      <w:proofErr w:type="gramStart"/>
      <w:r w:rsidRPr="006D697E">
        <w:rPr>
          <w:rFonts w:ascii="Times New Roman" w:hAnsi="Times New Roman" w:cs="Times New Roman"/>
          <w:bCs/>
          <w:sz w:val="20"/>
        </w:rPr>
        <w:t>Massachusetts Cancer Registry.</w:t>
      </w:r>
      <w:proofErr w:type="gramEnd"/>
      <w:r w:rsidRPr="006D697E">
        <w:rPr>
          <w:rFonts w:ascii="Times New Roman" w:hAnsi="Times New Roman" w:cs="Times New Roman"/>
          <w:bCs/>
          <w:sz w:val="20"/>
        </w:rPr>
        <w:t xml:space="preserve"> 2013. "CDC/CER Innovative Uses of Cancer Registries for Public Health Applications: Primary Payer at Diagnosis Data Quality Evaluation for Invasive Colorectal and Breast Cancer Cases in the Massachusetts Cancer Registry (MCR) from 2005 to 2009." MCR Fall Educational Workshop. December 5, 2013.</w:t>
      </w:r>
    </w:p>
    <w:p w:rsidR="008109CA" w:rsidRDefault="008109CA" w:rsidP="00405168">
      <w:pPr>
        <w:spacing w:after="240" w:line="240" w:lineRule="auto"/>
        <w:rPr>
          <w:rFonts w:ascii="Times New Roman" w:hAnsi="Times New Roman" w:cs="Times New Roman"/>
          <w:bCs/>
          <w:sz w:val="20"/>
        </w:rPr>
      </w:pPr>
      <w:proofErr w:type="gramStart"/>
      <w:r w:rsidRPr="008109CA">
        <w:rPr>
          <w:rFonts w:ascii="Times New Roman" w:hAnsi="Times New Roman" w:cs="Times New Roman"/>
          <w:bCs/>
          <w:sz w:val="20"/>
        </w:rPr>
        <w:t>National Research Council (NRC).</w:t>
      </w:r>
      <w:proofErr w:type="gramEnd"/>
      <w:r w:rsidRPr="008109CA">
        <w:rPr>
          <w:rFonts w:ascii="Times New Roman" w:hAnsi="Times New Roman" w:cs="Times New Roman"/>
          <w:bCs/>
          <w:sz w:val="20"/>
        </w:rPr>
        <w:t xml:space="preserve"> 2005. Health risks from exposure to low levels of ionizing radiation. </w:t>
      </w:r>
      <w:proofErr w:type="gramStart"/>
      <w:r w:rsidRPr="008109CA">
        <w:rPr>
          <w:rFonts w:ascii="Times New Roman" w:hAnsi="Times New Roman" w:cs="Times New Roman"/>
          <w:bCs/>
          <w:sz w:val="20"/>
        </w:rPr>
        <w:t>BEIR VII Phase 2.</w:t>
      </w:r>
      <w:proofErr w:type="gramEnd"/>
      <w:r w:rsidRPr="008109CA">
        <w:rPr>
          <w:rFonts w:ascii="Times New Roman" w:hAnsi="Times New Roman" w:cs="Times New Roman"/>
          <w:bCs/>
          <w:sz w:val="20"/>
        </w:rPr>
        <w:t xml:space="preserve"> Washington, DC: National Academies Press.</w:t>
      </w:r>
      <w:r>
        <w:rPr>
          <w:rFonts w:ascii="Times New Roman" w:hAnsi="Times New Roman" w:cs="Times New Roman"/>
          <w:bCs/>
          <w:sz w:val="20"/>
        </w:rPr>
        <w:t xml:space="preserve"> </w:t>
      </w:r>
    </w:p>
    <w:p w:rsidR="008109CA" w:rsidRPr="00FF3B75" w:rsidRDefault="008109CA" w:rsidP="00405168">
      <w:pPr>
        <w:spacing w:after="240" w:line="240" w:lineRule="auto"/>
        <w:rPr>
          <w:rFonts w:ascii="Times New Roman" w:hAnsi="Times New Roman" w:cs="Times New Roman"/>
          <w:bCs/>
          <w:sz w:val="20"/>
        </w:rPr>
      </w:pPr>
      <w:proofErr w:type="gramStart"/>
      <w:r w:rsidRPr="008109CA">
        <w:rPr>
          <w:rFonts w:ascii="Times New Roman" w:hAnsi="Times New Roman" w:cs="Times New Roman"/>
          <w:bCs/>
          <w:sz w:val="20"/>
        </w:rPr>
        <w:t>United Nations Scientific Committee on the Effects of Atomic Radiation (UNSCEAR).</w:t>
      </w:r>
      <w:proofErr w:type="gramEnd"/>
      <w:r w:rsidRPr="008109CA">
        <w:rPr>
          <w:rFonts w:ascii="Times New Roman" w:hAnsi="Times New Roman" w:cs="Times New Roman"/>
          <w:bCs/>
          <w:sz w:val="20"/>
        </w:rPr>
        <w:t xml:space="preserve"> 2000. Sources and Effects of Ionizing Radiation. </w:t>
      </w:r>
      <w:proofErr w:type="gramStart"/>
      <w:r w:rsidRPr="008109CA">
        <w:rPr>
          <w:rFonts w:ascii="Times New Roman" w:hAnsi="Times New Roman" w:cs="Times New Roman"/>
          <w:bCs/>
          <w:sz w:val="20"/>
        </w:rPr>
        <w:t>Volume I.</w:t>
      </w:r>
      <w:proofErr w:type="gramEnd"/>
      <w:r w:rsidRPr="008109CA">
        <w:rPr>
          <w:rFonts w:ascii="Times New Roman" w:hAnsi="Times New Roman" w:cs="Times New Roman"/>
          <w:bCs/>
          <w:sz w:val="20"/>
        </w:rPr>
        <w:t xml:space="preserve"> New York: United Nations Scientific Committee on the Effects of Atomic Radiation.</w:t>
      </w:r>
    </w:p>
    <w:p w:rsidR="00B63DD2" w:rsidRDefault="00B63DD2" w:rsidP="00290F74">
      <w:pPr>
        <w:spacing w:after="0" w:line="240" w:lineRule="auto"/>
        <w:ind w:right="634"/>
        <w:rPr>
          <w:rFonts w:ascii="Times New Roman" w:hAnsi="Times New Roman" w:cs="Times New Roman"/>
          <w:b/>
          <w:caps/>
          <w:sz w:val="28"/>
        </w:rPr>
      </w:pPr>
      <w:r w:rsidRPr="00D01D30">
        <w:rPr>
          <w:rFonts w:ascii="Times New Roman" w:hAnsi="Times New Roman" w:cs="Times New Roman"/>
          <w:b/>
          <w:caps/>
          <w:sz w:val="28"/>
        </w:rPr>
        <w:t>RESOURCES</w:t>
      </w:r>
      <w:r>
        <w:rPr>
          <w:rFonts w:ascii="Times New Roman" w:hAnsi="Times New Roman" w:cs="Times New Roman"/>
          <w:b/>
          <w:caps/>
          <w:sz w:val="28"/>
        </w:rPr>
        <w:t xml:space="preserve"> </w:t>
      </w:r>
    </w:p>
    <w:p w:rsidR="00B63DD2" w:rsidRDefault="00B63DD2" w:rsidP="00B63DD2">
      <w:pPr>
        <w:spacing w:after="0" w:line="240" w:lineRule="auto"/>
        <w:ind w:left="360" w:right="634"/>
        <w:rPr>
          <w:rFonts w:ascii="Times New Roman" w:hAnsi="Times New Roman" w:cs="Times New Roman"/>
          <w:b/>
          <w:caps/>
          <w:sz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sources"/>
      </w:tblPr>
      <w:tblGrid>
        <w:gridCol w:w="5090"/>
        <w:gridCol w:w="4990"/>
      </w:tblGrid>
      <w:tr w:rsidR="00B63DD2" w:rsidRPr="00E863F6" w:rsidTr="00557281">
        <w:tc>
          <w:tcPr>
            <w:tcW w:w="5328" w:type="dxa"/>
          </w:tcPr>
          <w:p w:rsidR="00B63DD2" w:rsidRPr="003B527A" w:rsidRDefault="00B63DD2" w:rsidP="00B63DD2">
            <w:pPr>
              <w:ind w:left="-3"/>
              <w:rPr>
                <w:rFonts w:ascii="Times New Roman" w:hAnsi="Times New Roman" w:cs="Times New Roman"/>
              </w:rPr>
            </w:pPr>
            <w:r w:rsidRPr="003B527A">
              <w:rPr>
                <w:rFonts w:ascii="Times New Roman" w:hAnsi="Times New Roman" w:cs="Times New Roman"/>
              </w:rPr>
              <w:t xml:space="preserve">For information on </w:t>
            </w:r>
            <w:r w:rsidR="003A7FBC">
              <w:rPr>
                <w:rFonts w:ascii="Times New Roman" w:hAnsi="Times New Roman" w:cs="Times New Roman"/>
              </w:rPr>
              <w:t>this bulletin or other environmental health concerns</w:t>
            </w:r>
            <w:r w:rsidRPr="003B527A">
              <w:rPr>
                <w:rFonts w:ascii="Times New Roman" w:hAnsi="Times New Roman" w:cs="Times New Roman"/>
              </w:rPr>
              <w:t>:</w:t>
            </w:r>
          </w:p>
          <w:p w:rsidR="00B63DD2" w:rsidRPr="003B527A" w:rsidRDefault="00B63DD2" w:rsidP="00B63DD2">
            <w:pPr>
              <w:pStyle w:val="BodyText"/>
              <w:spacing w:after="0"/>
              <w:ind w:left="720"/>
              <w:rPr>
                <w:b/>
                <w:sz w:val="22"/>
                <w:szCs w:val="22"/>
              </w:rPr>
            </w:pPr>
            <w:r>
              <w:rPr>
                <w:b/>
                <w:sz w:val="22"/>
                <w:szCs w:val="22"/>
              </w:rPr>
              <w:t xml:space="preserve">MDPH </w:t>
            </w:r>
            <w:r w:rsidRPr="003B527A">
              <w:rPr>
                <w:b/>
                <w:sz w:val="22"/>
                <w:szCs w:val="22"/>
              </w:rPr>
              <w:t>Bureau of Environmental Health</w:t>
            </w:r>
          </w:p>
          <w:p w:rsidR="00B63DD2" w:rsidRPr="003B527A" w:rsidRDefault="00B63DD2" w:rsidP="00B63DD2">
            <w:pPr>
              <w:pStyle w:val="BodyTextIndent"/>
              <w:spacing w:after="0"/>
              <w:ind w:left="720"/>
              <w:rPr>
                <w:sz w:val="22"/>
                <w:szCs w:val="22"/>
              </w:rPr>
            </w:pPr>
            <w:r w:rsidRPr="003B527A">
              <w:rPr>
                <w:sz w:val="22"/>
                <w:szCs w:val="22"/>
              </w:rPr>
              <w:t>250 Washing</w:t>
            </w:r>
            <w:r w:rsidR="006D697E">
              <w:rPr>
                <w:sz w:val="22"/>
                <w:szCs w:val="22"/>
              </w:rPr>
              <w:t>ton Street, 7th Floor</w:t>
            </w:r>
            <w:r w:rsidR="006D697E">
              <w:rPr>
                <w:sz w:val="22"/>
                <w:szCs w:val="22"/>
              </w:rPr>
              <w:br/>
              <w:t>Boston, MA</w:t>
            </w:r>
            <w:r w:rsidRPr="003B527A">
              <w:rPr>
                <w:sz w:val="22"/>
                <w:szCs w:val="22"/>
              </w:rPr>
              <w:t xml:space="preserve"> 02108</w:t>
            </w:r>
          </w:p>
          <w:p w:rsidR="00B63DD2" w:rsidRPr="003B527A" w:rsidRDefault="00B63DD2" w:rsidP="00B63DD2">
            <w:pPr>
              <w:pStyle w:val="Header"/>
              <w:ind w:left="720"/>
              <w:rPr>
                <w:rFonts w:ascii="Times New Roman" w:hAnsi="Times New Roman" w:cs="Times New Roman"/>
              </w:rPr>
            </w:pPr>
            <w:r w:rsidRPr="003B527A">
              <w:rPr>
                <w:rFonts w:ascii="Times New Roman" w:hAnsi="Times New Roman" w:cs="Times New Roman"/>
              </w:rPr>
              <w:t xml:space="preserve">Tel. (617) 624-5757 </w:t>
            </w:r>
          </w:p>
          <w:p w:rsidR="00B63DD2" w:rsidRPr="006D36BB" w:rsidRDefault="002C6240" w:rsidP="00290F74">
            <w:pPr>
              <w:pStyle w:val="BodyText"/>
              <w:spacing w:after="0"/>
              <w:ind w:left="90"/>
              <w:rPr>
                <w:highlight w:val="yellow"/>
                <w:u w:val="single"/>
              </w:rPr>
            </w:pPr>
            <w:hyperlink r:id="rId24" w:tooltip="MDPH Bureau of Environmental Health" w:history="1">
              <w:r w:rsidR="00B63DD2" w:rsidRPr="003B384B">
                <w:rPr>
                  <w:rStyle w:val="Hyperlink"/>
                </w:rPr>
                <w:t>www.mass.gov/dph/environmental_health</w:t>
              </w:r>
            </w:hyperlink>
            <w:r w:rsidR="00B63DD2">
              <w:rPr>
                <w:sz w:val="22"/>
                <w:szCs w:val="22"/>
              </w:rPr>
              <w:t xml:space="preserve">  </w:t>
            </w:r>
          </w:p>
          <w:p w:rsidR="00B63DD2" w:rsidRPr="006D36BB" w:rsidRDefault="00B63DD2" w:rsidP="00557281">
            <w:pPr>
              <w:ind w:right="634"/>
              <w:rPr>
                <w:rFonts w:ascii="Times New Roman" w:hAnsi="Times New Roman" w:cs="Times New Roman"/>
                <w:b/>
                <w:caps/>
                <w:highlight w:val="yellow"/>
              </w:rPr>
            </w:pPr>
          </w:p>
        </w:tc>
        <w:tc>
          <w:tcPr>
            <w:tcW w:w="4698" w:type="dxa"/>
          </w:tcPr>
          <w:p w:rsidR="00B63DD2" w:rsidRPr="006D36BB" w:rsidRDefault="003A7FBC" w:rsidP="00557281">
            <w:pPr>
              <w:ind w:left="90"/>
              <w:rPr>
                <w:rFonts w:ascii="Times New Roman" w:hAnsi="Times New Roman" w:cs="Times New Roman"/>
                <w:highlight w:val="yellow"/>
              </w:rPr>
            </w:pPr>
            <w:r>
              <w:rPr>
                <w:rFonts w:ascii="Times New Roman" w:hAnsi="Times New Roman" w:cs="Times New Roman"/>
              </w:rPr>
              <w:t xml:space="preserve">For </w:t>
            </w:r>
            <w:r w:rsidR="00B63DD2" w:rsidRPr="003B527A">
              <w:rPr>
                <w:rFonts w:ascii="Times New Roman" w:hAnsi="Times New Roman" w:cs="Times New Roman"/>
              </w:rPr>
              <w:t xml:space="preserve">information on </w:t>
            </w:r>
            <w:r w:rsidR="00B63DD2">
              <w:rPr>
                <w:rFonts w:ascii="Times New Roman" w:hAnsi="Times New Roman" w:cs="Times New Roman"/>
              </w:rPr>
              <w:t>the TCE groundwater investigation or indoor air testing</w:t>
            </w:r>
            <w:r w:rsidR="00B63DD2" w:rsidRPr="003B527A">
              <w:rPr>
                <w:rFonts w:ascii="Times New Roman" w:hAnsi="Times New Roman" w:cs="Times New Roman"/>
              </w:rPr>
              <w:t>:</w:t>
            </w:r>
          </w:p>
          <w:p w:rsidR="00B63DD2" w:rsidRPr="003B527A" w:rsidRDefault="00B63DD2" w:rsidP="00557281">
            <w:pPr>
              <w:ind w:left="720"/>
              <w:rPr>
                <w:rFonts w:ascii="Times New Roman" w:hAnsi="Times New Roman" w:cs="Times New Roman"/>
                <w:b/>
              </w:rPr>
            </w:pPr>
            <w:r>
              <w:rPr>
                <w:rFonts w:ascii="Times New Roman" w:hAnsi="Times New Roman" w:cs="Times New Roman"/>
                <w:b/>
              </w:rPr>
              <w:t>MassDEP Northeast Regional Office</w:t>
            </w:r>
          </w:p>
          <w:p w:rsidR="00B63DD2" w:rsidRPr="006D697E" w:rsidRDefault="006D697E" w:rsidP="00557281">
            <w:pPr>
              <w:pStyle w:val="BodyText"/>
              <w:spacing w:after="0"/>
              <w:ind w:left="720"/>
              <w:rPr>
                <w:sz w:val="22"/>
                <w:szCs w:val="22"/>
              </w:rPr>
            </w:pPr>
            <w:r w:rsidRPr="00290F74">
              <w:rPr>
                <w:color w:val="000000"/>
                <w:sz w:val="22"/>
                <w:szCs w:val="22"/>
              </w:rPr>
              <w:t>205B Lowell Street</w:t>
            </w:r>
            <w:r w:rsidR="00B63DD2" w:rsidRPr="006D697E">
              <w:rPr>
                <w:color w:val="000000"/>
                <w:sz w:val="22"/>
                <w:szCs w:val="22"/>
              </w:rPr>
              <w:br/>
            </w:r>
            <w:r w:rsidRPr="00290F74">
              <w:rPr>
                <w:color w:val="000000"/>
                <w:sz w:val="22"/>
                <w:szCs w:val="22"/>
              </w:rPr>
              <w:t>Wilmington, MA 01887</w:t>
            </w:r>
          </w:p>
          <w:p w:rsidR="00B63DD2" w:rsidRPr="00CE6A76" w:rsidRDefault="00B63DD2" w:rsidP="00557281">
            <w:pPr>
              <w:pStyle w:val="BodyText"/>
              <w:spacing w:after="0"/>
              <w:ind w:left="720"/>
              <w:rPr>
                <w:sz w:val="22"/>
                <w:szCs w:val="22"/>
              </w:rPr>
            </w:pPr>
            <w:r w:rsidRPr="00290F74">
              <w:rPr>
                <w:sz w:val="22"/>
                <w:szCs w:val="22"/>
              </w:rPr>
              <w:t>Tel. (978) 694-3200</w:t>
            </w:r>
          </w:p>
          <w:p w:rsidR="00B63DD2" w:rsidRPr="00290F74" w:rsidRDefault="002C6240" w:rsidP="00557281">
            <w:pPr>
              <w:pStyle w:val="FootnoteText"/>
              <w:ind w:left="720"/>
              <w:rPr>
                <w:rFonts w:ascii="Times New Roman" w:hAnsi="Times New Roman" w:cs="Times New Roman"/>
                <w:sz w:val="24"/>
                <w:szCs w:val="24"/>
              </w:rPr>
            </w:pPr>
            <w:hyperlink r:id="rId25" w:history="1">
              <w:r w:rsidR="006D697E" w:rsidRPr="00290F74">
                <w:rPr>
                  <w:rStyle w:val="Hyperlink"/>
                  <w:rFonts w:ascii="Times New Roman" w:hAnsi="Times New Roman" w:cs="Times New Roman"/>
                  <w:sz w:val="24"/>
                  <w:szCs w:val="24"/>
                </w:rPr>
                <w:t>https://www.mass.gov/locations/massdep-northeast-regional-office</w:t>
              </w:r>
            </w:hyperlink>
            <w:r w:rsidR="006D697E" w:rsidRPr="00290F74">
              <w:rPr>
                <w:rFonts w:ascii="Times New Roman" w:hAnsi="Times New Roman" w:cs="Times New Roman"/>
                <w:sz w:val="24"/>
                <w:szCs w:val="24"/>
              </w:rPr>
              <w:t xml:space="preserve"> </w:t>
            </w:r>
          </w:p>
          <w:p w:rsidR="00B63DD2" w:rsidRPr="006D36BB" w:rsidRDefault="00B63DD2" w:rsidP="00557281">
            <w:pPr>
              <w:ind w:right="634"/>
              <w:rPr>
                <w:rFonts w:ascii="Times New Roman" w:hAnsi="Times New Roman" w:cs="Times New Roman"/>
                <w:b/>
                <w:caps/>
                <w:highlight w:val="yellow"/>
              </w:rPr>
            </w:pPr>
          </w:p>
        </w:tc>
      </w:tr>
      <w:tr w:rsidR="00B63DD2" w:rsidRPr="00E863F6" w:rsidTr="00557281">
        <w:tc>
          <w:tcPr>
            <w:tcW w:w="5328" w:type="dxa"/>
          </w:tcPr>
          <w:p w:rsidR="003815D5" w:rsidRDefault="003815D5" w:rsidP="00B63DD2">
            <w:pPr>
              <w:pStyle w:val="BodyText"/>
              <w:spacing w:after="0"/>
              <w:ind w:left="90"/>
              <w:rPr>
                <w:sz w:val="22"/>
                <w:szCs w:val="22"/>
              </w:rPr>
            </w:pPr>
          </w:p>
          <w:p w:rsidR="00B63DD2" w:rsidRPr="00A86D29" w:rsidRDefault="00B63DD2" w:rsidP="00B63DD2">
            <w:pPr>
              <w:pStyle w:val="BodyText"/>
              <w:spacing w:after="0"/>
              <w:ind w:left="90"/>
              <w:rPr>
                <w:sz w:val="22"/>
                <w:szCs w:val="22"/>
              </w:rPr>
            </w:pPr>
            <w:r w:rsidRPr="00A86D29">
              <w:rPr>
                <w:sz w:val="22"/>
                <w:szCs w:val="22"/>
              </w:rPr>
              <w:t>For additional cancer</w:t>
            </w:r>
            <w:r w:rsidR="003A7FBC">
              <w:rPr>
                <w:sz w:val="22"/>
                <w:szCs w:val="22"/>
              </w:rPr>
              <w:t xml:space="preserve"> incidence </w:t>
            </w:r>
            <w:r w:rsidRPr="00A86D29">
              <w:rPr>
                <w:sz w:val="22"/>
                <w:szCs w:val="22"/>
              </w:rPr>
              <w:t xml:space="preserve"> </w:t>
            </w:r>
            <w:r>
              <w:rPr>
                <w:sz w:val="22"/>
                <w:szCs w:val="22"/>
              </w:rPr>
              <w:t>or birth defect</w:t>
            </w:r>
            <w:r w:rsidR="003A7FBC">
              <w:rPr>
                <w:sz w:val="22"/>
                <w:szCs w:val="22"/>
              </w:rPr>
              <w:t xml:space="preserve"> prevalence data</w:t>
            </w:r>
            <w:r w:rsidRPr="00A86D29">
              <w:rPr>
                <w:sz w:val="22"/>
                <w:szCs w:val="22"/>
              </w:rPr>
              <w:t>:</w:t>
            </w:r>
          </w:p>
          <w:p w:rsidR="00B63DD2" w:rsidRPr="00A86D29" w:rsidRDefault="00B63DD2" w:rsidP="00B63DD2">
            <w:pPr>
              <w:pStyle w:val="BodyText"/>
              <w:spacing w:after="0"/>
              <w:ind w:left="720" w:right="252"/>
              <w:rPr>
                <w:b/>
                <w:sz w:val="22"/>
                <w:szCs w:val="22"/>
              </w:rPr>
            </w:pPr>
            <w:r w:rsidRPr="00A86D29">
              <w:rPr>
                <w:b/>
                <w:sz w:val="22"/>
                <w:szCs w:val="22"/>
              </w:rPr>
              <w:t xml:space="preserve">Massachusetts Environmental Public </w:t>
            </w:r>
            <w:r>
              <w:rPr>
                <w:b/>
                <w:sz w:val="22"/>
                <w:szCs w:val="22"/>
              </w:rPr>
              <w:t xml:space="preserve">Health </w:t>
            </w:r>
            <w:r w:rsidRPr="00A86D29">
              <w:rPr>
                <w:b/>
                <w:sz w:val="22"/>
                <w:szCs w:val="22"/>
              </w:rPr>
              <w:t>Tracking</w:t>
            </w:r>
          </w:p>
          <w:p w:rsidR="00B63DD2" w:rsidRPr="003B527A" w:rsidRDefault="00B63DD2" w:rsidP="00B63DD2">
            <w:pPr>
              <w:ind w:left="720"/>
              <w:rPr>
                <w:rFonts w:ascii="Times New Roman" w:hAnsi="Times New Roman" w:cs="Times New Roman"/>
              </w:rPr>
            </w:pPr>
            <w:r w:rsidRPr="003B527A">
              <w:rPr>
                <w:rFonts w:ascii="Times New Roman" w:hAnsi="Times New Roman" w:cs="Times New Roman"/>
              </w:rPr>
              <w:t>250 Washington Street, 7th Floor</w:t>
            </w:r>
            <w:r w:rsidRPr="003B527A">
              <w:rPr>
                <w:rFonts w:ascii="Times New Roman" w:hAnsi="Times New Roman" w:cs="Times New Roman"/>
              </w:rPr>
              <w:br/>
              <w:t>Boston</w:t>
            </w:r>
            <w:r w:rsidR="006D697E">
              <w:rPr>
                <w:rFonts w:ascii="Times New Roman" w:hAnsi="Times New Roman" w:cs="Times New Roman"/>
              </w:rPr>
              <w:t>, MA</w:t>
            </w:r>
            <w:r w:rsidRPr="003B527A">
              <w:rPr>
                <w:rFonts w:ascii="Times New Roman" w:hAnsi="Times New Roman" w:cs="Times New Roman"/>
              </w:rPr>
              <w:t xml:space="preserve"> 02108</w:t>
            </w:r>
          </w:p>
          <w:p w:rsidR="00B63DD2" w:rsidRPr="003B384B" w:rsidRDefault="00B63DD2" w:rsidP="00B63DD2">
            <w:pPr>
              <w:ind w:left="720"/>
              <w:rPr>
                <w:rFonts w:ascii="Times New Roman" w:hAnsi="Times New Roman" w:cs="Times New Roman"/>
              </w:rPr>
            </w:pPr>
            <w:r w:rsidRPr="003B384B">
              <w:rPr>
                <w:rFonts w:ascii="Times New Roman" w:hAnsi="Times New Roman" w:cs="Times New Roman"/>
              </w:rPr>
              <w:t>Tel. (800) 319-3042</w:t>
            </w:r>
          </w:p>
          <w:p w:rsidR="00B63DD2" w:rsidRPr="006D36BB" w:rsidRDefault="002C6240" w:rsidP="00B63DD2">
            <w:pPr>
              <w:pStyle w:val="Header"/>
              <w:ind w:left="720"/>
              <w:rPr>
                <w:rFonts w:ascii="Times New Roman" w:hAnsi="Times New Roman" w:cs="Times New Roman"/>
                <w:highlight w:val="yellow"/>
                <w:u w:val="single"/>
              </w:rPr>
            </w:pPr>
            <w:hyperlink r:id="rId26" w:tooltip="Massachusetts Environmental Public Health Tracking" w:history="1">
              <w:r w:rsidR="00B63DD2" w:rsidRPr="00A86D29">
                <w:rPr>
                  <w:rStyle w:val="Hyperlink"/>
                  <w:rFonts w:ascii="Times New Roman" w:hAnsi="Times New Roman" w:cs="Times New Roman"/>
                </w:rPr>
                <w:t>www.mass.gov/dph/matracking</w:t>
              </w:r>
            </w:hyperlink>
          </w:p>
        </w:tc>
        <w:tc>
          <w:tcPr>
            <w:tcW w:w="4698" w:type="dxa"/>
          </w:tcPr>
          <w:p w:rsidR="00B63DD2" w:rsidRPr="006D36BB" w:rsidRDefault="00B63DD2" w:rsidP="00290F74">
            <w:pPr>
              <w:rPr>
                <w:rFonts w:ascii="Times New Roman" w:hAnsi="Times New Roman" w:cs="Times New Roman"/>
                <w:highlight w:val="yellow"/>
              </w:rPr>
            </w:pPr>
          </w:p>
          <w:p w:rsidR="00B63DD2" w:rsidRPr="006D36BB" w:rsidRDefault="00B63DD2" w:rsidP="00557281">
            <w:pPr>
              <w:ind w:right="634"/>
              <w:rPr>
                <w:rFonts w:ascii="Times New Roman" w:hAnsi="Times New Roman" w:cs="Times New Roman"/>
                <w:b/>
                <w:caps/>
                <w:highlight w:val="yellow"/>
              </w:rPr>
            </w:pPr>
          </w:p>
        </w:tc>
      </w:tr>
    </w:tbl>
    <w:p w:rsidR="006476A3" w:rsidRDefault="006476A3" w:rsidP="00CD7831">
      <w:pPr>
        <w:pStyle w:val="BodyText"/>
        <w:spacing w:after="0"/>
      </w:pPr>
    </w:p>
    <w:p w:rsidR="006476A3" w:rsidRDefault="006476A3" w:rsidP="00CD7831">
      <w:pPr>
        <w:pStyle w:val="BodyText"/>
        <w:spacing w:after="0"/>
        <w:rPr>
          <w:sz w:val="22"/>
          <w:szCs w:val="22"/>
        </w:rPr>
      </w:pPr>
    </w:p>
    <w:p w:rsidR="009E4A7A" w:rsidRPr="00D4353B" w:rsidRDefault="009E4A7A" w:rsidP="009E4A7A">
      <w:r w:rsidRPr="00D4353B">
        <w:t>This publication was made possible by Grant Number [6 NU61TS000276-03-01] from the Agency for Toxic Substances and Disease Registry. Its contents are solely the responsibility of the authors and do not necessarily represent the official views of the Agency for Toxic Substances and Disease Registry, or the Department of Health and Human Services.</w:t>
      </w:r>
    </w:p>
    <w:p w:rsidR="00CE0A71" w:rsidRPr="00290F74" w:rsidRDefault="00CE0A71" w:rsidP="009E4A7A">
      <w:pPr>
        <w:pStyle w:val="BodyText"/>
        <w:spacing w:after="0"/>
        <w:rPr>
          <w:sz w:val="22"/>
          <w:szCs w:val="22"/>
        </w:rPr>
      </w:pPr>
    </w:p>
    <w:sectPr w:rsidR="00CE0A71" w:rsidRPr="00290F74" w:rsidSect="00C04508">
      <w:headerReference w:type="even" r:id="rId27"/>
      <w:headerReference w:type="default" r:id="rId28"/>
      <w:footerReference w:type="even" r:id="rId29"/>
      <w:footerReference w:type="default" r:id="rId30"/>
      <w:headerReference w:type="first" r:id="rId31"/>
      <w:footerReference w:type="first" r:id="rId32"/>
      <w:footnotePr>
        <w:numFmt w:val="chicago"/>
      </w:footnotePr>
      <w:endnotePr>
        <w:numFmt w:val="decimal"/>
      </w:endnotePr>
      <w:pgSz w:w="12240" w:h="15840"/>
      <w:pgMar w:top="720" w:right="1008" w:bottom="720" w:left="1008"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81" w:rsidRDefault="00557281" w:rsidP="00F4412B">
      <w:pPr>
        <w:spacing w:after="0" w:line="240" w:lineRule="auto"/>
      </w:pPr>
      <w:r>
        <w:separator/>
      </w:r>
    </w:p>
  </w:endnote>
  <w:endnote w:type="continuationSeparator" w:id="0">
    <w:p w:rsidR="00557281" w:rsidRDefault="00557281" w:rsidP="00F4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C" w:rsidRDefault="002E4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15495027"/>
      <w:docPartObj>
        <w:docPartGallery w:val="Page Numbers (Bottom of Page)"/>
        <w:docPartUnique/>
      </w:docPartObj>
    </w:sdtPr>
    <w:sdtEndPr/>
    <w:sdtContent>
      <w:p w:rsidR="00557281" w:rsidRPr="00F24C25" w:rsidRDefault="00557281" w:rsidP="00F24C25">
        <w:pPr>
          <w:pStyle w:val="Footer"/>
          <w:pBdr>
            <w:top w:val="single" w:sz="4" w:space="1" w:color="auto"/>
          </w:pBdr>
          <w:tabs>
            <w:tab w:val="clear" w:pos="9360"/>
            <w:tab w:val="left" w:pos="0"/>
            <w:tab w:val="right" w:pos="10080"/>
          </w:tabs>
          <w:rPr>
            <w:sz w:val="18"/>
            <w:szCs w:val="18"/>
          </w:rPr>
        </w:pPr>
        <w:r>
          <w:rPr>
            <w:sz w:val="18"/>
            <w:szCs w:val="18"/>
          </w:rPr>
          <w:t>Environmental Epidemiology Program</w:t>
        </w:r>
        <w:r w:rsidRPr="00F24C25">
          <w:rPr>
            <w:sz w:val="18"/>
            <w:szCs w:val="18"/>
          </w:rPr>
          <w:t xml:space="preserve">, Bureau of </w:t>
        </w:r>
        <w:r>
          <w:rPr>
            <w:sz w:val="18"/>
            <w:szCs w:val="18"/>
          </w:rPr>
          <w:t xml:space="preserve">Environmental Health                                                                                                      </w:t>
        </w:r>
        <w:r w:rsidRPr="00F24C25">
          <w:rPr>
            <w:sz w:val="18"/>
            <w:szCs w:val="18"/>
          </w:rPr>
          <w:tab/>
          <w:t xml:space="preserve">Page | </w:t>
        </w:r>
        <w:r w:rsidRPr="00F24C25">
          <w:rPr>
            <w:sz w:val="18"/>
            <w:szCs w:val="18"/>
          </w:rPr>
          <w:fldChar w:fldCharType="begin"/>
        </w:r>
        <w:r w:rsidRPr="00F24C25">
          <w:rPr>
            <w:sz w:val="18"/>
            <w:szCs w:val="18"/>
          </w:rPr>
          <w:instrText xml:space="preserve"> PAGE   \* MERGEFORMAT </w:instrText>
        </w:r>
        <w:r w:rsidRPr="00F24C25">
          <w:rPr>
            <w:sz w:val="18"/>
            <w:szCs w:val="18"/>
          </w:rPr>
          <w:fldChar w:fldCharType="separate"/>
        </w:r>
        <w:r w:rsidR="006E5223">
          <w:rPr>
            <w:noProof/>
            <w:sz w:val="18"/>
            <w:szCs w:val="18"/>
          </w:rPr>
          <w:t>1</w:t>
        </w:r>
        <w:r w:rsidRPr="00F24C25">
          <w:rPr>
            <w:noProof/>
            <w:sz w:val="18"/>
            <w:szCs w:val="18"/>
          </w:rPr>
          <w:fldChar w:fldCharType="end"/>
        </w:r>
        <w:r w:rsidRPr="00F24C25">
          <w:rPr>
            <w:sz w:val="18"/>
            <w:szCs w:val="18"/>
          </w:rPr>
          <w:t xml:space="preserve"> </w:t>
        </w:r>
      </w:p>
    </w:sdtContent>
  </w:sdt>
  <w:p w:rsidR="00557281" w:rsidRDefault="00557281" w:rsidP="00E00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C" w:rsidRDefault="002E4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81" w:rsidRDefault="00557281" w:rsidP="00F4412B">
      <w:pPr>
        <w:spacing w:after="0" w:line="240" w:lineRule="auto"/>
      </w:pPr>
      <w:r>
        <w:separator/>
      </w:r>
    </w:p>
  </w:footnote>
  <w:footnote w:type="continuationSeparator" w:id="0">
    <w:p w:rsidR="00557281" w:rsidRDefault="00557281" w:rsidP="00F4412B">
      <w:pPr>
        <w:spacing w:after="0" w:line="240" w:lineRule="auto"/>
      </w:pPr>
      <w:r>
        <w:continuationSeparator/>
      </w:r>
    </w:p>
  </w:footnote>
  <w:footnote w:id="1">
    <w:p w:rsidR="00BA1484" w:rsidRDefault="00BA1484" w:rsidP="00BA1484">
      <w:pPr>
        <w:pStyle w:val="FootnoteText"/>
      </w:pPr>
      <w:r>
        <w:rPr>
          <w:rStyle w:val="FootnoteReference"/>
        </w:rPr>
        <w:footnoteRef/>
      </w:r>
      <w:r w:rsidR="003213EB">
        <w:t>A</w:t>
      </w:r>
      <w:r w:rsidRPr="00546D57">
        <w:t xml:space="preserve">n evaluation of the tobacco use history information reported to the MCR </w:t>
      </w:r>
      <w:r w:rsidR="003213EB">
        <w:t>indicates</w:t>
      </w:r>
      <w:r w:rsidRPr="00546D57">
        <w:t xml:space="preserve"> that the category of “never smoker” is less reliable than other reporting categories (such as current or former smoker). Many individuals are reported as never having smoked when, based on medical record reviews, they are individuals who are not current smokers but whose past tobacco use is unknown. These individuals should more accurately be reported as having an unknown tobacco use history rather than being categorized as never having used tobacco products. This misclassification is expected to result in an overestimate of “never smokers” and an underestimate of “former smokers”</w:t>
      </w:r>
      <w:r w:rsidR="003213EB">
        <w:t xml:space="preserve"> (MCR 2013)</w:t>
      </w:r>
      <w:r w:rsidRPr="00546D57">
        <w:t>.</w:t>
      </w:r>
    </w:p>
  </w:footnote>
  <w:footnote w:id="2">
    <w:p w:rsidR="00B90BE7" w:rsidRDefault="00B90BE7">
      <w:pPr>
        <w:pStyle w:val="FootnoteText"/>
      </w:pPr>
      <w:r>
        <w:rPr>
          <w:rStyle w:val="FootnoteReference"/>
        </w:rPr>
        <w:footnoteRef/>
      </w:r>
      <w:r>
        <w:t xml:space="preserve"> </w:t>
      </w:r>
      <w:r w:rsidRPr="00B90BE7">
        <w:t>International Classification of Diseases, 9th Revision, Centers for Disease Control, Clinical Modification/ British Pediatric Association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C" w:rsidRDefault="002E4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81" w:rsidRDefault="005572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C" w:rsidRDefault="002E4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D6E"/>
    <w:multiLevelType w:val="hybridMultilevel"/>
    <w:tmpl w:val="1478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F12FB"/>
    <w:multiLevelType w:val="hybridMultilevel"/>
    <w:tmpl w:val="C78E49EE"/>
    <w:lvl w:ilvl="0" w:tplc="FD3A56A0">
      <w:start w:val="1"/>
      <w:numFmt w:val="lowerLetter"/>
      <w:pStyle w:val="CAU4"/>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D52461F"/>
    <w:multiLevelType w:val="hybridMultilevel"/>
    <w:tmpl w:val="D1F4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376A0"/>
    <w:multiLevelType w:val="hybridMultilevel"/>
    <w:tmpl w:val="4D4A7600"/>
    <w:lvl w:ilvl="0" w:tplc="B8FC2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33A33244"/>
    <w:multiLevelType w:val="hybridMultilevel"/>
    <w:tmpl w:val="C9008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B4199"/>
    <w:multiLevelType w:val="hybridMultilevel"/>
    <w:tmpl w:val="A958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7670CB"/>
    <w:multiLevelType w:val="multilevel"/>
    <w:tmpl w:val="C34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57EDB"/>
    <w:multiLevelType w:val="hybridMultilevel"/>
    <w:tmpl w:val="C7D0135A"/>
    <w:lvl w:ilvl="0" w:tplc="E25801D4">
      <w:start w:val="1"/>
      <w:numFmt w:val="bullet"/>
      <w:lvlText w:val=""/>
      <w:lvlJc w:val="left"/>
      <w:pPr>
        <w:ind w:left="720" w:hanging="360"/>
      </w:pPr>
      <w:rPr>
        <w:rFonts w:ascii="Symbol" w:hAnsi="Symbol" w:hint="default"/>
        <w:color w:val="A86C2A"/>
      </w:rPr>
    </w:lvl>
    <w:lvl w:ilvl="1" w:tplc="C4441B4E">
      <w:start w:val="1"/>
      <w:numFmt w:val="bullet"/>
      <w:lvlText w:val="o"/>
      <w:lvlJc w:val="left"/>
      <w:pPr>
        <w:ind w:left="1440" w:hanging="360"/>
      </w:pPr>
      <w:rPr>
        <w:rFonts w:ascii="Courier New" w:hAnsi="Courier New" w:cs="Courier New" w:hint="default"/>
        <w:color w:val="A86C2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365DC"/>
    <w:multiLevelType w:val="hybridMultilevel"/>
    <w:tmpl w:val="FF8A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C7BB6"/>
    <w:multiLevelType w:val="hybridMultilevel"/>
    <w:tmpl w:val="97AC4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F6249"/>
    <w:multiLevelType w:val="hybridMultilevel"/>
    <w:tmpl w:val="8FA4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D2878"/>
    <w:multiLevelType w:val="hybridMultilevel"/>
    <w:tmpl w:val="9A402B9E"/>
    <w:lvl w:ilvl="0" w:tplc="FFFFFFFF">
      <w:start w:val="1"/>
      <w:numFmt w:val="upperLetter"/>
      <w:lvlText w:val="%1."/>
      <w:lvlJc w:val="left"/>
      <w:pPr>
        <w:tabs>
          <w:tab w:val="num" w:pos="720"/>
        </w:tabs>
        <w:ind w:left="720" w:hanging="720"/>
      </w:pPr>
      <w:rPr>
        <w:rFonts w:hint="default"/>
      </w:rPr>
    </w:lvl>
    <w:lvl w:ilvl="1" w:tplc="AEE4F696">
      <w:start w:val="1"/>
      <w:numFmt w:val="decimal"/>
      <w:pStyle w:val="CAUHeading3"/>
      <w:lvlText w:val="%2."/>
      <w:lvlJc w:val="left"/>
      <w:pPr>
        <w:tabs>
          <w:tab w:val="num" w:pos="1440"/>
        </w:tabs>
        <w:ind w:left="1440" w:hanging="360"/>
      </w:pPr>
      <w:rPr>
        <w:rFonts w:hint="default"/>
      </w:rPr>
    </w:lvl>
    <w:lvl w:ilvl="2" w:tplc="99FCD11C">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A8952BA"/>
    <w:multiLevelType w:val="hybridMultilevel"/>
    <w:tmpl w:val="FE4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64C01"/>
    <w:multiLevelType w:val="hybridMultilevel"/>
    <w:tmpl w:val="EDE4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DB095F"/>
    <w:multiLevelType w:val="hybridMultilevel"/>
    <w:tmpl w:val="0676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9"/>
  </w:num>
  <w:num w:numId="5">
    <w:abstractNumId w:val="13"/>
  </w:num>
  <w:num w:numId="6">
    <w:abstractNumId w:val="12"/>
  </w:num>
  <w:num w:numId="7">
    <w:abstractNumId w:val="0"/>
  </w:num>
  <w:num w:numId="8">
    <w:abstractNumId w:val="4"/>
  </w:num>
  <w:num w:numId="9">
    <w:abstractNumId w:val="11"/>
  </w:num>
  <w:num w:numId="10">
    <w:abstractNumId w:val="3"/>
  </w:num>
  <w:num w:numId="11">
    <w:abstractNumId w:val="1"/>
  </w:num>
  <w:num w:numId="12">
    <w:abstractNumId w:val="6"/>
  </w:num>
  <w:num w:numId="13">
    <w:abstractNumId w:val="5"/>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spelling="clean" w:grammar="clean"/>
  <w:defaultTabStop w:val="720"/>
  <w:characterSpacingControl w:val="doNotCompress"/>
  <w:hdrShapeDefaults>
    <o:shapedefaults v:ext="edit" spidmax="49153">
      <o:colormenu v:ext="edit" fillcolor="none"/>
    </o:shapedefaults>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5C"/>
    <w:rsid w:val="00000CB6"/>
    <w:rsid w:val="000019C0"/>
    <w:rsid w:val="000020AB"/>
    <w:rsid w:val="00002575"/>
    <w:rsid w:val="00003A2A"/>
    <w:rsid w:val="00004122"/>
    <w:rsid w:val="00005016"/>
    <w:rsid w:val="00007A77"/>
    <w:rsid w:val="000128AD"/>
    <w:rsid w:val="000164E9"/>
    <w:rsid w:val="000170E9"/>
    <w:rsid w:val="000203F8"/>
    <w:rsid w:val="00021C70"/>
    <w:rsid w:val="00022E0B"/>
    <w:rsid w:val="00024975"/>
    <w:rsid w:val="00024EF7"/>
    <w:rsid w:val="0002684E"/>
    <w:rsid w:val="00027BA6"/>
    <w:rsid w:val="000326A4"/>
    <w:rsid w:val="000327BD"/>
    <w:rsid w:val="00032ED2"/>
    <w:rsid w:val="000357A5"/>
    <w:rsid w:val="00036896"/>
    <w:rsid w:val="00036A38"/>
    <w:rsid w:val="00044A73"/>
    <w:rsid w:val="000456A1"/>
    <w:rsid w:val="00045E29"/>
    <w:rsid w:val="00047764"/>
    <w:rsid w:val="00050016"/>
    <w:rsid w:val="00052657"/>
    <w:rsid w:val="000527A6"/>
    <w:rsid w:val="00052EDD"/>
    <w:rsid w:val="000533BC"/>
    <w:rsid w:val="0005730F"/>
    <w:rsid w:val="0005775C"/>
    <w:rsid w:val="00057819"/>
    <w:rsid w:val="00060D2C"/>
    <w:rsid w:val="00062795"/>
    <w:rsid w:val="00062908"/>
    <w:rsid w:val="00063A3F"/>
    <w:rsid w:val="00065F1E"/>
    <w:rsid w:val="00066314"/>
    <w:rsid w:val="000665C4"/>
    <w:rsid w:val="00066B0B"/>
    <w:rsid w:val="0006737A"/>
    <w:rsid w:val="0007046D"/>
    <w:rsid w:val="00070696"/>
    <w:rsid w:val="00070C07"/>
    <w:rsid w:val="00071C3E"/>
    <w:rsid w:val="000720B7"/>
    <w:rsid w:val="00074474"/>
    <w:rsid w:val="00074D42"/>
    <w:rsid w:val="00075273"/>
    <w:rsid w:val="0008181A"/>
    <w:rsid w:val="00081EA6"/>
    <w:rsid w:val="00081EB6"/>
    <w:rsid w:val="00083A18"/>
    <w:rsid w:val="00086EDA"/>
    <w:rsid w:val="00086F27"/>
    <w:rsid w:val="00087FE9"/>
    <w:rsid w:val="000903B0"/>
    <w:rsid w:val="00091639"/>
    <w:rsid w:val="00093DA4"/>
    <w:rsid w:val="000946B4"/>
    <w:rsid w:val="0009524D"/>
    <w:rsid w:val="000957DA"/>
    <w:rsid w:val="0009611F"/>
    <w:rsid w:val="000A2AFE"/>
    <w:rsid w:val="000A2E73"/>
    <w:rsid w:val="000A3542"/>
    <w:rsid w:val="000A4BB2"/>
    <w:rsid w:val="000A5085"/>
    <w:rsid w:val="000B1428"/>
    <w:rsid w:val="000B43FB"/>
    <w:rsid w:val="000B484E"/>
    <w:rsid w:val="000B5A02"/>
    <w:rsid w:val="000B6328"/>
    <w:rsid w:val="000B63A8"/>
    <w:rsid w:val="000B6949"/>
    <w:rsid w:val="000B7494"/>
    <w:rsid w:val="000C237F"/>
    <w:rsid w:val="000C6247"/>
    <w:rsid w:val="000C6D82"/>
    <w:rsid w:val="000D1005"/>
    <w:rsid w:val="000D100B"/>
    <w:rsid w:val="000D13ED"/>
    <w:rsid w:val="000D1DFA"/>
    <w:rsid w:val="000D2074"/>
    <w:rsid w:val="000D286B"/>
    <w:rsid w:val="000D6608"/>
    <w:rsid w:val="000D705C"/>
    <w:rsid w:val="000E2BBC"/>
    <w:rsid w:val="000E5B57"/>
    <w:rsid w:val="000E6FEE"/>
    <w:rsid w:val="000E75F9"/>
    <w:rsid w:val="000E7E76"/>
    <w:rsid w:val="000F0FD1"/>
    <w:rsid w:val="000F1A8D"/>
    <w:rsid w:val="000F2A22"/>
    <w:rsid w:val="000F78DC"/>
    <w:rsid w:val="00103DEF"/>
    <w:rsid w:val="00103F95"/>
    <w:rsid w:val="001049D9"/>
    <w:rsid w:val="00104DA6"/>
    <w:rsid w:val="00106067"/>
    <w:rsid w:val="0010732D"/>
    <w:rsid w:val="001118F9"/>
    <w:rsid w:val="001138CB"/>
    <w:rsid w:val="001139DC"/>
    <w:rsid w:val="00117474"/>
    <w:rsid w:val="00122899"/>
    <w:rsid w:val="001232F7"/>
    <w:rsid w:val="001242AC"/>
    <w:rsid w:val="00125D2E"/>
    <w:rsid w:val="00125F9C"/>
    <w:rsid w:val="00130945"/>
    <w:rsid w:val="00131653"/>
    <w:rsid w:val="001323D6"/>
    <w:rsid w:val="00134B7F"/>
    <w:rsid w:val="0013566D"/>
    <w:rsid w:val="00137C07"/>
    <w:rsid w:val="0014033B"/>
    <w:rsid w:val="00140ECC"/>
    <w:rsid w:val="0014140B"/>
    <w:rsid w:val="00141AB4"/>
    <w:rsid w:val="00142531"/>
    <w:rsid w:val="0014407E"/>
    <w:rsid w:val="00147F1D"/>
    <w:rsid w:val="00150258"/>
    <w:rsid w:val="0015037E"/>
    <w:rsid w:val="00153D96"/>
    <w:rsid w:val="0015414D"/>
    <w:rsid w:val="001569F4"/>
    <w:rsid w:val="00156EB7"/>
    <w:rsid w:val="00156FCA"/>
    <w:rsid w:val="00157186"/>
    <w:rsid w:val="00161A12"/>
    <w:rsid w:val="00162D49"/>
    <w:rsid w:val="00165962"/>
    <w:rsid w:val="00165F90"/>
    <w:rsid w:val="0017177B"/>
    <w:rsid w:val="001719ED"/>
    <w:rsid w:val="0017389B"/>
    <w:rsid w:val="001758FC"/>
    <w:rsid w:val="00177219"/>
    <w:rsid w:val="00177F14"/>
    <w:rsid w:val="00182249"/>
    <w:rsid w:val="00190349"/>
    <w:rsid w:val="001906AD"/>
    <w:rsid w:val="0019550F"/>
    <w:rsid w:val="001970AA"/>
    <w:rsid w:val="001A3569"/>
    <w:rsid w:val="001A5481"/>
    <w:rsid w:val="001A5599"/>
    <w:rsid w:val="001A67D5"/>
    <w:rsid w:val="001A7FCA"/>
    <w:rsid w:val="001B214E"/>
    <w:rsid w:val="001B28B5"/>
    <w:rsid w:val="001B3131"/>
    <w:rsid w:val="001B60DA"/>
    <w:rsid w:val="001B6CF7"/>
    <w:rsid w:val="001B7CB6"/>
    <w:rsid w:val="001C190D"/>
    <w:rsid w:val="001C2E9D"/>
    <w:rsid w:val="001C316B"/>
    <w:rsid w:val="001C3B03"/>
    <w:rsid w:val="001C4019"/>
    <w:rsid w:val="001C594A"/>
    <w:rsid w:val="001C5F9E"/>
    <w:rsid w:val="001D1EDF"/>
    <w:rsid w:val="001D42A7"/>
    <w:rsid w:val="001D59CC"/>
    <w:rsid w:val="001D6354"/>
    <w:rsid w:val="001E19D5"/>
    <w:rsid w:val="001E2021"/>
    <w:rsid w:val="001E579D"/>
    <w:rsid w:val="001F2C71"/>
    <w:rsid w:val="001F4607"/>
    <w:rsid w:val="001F4C65"/>
    <w:rsid w:val="001F731F"/>
    <w:rsid w:val="0020153A"/>
    <w:rsid w:val="002022D8"/>
    <w:rsid w:val="002023EC"/>
    <w:rsid w:val="002044E6"/>
    <w:rsid w:val="00205EEF"/>
    <w:rsid w:val="00207526"/>
    <w:rsid w:val="00207584"/>
    <w:rsid w:val="0021106D"/>
    <w:rsid w:val="00211417"/>
    <w:rsid w:val="00214DCC"/>
    <w:rsid w:val="00215147"/>
    <w:rsid w:val="00216A38"/>
    <w:rsid w:val="00216C95"/>
    <w:rsid w:val="00216F2B"/>
    <w:rsid w:val="00223057"/>
    <w:rsid w:val="00224F94"/>
    <w:rsid w:val="00226170"/>
    <w:rsid w:val="00231863"/>
    <w:rsid w:val="002321D0"/>
    <w:rsid w:val="00232200"/>
    <w:rsid w:val="002337F2"/>
    <w:rsid w:val="002340A4"/>
    <w:rsid w:val="0023425A"/>
    <w:rsid w:val="0023518A"/>
    <w:rsid w:val="00237D12"/>
    <w:rsid w:val="002413AC"/>
    <w:rsid w:val="00241CC6"/>
    <w:rsid w:val="00243C8C"/>
    <w:rsid w:val="002449EC"/>
    <w:rsid w:val="00246147"/>
    <w:rsid w:val="002469D2"/>
    <w:rsid w:val="00246F76"/>
    <w:rsid w:val="002503DC"/>
    <w:rsid w:val="00250512"/>
    <w:rsid w:val="0025079E"/>
    <w:rsid w:val="00250C38"/>
    <w:rsid w:val="00252D06"/>
    <w:rsid w:val="002537A4"/>
    <w:rsid w:val="002628C5"/>
    <w:rsid w:val="00262C46"/>
    <w:rsid w:val="0026352B"/>
    <w:rsid w:val="0026571C"/>
    <w:rsid w:val="002663F0"/>
    <w:rsid w:val="00266729"/>
    <w:rsid w:val="00271397"/>
    <w:rsid w:val="0027338D"/>
    <w:rsid w:val="00274D8C"/>
    <w:rsid w:val="002757C3"/>
    <w:rsid w:val="00277BD2"/>
    <w:rsid w:val="002813D1"/>
    <w:rsid w:val="00281FAB"/>
    <w:rsid w:val="00282601"/>
    <w:rsid w:val="00282627"/>
    <w:rsid w:val="00283199"/>
    <w:rsid w:val="0028332B"/>
    <w:rsid w:val="00283BC5"/>
    <w:rsid w:val="00285350"/>
    <w:rsid w:val="00285C15"/>
    <w:rsid w:val="0028779D"/>
    <w:rsid w:val="002903FC"/>
    <w:rsid w:val="00290F74"/>
    <w:rsid w:val="00292449"/>
    <w:rsid w:val="00292C35"/>
    <w:rsid w:val="002936E1"/>
    <w:rsid w:val="002964C5"/>
    <w:rsid w:val="002A415F"/>
    <w:rsid w:val="002A4811"/>
    <w:rsid w:val="002A5AA2"/>
    <w:rsid w:val="002A756E"/>
    <w:rsid w:val="002A7B3D"/>
    <w:rsid w:val="002B00B7"/>
    <w:rsid w:val="002B048D"/>
    <w:rsid w:val="002B1115"/>
    <w:rsid w:val="002B1B4B"/>
    <w:rsid w:val="002B1FAC"/>
    <w:rsid w:val="002B1FC4"/>
    <w:rsid w:val="002B284D"/>
    <w:rsid w:val="002B2BC2"/>
    <w:rsid w:val="002B34BF"/>
    <w:rsid w:val="002B4DED"/>
    <w:rsid w:val="002B604F"/>
    <w:rsid w:val="002B7723"/>
    <w:rsid w:val="002B79D5"/>
    <w:rsid w:val="002C244F"/>
    <w:rsid w:val="002C2A5B"/>
    <w:rsid w:val="002C33BE"/>
    <w:rsid w:val="002C42B8"/>
    <w:rsid w:val="002C6914"/>
    <w:rsid w:val="002C6F07"/>
    <w:rsid w:val="002D03C0"/>
    <w:rsid w:val="002D24B6"/>
    <w:rsid w:val="002D291C"/>
    <w:rsid w:val="002D29BC"/>
    <w:rsid w:val="002D35C5"/>
    <w:rsid w:val="002D37F3"/>
    <w:rsid w:val="002D43CC"/>
    <w:rsid w:val="002D53A6"/>
    <w:rsid w:val="002D559B"/>
    <w:rsid w:val="002D65C5"/>
    <w:rsid w:val="002D696A"/>
    <w:rsid w:val="002D6BE6"/>
    <w:rsid w:val="002D7533"/>
    <w:rsid w:val="002D7CD7"/>
    <w:rsid w:val="002E490F"/>
    <w:rsid w:val="002E492C"/>
    <w:rsid w:val="002E4D20"/>
    <w:rsid w:val="002E6D5A"/>
    <w:rsid w:val="002E7F18"/>
    <w:rsid w:val="002F3502"/>
    <w:rsid w:val="002F44CC"/>
    <w:rsid w:val="002F591A"/>
    <w:rsid w:val="002F60DF"/>
    <w:rsid w:val="00304141"/>
    <w:rsid w:val="00304A96"/>
    <w:rsid w:val="00305875"/>
    <w:rsid w:val="003058FA"/>
    <w:rsid w:val="00305E34"/>
    <w:rsid w:val="003073BE"/>
    <w:rsid w:val="003074CC"/>
    <w:rsid w:val="00310434"/>
    <w:rsid w:val="003106AE"/>
    <w:rsid w:val="00310C40"/>
    <w:rsid w:val="00311EE9"/>
    <w:rsid w:val="0031652F"/>
    <w:rsid w:val="003213EB"/>
    <w:rsid w:val="00323CF8"/>
    <w:rsid w:val="00326DEC"/>
    <w:rsid w:val="003344DC"/>
    <w:rsid w:val="00334D3E"/>
    <w:rsid w:val="0033570B"/>
    <w:rsid w:val="003363F8"/>
    <w:rsid w:val="003369CB"/>
    <w:rsid w:val="0033760C"/>
    <w:rsid w:val="00340A96"/>
    <w:rsid w:val="00343912"/>
    <w:rsid w:val="003447B3"/>
    <w:rsid w:val="00344984"/>
    <w:rsid w:val="003479C2"/>
    <w:rsid w:val="003528F9"/>
    <w:rsid w:val="00354CBE"/>
    <w:rsid w:val="00355422"/>
    <w:rsid w:val="003555A1"/>
    <w:rsid w:val="003578F8"/>
    <w:rsid w:val="00357F08"/>
    <w:rsid w:val="003601B8"/>
    <w:rsid w:val="00361138"/>
    <w:rsid w:val="00363BFD"/>
    <w:rsid w:val="003642B8"/>
    <w:rsid w:val="00365099"/>
    <w:rsid w:val="0036570F"/>
    <w:rsid w:val="00365D07"/>
    <w:rsid w:val="00366DC9"/>
    <w:rsid w:val="00367F6A"/>
    <w:rsid w:val="0037003D"/>
    <w:rsid w:val="003728A1"/>
    <w:rsid w:val="003746F0"/>
    <w:rsid w:val="003755E1"/>
    <w:rsid w:val="00377F7F"/>
    <w:rsid w:val="003815D5"/>
    <w:rsid w:val="00381A2C"/>
    <w:rsid w:val="00381B19"/>
    <w:rsid w:val="00382D25"/>
    <w:rsid w:val="00383AAC"/>
    <w:rsid w:val="00385847"/>
    <w:rsid w:val="0039473E"/>
    <w:rsid w:val="00396EC8"/>
    <w:rsid w:val="003A17D1"/>
    <w:rsid w:val="003A1E05"/>
    <w:rsid w:val="003A3AA1"/>
    <w:rsid w:val="003A49A2"/>
    <w:rsid w:val="003A4E26"/>
    <w:rsid w:val="003A5C18"/>
    <w:rsid w:val="003A68F6"/>
    <w:rsid w:val="003A7FBC"/>
    <w:rsid w:val="003B04DD"/>
    <w:rsid w:val="003B384B"/>
    <w:rsid w:val="003B527A"/>
    <w:rsid w:val="003B697D"/>
    <w:rsid w:val="003B6C10"/>
    <w:rsid w:val="003B71D8"/>
    <w:rsid w:val="003B7A6E"/>
    <w:rsid w:val="003B7CB7"/>
    <w:rsid w:val="003C0A51"/>
    <w:rsid w:val="003C2F4E"/>
    <w:rsid w:val="003C4927"/>
    <w:rsid w:val="003D15CC"/>
    <w:rsid w:val="003D26A7"/>
    <w:rsid w:val="003D3CDF"/>
    <w:rsid w:val="003D6C2B"/>
    <w:rsid w:val="003D7D5A"/>
    <w:rsid w:val="003E063C"/>
    <w:rsid w:val="003E1CE5"/>
    <w:rsid w:val="003E1DFF"/>
    <w:rsid w:val="003E2E92"/>
    <w:rsid w:val="003E3CCB"/>
    <w:rsid w:val="003E50C7"/>
    <w:rsid w:val="003E591A"/>
    <w:rsid w:val="003F0DE4"/>
    <w:rsid w:val="003F45AC"/>
    <w:rsid w:val="00402D6B"/>
    <w:rsid w:val="00403131"/>
    <w:rsid w:val="004035B4"/>
    <w:rsid w:val="00403E10"/>
    <w:rsid w:val="00405168"/>
    <w:rsid w:val="004056F1"/>
    <w:rsid w:val="00410954"/>
    <w:rsid w:val="004137F9"/>
    <w:rsid w:val="00415C8F"/>
    <w:rsid w:val="004205F3"/>
    <w:rsid w:val="0042060E"/>
    <w:rsid w:val="00421093"/>
    <w:rsid w:val="00421C8D"/>
    <w:rsid w:val="004241F2"/>
    <w:rsid w:val="00425DBC"/>
    <w:rsid w:val="0042615A"/>
    <w:rsid w:val="0042778B"/>
    <w:rsid w:val="004301FE"/>
    <w:rsid w:val="0043108F"/>
    <w:rsid w:val="0043297A"/>
    <w:rsid w:val="004333F9"/>
    <w:rsid w:val="00436C1B"/>
    <w:rsid w:val="004420D1"/>
    <w:rsid w:val="00444C58"/>
    <w:rsid w:val="004507E0"/>
    <w:rsid w:val="0045451F"/>
    <w:rsid w:val="004554DC"/>
    <w:rsid w:val="00460B72"/>
    <w:rsid w:val="0046122A"/>
    <w:rsid w:val="0046351F"/>
    <w:rsid w:val="0046543E"/>
    <w:rsid w:val="00465959"/>
    <w:rsid w:val="00466476"/>
    <w:rsid w:val="00470264"/>
    <w:rsid w:val="00471E5C"/>
    <w:rsid w:val="0047284F"/>
    <w:rsid w:val="00472FC9"/>
    <w:rsid w:val="00473CA2"/>
    <w:rsid w:val="00474F88"/>
    <w:rsid w:val="0048062E"/>
    <w:rsid w:val="004816D6"/>
    <w:rsid w:val="0048203B"/>
    <w:rsid w:val="00485723"/>
    <w:rsid w:val="00487333"/>
    <w:rsid w:val="004901B4"/>
    <w:rsid w:val="004909B6"/>
    <w:rsid w:val="00491544"/>
    <w:rsid w:val="004918AB"/>
    <w:rsid w:val="00494123"/>
    <w:rsid w:val="004A4225"/>
    <w:rsid w:val="004A6137"/>
    <w:rsid w:val="004A7262"/>
    <w:rsid w:val="004A78E4"/>
    <w:rsid w:val="004B4D1F"/>
    <w:rsid w:val="004C2851"/>
    <w:rsid w:val="004C316F"/>
    <w:rsid w:val="004C4CD6"/>
    <w:rsid w:val="004C52AD"/>
    <w:rsid w:val="004D0168"/>
    <w:rsid w:val="004D1B4F"/>
    <w:rsid w:val="004D21A6"/>
    <w:rsid w:val="004D35A5"/>
    <w:rsid w:val="004D4A45"/>
    <w:rsid w:val="004D6962"/>
    <w:rsid w:val="004D6DAD"/>
    <w:rsid w:val="004D71D8"/>
    <w:rsid w:val="004D7311"/>
    <w:rsid w:val="004D7AC5"/>
    <w:rsid w:val="004E5DA3"/>
    <w:rsid w:val="004E6CDD"/>
    <w:rsid w:val="004E7316"/>
    <w:rsid w:val="004E7B1D"/>
    <w:rsid w:val="004E7E7F"/>
    <w:rsid w:val="004F04F3"/>
    <w:rsid w:val="004F19BF"/>
    <w:rsid w:val="004F1C27"/>
    <w:rsid w:val="004F1EE1"/>
    <w:rsid w:val="004F1F6E"/>
    <w:rsid w:val="004F2279"/>
    <w:rsid w:val="004F3292"/>
    <w:rsid w:val="004F534F"/>
    <w:rsid w:val="004F5426"/>
    <w:rsid w:val="004F61AB"/>
    <w:rsid w:val="004F6DDF"/>
    <w:rsid w:val="004F7F0F"/>
    <w:rsid w:val="00500C44"/>
    <w:rsid w:val="00500E6F"/>
    <w:rsid w:val="00503EA0"/>
    <w:rsid w:val="00504EFB"/>
    <w:rsid w:val="00506AE8"/>
    <w:rsid w:val="0051084C"/>
    <w:rsid w:val="00511484"/>
    <w:rsid w:val="005115EC"/>
    <w:rsid w:val="00511D0A"/>
    <w:rsid w:val="00513A8F"/>
    <w:rsid w:val="005147F1"/>
    <w:rsid w:val="00514DF4"/>
    <w:rsid w:val="0051522C"/>
    <w:rsid w:val="00515E34"/>
    <w:rsid w:val="00520A6B"/>
    <w:rsid w:val="00521685"/>
    <w:rsid w:val="00522646"/>
    <w:rsid w:val="005237B6"/>
    <w:rsid w:val="00523F5C"/>
    <w:rsid w:val="005244DC"/>
    <w:rsid w:val="0052497D"/>
    <w:rsid w:val="005260A8"/>
    <w:rsid w:val="00526EC4"/>
    <w:rsid w:val="005300A3"/>
    <w:rsid w:val="00532A21"/>
    <w:rsid w:val="0053451E"/>
    <w:rsid w:val="005346D0"/>
    <w:rsid w:val="00536DB5"/>
    <w:rsid w:val="005372D6"/>
    <w:rsid w:val="0054125D"/>
    <w:rsid w:val="005415FF"/>
    <w:rsid w:val="005417B2"/>
    <w:rsid w:val="00546D57"/>
    <w:rsid w:val="00547E9A"/>
    <w:rsid w:val="0055083D"/>
    <w:rsid w:val="005519A0"/>
    <w:rsid w:val="00553EE6"/>
    <w:rsid w:val="00555760"/>
    <w:rsid w:val="00557281"/>
    <w:rsid w:val="00560AAD"/>
    <w:rsid w:val="0056328F"/>
    <w:rsid w:val="0056797D"/>
    <w:rsid w:val="00567C5B"/>
    <w:rsid w:val="005709F4"/>
    <w:rsid w:val="0057271F"/>
    <w:rsid w:val="0057341F"/>
    <w:rsid w:val="00575169"/>
    <w:rsid w:val="00575C8B"/>
    <w:rsid w:val="005812E2"/>
    <w:rsid w:val="0058361A"/>
    <w:rsid w:val="00584786"/>
    <w:rsid w:val="0058704B"/>
    <w:rsid w:val="00587527"/>
    <w:rsid w:val="005902E7"/>
    <w:rsid w:val="0059248C"/>
    <w:rsid w:val="005929D6"/>
    <w:rsid w:val="005963CC"/>
    <w:rsid w:val="005970E0"/>
    <w:rsid w:val="005975F1"/>
    <w:rsid w:val="00597623"/>
    <w:rsid w:val="00597718"/>
    <w:rsid w:val="005A04C7"/>
    <w:rsid w:val="005A1284"/>
    <w:rsid w:val="005A67E0"/>
    <w:rsid w:val="005A73B9"/>
    <w:rsid w:val="005B16E4"/>
    <w:rsid w:val="005B1C2E"/>
    <w:rsid w:val="005B20E6"/>
    <w:rsid w:val="005B4D56"/>
    <w:rsid w:val="005B6197"/>
    <w:rsid w:val="005B7E0E"/>
    <w:rsid w:val="005C0570"/>
    <w:rsid w:val="005C1AE7"/>
    <w:rsid w:val="005C3DC0"/>
    <w:rsid w:val="005C4200"/>
    <w:rsid w:val="005C5558"/>
    <w:rsid w:val="005C76C9"/>
    <w:rsid w:val="005C7848"/>
    <w:rsid w:val="005D2900"/>
    <w:rsid w:val="005D30B6"/>
    <w:rsid w:val="005D4639"/>
    <w:rsid w:val="005D656D"/>
    <w:rsid w:val="005E080F"/>
    <w:rsid w:val="005E15BF"/>
    <w:rsid w:val="005E1769"/>
    <w:rsid w:val="005E1FDF"/>
    <w:rsid w:val="005E37BA"/>
    <w:rsid w:val="005E71B7"/>
    <w:rsid w:val="005F0A6C"/>
    <w:rsid w:val="005F2531"/>
    <w:rsid w:val="005F3094"/>
    <w:rsid w:val="005F32B7"/>
    <w:rsid w:val="006018C9"/>
    <w:rsid w:val="00603002"/>
    <w:rsid w:val="006031FB"/>
    <w:rsid w:val="006039B3"/>
    <w:rsid w:val="006102CC"/>
    <w:rsid w:val="006105E5"/>
    <w:rsid w:val="00612473"/>
    <w:rsid w:val="0061438C"/>
    <w:rsid w:val="00616B58"/>
    <w:rsid w:val="006176D3"/>
    <w:rsid w:val="0062030E"/>
    <w:rsid w:val="006232C7"/>
    <w:rsid w:val="00623883"/>
    <w:rsid w:val="00623BBA"/>
    <w:rsid w:val="00624089"/>
    <w:rsid w:val="00624A3D"/>
    <w:rsid w:val="00630289"/>
    <w:rsid w:val="006315DD"/>
    <w:rsid w:val="00631731"/>
    <w:rsid w:val="006320BB"/>
    <w:rsid w:val="0063285D"/>
    <w:rsid w:val="00633578"/>
    <w:rsid w:val="00635102"/>
    <w:rsid w:val="0063541A"/>
    <w:rsid w:val="006363EA"/>
    <w:rsid w:val="0063745C"/>
    <w:rsid w:val="0064150D"/>
    <w:rsid w:val="0064206C"/>
    <w:rsid w:val="006440BF"/>
    <w:rsid w:val="00646EA5"/>
    <w:rsid w:val="006476A3"/>
    <w:rsid w:val="00647ECA"/>
    <w:rsid w:val="006505EC"/>
    <w:rsid w:val="00653826"/>
    <w:rsid w:val="00655006"/>
    <w:rsid w:val="00655EC6"/>
    <w:rsid w:val="00656702"/>
    <w:rsid w:val="00657A07"/>
    <w:rsid w:val="00657DB9"/>
    <w:rsid w:val="006600C8"/>
    <w:rsid w:val="006613B4"/>
    <w:rsid w:val="00666D0C"/>
    <w:rsid w:val="0066733B"/>
    <w:rsid w:val="00667C8F"/>
    <w:rsid w:val="006720D9"/>
    <w:rsid w:val="00672867"/>
    <w:rsid w:val="006728E8"/>
    <w:rsid w:val="006747EA"/>
    <w:rsid w:val="00674A75"/>
    <w:rsid w:val="00675066"/>
    <w:rsid w:val="00675522"/>
    <w:rsid w:val="00675902"/>
    <w:rsid w:val="00677420"/>
    <w:rsid w:val="00682BFD"/>
    <w:rsid w:val="006835D5"/>
    <w:rsid w:val="0068478A"/>
    <w:rsid w:val="006915BA"/>
    <w:rsid w:val="0069161E"/>
    <w:rsid w:val="00691A6F"/>
    <w:rsid w:val="0069482D"/>
    <w:rsid w:val="00695407"/>
    <w:rsid w:val="00697F3B"/>
    <w:rsid w:val="006A13AC"/>
    <w:rsid w:val="006A2410"/>
    <w:rsid w:val="006A2461"/>
    <w:rsid w:val="006A5C52"/>
    <w:rsid w:val="006A7C9F"/>
    <w:rsid w:val="006B036D"/>
    <w:rsid w:val="006B28EA"/>
    <w:rsid w:val="006B4E1C"/>
    <w:rsid w:val="006B6C13"/>
    <w:rsid w:val="006B7304"/>
    <w:rsid w:val="006C0F69"/>
    <w:rsid w:val="006C11F6"/>
    <w:rsid w:val="006C1544"/>
    <w:rsid w:val="006C16B2"/>
    <w:rsid w:val="006C4236"/>
    <w:rsid w:val="006C61B7"/>
    <w:rsid w:val="006D36BB"/>
    <w:rsid w:val="006D697E"/>
    <w:rsid w:val="006E07E7"/>
    <w:rsid w:val="006E2A3F"/>
    <w:rsid w:val="006E5223"/>
    <w:rsid w:val="006E5F0A"/>
    <w:rsid w:val="006E6AF8"/>
    <w:rsid w:val="006E7CA6"/>
    <w:rsid w:val="006F0632"/>
    <w:rsid w:val="006F1144"/>
    <w:rsid w:val="006F1461"/>
    <w:rsid w:val="006F221B"/>
    <w:rsid w:val="006F4CF1"/>
    <w:rsid w:val="006F4E1F"/>
    <w:rsid w:val="006F50B1"/>
    <w:rsid w:val="006F5407"/>
    <w:rsid w:val="006F79EE"/>
    <w:rsid w:val="007023A3"/>
    <w:rsid w:val="0070241E"/>
    <w:rsid w:val="00712595"/>
    <w:rsid w:val="007126DA"/>
    <w:rsid w:val="00714D44"/>
    <w:rsid w:val="0071706A"/>
    <w:rsid w:val="00724500"/>
    <w:rsid w:val="00726390"/>
    <w:rsid w:val="007264E3"/>
    <w:rsid w:val="00727B43"/>
    <w:rsid w:val="00733FA7"/>
    <w:rsid w:val="00735EE5"/>
    <w:rsid w:val="00736486"/>
    <w:rsid w:val="00745F41"/>
    <w:rsid w:val="007511A3"/>
    <w:rsid w:val="007511A8"/>
    <w:rsid w:val="00751D8B"/>
    <w:rsid w:val="0075464D"/>
    <w:rsid w:val="007551E4"/>
    <w:rsid w:val="00755488"/>
    <w:rsid w:val="0075739B"/>
    <w:rsid w:val="0075747A"/>
    <w:rsid w:val="00760589"/>
    <w:rsid w:val="00760C42"/>
    <w:rsid w:val="00761EA3"/>
    <w:rsid w:val="00763BC8"/>
    <w:rsid w:val="007649EF"/>
    <w:rsid w:val="00766FBB"/>
    <w:rsid w:val="0076718A"/>
    <w:rsid w:val="00767F07"/>
    <w:rsid w:val="0077228D"/>
    <w:rsid w:val="00772AD9"/>
    <w:rsid w:val="007738A3"/>
    <w:rsid w:val="007741A5"/>
    <w:rsid w:val="00774229"/>
    <w:rsid w:val="00774784"/>
    <w:rsid w:val="00775634"/>
    <w:rsid w:val="007762B6"/>
    <w:rsid w:val="0077645E"/>
    <w:rsid w:val="00777BF0"/>
    <w:rsid w:val="007805DB"/>
    <w:rsid w:val="00780EE8"/>
    <w:rsid w:val="00782309"/>
    <w:rsid w:val="00784544"/>
    <w:rsid w:val="00785260"/>
    <w:rsid w:val="00785B29"/>
    <w:rsid w:val="00785C94"/>
    <w:rsid w:val="007862BB"/>
    <w:rsid w:val="0078786E"/>
    <w:rsid w:val="00787BF2"/>
    <w:rsid w:val="007908D0"/>
    <w:rsid w:val="007917A9"/>
    <w:rsid w:val="007928D9"/>
    <w:rsid w:val="00794F2B"/>
    <w:rsid w:val="00797AD6"/>
    <w:rsid w:val="007A02A3"/>
    <w:rsid w:val="007A035C"/>
    <w:rsid w:val="007A04CB"/>
    <w:rsid w:val="007A165B"/>
    <w:rsid w:val="007A1B68"/>
    <w:rsid w:val="007A2791"/>
    <w:rsid w:val="007A2BDF"/>
    <w:rsid w:val="007A47AD"/>
    <w:rsid w:val="007A4910"/>
    <w:rsid w:val="007A4CDB"/>
    <w:rsid w:val="007B02C2"/>
    <w:rsid w:val="007B2CE1"/>
    <w:rsid w:val="007B2CF5"/>
    <w:rsid w:val="007B4211"/>
    <w:rsid w:val="007B4C5C"/>
    <w:rsid w:val="007B51D9"/>
    <w:rsid w:val="007B5A77"/>
    <w:rsid w:val="007B642B"/>
    <w:rsid w:val="007B6C1F"/>
    <w:rsid w:val="007B6E0F"/>
    <w:rsid w:val="007B7286"/>
    <w:rsid w:val="007B791A"/>
    <w:rsid w:val="007C1628"/>
    <w:rsid w:val="007C2689"/>
    <w:rsid w:val="007C303B"/>
    <w:rsid w:val="007C3D26"/>
    <w:rsid w:val="007C421C"/>
    <w:rsid w:val="007C57A8"/>
    <w:rsid w:val="007C57BB"/>
    <w:rsid w:val="007D1C74"/>
    <w:rsid w:val="007D1D96"/>
    <w:rsid w:val="007D3DAC"/>
    <w:rsid w:val="007D4DD1"/>
    <w:rsid w:val="007D527B"/>
    <w:rsid w:val="007D5BB7"/>
    <w:rsid w:val="007D610C"/>
    <w:rsid w:val="007D62E2"/>
    <w:rsid w:val="007D6826"/>
    <w:rsid w:val="007D75A1"/>
    <w:rsid w:val="007E1ADB"/>
    <w:rsid w:val="007E2404"/>
    <w:rsid w:val="007E4B26"/>
    <w:rsid w:val="007E60F3"/>
    <w:rsid w:val="007F0CD6"/>
    <w:rsid w:val="007F0FF7"/>
    <w:rsid w:val="007F169C"/>
    <w:rsid w:val="007F491C"/>
    <w:rsid w:val="007F4B21"/>
    <w:rsid w:val="007F5014"/>
    <w:rsid w:val="007F5E64"/>
    <w:rsid w:val="007F65AB"/>
    <w:rsid w:val="007F7212"/>
    <w:rsid w:val="007F7551"/>
    <w:rsid w:val="008018FF"/>
    <w:rsid w:val="00801C47"/>
    <w:rsid w:val="00802CA5"/>
    <w:rsid w:val="008035A8"/>
    <w:rsid w:val="008058E4"/>
    <w:rsid w:val="00807346"/>
    <w:rsid w:val="00807DC5"/>
    <w:rsid w:val="008109CA"/>
    <w:rsid w:val="00813105"/>
    <w:rsid w:val="00814FFB"/>
    <w:rsid w:val="00816460"/>
    <w:rsid w:val="008165AA"/>
    <w:rsid w:val="00820324"/>
    <w:rsid w:val="00820F01"/>
    <w:rsid w:val="00821A7F"/>
    <w:rsid w:val="00821CFF"/>
    <w:rsid w:val="00821F4D"/>
    <w:rsid w:val="00821F57"/>
    <w:rsid w:val="0082268E"/>
    <w:rsid w:val="008236EF"/>
    <w:rsid w:val="008242A3"/>
    <w:rsid w:val="00824435"/>
    <w:rsid w:val="00825EA0"/>
    <w:rsid w:val="00830582"/>
    <w:rsid w:val="008308DB"/>
    <w:rsid w:val="00831DCE"/>
    <w:rsid w:val="00832A42"/>
    <w:rsid w:val="008344B4"/>
    <w:rsid w:val="00840EE3"/>
    <w:rsid w:val="0084161A"/>
    <w:rsid w:val="008433F0"/>
    <w:rsid w:val="008460D5"/>
    <w:rsid w:val="00850F1B"/>
    <w:rsid w:val="00856D69"/>
    <w:rsid w:val="008603ED"/>
    <w:rsid w:val="008614EF"/>
    <w:rsid w:val="00861949"/>
    <w:rsid w:val="00863634"/>
    <w:rsid w:val="00864682"/>
    <w:rsid w:val="00864A47"/>
    <w:rsid w:val="00865406"/>
    <w:rsid w:val="00866A55"/>
    <w:rsid w:val="00867873"/>
    <w:rsid w:val="0087006D"/>
    <w:rsid w:val="00871390"/>
    <w:rsid w:val="00871B39"/>
    <w:rsid w:val="008730A7"/>
    <w:rsid w:val="00876084"/>
    <w:rsid w:val="00881334"/>
    <w:rsid w:val="00882738"/>
    <w:rsid w:val="00885A46"/>
    <w:rsid w:val="008860F1"/>
    <w:rsid w:val="00890661"/>
    <w:rsid w:val="00890F07"/>
    <w:rsid w:val="00892FC5"/>
    <w:rsid w:val="0089392C"/>
    <w:rsid w:val="00895DC0"/>
    <w:rsid w:val="00897A98"/>
    <w:rsid w:val="008A006F"/>
    <w:rsid w:val="008A18DE"/>
    <w:rsid w:val="008A2C1C"/>
    <w:rsid w:val="008A2F2F"/>
    <w:rsid w:val="008A4187"/>
    <w:rsid w:val="008A46BC"/>
    <w:rsid w:val="008A6F48"/>
    <w:rsid w:val="008B010A"/>
    <w:rsid w:val="008B047B"/>
    <w:rsid w:val="008B58A1"/>
    <w:rsid w:val="008B7D1D"/>
    <w:rsid w:val="008C1D2D"/>
    <w:rsid w:val="008C5BEB"/>
    <w:rsid w:val="008D05BE"/>
    <w:rsid w:val="008D40ED"/>
    <w:rsid w:val="008D4868"/>
    <w:rsid w:val="008D53C4"/>
    <w:rsid w:val="008D71E5"/>
    <w:rsid w:val="008E060C"/>
    <w:rsid w:val="008E28AA"/>
    <w:rsid w:val="008E2C3E"/>
    <w:rsid w:val="008E37B0"/>
    <w:rsid w:val="008E43A3"/>
    <w:rsid w:val="008E4E64"/>
    <w:rsid w:val="008E69F3"/>
    <w:rsid w:val="008F083C"/>
    <w:rsid w:val="008F2B22"/>
    <w:rsid w:val="008F358F"/>
    <w:rsid w:val="008F3B2F"/>
    <w:rsid w:val="008F40B3"/>
    <w:rsid w:val="008F4172"/>
    <w:rsid w:val="008F458B"/>
    <w:rsid w:val="008F4EBF"/>
    <w:rsid w:val="008F6331"/>
    <w:rsid w:val="00901D24"/>
    <w:rsid w:val="00902D15"/>
    <w:rsid w:val="00903E11"/>
    <w:rsid w:val="009042EC"/>
    <w:rsid w:val="00904608"/>
    <w:rsid w:val="00905CA9"/>
    <w:rsid w:val="00907FF2"/>
    <w:rsid w:val="00910075"/>
    <w:rsid w:val="009108D4"/>
    <w:rsid w:val="00910EE3"/>
    <w:rsid w:val="00913EAE"/>
    <w:rsid w:val="00914C76"/>
    <w:rsid w:val="009156BF"/>
    <w:rsid w:val="009232B9"/>
    <w:rsid w:val="00923BFE"/>
    <w:rsid w:val="00924BFA"/>
    <w:rsid w:val="00930D9E"/>
    <w:rsid w:val="009338E8"/>
    <w:rsid w:val="00933B15"/>
    <w:rsid w:val="00933EE4"/>
    <w:rsid w:val="009343C1"/>
    <w:rsid w:val="00934A25"/>
    <w:rsid w:val="00934E4D"/>
    <w:rsid w:val="00936130"/>
    <w:rsid w:val="0094048C"/>
    <w:rsid w:val="00941C14"/>
    <w:rsid w:val="00943109"/>
    <w:rsid w:val="00944AB6"/>
    <w:rsid w:val="0094761E"/>
    <w:rsid w:val="009504C9"/>
    <w:rsid w:val="00950563"/>
    <w:rsid w:val="00952717"/>
    <w:rsid w:val="009538CE"/>
    <w:rsid w:val="00954A9A"/>
    <w:rsid w:val="00954B3E"/>
    <w:rsid w:val="0096083C"/>
    <w:rsid w:val="00960A30"/>
    <w:rsid w:val="00963330"/>
    <w:rsid w:val="00964E52"/>
    <w:rsid w:val="00965024"/>
    <w:rsid w:val="00965689"/>
    <w:rsid w:val="00966F87"/>
    <w:rsid w:val="00971A7C"/>
    <w:rsid w:val="009744BC"/>
    <w:rsid w:val="0097456D"/>
    <w:rsid w:val="00976185"/>
    <w:rsid w:val="00977104"/>
    <w:rsid w:val="009774AE"/>
    <w:rsid w:val="00982BF1"/>
    <w:rsid w:val="00982FB3"/>
    <w:rsid w:val="00983BD0"/>
    <w:rsid w:val="00984267"/>
    <w:rsid w:val="0098481B"/>
    <w:rsid w:val="0098577B"/>
    <w:rsid w:val="009868C3"/>
    <w:rsid w:val="00986E36"/>
    <w:rsid w:val="009879DE"/>
    <w:rsid w:val="009909E2"/>
    <w:rsid w:val="00991615"/>
    <w:rsid w:val="00991725"/>
    <w:rsid w:val="00991F9A"/>
    <w:rsid w:val="009921D2"/>
    <w:rsid w:val="009945E0"/>
    <w:rsid w:val="00995A7C"/>
    <w:rsid w:val="00995F23"/>
    <w:rsid w:val="00997601"/>
    <w:rsid w:val="00997617"/>
    <w:rsid w:val="009A1B10"/>
    <w:rsid w:val="009A27E7"/>
    <w:rsid w:val="009A3C4B"/>
    <w:rsid w:val="009A53DE"/>
    <w:rsid w:val="009A62D8"/>
    <w:rsid w:val="009A7ADF"/>
    <w:rsid w:val="009B0667"/>
    <w:rsid w:val="009B3061"/>
    <w:rsid w:val="009B50CF"/>
    <w:rsid w:val="009B5263"/>
    <w:rsid w:val="009B5F11"/>
    <w:rsid w:val="009B6806"/>
    <w:rsid w:val="009C0842"/>
    <w:rsid w:val="009D1AEA"/>
    <w:rsid w:val="009D2C1C"/>
    <w:rsid w:val="009D3CFE"/>
    <w:rsid w:val="009E10FE"/>
    <w:rsid w:val="009E32D2"/>
    <w:rsid w:val="009E3D95"/>
    <w:rsid w:val="009E3EEC"/>
    <w:rsid w:val="009E4246"/>
    <w:rsid w:val="009E436B"/>
    <w:rsid w:val="009E49A8"/>
    <w:rsid w:val="009E4A7A"/>
    <w:rsid w:val="009E4FC5"/>
    <w:rsid w:val="009E5888"/>
    <w:rsid w:val="009E5B07"/>
    <w:rsid w:val="009E6E63"/>
    <w:rsid w:val="009E7FDA"/>
    <w:rsid w:val="009F332C"/>
    <w:rsid w:val="009F42D7"/>
    <w:rsid w:val="009F65BC"/>
    <w:rsid w:val="009F772E"/>
    <w:rsid w:val="009F7D31"/>
    <w:rsid w:val="00A00751"/>
    <w:rsid w:val="00A02611"/>
    <w:rsid w:val="00A03897"/>
    <w:rsid w:val="00A04011"/>
    <w:rsid w:val="00A058E7"/>
    <w:rsid w:val="00A06CA9"/>
    <w:rsid w:val="00A1129C"/>
    <w:rsid w:val="00A11A22"/>
    <w:rsid w:val="00A11D4A"/>
    <w:rsid w:val="00A11D5A"/>
    <w:rsid w:val="00A1468A"/>
    <w:rsid w:val="00A15688"/>
    <w:rsid w:val="00A164C0"/>
    <w:rsid w:val="00A16D5C"/>
    <w:rsid w:val="00A16E96"/>
    <w:rsid w:val="00A21A08"/>
    <w:rsid w:val="00A21D8F"/>
    <w:rsid w:val="00A22EB0"/>
    <w:rsid w:val="00A24076"/>
    <w:rsid w:val="00A25B4F"/>
    <w:rsid w:val="00A275F1"/>
    <w:rsid w:val="00A31271"/>
    <w:rsid w:val="00A32011"/>
    <w:rsid w:val="00A336AA"/>
    <w:rsid w:val="00A40637"/>
    <w:rsid w:val="00A4181F"/>
    <w:rsid w:val="00A41AF0"/>
    <w:rsid w:val="00A42361"/>
    <w:rsid w:val="00A42B4B"/>
    <w:rsid w:val="00A44B38"/>
    <w:rsid w:val="00A44C26"/>
    <w:rsid w:val="00A44E4A"/>
    <w:rsid w:val="00A46539"/>
    <w:rsid w:val="00A46AA9"/>
    <w:rsid w:val="00A46E33"/>
    <w:rsid w:val="00A52469"/>
    <w:rsid w:val="00A53323"/>
    <w:rsid w:val="00A533F6"/>
    <w:rsid w:val="00A56274"/>
    <w:rsid w:val="00A568B3"/>
    <w:rsid w:val="00A57BAC"/>
    <w:rsid w:val="00A57D6B"/>
    <w:rsid w:val="00A6144E"/>
    <w:rsid w:val="00A6433C"/>
    <w:rsid w:val="00A6436B"/>
    <w:rsid w:val="00A64D88"/>
    <w:rsid w:val="00A67035"/>
    <w:rsid w:val="00A67608"/>
    <w:rsid w:val="00A677BD"/>
    <w:rsid w:val="00A71970"/>
    <w:rsid w:val="00A71F6D"/>
    <w:rsid w:val="00A72064"/>
    <w:rsid w:val="00A73B05"/>
    <w:rsid w:val="00A76C5D"/>
    <w:rsid w:val="00A76DC6"/>
    <w:rsid w:val="00A77154"/>
    <w:rsid w:val="00A77AC1"/>
    <w:rsid w:val="00A803A3"/>
    <w:rsid w:val="00A81574"/>
    <w:rsid w:val="00A81E2B"/>
    <w:rsid w:val="00A82C6A"/>
    <w:rsid w:val="00A84B96"/>
    <w:rsid w:val="00A84BE1"/>
    <w:rsid w:val="00A84D1E"/>
    <w:rsid w:val="00A86D29"/>
    <w:rsid w:val="00A86F4F"/>
    <w:rsid w:val="00A87E70"/>
    <w:rsid w:val="00A955EF"/>
    <w:rsid w:val="00A95BCC"/>
    <w:rsid w:val="00A975DD"/>
    <w:rsid w:val="00AA3725"/>
    <w:rsid w:val="00AA3DF0"/>
    <w:rsid w:val="00AA6EB7"/>
    <w:rsid w:val="00AA774E"/>
    <w:rsid w:val="00AB0A2F"/>
    <w:rsid w:val="00AB147B"/>
    <w:rsid w:val="00AB2AC9"/>
    <w:rsid w:val="00AB4498"/>
    <w:rsid w:val="00AB5E79"/>
    <w:rsid w:val="00AC0340"/>
    <w:rsid w:val="00AC2314"/>
    <w:rsid w:val="00AC447B"/>
    <w:rsid w:val="00AC4704"/>
    <w:rsid w:val="00AC4DA6"/>
    <w:rsid w:val="00AC732F"/>
    <w:rsid w:val="00AD03F6"/>
    <w:rsid w:val="00AD05FB"/>
    <w:rsid w:val="00AD0926"/>
    <w:rsid w:val="00AD5B47"/>
    <w:rsid w:val="00AD5D96"/>
    <w:rsid w:val="00AD7AD1"/>
    <w:rsid w:val="00AE049B"/>
    <w:rsid w:val="00AE198E"/>
    <w:rsid w:val="00AE2B04"/>
    <w:rsid w:val="00AE43FC"/>
    <w:rsid w:val="00AE4DC7"/>
    <w:rsid w:val="00AF033C"/>
    <w:rsid w:val="00AF0993"/>
    <w:rsid w:val="00AF3524"/>
    <w:rsid w:val="00AF5F82"/>
    <w:rsid w:val="00AF74CD"/>
    <w:rsid w:val="00B0312A"/>
    <w:rsid w:val="00B03CE2"/>
    <w:rsid w:val="00B044EA"/>
    <w:rsid w:val="00B045DD"/>
    <w:rsid w:val="00B06FAF"/>
    <w:rsid w:val="00B0759D"/>
    <w:rsid w:val="00B115BF"/>
    <w:rsid w:val="00B13587"/>
    <w:rsid w:val="00B1474B"/>
    <w:rsid w:val="00B14970"/>
    <w:rsid w:val="00B15609"/>
    <w:rsid w:val="00B16BAD"/>
    <w:rsid w:val="00B20256"/>
    <w:rsid w:val="00B20536"/>
    <w:rsid w:val="00B221D1"/>
    <w:rsid w:val="00B23DC5"/>
    <w:rsid w:val="00B2501E"/>
    <w:rsid w:val="00B31A3A"/>
    <w:rsid w:val="00B3358A"/>
    <w:rsid w:val="00B36B86"/>
    <w:rsid w:val="00B36DCC"/>
    <w:rsid w:val="00B375FC"/>
    <w:rsid w:val="00B408A9"/>
    <w:rsid w:val="00B43012"/>
    <w:rsid w:val="00B438A7"/>
    <w:rsid w:val="00B447DE"/>
    <w:rsid w:val="00B46DD1"/>
    <w:rsid w:val="00B470FD"/>
    <w:rsid w:val="00B50804"/>
    <w:rsid w:val="00B51C09"/>
    <w:rsid w:val="00B51FB5"/>
    <w:rsid w:val="00B521EA"/>
    <w:rsid w:val="00B529FB"/>
    <w:rsid w:val="00B53935"/>
    <w:rsid w:val="00B54C11"/>
    <w:rsid w:val="00B56995"/>
    <w:rsid w:val="00B579D8"/>
    <w:rsid w:val="00B60F1A"/>
    <w:rsid w:val="00B632DC"/>
    <w:rsid w:val="00B63DD2"/>
    <w:rsid w:val="00B6551E"/>
    <w:rsid w:val="00B7391F"/>
    <w:rsid w:val="00B75486"/>
    <w:rsid w:val="00B756CB"/>
    <w:rsid w:val="00B8014F"/>
    <w:rsid w:val="00B835E5"/>
    <w:rsid w:val="00B83954"/>
    <w:rsid w:val="00B840AF"/>
    <w:rsid w:val="00B846CA"/>
    <w:rsid w:val="00B87C5C"/>
    <w:rsid w:val="00B90BE7"/>
    <w:rsid w:val="00B90CC8"/>
    <w:rsid w:val="00B9201D"/>
    <w:rsid w:val="00B93BBA"/>
    <w:rsid w:val="00BA02B9"/>
    <w:rsid w:val="00BA1484"/>
    <w:rsid w:val="00BA2D07"/>
    <w:rsid w:val="00BA6888"/>
    <w:rsid w:val="00BA6C8C"/>
    <w:rsid w:val="00BB1A29"/>
    <w:rsid w:val="00BB28CE"/>
    <w:rsid w:val="00BB502F"/>
    <w:rsid w:val="00BB534A"/>
    <w:rsid w:val="00BC000F"/>
    <w:rsid w:val="00BC03B6"/>
    <w:rsid w:val="00BC161A"/>
    <w:rsid w:val="00BC1F96"/>
    <w:rsid w:val="00BC39C9"/>
    <w:rsid w:val="00BC494B"/>
    <w:rsid w:val="00BC6733"/>
    <w:rsid w:val="00BC6C66"/>
    <w:rsid w:val="00BC71FF"/>
    <w:rsid w:val="00BC75D6"/>
    <w:rsid w:val="00BD1894"/>
    <w:rsid w:val="00BD6603"/>
    <w:rsid w:val="00BD70DD"/>
    <w:rsid w:val="00BD74D4"/>
    <w:rsid w:val="00BD7A43"/>
    <w:rsid w:val="00BD7DA3"/>
    <w:rsid w:val="00BE260C"/>
    <w:rsid w:val="00BE5926"/>
    <w:rsid w:val="00BF0193"/>
    <w:rsid w:val="00BF1146"/>
    <w:rsid w:val="00BF4D0B"/>
    <w:rsid w:val="00BF5D47"/>
    <w:rsid w:val="00BF6CA5"/>
    <w:rsid w:val="00BF7384"/>
    <w:rsid w:val="00C01989"/>
    <w:rsid w:val="00C02553"/>
    <w:rsid w:val="00C02C85"/>
    <w:rsid w:val="00C03219"/>
    <w:rsid w:val="00C04508"/>
    <w:rsid w:val="00C04514"/>
    <w:rsid w:val="00C05102"/>
    <w:rsid w:val="00C0579F"/>
    <w:rsid w:val="00C11773"/>
    <w:rsid w:val="00C1205D"/>
    <w:rsid w:val="00C133DA"/>
    <w:rsid w:val="00C2065E"/>
    <w:rsid w:val="00C21E14"/>
    <w:rsid w:val="00C22D95"/>
    <w:rsid w:val="00C233AB"/>
    <w:rsid w:val="00C2499B"/>
    <w:rsid w:val="00C268DF"/>
    <w:rsid w:val="00C30C33"/>
    <w:rsid w:val="00C30DFB"/>
    <w:rsid w:val="00C30FCA"/>
    <w:rsid w:val="00C31A1E"/>
    <w:rsid w:val="00C347F2"/>
    <w:rsid w:val="00C36DAC"/>
    <w:rsid w:val="00C40DEE"/>
    <w:rsid w:val="00C43A3A"/>
    <w:rsid w:val="00C44F8A"/>
    <w:rsid w:val="00C459D9"/>
    <w:rsid w:val="00C46CAC"/>
    <w:rsid w:val="00C50B7D"/>
    <w:rsid w:val="00C50C09"/>
    <w:rsid w:val="00C514AB"/>
    <w:rsid w:val="00C51A5B"/>
    <w:rsid w:val="00C51EE0"/>
    <w:rsid w:val="00C52059"/>
    <w:rsid w:val="00C5277D"/>
    <w:rsid w:val="00C52D0F"/>
    <w:rsid w:val="00C5459C"/>
    <w:rsid w:val="00C57F59"/>
    <w:rsid w:val="00C6094F"/>
    <w:rsid w:val="00C60A0F"/>
    <w:rsid w:val="00C60AA2"/>
    <w:rsid w:val="00C621B9"/>
    <w:rsid w:val="00C63B42"/>
    <w:rsid w:val="00C65449"/>
    <w:rsid w:val="00C6656D"/>
    <w:rsid w:val="00C703E7"/>
    <w:rsid w:val="00C72115"/>
    <w:rsid w:val="00C7475C"/>
    <w:rsid w:val="00C76BC1"/>
    <w:rsid w:val="00C83B76"/>
    <w:rsid w:val="00C83EA4"/>
    <w:rsid w:val="00C86063"/>
    <w:rsid w:val="00C862F9"/>
    <w:rsid w:val="00C86DC1"/>
    <w:rsid w:val="00C86FFF"/>
    <w:rsid w:val="00C9040A"/>
    <w:rsid w:val="00C90C71"/>
    <w:rsid w:val="00C90D80"/>
    <w:rsid w:val="00C90E22"/>
    <w:rsid w:val="00C91A0C"/>
    <w:rsid w:val="00C91AE5"/>
    <w:rsid w:val="00C91D79"/>
    <w:rsid w:val="00C93514"/>
    <w:rsid w:val="00C94B5E"/>
    <w:rsid w:val="00C9556F"/>
    <w:rsid w:val="00C96932"/>
    <w:rsid w:val="00C971F5"/>
    <w:rsid w:val="00CA0A1F"/>
    <w:rsid w:val="00CA131C"/>
    <w:rsid w:val="00CA1D2F"/>
    <w:rsid w:val="00CA30DC"/>
    <w:rsid w:val="00CA476F"/>
    <w:rsid w:val="00CA50FF"/>
    <w:rsid w:val="00CA7403"/>
    <w:rsid w:val="00CB0855"/>
    <w:rsid w:val="00CB0C3C"/>
    <w:rsid w:val="00CB20FB"/>
    <w:rsid w:val="00CB3217"/>
    <w:rsid w:val="00CB3263"/>
    <w:rsid w:val="00CB3ACA"/>
    <w:rsid w:val="00CB525F"/>
    <w:rsid w:val="00CB53D5"/>
    <w:rsid w:val="00CB7345"/>
    <w:rsid w:val="00CC464D"/>
    <w:rsid w:val="00CC72A7"/>
    <w:rsid w:val="00CC7C88"/>
    <w:rsid w:val="00CD0783"/>
    <w:rsid w:val="00CD0CF3"/>
    <w:rsid w:val="00CD4A7C"/>
    <w:rsid w:val="00CD4CD3"/>
    <w:rsid w:val="00CD599C"/>
    <w:rsid w:val="00CD6636"/>
    <w:rsid w:val="00CD7831"/>
    <w:rsid w:val="00CE0A71"/>
    <w:rsid w:val="00CE0B7B"/>
    <w:rsid w:val="00CE1696"/>
    <w:rsid w:val="00CE171A"/>
    <w:rsid w:val="00CE1CA4"/>
    <w:rsid w:val="00CE2778"/>
    <w:rsid w:val="00CE36E7"/>
    <w:rsid w:val="00CE5521"/>
    <w:rsid w:val="00CE615D"/>
    <w:rsid w:val="00CE6A76"/>
    <w:rsid w:val="00CF0618"/>
    <w:rsid w:val="00CF28C8"/>
    <w:rsid w:val="00CF2B31"/>
    <w:rsid w:val="00CF2B44"/>
    <w:rsid w:val="00CF30E8"/>
    <w:rsid w:val="00CF3F37"/>
    <w:rsid w:val="00CF7B2E"/>
    <w:rsid w:val="00CF7D3F"/>
    <w:rsid w:val="00D0007D"/>
    <w:rsid w:val="00D007E9"/>
    <w:rsid w:val="00D01D30"/>
    <w:rsid w:val="00D11964"/>
    <w:rsid w:val="00D12540"/>
    <w:rsid w:val="00D143EB"/>
    <w:rsid w:val="00D15351"/>
    <w:rsid w:val="00D16B91"/>
    <w:rsid w:val="00D17117"/>
    <w:rsid w:val="00D23D8E"/>
    <w:rsid w:val="00D242FF"/>
    <w:rsid w:val="00D263B4"/>
    <w:rsid w:val="00D263C8"/>
    <w:rsid w:val="00D2693D"/>
    <w:rsid w:val="00D2798F"/>
    <w:rsid w:val="00D30303"/>
    <w:rsid w:val="00D312AA"/>
    <w:rsid w:val="00D35F32"/>
    <w:rsid w:val="00D37EEA"/>
    <w:rsid w:val="00D37EF1"/>
    <w:rsid w:val="00D4074C"/>
    <w:rsid w:val="00D4353B"/>
    <w:rsid w:val="00D45E40"/>
    <w:rsid w:val="00D45EB7"/>
    <w:rsid w:val="00D47768"/>
    <w:rsid w:val="00D5046B"/>
    <w:rsid w:val="00D50E5B"/>
    <w:rsid w:val="00D52F02"/>
    <w:rsid w:val="00D53F3E"/>
    <w:rsid w:val="00D557C4"/>
    <w:rsid w:val="00D579EF"/>
    <w:rsid w:val="00D60142"/>
    <w:rsid w:val="00D62462"/>
    <w:rsid w:val="00D63982"/>
    <w:rsid w:val="00D63F88"/>
    <w:rsid w:val="00D6568A"/>
    <w:rsid w:val="00D67644"/>
    <w:rsid w:val="00D67B82"/>
    <w:rsid w:val="00D70A04"/>
    <w:rsid w:val="00D71175"/>
    <w:rsid w:val="00D75892"/>
    <w:rsid w:val="00D75947"/>
    <w:rsid w:val="00D75ACF"/>
    <w:rsid w:val="00D80208"/>
    <w:rsid w:val="00D93734"/>
    <w:rsid w:val="00DA0A3B"/>
    <w:rsid w:val="00DA0D68"/>
    <w:rsid w:val="00DA0E89"/>
    <w:rsid w:val="00DA1CC5"/>
    <w:rsid w:val="00DA296F"/>
    <w:rsid w:val="00DA4B65"/>
    <w:rsid w:val="00DA6286"/>
    <w:rsid w:val="00DA777C"/>
    <w:rsid w:val="00DB036C"/>
    <w:rsid w:val="00DB12BA"/>
    <w:rsid w:val="00DB4364"/>
    <w:rsid w:val="00DB686B"/>
    <w:rsid w:val="00DB6B55"/>
    <w:rsid w:val="00DB7EB7"/>
    <w:rsid w:val="00DC4C4E"/>
    <w:rsid w:val="00DD0392"/>
    <w:rsid w:val="00DD3A97"/>
    <w:rsid w:val="00DD3E64"/>
    <w:rsid w:val="00DD4075"/>
    <w:rsid w:val="00DD7401"/>
    <w:rsid w:val="00DE3789"/>
    <w:rsid w:val="00DE3CA9"/>
    <w:rsid w:val="00DE420E"/>
    <w:rsid w:val="00DE56D5"/>
    <w:rsid w:val="00DE646B"/>
    <w:rsid w:val="00DE6C21"/>
    <w:rsid w:val="00DE7FE0"/>
    <w:rsid w:val="00DF1881"/>
    <w:rsid w:val="00DF3AD1"/>
    <w:rsid w:val="00DF3C81"/>
    <w:rsid w:val="00DF42E5"/>
    <w:rsid w:val="00DF614C"/>
    <w:rsid w:val="00E00608"/>
    <w:rsid w:val="00E00710"/>
    <w:rsid w:val="00E00CED"/>
    <w:rsid w:val="00E00EBD"/>
    <w:rsid w:val="00E013F4"/>
    <w:rsid w:val="00E01F94"/>
    <w:rsid w:val="00E04509"/>
    <w:rsid w:val="00E05316"/>
    <w:rsid w:val="00E07212"/>
    <w:rsid w:val="00E10057"/>
    <w:rsid w:val="00E13233"/>
    <w:rsid w:val="00E1335C"/>
    <w:rsid w:val="00E15B1B"/>
    <w:rsid w:val="00E15E75"/>
    <w:rsid w:val="00E16060"/>
    <w:rsid w:val="00E16711"/>
    <w:rsid w:val="00E167F5"/>
    <w:rsid w:val="00E175E3"/>
    <w:rsid w:val="00E25A05"/>
    <w:rsid w:val="00E25FA4"/>
    <w:rsid w:val="00E26FB9"/>
    <w:rsid w:val="00E3041E"/>
    <w:rsid w:val="00E30506"/>
    <w:rsid w:val="00E307C5"/>
    <w:rsid w:val="00E31161"/>
    <w:rsid w:val="00E331C5"/>
    <w:rsid w:val="00E342DA"/>
    <w:rsid w:val="00E34E3C"/>
    <w:rsid w:val="00E350B5"/>
    <w:rsid w:val="00E36078"/>
    <w:rsid w:val="00E36267"/>
    <w:rsid w:val="00E3658C"/>
    <w:rsid w:val="00E365E7"/>
    <w:rsid w:val="00E37877"/>
    <w:rsid w:val="00E37AA9"/>
    <w:rsid w:val="00E407A6"/>
    <w:rsid w:val="00E420E3"/>
    <w:rsid w:val="00E42A27"/>
    <w:rsid w:val="00E4410A"/>
    <w:rsid w:val="00E446FC"/>
    <w:rsid w:val="00E45FFC"/>
    <w:rsid w:val="00E4615E"/>
    <w:rsid w:val="00E4778D"/>
    <w:rsid w:val="00E47F40"/>
    <w:rsid w:val="00E505DC"/>
    <w:rsid w:val="00E548C3"/>
    <w:rsid w:val="00E5543E"/>
    <w:rsid w:val="00E6300C"/>
    <w:rsid w:val="00E6484F"/>
    <w:rsid w:val="00E65223"/>
    <w:rsid w:val="00E70D62"/>
    <w:rsid w:val="00E721FF"/>
    <w:rsid w:val="00E725C0"/>
    <w:rsid w:val="00E77E02"/>
    <w:rsid w:val="00E808D8"/>
    <w:rsid w:val="00E863F6"/>
    <w:rsid w:val="00E87022"/>
    <w:rsid w:val="00E90700"/>
    <w:rsid w:val="00E90A37"/>
    <w:rsid w:val="00E90E9A"/>
    <w:rsid w:val="00E93F1C"/>
    <w:rsid w:val="00E94B21"/>
    <w:rsid w:val="00E9611C"/>
    <w:rsid w:val="00EA25FD"/>
    <w:rsid w:val="00EA3C72"/>
    <w:rsid w:val="00EA4227"/>
    <w:rsid w:val="00EA586A"/>
    <w:rsid w:val="00EA70CF"/>
    <w:rsid w:val="00EA7844"/>
    <w:rsid w:val="00EA797A"/>
    <w:rsid w:val="00EB2C11"/>
    <w:rsid w:val="00EB56EF"/>
    <w:rsid w:val="00EB7291"/>
    <w:rsid w:val="00EB787C"/>
    <w:rsid w:val="00EC09A3"/>
    <w:rsid w:val="00EC1CD9"/>
    <w:rsid w:val="00EC5535"/>
    <w:rsid w:val="00ED2355"/>
    <w:rsid w:val="00ED2A3D"/>
    <w:rsid w:val="00ED67BC"/>
    <w:rsid w:val="00ED715D"/>
    <w:rsid w:val="00ED78BE"/>
    <w:rsid w:val="00ED7A2A"/>
    <w:rsid w:val="00EE15C5"/>
    <w:rsid w:val="00EE244C"/>
    <w:rsid w:val="00EE3317"/>
    <w:rsid w:val="00EE38FD"/>
    <w:rsid w:val="00EE41DD"/>
    <w:rsid w:val="00EE4F7C"/>
    <w:rsid w:val="00EE5D01"/>
    <w:rsid w:val="00EE7AFF"/>
    <w:rsid w:val="00EF127E"/>
    <w:rsid w:val="00EF4AD5"/>
    <w:rsid w:val="00EF7D39"/>
    <w:rsid w:val="00F00FCD"/>
    <w:rsid w:val="00F01706"/>
    <w:rsid w:val="00F02410"/>
    <w:rsid w:val="00F027D3"/>
    <w:rsid w:val="00F029EE"/>
    <w:rsid w:val="00F03F62"/>
    <w:rsid w:val="00F04377"/>
    <w:rsid w:val="00F04E1E"/>
    <w:rsid w:val="00F04F8F"/>
    <w:rsid w:val="00F24C25"/>
    <w:rsid w:val="00F2637B"/>
    <w:rsid w:val="00F26732"/>
    <w:rsid w:val="00F26973"/>
    <w:rsid w:val="00F26EC2"/>
    <w:rsid w:val="00F3065C"/>
    <w:rsid w:val="00F30961"/>
    <w:rsid w:val="00F31143"/>
    <w:rsid w:val="00F311CB"/>
    <w:rsid w:val="00F31C41"/>
    <w:rsid w:val="00F323B7"/>
    <w:rsid w:val="00F326CE"/>
    <w:rsid w:val="00F332B6"/>
    <w:rsid w:val="00F33DAF"/>
    <w:rsid w:val="00F3475A"/>
    <w:rsid w:val="00F34802"/>
    <w:rsid w:val="00F3519C"/>
    <w:rsid w:val="00F35897"/>
    <w:rsid w:val="00F35CE7"/>
    <w:rsid w:val="00F35E4F"/>
    <w:rsid w:val="00F40A99"/>
    <w:rsid w:val="00F40AA9"/>
    <w:rsid w:val="00F438DF"/>
    <w:rsid w:val="00F438EE"/>
    <w:rsid w:val="00F4412B"/>
    <w:rsid w:val="00F46E36"/>
    <w:rsid w:val="00F508A9"/>
    <w:rsid w:val="00F51D5B"/>
    <w:rsid w:val="00F52F51"/>
    <w:rsid w:val="00F53F40"/>
    <w:rsid w:val="00F54EB3"/>
    <w:rsid w:val="00F5582F"/>
    <w:rsid w:val="00F56BDE"/>
    <w:rsid w:val="00F570B8"/>
    <w:rsid w:val="00F57BEC"/>
    <w:rsid w:val="00F60CBA"/>
    <w:rsid w:val="00F60E27"/>
    <w:rsid w:val="00F6210B"/>
    <w:rsid w:val="00F622AD"/>
    <w:rsid w:val="00F64EEF"/>
    <w:rsid w:val="00F650E0"/>
    <w:rsid w:val="00F65241"/>
    <w:rsid w:val="00F6674F"/>
    <w:rsid w:val="00F756D2"/>
    <w:rsid w:val="00F80224"/>
    <w:rsid w:val="00F80A37"/>
    <w:rsid w:val="00F8127D"/>
    <w:rsid w:val="00F82555"/>
    <w:rsid w:val="00F85261"/>
    <w:rsid w:val="00F90A6C"/>
    <w:rsid w:val="00F92483"/>
    <w:rsid w:val="00F93D30"/>
    <w:rsid w:val="00F9564D"/>
    <w:rsid w:val="00F95BA3"/>
    <w:rsid w:val="00F965CB"/>
    <w:rsid w:val="00F971E7"/>
    <w:rsid w:val="00FA167F"/>
    <w:rsid w:val="00FA20EA"/>
    <w:rsid w:val="00FA3447"/>
    <w:rsid w:val="00FA4DAD"/>
    <w:rsid w:val="00FA4E8F"/>
    <w:rsid w:val="00FB1281"/>
    <w:rsid w:val="00FB1BDF"/>
    <w:rsid w:val="00FB2568"/>
    <w:rsid w:val="00FB2A99"/>
    <w:rsid w:val="00FB45CD"/>
    <w:rsid w:val="00FB4D71"/>
    <w:rsid w:val="00FB54C7"/>
    <w:rsid w:val="00FB5CC0"/>
    <w:rsid w:val="00FC10E0"/>
    <w:rsid w:val="00FC1144"/>
    <w:rsid w:val="00FC1AA1"/>
    <w:rsid w:val="00FC2C61"/>
    <w:rsid w:val="00FC432C"/>
    <w:rsid w:val="00FC70BE"/>
    <w:rsid w:val="00FD1CE4"/>
    <w:rsid w:val="00FD452C"/>
    <w:rsid w:val="00FD49EE"/>
    <w:rsid w:val="00FD611F"/>
    <w:rsid w:val="00FE12A4"/>
    <w:rsid w:val="00FE5163"/>
    <w:rsid w:val="00FE5927"/>
    <w:rsid w:val="00FE5CA8"/>
    <w:rsid w:val="00FE6718"/>
    <w:rsid w:val="00FE6A8F"/>
    <w:rsid w:val="00FF19F7"/>
    <w:rsid w:val="00FF3B75"/>
    <w:rsid w:val="00FF494A"/>
    <w:rsid w:val="00FF4C1C"/>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63C8"/>
    <w:pPr>
      <w:keepNext/>
      <w:spacing w:after="0" w:line="240" w:lineRule="auto"/>
      <w:outlineLvl w:val="0"/>
    </w:pPr>
    <w:rPr>
      <w:rFonts w:ascii="Times New Roman" w:eastAsia="Times New Roman" w:hAnsi="Times New Roman" w:cs="Times New Roman"/>
      <w:b/>
      <w:shadow/>
      <w:sz w:val="28"/>
      <w:szCs w:val="20"/>
      <w14:props3d w14:extrusionH="0" w14:contourW="12700" w14:prstMaterial="none">
        <w14:contourClr>
          <w14:schemeClr w14:val="tx1"/>
        </w14:contourClr>
      </w14:props3d>
    </w:rPr>
  </w:style>
  <w:style w:type="paragraph" w:styleId="Heading2">
    <w:name w:val="heading 2"/>
    <w:basedOn w:val="Normal"/>
    <w:next w:val="Normal"/>
    <w:link w:val="Heading2Char"/>
    <w:uiPriority w:val="9"/>
    <w:unhideWhenUsed/>
    <w:qFormat/>
    <w:rsid w:val="0012289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521685"/>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D5C"/>
    <w:rPr>
      <w:rFonts w:ascii="Tahoma" w:hAnsi="Tahoma" w:cs="Tahoma"/>
      <w:sz w:val="16"/>
      <w:szCs w:val="16"/>
    </w:rPr>
  </w:style>
  <w:style w:type="paragraph" w:styleId="Header">
    <w:name w:val="header"/>
    <w:basedOn w:val="Normal"/>
    <w:link w:val="HeaderChar"/>
    <w:unhideWhenUsed/>
    <w:rsid w:val="00F4412B"/>
    <w:pPr>
      <w:tabs>
        <w:tab w:val="center" w:pos="4680"/>
        <w:tab w:val="right" w:pos="9360"/>
      </w:tabs>
      <w:spacing w:after="0" w:line="240" w:lineRule="auto"/>
    </w:pPr>
  </w:style>
  <w:style w:type="character" w:customStyle="1" w:styleId="HeaderChar">
    <w:name w:val="Header Char"/>
    <w:basedOn w:val="DefaultParagraphFont"/>
    <w:link w:val="Header"/>
    <w:rsid w:val="00F4412B"/>
  </w:style>
  <w:style w:type="paragraph" w:styleId="Footer">
    <w:name w:val="footer"/>
    <w:basedOn w:val="Normal"/>
    <w:link w:val="FooterChar"/>
    <w:uiPriority w:val="99"/>
    <w:unhideWhenUsed/>
    <w:rsid w:val="00F4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2B"/>
  </w:style>
  <w:style w:type="paragraph" w:styleId="Title">
    <w:name w:val="Title"/>
    <w:basedOn w:val="Normal"/>
    <w:next w:val="Normal"/>
    <w:link w:val="TitleChar"/>
    <w:uiPriority w:val="10"/>
    <w:qFormat/>
    <w:rsid w:val="00C02C85"/>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C02C85"/>
    <w:rPr>
      <w:rFonts w:asciiTheme="majorHAnsi" w:eastAsiaTheme="majorEastAsia" w:hAnsiTheme="majorHAnsi" w:cstheme="majorBidi"/>
      <w:color w:val="4A4F64" w:themeColor="text2" w:themeShade="BF"/>
      <w:spacing w:val="5"/>
      <w:kern w:val="28"/>
      <w:sz w:val="52"/>
      <w:szCs w:val="52"/>
    </w:rPr>
  </w:style>
  <w:style w:type="paragraph" w:styleId="EndnoteText">
    <w:name w:val="endnote text"/>
    <w:basedOn w:val="Normal"/>
    <w:link w:val="EndnoteTextChar"/>
    <w:uiPriority w:val="99"/>
    <w:semiHidden/>
    <w:unhideWhenUsed/>
    <w:rsid w:val="00C24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499B"/>
    <w:rPr>
      <w:sz w:val="20"/>
      <w:szCs w:val="20"/>
    </w:rPr>
  </w:style>
  <w:style w:type="character" w:styleId="EndnoteReference">
    <w:name w:val="endnote reference"/>
    <w:basedOn w:val="DefaultParagraphFont"/>
    <w:uiPriority w:val="99"/>
    <w:semiHidden/>
    <w:unhideWhenUsed/>
    <w:rsid w:val="00C2499B"/>
    <w:rPr>
      <w:vertAlign w:val="superscript"/>
    </w:rPr>
  </w:style>
  <w:style w:type="paragraph" w:styleId="FootnoteText">
    <w:name w:val="footnote text"/>
    <w:basedOn w:val="Normal"/>
    <w:link w:val="FootnoteTextChar"/>
    <w:uiPriority w:val="99"/>
    <w:unhideWhenUsed/>
    <w:rsid w:val="00C2499B"/>
    <w:pPr>
      <w:spacing w:after="0" w:line="240" w:lineRule="auto"/>
    </w:pPr>
    <w:rPr>
      <w:sz w:val="20"/>
      <w:szCs w:val="20"/>
    </w:rPr>
  </w:style>
  <w:style w:type="character" w:customStyle="1" w:styleId="FootnoteTextChar">
    <w:name w:val="Footnote Text Char"/>
    <w:basedOn w:val="DefaultParagraphFont"/>
    <w:link w:val="FootnoteText"/>
    <w:uiPriority w:val="99"/>
    <w:rsid w:val="00C2499B"/>
    <w:rPr>
      <w:sz w:val="20"/>
      <w:szCs w:val="20"/>
    </w:rPr>
  </w:style>
  <w:style w:type="character" w:styleId="FootnoteReference">
    <w:name w:val="footnote reference"/>
    <w:basedOn w:val="DefaultParagraphFont"/>
    <w:uiPriority w:val="99"/>
    <w:semiHidden/>
    <w:unhideWhenUsed/>
    <w:rsid w:val="00C2499B"/>
    <w:rPr>
      <w:vertAlign w:val="superscript"/>
    </w:rPr>
  </w:style>
  <w:style w:type="character" w:customStyle="1" w:styleId="Heading1Char">
    <w:name w:val="Heading 1 Char"/>
    <w:basedOn w:val="DefaultParagraphFont"/>
    <w:link w:val="Heading1"/>
    <w:rsid w:val="00D263C8"/>
    <w:rPr>
      <w:rFonts w:ascii="Times New Roman" w:eastAsia="Times New Roman" w:hAnsi="Times New Roman" w:cs="Times New Roman"/>
      <w:b/>
      <w:shadow/>
      <w:sz w:val="28"/>
      <w:szCs w:val="20"/>
      <w14:props3d w14:extrusionH="0" w14:contourW="12700" w14:prstMaterial="none">
        <w14:contourClr>
          <w14:schemeClr w14:val="tx1"/>
        </w14:contourClr>
      </w14:props3d>
    </w:rPr>
  </w:style>
  <w:style w:type="paragraph" w:styleId="BodyText">
    <w:name w:val="Body Text"/>
    <w:basedOn w:val="Normal"/>
    <w:link w:val="BodyTextChar"/>
    <w:rsid w:val="006E07E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07E7"/>
    <w:rPr>
      <w:rFonts w:ascii="Times New Roman" w:eastAsia="Times New Roman" w:hAnsi="Times New Roman" w:cs="Times New Roman"/>
      <w:sz w:val="24"/>
      <w:szCs w:val="24"/>
    </w:rPr>
  </w:style>
  <w:style w:type="paragraph" w:styleId="BodyTextIndent">
    <w:name w:val="Body Text Indent"/>
    <w:basedOn w:val="Normal"/>
    <w:link w:val="BodyTextIndentChar"/>
    <w:rsid w:val="006E07E7"/>
    <w:pPr>
      <w:spacing w:after="120" w:line="240" w:lineRule="auto"/>
      <w:ind w:left="360"/>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E07E7"/>
    <w:rPr>
      <w:rFonts w:ascii="Times New Roman" w:eastAsia="Times New Roman" w:hAnsi="Times New Roman" w:cs="Times New Roman"/>
      <w:noProof/>
      <w:sz w:val="24"/>
      <w:szCs w:val="24"/>
    </w:rPr>
  </w:style>
  <w:style w:type="character" w:styleId="Hyperlink">
    <w:name w:val="Hyperlink"/>
    <w:basedOn w:val="DefaultParagraphFont"/>
    <w:uiPriority w:val="99"/>
    <w:rsid w:val="006E07E7"/>
    <w:rPr>
      <w:color w:val="0000FF"/>
      <w:u w:val="single"/>
    </w:rPr>
  </w:style>
  <w:style w:type="character" w:customStyle="1" w:styleId="style21">
    <w:name w:val="style21"/>
    <w:basedOn w:val="DefaultParagraphFont"/>
    <w:rsid w:val="006E07E7"/>
    <w:rPr>
      <w:color w:val="FF0000"/>
    </w:rPr>
  </w:style>
  <w:style w:type="paragraph" w:styleId="ListParagraph">
    <w:name w:val="List Paragraph"/>
    <w:basedOn w:val="Normal"/>
    <w:uiPriority w:val="34"/>
    <w:qFormat/>
    <w:rsid w:val="00D63982"/>
    <w:pPr>
      <w:ind w:left="720"/>
      <w:contextualSpacing/>
    </w:pPr>
  </w:style>
  <w:style w:type="character" w:styleId="Strong">
    <w:name w:val="Strong"/>
    <w:basedOn w:val="DefaultParagraphFont"/>
    <w:uiPriority w:val="22"/>
    <w:qFormat/>
    <w:rsid w:val="00807DC5"/>
    <w:rPr>
      <w:b/>
      <w:bCs/>
    </w:rPr>
  </w:style>
  <w:style w:type="paragraph" w:styleId="NormalWeb">
    <w:name w:val="Normal (Web)"/>
    <w:basedOn w:val="Normal"/>
    <w:uiPriority w:val="99"/>
    <w:unhideWhenUsed/>
    <w:rsid w:val="00C91D79"/>
    <w:pPr>
      <w:spacing w:before="195" w:after="195" w:line="270" w:lineRule="atLeast"/>
    </w:pPr>
    <w:rPr>
      <w:rFonts w:ascii="Arial" w:eastAsia="Times New Roman" w:hAnsi="Arial" w:cs="Arial"/>
      <w:color w:val="000000"/>
      <w:sz w:val="20"/>
      <w:szCs w:val="20"/>
    </w:rPr>
  </w:style>
  <w:style w:type="character" w:styleId="Emphasis">
    <w:name w:val="Emphasis"/>
    <w:basedOn w:val="DefaultParagraphFont"/>
    <w:uiPriority w:val="20"/>
    <w:qFormat/>
    <w:rsid w:val="00C91D79"/>
    <w:rPr>
      <w:i/>
      <w:iCs/>
    </w:rPr>
  </w:style>
  <w:style w:type="table" w:styleId="TableGrid">
    <w:name w:val="Table Grid"/>
    <w:basedOn w:val="TableNormal"/>
    <w:uiPriority w:val="59"/>
    <w:rsid w:val="00E8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16D6"/>
    <w:rPr>
      <w:sz w:val="16"/>
      <w:szCs w:val="16"/>
    </w:rPr>
  </w:style>
  <w:style w:type="paragraph" w:styleId="CommentText">
    <w:name w:val="annotation text"/>
    <w:basedOn w:val="Normal"/>
    <w:link w:val="CommentTextChar"/>
    <w:uiPriority w:val="99"/>
    <w:semiHidden/>
    <w:unhideWhenUsed/>
    <w:rsid w:val="004816D6"/>
    <w:pPr>
      <w:spacing w:line="240" w:lineRule="auto"/>
    </w:pPr>
    <w:rPr>
      <w:sz w:val="20"/>
      <w:szCs w:val="20"/>
    </w:rPr>
  </w:style>
  <w:style w:type="character" w:customStyle="1" w:styleId="CommentTextChar">
    <w:name w:val="Comment Text Char"/>
    <w:basedOn w:val="DefaultParagraphFont"/>
    <w:link w:val="CommentText"/>
    <w:uiPriority w:val="99"/>
    <w:semiHidden/>
    <w:rsid w:val="004816D6"/>
    <w:rPr>
      <w:sz w:val="20"/>
      <w:szCs w:val="20"/>
    </w:rPr>
  </w:style>
  <w:style w:type="paragraph" w:styleId="CommentSubject">
    <w:name w:val="annotation subject"/>
    <w:basedOn w:val="CommentText"/>
    <w:next w:val="CommentText"/>
    <w:link w:val="CommentSubjectChar"/>
    <w:uiPriority w:val="99"/>
    <w:semiHidden/>
    <w:unhideWhenUsed/>
    <w:rsid w:val="004816D6"/>
    <w:rPr>
      <w:b/>
      <w:bCs/>
    </w:rPr>
  </w:style>
  <w:style w:type="character" w:customStyle="1" w:styleId="CommentSubjectChar">
    <w:name w:val="Comment Subject Char"/>
    <w:basedOn w:val="CommentTextChar"/>
    <w:link w:val="CommentSubject"/>
    <w:uiPriority w:val="99"/>
    <w:semiHidden/>
    <w:rsid w:val="004816D6"/>
    <w:rPr>
      <w:b/>
      <w:bCs/>
      <w:sz w:val="20"/>
      <w:szCs w:val="20"/>
    </w:rPr>
  </w:style>
  <w:style w:type="paragraph" w:styleId="NoSpacing">
    <w:name w:val="No Spacing"/>
    <w:uiPriority w:val="1"/>
    <w:qFormat/>
    <w:rsid w:val="00821A7F"/>
    <w:pPr>
      <w:spacing w:after="0" w:line="240" w:lineRule="auto"/>
    </w:pPr>
  </w:style>
  <w:style w:type="character" w:customStyle="1" w:styleId="Heading2Char">
    <w:name w:val="Heading 2 Char"/>
    <w:basedOn w:val="DefaultParagraphFont"/>
    <w:link w:val="Heading2"/>
    <w:uiPriority w:val="9"/>
    <w:rsid w:val="00122899"/>
    <w:rPr>
      <w:rFonts w:ascii="Times New Roman" w:eastAsiaTheme="majorEastAsia" w:hAnsi="Times New Roman" w:cstheme="majorBidi"/>
      <w:b/>
      <w:bCs/>
      <w:sz w:val="24"/>
      <w:szCs w:val="26"/>
    </w:rPr>
  </w:style>
  <w:style w:type="paragraph" w:styleId="Revision">
    <w:name w:val="Revision"/>
    <w:hidden/>
    <w:uiPriority w:val="99"/>
    <w:semiHidden/>
    <w:rsid w:val="002663F0"/>
    <w:pPr>
      <w:spacing w:after="0" w:line="240" w:lineRule="auto"/>
    </w:pPr>
  </w:style>
  <w:style w:type="character" w:customStyle="1" w:styleId="Heading3Char">
    <w:name w:val="Heading 3 Char"/>
    <w:basedOn w:val="DefaultParagraphFont"/>
    <w:link w:val="Heading3"/>
    <w:uiPriority w:val="9"/>
    <w:rsid w:val="00521685"/>
    <w:rPr>
      <w:rFonts w:ascii="Times New Roman" w:eastAsiaTheme="majorEastAsia" w:hAnsi="Times New Roman" w:cstheme="majorBidi"/>
      <w:b/>
      <w:bCs/>
      <w:sz w:val="24"/>
    </w:rPr>
  </w:style>
  <w:style w:type="paragraph" w:styleId="Caption">
    <w:name w:val="caption"/>
    <w:basedOn w:val="Normal"/>
    <w:next w:val="Normal"/>
    <w:uiPriority w:val="35"/>
    <w:unhideWhenUsed/>
    <w:qFormat/>
    <w:rsid w:val="005E1FDF"/>
    <w:pPr>
      <w:spacing w:line="240" w:lineRule="auto"/>
    </w:pPr>
    <w:rPr>
      <w:b/>
      <w:bCs/>
      <w:color w:val="D16349" w:themeColor="accent1"/>
      <w:sz w:val="18"/>
      <w:szCs w:val="18"/>
    </w:rPr>
  </w:style>
  <w:style w:type="paragraph" w:customStyle="1" w:styleId="CAUBodyText">
    <w:name w:val="CAU Body Text"/>
    <w:basedOn w:val="BodyText"/>
    <w:link w:val="CAUBodyTextChar"/>
    <w:rsid w:val="00930D9E"/>
    <w:pPr>
      <w:spacing w:after="240" w:line="360" w:lineRule="auto"/>
      <w:jc w:val="both"/>
    </w:pPr>
    <w:rPr>
      <w:szCs w:val="20"/>
    </w:rPr>
  </w:style>
  <w:style w:type="paragraph" w:customStyle="1" w:styleId="CAUHeading3">
    <w:name w:val="CAU Heading 3"/>
    <w:basedOn w:val="CAUBodyText"/>
    <w:next w:val="CAUBodyText"/>
    <w:rsid w:val="00930D9E"/>
    <w:pPr>
      <w:keepNext/>
      <w:numPr>
        <w:ilvl w:val="1"/>
        <w:numId w:val="9"/>
      </w:numPr>
      <w:tabs>
        <w:tab w:val="clear" w:pos="1440"/>
        <w:tab w:val="num" w:pos="360"/>
      </w:tabs>
      <w:ind w:left="0" w:firstLine="0"/>
    </w:pPr>
    <w:rPr>
      <w:i/>
      <w:u w:val="single"/>
    </w:rPr>
  </w:style>
  <w:style w:type="paragraph" w:customStyle="1" w:styleId="CAU4">
    <w:name w:val="CAU4"/>
    <w:aliases w:val="heading 4"/>
    <w:basedOn w:val="CAUBodyText"/>
    <w:next w:val="CAUBodyText"/>
    <w:rsid w:val="00930D9E"/>
    <w:pPr>
      <w:keepNext/>
      <w:numPr>
        <w:numId w:val="11"/>
      </w:numPr>
    </w:pPr>
    <w:rPr>
      <w:i/>
    </w:rPr>
  </w:style>
  <w:style w:type="character" w:customStyle="1" w:styleId="CAUBodyTextChar">
    <w:name w:val="CAU Body Text Char"/>
    <w:basedOn w:val="BodyTextChar"/>
    <w:link w:val="CAUBodyText"/>
    <w:rsid w:val="00930D9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B438A7"/>
    <w:rPr>
      <w:color w:val="694F07" w:themeColor="followedHyperlink"/>
      <w:u w:val="single"/>
    </w:rPr>
  </w:style>
  <w:style w:type="paragraph" w:styleId="Bibliography">
    <w:name w:val="Bibliography"/>
    <w:basedOn w:val="Normal"/>
    <w:next w:val="Normal"/>
    <w:uiPriority w:val="37"/>
    <w:semiHidden/>
    <w:unhideWhenUsed/>
    <w:rsid w:val="006D6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63C8"/>
    <w:pPr>
      <w:keepNext/>
      <w:spacing w:after="0" w:line="240" w:lineRule="auto"/>
      <w:outlineLvl w:val="0"/>
    </w:pPr>
    <w:rPr>
      <w:rFonts w:ascii="Times New Roman" w:eastAsia="Times New Roman" w:hAnsi="Times New Roman" w:cs="Times New Roman"/>
      <w:b/>
      <w:shadow/>
      <w:sz w:val="28"/>
      <w:szCs w:val="20"/>
      <w14:props3d w14:extrusionH="0" w14:contourW="12700" w14:prstMaterial="none">
        <w14:contourClr>
          <w14:schemeClr w14:val="tx1"/>
        </w14:contourClr>
      </w14:props3d>
    </w:rPr>
  </w:style>
  <w:style w:type="paragraph" w:styleId="Heading2">
    <w:name w:val="heading 2"/>
    <w:basedOn w:val="Normal"/>
    <w:next w:val="Normal"/>
    <w:link w:val="Heading2Char"/>
    <w:uiPriority w:val="9"/>
    <w:unhideWhenUsed/>
    <w:qFormat/>
    <w:rsid w:val="0012289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521685"/>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D5C"/>
    <w:rPr>
      <w:rFonts w:ascii="Tahoma" w:hAnsi="Tahoma" w:cs="Tahoma"/>
      <w:sz w:val="16"/>
      <w:szCs w:val="16"/>
    </w:rPr>
  </w:style>
  <w:style w:type="paragraph" w:styleId="Header">
    <w:name w:val="header"/>
    <w:basedOn w:val="Normal"/>
    <w:link w:val="HeaderChar"/>
    <w:unhideWhenUsed/>
    <w:rsid w:val="00F4412B"/>
    <w:pPr>
      <w:tabs>
        <w:tab w:val="center" w:pos="4680"/>
        <w:tab w:val="right" w:pos="9360"/>
      </w:tabs>
      <w:spacing w:after="0" w:line="240" w:lineRule="auto"/>
    </w:pPr>
  </w:style>
  <w:style w:type="character" w:customStyle="1" w:styleId="HeaderChar">
    <w:name w:val="Header Char"/>
    <w:basedOn w:val="DefaultParagraphFont"/>
    <w:link w:val="Header"/>
    <w:rsid w:val="00F4412B"/>
  </w:style>
  <w:style w:type="paragraph" w:styleId="Footer">
    <w:name w:val="footer"/>
    <w:basedOn w:val="Normal"/>
    <w:link w:val="FooterChar"/>
    <w:uiPriority w:val="99"/>
    <w:unhideWhenUsed/>
    <w:rsid w:val="00F4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2B"/>
  </w:style>
  <w:style w:type="paragraph" w:styleId="Title">
    <w:name w:val="Title"/>
    <w:basedOn w:val="Normal"/>
    <w:next w:val="Normal"/>
    <w:link w:val="TitleChar"/>
    <w:uiPriority w:val="10"/>
    <w:qFormat/>
    <w:rsid w:val="00C02C85"/>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C02C85"/>
    <w:rPr>
      <w:rFonts w:asciiTheme="majorHAnsi" w:eastAsiaTheme="majorEastAsia" w:hAnsiTheme="majorHAnsi" w:cstheme="majorBidi"/>
      <w:color w:val="4A4F64" w:themeColor="text2" w:themeShade="BF"/>
      <w:spacing w:val="5"/>
      <w:kern w:val="28"/>
      <w:sz w:val="52"/>
      <w:szCs w:val="52"/>
    </w:rPr>
  </w:style>
  <w:style w:type="paragraph" w:styleId="EndnoteText">
    <w:name w:val="endnote text"/>
    <w:basedOn w:val="Normal"/>
    <w:link w:val="EndnoteTextChar"/>
    <w:uiPriority w:val="99"/>
    <w:semiHidden/>
    <w:unhideWhenUsed/>
    <w:rsid w:val="00C24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499B"/>
    <w:rPr>
      <w:sz w:val="20"/>
      <w:szCs w:val="20"/>
    </w:rPr>
  </w:style>
  <w:style w:type="character" w:styleId="EndnoteReference">
    <w:name w:val="endnote reference"/>
    <w:basedOn w:val="DefaultParagraphFont"/>
    <w:uiPriority w:val="99"/>
    <w:semiHidden/>
    <w:unhideWhenUsed/>
    <w:rsid w:val="00C2499B"/>
    <w:rPr>
      <w:vertAlign w:val="superscript"/>
    </w:rPr>
  </w:style>
  <w:style w:type="paragraph" w:styleId="FootnoteText">
    <w:name w:val="footnote text"/>
    <w:basedOn w:val="Normal"/>
    <w:link w:val="FootnoteTextChar"/>
    <w:uiPriority w:val="99"/>
    <w:unhideWhenUsed/>
    <w:rsid w:val="00C2499B"/>
    <w:pPr>
      <w:spacing w:after="0" w:line="240" w:lineRule="auto"/>
    </w:pPr>
    <w:rPr>
      <w:sz w:val="20"/>
      <w:szCs w:val="20"/>
    </w:rPr>
  </w:style>
  <w:style w:type="character" w:customStyle="1" w:styleId="FootnoteTextChar">
    <w:name w:val="Footnote Text Char"/>
    <w:basedOn w:val="DefaultParagraphFont"/>
    <w:link w:val="FootnoteText"/>
    <w:uiPriority w:val="99"/>
    <w:rsid w:val="00C2499B"/>
    <w:rPr>
      <w:sz w:val="20"/>
      <w:szCs w:val="20"/>
    </w:rPr>
  </w:style>
  <w:style w:type="character" w:styleId="FootnoteReference">
    <w:name w:val="footnote reference"/>
    <w:basedOn w:val="DefaultParagraphFont"/>
    <w:uiPriority w:val="99"/>
    <w:semiHidden/>
    <w:unhideWhenUsed/>
    <w:rsid w:val="00C2499B"/>
    <w:rPr>
      <w:vertAlign w:val="superscript"/>
    </w:rPr>
  </w:style>
  <w:style w:type="character" w:customStyle="1" w:styleId="Heading1Char">
    <w:name w:val="Heading 1 Char"/>
    <w:basedOn w:val="DefaultParagraphFont"/>
    <w:link w:val="Heading1"/>
    <w:rsid w:val="00D263C8"/>
    <w:rPr>
      <w:rFonts w:ascii="Times New Roman" w:eastAsia="Times New Roman" w:hAnsi="Times New Roman" w:cs="Times New Roman"/>
      <w:b/>
      <w:shadow/>
      <w:sz w:val="28"/>
      <w:szCs w:val="20"/>
      <w14:props3d w14:extrusionH="0" w14:contourW="12700" w14:prstMaterial="none">
        <w14:contourClr>
          <w14:schemeClr w14:val="tx1"/>
        </w14:contourClr>
      </w14:props3d>
    </w:rPr>
  </w:style>
  <w:style w:type="paragraph" w:styleId="BodyText">
    <w:name w:val="Body Text"/>
    <w:basedOn w:val="Normal"/>
    <w:link w:val="BodyTextChar"/>
    <w:rsid w:val="006E07E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07E7"/>
    <w:rPr>
      <w:rFonts w:ascii="Times New Roman" w:eastAsia="Times New Roman" w:hAnsi="Times New Roman" w:cs="Times New Roman"/>
      <w:sz w:val="24"/>
      <w:szCs w:val="24"/>
    </w:rPr>
  </w:style>
  <w:style w:type="paragraph" w:styleId="BodyTextIndent">
    <w:name w:val="Body Text Indent"/>
    <w:basedOn w:val="Normal"/>
    <w:link w:val="BodyTextIndentChar"/>
    <w:rsid w:val="006E07E7"/>
    <w:pPr>
      <w:spacing w:after="120" w:line="240" w:lineRule="auto"/>
      <w:ind w:left="360"/>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E07E7"/>
    <w:rPr>
      <w:rFonts w:ascii="Times New Roman" w:eastAsia="Times New Roman" w:hAnsi="Times New Roman" w:cs="Times New Roman"/>
      <w:noProof/>
      <w:sz w:val="24"/>
      <w:szCs w:val="24"/>
    </w:rPr>
  </w:style>
  <w:style w:type="character" w:styleId="Hyperlink">
    <w:name w:val="Hyperlink"/>
    <w:basedOn w:val="DefaultParagraphFont"/>
    <w:uiPriority w:val="99"/>
    <w:rsid w:val="006E07E7"/>
    <w:rPr>
      <w:color w:val="0000FF"/>
      <w:u w:val="single"/>
    </w:rPr>
  </w:style>
  <w:style w:type="character" w:customStyle="1" w:styleId="style21">
    <w:name w:val="style21"/>
    <w:basedOn w:val="DefaultParagraphFont"/>
    <w:rsid w:val="006E07E7"/>
    <w:rPr>
      <w:color w:val="FF0000"/>
    </w:rPr>
  </w:style>
  <w:style w:type="paragraph" w:styleId="ListParagraph">
    <w:name w:val="List Paragraph"/>
    <w:basedOn w:val="Normal"/>
    <w:uiPriority w:val="34"/>
    <w:qFormat/>
    <w:rsid w:val="00D63982"/>
    <w:pPr>
      <w:ind w:left="720"/>
      <w:contextualSpacing/>
    </w:pPr>
  </w:style>
  <w:style w:type="character" w:styleId="Strong">
    <w:name w:val="Strong"/>
    <w:basedOn w:val="DefaultParagraphFont"/>
    <w:uiPriority w:val="22"/>
    <w:qFormat/>
    <w:rsid w:val="00807DC5"/>
    <w:rPr>
      <w:b/>
      <w:bCs/>
    </w:rPr>
  </w:style>
  <w:style w:type="paragraph" w:styleId="NormalWeb">
    <w:name w:val="Normal (Web)"/>
    <w:basedOn w:val="Normal"/>
    <w:uiPriority w:val="99"/>
    <w:unhideWhenUsed/>
    <w:rsid w:val="00C91D79"/>
    <w:pPr>
      <w:spacing w:before="195" w:after="195" w:line="270" w:lineRule="atLeast"/>
    </w:pPr>
    <w:rPr>
      <w:rFonts w:ascii="Arial" w:eastAsia="Times New Roman" w:hAnsi="Arial" w:cs="Arial"/>
      <w:color w:val="000000"/>
      <w:sz w:val="20"/>
      <w:szCs w:val="20"/>
    </w:rPr>
  </w:style>
  <w:style w:type="character" w:styleId="Emphasis">
    <w:name w:val="Emphasis"/>
    <w:basedOn w:val="DefaultParagraphFont"/>
    <w:uiPriority w:val="20"/>
    <w:qFormat/>
    <w:rsid w:val="00C91D79"/>
    <w:rPr>
      <w:i/>
      <w:iCs/>
    </w:rPr>
  </w:style>
  <w:style w:type="table" w:styleId="TableGrid">
    <w:name w:val="Table Grid"/>
    <w:basedOn w:val="TableNormal"/>
    <w:uiPriority w:val="59"/>
    <w:rsid w:val="00E8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16D6"/>
    <w:rPr>
      <w:sz w:val="16"/>
      <w:szCs w:val="16"/>
    </w:rPr>
  </w:style>
  <w:style w:type="paragraph" w:styleId="CommentText">
    <w:name w:val="annotation text"/>
    <w:basedOn w:val="Normal"/>
    <w:link w:val="CommentTextChar"/>
    <w:uiPriority w:val="99"/>
    <w:semiHidden/>
    <w:unhideWhenUsed/>
    <w:rsid w:val="004816D6"/>
    <w:pPr>
      <w:spacing w:line="240" w:lineRule="auto"/>
    </w:pPr>
    <w:rPr>
      <w:sz w:val="20"/>
      <w:szCs w:val="20"/>
    </w:rPr>
  </w:style>
  <w:style w:type="character" w:customStyle="1" w:styleId="CommentTextChar">
    <w:name w:val="Comment Text Char"/>
    <w:basedOn w:val="DefaultParagraphFont"/>
    <w:link w:val="CommentText"/>
    <w:uiPriority w:val="99"/>
    <w:semiHidden/>
    <w:rsid w:val="004816D6"/>
    <w:rPr>
      <w:sz w:val="20"/>
      <w:szCs w:val="20"/>
    </w:rPr>
  </w:style>
  <w:style w:type="paragraph" w:styleId="CommentSubject">
    <w:name w:val="annotation subject"/>
    <w:basedOn w:val="CommentText"/>
    <w:next w:val="CommentText"/>
    <w:link w:val="CommentSubjectChar"/>
    <w:uiPriority w:val="99"/>
    <w:semiHidden/>
    <w:unhideWhenUsed/>
    <w:rsid w:val="004816D6"/>
    <w:rPr>
      <w:b/>
      <w:bCs/>
    </w:rPr>
  </w:style>
  <w:style w:type="character" w:customStyle="1" w:styleId="CommentSubjectChar">
    <w:name w:val="Comment Subject Char"/>
    <w:basedOn w:val="CommentTextChar"/>
    <w:link w:val="CommentSubject"/>
    <w:uiPriority w:val="99"/>
    <w:semiHidden/>
    <w:rsid w:val="004816D6"/>
    <w:rPr>
      <w:b/>
      <w:bCs/>
      <w:sz w:val="20"/>
      <w:szCs w:val="20"/>
    </w:rPr>
  </w:style>
  <w:style w:type="paragraph" w:styleId="NoSpacing">
    <w:name w:val="No Spacing"/>
    <w:uiPriority w:val="1"/>
    <w:qFormat/>
    <w:rsid w:val="00821A7F"/>
    <w:pPr>
      <w:spacing w:after="0" w:line="240" w:lineRule="auto"/>
    </w:pPr>
  </w:style>
  <w:style w:type="character" w:customStyle="1" w:styleId="Heading2Char">
    <w:name w:val="Heading 2 Char"/>
    <w:basedOn w:val="DefaultParagraphFont"/>
    <w:link w:val="Heading2"/>
    <w:uiPriority w:val="9"/>
    <w:rsid w:val="00122899"/>
    <w:rPr>
      <w:rFonts w:ascii="Times New Roman" w:eastAsiaTheme="majorEastAsia" w:hAnsi="Times New Roman" w:cstheme="majorBidi"/>
      <w:b/>
      <w:bCs/>
      <w:sz w:val="24"/>
      <w:szCs w:val="26"/>
    </w:rPr>
  </w:style>
  <w:style w:type="paragraph" w:styleId="Revision">
    <w:name w:val="Revision"/>
    <w:hidden/>
    <w:uiPriority w:val="99"/>
    <w:semiHidden/>
    <w:rsid w:val="002663F0"/>
    <w:pPr>
      <w:spacing w:after="0" w:line="240" w:lineRule="auto"/>
    </w:pPr>
  </w:style>
  <w:style w:type="character" w:customStyle="1" w:styleId="Heading3Char">
    <w:name w:val="Heading 3 Char"/>
    <w:basedOn w:val="DefaultParagraphFont"/>
    <w:link w:val="Heading3"/>
    <w:uiPriority w:val="9"/>
    <w:rsid w:val="00521685"/>
    <w:rPr>
      <w:rFonts w:ascii="Times New Roman" w:eastAsiaTheme="majorEastAsia" w:hAnsi="Times New Roman" w:cstheme="majorBidi"/>
      <w:b/>
      <w:bCs/>
      <w:sz w:val="24"/>
    </w:rPr>
  </w:style>
  <w:style w:type="paragraph" w:styleId="Caption">
    <w:name w:val="caption"/>
    <w:basedOn w:val="Normal"/>
    <w:next w:val="Normal"/>
    <w:uiPriority w:val="35"/>
    <w:unhideWhenUsed/>
    <w:qFormat/>
    <w:rsid w:val="005E1FDF"/>
    <w:pPr>
      <w:spacing w:line="240" w:lineRule="auto"/>
    </w:pPr>
    <w:rPr>
      <w:b/>
      <w:bCs/>
      <w:color w:val="D16349" w:themeColor="accent1"/>
      <w:sz w:val="18"/>
      <w:szCs w:val="18"/>
    </w:rPr>
  </w:style>
  <w:style w:type="paragraph" w:customStyle="1" w:styleId="CAUBodyText">
    <w:name w:val="CAU Body Text"/>
    <w:basedOn w:val="BodyText"/>
    <w:link w:val="CAUBodyTextChar"/>
    <w:rsid w:val="00930D9E"/>
    <w:pPr>
      <w:spacing w:after="240" w:line="360" w:lineRule="auto"/>
      <w:jc w:val="both"/>
    </w:pPr>
    <w:rPr>
      <w:szCs w:val="20"/>
    </w:rPr>
  </w:style>
  <w:style w:type="paragraph" w:customStyle="1" w:styleId="CAUHeading3">
    <w:name w:val="CAU Heading 3"/>
    <w:basedOn w:val="CAUBodyText"/>
    <w:next w:val="CAUBodyText"/>
    <w:rsid w:val="00930D9E"/>
    <w:pPr>
      <w:keepNext/>
      <w:numPr>
        <w:ilvl w:val="1"/>
        <w:numId w:val="9"/>
      </w:numPr>
      <w:tabs>
        <w:tab w:val="clear" w:pos="1440"/>
        <w:tab w:val="num" w:pos="360"/>
      </w:tabs>
      <w:ind w:left="0" w:firstLine="0"/>
    </w:pPr>
    <w:rPr>
      <w:i/>
      <w:u w:val="single"/>
    </w:rPr>
  </w:style>
  <w:style w:type="paragraph" w:customStyle="1" w:styleId="CAU4">
    <w:name w:val="CAU4"/>
    <w:aliases w:val="heading 4"/>
    <w:basedOn w:val="CAUBodyText"/>
    <w:next w:val="CAUBodyText"/>
    <w:rsid w:val="00930D9E"/>
    <w:pPr>
      <w:keepNext/>
      <w:numPr>
        <w:numId w:val="11"/>
      </w:numPr>
    </w:pPr>
    <w:rPr>
      <w:i/>
    </w:rPr>
  </w:style>
  <w:style w:type="character" w:customStyle="1" w:styleId="CAUBodyTextChar">
    <w:name w:val="CAU Body Text Char"/>
    <w:basedOn w:val="BodyTextChar"/>
    <w:link w:val="CAUBodyText"/>
    <w:rsid w:val="00930D9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B438A7"/>
    <w:rPr>
      <w:color w:val="694F07" w:themeColor="followedHyperlink"/>
      <w:u w:val="single"/>
    </w:rPr>
  </w:style>
  <w:style w:type="paragraph" w:styleId="Bibliography">
    <w:name w:val="Bibliography"/>
    <w:basedOn w:val="Normal"/>
    <w:next w:val="Normal"/>
    <w:uiPriority w:val="37"/>
    <w:semiHidden/>
    <w:unhideWhenUsed/>
    <w:rsid w:val="006D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4778">
      <w:bodyDiv w:val="1"/>
      <w:marLeft w:val="0"/>
      <w:marRight w:val="0"/>
      <w:marTop w:val="0"/>
      <w:marBottom w:val="0"/>
      <w:divBdr>
        <w:top w:val="none" w:sz="0" w:space="0" w:color="auto"/>
        <w:left w:val="none" w:sz="0" w:space="0" w:color="auto"/>
        <w:bottom w:val="none" w:sz="0" w:space="0" w:color="auto"/>
        <w:right w:val="none" w:sz="0" w:space="0" w:color="auto"/>
      </w:divBdr>
    </w:div>
    <w:div w:id="53237083">
      <w:bodyDiv w:val="1"/>
      <w:marLeft w:val="0"/>
      <w:marRight w:val="0"/>
      <w:marTop w:val="0"/>
      <w:marBottom w:val="0"/>
      <w:divBdr>
        <w:top w:val="none" w:sz="0" w:space="0" w:color="auto"/>
        <w:left w:val="none" w:sz="0" w:space="0" w:color="auto"/>
        <w:bottom w:val="none" w:sz="0" w:space="0" w:color="auto"/>
        <w:right w:val="none" w:sz="0" w:space="0" w:color="auto"/>
      </w:divBdr>
    </w:div>
    <w:div w:id="65301540">
      <w:bodyDiv w:val="1"/>
      <w:marLeft w:val="0"/>
      <w:marRight w:val="0"/>
      <w:marTop w:val="0"/>
      <w:marBottom w:val="0"/>
      <w:divBdr>
        <w:top w:val="none" w:sz="0" w:space="0" w:color="auto"/>
        <w:left w:val="none" w:sz="0" w:space="0" w:color="auto"/>
        <w:bottom w:val="none" w:sz="0" w:space="0" w:color="auto"/>
        <w:right w:val="none" w:sz="0" w:space="0" w:color="auto"/>
      </w:divBdr>
    </w:div>
    <w:div w:id="139419145">
      <w:bodyDiv w:val="1"/>
      <w:marLeft w:val="0"/>
      <w:marRight w:val="0"/>
      <w:marTop w:val="0"/>
      <w:marBottom w:val="0"/>
      <w:divBdr>
        <w:top w:val="none" w:sz="0" w:space="0" w:color="auto"/>
        <w:left w:val="none" w:sz="0" w:space="0" w:color="auto"/>
        <w:bottom w:val="none" w:sz="0" w:space="0" w:color="auto"/>
        <w:right w:val="none" w:sz="0" w:space="0" w:color="auto"/>
      </w:divBdr>
    </w:div>
    <w:div w:id="156918820">
      <w:bodyDiv w:val="1"/>
      <w:marLeft w:val="0"/>
      <w:marRight w:val="0"/>
      <w:marTop w:val="0"/>
      <w:marBottom w:val="0"/>
      <w:divBdr>
        <w:top w:val="none" w:sz="0" w:space="0" w:color="auto"/>
        <w:left w:val="none" w:sz="0" w:space="0" w:color="auto"/>
        <w:bottom w:val="none" w:sz="0" w:space="0" w:color="auto"/>
        <w:right w:val="none" w:sz="0" w:space="0" w:color="auto"/>
      </w:divBdr>
    </w:div>
    <w:div w:id="175196060">
      <w:bodyDiv w:val="1"/>
      <w:marLeft w:val="0"/>
      <w:marRight w:val="0"/>
      <w:marTop w:val="0"/>
      <w:marBottom w:val="0"/>
      <w:divBdr>
        <w:top w:val="none" w:sz="0" w:space="0" w:color="auto"/>
        <w:left w:val="none" w:sz="0" w:space="0" w:color="auto"/>
        <w:bottom w:val="none" w:sz="0" w:space="0" w:color="auto"/>
        <w:right w:val="none" w:sz="0" w:space="0" w:color="auto"/>
      </w:divBdr>
    </w:div>
    <w:div w:id="175265809">
      <w:bodyDiv w:val="1"/>
      <w:marLeft w:val="0"/>
      <w:marRight w:val="0"/>
      <w:marTop w:val="0"/>
      <w:marBottom w:val="0"/>
      <w:divBdr>
        <w:top w:val="none" w:sz="0" w:space="0" w:color="auto"/>
        <w:left w:val="none" w:sz="0" w:space="0" w:color="auto"/>
        <w:bottom w:val="none" w:sz="0" w:space="0" w:color="auto"/>
        <w:right w:val="none" w:sz="0" w:space="0" w:color="auto"/>
      </w:divBdr>
    </w:div>
    <w:div w:id="215551377">
      <w:bodyDiv w:val="1"/>
      <w:marLeft w:val="0"/>
      <w:marRight w:val="0"/>
      <w:marTop w:val="0"/>
      <w:marBottom w:val="0"/>
      <w:divBdr>
        <w:top w:val="none" w:sz="0" w:space="0" w:color="auto"/>
        <w:left w:val="none" w:sz="0" w:space="0" w:color="auto"/>
        <w:bottom w:val="none" w:sz="0" w:space="0" w:color="auto"/>
        <w:right w:val="none" w:sz="0" w:space="0" w:color="auto"/>
      </w:divBdr>
    </w:div>
    <w:div w:id="251401740">
      <w:bodyDiv w:val="1"/>
      <w:marLeft w:val="0"/>
      <w:marRight w:val="0"/>
      <w:marTop w:val="0"/>
      <w:marBottom w:val="0"/>
      <w:divBdr>
        <w:top w:val="none" w:sz="0" w:space="0" w:color="auto"/>
        <w:left w:val="none" w:sz="0" w:space="0" w:color="auto"/>
        <w:bottom w:val="none" w:sz="0" w:space="0" w:color="auto"/>
        <w:right w:val="none" w:sz="0" w:space="0" w:color="auto"/>
      </w:divBdr>
    </w:div>
    <w:div w:id="279142335">
      <w:bodyDiv w:val="1"/>
      <w:marLeft w:val="0"/>
      <w:marRight w:val="0"/>
      <w:marTop w:val="0"/>
      <w:marBottom w:val="0"/>
      <w:divBdr>
        <w:top w:val="none" w:sz="0" w:space="0" w:color="auto"/>
        <w:left w:val="none" w:sz="0" w:space="0" w:color="auto"/>
        <w:bottom w:val="none" w:sz="0" w:space="0" w:color="auto"/>
        <w:right w:val="none" w:sz="0" w:space="0" w:color="auto"/>
      </w:divBdr>
    </w:div>
    <w:div w:id="302200428">
      <w:bodyDiv w:val="1"/>
      <w:marLeft w:val="0"/>
      <w:marRight w:val="0"/>
      <w:marTop w:val="0"/>
      <w:marBottom w:val="0"/>
      <w:divBdr>
        <w:top w:val="none" w:sz="0" w:space="0" w:color="auto"/>
        <w:left w:val="none" w:sz="0" w:space="0" w:color="auto"/>
        <w:bottom w:val="none" w:sz="0" w:space="0" w:color="auto"/>
        <w:right w:val="none" w:sz="0" w:space="0" w:color="auto"/>
      </w:divBdr>
    </w:div>
    <w:div w:id="339357631">
      <w:bodyDiv w:val="1"/>
      <w:marLeft w:val="0"/>
      <w:marRight w:val="0"/>
      <w:marTop w:val="0"/>
      <w:marBottom w:val="0"/>
      <w:divBdr>
        <w:top w:val="none" w:sz="0" w:space="0" w:color="auto"/>
        <w:left w:val="none" w:sz="0" w:space="0" w:color="auto"/>
        <w:bottom w:val="none" w:sz="0" w:space="0" w:color="auto"/>
        <w:right w:val="none" w:sz="0" w:space="0" w:color="auto"/>
      </w:divBdr>
    </w:div>
    <w:div w:id="340818897">
      <w:bodyDiv w:val="1"/>
      <w:marLeft w:val="0"/>
      <w:marRight w:val="0"/>
      <w:marTop w:val="0"/>
      <w:marBottom w:val="0"/>
      <w:divBdr>
        <w:top w:val="none" w:sz="0" w:space="0" w:color="auto"/>
        <w:left w:val="none" w:sz="0" w:space="0" w:color="auto"/>
        <w:bottom w:val="none" w:sz="0" w:space="0" w:color="auto"/>
        <w:right w:val="none" w:sz="0" w:space="0" w:color="auto"/>
      </w:divBdr>
    </w:div>
    <w:div w:id="357632015">
      <w:bodyDiv w:val="1"/>
      <w:marLeft w:val="0"/>
      <w:marRight w:val="0"/>
      <w:marTop w:val="0"/>
      <w:marBottom w:val="0"/>
      <w:divBdr>
        <w:top w:val="none" w:sz="0" w:space="0" w:color="auto"/>
        <w:left w:val="none" w:sz="0" w:space="0" w:color="auto"/>
        <w:bottom w:val="none" w:sz="0" w:space="0" w:color="auto"/>
        <w:right w:val="none" w:sz="0" w:space="0" w:color="auto"/>
      </w:divBdr>
    </w:div>
    <w:div w:id="418451591">
      <w:bodyDiv w:val="1"/>
      <w:marLeft w:val="0"/>
      <w:marRight w:val="0"/>
      <w:marTop w:val="0"/>
      <w:marBottom w:val="0"/>
      <w:divBdr>
        <w:top w:val="none" w:sz="0" w:space="0" w:color="auto"/>
        <w:left w:val="none" w:sz="0" w:space="0" w:color="auto"/>
        <w:bottom w:val="none" w:sz="0" w:space="0" w:color="auto"/>
        <w:right w:val="none" w:sz="0" w:space="0" w:color="auto"/>
      </w:divBdr>
    </w:div>
    <w:div w:id="493183649">
      <w:bodyDiv w:val="1"/>
      <w:marLeft w:val="0"/>
      <w:marRight w:val="0"/>
      <w:marTop w:val="0"/>
      <w:marBottom w:val="0"/>
      <w:divBdr>
        <w:top w:val="none" w:sz="0" w:space="0" w:color="auto"/>
        <w:left w:val="none" w:sz="0" w:space="0" w:color="auto"/>
        <w:bottom w:val="none" w:sz="0" w:space="0" w:color="auto"/>
        <w:right w:val="none" w:sz="0" w:space="0" w:color="auto"/>
      </w:divBdr>
    </w:div>
    <w:div w:id="561251659">
      <w:bodyDiv w:val="1"/>
      <w:marLeft w:val="0"/>
      <w:marRight w:val="0"/>
      <w:marTop w:val="0"/>
      <w:marBottom w:val="0"/>
      <w:divBdr>
        <w:top w:val="none" w:sz="0" w:space="0" w:color="auto"/>
        <w:left w:val="none" w:sz="0" w:space="0" w:color="auto"/>
        <w:bottom w:val="none" w:sz="0" w:space="0" w:color="auto"/>
        <w:right w:val="none" w:sz="0" w:space="0" w:color="auto"/>
      </w:divBdr>
    </w:div>
    <w:div w:id="639917650">
      <w:bodyDiv w:val="1"/>
      <w:marLeft w:val="0"/>
      <w:marRight w:val="0"/>
      <w:marTop w:val="0"/>
      <w:marBottom w:val="0"/>
      <w:divBdr>
        <w:top w:val="none" w:sz="0" w:space="0" w:color="auto"/>
        <w:left w:val="none" w:sz="0" w:space="0" w:color="auto"/>
        <w:bottom w:val="none" w:sz="0" w:space="0" w:color="auto"/>
        <w:right w:val="none" w:sz="0" w:space="0" w:color="auto"/>
      </w:divBdr>
    </w:div>
    <w:div w:id="672732010">
      <w:bodyDiv w:val="1"/>
      <w:marLeft w:val="0"/>
      <w:marRight w:val="0"/>
      <w:marTop w:val="0"/>
      <w:marBottom w:val="0"/>
      <w:divBdr>
        <w:top w:val="none" w:sz="0" w:space="0" w:color="auto"/>
        <w:left w:val="none" w:sz="0" w:space="0" w:color="auto"/>
        <w:bottom w:val="none" w:sz="0" w:space="0" w:color="auto"/>
        <w:right w:val="none" w:sz="0" w:space="0" w:color="auto"/>
      </w:divBdr>
    </w:div>
    <w:div w:id="695469987">
      <w:bodyDiv w:val="1"/>
      <w:marLeft w:val="0"/>
      <w:marRight w:val="0"/>
      <w:marTop w:val="0"/>
      <w:marBottom w:val="0"/>
      <w:divBdr>
        <w:top w:val="none" w:sz="0" w:space="0" w:color="auto"/>
        <w:left w:val="none" w:sz="0" w:space="0" w:color="auto"/>
        <w:bottom w:val="none" w:sz="0" w:space="0" w:color="auto"/>
        <w:right w:val="none" w:sz="0" w:space="0" w:color="auto"/>
      </w:divBdr>
    </w:div>
    <w:div w:id="723526408">
      <w:bodyDiv w:val="1"/>
      <w:marLeft w:val="0"/>
      <w:marRight w:val="0"/>
      <w:marTop w:val="0"/>
      <w:marBottom w:val="0"/>
      <w:divBdr>
        <w:top w:val="none" w:sz="0" w:space="0" w:color="auto"/>
        <w:left w:val="none" w:sz="0" w:space="0" w:color="auto"/>
        <w:bottom w:val="none" w:sz="0" w:space="0" w:color="auto"/>
        <w:right w:val="none" w:sz="0" w:space="0" w:color="auto"/>
      </w:divBdr>
    </w:div>
    <w:div w:id="785275853">
      <w:bodyDiv w:val="1"/>
      <w:marLeft w:val="0"/>
      <w:marRight w:val="0"/>
      <w:marTop w:val="0"/>
      <w:marBottom w:val="0"/>
      <w:divBdr>
        <w:top w:val="none" w:sz="0" w:space="0" w:color="auto"/>
        <w:left w:val="none" w:sz="0" w:space="0" w:color="auto"/>
        <w:bottom w:val="none" w:sz="0" w:space="0" w:color="auto"/>
        <w:right w:val="none" w:sz="0" w:space="0" w:color="auto"/>
      </w:divBdr>
    </w:div>
    <w:div w:id="823008124">
      <w:bodyDiv w:val="1"/>
      <w:marLeft w:val="0"/>
      <w:marRight w:val="0"/>
      <w:marTop w:val="0"/>
      <w:marBottom w:val="0"/>
      <w:divBdr>
        <w:top w:val="none" w:sz="0" w:space="0" w:color="auto"/>
        <w:left w:val="none" w:sz="0" w:space="0" w:color="auto"/>
        <w:bottom w:val="none" w:sz="0" w:space="0" w:color="auto"/>
        <w:right w:val="none" w:sz="0" w:space="0" w:color="auto"/>
      </w:divBdr>
    </w:div>
    <w:div w:id="843134321">
      <w:bodyDiv w:val="1"/>
      <w:marLeft w:val="0"/>
      <w:marRight w:val="0"/>
      <w:marTop w:val="0"/>
      <w:marBottom w:val="0"/>
      <w:divBdr>
        <w:top w:val="none" w:sz="0" w:space="0" w:color="auto"/>
        <w:left w:val="none" w:sz="0" w:space="0" w:color="auto"/>
        <w:bottom w:val="none" w:sz="0" w:space="0" w:color="auto"/>
        <w:right w:val="none" w:sz="0" w:space="0" w:color="auto"/>
      </w:divBdr>
    </w:div>
    <w:div w:id="941260682">
      <w:bodyDiv w:val="1"/>
      <w:marLeft w:val="0"/>
      <w:marRight w:val="0"/>
      <w:marTop w:val="0"/>
      <w:marBottom w:val="0"/>
      <w:divBdr>
        <w:top w:val="none" w:sz="0" w:space="0" w:color="auto"/>
        <w:left w:val="none" w:sz="0" w:space="0" w:color="auto"/>
        <w:bottom w:val="none" w:sz="0" w:space="0" w:color="auto"/>
        <w:right w:val="none" w:sz="0" w:space="0" w:color="auto"/>
      </w:divBdr>
    </w:div>
    <w:div w:id="1110707160">
      <w:bodyDiv w:val="1"/>
      <w:marLeft w:val="0"/>
      <w:marRight w:val="0"/>
      <w:marTop w:val="0"/>
      <w:marBottom w:val="0"/>
      <w:divBdr>
        <w:top w:val="none" w:sz="0" w:space="0" w:color="auto"/>
        <w:left w:val="none" w:sz="0" w:space="0" w:color="auto"/>
        <w:bottom w:val="none" w:sz="0" w:space="0" w:color="auto"/>
        <w:right w:val="none" w:sz="0" w:space="0" w:color="auto"/>
      </w:divBdr>
    </w:div>
    <w:div w:id="1130971853">
      <w:bodyDiv w:val="1"/>
      <w:marLeft w:val="0"/>
      <w:marRight w:val="0"/>
      <w:marTop w:val="0"/>
      <w:marBottom w:val="0"/>
      <w:divBdr>
        <w:top w:val="none" w:sz="0" w:space="0" w:color="auto"/>
        <w:left w:val="none" w:sz="0" w:space="0" w:color="auto"/>
        <w:bottom w:val="none" w:sz="0" w:space="0" w:color="auto"/>
        <w:right w:val="none" w:sz="0" w:space="0" w:color="auto"/>
      </w:divBdr>
    </w:div>
    <w:div w:id="1196194229">
      <w:bodyDiv w:val="1"/>
      <w:marLeft w:val="0"/>
      <w:marRight w:val="0"/>
      <w:marTop w:val="0"/>
      <w:marBottom w:val="0"/>
      <w:divBdr>
        <w:top w:val="none" w:sz="0" w:space="0" w:color="auto"/>
        <w:left w:val="none" w:sz="0" w:space="0" w:color="auto"/>
        <w:bottom w:val="none" w:sz="0" w:space="0" w:color="auto"/>
        <w:right w:val="none" w:sz="0" w:space="0" w:color="auto"/>
      </w:divBdr>
    </w:div>
    <w:div w:id="1219786831">
      <w:bodyDiv w:val="1"/>
      <w:marLeft w:val="0"/>
      <w:marRight w:val="0"/>
      <w:marTop w:val="0"/>
      <w:marBottom w:val="0"/>
      <w:divBdr>
        <w:top w:val="none" w:sz="0" w:space="0" w:color="auto"/>
        <w:left w:val="none" w:sz="0" w:space="0" w:color="auto"/>
        <w:bottom w:val="none" w:sz="0" w:space="0" w:color="auto"/>
        <w:right w:val="none" w:sz="0" w:space="0" w:color="auto"/>
      </w:divBdr>
    </w:div>
    <w:div w:id="1243218598">
      <w:bodyDiv w:val="1"/>
      <w:marLeft w:val="0"/>
      <w:marRight w:val="0"/>
      <w:marTop w:val="0"/>
      <w:marBottom w:val="0"/>
      <w:divBdr>
        <w:top w:val="none" w:sz="0" w:space="0" w:color="auto"/>
        <w:left w:val="none" w:sz="0" w:space="0" w:color="auto"/>
        <w:bottom w:val="none" w:sz="0" w:space="0" w:color="auto"/>
        <w:right w:val="none" w:sz="0" w:space="0" w:color="auto"/>
      </w:divBdr>
    </w:div>
    <w:div w:id="1271274837">
      <w:bodyDiv w:val="1"/>
      <w:marLeft w:val="0"/>
      <w:marRight w:val="0"/>
      <w:marTop w:val="0"/>
      <w:marBottom w:val="0"/>
      <w:divBdr>
        <w:top w:val="none" w:sz="0" w:space="0" w:color="auto"/>
        <w:left w:val="none" w:sz="0" w:space="0" w:color="auto"/>
        <w:bottom w:val="none" w:sz="0" w:space="0" w:color="auto"/>
        <w:right w:val="none" w:sz="0" w:space="0" w:color="auto"/>
      </w:divBdr>
    </w:div>
    <w:div w:id="1460951371">
      <w:bodyDiv w:val="1"/>
      <w:marLeft w:val="0"/>
      <w:marRight w:val="0"/>
      <w:marTop w:val="0"/>
      <w:marBottom w:val="0"/>
      <w:divBdr>
        <w:top w:val="none" w:sz="0" w:space="0" w:color="auto"/>
        <w:left w:val="none" w:sz="0" w:space="0" w:color="auto"/>
        <w:bottom w:val="none" w:sz="0" w:space="0" w:color="auto"/>
        <w:right w:val="none" w:sz="0" w:space="0" w:color="auto"/>
      </w:divBdr>
    </w:div>
    <w:div w:id="1475874483">
      <w:bodyDiv w:val="1"/>
      <w:marLeft w:val="0"/>
      <w:marRight w:val="0"/>
      <w:marTop w:val="0"/>
      <w:marBottom w:val="0"/>
      <w:divBdr>
        <w:top w:val="none" w:sz="0" w:space="0" w:color="auto"/>
        <w:left w:val="none" w:sz="0" w:space="0" w:color="auto"/>
        <w:bottom w:val="none" w:sz="0" w:space="0" w:color="auto"/>
        <w:right w:val="none" w:sz="0" w:space="0" w:color="auto"/>
      </w:divBdr>
    </w:div>
    <w:div w:id="1490748071">
      <w:bodyDiv w:val="1"/>
      <w:marLeft w:val="0"/>
      <w:marRight w:val="0"/>
      <w:marTop w:val="0"/>
      <w:marBottom w:val="0"/>
      <w:divBdr>
        <w:top w:val="none" w:sz="0" w:space="0" w:color="auto"/>
        <w:left w:val="none" w:sz="0" w:space="0" w:color="auto"/>
        <w:bottom w:val="none" w:sz="0" w:space="0" w:color="auto"/>
        <w:right w:val="none" w:sz="0" w:space="0" w:color="auto"/>
      </w:divBdr>
    </w:div>
    <w:div w:id="1502039143">
      <w:bodyDiv w:val="1"/>
      <w:marLeft w:val="0"/>
      <w:marRight w:val="0"/>
      <w:marTop w:val="0"/>
      <w:marBottom w:val="0"/>
      <w:divBdr>
        <w:top w:val="none" w:sz="0" w:space="0" w:color="auto"/>
        <w:left w:val="none" w:sz="0" w:space="0" w:color="auto"/>
        <w:bottom w:val="none" w:sz="0" w:space="0" w:color="auto"/>
        <w:right w:val="none" w:sz="0" w:space="0" w:color="auto"/>
      </w:divBdr>
    </w:div>
    <w:div w:id="1535649800">
      <w:bodyDiv w:val="1"/>
      <w:marLeft w:val="0"/>
      <w:marRight w:val="0"/>
      <w:marTop w:val="0"/>
      <w:marBottom w:val="0"/>
      <w:divBdr>
        <w:top w:val="none" w:sz="0" w:space="0" w:color="auto"/>
        <w:left w:val="none" w:sz="0" w:space="0" w:color="auto"/>
        <w:bottom w:val="none" w:sz="0" w:space="0" w:color="auto"/>
        <w:right w:val="none" w:sz="0" w:space="0" w:color="auto"/>
      </w:divBdr>
    </w:div>
    <w:div w:id="1551457707">
      <w:bodyDiv w:val="1"/>
      <w:marLeft w:val="0"/>
      <w:marRight w:val="0"/>
      <w:marTop w:val="0"/>
      <w:marBottom w:val="0"/>
      <w:divBdr>
        <w:top w:val="none" w:sz="0" w:space="0" w:color="auto"/>
        <w:left w:val="none" w:sz="0" w:space="0" w:color="auto"/>
        <w:bottom w:val="none" w:sz="0" w:space="0" w:color="auto"/>
        <w:right w:val="none" w:sz="0" w:space="0" w:color="auto"/>
      </w:divBdr>
    </w:div>
    <w:div w:id="1580214734">
      <w:bodyDiv w:val="1"/>
      <w:marLeft w:val="0"/>
      <w:marRight w:val="0"/>
      <w:marTop w:val="0"/>
      <w:marBottom w:val="0"/>
      <w:divBdr>
        <w:top w:val="none" w:sz="0" w:space="0" w:color="auto"/>
        <w:left w:val="none" w:sz="0" w:space="0" w:color="auto"/>
        <w:bottom w:val="none" w:sz="0" w:space="0" w:color="auto"/>
        <w:right w:val="none" w:sz="0" w:space="0" w:color="auto"/>
      </w:divBdr>
    </w:div>
    <w:div w:id="1597865231">
      <w:bodyDiv w:val="1"/>
      <w:marLeft w:val="0"/>
      <w:marRight w:val="0"/>
      <w:marTop w:val="0"/>
      <w:marBottom w:val="0"/>
      <w:divBdr>
        <w:top w:val="none" w:sz="0" w:space="0" w:color="auto"/>
        <w:left w:val="none" w:sz="0" w:space="0" w:color="auto"/>
        <w:bottom w:val="none" w:sz="0" w:space="0" w:color="auto"/>
        <w:right w:val="none" w:sz="0" w:space="0" w:color="auto"/>
      </w:divBdr>
    </w:div>
    <w:div w:id="1600943603">
      <w:bodyDiv w:val="1"/>
      <w:marLeft w:val="0"/>
      <w:marRight w:val="0"/>
      <w:marTop w:val="0"/>
      <w:marBottom w:val="0"/>
      <w:divBdr>
        <w:top w:val="none" w:sz="0" w:space="0" w:color="auto"/>
        <w:left w:val="none" w:sz="0" w:space="0" w:color="auto"/>
        <w:bottom w:val="none" w:sz="0" w:space="0" w:color="auto"/>
        <w:right w:val="none" w:sz="0" w:space="0" w:color="auto"/>
      </w:divBdr>
    </w:div>
    <w:div w:id="1615862464">
      <w:bodyDiv w:val="1"/>
      <w:marLeft w:val="0"/>
      <w:marRight w:val="0"/>
      <w:marTop w:val="0"/>
      <w:marBottom w:val="0"/>
      <w:divBdr>
        <w:top w:val="none" w:sz="0" w:space="0" w:color="auto"/>
        <w:left w:val="none" w:sz="0" w:space="0" w:color="auto"/>
        <w:bottom w:val="none" w:sz="0" w:space="0" w:color="auto"/>
        <w:right w:val="none" w:sz="0" w:space="0" w:color="auto"/>
      </w:divBdr>
    </w:div>
    <w:div w:id="1710377819">
      <w:bodyDiv w:val="1"/>
      <w:marLeft w:val="0"/>
      <w:marRight w:val="0"/>
      <w:marTop w:val="0"/>
      <w:marBottom w:val="0"/>
      <w:divBdr>
        <w:top w:val="none" w:sz="0" w:space="0" w:color="auto"/>
        <w:left w:val="none" w:sz="0" w:space="0" w:color="auto"/>
        <w:bottom w:val="none" w:sz="0" w:space="0" w:color="auto"/>
        <w:right w:val="none" w:sz="0" w:space="0" w:color="auto"/>
      </w:divBdr>
    </w:div>
    <w:div w:id="1786342780">
      <w:bodyDiv w:val="1"/>
      <w:marLeft w:val="0"/>
      <w:marRight w:val="0"/>
      <w:marTop w:val="0"/>
      <w:marBottom w:val="0"/>
      <w:divBdr>
        <w:top w:val="none" w:sz="0" w:space="0" w:color="auto"/>
        <w:left w:val="none" w:sz="0" w:space="0" w:color="auto"/>
        <w:bottom w:val="none" w:sz="0" w:space="0" w:color="auto"/>
        <w:right w:val="none" w:sz="0" w:space="0" w:color="auto"/>
      </w:divBdr>
    </w:div>
    <w:div w:id="1802385178">
      <w:bodyDiv w:val="1"/>
      <w:marLeft w:val="0"/>
      <w:marRight w:val="0"/>
      <w:marTop w:val="0"/>
      <w:marBottom w:val="0"/>
      <w:divBdr>
        <w:top w:val="none" w:sz="0" w:space="0" w:color="auto"/>
        <w:left w:val="none" w:sz="0" w:space="0" w:color="auto"/>
        <w:bottom w:val="none" w:sz="0" w:space="0" w:color="auto"/>
        <w:right w:val="none" w:sz="0" w:space="0" w:color="auto"/>
      </w:divBdr>
      <w:divsChild>
        <w:div w:id="558983979">
          <w:marLeft w:val="0"/>
          <w:marRight w:val="0"/>
          <w:marTop w:val="0"/>
          <w:marBottom w:val="360"/>
          <w:divBdr>
            <w:top w:val="none" w:sz="0" w:space="0" w:color="auto"/>
            <w:left w:val="none" w:sz="0" w:space="0" w:color="auto"/>
            <w:bottom w:val="none" w:sz="0" w:space="0" w:color="auto"/>
            <w:right w:val="none" w:sz="0" w:space="0" w:color="auto"/>
          </w:divBdr>
          <w:divsChild>
            <w:div w:id="866942752">
              <w:marLeft w:val="0"/>
              <w:marRight w:val="0"/>
              <w:marTop w:val="0"/>
              <w:marBottom w:val="0"/>
              <w:divBdr>
                <w:top w:val="none" w:sz="0" w:space="0" w:color="auto"/>
                <w:left w:val="none" w:sz="0" w:space="0" w:color="auto"/>
                <w:bottom w:val="none" w:sz="0" w:space="0" w:color="auto"/>
                <w:right w:val="none" w:sz="0" w:space="0" w:color="auto"/>
              </w:divBdr>
              <w:divsChild>
                <w:div w:id="17885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9606">
      <w:bodyDiv w:val="1"/>
      <w:marLeft w:val="0"/>
      <w:marRight w:val="0"/>
      <w:marTop w:val="0"/>
      <w:marBottom w:val="0"/>
      <w:divBdr>
        <w:top w:val="none" w:sz="0" w:space="0" w:color="auto"/>
        <w:left w:val="none" w:sz="0" w:space="0" w:color="auto"/>
        <w:bottom w:val="none" w:sz="0" w:space="0" w:color="auto"/>
        <w:right w:val="none" w:sz="0" w:space="0" w:color="auto"/>
      </w:divBdr>
    </w:div>
    <w:div w:id="1827671003">
      <w:bodyDiv w:val="1"/>
      <w:marLeft w:val="0"/>
      <w:marRight w:val="0"/>
      <w:marTop w:val="0"/>
      <w:marBottom w:val="0"/>
      <w:divBdr>
        <w:top w:val="none" w:sz="0" w:space="0" w:color="auto"/>
        <w:left w:val="none" w:sz="0" w:space="0" w:color="auto"/>
        <w:bottom w:val="none" w:sz="0" w:space="0" w:color="auto"/>
        <w:right w:val="none" w:sz="0" w:space="0" w:color="auto"/>
      </w:divBdr>
    </w:div>
    <w:div w:id="1907260278">
      <w:bodyDiv w:val="1"/>
      <w:marLeft w:val="0"/>
      <w:marRight w:val="0"/>
      <w:marTop w:val="0"/>
      <w:marBottom w:val="0"/>
      <w:divBdr>
        <w:top w:val="none" w:sz="0" w:space="0" w:color="auto"/>
        <w:left w:val="none" w:sz="0" w:space="0" w:color="auto"/>
        <w:bottom w:val="none" w:sz="0" w:space="0" w:color="auto"/>
        <w:right w:val="none" w:sz="0" w:space="0" w:color="auto"/>
      </w:divBdr>
    </w:div>
    <w:div w:id="2032369353">
      <w:bodyDiv w:val="1"/>
      <w:marLeft w:val="0"/>
      <w:marRight w:val="0"/>
      <w:marTop w:val="0"/>
      <w:marBottom w:val="0"/>
      <w:divBdr>
        <w:top w:val="none" w:sz="0" w:space="0" w:color="auto"/>
        <w:left w:val="none" w:sz="0" w:space="0" w:color="auto"/>
        <w:bottom w:val="none" w:sz="0" w:space="0" w:color="auto"/>
        <w:right w:val="none" w:sz="0" w:space="0" w:color="auto"/>
      </w:divBdr>
      <w:divsChild>
        <w:div w:id="1729260735">
          <w:marLeft w:val="0"/>
          <w:marRight w:val="0"/>
          <w:marTop w:val="0"/>
          <w:marBottom w:val="0"/>
          <w:divBdr>
            <w:top w:val="none" w:sz="0" w:space="0" w:color="auto"/>
            <w:left w:val="none" w:sz="0" w:space="0" w:color="auto"/>
            <w:bottom w:val="none" w:sz="0" w:space="0" w:color="auto"/>
            <w:right w:val="none" w:sz="0" w:space="0" w:color="auto"/>
          </w:divBdr>
          <w:divsChild>
            <w:div w:id="1604530879">
              <w:marLeft w:val="0"/>
              <w:marRight w:val="0"/>
              <w:marTop w:val="0"/>
              <w:marBottom w:val="0"/>
              <w:divBdr>
                <w:top w:val="none" w:sz="0" w:space="0" w:color="auto"/>
                <w:left w:val="none" w:sz="0" w:space="0" w:color="auto"/>
                <w:bottom w:val="none" w:sz="0" w:space="0" w:color="auto"/>
                <w:right w:val="none" w:sz="0" w:space="0" w:color="auto"/>
              </w:divBdr>
              <w:divsChild>
                <w:div w:id="2465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9248">
      <w:bodyDiv w:val="1"/>
      <w:marLeft w:val="0"/>
      <w:marRight w:val="0"/>
      <w:marTop w:val="0"/>
      <w:marBottom w:val="0"/>
      <w:divBdr>
        <w:top w:val="none" w:sz="0" w:space="0" w:color="auto"/>
        <w:left w:val="none" w:sz="0" w:space="0" w:color="auto"/>
        <w:bottom w:val="none" w:sz="0" w:space="0" w:color="auto"/>
        <w:right w:val="none" w:sz="0" w:space="0" w:color="auto"/>
      </w:divBdr>
    </w:div>
    <w:div w:id="2102020109">
      <w:bodyDiv w:val="1"/>
      <w:marLeft w:val="0"/>
      <w:marRight w:val="0"/>
      <w:marTop w:val="0"/>
      <w:marBottom w:val="0"/>
      <w:divBdr>
        <w:top w:val="none" w:sz="0" w:space="0" w:color="auto"/>
        <w:left w:val="none" w:sz="0" w:space="0" w:color="auto"/>
        <w:bottom w:val="none" w:sz="0" w:space="0" w:color="auto"/>
        <w:right w:val="none" w:sz="0" w:space="0" w:color="auto"/>
      </w:divBdr>
    </w:div>
    <w:div w:id="2115007560">
      <w:bodyDiv w:val="1"/>
      <w:marLeft w:val="0"/>
      <w:marRight w:val="0"/>
      <w:marTop w:val="0"/>
      <w:marBottom w:val="0"/>
      <w:divBdr>
        <w:top w:val="none" w:sz="0" w:space="0" w:color="auto"/>
        <w:left w:val="none" w:sz="0" w:space="0" w:color="auto"/>
        <w:bottom w:val="none" w:sz="0" w:space="0" w:color="auto"/>
        <w:right w:val="none" w:sz="0" w:space="0" w:color="auto"/>
      </w:divBdr>
    </w:div>
    <w:div w:id="2126847398">
      <w:bodyDiv w:val="1"/>
      <w:marLeft w:val="0"/>
      <w:marRight w:val="0"/>
      <w:marTop w:val="0"/>
      <w:marBottom w:val="0"/>
      <w:divBdr>
        <w:top w:val="none" w:sz="0" w:space="0" w:color="auto"/>
        <w:left w:val="none" w:sz="0" w:space="0" w:color="auto"/>
        <w:bottom w:val="none" w:sz="0" w:space="0" w:color="auto"/>
        <w:right w:val="none" w:sz="0" w:space="0" w:color="auto"/>
      </w:divBdr>
      <w:divsChild>
        <w:div w:id="1936548494">
          <w:marLeft w:val="0"/>
          <w:marRight w:val="0"/>
          <w:marTop w:val="0"/>
          <w:marBottom w:val="0"/>
          <w:divBdr>
            <w:top w:val="none" w:sz="0" w:space="0" w:color="auto"/>
            <w:left w:val="none" w:sz="0" w:space="0" w:color="auto"/>
            <w:bottom w:val="none" w:sz="0" w:space="0" w:color="auto"/>
            <w:right w:val="none" w:sz="0" w:space="0" w:color="auto"/>
          </w:divBdr>
          <w:divsChild>
            <w:div w:id="530651988">
              <w:marLeft w:val="0"/>
              <w:marRight w:val="0"/>
              <w:marTop w:val="0"/>
              <w:marBottom w:val="0"/>
              <w:divBdr>
                <w:top w:val="none" w:sz="0" w:space="0" w:color="auto"/>
                <w:left w:val="none" w:sz="0" w:space="0" w:color="auto"/>
                <w:bottom w:val="none" w:sz="0" w:space="0" w:color="auto"/>
                <w:right w:val="none" w:sz="0" w:space="0" w:color="auto"/>
              </w:divBdr>
              <w:divsChild>
                <w:div w:id="5319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service-details/trichloroethylene-tce-in-indoor-air" TargetMode="External"/><Relationship Id="rId18" Type="http://schemas.openxmlformats.org/officeDocument/2006/relationships/hyperlink" Target="http://www.cancer.org" TargetMode="External"/><Relationship Id="rId26" Type="http://schemas.openxmlformats.org/officeDocument/2006/relationships/hyperlink" Target="http://www.mass.gov/dph/matracking" TargetMode="External"/><Relationship Id="rId3" Type="http://schemas.openxmlformats.org/officeDocument/2006/relationships/styles" Target="styles.xml"/><Relationship Id="rId21" Type="http://schemas.openxmlformats.org/officeDocument/2006/relationships/hyperlink" Target="https://www.cancer.org/cancer/kidney-cancer.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matracking.ehs.state.ma.us/Health-Data/Cancer/Risk_Factor_Summaries.html" TargetMode="External"/><Relationship Id="rId25" Type="http://schemas.openxmlformats.org/officeDocument/2006/relationships/hyperlink" Target="https://www.mass.gov/locations/massdep-northeast-regional-off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ncer.org" TargetMode="External"/><Relationship Id="rId20" Type="http://schemas.openxmlformats.org/officeDocument/2006/relationships/hyperlink" Target="https://www.atsdr.cdc.gov/toxprofiles/tp19.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tonma.gov/civicax/filebank/documents/86379" TargetMode="External"/><Relationship Id="rId24" Type="http://schemas.openxmlformats.org/officeDocument/2006/relationships/hyperlink" Target="http://www.mass.gov/dph/environmental_health"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matracking.ehs.state.ma.us/Health-Data/Cancer/Risk_Factor_Summaries.html" TargetMode="External"/><Relationship Id="rId23" Type="http://schemas.openxmlformats.org/officeDocument/2006/relationships/hyperlink" Target="https://www.cancer.org/cancer/non-hodgkin-lymphoma.html" TargetMode="External"/><Relationship Id="rId28" Type="http://schemas.openxmlformats.org/officeDocument/2006/relationships/header" Target="header2.xml"/><Relationship Id="rId10" Type="http://schemas.openxmlformats.org/officeDocument/2006/relationships/image" Target="media/image10.png"/><Relationship Id="rId19" Type="http://schemas.openxmlformats.org/officeDocument/2006/relationships/hyperlink" Target="https://matracking.ehs.state.ma.us/Health-Data/Cancer/Risk_Factor_Summaries.html"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ncer.org" TargetMode="External"/><Relationship Id="rId22" Type="http://schemas.openxmlformats.org/officeDocument/2006/relationships/hyperlink" Target="https://www.cancer.org/cancer/liver-cancer.htm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3F6E-DE31-4270-B03D-1CED5308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4219</Words>
  <Characters>24050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Data Brief: Response to Community Concerns Related to Vapor Intrusion in the Nonantum Area of Newton</vt:lpstr>
    </vt:vector>
  </TitlesOfParts>
  <LinksUpToDate>false</LinksUpToDate>
  <CharactersWithSpaces>28213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Brief: Response to Community Concerns Related to Vapor Intrusion in the Nonantum Area of Newton</dc:title>
  <dc:subject>Health outcome review</dc:subject>
  <dc:creator/>
  <cp:keywords>Masschusetts Department of Public Health, Bureau of Environmental Health, TCE, Nonantum, cancer, cardiac defects</cp:keywords>
  <cp:lastModifiedBy/>
  <cp:revision>1</cp:revision>
  <dcterms:created xsi:type="dcterms:W3CDTF">2019-10-30T17:57:00Z</dcterms:created>
  <dcterms:modified xsi:type="dcterms:W3CDTF">2019-10-30T17:57:00Z</dcterms:modified>
</cp:coreProperties>
</file>