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96610" w14:textId="77777777" w:rsidR="00477A1F" w:rsidRDefault="00477A1F" w:rsidP="00477A1F">
      <w:pPr>
        <w:framePr w:wrap="auto" w:vAnchor="page" w:hAnchor="page" w:x="1430" w:y="699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056D6170" w14:textId="77777777" w:rsidR="00477A1F" w:rsidRDefault="00477A1F" w:rsidP="00477A1F">
      <w:pPr>
        <w:pStyle w:val="ExecOffice"/>
        <w:framePr w:w="0" w:hSpace="0" w:wrap="auto" w:vAnchor="page" w:x="1430" w:y="699"/>
      </w:pPr>
      <w:r>
        <w:t>Executive Office of Health and Human Services</w:t>
      </w:r>
    </w:p>
    <w:p w14:paraId="503FAF32" w14:textId="77777777" w:rsidR="00477A1F" w:rsidRDefault="00477A1F" w:rsidP="00477A1F">
      <w:pPr>
        <w:pStyle w:val="ExecOffice"/>
        <w:framePr w:w="0" w:hSpace="0" w:wrap="auto" w:vAnchor="page" w:x="1430" w:y="699"/>
      </w:pPr>
      <w:r>
        <w:t>Department of Public Health</w:t>
      </w:r>
    </w:p>
    <w:p w14:paraId="36310322" w14:textId="77777777" w:rsidR="00477A1F" w:rsidRDefault="00477A1F" w:rsidP="00477A1F">
      <w:pPr>
        <w:pStyle w:val="ExecOffice"/>
        <w:framePr w:w="0" w:hSpace="0" w:wrap="auto" w:vAnchor="page" w:x="1430" w:y="699"/>
      </w:pPr>
      <w:r>
        <w:t>Bureau of Infectious Disease and Laboratory Sciences</w:t>
      </w:r>
    </w:p>
    <w:p w14:paraId="1151ED65" w14:textId="77777777" w:rsidR="00477A1F" w:rsidRDefault="00477A1F" w:rsidP="00477A1F">
      <w:pPr>
        <w:pStyle w:val="ExecOffice"/>
        <w:framePr w:w="0" w:hSpace="0" w:wrap="auto" w:vAnchor="page" w:x="1430" w:y="699"/>
      </w:pPr>
      <w:r>
        <w:t>305 South Street, Jamaica Plain, MA 02130</w:t>
      </w:r>
    </w:p>
    <w:p w14:paraId="14732E65" w14:textId="2D2B8CF2" w:rsidR="00BA4055" w:rsidRDefault="002F508E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2715722" wp14:editId="4B80F45E">
            <wp:extent cx="965200" cy="1151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782F4" w14:textId="154AD9E8" w:rsidR="009908FF" w:rsidRDefault="002F508E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28AA6A" wp14:editId="01CFA072">
                <wp:simplePos x="0" y="0"/>
                <wp:positionH relativeFrom="column">
                  <wp:posOffset>5114925</wp:posOffset>
                </wp:positionH>
                <wp:positionV relativeFrom="paragraph">
                  <wp:posOffset>465455</wp:posOffset>
                </wp:positionV>
                <wp:extent cx="1814195" cy="1197610"/>
                <wp:effectExtent l="0" t="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B74A4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02E67300" w14:textId="77777777" w:rsidR="00FC6B42" w:rsidRDefault="00FC6B42" w:rsidP="00FC6B42">
                            <w:pPr>
                              <w:pStyle w:val="Governor"/>
                            </w:pPr>
                          </w:p>
                          <w:p w14:paraId="4B99C485" w14:textId="77777777" w:rsidR="00477A1F" w:rsidRDefault="00477A1F" w:rsidP="00477A1F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5150046" w14:textId="77777777" w:rsidR="00477A1F" w:rsidRDefault="00477A1F" w:rsidP="00477A1F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71B87516" w14:textId="77777777" w:rsidR="00477A1F" w:rsidRDefault="00477A1F" w:rsidP="00477A1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ROBERT GOLDSTEIN, MD, PhD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C70D044" w14:textId="77777777" w:rsidR="00477A1F" w:rsidRDefault="00477A1F" w:rsidP="00477A1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EF2A389" w14:textId="77777777" w:rsidR="00477A1F" w:rsidRDefault="00477A1F" w:rsidP="00477A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5D7888A6" w14:textId="77777777" w:rsidR="00477A1F" w:rsidRDefault="00477A1F" w:rsidP="00477A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5CB09B3C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73381431">
              <v:shapetype id="_x0000_t202" coordsize="21600,21600" o:spt="202" path="m,l,21600r21600,l21600,xe" w14:anchorId="3128AA6A">
                <v:stroke joinstyle="miter"/>
                <v:path gradientshapeok="t" o:connecttype="rect"/>
              </v:shapetype>
              <v:shape id="Text Box 3" style="position:absolute;margin-left:402.75pt;margin-top:36.65pt;width:142.85pt;height:94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">
                <v:textbox style="mso-fit-shape-to-text:t">
                  <w:txbxContent>
                    <w:p w:rsidR="00FC6B42" w:rsidP="00FC6B42" w:rsidRDefault="00FC6B42" w14:paraId="672A6659" w14:textId="7777777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C6B42" w:rsidP="00FC6B42" w:rsidRDefault="00FC6B42" w14:paraId="0A37501D" w14:textId="77777777">
                      <w:pPr>
                        <w:pStyle w:val="Governor"/>
                      </w:pPr>
                    </w:p>
                    <w:p w:rsidR="00477A1F" w:rsidP="00477A1F" w:rsidRDefault="00477A1F" w14:paraId="3B44D3D4" w14:textId="77777777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:rsidR="00477A1F" w:rsidP="00477A1F" w:rsidRDefault="00477A1F" w14:paraId="67AA55DE" w14:textId="77777777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:rsidR="00477A1F" w:rsidP="00477A1F" w:rsidRDefault="00477A1F" w14:paraId="34D0ABB2" w14:textId="7777777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ROBERT GOLDSTEIN, MD, PhD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477A1F" w:rsidP="00477A1F" w:rsidRDefault="00477A1F" w14:paraId="5DAB6C7B" w14:textId="7777777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477A1F" w:rsidP="00477A1F" w:rsidRDefault="00477A1F" w14:paraId="673B1DBD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477A1F" w:rsidP="00477A1F" w:rsidRDefault="00477A1F" w14:paraId="7C33124B" w14:textId="77777777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Pr="00FC6B42" w:rsidR="004813AC" w:rsidP="00FC6B42" w:rsidRDefault="004813AC" w14:paraId="02EB378F" w14:textId="7777777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1E700A" wp14:editId="18FB8BAD">
                <wp:simplePos x="0" y="0"/>
                <wp:positionH relativeFrom="column">
                  <wp:posOffset>-704850</wp:posOffset>
                </wp:positionH>
                <wp:positionV relativeFrom="paragraph">
                  <wp:posOffset>828040</wp:posOffset>
                </wp:positionV>
                <wp:extent cx="1572895" cy="8020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F4B1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1A9D9FA" w14:textId="77777777" w:rsidR="00477A1F" w:rsidRDefault="00477A1F" w:rsidP="00477A1F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7C1C24FC" w14:textId="77777777" w:rsidR="00477A1F" w:rsidRDefault="00477A1F" w:rsidP="00477A1F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EC3C2B1" w14:textId="77777777" w:rsidR="00477A1F" w:rsidRDefault="00477A1F" w:rsidP="00477A1F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1710F6EA" w14:textId="77777777" w:rsidR="00477A1F" w:rsidRDefault="00477A1F" w:rsidP="00477A1F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14:paraId="64C7807C" w14:textId="018475DA" w:rsidR="00FC6B42" w:rsidRDefault="00FC6B42" w:rsidP="00477A1F">
                            <w:pPr>
                              <w:pStyle w:val="Governor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596339A4">
              <v:shape id="Text Box 2" style="position:absolute;margin-left:-55.5pt;margin-top:65.2pt;width:123.85pt;height:63.1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" w14:anchorId="001E700A">
                <v:textbox style="mso-fit-shape-to-text:t">
                  <w:txbxContent>
                    <w:p w:rsidR="00FC6B42" w:rsidP="00FC6B42" w:rsidRDefault="00FC6B42" w14:paraId="6A05A809" w14:textId="7777777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477A1F" w:rsidP="00477A1F" w:rsidRDefault="00477A1F" w14:paraId="79086CF1" w14:textId="7777777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:rsidR="00477A1F" w:rsidP="00477A1F" w:rsidRDefault="00477A1F" w14:paraId="637F627B" w14:textId="77777777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477A1F" w:rsidP="00477A1F" w:rsidRDefault="00477A1F" w14:paraId="7583C5AA" w14:textId="7777777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:rsidR="00477A1F" w:rsidP="00477A1F" w:rsidRDefault="00477A1F" w14:paraId="36C70626" w14:textId="77777777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:rsidR="00FC6B42" w:rsidP="00477A1F" w:rsidRDefault="00FC6B42" w14:paraId="5A39BBE3" w14:textId="018475DA">
                      <w:pPr>
                        <w:pStyle w:val="Governor"/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7DF78F32" w14:textId="7B8DBCC1" w:rsidR="00FC6B42" w:rsidRDefault="002F508E" w:rsidP="0072610D">
      <w:r>
        <w:rPr>
          <w:rFonts w:ascii="Arial" w:hAnsi="Arial"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BCE6B5" wp14:editId="4D70CDA3">
                <wp:simplePos x="0" y="0"/>
                <wp:positionH relativeFrom="column">
                  <wp:posOffset>1303020</wp:posOffset>
                </wp:positionH>
                <wp:positionV relativeFrom="paragraph">
                  <wp:posOffset>95885</wp:posOffset>
                </wp:positionV>
                <wp:extent cx="3333750" cy="101917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1BF213" w14:textId="77777777" w:rsidR="000B2998" w:rsidRPr="00511BE1" w:rsidRDefault="000B2998" w:rsidP="000B2998">
                            <w:pPr>
                              <w:pStyle w:val="ExecOffice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11BE1">
                              <w:rPr>
                                <w:rFonts w:cs="Arial"/>
                                <w:sz w:val="22"/>
                                <w:szCs w:val="22"/>
                              </w:rPr>
                              <w:t>Immunization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Division</w:t>
                            </w:r>
                          </w:p>
                          <w:p w14:paraId="3E226D03" w14:textId="77777777" w:rsidR="000B2998" w:rsidRPr="00511BE1" w:rsidRDefault="000B2998" w:rsidP="000B2998">
                            <w:pPr>
                              <w:pStyle w:val="ExecOffice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11BE1">
                              <w:rPr>
                                <w:rFonts w:cs="Arial"/>
                                <w:sz w:val="22"/>
                                <w:szCs w:val="22"/>
                              </w:rPr>
                              <w:t>Tel</w:t>
                            </w:r>
                            <w:proofErr w:type="gramStart"/>
                            <w:r w:rsidRPr="00511BE1">
                              <w:rPr>
                                <w:rFonts w:cs="Arial"/>
                                <w:sz w:val="22"/>
                                <w:szCs w:val="22"/>
                              </w:rPr>
                              <w:t>:  (</w:t>
                            </w:r>
                            <w:proofErr w:type="gramEnd"/>
                            <w:r w:rsidRPr="00511BE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617) 983-6800 </w:t>
                            </w:r>
                          </w:p>
                          <w:p w14:paraId="49BCE913" w14:textId="77777777" w:rsidR="000B2998" w:rsidRPr="00511BE1" w:rsidRDefault="000B2998" w:rsidP="000B2998">
                            <w:pPr>
                              <w:pStyle w:val="ExecOffice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11BE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Fax: (617) 983-6840 </w:t>
                            </w:r>
                          </w:p>
                          <w:p w14:paraId="6F4667B3" w14:textId="77777777" w:rsidR="000B2998" w:rsidRDefault="00000000" w:rsidP="000B2998">
                            <w:pPr>
                              <w:jc w:val="center"/>
                            </w:pPr>
                            <w:hyperlink r:id="rId9" w:history="1">
                              <w:r w:rsidR="000B2998" w:rsidRPr="00511BE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www.mass.gov/dph/imm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40CB2A5A">
              <v:shape id="Text Box 6" style="position:absolute;margin-left:102.6pt;margin-top:7.55pt;width:262.5pt;height:8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" w14:anchorId="2ABCE6B5">
                <v:textbox>
                  <w:txbxContent>
                    <w:p w:rsidRPr="00511BE1" w:rsidR="000B2998" w:rsidP="000B2998" w:rsidRDefault="000B2998" w14:paraId="4D30E315" w14:textId="77777777">
                      <w:pPr>
                        <w:pStyle w:val="ExecOffice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511BE1">
                        <w:rPr>
                          <w:rFonts w:cs="Arial"/>
                          <w:sz w:val="22"/>
                          <w:szCs w:val="22"/>
                        </w:rPr>
                        <w:t>Immunization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Division</w:t>
                      </w:r>
                    </w:p>
                    <w:p w:rsidRPr="00511BE1" w:rsidR="000B2998" w:rsidP="000B2998" w:rsidRDefault="000B2998" w14:paraId="5A4A8DE3" w14:textId="77777777">
                      <w:pPr>
                        <w:pStyle w:val="ExecOffice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511BE1">
                        <w:rPr>
                          <w:rFonts w:cs="Arial"/>
                          <w:sz w:val="22"/>
                          <w:szCs w:val="22"/>
                        </w:rPr>
                        <w:t>Tel</w:t>
                      </w:r>
                      <w:proofErr w:type="gramStart"/>
                      <w:r w:rsidRPr="00511BE1">
                        <w:rPr>
                          <w:rFonts w:cs="Arial"/>
                          <w:sz w:val="22"/>
                          <w:szCs w:val="22"/>
                        </w:rPr>
                        <w:t>:  (</w:t>
                      </w:r>
                      <w:proofErr w:type="gramEnd"/>
                      <w:r w:rsidRPr="00511BE1">
                        <w:rPr>
                          <w:rFonts w:cs="Arial"/>
                          <w:sz w:val="22"/>
                          <w:szCs w:val="22"/>
                        </w:rPr>
                        <w:t xml:space="preserve">617) 983-6800 </w:t>
                      </w:r>
                    </w:p>
                    <w:p w:rsidRPr="00511BE1" w:rsidR="000B2998" w:rsidP="000B2998" w:rsidRDefault="000B2998" w14:paraId="17C8F0C8" w14:textId="77777777">
                      <w:pPr>
                        <w:pStyle w:val="ExecOffice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511BE1">
                        <w:rPr>
                          <w:rFonts w:cs="Arial"/>
                          <w:sz w:val="22"/>
                          <w:szCs w:val="22"/>
                        </w:rPr>
                        <w:t xml:space="preserve">Fax: (617) 983-6840 </w:t>
                      </w:r>
                    </w:p>
                    <w:p w:rsidR="000B2998" w:rsidP="000B2998" w:rsidRDefault="00000000" w14:paraId="71489C60" w14:textId="77777777">
                      <w:pPr>
                        <w:jc w:val="center"/>
                      </w:pPr>
                      <w:hyperlink w:history="1" r:id="rId10">
                        <w:r w:rsidRPr="00511BE1" w:rsidR="000B2998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www.mass.gov/dph/imm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D3D7916" w14:textId="77777777" w:rsidR="00FC6B42" w:rsidRDefault="00FC6B42" w:rsidP="0072610D"/>
    <w:p w14:paraId="5A5B07A6" w14:textId="77777777" w:rsidR="00033154" w:rsidRDefault="00033154" w:rsidP="0072610D"/>
    <w:p w14:paraId="71415028" w14:textId="77777777" w:rsidR="00033154" w:rsidRDefault="00033154" w:rsidP="0072610D"/>
    <w:p w14:paraId="71ACFB1A" w14:textId="77777777" w:rsidR="00033154" w:rsidRDefault="00033154" w:rsidP="0072610D"/>
    <w:p w14:paraId="1429F5EE" w14:textId="77777777" w:rsidR="00033154" w:rsidRDefault="00033154" w:rsidP="0072610D"/>
    <w:p w14:paraId="28CC6B14" w14:textId="77777777" w:rsidR="00033154" w:rsidRDefault="00033154" w:rsidP="0072610D"/>
    <w:p w14:paraId="453499E9" w14:textId="77777777" w:rsidR="00033154" w:rsidRDefault="00033154" w:rsidP="0072610D"/>
    <w:p w14:paraId="72698E45" w14:textId="77777777" w:rsidR="00396967" w:rsidRPr="00396967" w:rsidRDefault="00396967" w:rsidP="00396967">
      <w:pPr>
        <w:widowControl w:val="0"/>
        <w:tabs>
          <w:tab w:val="left" w:pos="-1440"/>
        </w:tabs>
        <w:ind w:left="1440" w:hanging="1440"/>
        <w:rPr>
          <w:rFonts w:ascii="Calibri" w:hAnsi="Calibri"/>
          <w:sz w:val="22"/>
          <w:szCs w:val="22"/>
        </w:rPr>
      </w:pPr>
      <w:r w:rsidRPr="00396967">
        <w:rPr>
          <w:rFonts w:ascii="Calibri" w:hAnsi="Calibri"/>
          <w:b/>
          <w:sz w:val="22"/>
          <w:szCs w:val="22"/>
        </w:rPr>
        <w:t>To:</w:t>
      </w:r>
      <w:r w:rsidRPr="00396967">
        <w:rPr>
          <w:rFonts w:ascii="Calibri" w:hAnsi="Calibri"/>
          <w:sz w:val="22"/>
          <w:szCs w:val="22"/>
        </w:rPr>
        <w:tab/>
        <w:t>Vaccine Providers</w:t>
      </w:r>
    </w:p>
    <w:p w14:paraId="5683D4B1" w14:textId="77777777" w:rsidR="00396967" w:rsidRPr="00396967" w:rsidRDefault="00396967" w:rsidP="00396967">
      <w:pPr>
        <w:widowControl w:val="0"/>
        <w:rPr>
          <w:rFonts w:ascii="Calibri" w:hAnsi="Calibri"/>
          <w:sz w:val="22"/>
          <w:szCs w:val="22"/>
        </w:rPr>
      </w:pPr>
    </w:p>
    <w:p w14:paraId="1A836C3C" w14:textId="77777777" w:rsidR="00396967" w:rsidRPr="00396967" w:rsidRDefault="00396967" w:rsidP="00396967">
      <w:pPr>
        <w:widowControl w:val="0"/>
        <w:tabs>
          <w:tab w:val="left" w:pos="-1440"/>
        </w:tabs>
        <w:ind w:left="1440" w:hanging="1440"/>
        <w:rPr>
          <w:rFonts w:ascii="Calibri" w:hAnsi="Calibri"/>
          <w:sz w:val="22"/>
          <w:szCs w:val="22"/>
        </w:rPr>
      </w:pPr>
      <w:r w:rsidRPr="00396967">
        <w:rPr>
          <w:rFonts w:ascii="Calibri" w:hAnsi="Calibri"/>
          <w:b/>
          <w:sz w:val="22"/>
          <w:szCs w:val="22"/>
        </w:rPr>
        <w:t>From:</w:t>
      </w:r>
      <w:r w:rsidRPr="00396967">
        <w:rPr>
          <w:rFonts w:ascii="Calibri" w:hAnsi="Calibri"/>
          <w:sz w:val="22"/>
          <w:szCs w:val="22"/>
        </w:rPr>
        <w:tab/>
        <w:t>Pejman Talebian, MA, MPH, Director</w:t>
      </w:r>
    </w:p>
    <w:p w14:paraId="3EDBFCC8" w14:textId="77777777" w:rsidR="00396967" w:rsidRPr="00396967" w:rsidRDefault="00396967" w:rsidP="00396967">
      <w:pPr>
        <w:widowControl w:val="0"/>
        <w:tabs>
          <w:tab w:val="left" w:pos="-1440"/>
        </w:tabs>
        <w:ind w:left="1440" w:hanging="1440"/>
        <w:rPr>
          <w:rFonts w:ascii="Calibri" w:hAnsi="Calibri"/>
          <w:sz w:val="22"/>
          <w:szCs w:val="22"/>
        </w:rPr>
      </w:pPr>
      <w:r w:rsidRPr="00396967">
        <w:rPr>
          <w:rFonts w:ascii="Calibri" w:hAnsi="Calibri"/>
          <w:b/>
          <w:sz w:val="22"/>
          <w:szCs w:val="22"/>
        </w:rPr>
        <w:tab/>
      </w:r>
      <w:r w:rsidRPr="00396967">
        <w:rPr>
          <w:rFonts w:ascii="Calibri" w:hAnsi="Calibri"/>
          <w:sz w:val="22"/>
          <w:szCs w:val="22"/>
        </w:rPr>
        <w:t>Immunization Division</w:t>
      </w:r>
    </w:p>
    <w:p w14:paraId="187D6D55" w14:textId="77777777" w:rsidR="00396967" w:rsidRPr="00396967" w:rsidRDefault="00396967" w:rsidP="00396967">
      <w:pPr>
        <w:widowControl w:val="0"/>
        <w:tabs>
          <w:tab w:val="left" w:pos="-1440"/>
        </w:tabs>
        <w:ind w:left="1440" w:hanging="1440"/>
        <w:rPr>
          <w:rFonts w:ascii="Calibri" w:hAnsi="Calibri"/>
          <w:sz w:val="22"/>
          <w:szCs w:val="22"/>
        </w:rPr>
      </w:pPr>
      <w:r w:rsidRPr="00396967">
        <w:rPr>
          <w:rFonts w:ascii="Calibri" w:hAnsi="Calibri"/>
          <w:b/>
          <w:sz w:val="22"/>
          <w:szCs w:val="22"/>
        </w:rPr>
        <w:tab/>
      </w:r>
      <w:r w:rsidRPr="00396967">
        <w:rPr>
          <w:rFonts w:ascii="Calibri" w:hAnsi="Calibri"/>
          <w:sz w:val="22"/>
          <w:szCs w:val="22"/>
        </w:rPr>
        <w:t>Rattana Bip, Vaccine Manager</w:t>
      </w:r>
    </w:p>
    <w:p w14:paraId="1ED82634" w14:textId="77777777" w:rsidR="00396967" w:rsidRPr="00396967" w:rsidRDefault="00396967" w:rsidP="00396967">
      <w:pPr>
        <w:widowControl w:val="0"/>
        <w:tabs>
          <w:tab w:val="left" w:pos="-1440"/>
        </w:tabs>
        <w:ind w:left="1440" w:hanging="1440"/>
        <w:rPr>
          <w:rFonts w:ascii="Calibri" w:hAnsi="Calibri"/>
          <w:sz w:val="22"/>
          <w:szCs w:val="22"/>
        </w:rPr>
      </w:pPr>
      <w:r w:rsidRPr="00396967">
        <w:rPr>
          <w:rFonts w:ascii="Calibri" w:hAnsi="Calibri"/>
          <w:sz w:val="22"/>
          <w:szCs w:val="22"/>
        </w:rPr>
        <w:tab/>
        <w:t xml:space="preserve">Immunization Division </w:t>
      </w:r>
    </w:p>
    <w:p w14:paraId="653E67F0" w14:textId="77777777" w:rsidR="00396967" w:rsidRPr="00396967" w:rsidRDefault="00396967" w:rsidP="00396967">
      <w:pPr>
        <w:widowControl w:val="0"/>
        <w:rPr>
          <w:rFonts w:ascii="Calibri" w:hAnsi="Calibri"/>
          <w:sz w:val="22"/>
          <w:szCs w:val="22"/>
        </w:rPr>
      </w:pPr>
    </w:p>
    <w:p w14:paraId="2626543B" w14:textId="5268E813" w:rsidR="00396967" w:rsidRPr="00396967" w:rsidRDefault="00396967" w:rsidP="00396967">
      <w:pPr>
        <w:widowControl w:val="0"/>
        <w:tabs>
          <w:tab w:val="left" w:pos="-1440"/>
        </w:tabs>
        <w:ind w:left="1440" w:hanging="1440"/>
        <w:rPr>
          <w:rFonts w:ascii="Calibri" w:hAnsi="Calibri"/>
          <w:sz w:val="22"/>
          <w:szCs w:val="22"/>
        </w:rPr>
      </w:pPr>
      <w:r w:rsidRPr="00396967">
        <w:rPr>
          <w:rFonts w:ascii="Calibri" w:hAnsi="Calibri"/>
          <w:b/>
          <w:sz w:val="22"/>
          <w:szCs w:val="22"/>
        </w:rPr>
        <w:t>Date:</w:t>
      </w:r>
      <w:r w:rsidRPr="00396967">
        <w:rPr>
          <w:rFonts w:ascii="Calibri" w:hAnsi="Calibri"/>
          <w:sz w:val="22"/>
          <w:szCs w:val="22"/>
        </w:rPr>
        <w:tab/>
        <w:t>January 202</w:t>
      </w:r>
      <w:r w:rsidR="004C1B9F">
        <w:rPr>
          <w:rFonts w:ascii="Calibri" w:hAnsi="Calibri"/>
          <w:sz w:val="22"/>
          <w:szCs w:val="22"/>
        </w:rPr>
        <w:t>5</w:t>
      </w:r>
    </w:p>
    <w:p w14:paraId="277A2072" w14:textId="77777777" w:rsidR="00396967" w:rsidRPr="00396967" w:rsidRDefault="00396967" w:rsidP="00396967">
      <w:pPr>
        <w:widowControl w:val="0"/>
        <w:rPr>
          <w:rFonts w:ascii="Calibri" w:hAnsi="Calibri"/>
          <w:sz w:val="22"/>
          <w:szCs w:val="22"/>
        </w:rPr>
      </w:pPr>
    </w:p>
    <w:p w14:paraId="133B740F" w14:textId="05347619" w:rsidR="00396967" w:rsidRPr="00396967" w:rsidRDefault="00396967" w:rsidP="00396967">
      <w:pPr>
        <w:widowControl w:val="0"/>
        <w:tabs>
          <w:tab w:val="left" w:pos="-1440"/>
        </w:tabs>
        <w:ind w:left="1440" w:hanging="1440"/>
        <w:rPr>
          <w:rFonts w:ascii="Calibri" w:hAnsi="Calibri"/>
          <w:sz w:val="22"/>
          <w:szCs w:val="22"/>
        </w:rPr>
      </w:pPr>
      <w:r w:rsidRPr="00396967">
        <w:rPr>
          <w:rFonts w:ascii="Calibri" w:hAnsi="Calibri"/>
          <w:b/>
          <w:sz w:val="22"/>
          <w:szCs w:val="22"/>
        </w:rPr>
        <w:t>Re:</w:t>
      </w:r>
      <w:r w:rsidRPr="00396967">
        <w:rPr>
          <w:rFonts w:ascii="Calibri" w:hAnsi="Calibri"/>
          <w:b/>
          <w:sz w:val="22"/>
          <w:szCs w:val="22"/>
        </w:rPr>
        <w:tab/>
      </w:r>
      <w:r w:rsidR="0024117F">
        <w:rPr>
          <w:rFonts w:ascii="Calibri" w:hAnsi="Calibri"/>
          <w:sz w:val="22"/>
          <w:szCs w:val="22"/>
        </w:rPr>
        <w:t>Digital Data Logger</w:t>
      </w:r>
      <w:r w:rsidRPr="00396967">
        <w:rPr>
          <w:rFonts w:ascii="Calibri" w:hAnsi="Calibri"/>
          <w:sz w:val="22"/>
          <w:szCs w:val="22"/>
        </w:rPr>
        <w:t xml:space="preserve"> </w:t>
      </w:r>
      <w:r w:rsidR="00F957E7">
        <w:rPr>
          <w:rFonts w:ascii="Calibri" w:hAnsi="Calibri"/>
          <w:sz w:val="22"/>
          <w:szCs w:val="22"/>
        </w:rPr>
        <w:t xml:space="preserve">Device </w:t>
      </w:r>
      <w:r w:rsidRPr="00396967">
        <w:rPr>
          <w:rFonts w:ascii="Calibri" w:hAnsi="Calibri"/>
          <w:sz w:val="22"/>
          <w:szCs w:val="22"/>
        </w:rPr>
        <w:t>Restitution Policy</w:t>
      </w:r>
    </w:p>
    <w:p w14:paraId="2802EC29" w14:textId="77777777" w:rsidR="00E01681" w:rsidRDefault="00E01681" w:rsidP="00E01681">
      <w:pPr>
        <w:widowControl w:val="0"/>
        <w:pBdr>
          <w:bottom w:val="single" w:sz="4" w:space="1" w:color="auto"/>
        </w:pBdr>
        <w:tabs>
          <w:tab w:val="left" w:pos="-1440"/>
        </w:tabs>
        <w:rPr>
          <w:rFonts w:ascii="Calibri" w:hAnsi="Calibri"/>
          <w:sz w:val="22"/>
          <w:szCs w:val="22"/>
        </w:rPr>
      </w:pPr>
    </w:p>
    <w:p w14:paraId="14AFEA96" w14:textId="77777777" w:rsidR="00E01681" w:rsidRDefault="00E01681" w:rsidP="00396967">
      <w:pPr>
        <w:widowControl w:val="0"/>
        <w:tabs>
          <w:tab w:val="left" w:pos="-1440"/>
        </w:tabs>
        <w:rPr>
          <w:rFonts w:ascii="Calibri" w:hAnsi="Calibri"/>
          <w:sz w:val="22"/>
          <w:szCs w:val="22"/>
        </w:rPr>
      </w:pPr>
    </w:p>
    <w:p w14:paraId="2F9F166B" w14:textId="2E025660" w:rsidR="00396967" w:rsidRPr="00396967" w:rsidRDefault="00396967" w:rsidP="00396967">
      <w:pPr>
        <w:widowControl w:val="0"/>
        <w:tabs>
          <w:tab w:val="left" w:pos="-1440"/>
        </w:tabs>
        <w:rPr>
          <w:rFonts w:ascii="Calibri" w:hAnsi="Calibri"/>
          <w:sz w:val="22"/>
          <w:szCs w:val="22"/>
        </w:rPr>
      </w:pPr>
      <w:r w:rsidRPr="00396967">
        <w:rPr>
          <w:rFonts w:ascii="Calibri" w:hAnsi="Calibri"/>
          <w:sz w:val="22"/>
          <w:szCs w:val="22"/>
        </w:rPr>
        <w:t xml:space="preserve">This memo summarizes MDPH’s current </w:t>
      </w:r>
      <w:r w:rsidR="0024117F">
        <w:rPr>
          <w:rFonts w:ascii="Calibri" w:hAnsi="Calibri"/>
          <w:sz w:val="22"/>
          <w:szCs w:val="22"/>
        </w:rPr>
        <w:t>Digital Data Logger</w:t>
      </w:r>
      <w:r w:rsidRPr="00396967">
        <w:rPr>
          <w:rFonts w:ascii="Calibri" w:hAnsi="Calibri"/>
          <w:sz w:val="22"/>
          <w:szCs w:val="22"/>
        </w:rPr>
        <w:t xml:space="preserve"> Restitution Policy. </w:t>
      </w:r>
    </w:p>
    <w:p w14:paraId="052BC690" w14:textId="1E253345" w:rsidR="00396967" w:rsidRPr="00396967" w:rsidRDefault="00396967" w:rsidP="2F4DA3B8">
      <w:pPr>
        <w:widowControl w:val="0"/>
        <w:rPr>
          <w:rFonts w:ascii="Calibri" w:hAnsi="Calibri"/>
          <w:sz w:val="22"/>
          <w:szCs w:val="22"/>
        </w:rPr>
      </w:pPr>
    </w:p>
    <w:p w14:paraId="7B6D44EC" w14:textId="66B009D1" w:rsidR="00396967" w:rsidRPr="00396967" w:rsidRDefault="229FC00C" w:rsidP="2F4DA3B8">
      <w:pPr>
        <w:widowControl w:val="0"/>
        <w:rPr>
          <w:rFonts w:ascii="Calibri" w:hAnsi="Calibri"/>
          <w:sz w:val="22"/>
          <w:szCs w:val="22"/>
        </w:rPr>
      </w:pPr>
      <w:r w:rsidRPr="006B1F55">
        <w:rPr>
          <w:rFonts w:ascii="Calibri" w:eastAsia="Calibri" w:hAnsi="Calibri" w:cs="Calibri"/>
          <w:sz w:val="22"/>
          <w:szCs w:val="22"/>
        </w:rPr>
        <w:t xml:space="preserve">The Vaccine Program consists of three sub-programs: universal state pediatric vaccine program, federal vaccines for children (VFC) program, and the limited adult vaccine program. </w:t>
      </w:r>
      <w:r w:rsidR="00D35DED" w:rsidRPr="2F4DA3B8">
        <w:rPr>
          <w:rFonts w:ascii="Calibri" w:hAnsi="Calibri"/>
          <w:sz w:val="22"/>
          <w:szCs w:val="22"/>
        </w:rPr>
        <w:t>The Vaccine Program</w:t>
      </w:r>
      <w:r w:rsidR="00396967" w:rsidRPr="2F4DA3B8">
        <w:rPr>
          <w:rFonts w:ascii="Calibri" w:hAnsi="Calibri"/>
          <w:sz w:val="22"/>
          <w:szCs w:val="22"/>
        </w:rPr>
        <w:t xml:space="preserve"> </w:t>
      </w:r>
      <w:r w:rsidR="00D35DED" w:rsidRPr="2F4DA3B8">
        <w:rPr>
          <w:rFonts w:ascii="Calibri" w:hAnsi="Calibri"/>
          <w:sz w:val="22"/>
          <w:szCs w:val="22"/>
        </w:rPr>
        <w:t>provides free of charge digital data logger</w:t>
      </w:r>
      <w:r w:rsidR="009834BD" w:rsidRPr="2F4DA3B8">
        <w:rPr>
          <w:rFonts w:ascii="Calibri" w:hAnsi="Calibri"/>
          <w:sz w:val="22"/>
          <w:szCs w:val="22"/>
        </w:rPr>
        <w:t xml:space="preserve"> devices</w:t>
      </w:r>
      <w:r w:rsidR="00D35DED" w:rsidRPr="2F4DA3B8">
        <w:rPr>
          <w:rFonts w:ascii="Calibri" w:hAnsi="Calibri"/>
          <w:sz w:val="22"/>
          <w:szCs w:val="22"/>
        </w:rPr>
        <w:t xml:space="preserve"> for vaccine temperature</w:t>
      </w:r>
      <w:r w:rsidR="00396967" w:rsidRPr="2F4DA3B8">
        <w:rPr>
          <w:rFonts w:ascii="Calibri" w:hAnsi="Calibri"/>
          <w:sz w:val="22"/>
          <w:szCs w:val="22"/>
        </w:rPr>
        <w:t xml:space="preserve"> </w:t>
      </w:r>
      <w:r w:rsidR="00D35DED" w:rsidRPr="2F4DA3B8">
        <w:rPr>
          <w:rFonts w:ascii="Calibri" w:hAnsi="Calibri"/>
          <w:sz w:val="22"/>
          <w:szCs w:val="22"/>
        </w:rPr>
        <w:t>monitoring to all enrolled provider sites. Enrolled provider sites may utilize the state-supplied digital data logger</w:t>
      </w:r>
      <w:r w:rsidR="009834BD" w:rsidRPr="2F4DA3B8">
        <w:rPr>
          <w:rFonts w:ascii="Calibri" w:hAnsi="Calibri"/>
          <w:sz w:val="22"/>
          <w:szCs w:val="22"/>
        </w:rPr>
        <w:t xml:space="preserve"> devices</w:t>
      </w:r>
      <w:r w:rsidR="00D35DED" w:rsidRPr="2F4DA3B8">
        <w:rPr>
          <w:rFonts w:ascii="Calibri" w:hAnsi="Calibri"/>
          <w:sz w:val="22"/>
          <w:szCs w:val="22"/>
        </w:rPr>
        <w:t xml:space="preserve"> or opt out and utilize privately purchased devices.</w:t>
      </w:r>
    </w:p>
    <w:p w14:paraId="29F9FDEF" w14:textId="77777777" w:rsidR="00396967" w:rsidRPr="00396967" w:rsidRDefault="00396967" w:rsidP="00396967">
      <w:pPr>
        <w:widowControl w:val="0"/>
        <w:tabs>
          <w:tab w:val="left" w:pos="-1440"/>
        </w:tabs>
        <w:ind w:left="1440" w:hanging="1440"/>
        <w:rPr>
          <w:rFonts w:ascii="Calibri" w:hAnsi="Calibri"/>
          <w:sz w:val="22"/>
          <w:szCs w:val="22"/>
        </w:rPr>
      </w:pPr>
    </w:p>
    <w:p w14:paraId="768F7863" w14:textId="56B6DC32" w:rsidR="00396967" w:rsidRPr="00396967" w:rsidRDefault="00396967" w:rsidP="185F7DB6">
      <w:pPr>
        <w:widowControl w:val="0"/>
        <w:rPr>
          <w:rFonts w:ascii="Calibri" w:hAnsi="Calibri"/>
          <w:sz w:val="22"/>
          <w:szCs w:val="22"/>
        </w:rPr>
      </w:pPr>
      <w:r w:rsidRPr="185F7DB6">
        <w:rPr>
          <w:rFonts w:ascii="Calibri" w:hAnsi="Calibri"/>
          <w:sz w:val="22"/>
          <w:szCs w:val="22"/>
        </w:rPr>
        <w:t xml:space="preserve">For more information on </w:t>
      </w:r>
      <w:r w:rsidR="00D35DED" w:rsidRPr="185F7DB6">
        <w:rPr>
          <w:rFonts w:ascii="Calibri" w:hAnsi="Calibri"/>
          <w:sz w:val="22"/>
          <w:szCs w:val="22"/>
        </w:rPr>
        <w:t>digital data logger devices and vaccine temperature monitoring</w:t>
      </w:r>
      <w:r w:rsidRPr="185F7DB6">
        <w:rPr>
          <w:rFonts w:ascii="Calibri" w:hAnsi="Calibri"/>
          <w:sz w:val="22"/>
          <w:szCs w:val="22"/>
        </w:rPr>
        <w:t xml:space="preserve">, please see the </w:t>
      </w:r>
      <w:r w:rsidR="5CB2371C" w:rsidRPr="185F7DB6">
        <w:rPr>
          <w:rFonts w:ascii="Calibri" w:hAnsi="Calibri"/>
          <w:sz w:val="22"/>
          <w:szCs w:val="22"/>
        </w:rPr>
        <w:t xml:space="preserve">Vaccine Program </w:t>
      </w:r>
      <w:r w:rsidRPr="185F7DB6">
        <w:rPr>
          <w:rFonts w:ascii="Calibri" w:hAnsi="Calibri"/>
          <w:sz w:val="22"/>
          <w:szCs w:val="22"/>
        </w:rPr>
        <w:t xml:space="preserve">document </w:t>
      </w:r>
      <w:hyperlink r:id="rId11">
        <w:r w:rsidR="00552519" w:rsidRPr="185F7DB6">
          <w:rPr>
            <w:rFonts w:ascii="Calibri" w:hAnsi="Calibri"/>
            <w:i/>
            <w:iCs/>
            <w:color w:val="0000FF"/>
            <w:sz w:val="22"/>
            <w:szCs w:val="22"/>
            <w:u w:val="single"/>
          </w:rPr>
          <w:t>Guidelines for Compliance with State Vaccine Program Requirements</w:t>
        </w:r>
      </w:hyperlink>
      <w:r w:rsidRPr="185F7DB6">
        <w:rPr>
          <w:rFonts w:ascii="Calibri" w:hAnsi="Calibri"/>
          <w:sz w:val="22"/>
          <w:szCs w:val="22"/>
        </w:rPr>
        <w:t xml:space="preserve">, Section </w:t>
      </w:r>
      <w:r w:rsidR="00D35DED" w:rsidRPr="185F7DB6">
        <w:rPr>
          <w:rFonts w:ascii="Calibri" w:hAnsi="Calibri"/>
          <w:sz w:val="22"/>
          <w:szCs w:val="22"/>
        </w:rPr>
        <w:t>B-</w:t>
      </w:r>
      <w:r w:rsidR="00552519" w:rsidRPr="185F7DB6">
        <w:rPr>
          <w:rFonts w:ascii="Calibri" w:hAnsi="Calibri"/>
          <w:sz w:val="22"/>
          <w:szCs w:val="22"/>
        </w:rPr>
        <w:t>3d</w:t>
      </w:r>
      <w:r w:rsidRPr="185F7DB6">
        <w:rPr>
          <w:rFonts w:ascii="Calibri" w:hAnsi="Calibri"/>
          <w:sz w:val="22"/>
          <w:szCs w:val="22"/>
        </w:rPr>
        <w:t>.</w:t>
      </w:r>
    </w:p>
    <w:p w14:paraId="29811725" w14:textId="77777777" w:rsidR="00396967" w:rsidRPr="00396967" w:rsidRDefault="00396967" w:rsidP="00D35DED">
      <w:pPr>
        <w:widowControl w:val="0"/>
        <w:tabs>
          <w:tab w:val="left" w:pos="-1440"/>
        </w:tabs>
        <w:rPr>
          <w:rFonts w:ascii="Calibri" w:hAnsi="Calibri"/>
          <w:sz w:val="22"/>
          <w:szCs w:val="22"/>
        </w:rPr>
      </w:pPr>
    </w:p>
    <w:p w14:paraId="5861BBA2" w14:textId="77777777" w:rsidR="00396967" w:rsidRPr="00396967" w:rsidRDefault="00396967" w:rsidP="00396967">
      <w:pPr>
        <w:widowControl w:val="0"/>
        <w:tabs>
          <w:tab w:val="left" w:pos="-1440"/>
        </w:tabs>
        <w:ind w:left="18" w:hanging="18"/>
        <w:rPr>
          <w:rFonts w:ascii="Calibri" w:hAnsi="Calibri"/>
          <w:b/>
          <w:sz w:val="22"/>
          <w:szCs w:val="22"/>
        </w:rPr>
      </w:pPr>
      <w:r w:rsidRPr="00396967">
        <w:rPr>
          <w:rFonts w:ascii="Calibri" w:hAnsi="Calibri"/>
          <w:sz w:val="22"/>
          <w:szCs w:val="22"/>
        </w:rPr>
        <w:tab/>
      </w:r>
      <w:r w:rsidRPr="00396967">
        <w:rPr>
          <w:rFonts w:ascii="Calibri" w:hAnsi="Calibri"/>
          <w:b/>
          <w:sz w:val="22"/>
          <w:szCs w:val="22"/>
        </w:rPr>
        <w:t>Restitution Policy</w:t>
      </w:r>
    </w:p>
    <w:p w14:paraId="0E340830" w14:textId="4B4252E0" w:rsidR="00396967" w:rsidRPr="00396967" w:rsidRDefault="005975A0" w:rsidP="005B32DB">
      <w:pPr>
        <w:widowControl w:val="0"/>
        <w:tabs>
          <w:tab w:val="left" w:pos="-1440"/>
        </w:tabs>
        <w:ind w:left="18" w:hanging="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Vaccine Program</w:t>
      </w:r>
      <w:r w:rsidR="00396967" w:rsidRPr="00396967">
        <w:rPr>
          <w:rFonts w:ascii="Calibri" w:hAnsi="Calibri"/>
          <w:sz w:val="22"/>
          <w:szCs w:val="22"/>
        </w:rPr>
        <w:t xml:space="preserve"> acknowledges that providers make good faith efforts to store and handle </w:t>
      </w:r>
      <w:r w:rsidR="009834BD">
        <w:rPr>
          <w:rFonts w:ascii="Calibri" w:hAnsi="Calibri"/>
          <w:sz w:val="22"/>
          <w:szCs w:val="22"/>
        </w:rPr>
        <w:t>digital data logger devices</w:t>
      </w:r>
      <w:r w:rsidR="00396967" w:rsidRPr="00396967">
        <w:rPr>
          <w:rFonts w:ascii="Calibri" w:hAnsi="Calibri"/>
          <w:sz w:val="22"/>
          <w:szCs w:val="22"/>
        </w:rPr>
        <w:t xml:space="preserve"> appropriately, as outlined in the Guidelines for Compliance (referenced above). However, </w:t>
      </w:r>
      <w:r>
        <w:rPr>
          <w:rFonts w:ascii="Calibri" w:hAnsi="Calibri"/>
          <w:sz w:val="22"/>
          <w:szCs w:val="22"/>
        </w:rPr>
        <w:t>the Vaccine Program</w:t>
      </w:r>
      <w:r w:rsidR="00396967" w:rsidRPr="00396967">
        <w:rPr>
          <w:rFonts w:ascii="Calibri" w:hAnsi="Calibri"/>
          <w:sz w:val="22"/>
          <w:szCs w:val="22"/>
        </w:rPr>
        <w:t xml:space="preserve"> </w:t>
      </w:r>
      <w:r w:rsidR="009F740A">
        <w:rPr>
          <w:rFonts w:ascii="Calibri" w:hAnsi="Calibri"/>
          <w:sz w:val="22"/>
          <w:szCs w:val="22"/>
        </w:rPr>
        <w:t>may</w:t>
      </w:r>
      <w:r w:rsidR="00396967" w:rsidRPr="00396967">
        <w:rPr>
          <w:rFonts w:ascii="Calibri" w:hAnsi="Calibri"/>
          <w:sz w:val="22"/>
          <w:szCs w:val="22"/>
        </w:rPr>
        <w:t xml:space="preserve"> require providers to provide restitution for </w:t>
      </w:r>
      <w:r w:rsidR="009F740A">
        <w:rPr>
          <w:rFonts w:ascii="Calibri" w:hAnsi="Calibri"/>
          <w:sz w:val="22"/>
          <w:szCs w:val="22"/>
        </w:rPr>
        <w:t>any broken or lost state-supplied devices</w:t>
      </w:r>
      <w:r w:rsidR="00396967" w:rsidRPr="00396967">
        <w:rPr>
          <w:rFonts w:ascii="Calibri" w:hAnsi="Calibri"/>
          <w:sz w:val="22"/>
          <w:szCs w:val="22"/>
        </w:rPr>
        <w:t xml:space="preserve"> if: </w:t>
      </w:r>
    </w:p>
    <w:p w14:paraId="7D2AD06E" w14:textId="2AF64F0B" w:rsidR="00396967" w:rsidRPr="00396967" w:rsidRDefault="009F740A" w:rsidP="00396967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device is rendered non-functional due to mishandling or improper placement</w:t>
      </w:r>
    </w:p>
    <w:p w14:paraId="6E8B1899" w14:textId="55B0DED3" w:rsidR="00396967" w:rsidRDefault="009F740A" w:rsidP="00396967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device is not returned to </w:t>
      </w:r>
      <w:r w:rsidR="005975A0">
        <w:rPr>
          <w:rFonts w:ascii="Calibri" w:hAnsi="Calibri"/>
          <w:sz w:val="22"/>
          <w:szCs w:val="22"/>
        </w:rPr>
        <w:t>the Vaccine Program</w:t>
      </w:r>
      <w:r>
        <w:rPr>
          <w:rFonts w:ascii="Calibri" w:hAnsi="Calibri"/>
          <w:sz w:val="22"/>
          <w:szCs w:val="22"/>
        </w:rPr>
        <w:t xml:space="preserve"> upon un-enrolling</w:t>
      </w:r>
    </w:p>
    <w:p w14:paraId="1C01F9F3" w14:textId="157685B9" w:rsidR="00E858B3" w:rsidRPr="00E858B3" w:rsidRDefault="009F740A" w:rsidP="00E858B3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device is lost or disposed of due to site neglect</w:t>
      </w:r>
    </w:p>
    <w:p w14:paraId="4057655F" w14:textId="77777777" w:rsidR="00396967" w:rsidRPr="00396967" w:rsidRDefault="00396967" w:rsidP="009834BD">
      <w:pPr>
        <w:widowControl w:val="0"/>
        <w:tabs>
          <w:tab w:val="left" w:pos="-1440"/>
        </w:tabs>
        <w:ind w:right="648"/>
        <w:rPr>
          <w:rFonts w:ascii="Calibri" w:hAnsi="Calibri"/>
          <w:sz w:val="22"/>
          <w:szCs w:val="22"/>
        </w:rPr>
      </w:pPr>
    </w:p>
    <w:p w14:paraId="73D8B30B" w14:textId="7D611F03" w:rsidR="00396967" w:rsidRPr="00396967" w:rsidRDefault="00322BDE" w:rsidP="00396967">
      <w:pPr>
        <w:ind w:right="64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 situations where restitution is requested, provider sites will be required to privately purchase a new digital data logger device of comparable value and functionality. </w:t>
      </w:r>
      <w:r w:rsidR="009F740A">
        <w:rPr>
          <w:rFonts w:ascii="Calibri" w:hAnsi="Calibri"/>
          <w:sz w:val="22"/>
          <w:szCs w:val="22"/>
        </w:rPr>
        <w:t xml:space="preserve">For any site opting out of </w:t>
      </w:r>
      <w:r w:rsidR="009F740A">
        <w:rPr>
          <w:rFonts w:ascii="Calibri" w:hAnsi="Calibri"/>
          <w:sz w:val="22"/>
          <w:szCs w:val="22"/>
        </w:rPr>
        <w:lastRenderedPageBreak/>
        <w:t>utilizing state-supplied digital data logger devices</w:t>
      </w:r>
      <w:r>
        <w:rPr>
          <w:rFonts w:ascii="Calibri" w:hAnsi="Calibri"/>
          <w:sz w:val="22"/>
          <w:szCs w:val="22"/>
        </w:rPr>
        <w:t xml:space="preserve"> or in instances of restitution</w:t>
      </w:r>
      <w:r w:rsidR="009F740A">
        <w:rPr>
          <w:rFonts w:ascii="Calibri" w:hAnsi="Calibri"/>
          <w:sz w:val="22"/>
          <w:szCs w:val="22"/>
        </w:rPr>
        <w:t xml:space="preserve">, it </w:t>
      </w:r>
      <w:r>
        <w:rPr>
          <w:rFonts w:ascii="Calibri" w:hAnsi="Calibri"/>
          <w:sz w:val="22"/>
          <w:szCs w:val="22"/>
        </w:rPr>
        <w:t xml:space="preserve">is </w:t>
      </w:r>
      <w:r w:rsidR="009F740A">
        <w:rPr>
          <w:rFonts w:ascii="Calibri" w:hAnsi="Calibri"/>
          <w:sz w:val="22"/>
          <w:szCs w:val="22"/>
        </w:rPr>
        <w:t>required that the privately purchased devices abide by the following requirements</w:t>
      </w:r>
      <w:r w:rsidR="00396967" w:rsidRPr="00396967">
        <w:rPr>
          <w:rFonts w:ascii="Calibri" w:hAnsi="Calibri"/>
          <w:sz w:val="22"/>
          <w:szCs w:val="22"/>
        </w:rPr>
        <w:t>:</w:t>
      </w:r>
    </w:p>
    <w:p w14:paraId="742571C4" w14:textId="29BD991A" w:rsidR="009A3655" w:rsidRDefault="009A3655" w:rsidP="00396967">
      <w:pPr>
        <w:numPr>
          <w:ilvl w:val="0"/>
          <w:numId w:val="5"/>
        </w:numPr>
        <w:ind w:left="1440" w:right="648"/>
        <w:contextualSpacing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Capacity for continuous monitoring and routine recording of data, with an accuracy of </w:t>
      </w:r>
      <w:r w:rsidRPr="009A3655">
        <w:rPr>
          <w:rFonts w:ascii="Calibri" w:hAnsi="Calibri" w:cs="Tahoma"/>
          <w:sz w:val="22"/>
          <w:szCs w:val="22"/>
        </w:rPr>
        <w:t>+/- 1°F (0.5°C)</w:t>
      </w:r>
    </w:p>
    <w:p w14:paraId="69A74047" w14:textId="024D3442" w:rsidR="009A3655" w:rsidRDefault="009A3655" w:rsidP="00396967">
      <w:pPr>
        <w:numPr>
          <w:ilvl w:val="0"/>
          <w:numId w:val="5"/>
        </w:numPr>
        <w:ind w:left="1440" w:right="648"/>
        <w:contextualSpacing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Active temperature display that can be easily read from outside the unit</w:t>
      </w:r>
    </w:p>
    <w:p w14:paraId="17D26C3F" w14:textId="61B19170" w:rsidR="00396967" w:rsidRDefault="009F740A" w:rsidP="00396967">
      <w:pPr>
        <w:numPr>
          <w:ilvl w:val="0"/>
          <w:numId w:val="5"/>
        </w:numPr>
        <w:ind w:left="1440" w:right="648"/>
        <w:contextualSpacing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Detachable </w:t>
      </w:r>
      <w:r w:rsidR="00404735">
        <w:rPr>
          <w:rFonts w:ascii="Calibri" w:hAnsi="Calibri" w:cs="Tahoma"/>
          <w:sz w:val="22"/>
          <w:szCs w:val="22"/>
        </w:rPr>
        <w:t xml:space="preserve">buffered </w:t>
      </w:r>
      <w:r w:rsidR="009A3655">
        <w:rPr>
          <w:rFonts w:ascii="Calibri" w:hAnsi="Calibri" w:cs="Tahoma"/>
          <w:sz w:val="22"/>
          <w:szCs w:val="22"/>
        </w:rPr>
        <w:t xml:space="preserve">temperature </w:t>
      </w:r>
      <w:r w:rsidR="00404735">
        <w:rPr>
          <w:rFonts w:ascii="Calibri" w:hAnsi="Calibri" w:cs="Tahoma"/>
          <w:sz w:val="22"/>
          <w:szCs w:val="22"/>
        </w:rPr>
        <w:t xml:space="preserve">probe with glycol, glass beads, </w:t>
      </w:r>
      <w:proofErr w:type="gramStart"/>
      <w:r w:rsidR="00404735">
        <w:rPr>
          <w:rFonts w:ascii="Calibri" w:hAnsi="Calibri" w:cs="Tahoma"/>
          <w:sz w:val="22"/>
          <w:szCs w:val="22"/>
        </w:rPr>
        <w:t>sand</w:t>
      </w:r>
      <w:proofErr w:type="gramEnd"/>
      <w:r w:rsidR="00404735">
        <w:rPr>
          <w:rFonts w:ascii="Calibri" w:hAnsi="Calibri" w:cs="Tahoma"/>
          <w:sz w:val="22"/>
          <w:szCs w:val="22"/>
        </w:rPr>
        <w:t xml:space="preserve"> or Teflon</w:t>
      </w:r>
      <w:r w:rsidR="009A3655">
        <w:rPr>
          <w:rFonts w:ascii="Calibri" w:hAnsi="Calibri" w:cs="Tahoma"/>
          <w:sz w:val="22"/>
          <w:szCs w:val="22"/>
        </w:rPr>
        <w:t>, that best reflects the temperature of the vaccine</w:t>
      </w:r>
    </w:p>
    <w:p w14:paraId="658B2ADF" w14:textId="05567ACC" w:rsidR="00404735" w:rsidRDefault="00404735" w:rsidP="00404735">
      <w:pPr>
        <w:numPr>
          <w:ilvl w:val="0"/>
          <w:numId w:val="5"/>
        </w:numPr>
        <w:ind w:left="1440" w:right="648"/>
        <w:contextualSpacing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Alarm for out-of-range temperatures and </w:t>
      </w:r>
      <w:r w:rsidR="009A3655">
        <w:rPr>
          <w:rFonts w:ascii="Calibri" w:hAnsi="Calibri" w:cs="Tahoma"/>
          <w:sz w:val="22"/>
          <w:szCs w:val="22"/>
        </w:rPr>
        <w:t>low battery indicator</w:t>
      </w:r>
    </w:p>
    <w:p w14:paraId="6FDFA71D" w14:textId="71315E28" w:rsidR="00404735" w:rsidRDefault="00404735" w:rsidP="00404735">
      <w:pPr>
        <w:numPr>
          <w:ilvl w:val="0"/>
          <w:numId w:val="5"/>
        </w:numPr>
        <w:ind w:left="1440" w:right="648"/>
        <w:contextualSpacing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Ability to acknowledge</w:t>
      </w:r>
      <w:r w:rsidR="007B49D1">
        <w:rPr>
          <w:rFonts w:ascii="Calibri" w:hAnsi="Calibri" w:cs="Tahoma"/>
          <w:sz w:val="22"/>
          <w:szCs w:val="22"/>
        </w:rPr>
        <w:t xml:space="preserve"> and </w:t>
      </w:r>
      <w:r w:rsidR="007B49D1" w:rsidRPr="00C5096B">
        <w:rPr>
          <w:rFonts w:ascii="Calibri" w:hAnsi="Calibri" w:cs="Tahoma"/>
          <w:sz w:val="22"/>
          <w:szCs w:val="22"/>
        </w:rPr>
        <w:t>document electronically within the DDL system</w:t>
      </w:r>
      <w:r w:rsidRPr="00C5096B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maximum and minimum temperatures at least twice daily</w:t>
      </w:r>
    </w:p>
    <w:p w14:paraId="4218C40B" w14:textId="625CF4AF" w:rsidR="00404735" w:rsidRDefault="00404735" w:rsidP="00404735">
      <w:pPr>
        <w:numPr>
          <w:ilvl w:val="0"/>
          <w:numId w:val="5"/>
        </w:numPr>
        <w:ind w:left="1440" w:right="648"/>
        <w:contextualSpacing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Ability to generate a PDF output report, that clearly indicates daily maximum/minimum temperatures, alarms, and acknowledgment of twice daily temperature checks</w:t>
      </w:r>
    </w:p>
    <w:p w14:paraId="1ACAF427" w14:textId="45C20B40" w:rsidR="00404735" w:rsidRDefault="00404735" w:rsidP="00404735">
      <w:pPr>
        <w:numPr>
          <w:ilvl w:val="0"/>
          <w:numId w:val="5"/>
        </w:numPr>
        <w:ind w:left="1440" w:right="648"/>
        <w:contextualSpacing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Logging interval (or reading rate) that is programmable to record temperatures at a maximum of 15-minute intervals</w:t>
      </w:r>
      <w:r w:rsidR="009A3655">
        <w:rPr>
          <w:rFonts w:ascii="Calibri" w:hAnsi="Calibri" w:cs="Tahoma"/>
          <w:sz w:val="22"/>
          <w:szCs w:val="22"/>
        </w:rPr>
        <w:t xml:space="preserve"> with at least 4,000 readings storage capacity</w:t>
      </w:r>
    </w:p>
    <w:p w14:paraId="064593B3" w14:textId="15C5059C" w:rsidR="009A3655" w:rsidRDefault="009A3655" w:rsidP="009A3655">
      <w:pPr>
        <w:numPr>
          <w:ilvl w:val="0"/>
          <w:numId w:val="5"/>
        </w:numPr>
        <w:ind w:left="1440" w:right="648"/>
        <w:contextualSpacing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NIST certified calibration with an associated Calibration Certificate that includes:</w:t>
      </w:r>
    </w:p>
    <w:p w14:paraId="4274FEA0" w14:textId="2ED03814" w:rsidR="009A3655" w:rsidRDefault="009A3655" w:rsidP="009A3655">
      <w:pPr>
        <w:numPr>
          <w:ilvl w:val="2"/>
          <w:numId w:val="5"/>
        </w:numPr>
        <w:ind w:right="648"/>
        <w:contextualSpacing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Model/device number</w:t>
      </w:r>
    </w:p>
    <w:p w14:paraId="05041503" w14:textId="7273536F" w:rsidR="009A3655" w:rsidRDefault="009A3655" w:rsidP="009A3655">
      <w:pPr>
        <w:numPr>
          <w:ilvl w:val="2"/>
          <w:numId w:val="5"/>
        </w:numPr>
        <w:ind w:right="648"/>
        <w:contextualSpacing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Serial number</w:t>
      </w:r>
    </w:p>
    <w:p w14:paraId="4D54B140" w14:textId="77FAB32E" w:rsidR="009A3655" w:rsidRDefault="009A3655" w:rsidP="009A3655">
      <w:pPr>
        <w:numPr>
          <w:ilvl w:val="2"/>
          <w:numId w:val="5"/>
        </w:numPr>
        <w:ind w:right="648"/>
        <w:contextualSpacing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Date of calibration (report or issue date)</w:t>
      </w:r>
    </w:p>
    <w:p w14:paraId="67B8EBD6" w14:textId="4DC06045" w:rsidR="009A3655" w:rsidRPr="004F3465" w:rsidRDefault="009A3655" w:rsidP="009A3655">
      <w:pPr>
        <w:numPr>
          <w:ilvl w:val="2"/>
          <w:numId w:val="5"/>
        </w:numPr>
        <w:ind w:right="648"/>
        <w:contextualSpacing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Confirmation that instrument passed testing (or instrument in tolerance)</w:t>
      </w:r>
    </w:p>
    <w:p w14:paraId="3A9F6CCB" w14:textId="77777777" w:rsidR="00396967" w:rsidRPr="00396967" w:rsidRDefault="00396967" w:rsidP="00396967">
      <w:pPr>
        <w:widowControl w:val="0"/>
        <w:tabs>
          <w:tab w:val="left" w:pos="-1440"/>
        </w:tabs>
        <w:rPr>
          <w:rFonts w:ascii="Calibri" w:hAnsi="Calibri"/>
          <w:sz w:val="22"/>
          <w:szCs w:val="22"/>
        </w:rPr>
      </w:pPr>
    </w:p>
    <w:p w14:paraId="111D6903" w14:textId="6203435C" w:rsidR="00396967" w:rsidRPr="00396967" w:rsidRDefault="00396967" w:rsidP="00396967">
      <w:pPr>
        <w:widowControl w:val="0"/>
        <w:tabs>
          <w:tab w:val="left" w:pos="-1440"/>
        </w:tabs>
        <w:rPr>
          <w:rFonts w:ascii="Calibri" w:hAnsi="Calibri"/>
          <w:sz w:val="22"/>
          <w:szCs w:val="22"/>
        </w:rPr>
      </w:pPr>
      <w:r w:rsidRPr="00396967">
        <w:rPr>
          <w:rFonts w:ascii="Calibri" w:hAnsi="Calibri"/>
          <w:sz w:val="22"/>
          <w:szCs w:val="22"/>
        </w:rPr>
        <w:t xml:space="preserve">Please note that the </w:t>
      </w:r>
      <w:r w:rsidR="005975A0">
        <w:rPr>
          <w:rFonts w:ascii="Calibri" w:hAnsi="Calibri"/>
          <w:sz w:val="22"/>
          <w:szCs w:val="22"/>
        </w:rPr>
        <w:t>Vaccine Program</w:t>
      </w:r>
      <w:r w:rsidRPr="00396967">
        <w:rPr>
          <w:rFonts w:ascii="Calibri" w:hAnsi="Calibri"/>
          <w:sz w:val="22"/>
          <w:szCs w:val="22"/>
        </w:rPr>
        <w:t xml:space="preserve"> will only hold providers accountable in situations of provider negligence as outlined above and will not seek restitution for a </w:t>
      </w:r>
      <w:r w:rsidR="00322BDE">
        <w:rPr>
          <w:rFonts w:ascii="Calibri" w:hAnsi="Calibri"/>
          <w:sz w:val="22"/>
          <w:szCs w:val="22"/>
        </w:rPr>
        <w:t>state-supplied digital data logger devices that are rendered non-functional or lost</w:t>
      </w:r>
      <w:r w:rsidRPr="00396967">
        <w:rPr>
          <w:rFonts w:ascii="Calibri" w:hAnsi="Calibri"/>
          <w:sz w:val="22"/>
          <w:szCs w:val="22"/>
        </w:rPr>
        <w:t xml:space="preserve"> due to a circumstance not in the provider’s control (</w:t>
      </w:r>
      <w:proofErr w:type="gramStart"/>
      <w:r w:rsidRPr="00396967">
        <w:rPr>
          <w:rFonts w:ascii="Calibri" w:hAnsi="Calibri"/>
          <w:sz w:val="22"/>
          <w:szCs w:val="22"/>
        </w:rPr>
        <w:t>i.e.</w:t>
      </w:r>
      <w:proofErr w:type="gramEnd"/>
      <w:r w:rsidRPr="00396967">
        <w:rPr>
          <w:rFonts w:ascii="Calibri" w:hAnsi="Calibri"/>
          <w:sz w:val="22"/>
          <w:szCs w:val="22"/>
        </w:rPr>
        <w:t xml:space="preserve"> act of nature). Providers will be given due process to dispute cases of avoidable loss.  However, </w:t>
      </w:r>
      <w:r w:rsidR="005975A0">
        <w:rPr>
          <w:rFonts w:ascii="Calibri" w:hAnsi="Calibri"/>
          <w:sz w:val="22"/>
          <w:szCs w:val="22"/>
        </w:rPr>
        <w:t>the Vaccine Program</w:t>
      </w:r>
      <w:r w:rsidRPr="00396967">
        <w:rPr>
          <w:rFonts w:ascii="Calibri" w:hAnsi="Calibri"/>
          <w:sz w:val="22"/>
          <w:szCs w:val="22"/>
        </w:rPr>
        <w:t xml:space="preserve"> retains the right to make final determinations regarding </w:t>
      </w:r>
      <w:r w:rsidR="00322BDE">
        <w:rPr>
          <w:rFonts w:ascii="Calibri" w:hAnsi="Calibri"/>
          <w:sz w:val="22"/>
          <w:szCs w:val="22"/>
        </w:rPr>
        <w:t>digital data logger</w:t>
      </w:r>
      <w:r w:rsidRPr="00396967">
        <w:rPr>
          <w:rFonts w:ascii="Calibri" w:hAnsi="Calibri"/>
          <w:sz w:val="22"/>
          <w:szCs w:val="22"/>
        </w:rPr>
        <w:t xml:space="preserve"> </w:t>
      </w:r>
      <w:r w:rsidR="00322BDE">
        <w:rPr>
          <w:rFonts w:ascii="Calibri" w:hAnsi="Calibri"/>
          <w:sz w:val="22"/>
          <w:szCs w:val="22"/>
        </w:rPr>
        <w:t xml:space="preserve">device </w:t>
      </w:r>
      <w:r w:rsidRPr="00396967">
        <w:rPr>
          <w:rFonts w:ascii="Calibri" w:hAnsi="Calibri"/>
          <w:sz w:val="22"/>
          <w:szCs w:val="22"/>
        </w:rPr>
        <w:t>restitution.</w:t>
      </w:r>
    </w:p>
    <w:p w14:paraId="55D93105" w14:textId="77777777" w:rsidR="00396967" w:rsidRPr="00396967" w:rsidRDefault="00396967" w:rsidP="00396967">
      <w:pPr>
        <w:widowControl w:val="0"/>
        <w:tabs>
          <w:tab w:val="left" w:pos="-1440"/>
        </w:tabs>
        <w:rPr>
          <w:rFonts w:ascii="Calibri" w:hAnsi="Calibri"/>
          <w:sz w:val="22"/>
          <w:szCs w:val="22"/>
        </w:rPr>
      </w:pPr>
    </w:p>
    <w:p w14:paraId="083A8322" w14:textId="3D849611" w:rsidR="00396967" w:rsidRPr="00396967" w:rsidRDefault="00396967" w:rsidP="00396967">
      <w:pPr>
        <w:widowControl w:val="0"/>
        <w:tabs>
          <w:tab w:val="left" w:pos="-1440"/>
        </w:tabs>
        <w:rPr>
          <w:rFonts w:ascii="Calibri" w:hAnsi="Calibri"/>
          <w:b/>
          <w:bCs/>
          <w:sz w:val="22"/>
          <w:szCs w:val="22"/>
        </w:rPr>
      </w:pPr>
      <w:r w:rsidRPr="00396967">
        <w:rPr>
          <w:rFonts w:ascii="Calibri" w:hAnsi="Calibri"/>
          <w:sz w:val="22"/>
          <w:szCs w:val="22"/>
        </w:rPr>
        <w:t xml:space="preserve">Any questions on this procedure can be addressed by calling the Vaccine </w:t>
      </w:r>
      <w:r w:rsidR="00E6694A">
        <w:rPr>
          <w:rFonts w:ascii="Calibri" w:hAnsi="Calibri"/>
          <w:sz w:val="22"/>
          <w:szCs w:val="22"/>
        </w:rPr>
        <w:t>Program</w:t>
      </w:r>
      <w:r w:rsidRPr="00396967">
        <w:rPr>
          <w:rFonts w:ascii="Calibri" w:hAnsi="Calibri"/>
          <w:sz w:val="22"/>
          <w:szCs w:val="22"/>
        </w:rPr>
        <w:t xml:space="preserve"> at 617-983-6828.</w:t>
      </w:r>
    </w:p>
    <w:p w14:paraId="0E01499A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D48F7"/>
    <w:multiLevelType w:val="hybridMultilevel"/>
    <w:tmpl w:val="05FE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11298"/>
    <w:multiLevelType w:val="hybridMultilevel"/>
    <w:tmpl w:val="F78AEEA4"/>
    <w:lvl w:ilvl="0" w:tplc="B8AAD4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3865DC">
      <w:start w:val="16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8C97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6A1A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C259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0802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A3D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B0BD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B82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D2E73"/>
    <w:multiLevelType w:val="hybridMultilevel"/>
    <w:tmpl w:val="FB86FC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8301B2"/>
    <w:multiLevelType w:val="hybridMultilevel"/>
    <w:tmpl w:val="57AA997E"/>
    <w:lvl w:ilvl="0" w:tplc="D4CC28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05BA7"/>
    <w:multiLevelType w:val="hybridMultilevel"/>
    <w:tmpl w:val="DAE2C85C"/>
    <w:lvl w:ilvl="0" w:tplc="D4CC28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7905830">
    <w:abstractNumId w:val="4"/>
  </w:num>
  <w:num w:numId="2" w16cid:durableId="17586406">
    <w:abstractNumId w:val="3"/>
  </w:num>
  <w:num w:numId="3" w16cid:durableId="1397974843">
    <w:abstractNumId w:val="2"/>
  </w:num>
  <w:num w:numId="4" w16cid:durableId="701366859">
    <w:abstractNumId w:val="1"/>
  </w:num>
  <w:num w:numId="5" w16cid:durableId="1304430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3NzE1tDQ0MzM2sLBQ0lEKTi0uzszPAykwqgUAQV8iRywAAAA="/>
  </w:docVars>
  <w:rsids>
    <w:rsidRoot w:val="006D77A6"/>
    <w:rsid w:val="00033154"/>
    <w:rsid w:val="00042048"/>
    <w:rsid w:val="000537DA"/>
    <w:rsid w:val="000A1DE1"/>
    <w:rsid w:val="000B2998"/>
    <w:rsid w:val="000F315B"/>
    <w:rsid w:val="0015268B"/>
    <w:rsid w:val="0016218D"/>
    <w:rsid w:val="00166450"/>
    <w:rsid w:val="00177A9F"/>
    <w:rsid w:val="00177C77"/>
    <w:rsid w:val="001E55B7"/>
    <w:rsid w:val="0024117F"/>
    <w:rsid w:val="00260D54"/>
    <w:rsid w:val="00265429"/>
    <w:rsid w:val="00276957"/>
    <w:rsid w:val="00276DCC"/>
    <w:rsid w:val="00287B0D"/>
    <w:rsid w:val="002A132F"/>
    <w:rsid w:val="002D1C21"/>
    <w:rsid w:val="002F508E"/>
    <w:rsid w:val="00322BDE"/>
    <w:rsid w:val="00375EAD"/>
    <w:rsid w:val="00385812"/>
    <w:rsid w:val="00392D0B"/>
    <w:rsid w:val="00396967"/>
    <w:rsid w:val="003A7AFC"/>
    <w:rsid w:val="003C60EF"/>
    <w:rsid w:val="00404683"/>
    <w:rsid w:val="00404735"/>
    <w:rsid w:val="00477A1F"/>
    <w:rsid w:val="004813AC"/>
    <w:rsid w:val="0049262B"/>
    <w:rsid w:val="004B37A0"/>
    <w:rsid w:val="004C1B9F"/>
    <w:rsid w:val="004D6B39"/>
    <w:rsid w:val="004F3465"/>
    <w:rsid w:val="005448AA"/>
    <w:rsid w:val="00552519"/>
    <w:rsid w:val="00572492"/>
    <w:rsid w:val="005975A0"/>
    <w:rsid w:val="005B32DB"/>
    <w:rsid w:val="005E250B"/>
    <w:rsid w:val="006A6397"/>
    <w:rsid w:val="006B1F55"/>
    <w:rsid w:val="006D06D9"/>
    <w:rsid w:val="006D77A6"/>
    <w:rsid w:val="006F2CF9"/>
    <w:rsid w:val="00702109"/>
    <w:rsid w:val="0072610D"/>
    <w:rsid w:val="00732970"/>
    <w:rsid w:val="007B3F4B"/>
    <w:rsid w:val="007B49D1"/>
    <w:rsid w:val="007B7347"/>
    <w:rsid w:val="007D10F3"/>
    <w:rsid w:val="008B71AF"/>
    <w:rsid w:val="008D018D"/>
    <w:rsid w:val="009834BD"/>
    <w:rsid w:val="009908FF"/>
    <w:rsid w:val="00995505"/>
    <w:rsid w:val="009A3655"/>
    <w:rsid w:val="009F740A"/>
    <w:rsid w:val="00A65101"/>
    <w:rsid w:val="00AC7DFB"/>
    <w:rsid w:val="00B163DB"/>
    <w:rsid w:val="00B403BF"/>
    <w:rsid w:val="00B608D9"/>
    <w:rsid w:val="00BA4055"/>
    <w:rsid w:val="00BA7FB6"/>
    <w:rsid w:val="00BF357B"/>
    <w:rsid w:val="00C20BFE"/>
    <w:rsid w:val="00C5096B"/>
    <w:rsid w:val="00CC1778"/>
    <w:rsid w:val="00CE575B"/>
    <w:rsid w:val="00CF3DE8"/>
    <w:rsid w:val="00D0493F"/>
    <w:rsid w:val="00D35DED"/>
    <w:rsid w:val="00D56F91"/>
    <w:rsid w:val="00D8671C"/>
    <w:rsid w:val="00DA57C3"/>
    <w:rsid w:val="00DA6325"/>
    <w:rsid w:val="00DC3855"/>
    <w:rsid w:val="00E01681"/>
    <w:rsid w:val="00E242A8"/>
    <w:rsid w:val="00E274B8"/>
    <w:rsid w:val="00E6694A"/>
    <w:rsid w:val="00E72707"/>
    <w:rsid w:val="00E858B3"/>
    <w:rsid w:val="00F0586E"/>
    <w:rsid w:val="00F43932"/>
    <w:rsid w:val="00F93B18"/>
    <w:rsid w:val="00F957E7"/>
    <w:rsid w:val="00FC6B42"/>
    <w:rsid w:val="185F7DB6"/>
    <w:rsid w:val="229FC00C"/>
    <w:rsid w:val="2F4DA3B8"/>
    <w:rsid w:val="5CB2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BDE2C"/>
  <w15:chartTrackingRefBased/>
  <w15:docId w15:val="{EBDDA9E2-8461-4D94-BEA8-633AF469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77A1F"/>
    <w:rPr>
      <w:sz w:val="24"/>
    </w:rPr>
  </w:style>
  <w:style w:type="character" w:styleId="CommentReference">
    <w:name w:val="annotation reference"/>
    <w:basedOn w:val="DefaultParagraphFont"/>
    <w:rsid w:val="008B71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71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B71AF"/>
  </w:style>
  <w:style w:type="paragraph" w:styleId="CommentSubject">
    <w:name w:val="annotation subject"/>
    <w:basedOn w:val="CommentText"/>
    <w:next w:val="CommentText"/>
    <w:link w:val="CommentSubjectChar"/>
    <w:rsid w:val="008B7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7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oc/guidelines-for-compliance-with-federal-vaccine-administration-requirements/download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ass.gov/dph/im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ass.gov/dph/im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6B605C953E34C8476A9FD9E49AC16" ma:contentTypeVersion="14" ma:contentTypeDescription="Create a new document." ma:contentTypeScope="" ma:versionID="5a6988bc82efc16dbc4fef89c0970097">
  <xsd:schema xmlns:xsd="http://www.w3.org/2001/XMLSchema" xmlns:xs="http://www.w3.org/2001/XMLSchema" xmlns:p="http://schemas.microsoft.com/office/2006/metadata/properties" xmlns:ns2="a782362c-0017-44d2-8700-f603c3e5ed9a" xmlns:ns3="78ea2335-8007-4ae4-b674-628de3bfd69a" targetNamespace="http://schemas.microsoft.com/office/2006/metadata/properties" ma:root="true" ma:fieldsID="f757d18a715390f3da1f93b167fc760a" ns2:_="" ns3:_="">
    <xsd:import namespace="a782362c-0017-44d2-8700-f603c3e5ed9a"/>
    <xsd:import namespace="78ea2335-8007-4ae4-b674-628de3b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362c-0017-44d2-8700-f603c3e5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a2335-8007-4ae4-b674-628de3bfd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2c80e7-b749-4f6a-ad82-2deea615b3c0}" ma:internalName="TaxCatchAll" ma:showField="CatchAllData" ma:web="78ea2335-8007-4ae4-b674-628de3b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ea2335-8007-4ae4-b674-628de3bfd69a" xsi:nil="true"/>
    <lcf76f155ced4ddcb4097134ff3c332f xmlns="a782362c-0017-44d2-8700-f603c3e5ed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F2A1A8-7D1E-449F-9309-C2C5FBB8B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53502-C59E-4D1C-BF8D-C1E82D44C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2362c-0017-44d2-8700-f603c3e5ed9a"/>
    <ds:schemaRef ds:uri="78ea2335-8007-4ae4-b674-628de3bfd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5FB84E-260A-4F67-81CB-F1FE86288BB5}">
  <ds:schemaRefs>
    <ds:schemaRef ds:uri="http://schemas.microsoft.com/office/2006/metadata/properties"/>
    <ds:schemaRef ds:uri="http://schemas.microsoft.com/office/infopath/2007/PartnerControls"/>
    <ds:schemaRef ds:uri="78ea2335-8007-4ae4-b674-628de3bfd69a"/>
    <ds:schemaRef ds:uri="a782362c-0017-44d2-8700-f603c3e5ed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</TotalTime>
  <Pages>2</Pages>
  <Words>581</Words>
  <Characters>3313</Characters>
  <Application>Microsoft Office Word</Application>
  <DocSecurity>0</DocSecurity>
  <Lines>27</Lines>
  <Paragraphs>7</Paragraphs>
  <ScaleCrop>false</ScaleCrop>
  <Company>Commonwealth of Massachusetts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Kirby, Dylan N. (DPH)</cp:lastModifiedBy>
  <cp:revision>8</cp:revision>
  <cp:lastPrinted>2015-01-29T14:50:00Z</cp:lastPrinted>
  <dcterms:created xsi:type="dcterms:W3CDTF">2024-11-06T21:24:00Z</dcterms:created>
  <dcterms:modified xsi:type="dcterms:W3CDTF">2024-12-24T16:04:00Z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0x0101003936B605C953E34C8476A9FD9E49AC16</vt:lpwstr>
  </property>
  <property fmtid="{D5CDD505-2E9C-101B-9397-08002B2CF9AE}" pid="3" name="MediaServiceImageTags">
    <vt:lpwstr/>
  </property>
</Properties>
</file>