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xml" ContentType="application/vnd.openxmlformats-officedocument.drawingml.chart+xml"/>
  <Override PartName="/word/charts/chart30.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16.xml" ContentType="application/vnd.openxmlformats-officedocument.themeOverride+xml"/>
  <Override PartName="/word/theme/themeOverride17.xml" ContentType="application/vnd.openxmlformats-officedocument.themeOverride+xml"/>
  <Override PartName="/word/theme/themeOverride18.xml" ContentType="application/vnd.openxmlformats-officedocument.themeOverride+xml"/>
  <Override PartName="/word/theme/themeOverride19.xml" ContentType="application/vnd.openxmlformats-officedocument.themeOverride+xml"/>
  <Override PartName="/word/theme/themeOverride2.xml" ContentType="application/vnd.openxmlformats-officedocument.themeOverride+xml"/>
  <Override PartName="/word/theme/themeOverride20.xml" ContentType="application/vnd.openxmlformats-officedocument.themeOverride+xml"/>
  <Override PartName="/word/theme/themeOverride21.xml" ContentType="application/vnd.openxmlformats-officedocument.themeOverride+xml"/>
  <Override PartName="/word/theme/themeOverride22.xml" ContentType="application/vnd.openxmlformats-officedocument.themeOverride+xml"/>
  <Override PartName="/word/theme/themeOverride23.xml" ContentType="application/vnd.openxmlformats-officedocument.themeOverride+xml"/>
  <Override PartName="/word/theme/themeOverride24.xml" ContentType="application/vnd.openxmlformats-officedocument.themeOverride+xml"/>
  <Override PartName="/word/theme/themeOverride25.xml" ContentType="application/vnd.openxmlformats-officedocument.themeOverride+xml"/>
  <Override PartName="/word/theme/themeOverride26.xml" ContentType="application/vnd.openxmlformats-officedocument.themeOverride+xml"/>
  <Override PartName="/word/theme/themeOverride27.xml" ContentType="application/vnd.openxmlformats-officedocument.themeOverride+xml"/>
  <Override PartName="/word/theme/themeOverride28.xml" ContentType="application/vnd.openxmlformats-officedocument.themeOverride+xml"/>
  <Override PartName="/word/theme/themeOverride29.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fill lighten(0)" method="linear sigma" focus="100%" type="gradient"/>
    </v:background>
  </w:background>
  <w:body>
    <w:p w:rsidR="004C1E6A" w:rsidRDefault="004C1E6A" w:rsidP="007F668C">
      <w:pPr>
        <w:spacing w:after="120"/>
        <w:ind w:left="225"/>
        <w:rPr>
          <w:b/>
          <w:smallCaps/>
          <w:sz w:val="32"/>
          <w:szCs w:val="32"/>
        </w:rPr>
      </w:pPr>
    </w:p>
    <w:p w:rsidR="004C1E6A" w:rsidRDefault="004C1E6A" w:rsidP="007F668C">
      <w:pPr>
        <w:spacing w:after="120"/>
        <w:ind w:left="225"/>
        <w:rPr>
          <w:b/>
          <w:smallCaps/>
          <w:sz w:val="32"/>
          <w:szCs w:val="32"/>
        </w:rPr>
      </w:pPr>
    </w:p>
    <w:p w:rsidR="004C1E6A" w:rsidRDefault="004C1E6A" w:rsidP="007F668C">
      <w:pPr>
        <w:spacing w:after="120"/>
        <w:ind w:left="225"/>
        <w:rPr>
          <w:b/>
          <w:smallCaps/>
          <w:sz w:val="32"/>
          <w:szCs w:val="32"/>
        </w:rPr>
      </w:pPr>
    </w:p>
    <w:p w:rsidR="004C1E6A" w:rsidRDefault="004C1E6A" w:rsidP="007F668C">
      <w:pPr>
        <w:spacing w:after="120"/>
        <w:ind w:left="225"/>
        <w:rPr>
          <w:b/>
          <w:smallCaps/>
          <w:sz w:val="32"/>
          <w:szCs w:val="32"/>
        </w:rPr>
      </w:pPr>
    </w:p>
    <w:p w:rsidR="004C1E6A" w:rsidRDefault="004C1E6A" w:rsidP="007F668C">
      <w:pPr>
        <w:spacing w:after="120"/>
        <w:ind w:left="225"/>
        <w:rPr>
          <w:b/>
          <w:smallCaps/>
          <w:sz w:val="32"/>
          <w:szCs w:val="32"/>
        </w:rPr>
      </w:pPr>
    </w:p>
    <w:p w:rsidR="004C1E6A" w:rsidRDefault="004C1E6A" w:rsidP="007F668C">
      <w:pPr>
        <w:spacing w:after="120"/>
        <w:ind w:left="225"/>
        <w:rPr>
          <w:b/>
          <w:smallCaps/>
          <w:sz w:val="32"/>
          <w:szCs w:val="32"/>
        </w:rPr>
      </w:pPr>
    </w:p>
    <w:p w:rsidR="004C1E6A" w:rsidRDefault="004C1E6A" w:rsidP="007F668C">
      <w:pPr>
        <w:spacing w:after="120"/>
        <w:ind w:left="225"/>
        <w:rPr>
          <w:b/>
          <w:smallCaps/>
          <w:sz w:val="32"/>
          <w:szCs w:val="32"/>
        </w:rPr>
      </w:pPr>
    </w:p>
    <w:p w:rsidR="004C1E6A" w:rsidRDefault="004C1E6A" w:rsidP="007F668C">
      <w:pPr>
        <w:spacing w:after="120"/>
        <w:ind w:left="225"/>
        <w:rPr>
          <w:b/>
          <w:smallCaps/>
          <w:sz w:val="32"/>
          <w:szCs w:val="32"/>
        </w:rPr>
      </w:pPr>
    </w:p>
    <w:p w:rsidR="004C1E6A" w:rsidRPr="007F668C" w:rsidRDefault="001073CE" w:rsidP="007F668C">
      <w:pPr>
        <w:spacing w:after="120"/>
        <w:ind w:left="225"/>
        <w:rPr>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84pt;height:82pt;z-index:251657728" fillcolor="#0c9">
            <v:imagedata r:id="rId8" o:title=""/>
            <w10:wrap type="square"/>
          </v:shape>
          <o:OLEObject Type="Embed" ProgID="PBrush" ShapeID="_x0000_s1029" DrawAspect="Content" ObjectID="_1465804140" r:id="rId9"/>
        </w:pict>
      </w:r>
      <w:r w:rsidR="004C1E6A" w:rsidRPr="007F668C">
        <w:rPr>
          <w:b/>
          <w:smallCaps/>
          <w:sz w:val="32"/>
          <w:szCs w:val="32"/>
        </w:rPr>
        <w:t xml:space="preserve">DATA REPORT </w:t>
      </w:r>
      <w:r w:rsidR="004C1E6A" w:rsidRPr="007F668C">
        <w:rPr>
          <w:b/>
          <w:sz w:val="32"/>
          <w:szCs w:val="32"/>
        </w:rPr>
        <w:t>on Cancer in</w:t>
      </w:r>
      <w:r w:rsidR="004C1E6A">
        <w:rPr>
          <w:b/>
          <w:sz w:val="32"/>
          <w:szCs w:val="32"/>
        </w:rPr>
        <w:t xml:space="preserve"> Children and Adolescents in</w:t>
      </w:r>
      <w:r w:rsidR="004C1E6A" w:rsidRPr="007F668C">
        <w:rPr>
          <w:b/>
          <w:sz w:val="32"/>
          <w:szCs w:val="32"/>
        </w:rPr>
        <w:t xml:space="preserve"> </w:t>
      </w:r>
      <w:smartTag w:uri="urn:schemas-microsoft-com:office:smarttags" w:element="State">
        <w:smartTag w:uri="urn:schemas-microsoft-com:office:smarttags" w:element="place">
          <w:r w:rsidR="004C1E6A" w:rsidRPr="007F668C">
            <w:rPr>
              <w:b/>
              <w:sz w:val="32"/>
              <w:szCs w:val="32"/>
            </w:rPr>
            <w:t>Massachusetts</w:t>
          </w:r>
        </w:smartTag>
      </w:smartTag>
      <w:r w:rsidR="004C1E6A" w:rsidRPr="007F668C">
        <w:rPr>
          <w:b/>
          <w:sz w:val="32"/>
          <w:szCs w:val="32"/>
        </w:rPr>
        <w:t xml:space="preserve">, </w:t>
      </w:r>
      <w:r w:rsidR="004C1E6A" w:rsidRPr="00650A75">
        <w:rPr>
          <w:b/>
          <w:sz w:val="32"/>
          <w:szCs w:val="32"/>
        </w:rPr>
        <w:t>2000-2009</w:t>
      </w:r>
    </w:p>
    <w:p w:rsidR="004C1E6A" w:rsidRPr="007F668C" w:rsidRDefault="004C1E6A" w:rsidP="007F668C">
      <w:pPr>
        <w:pStyle w:val="BodyTextIndent"/>
        <w:pBdr>
          <w:bottom w:val="single" w:sz="12" w:space="1" w:color="auto"/>
        </w:pBdr>
        <w:ind w:left="230"/>
        <w:rPr>
          <w:sz w:val="24"/>
          <w:szCs w:val="24"/>
        </w:rPr>
      </w:pPr>
      <w:r w:rsidRPr="007F668C">
        <w:rPr>
          <w:sz w:val="24"/>
          <w:szCs w:val="24"/>
        </w:rPr>
        <w:t xml:space="preserve">Massachusetts Cancer Registry, Massachusetts Department of Public Health – </w:t>
      </w:r>
      <w:r w:rsidR="003F5DC5">
        <w:rPr>
          <w:sz w:val="24"/>
          <w:szCs w:val="24"/>
        </w:rPr>
        <w:t>June</w:t>
      </w:r>
      <w:r>
        <w:rPr>
          <w:sz w:val="24"/>
          <w:szCs w:val="24"/>
        </w:rPr>
        <w:t xml:space="preserve"> 2014</w:t>
      </w:r>
    </w:p>
    <w:p w:rsidR="004C1E6A" w:rsidRDefault="004C1E6A" w:rsidP="007F668C">
      <w:pPr>
        <w:pStyle w:val="BodyTextIndent"/>
        <w:ind w:left="230"/>
      </w:pPr>
    </w:p>
    <w:p w:rsidR="004C1E6A" w:rsidRDefault="004C1E6A" w:rsidP="007F668C">
      <w:pPr>
        <w:pStyle w:val="BodyTextIndent"/>
        <w:ind w:left="230"/>
      </w:pPr>
    </w:p>
    <w:p w:rsidR="004C1E6A" w:rsidRDefault="004C1E6A" w:rsidP="007F668C">
      <w:pPr>
        <w:pStyle w:val="BodyTextIndent"/>
        <w:ind w:left="230"/>
      </w:pPr>
    </w:p>
    <w:p w:rsidR="004C1E6A" w:rsidRDefault="004C1E6A" w:rsidP="008E5760">
      <w:pPr>
        <w:pStyle w:val="Footer"/>
        <w:tabs>
          <w:tab w:val="clear" w:pos="4320"/>
          <w:tab w:val="clear" w:pos="8640"/>
        </w:tabs>
        <w:rPr>
          <w:rFonts w:ascii="Times New Roman" w:hAnsi="Times New Roman"/>
          <w:spacing w:val="15"/>
          <w:sz w:val="20"/>
        </w:rPr>
      </w:pPr>
      <w:proofErr w:type="spellStart"/>
      <w:r w:rsidRPr="008E5760">
        <w:rPr>
          <w:rFonts w:ascii="Times New Roman" w:hAnsi="Times New Roman"/>
          <w:spacing w:val="15"/>
          <w:sz w:val="20"/>
        </w:rPr>
        <w:t>Deval</w:t>
      </w:r>
      <w:proofErr w:type="spellEnd"/>
      <w:r w:rsidRPr="008E5760">
        <w:rPr>
          <w:rFonts w:ascii="Times New Roman" w:hAnsi="Times New Roman"/>
          <w:spacing w:val="15"/>
          <w:sz w:val="20"/>
        </w:rPr>
        <w:t xml:space="preserve"> L. Patrick, Governor</w:t>
      </w:r>
    </w:p>
    <w:p w:rsidR="002649BF" w:rsidRPr="008E5760" w:rsidRDefault="002649BF" w:rsidP="008E5760">
      <w:pPr>
        <w:pStyle w:val="Footer"/>
        <w:tabs>
          <w:tab w:val="clear" w:pos="4320"/>
          <w:tab w:val="clear" w:pos="8640"/>
        </w:tabs>
        <w:rPr>
          <w:rFonts w:ascii="Times New Roman" w:hAnsi="Times New Roman"/>
          <w:spacing w:val="15"/>
          <w:sz w:val="20"/>
        </w:rPr>
      </w:pPr>
    </w:p>
    <w:p w:rsidR="004C1E6A" w:rsidRDefault="004C1E6A" w:rsidP="008E5760">
      <w:pPr>
        <w:rPr>
          <w:spacing w:val="15"/>
          <w:sz w:val="20"/>
          <w:szCs w:val="20"/>
        </w:rPr>
      </w:pPr>
      <w:r w:rsidRPr="008E5760">
        <w:rPr>
          <w:sz w:val="20"/>
          <w:szCs w:val="20"/>
        </w:rPr>
        <w:t xml:space="preserve">John W. </w:t>
      </w:r>
      <w:proofErr w:type="spellStart"/>
      <w:r w:rsidRPr="008E5760">
        <w:rPr>
          <w:sz w:val="20"/>
          <w:szCs w:val="20"/>
        </w:rPr>
        <w:t>Polanowicz</w:t>
      </w:r>
      <w:proofErr w:type="spellEnd"/>
      <w:r w:rsidRPr="008E5760">
        <w:rPr>
          <w:sz w:val="20"/>
          <w:szCs w:val="20"/>
        </w:rPr>
        <w:t>,</w:t>
      </w:r>
      <w:r w:rsidRPr="008E5760">
        <w:rPr>
          <w:spacing w:val="15"/>
          <w:sz w:val="20"/>
          <w:szCs w:val="20"/>
        </w:rPr>
        <w:t xml:space="preserve"> Secretary, Executive Office of Health and Human Services</w:t>
      </w:r>
    </w:p>
    <w:p w:rsidR="002649BF" w:rsidRPr="008E5760" w:rsidRDefault="002649BF" w:rsidP="008E5760">
      <w:pPr>
        <w:rPr>
          <w:spacing w:val="15"/>
          <w:sz w:val="20"/>
          <w:szCs w:val="20"/>
        </w:rPr>
      </w:pPr>
    </w:p>
    <w:p w:rsidR="004C1E6A" w:rsidRPr="008E5760" w:rsidRDefault="004C1E6A" w:rsidP="008E5760">
      <w:pPr>
        <w:rPr>
          <w:spacing w:val="15"/>
          <w:sz w:val="20"/>
          <w:szCs w:val="20"/>
        </w:rPr>
      </w:pPr>
      <w:r w:rsidRPr="008E5760">
        <w:rPr>
          <w:spacing w:val="15"/>
          <w:sz w:val="20"/>
          <w:szCs w:val="20"/>
        </w:rPr>
        <w:t>Cheryl Bartlett, Commissioner, Massachusetts Department of Public Health</w:t>
      </w:r>
    </w:p>
    <w:p w:rsidR="004C1E6A" w:rsidRPr="008E5760" w:rsidRDefault="004C1E6A" w:rsidP="008E5760">
      <w:pPr>
        <w:rPr>
          <w:spacing w:val="15"/>
          <w:sz w:val="20"/>
          <w:szCs w:val="20"/>
        </w:rPr>
      </w:pPr>
    </w:p>
    <w:p w:rsidR="004C1E6A" w:rsidRPr="008E5760" w:rsidRDefault="004C1E6A" w:rsidP="008E5760">
      <w:pPr>
        <w:rPr>
          <w:spacing w:val="15"/>
          <w:sz w:val="20"/>
          <w:szCs w:val="20"/>
        </w:rPr>
      </w:pPr>
      <w:r w:rsidRPr="008E5760">
        <w:rPr>
          <w:spacing w:val="15"/>
          <w:sz w:val="20"/>
          <w:szCs w:val="20"/>
        </w:rPr>
        <w:t xml:space="preserve">Susan T. Gershman, Director, </w:t>
      </w:r>
      <w:smartTag w:uri="urn:schemas-microsoft-com:office:smarttags" w:element="State">
        <w:smartTag w:uri="urn:schemas-microsoft-com:office:smarttags" w:element="place">
          <w:r w:rsidRPr="008E5760">
            <w:rPr>
              <w:spacing w:val="15"/>
              <w:sz w:val="20"/>
              <w:szCs w:val="20"/>
            </w:rPr>
            <w:t>Massachusetts</w:t>
          </w:r>
        </w:smartTag>
      </w:smartTag>
      <w:r w:rsidRPr="008E5760">
        <w:rPr>
          <w:spacing w:val="15"/>
          <w:sz w:val="20"/>
          <w:szCs w:val="20"/>
        </w:rPr>
        <w:t xml:space="preserve"> Cancer Registry</w:t>
      </w:r>
    </w:p>
    <w:p w:rsidR="004C1E6A" w:rsidRPr="008E5760" w:rsidRDefault="004C1E6A" w:rsidP="008E5760">
      <w:pPr>
        <w:pStyle w:val="Heading4"/>
        <w:rPr>
          <w:b w:val="0"/>
          <w:sz w:val="20"/>
          <w:szCs w:val="20"/>
        </w:rPr>
      </w:pPr>
      <w:r w:rsidRPr="008E5760">
        <w:rPr>
          <w:b w:val="0"/>
          <w:sz w:val="20"/>
          <w:szCs w:val="20"/>
        </w:rPr>
        <w:t>Massachusetts Department of Public Health</w:t>
      </w:r>
    </w:p>
    <w:p w:rsidR="004C1E6A" w:rsidRDefault="004C1E6A" w:rsidP="008E5760">
      <w:pPr>
        <w:jc w:val="center"/>
        <w:rPr>
          <w:sz w:val="22"/>
          <w:szCs w:val="22"/>
        </w:rPr>
      </w:pPr>
    </w:p>
    <w:p w:rsidR="002649BF" w:rsidRDefault="002649BF" w:rsidP="008E5760">
      <w:pPr>
        <w:jc w:val="center"/>
        <w:rPr>
          <w:sz w:val="22"/>
          <w:szCs w:val="22"/>
        </w:rPr>
      </w:pPr>
    </w:p>
    <w:p w:rsidR="002649BF" w:rsidRDefault="002649BF" w:rsidP="008E5760">
      <w:pPr>
        <w:jc w:val="center"/>
        <w:rPr>
          <w:sz w:val="22"/>
          <w:szCs w:val="22"/>
        </w:rPr>
      </w:pPr>
    </w:p>
    <w:p w:rsidR="002649BF" w:rsidRDefault="002649BF" w:rsidP="008E5760">
      <w:pPr>
        <w:jc w:val="center"/>
        <w:rPr>
          <w:sz w:val="22"/>
          <w:szCs w:val="22"/>
        </w:rPr>
      </w:pPr>
    </w:p>
    <w:p w:rsidR="002649BF" w:rsidRDefault="002649BF" w:rsidP="008E5760">
      <w:pPr>
        <w:jc w:val="center"/>
        <w:rPr>
          <w:sz w:val="22"/>
          <w:szCs w:val="22"/>
        </w:rPr>
      </w:pPr>
    </w:p>
    <w:p w:rsidR="002649BF" w:rsidRPr="008E5760" w:rsidRDefault="002649BF" w:rsidP="008E5760">
      <w:pPr>
        <w:jc w:val="center"/>
        <w:rPr>
          <w:sz w:val="22"/>
          <w:szCs w:val="22"/>
        </w:rPr>
      </w:pPr>
    </w:p>
    <w:p w:rsidR="004C1E6A" w:rsidRDefault="001073CE" w:rsidP="008E5760">
      <w:pPr>
        <w:pStyle w:val="BodyTextIndent"/>
        <w:ind w:left="3110" w:firstLine="490"/>
      </w:pPr>
      <w:r>
        <w:rPr>
          <w:noProof/>
        </w:rPr>
        <w:pict>
          <v:shape id="_x0000_s1030" type="#_x0000_t75" alt="Commonwealth of Massachusetts Department of Public Health seal" style="position:absolute;left:0;text-align:left;margin-left:171pt;margin-top:13pt;width:81pt;height:79.1pt;z-index:251658752" fillcolor="#0c9">
            <v:imagedata r:id="rId8" o:title=""/>
          </v:shape>
          <o:OLEObject Type="Embed" ProgID="PBrush" ShapeID="_x0000_s1030" DrawAspect="Content" ObjectID="_1465804141" r:id="rId10"/>
        </w:pict>
      </w:r>
      <w:r w:rsidR="004C1E6A" w:rsidRPr="00F20B67">
        <w:rPr>
          <w:sz w:val="32"/>
        </w:rPr>
        <w:br w:type="page"/>
      </w:r>
      <w:r w:rsidR="004C1E6A" w:rsidRPr="00D06BA2">
        <w:lastRenderedPageBreak/>
        <w:t>ACKNOWLEDGMENTS</w:t>
      </w:r>
    </w:p>
    <w:p w:rsidR="004C1E6A" w:rsidRDefault="004C1E6A" w:rsidP="007D2AF6">
      <w:pPr>
        <w:jc w:val="center"/>
        <w:rPr>
          <w:b/>
          <w:sz w:val="28"/>
          <w:szCs w:val="28"/>
        </w:rPr>
      </w:pPr>
    </w:p>
    <w:p w:rsidR="004C1E6A" w:rsidRDefault="004C1E6A" w:rsidP="007D2AF6">
      <w:pPr>
        <w:ind w:left="-360" w:right="-360"/>
        <w:rPr>
          <w:sz w:val="22"/>
          <w:szCs w:val="22"/>
        </w:rPr>
      </w:pPr>
      <w:r w:rsidRPr="000F2DB3">
        <w:rPr>
          <w:sz w:val="22"/>
          <w:szCs w:val="22"/>
        </w:rPr>
        <w:t xml:space="preserve">This report was prepared by </w:t>
      </w:r>
      <w:r>
        <w:rPr>
          <w:sz w:val="22"/>
          <w:szCs w:val="22"/>
        </w:rPr>
        <w:t>Richard Knowlton, an epidemiologist at the</w:t>
      </w:r>
      <w:r w:rsidRPr="000F2DB3">
        <w:rPr>
          <w:sz w:val="22"/>
          <w:szCs w:val="22"/>
        </w:rPr>
        <w:t xml:space="preserve"> Massachusetts Cancer Registry</w:t>
      </w:r>
      <w:r>
        <w:rPr>
          <w:sz w:val="22"/>
          <w:szCs w:val="22"/>
        </w:rPr>
        <w:t xml:space="preserve"> (MCR).</w:t>
      </w:r>
      <w:r w:rsidRPr="000F2DB3">
        <w:rPr>
          <w:sz w:val="22"/>
          <w:szCs w:val="22"/>
        </w:rPr>
        <w:t xml:space="preserve">  Special thanks are given to </w:t>
      </w:r>
      <w:r>
        <w:rPr>
          <w:sz w:val="22"/>
          <w:szCs w:val="22"/>
        </w:rPr>
        <w:t>Annie MacMillan and Susan Gershman for their review of initial drafts of the report</w:t>
      </w:r>
      <w:r w:rsidRPr="000F2DB3">
        <w:rPr>
          <w:sz w:val="22"/>
          <w:szCs w:val="22"/>
        </w:rPr>
        <w:t>. Thanks are also given to consultant Nancy Weiss for her editing effor</w:t>
      </w:r>
      <w:r>
        <w:rPr>
          <w:sz w:val="22"/>
          <w:szCs w:val="22"/>
        </w:rPr>
        <w:t>t</w:t>
      </w:r>
      <w:r w:rsidRPr="000F2DB3">
        <w:rPr>
          <w:sz w:val="22"/>
          <w:szCs w:val="22"/>
        </w:rPr>
        <w:t xml:space="preserve">s. Thanks are given to Charlene Zion, Kevin Foster, and staff in the Registry of Vital Records and </w:t>
      </w:r>
      <w:r>
        <w:rPr>
          <w:sz w:val="22"/>
          <w:szCs w:val="22"/>
        </w:rPr>
        <w:t>S</w:t>
      </w:r>
      <w:r w:rsidRPr="000F2DB3">
        <w:rPr>
          <w:sz w:val="22"/>
          <w:szCs w:val="22"/>
        </w:rPr>
        <w:t>tatistics for providing the mortality data and to James West</w:t>
      </w:r>
      <w:r>
        <w:rPr>
          <w:sz w:val="22"/>
          <w:szCs w:val="22"/>
        </w:rPr>
        <w:t>, formerly of</w:t>
      </w:r>
      <w:r w:rsidRPr="000F2DB3">
        <w:rPr>
          <w:sz w:val="22"/>
          <w:szCs w:val="22"/>
        </w:rPr>
        <w:t xml:space="preserve"> the Division of Research and Epidemiology for providing the population data. </w:t>
      </w:r>
      <w:r>
        <w:rPr>
          <w:sz w:val="22"/>
          <w:szCs w:val="22"/>
        </w:rPr>
        <w:t xml:space="preserve"> Thanks are also given to </w:t>
      </w:r>
      <w:proofErr w:type="spellStart"/>
      <w:r>
        <w:rPr>
          <w:sz w:val="22"/>
          <w:szCs w:val="22"/>
        </w:rPr>
        <w:t>Bertina</w:t>
      </w:r>
      <w:proofErr w:type="spellEnd"/>
      <w:r>
        <w:rPr>
          <w:sz w:val="22"/>
          <w:szCs w:val="22"/>
        </w:rPr>
        <w:t xml:space="preserve"> Backus, formerly of the MCR, for her initial draft of this report and her statistical programs.</w:t>
      </w:r>
    </w:p>
    <w:p w:rsidR="004C1E6A" w:rsidRDefault="004C1E6A" w:rsidP="007D2AF6">
      <w:pPr>
        <w:ind w:left="-360" w:right="-360"/>
        <w:rPr>
          <w:sz w:val="22"/>
          <w:szCs w:val="22"/>
        </w:rPr>
      </w:pPr>
    </w:p>
    <w:p w:rsidR="004C1E6A" w:rsidRDefault="004C1E6A" w:rsidP="00D21DB7">
      <w:pPr>
        <w:ind w:left="-360" w:right="-360"/>
      </w:pPr>
    </w:p>
    <w:p w:rsidR="004C1E6A" w:rsidRDefault="004C1E6A" w:rsidP="00D21DB7">
      <w:pPr>
        <w:ind w:left="-360" w:right="-360"/>
        <w:jc w:val="center"/>
        <w:rPr>
          <w:b/>
          <w:u w:val="single"/>
        </w:rPr>
      </w:pPr>
      <w:smartTag w:uri="urn:schemas-microsoft-com:office:smarttags" w:element="State">
        <w:smartTag w:uri="urn:schemas-microsoft-com:office:smarttags" w:element="place">
          <w:r w:rsidRPr="00C81ABC">
            <w:rPr>
              <w:b/>
              <w:u w:val="single"/>
            </w:rPr>
            <w:t>Massachusetts</w:t>
          </w:r>
        </w:smartTag>
      </w:smartTag>
      <w:r w:rsidRPr="00C81ABC">
        <w:rPr>
          <w:b/>
          <w:u w:val="single"/>
        </w:rPr>
        <w:t xml:space="preserve"> Cancer Registry Staff</w:t>
      </w:r>
    </w:p>
    <w:p w:rsidR="004C1E6A" w:rsidRDefault="004C1E6A" w:rsidP="00D21DB7">
      <w:pPr>
        <w:ind w:left="-360" w:right="-360"/>
        <w:jc w:val="center"/>
      </w:pPr>
    </w:p>
    <w:p w:rsidR="004C1E6A" w:rsidRPr="000F2DB3" w:rsidRDefault="004C1E6A" w:rsidP="00D21DB7">
      <w:pPr>
        <w:ind w:left="-360" w:right="-360"/>
        <w:jc w:val="center"/>
        <w:rPr>
          <w:i/>
          <w:sz w:val="22"/>
          <w:szCs w:val="22"/>
        </w:rPr>
      </w:pPr>
      <w:r w:rsidRPr="000F2DB3">
        <w:rPr>
          <w:sz w:val="22"/>
          <w:szCs w:val="22"/>
        </w:rPr>
        <w:t xml:space="preserve">Susan T. Gershman, M.S., M.P.H., Ph.D., C.T.R., </w:t>
      </w:r>
      <w:r w:rsidRPr="000F2DB3">
        <w:rPr>
          <w:i/>
          <w:sz w:val="22"/>
          <w:szCs w:val="22"/>
        </w:rPr>
        <w:t>Director</w:t>
      </w:r>
    </w:p>
    <w:p w:rsidR="004C1E6A" w:rsidRPr="000F2DB3" w:rsidRDefault="004C1E6A" w:rsidP="00D21DB7">
      <w:pPr>
        <w:ind w:left="-360" w:right="-360"/>
        <w:rPr>
          <w:sz w:val="22"/>
          <w:szCs w:val="22"/>
        </w:rPr>
        <w:sectPr w:rsidR="004C1E6A" w:rsidRPr="000F2DB3" w:rsidSect="00D21DB7">
          <w:footerReference w:type="even" r:id="rId11"/>
          <w:type w:val="continuous"/>
          <w:pgSz w:w="12240" w:h="15840"/>
          <w:pgMar w:top="1440" w:right="1800" w:bottom="1440" w:left="1800" w:header="720" w:footer="720" w:gutter="0"/>
          <w:cols w:space="720"/>
          <w:rtlGutter/>
          <w:docGrid w:linePitch="360"/>
        </w:sectPr>
      </w:pPr>
    </w:p>
    <w:p w:rsidR="004C1E6A" w:rsidRPr="000F2DB3" w:rsidRDefault="004C1E6A" w:rsidP="00D21DB7">
      <w:pPr>
        <w:ind w:left="-360" w:right="-360"/>
        <w:rPr>
          <w:sz w:val="22"/>
          <w:szCs w:val="22"/>
        </w:rPr>
      </w:pPr>
      <w:r w:rsidRPr="000F2DB3">
        <w:rPr>
          <w:sz w:val="22"/>
          <w:szCs w:val="22"/>
        </w:rPr>
        <w:lastRenderedPageBreak/>
        <w:t xml:space="preserve">Bruce Caldwell, </w:t>
      </w:r>
      <w:r w:rsidRPr="000F2DB3">
        <w:rPr>
          <w:i/>
          <w:sz w:val="22"/>
          <w:szCs w:val="22"/>
        </w:rPr>
        <w:t>Research Analyst/Geocoder</w:t>
      </w:r>
    </w:p>
    <w:p w:rsidR="004C1E6A" w:rsidRPr="000F2DB3" w:rsidRDefault="004C1E6A" w:rsidP="00D21DB7">
      <w:pPr>
        <w:ind w:left="-360" w:right="-360"/>
        <w:rPr>
          <w:i/>
          <w:sz w:val="22"/>
          <w:szCs w:val="22"/>
        </w:rPr>
      </w:pPr>
      <w:r w:rsidRPr="000F2DB3">
        <w:rPr>
          <w:sz w:val="22"/>
          <w:szCs w:val="22"/>
        </w:rPr>
        <w:t xml:space="preserve">Nancy Donovan, M.A., O.T.R., C.T.R., </w:t>
      </w:r>
      <w:r w:rsidRPr="000F2DB3">
        <w:rPr>
          <w:i/>
          <w:sz w:val="22"/>
          <w:szCs w:val="22"/>
        </w:rPr>
        <w:t>Cancer Registrar</w:t>
      </w:r>
    </w:p>
    <w:p w:rsidR="004C1E6A" w:rsidRPr="000F2DB3" w:rsidRDefault="004C1E6A" w:rsidP="00D21DB7">
      <w:pPr>
        <w:ind w:left="-360" w:right="-360"/>
        <w:rPr>
          <w:sz w:val="22"/>
          <w:szCs w:val="22"/>
        </w:rPr>
      </w:pPr>
      <w:r w:rsidRPr="000F2DB3">
        <w:rPr>
          <w:sz w:val="22"/>
          <w:szCs w:val="22"/>
        </w:rPr>
        <w:t xml:space="preserve">Patricia J. Drew, C.T.R., </w:t>
      </w:r>
      <w:r w:rsidRPr="000F2DB3">
        <w:rPr>
          <w:i/>
          <w:sz w:val="22"/>
          <w:szCs w:val="22"/>
        </w:rPr>
        <w:t>Cancer Registrar/Quality Assurance Coordinator</w:t>
      </w:r>
    </w:p>
    <w:p w:rsidR="004C1E6A" w:rsidRPr="000F2DB3" w:rsidRDefault="004C1E6A" w:rsidP="00D21DB7">
      <w:pPr>
        <w:ind w:left="-360" w:right="-360"/>
        <w:rPr>
          <w:i/>
          <w:sz w:val="22"/>
          <w:szCs w:val="22"/>
        </w:rPr>
      </w:pPr>
      <w:proofErr w:type="spellStart"/>
      <w:r w:rsidRPr="000F2DB3">
        <w:rPr>
          <w:sz w:val="22"/>
          <w:szCs w:val="22"/>
        </w:rPr>
        <w:t>Loi</w:t>
      </w:r>
      <w:proofErr w:type="spellEnd"/>
      <w:r w:rsidRPr="000F2DB3">
        <w:rPr>
          <w:sz w:val="22"/>
          <w:szCs w:val="22"/>
        </w:rPr>
        <w:t xml:space="preserve"> Huynh, </w:t>
      </w:r>
      <w:r w:rsidRPr="000F2DB3">
        <w:rPr>
          <w:i/>
          <w:sz w:val="22"/>
          <w:szCs w:val="22"/>
        </w:rPr>
        <w:t>Software Developer</w:t>
      </w:r>
    </w:p>
    <w:p w:rsidR="004C1E6A" w:rsidRPr="000F2DB3" w:rsidRDefault="004C1E6A" w:rsidP="00D21DB7">
      <w:pPr>
        <w:ind w:left="-360" w:right="-360"/>
        <w:rPr>
          <w:sz w:val="22"/>
          <w:szCs w:val="22"/>
        </w:rPr>
      </w:pPr>
      <w:r w:rsidRPr="000F2DB3">
        <w:rPr>
          <w:sz w:val="22"/>
          <w:szCs w:val="22"/>
        </w:rPr>
        <w:t xml:space="preserve">Richard Knowlton, M.S., </w:t>
      </w:r>
      <w:r w:rsidRPr="000F2DB3">
        <w:rPr>
          <w:i/>
          <w:sz w:val="22"/>
          <w:szCs w:val="22"/>
        </w:rPr>
        <w:t>Epidemiologist</w:t>
      </w:r>
    </w:p>
    <w:p w:rsidR="004C1E6A" w:rsidRPr="000F2DB3" w:rsidRDefault="004C1E6A" w:rsidP="00D21DB7">
      <w:pPr>
        <w:ind w:left="-360" w:right="-360"/>
        <w:rPr>
          <w:i/>
          <w:sz w:val="22"/>
          <w:szCs w:val="22"/>
        </w:rPr>
      </w:pPr>
      <w:r w:rsidRPr="000F2DB3">
        <w:rPr>
          <w:sz w:val="22"/>
          <w:szCs w:val="22"/>
        </w:rPr>
        <w:t xml:space="preserve">Ann MacMillan, M.P.H., </w:t>
      </w:r>
      <w:r w:rsidRPr="000F2DB3">
        <w:rPr>
          <w:i/>
          <w:sz w:val="22"/>
          <w:szCs w:val="22"/>
        </w:rPr>
        <w:t>Epidemiologist</w:t>
      </w:r>
    </w:p>
    <w:p w:rsidR="004C1E6A" w:rsidRPr="000F2DB3" w:rsidRDefault="004C1E6A" w:rsidP="00D21DB7">
      <w:pPr>
        <w:ind w:left="-360" w:right="-360"/>
        <w:rPr>
          <w:sz w:val="22"/>
          <w:szCs w:val="22"/>
        </w:rPr>
      </w:pPr>
      <w:r w:rsidRPr="000F2DB3">
        <w:rPr>
          <w:sz w:val="22"/>
          <w:szCs w:val="22"/>
        </w:rPr>
        <w:lastRenderedPageBreak/>
        <w:t xml:space="preserve">Mary Mroszczyk, C.T.R., </w:t>
      </w:r>
      <w:r w:rsidRPr="000F2DB3">
        <w:rPr>
          <w:i/>
          <w:sz w:val="22"/>
          <w:szCs w:val="22"/>
        </w:rPr>
        <w:t>Geocoding/ Special Projects Coordinator</w:t>
      </w:r>
    </w:p>
    <w:p w:rsidR="004C1E6A" w:rsidRPr="000F2DB3" w:rsidRDefault="004C1E6A" w:rsidP="00D21DB7">
      <w:pPr>
        <w:ind w:left="-360" w:right="-360"/>
        <w:rPr>
          <w:i/>
          <w:sz w:val="22"/>
          <w:szCs w:val="22"/>
        </w:rPr>
      </w:pPr>
      <w:r w:rsidRPr="000F2DB3">
        <w:rPr>
          <w:sz w:val="22"/>
          <w:szCs w:val="22"/>
        </w:rPr>
        <w:t>Ja</w:t>
      </w:r>
      <w:r>
        <w:rPr>
          <w:sz w:val="22"/>
          <w:szCs w:val="22"/>
        </w:rPr>
        <w:t>y</w:t>
      </w:r>
      <w:r w:rsidRPr="000F2DB3">
        <w:rPr>
          <w:sz w:val="22"/>
          <w:szCs w:val="22"/>
        </w:rPr>
        <w:t xml:space="preserve">ne Nussdorfer, C.T.R., </w:t>
      </w:r>
      <w:r w:rsidRPr="000F2DB3">
        <w:rPr>
          <w:i/>
          <w:sz w:val="22"/>
          <w:szCs w:val="22"/>
        </w:rPr>
        <w:t>Cancer Registrar</w:t>
      </w:r>
    </w:p>
    <w:p w:rsidR="004C1E6A" w:rsidRPr="000F2DB3" w:rsidRDefault="004C1E6A" w:rsidP="00D21DB7">
      <w:pPr>
        <w:ind w:left="-360" w:right="-360"/>
        <w:rPr>
          <w:sz w:val="22"/>
          <w:szCs w:val="22"/>
        </w:rPr>
      </w:pPr>
      <w:r w:rsidRPr="000F2DB3">
        <w:rPr>
          <w:sz w:val="22"/>
          <w:szCs w:val="22"/>
        </w:rPr>
        <w:t xml:space="preserve">Barbara J. Rhodes, C.M.A., C.T.R., </w:t>
      </w:r>
      <w:r w:rsidRPr="000F2DB3">
        <w:rPr>
          <w:i/>
          <w:sz w:val="22"/>
          <w:szCs w:val="22"/>
        </w:rPr>
        <w:t>Cancer Registrar/Death Clearance Coordinator</w:t>
      </w:r>
    </w:p>
    <w:p w:rsidR="004C1E6A" w:rsidRPr="000F2DB3" w:rsidRDefault="004C1E6A" w:rsidP="00D21DB7">
      <w:pPr>
        <w:ind w:left="-360" w:right="-360"/>
        <w:rPr>
          <w:i/>
          <w:sz w:val="22"/>
          <w:szCs w:val="22"/>
        </w:rPr>
      </w:pPr>
      <w:r w:rsidRPr="000F2DB3">
        <w:rPr>
          <w:sz w:val="22"/>
          <w:szCs w:val="22"/>
        </w:rPr>
        <w:t xml:space="preserve">Pamela Shuttle, C.T.R., R.H.I.T., </w:t>
      </w:r>
      <w:r w:rsidRPr="000F2DB3">
        <w:rPr>
          <w:i/>
          <w:sz w:val="22"/>
          <w:szCs w:val="22"/>
        </w:rPr>
        <w:t>Cancer Registrar/Non-Hospital Reporting Coordinator</w:t>
      </w:r>
    </w:p>
    <w:p w:rsidR="004C1E6A" w:rsidRPr="000F2DB3" w:rsidRDefault="004C1E6A" w:rsidP="00D21DB7">
      <w:pPr>
        <w:ind w:left="-360" w:right="-360"/>
        <w:rPr>
          <w:sz w:val="22"/>
          <w:szCs w:val="22"/>
        </w:rPr>
      </w:pPr>
      <w:r w:rsidRPr="000F2DB3">
        <w:rPr>
          <w:sz w:val="22"/>
          <w:szCs w:val="22"/>
        </w:rPr>
        <w:t xml:space="preserve">Hung Tran, </w:t>
      </w:r>
      <w:r w:rsidRPr="000F2DB3">
        <w:rPr>
          <w:i/>
          <w:sz w:val="22"/>
          <w:szCs w:val="22"/>
        </w:rPr>
        <w:t>Software Developer</w:t>
      </w:r>
    </w:p>
    <w:p w:rsidR="004C1E6A" w:rsidRPr="000F2DB3" w:rsidRDefault="004C1E6A" w:rsidP="00D21DB7">
      <w:pPr>
        <w:ind w:left="-360" w:right="-360"/>
        <w:rPr>
          <w:i/>
          <w:sz w:val="22"/>
          <w:szCs w:val="22"/>
        </w:rPr>
      </w:pPr>
    </w:p>
    <w:p w:rsidR="004C1E6A" w:rsidRDefault="004C1E6A" w:rsidP="00D21DB7">
      <w:pPr>
        <w:ind w:left="-360" w:right="-360"/>
        <w:sectPr w:rsidR="004C1E6A" w:rsidSect="00B96405">
          <w:type w:val="continuous"/>
          <w:pgSz w:w="12240" w:h="15840"/>
          <w:pgMar w:top="1440" w:right="1800" w:bottom="1440" w:left="1800" w:header="720" w:footer="720" w:gutter="0"/>
          <w:cols w:num="2" w:space="720"/>
          <w:docGrid w:linePitch="360"/>
        </w:sectPr>
      </w:pPr>
    </w:p>
    <w:p w:rsidR="004C1E6A" w:rsidRDefault="004C1E6A" w:rsidP="00D21DB7">
      <w:pPr>
        <w:ind w:left="-360" w:right="-360"/>
      </w:pPr>
    </w:p>
    <w:p w:rsidR="004C1E6A" w:rsidRDefault="004C1E6A" w:rsidP="00D21DB7">
      <w:pPr>
        <w:ind w:left="-360" w:right="-360"/>
        <w:jc w:val="center"/>
        <w:rPr>
          <w:b/>
          <w:u w:val="single"/>
        </w:rPr>
      </w:pPr>
      <w:smartTag w:uri="urn:schemas-microsoft-com:office:smarttags" w:element="State">
        <w:smartTag w:uri="urn:schemas-microsoft-com:office:smarttags" w:element="place">
          <w:r w:rsidRPr="003E2506">
            <w:rPr>
              <w:b/>
              <w:u w:val="single"/>
            </w:rPr>
            <w:t>Massachusetts</w:t>
          </w:r>
        </w:smartTag>
      </w:smartTag>
      <w:r w:rsidRPr="003E2506">
        <w:rPr>
          <w:b/>
          <w:u w:val="single"/>
        </w:rPr>
        <w:t xml:space="preserve"> Cancer Registry Advisory Committee</w:t>
      </w:r>
    </w:p>
    <w:p w:rsidR="004C1E6A" w:rsidRDefault="004C1E6A" w:rsidP="00D21DB7">
      <w:pPr>
        <w:ind w:left="-360" w:right="-360"/>
        <w:jc w:val="center"/>
        <w:rPr>
          <w:b/>
          <w:u w:val="single"/>
        </w:rPr>
      </w:pPr>
    </w:p>
    <w:p w:rsidR="004C1E6A" w:rsidRPr="000F2DB3" w:rsidRDefault="004C1E6A" w:rsidP="00D21DB7">
      <w:pPr>
        <w:ind w:left="-360" w:right="-360"/>
        <w:jc w:val="center"/>
        <w:rPr>
          <w:i/>
          <w:sz w:val="22"/>
          <w:szCs w:val="22"/>
        </w:rPr>
      </w:pPr>
      <w:smartTag w:uri="urn:schemas-microsoft-com:office:smarttags" w:element="City">
        <w:smartTag w:uri="urn:schemas-microsoft-com:office:smarttags" w:element="place">
          <w:r w:rsidRPr="000F2DB3">
            <w:rPr>
              <w:sz w:val="22"/>
              <w:szCs w:val="22"/>
            </w:rPr>
            <w:t>Lawrence</w:t>
          </w:r>
        </w:smartTag>
      </w:smartTag>
      <w:r w:rsidRPr="000F2DB3">
        <w:rPr>
          <w:sz w:val="22"/>
          <w:szCs w:val="22"/>
        </w:rPr>
        <w:t xml:space="preserve"> N. Shulman, M.D. </w:t>
      </w:r>
      <w:r w:rsidRPr="000F2DB3">
        <w:rPr>
          <w:i/>
          <w:sz w:val="22"/>
          <w:szCs w:val="22"/>
        </w:rPr>
        <w:t>(Chair)</w:t>
      </w:r>
    </w:p>
    <w:p w:rsidR="004C1E6A" w:rsidRPr="000F2DB3" w:rsidRDefault="004C1E6A" w:rsidP="00D21DB7">
      <w:pPr>
        <w:ind w:left="-360" w:right="-360"/>
        <w:rPr>
          <w:sz w:val="22"/>
          <w:szCs w:val="22"/>
        </w:rPr>
        <w:sectPr w:rsidR="004C1E6A" w:rsidRPr="000F2DB3" w:rsidSect="00B96405">
          <w:type w:val="continuous"/>
          <w:pgSz w:w="12240" w:h="15840"/>
          <w:pgMar w:top="1440" w:right="1800" w:bottom="1440" w:left="1800" w:header="720" w:footer="720" w:gutter="0"/>
          <w:cols w:space="720"/>
          <w:docGrid w:linePitch="360"/>
        </w:sectPr>
      </w:pPr>
    </w:p>
    <w:p w:rsidR="004C1E6A" w:rsidRDefault="004C1E6A" w:rsidP="00D21DB7">
      <w:pPr>
        <w:ind w:left="-360" w:right="-360"/>
        <w:rPr>
          <w:sz w:val="22"/>
          <w:szCs w:val="22"/>
        </w:rPr>
      </w:pPr>
      <w:r>
        <w:rPr>
          <w:sz w:val="22"/>
          <w:szCs w:val="22"/>
        </w:rPr>
        <w:lastRenderedPageBreak/>
        <w:t xml:space="preserve">Anita Christie, </w:t>
      </w:r>
      <w:r w:rsidRPr="00BD19F7">
        <w:rPr>
          <w:sz w:val="22"/>
          <w:szCs w:val="22"/>
        </w:rPr>
        <w:t>R</w:t>
      </w:r>
      <w:r>
        <w:rPr>
          <w:sz w:val="22"/>
          <w:szCs w:val="22"/>
        </w:rPr>
        <w:t>.</w:t>
      </w:r>
      <w:r w:rsidRPr="00BD19F7">
        <w:rPr>
          <w:sz w:val="22"/>
          <w:szCs w:val="22"/>
        </w:rPr>
        <w:t>N</w:t>
      </w:r>
      <w:r>
        <w:rPr>
          <w:sz w:val="22"/>
          <w:szCs w:val="22"/>
        </w:rPr>
        <w:t>.</w:t>
      </w:r>
      <w:r w:rsidRPr="00BD19F7">
        <w:rPr>
          <w:sz w:val="22"/>
          <w:szCs w:val="22"/>
        </w:rPr>
        <w:t>, M</w:t>
      </w:r>
      <w:r>
        <w:rPr>
          <w:sz w:val="22"/>
          <w:szCs w:val="22"/>
        </w:rPr>
        <w:t>.</w:t>
      </w:r>
      <w:r w:rsidRPr="00BD19F7">
        <w:rPr>
          <w:sz w:val="22"/>
          <w:szCs w:val="22"/>
        </w:rPr>
        <w:t>H</w:t>
      </w:r>
      <w:r>
        <w:rPr>
          <w:sz w:val="22"/>
          <w:szCs w:val="22"/>
        </w:rPr>
        <w:t>.</w:t>
      </w:r>
      <w:r w:rsidRPr="00BD19F7">
        <w:rPr>
          <w:sz w:val="22"/>
          <w:szCs w:val="22"/>
        </w:rPr>
        <w:t>A</w:t>
      </w:r>
      <w:r>
        <w:rPr>
          <w:sz w:val="22"/>
          <w:szCs w:val="22"/>
        </w:rPr>
        <w:t>.</w:t>
      </w:r>
      <w:r w:rsidRPr="00BD19F7">
        <w:rPr>
          <w:sz w:val="22"/>
          <w:szCs w:val="22"/>
        </w:rPr>
        <w:t>, C</w:t>
      </w:r>
      <w:r>
        <w:rPr>
          <w:sz w:val="22"/>
          <w:szCs w:val="22"/>
        </w:rPr>
        <w:t>.</w:t>
      </w:r>
      <w:r w:rsidRPr="00BD19F7">
        <w:rPr>
          <w:sz w:val="22"/>
          <w:szCs w:val="22"/>
        </w:rPr>
        <w:t>P</w:t>
      </w:r>
      <w:r>
        <w:rPr>
          <w:sz w:val="22"/>
          <w:szCs w:val="22"/>
        </w:rPr>
        <w:t>.</w:t>
      </w:r>
      <w:r w:rsidRPr="00BD19F7">
        <w:rPr>
          <w:sz w:val="22"/>
          <w:szCs w:val="22"/>
        </w:rPr>
        <w:t>H</w:t>
      </w:r>
      <w:r>
        <w:rPr>
          <w:sz w:val="22"/>
          <w:szCs w:val="22"/>
        </w:rPr>
        <w:t>.</w:t>
      </w:r>
      <w:r w:rsidRPr="00BD19F7">
        <w:rPr>
          <w:sz w:val="22"/>
          <w:szCs w:val="22"/>
        </w:rPr>
        <w:t>Q</w:t>
      </w:r>
      <w:r>
        <w:rPr>
          <w:sz w:val="22"/>
          <w:szCs w:val="22"/>
        </w:rPr>
        <w:t>.</w:t>
      </w:r>
    </w:p>
    <w:p w:rsidR="004C1E6A" w:rsidRPr="000F2DB3" w:rsidRDefault="004C1E6A" w:rsidP="00D21DB7">
      <w:pPr>
        <w:ind w:left="-360" w:right="-360"/>
        <w:rPr>
          <w:sz w:val="22"/>
          <w:szCs w:val="22"/>
        </w:rPr>
      </w:pPr>
      <w:r w:rsidRPr="000F2DB3">
        <w:rPr>
          <w:sz w:val="22"/>
          <w:szCs w:val="22"/>
        </w:rPr>
        <w:t>Suzanne Condon, M.S.</w:t>
      </w:r>
      <w:r>
        <w:rPr>
          <w:sz w:val="22"/>
          <w:szCs w:val="22"/>
        </w:rPr>
        <w:tab/>
      </w:r>
      <w:r>
        <w:rPr>
          <w:sz w:val="22"/>
          <w:szCs w:val="22"/>
        </w:rPr>
        <w:tab/>
      </w:r>
      <w:r>
        <w:rPr>
          <w:sz w:val="22"/>
          <w:szCs w:val="22"/>
        </w:rPr>
        <w:tab/>
      </w:r>
      <w:r>
        <w:rPr>
          <w:sz w:val="22"/>
          <w:szCs w:val="22"/>
        </w:rPr>
        <w:tab/>
      </w:r>
    </w:p>
    <w:p w:rsidR="004C1E6A" w:rsidRDefault="004C1E6A" w:rsidP="00D21DB7">
      <w:pPr>
        <w:ind w:left="-360" w:right="-360"/>
        <w:rPr>
          <w:sz w:val="22"/>
          <w:szCs w:val="22"/>
        </w:rPr>
      </w:pPr>
      <w:r w:rsidRPr="000F2DB3">
        <w:rPr>
          <w:sz w:val="22"/>
          <w:szCs w:val="22"/>
        </w:rPr>
        <w:t>Deborah Dillon, M.D.</w:t>
      </w:r>
    </w:p>
    <w:p w:rsidR="004C1E6A" w:rsidRDefault="004C1E6A" w:rsidP="00D21DB7">
      <w:pPr>
        <w:ind w:left="-360" w:right="-360"/>
        <w:rPr>
          <w:sz w:val="22"/>
          <w:szCs w:val="22"/>
        </w:rPr>
      </w:pPr>
      <w:r>
        <w:rPr>
          <w:sz w:val="22"/>
          <w:szCs w:val="22"/>
        </w:rPr>
        <w:t>Joanna Haas, M.D.</w:t>
      </w:r>
      <w:r>
        <w:rPr>
          <w:sz w:val="22"/>
          <w:szCs w:val="22"/>
        </w:rPr>
        <w:tab/>
      </w:r>
      <w:r>
        <w:rPr>
          <w:sz w:val="22"/>
          <w:szCs w:val="22"/>
        </w:rPr>
        <w:tab/>
      </w:r>
      <w:r>
        <w:rPr>
          <w:sz w:val="22"/>
          <w:szCs w:val="22"/>
        </w:rPr>
        <w:tab/>
      </w:r>
      <w:r>
        <w:rPr>
          <w:sz w:val="22"/>
          <w:szCs w:val="22"/>
        </w:rPr>
        <w:tab/>
      </w:r>
    </w:p>
    <w:p w:rsidR="004C1E6A" w:rsidRDefault="004C1E6A" w:rsidP="00D21DB7">
      <w:pPr>
        <w:ind w:left="-360" w:right="-360"/>
        <w:rPr>
          <w:sz w:val="22"/>
          <w:szCs w:val="22"/>
        </w:rPr>
      </w:pPr>
      <w:r>
        <w:rPr>
          <w:sz w:val="22"/>
          <w:szCs w:val="22"/>
        </w:rPr>
        <w:t>Carol Lowenstein, C.T.R, M.B.A.</w:t>
      </w:r>
    </w:p>
    <w:p w:rsidR="004C1E6A" w:rsidRDefault="004C1E6A" w:rsidP="00D21DB7">
      <w:pPr>
        <w:ind w:left="-360" w:right="-360"/>
        <w:rPr>
          <w:sz w:val="22"/>
          <w:szCs w:val="22"/>
        </w:rPr>
      </w:pPr>
      <w:r>
        <w:rPr>
          <w:sz w:val="22"/>
          <w:szCs w:val="22"/>
        </w:rPr>
        <w:t>Reggie Mead</w:t>
      </w:r>
    </w:p>
    <w:p w:rsidR="004C1E6A" w:rsidRDefault="004C1E6A" w:rsidP="00D21DB7">
      <w:pPr>
        <w:ind w:left="-360" w:right="-360"/>
        <w:rPr>
          <w:sz w:val="22"/>
          <w:szCs w:val="22"/>
        </w:rPr>
      </w:pPr>
      <w:r>
        <w:rPr>
          <w:sz w:val="22"/>
          <w:szCs w:val="22"/>
        </w:rPr>
        <w:t>Gail Merriam, M.S.W., M.P.H</w:t>
      </w:r>
    </w:p>
    <w:p w:rsidR="004C1E6A" w:rsidRDefault="004C1E6A" w:rsidP="00D21DB7">
      <w:pPr>
        <w:ind w:left="-360" w:right="-360"/>
        <w:rPr>
          <w:sz w:val="22"/>
          <w:szCs w:val="22"/>
        </w:rPr>
      </w:pPr>
    </w:p>
    <w:p w:rsidR="004C1E6A" w:rsidRDefault="004C1E6A" w:rsidP="00D21DB7">
      <w:pPr>
        <w:ind w:left="-360" w:right="-360"/>
        <w:rPr>
          <w:sz w:val="22"/>
          <w:szCs w:val="22"/>
        </w:rPr>
      </w:pPr>
      <w:r>
        <w:rPr>
          <w:sz w:val="22"/>
          <w:szCs w:val="22"/>
        </w:rPr>
        <w:lastRenderedPageBreak/>
        <w:t xml:space="preserve">J. David </w:t>
      </w:r>
      <w:proofErr w:type="spellStart"/>
      <w:r>
        <w:rPr>
          <w:sz w:val="22"/>
          <w:szCs w:val="22"/>
        </w:rPr>
        <w:t>Naparstek</w:t>
      </w:r>
      <w:proofErr w:type="spellEnd"/>
      <w:r>
        <w:rPr>
          <w:sz w:val="22"/>
          <w:szCs w:val="22"/>
        </w:rPr>
        <w:t xml:space="preserve">, </w:t>
      </w:r>
      <w:proofErr w:type="spellStart"/>
      <w:r>
        <w:rPr>
          <w:sz w:val="22"/>
          <w:szCs w:val="22"/>
        </w:rPr>
        <w:t>Sc.M.,C.H.O</w:t>
      </w:r>
      <w:proofErr w:type="spellEnd"/>
      <w:r>
        <w:rPr>
          <w:sz w:val="22"/>
          <w:szCs w:val="22"/>
        </w:rPr>
        <w:t>.</w:t>
      </w:r>
    </w:p>
    <w:p w:rsidR="004C1E6A" w:rsidRDefault="004C1E6A" w:rsidP="00D21DB7">
      <w:pPr>
        <w:ind w:left="-360" w:right="-360"/>
        <w:rPr>
          <w:sz w:val="22"/>
          <w:szCs w:val="22"/>
        </w:rPr>
      </w:pPr>
      <w:r>
        <w:rPr>
          <w:sz w:val="22"/>
          <w:szCs w:val="22"/>
        </w:rPr>
        <w:t>Larissa Nekhlyudov, M.D., M.P.H.</w:t>
      </w:r>
    </w:p>
    <w:p w:rsidR="004C1E6A" w:rsidRDefault="004C1E6A" w:rsidP="00D21DB7">
      <w:pPr>
        <w:ind w:left="-360" w:right="-360"/>
        <w:rPr>
          <w:sz w:val="22"/>
          <w:szCs w:val="22"/>
        </w:rPr>
      </w:pPr>
      <w:r>
        <w:rPr>
          <w:sz w:val="22"/>
          <w:szCs w:val="22"/>
        </w:rPr>
        <w:t xml:space="preserve">Al </w:t>
      </w:r>
      <w:proofErr w:type="spellStart"/>
      <w:r>
        <w:rPr>
          <w:sz w:val="22"/>
          <w:szCs w:val="22"/>
        </w:rPr>
        <w:t>Ozonoff</w:t>
      </w:r>
      <w:proofErr w:type="spellEnd"/>
      <w:r>
        <w:rPr>
          <w:sz w:val="22"/>
          <w:szCs w:val="22"/>
        </w:rPr>
        <w:t>, M.A., Ph.D.</w:t>
      </w:r>
    </w:p>
    <w:p w:rsidR="004C1E6A" w:rsidRDefault="004C1E6A" w:rsidP="00D21DB7">
      <w:pPr>
        <w:ind w:left="-360" w:right="-360"/>
        <w:rPr>
          <w:sz w:val="22"/>
          <w:szCs w:val="22"/>
        </w:rPr>
      </w:pPr>
      <w:r>
        <w:rPr>
          <w:sz w:val="22"/>
          <w:szCs w:val="22"/>
        </w:rPr>
        <w:t xml:space="preserve">Paul C. </w:t>
      </w:r>
      <w:proofErr w:type="spellStart"/>
      <w:r>
        <w:rPr>
          <w:sz w:val="22"/>
          <w:szCs w:val="22"/>
        </w:rPr>
        <w:t>Shroy</w:t>
      </w:r>
      <w:proofErr w:type="spellEnd"/>
      <w:r>
        <w:rPr>
          <w:sz w:val="22"/>
          <w:szCs w:val="22"/>
        </w:rPr>
        <w:t>, M.D., M.P.H.</w:t>
      </w:r>
    </w:p>
    <w:p w:rsidR="004C1E6A" w:rsidRDefault="004C1E6A" w:rsidP="00D21DB7">
      <w:pPr>
        <w:ind w:left="-360" w:right="-360"/>
        <w:rPr>
          <w:sz w:val="22"/>
          <w:szCs w:val="22"/>
        </w:rPr>
      </w:pPr>
      <w:r>
        <w:rPr>
          <w:sz w:val="22"/>
          <w:szCs w:val="22"/>
        </w:rPr>
        <w:t xml:space="preserve">Janet </w:t>
      </w:r>
      <w:proofErr w:type="spellStart"/>
      <w:r>
        <w:rPr>
          <w:sz w:val="22"/>
          <w:szCs w:val="22"/>
        </w:rPr>
        <w:t>McGrail</w:t>
      </w:r>
      <w:proofErr w:type="spellEnd"/>
      <w:r>
        <w:rPr>
          <w:sz w:val="22"/>
          <w:szCs w:val="22"/>
        </w:rPr>
        <w:t xml:space="preserve"> Spillane, RN</w:t>
      </w:r>
    </w:p>
    <w:p w:rsidR="004C1E6A" w:rsidRDefault="004C1E6A" w:rsidP="00D21DB7">
      <w:pPr>
        <w:ind w:left="-360" w:right="-360"/>
        <w:rPr>
          <w:sz w:val="22"/>
          <w:szCs w:val="22"/>
        </w:rPr>
      </w:pPr>
      <w:r>
        <w:rPr>
          <w:sz w:val="22"/>
          <w:szCs w:val="22"/>
        </w:rPr>
        <w:t>Ingrid Stendhal, C.T.R.</w:t>
      </w:r>
    </w:p>
    <w:p w:rsidR="004C1E6A" w:rsidRDefault="004C1E6A" w:rsidP="00D21DB7">
      <w:pPr>
        <w:ind w:left="-360" w:right="-360"/>
        <w:rPr>
          <w:sz w:val="22"/>
          <w:szCs w:val="22"/>
        </w:rPr>
      </w:pPr>
      <w:r>
        <w:rPr>
          <w:sz w:val="22"/>
          <w:szCs w:val="22"/>
        </w:rPr>
        <w:t xml:space="preserve">Susan Sturgeon, </w:t>
      </w:r>
      <w:proofErr w:type="spellStart"/>
      <w:r>
        <w:rPr>
          <w:sz w:val="22"/>
          <w:szCs w:val="22"/>
        </w:rPr>
        <w:t>Dr.P.H</w:t>
      </w:r>
      <w:proofErr w:type="spellEnd"/>
      <w:r>
        <w:rPr>
          <w:sz w:val="22"/>
          <w:szCs w:val="22"/>
        </w:rPr>
        <w:t>., M.P.H.</w:t>
      </w:r>
    </w:p>
    <w:p w:rsidR="004C1E6A" w:rsidRDefault="004C1E6A" w:rsidP="00D21DB7">
      <w:pPr>
        <w:ind w:left="-360" w:right="-360"/>
        <w:rPr>
          <w:sz w:val="22"/>
          <w:szCs w:val="22"/>
        </w:rPr>
      </w:pPr>
      <w:r w:rsidRPr="00497A26">
        <w:rPr>
          <w:sz w:val="22"/>
          <w:szCs w:val="22"/>
        </w:rPr>
        <w:t xml:space="preserve"> </w:t>
      </w:r>
    </w:p>
    <w:p w:rsidR="004C1E6A" w:rsidRDefault="004C1E6A" w:rsidP="00D21DB7">
      <w:pPr>
        <w:ind w:left="-360" w:right="-360"/>
        <w:rPr>
          <w:sz w:val="22"/>
          <w:szCs w:val="22"/>
        </w:rPr>
        <w:sectPr w:rsidR="004C1E6A" w:rsidSect="00B96405">
          <w:type w:val="continuous"/>
          <w:pgSz w:w="12240" w:h="15840"/>
          <w:pgMar w:top="1440" w:right="1800" w:bottom="1080" w:left="1800" w:header="720" w:footer="720" w:gutter="0"/>
          <w:cols w:num="2" w:space="720"/>
          <w:docGrid w:linePitch="360"/>
        </w:sectPr>
      </w:pPr>
    </w:p>
    <w:p w:rsidR="004C1E6A" w:rsidRPr="000F2DB3" w:rsidRDefault="004C1E6A" w:rsidP="00D21DB7">
      <w:pPr>
        <w:ind w:left="-360" w:right="-540"/>
        <w:rPr>
          <w:sz w:val="20"/>
          <w:szCs w:val="20"/>
        </w:rPr>
      </w:pPr>
      <w:r>
        <w:rPr>
          <w:sz w:val="20"/>
          <w:szCs w:val="20"/>
        </w:rPr>
        <w:lastRenderedPageBreak/>
        <w:t>T</w:t>
      </w:r>
      <w:r w:rsidRPr="000F2DB3">
        <w:rPr>
          <w:sz w:val="20"/>
          <w:szCs w:val="20"/>
        </w:rPr>
        <w:t>he data in this report are intended for public use and may be reproduced without permission. Proper acknowledgement of the source is requested.</w:t>
      </w:r>
    </w:p>
    <w:p w:rsidR="004C1E6A" w:rsidRPr="000F2DB3" w:rsidRDefault="004C1E6A" w:rsidP="00D21DB7">
      <w:pPr>
        <w:ind w:left="-360" w:right="-540"/>
        <w:rPr>
          <w:sz w:val="20"/>
          <w:szCs w:val="20"/>
        </w:rPr>
      </w:pPr>
    </w:p>
    <w:p w:rsidR="004C1E6A" w:rsidRPr="000F2DB3" w:rsidRDefault="004C1E6A" w:rsidP="00D21DB7">
      <w:pPr>
        <w:ind w:left="-360" w:right="-540"/>
        <w:rPr>
          <w:sz w:val="20"/>
          <w:szCs w:val="20"/>
        </w:rPr>
      </w:pPr>
      <w:r w:rsidRPr="000F2DB3">
        <w:rPr>
          <w:sz w:val="20"/>
          <w:szCs w:val="20"/>
        </w:rPr>
        <w:t>For further information, please contact the following:</w:t>
      </w:r>
    </w:p>
    <w:p w:rsidR="004C1E6A" w:rsidRPr="000F2DB3" w:rsidRDefault="004C1E6A" w:rsidP="00D21DB7">
      <w:pPr>
        <w:ind w:left="-360" w:right="-540"/>
        <w:rPr>
          <w:sz w:val="20"/>
          <w:szCs w:val="20"/>
        </w:rPr>
      </w:pPr>
      <w:r w:rsidRPr="000F2DB3">
        <w:rPr>
          <w:sz w:val="20"/>
          <w:szCs w:val="20"/>
        </w:rPr>
        <w:tab/>
      </w:r>
      <w:smartTag w:uri="urn:schemas-microsoft-com:office:smarttags" w:element="State">
        <w:smartTag w:uri="urn:schemas-microsoft-com:office:smarttags" w:element="place">
          <w:r w:rsidRPr="000F2DB3">
            <w:rPr>
              <w:sz w:val="20"/>
              <w:szCs w:val="20"/>
            </w:rPr>
            <w:t>Massachusetts</w:t>
          </w:r>
        </w:smartTag>
      </w:smartTag>
      <w:r w:rsidRPr="000F2DB3">
        <w:rPr>
          <w:sz w:val="20"/>
          <w:szCs w:val="20"/>
        </w:rPr>
        <w:t xml:space="preserve"> Cancer Registry……………………………………………(617) 624-5642</w:t>
      </w:r>
    </w:p>
    <w:p w:rsidR="004C1E6A" w:rsidRPr="000F2DB3" w:rsidRDefault="004C1E6A" w:rsidP="00D21DB7">
      <w:pPr>
        <w:ind w:left="-360" w:right="-540"/>
        <w:rPr>
          <w:sz w:val="20"/>
          <w:szCs w:val="20"/>
        </w:rPr>
      </w:pPr>
      <w:r w:rsidRPr="000F2DB3">
        <w:rPr>
          <w:sz w:val="20"/>
          <w:szCs w:val="20"/>
        </w:rPr>
        <w:tab/>
        <w:t>Research and Epidemiology……………………………………………….(617) 624-5635</w:t>
      </w:r>
    </w:p>
    <w:p w:rsidR="004C1E6A" w:rsidRPr="000F2DB3" w:rsidRDefault="004C1E6A" w:rsidP="00D21DB7">
      <w:pPr>
        <w:ind w:left="-360" w:right="-540"/>
        <w:rPr>
          <w:sz w:val="20"/>
          <w:szCs w:val="20"/>
        </w:rPr>
      </w:pPr>
      <w:r w:rsidRPr="000F2DB3">
        <w:rPr>
          <w:sz w:val="20"/>
          <w:szCs w:val="20"/>
        </w:rPr>
        <w:tab/>
        <w:t>Occupational Health Surveillance…………………………………………(617) 624-5626</w:t>
      </w:r>
    </w:p>
    <w:p w:rsidR="004C1E6A" w:rsidRPr="000F2DB3" w:rsidRDefault="004C1E6A" w:rsidP="00D21DB7">
      <w:pPr>
        <w:ind w:left="-360" w:right="-540"/>
        <w:rPr>
          <w:sz w:val="20"/>
          <w:szCs w:val="20"/>
        </w:rPr>
      </w:pPr>
      <w:r w:rsidRPr="000F2DB3">
        <w:rPr>
          <w:sz w:val="20"/>
          <w:szCs w:val="20"/>
        </w:rPr>
        <w:tab/>
        <w:t>Bureau of Environmental He</w:t>
      </w:r>
      <w:r>
        <w:rPr>
          <w:sz w:val="20"/>
          <w:szCs w:val="20"/>
        </w:rPr>
        <w:t>alth</w:t>
      </w:r>
      <w:r w:rsidRPr="000F2DB3">
        <w:rPr>
          <w:sz w:val="20"/>
          <w:szCs w:val="20"/>
        </w:rPr>
        <w:t xml:space="preserve">………………………………………….(617) </w:t>
      </w:r>
      <w:r>
        <w:rPr>
          <w:sz w:val="20"/>
          <w:szCs w:val="20"/>
        </w:rPr>
        <w:t xml:space="preserve"> </w:t>
      </w:r>
      <w:r w:rsidRPr="000F2DB3">
        <w:rPr>
          <w:sz w:val="20"/>
          <w:szCs w:val="20"/>
        </w:rPr>
        <w:t>624-5757</w:t>
      </w:r>
    </w:p>
    <w:p w:rsidR="004C1E6A" w:rsidRPr="00C03412" w:rsidRDefault="004C1E6A" w:rsidP="00D21DB7">
      <w:pPr>
        <w:ind w:left="-360" w:right="-540"/>
        <w:rPr>
          <w:sz w:val="20"/>
          <w:szCs w:val="20"/>
        </w:rPr>
      </w:pPr>
      <w:r w:rsidRPr="000F2DB3">
        <w:rPr>
          <w:sz w:val="20"/>
          <w:szCs w:val="20"/>
        </w:rPr>
        <w:tab/>
      </w:r>
      <w:r w:rsidRPr="00C03412">
        <w:rPr>
          <w:sz w:val="20"/>
          <w:szCs w:val="20"/>
        </w:rPr>
        <w:t>Cancer Prevention and Control Initiative………………………………….(617) 624-5484</w:t>
      </w:r>
    </w:p>
    <w:p w:rsidR="004C1E6A" w:rsidRPr="00C03412" w:rsidRDefault="004C1E6A" w:rsidP="00D21DB7">
      <w:pPr>
        <w:ind w:left="-360" w:right="-540"/>
        <w:rPr>
          <w:sz w:val="20"/>
          <w:szCs w:val="20"/>
        </w:rPr>
      </w:pPr>
      <w:r w:rsidRPr="00C03412">
        <w:rPr>
          <w:sz w:val="20"/>
          <w:szCs w:val="20"/>
        </w:rPr>
        <w:tab/>
      </w:r>
      <w:smartTag w:uri="urn:schemas-microsoft-com:office:smarttags" w:element="State">
        <w:smartTag w:uri="urn:schemas-microsoft-com:office:smarttags" w:element="place">
          <w:r w:rsidRPr="00C03412">
            <w:rPr>
              <w:sz w:val="20"/>
              <w:szCs w:val="20"/>
            </w:rPr>
            <w:t>Massachusetts</w:t>
          </w:r>
        </w:smartTag>
      </w:smartTag>
      <w:r w:rsidRPr="00C03412">
        <w:rPr>
          <w:sz w:val="20"/>
          <w:szCs w:val="20"/>
        </w:rPr>
        <w:t xml:space="preserve"> Department of Public Health website……………………...www.mass.gov/dph</w:t>
      </w:r>
    </w:p>
    <w:p w:rsidR="004C1E6A" w:rsidRPr="00C03412" w:rsidRDefault="004C1E6A" w:rsidP="00D21DB7">
      <w:pPr>
        <w:ind w:left="-360" w:right="-540"/>
        <w:rPr>
          <w:sz w:val="20"/>
          <w:szCs w:val="20"/>
        </w:rPr>
      </w:pPr>
    </w:p>
    <w:p w:rsidR="004C1E6A" w:rsidRPr="000F2DB3" w:rsidRDefault="004C1E6A" w:rsidP="00D21DB7">
      <w:pPr>
        <w:ind w:left="-360"/>
        <w:rPr>
          <w:sz w:val="20"/>
          <w:szCs w:val="20"/>
        </w:rPr>
      </w:pPr>
      <w:r w:rsidRPr="00C03412">
        <w:rPr>
          <w:sz w:val="20"/>
          <w:szCs w:val="20"/>
        </w:rPr>
        <w:t xml:space="preserve">We acknowledge the Centers for Disease Control and Prevention for its support of the staff and the printing and distribution of this report under cooperative agreement </w:t>
      </w:r>
      <w:r>
        <w:rPr>
          <w:sz w:val="20"/>
          <w:szCs w:val="20"/>
        </w:rPr>
        <w:t>1</w:t>
      </w:r>
      <w:r w:rsidRPr="00C03412">
        <w:rPr>
          <w:sz w:val="20"/>
          <w:szCs w:val="20"/>
        </w:rPr>
        <w:t xml:space="preserve"> U58 DP00</w:t>
      </w:r>
      <w:r>
        <w:rPr>
          <w:sz w:val="20"/>
          <w:szCs w:val="20"/>
        </w:rPr>
        <w:t>3920</w:t>
      </w:r>
      <w:r w:rsidRPr="00C03412">
        <w:rPr>
          <w:sz w:val="20"/>
          <w:szCs w:val="20"/>
        </w:rPr>
        <w:t>-0</w:t>
      </w:r>
      <w:r>
        <w:rPr>
          <w:sz w:val="20"/>
          <w:szCs w:val="20"/>
        </w:rPr>
        <w:t>2</w:t>
      </w:r>
      <w:r w:rsidRPr="00C03412">
        <w:rPr>
          <w:sz w:val="20"/>
          <w:szCs w:val="20"/>
        </w:rPr>
        <w:t xml:space="preserve"> awarded</w:t>
      </w:r>
      <w:r w:rsidRPr="000F2DB3">
        <w:rPr>
          <w:sz w:val="20"/>
          <w:szCs w:val="20"/>
        </w:rPr>
        <w:t xml:space="preserve"> to the Massachusetts Cancer Registry at the Massachusetts Department of Public Health. Its contents are solely the responsibility of the authors and do not necessarily represent the official views of the Centers for Disease Control and Prevention.</w:t>
      </w:r>
    </w:p>
    <w:p w:rsidR="004C1E6A" w:rsidRDefault="004C1E6A" w:rsidP="007D2AF6">
      <w:pPr>
        <w:ind w:left="-360" w:right="-540"/>
        <w:jc w:val="center"/>
        <w:rPr>
          <w:sz w:val="28"/>
          <w:szCs w:val="28"/>
        </w:rPr>
        <w:sectPr w:rsidR="004C1E6A" w:rsidSect="009D5D20">
          <w:type w:val="continuous"/>
          <w:pgSz w:w="12240" w:h="15840"/>
          <w:pgMar w:top="1440" w:right="1440" w:bottom="1440" w:left="1260" w:header="720" w:footer="720" w:gutter="0"/>
          <w:cols w:space="720"/>
          <w:docGrid w:linePitch="360"/>
        </w:sectPr>
      </w:pPr>
    </w:p>
    <w:p w:rsidR="004C1E6A" w:rsidRPr="00A81A53" w:rsidRDefault="004C1E6A" w:rsidP="007D2AF6">
      <w:pPr>
        <w:jc w:val="center"/>
        <w:rPr>
          <w:color w:val="999999"/>
          <w:sz w:val="36"/>
          <w:szCs w:val="36"/>
        </w:rPr>
        <w:sectPr w:rsidR="004C1E6A" w:rsidRPr="00A81A53" w:rsidSect="009D5D20">
          <w:footnotePr>
            <w:numRestart w:val="eachPage"/>
          </w:footnotePr>
          <w:type w:val="continuous"/>
          <w:pgSz w:w="12240" w:h="15840" w:code="1"/>
          <w:pgMar w:top="1440" w:right="540" w:bottom="1440" w:left="1267" w:header="720" w:footer="720" w:gutter="0"/>
          <w:cols w:space="720"/>
          <w:docGrid w:linePitch="360"/>
        </w:sectPr>
      </w:pPr>
    </w:p>
    <w:p w:rsidR="004C1E6A" w:rsidRPr="009B03C4" w:rsidRDefault="004C1E6A" w:rsidP="007D2AF6">
      <w:pPr>
        <w:pStyle w:val="Heading4"/>
        <w:jc w:val="center"/>
        <w:rPr>
          <w:b w:val="0"/>
        </w:rPr>
      </w:pPr>
      <w:r w:rsidRPr="009B03C4">
        <w:rPr>
          <w:b w:val="0"/>
        </w:rPr>
        <w:lastRenderedPageBreak/>
        <w:t>TABLE OF CONTENTS</w:t>
      </w:r>
    </w:p>
    <w:p w:rsidR="004C1E6A" w:rsidRPr="00681BE4" w:rsidRDefault="004C1E6A" w:rsidP="007D2AF6">
      <w:pPr>
        <w:tabs>
          <w:tab w:val="left" w:pos="360"/>
          <w:tab w:val="left" w:pos="720"/>
          <w:tab w:val="left" w:pos="1080"/>
        </w:tabs>
        <w:jc w:val="center"/>
        <w:rPr>
          <w:u w:val="single"/>
        </w:rPr>
      </w:pPr>
      <w:r w:rsidRPr="00627808">
        <w:rPr>
          <w:b/>
        </w:rPr>
        <w:t xml:space="preserve">                                                                                                                               </w:t>
      </w:r>
      <w:r>
        <w:rPr>
          <w:b/>
        </w:rPr>
        <w:t xml:space="preserve">       </w:t>
      </w:r>
      <w:r w:rsidRPr="00681BE4">
        <w:rPr>
          <w:u w:val="single"/>
        </w:rPr>
        <w:t>Page</w:t>
      </w:r>
    </w:p>
    <w:p w:rsidR="004C1E6A" w:rsidRPr="004207C1" w:rsidRDefault="004C1E6A" w:rsidP="007D2AF6">
      <w:pPr>
        <w:tabs>
          <w:tab w:val="left" w:pos="360"/>
          <w:tab w:val="left" w:pos="720"/>
          <w:tab w:val="left" w:pos="1080"/>
        </w:tabs>
        <w:rPr>
          <w:sz w:val="22"/>
          <w:szCs w:val="22"/>
        </w:rPr>
      </w:pPr>
      <w:r>
        <w:rPr>
          <w:sz w:val="22"/>
          <w:szCs w:val="22"/>
        </w:rPr>
        <w:t xml:space="preserve">Executive </w:t>
      </w:r>
      <w:r w:rsidRPr="004207C1">
        <w:rPr>
          <w:sz w:val="22"/>
          <w:szCs w:val="22"/>
        </w:rPr>
        <w:t>Summary…………………………………………………………………………</w:t>
      </w:r>
      <w:r>
        <w:rPr>
          <w:sz w:val="22"/>
          <w:szCs w:val="22"/>
        </w:rPr>
        <w:t>………</w:t>
      </w:r>
      <w:r>
        <w:rPr>
          <w:sz w:val="22"/>
          <w:szCs w:val="22"/>
        </w:rPr>
        <w:tab/>
        <w:t>2</w:t>
      </w:r>
    </w:p>
    <w:p w:rsidR="004C1E6A" w:rsidRPr="00754D4B" w:rsidRDefault="004C1E6A" w:rsidP="007D2AF6">
      <w:pPr>
        <w:pStyle w:val="Heading4"/>
        <w:spacing w:line="360" w:lineRule="auto"/>
        <w:rPr>
          <w:b w:val="0"/>
          <w:sz w:val="22"/>
        </w:rPr>
      </w:pPr>
      <w:r w:rsidRPr="00754D4B">
        <w:rPr>
          <w:b w:val="0"/>
          <w:sz w:val="22"/>
        </w:rPr>
        <w:t>Methods………………………………………………………………………………...………</w:t>
      </w:r>
      <w:r>
        <w:rPr>
          <w:b w:val="0"/>
          <w:sz w:val="22"/>
        </w:rPr>
        <w:t>……</w:t>
      </w:r>
      <w:r w:rsidRPr="00754D4B">
        <w:rPr>
          <w:b w:val="0"/>
          <w:sz w:val="22"/>
        </w:rPr>
        <w:tab/>
      </w:r>
      <w:r>
        <w:rPr>
          <w:b w:val="0"/>
          <w:sz w:val="22"/>
        </w:rPr>
        <w:t>4</w:t>
      </w:r>
    </w:p>
    <w:p w:rsidR="004C1E6A" w:rsidRPr="00754D4B" w:rsidRDefault="004C1E6A" w:rsidP="00754D4B">
      <w:pPr>
        <w:rPr>
          <w:sz w:val="22"/>
          <w:szCs w:val="22"/>
        </w:rPr>
      </w:pPr>
      <w:r w:rsidRPr="00754D4B">
        <w:rPr>
          <w:sz w:val="22"/>
          <w:szCs w:val="22"/>
        </w:rPr>
        <w:t>Childhood and Adolescent Cancer Incidence and Mortality</w:t>
      </w:r>
      <w:r>
        <w:rPr>
          <w:sz w:val="22"/>
          <w:szCs w:val="22"/>
        </w:rPr>
        <w:t>………………………………………..</w:t>
      </w:r>
      <w:r>
        <w:rPr>
          <w:sz w:val="22"/>
          <w:szCs w:val="22"/>
        </w:rPr>
        <w:tab/>
        <w:t>8</w:t>
      </w:r>
    </w:p>
    <w:p w:rsidR="004C1E6A" w:rsidRDefault="004C1E6A" w:rsidP="00687A38">
      <w:pPr>
        <w:pStyle w:val="Header"/>
        <w:tabs>
          <w:tab w:val="clear" w:pos="4320"/>
          <w:tab w:val="clear" w:pos="8640"/>
        </w:tabs>
        <w:ind w:left="720"/>
        <w:rPr>
          <w:sz w:val="22"/>
          <w:szCs w:val="22"/>
        </w:rPr>
      </w:pPr>
      <w:r>
        <w:rPr>
          <w:sz w:val="22"/>
          <w:szCs w:val="22"/>
        </w:rPr>
        <w:t>Incidence by Year of Diagnosis and Sex…………………………………………………...</w:t>
      </w:r>
      <w:r>
        <w:rPr>
          <w:sz w:val="22"/>
          <w:szCs w:val="22"/>
        </w:rPr>
        <w:tab/>
        <w:t>8</w:t>
      </w:r>
    </w:p>
    <w:p w:rsidR="004C1E6A" w:rsidRDefault="004C1E6A" w:rsidP="004E16D6">
      <w:pPr>
        <w:pStyle w:val="Header"/>
        <w:tabs>
          <w:tab w:val="clear" w:pos="4320"/>
          <w:tab w:val="clear" w:pos="8640"/>
        </w:tabs>
        <w:ind w:left="720"/>
        <w:rPr>
          <w:sz w:val="22"/>
          <w:szCs w:val="22"/>
        </w:rPr>
      </w:pPr>
      <w:r>
        <w:rPr>
          <w:sz w:val="22"/>
          <w:szCs w:val="22"/>
        </w:rPr>
        <w:t>Mortality by Year of Death…………………………………………………………………</w:t>
      </w:r>
      <w:r>
        <w:rPr>
          <w:sz w:val="22"/>
          <w:szCs w:val="22"/>
        </w:rPr>
        <w:tab/>
        <w:t>10</w:t>
      </w:r>
    </w:p>
    <w:p w:rsidR="004C1E6A" w:rsidRPr="00687A38" w:rsidRDefault="004C1E6A" w:rsidP="004E16D6">
      <w:pPr>
        <w:pStyle w:val="Header"/>
        <w:tabs>
          <w:tab w:val="clear" w:pos="4320"/>
          <w:tab w:val="clear" w:pos="8640"/>
        </w:tabs>
        <w:ind w:left="720"/>
        <w:rPr>
          <w:sz w:val="22"/>
          <w:szCs w:val="22"/>
        </w:rPr>
      </w:pPr>
    </w:p>
    <w:p w:rsidR="004C1E6A" w:rsidRDefault="004C1E6A" w:rsidP="00754D4B">
      <w:pPr>
        <w:rPr>
          <w:sz w:val="22"/>
        </w:rPr>
      </w:pPr>
      <w:r>
        <w:rPr>
          <w:sz w:val="22"/>
        </w:rPr>
        <w:t>Childhood and Adolescent Cancer Incidence by Age Group</w:t>
      </w:r>
      <w:r w:rsidRPr="004207C1">
        <w:rPr>
          <w:sz w:val="22"/>
        </w:rPr>
        <w:t>………………………………</w:t>
      </w:r>
      <w:r>
        <w:rPr>
          <w:sz w:val="22"/>
        </w:rPr>
        <w:t>………</w:t>
      </w:r>
      <w:r>
        <w:rPr>
          <w:sz w:val="22"/>
        </w:rPr>
        <w:tab/>
        <w:t>11</w:t>
      </w:r>
    </w:p>
    <w:p w:rsidR="004C1E6A" w:rsidRDefault="004C1E6A" w:rsidP="00754D4B">
      <w:pPr>
        <w:rPr>
          <w:sz w:val="22"/>
        </w:rPr>
      </w:pPr>
    </w:p>
    <w:p w:rsidR="004C1E6A" w:rsidRDefault="004C1E6A" w:rsidP="00754D4B">
      <w:pPr>
        <w:rPr>
          <w:sz w:val="22"/>
        </w:rPr>
      </w:pPr>
      <w:r>
        <w:rPr>
          <w:sz w:val="22"/>
        </w:rPr>
        <w:t>Childhood and Adolescent Cancer Incidence by Race……………………………………………...</w:t>
      </w:r>
      <w:r>
        <w:rPr>
          <w:sz w:val="22"/>
        </w:rPr>
        <w:tab/>
        <w:t>13</w:t>
      </w:r>
    </w:p>
    <w:p w:rsidR="004C1E6A" w:rsidRDefault="004C1E6A" w:rsidP="00754D4B">
      <w:pPr>
        <w:rPr>
          <w:sz w:val="22"/>
        </w:rPr>
      </w:pPr>
    </w:p>
    <w:p w:rsidR="004C1E6A" w:rsidRPr="004207C1" w:rsidRDefault="004C1E6A" w:rsidP="00754D4B">
      <w:pPr>
        <w:rPr>
          <w:sz w:val="22"/>
        </w:rPr>
      </w:pPr>
      <w:r>
        <w:rPr>
          <w:sz w:val="22"/>
        </w:rPr>
        <w:t>Specific Types of Childhood and Adolescent Cancers……………………………………………..</w:t>
      </w:r>
      <w:r>
        <w:rPr>
          <w:sz w:val="22"/>
        </w:rPr>
        <w:tab/>
        <w:t>17</w:t>
      </w:r>
    </w:p>
    <w:p w:rsidR="004C1E6A" w:rsidRPr="00625CB5" w:rsidRDefault="004C1E6A" w:rsidP="00687A38">
      <w:pPr>
        <w:tabs>
          <w:tab w:val="left" w:pos="360"/>
          <w:tab w:val="left" w:pos="720"/>
          <w:tab w:val="left" w:pos="1080"/>
        </w:tabs>
        <w:ind w:left="720"/>
        <w:rPr>
          <w:sz w:val="22"/>
          <w:szCs w:val="22"/>
        </w:rPr>
      </w:pPr>
      <w:r>
        <w:rPr>
          <w:sz w:val="22"/>
        </w:rPr>
        <w:t>Leukemia</w:t>
      </w:r>
      <w:r w:rsidRPr="00625CB5">
        <w:rPr>
          <w:sz w:val="22"/>
          <w:szCs w:val="22"/>
        </w:rPr>
        <w:t>………………………………………………………</w:t>
      </w:r>
      <w:r w:rsidR="006F3987">
        <w:rPr>
          <w:sz w:val="22"/>
          <w:szCs w:val="22"/>
        </w:rPr>
        <w:t>…………………………...</w:t>
      </w:r>
      <w:r>
        <w:rPr>
          <w:sz w:val="22"/>
          <w:szCs w:val="22"/>
        </w:rPr>
        <w:t>17</w:t>
      </w:r>
    </w:p>
    <w:p w:rsidR="004C1E6A" w:rsidRPr="00625CB5" w:rsidRDefault="004C1E6A" w:rsidP="00687A38">
      <w:pPr>
        <w:tabs>
          <w:tab w:val="left" w:pos="360"/>
          <w:tab w:val="left" w:pos="720"/>
          <w:tab w:val="left" w:pos="960"/>
        </w:tabs>
        <w:rPr>
          <w:sz w:val="22"/>
          <w:szCs w:val="22"/>
        </w:rPr>
      </w:pPr>
      <w:r>
        <w:rPr>
          <w:sz w:val="22"/>
          <w:szCs w:val="22"/>
        </w:rPr>
        <w:tab/>
      </w:r>
      <w:r>
        <w:rPr>
          <w:sz w:val="22"/>
          <w:szCs w:val="22"/>
        </w:rPr>
        <w:tab/>
        <w:t>Lymphoma</w:t>
      </w:r>
      <w:r w:rsidRPr="00625CB5">
        <w:rPr>
          <w:sz w:val="22"/>
          <w:szCs w:val="22"/>
        </w:rPr>
        <w:t xml:space="preserve">……………………………………………… </w:t>
      </w:r>
      <w:r>
        <w:rPr>
          <w:sz w:val="22"/>
          <w:szCs w:val="22"/>
        </w:rPr>
        <w:t>……….......................................</w:t>
      </w:r>
      <w:r>
        <w:rPr>
          <w:sz w:val="22"/>
          <w:szCs w:val="22"/>
        </w:rPr>
        <w:tab/>
        <w:t>2</w:t>
      </w:r>
      <w:r w:rsidR="006F3987">
        <w:rPr>
          <w:sz w:val="22"/>
          <w:szCs w:val="22"/>
        </w:rPr>
        <w:t>2</w:t>
      </w:r>
    </w:p>
    <w:p w:rsidR="004C1E6A" w:rsidRPr="00625CB5" w:rsidRDefault="004C1E6A" w:rsidP="00687A38">
      <w:pPr>
        <w:tabs>
          <w:tab w:val="left" w:pos="360"/>
          <w:tab w:val="left" w:pos="720"/>
          <w:tab w:val="left" w:pos="960"/>
        </w:tabs>
        <w:ind w:left="720"/>
        <w:rPr>
          <w:sz w:val="22"/>
          <w:szCs w:val="22"/>
        </w:rPr>
      </w:pPr>
      <w:r>
        <w:rPr>
          <w:sz w:val="22"/>
          <w:szCs w:val="22"/>
        </w:rPr>
        <w:t>Central Nervous System</w:t>
      </w:r>
      <w:r w:rsidRPr="00625CB5">
        <w:rPr>
          <w:sz w:val="22"/>
          <w:szCs w:val="22"/>
        </w:rPr>
        <w:t>…………………………………………………………</w:t>
      </w:r>
      <w:r>
        <w:rPr>
          <w:sz w:val="22"/>
          <w:szCs w:val="22"/>
        </w:rPr>
        <w:t xml:space="preserve">………... </w:t>
      </w:r>
      <w:r>
        <w:rPr>
          <w:sz w:val="22"/>
          <w:szCs w:val="22"/>
        </w:rPr>
        <w:tab/>
        <w:t>2</w:t>
      </w:r>
      <w:r w:rsidR="006F3987">
        <w:rPr>
          <w:sz w:val="22"/>
          <w:szCs w:val="22"/>
        </w:rPr>
        <w:t>5</w:t>
      </w:r>
    </w:p>
    <w:p w:rsidR="004C1E6A" w:rsidRPr="00625CB5" w:rsidRDefault="004C1E6A" w:rsidP="00687A38">
      <w:pPr>
        <w:tabs>
          <w:tab w:val="left" w:pos="360"/>
          <w:tab w:val="left" w:pos="720"/>
          <w:tab w:val="left" w:pos="1080"/>
        </w:tabs>
        <w:ind w:left="720"/>
        <w:rPr>
          <w:sz w:val="22"/>
          <w:szCs w:val="22"/>
        </w:rPr>
      </w:pPr>
      <w:r>
        <w:rPr>
          <w:sz w:val="22"/>
          <w:szCs w:val="22"/>
        </w:rPr>
        <w:t>Tumors of the Peripheral Nervous System</w:t>
      </w:r>
      <w:r w:rsidRPr="00625CB5">
        <w:rPr>
          <w:sz w:val="22"/>
          <w:szCs w:val="22"/>
        </w:rPr>
        <w:t>……………………………………</w:t>
      </w:r>
      <w:r>
        <w:rPr>
          <w:sz w:val="22"/>
          <w:szCs w:val="22"/>
        </w:rPr>
        <w:t xml:space="preserve">…………... </w:t>
      </w:r>
      <w:r>
        <w:rPr>
          <w:sz w:val="22"/>
          <w:szCs w:val="22"/>
        </w:rPr>
        <w:tab/>
      </w:r>
      <w:r w:rsidR="006F3987">
        <w:rPr>
          <w:sz w:val="22"/>
          <w:szCs w:val="22"/>
        </w:rPr>
        <w:t>29</w:t>
      </w:r>
    </w:p>
    <w:p w:rsidR="004C1E6A" w:rsidRPr="00625CB5" w:rsidRDefault="004C1E6A" w:rsidP="00687A38">
      <w:pPr>
        <w:tabs>
          <w:tab w:val="left" w:pos="360"/>
          <w:tab w:val="left" w:pos="720"/>
          <w:tab w:val="left" w:pos="1080"/>
        </w:tabs>
        <w:ind w:left="720"/>
        <w:rPr>
          <w:sz w:val="22"/>
          <w:szCs w:val="22"/>
        </w:rPr>
      </w:pPr>
      <w:r>
        <w:rPr>
          <w:sz w:val="22"/>
          <w:szCs w:val="22"/>
        </w:rPr>
        <w:t>Malignant Epithelial Neoplasms</w:t>
      </w:r>
      <w:r w:rsidRPr="00625CB5">
        <w:rPr>
          <w:sz w:val="22"/>
          <w:szCs w:val="22"/>
        </w:rPr>
        <w:t>……………………………………………</w:t>
      </w:r>
      <w:r>
        <w:rPr>
          <w:sz w:val="22"/>
          <w:szCs w:val="22"/>
        </w:rPr>
        <w:t xml:space="preserve">…………….. </w:t>
      </w:r>
      <w:r>
        <w:rPr>
          <w:sz w:val="22"/>
          <w:szCs w:val="22"/>
        </w:rPr>
        <w:tab/>
        <w:t>3</w:t>
      </w:r>
      <w:r w:rsidR="006F3987">
        <w:rPr>
          <w:sz w:val="22"/>
          <w:szCs w:val="22"/>
        </w:rPr>
        <w:t>0</w:t>
      </w:r>
    </w:p>
    <w:p w:rsidR="004C1E6A" w:rsidRPr="00625CB5" w:rsidRDefault="004C1E6A" w:rsidP="00687A38">
      <w:pPr>
        <w:tabs>
          <w:tab w:val="left" w:pos="360"/>
          <w:tab w:val="left" w:pos="720"/>
          <w:tab w:val="left" w:pos="1080"/>
        </w:tabs>
        <w:rPr>
          <w:sz w:val="22"/>
          <w:szCs w:val="22"/>
        </w:rPr>
      </w:pPr>
      <w:r>
        <w:rPr>
          <w:sz w:val="22"/>
          <w:szCs w:val="22"/>
        </w:rPr>
        <w:tab/>
      </w:r>
      <w:r>
        <w:rPr>
          <w:sz w:val="22"/>
          <w:szCs w:val="22"/>
        </w:rPr>
        <w:tab/>
        <w:t>Soft Tissue Sarcomas</w:t>
      </w:r>
      <w:r w:rsidRPr="00625CB5">
        <w:rPr>
          <w:sz w:val="22"/>
          <w:szCs w:val="22"/>
        </w:rPr>
        <w:t>……………………………………………</w:t>
      </w:r>
      <w:r>
        <w:rPr>
          <w:sz w:val="22"/>
          <w:szCs w:val="22"/>
        </w:rPr>
        <w:t>……….. ………………</w:t>
      </w:r>
      <w:r>
        <w:rPr>
          <w:sz w:val="22"/>
          <w:szCs w:val="22"/>
        </w:rPr>
        <w:tab/>
        <w:t>3</w:t>
      </w:r>
      <w:r w:rsidR="006F3987">
        <w:rPr>
          <w:sz w:val="22"/>
          <w:szCs w:val="22"/>
        </w:rPr>
        <w:t>3</w:t>
      </w:r>
    </w:p>
    <w:p w:rsidR="004C1E6A" w:rsidRPr="00625CB5" w:rsidRDefault="004C1E6A" w:rsidP="00687A38">
      <w:pPr>
        <w:tabs>
          <w:tab w:val="left" w:pos="360"/>
          <w:tab w:val="left" w:pos="720"/>
          <w:tab w:val="left" w:pos="1080"/>
        </w:tabs>
        <w:rPr>
          <w:sz w:val="22"/>
          <w:szCs w:val="22"/>
        </w:rPr>
      </w:pPr>
      <w:r>
        <w:rPr>
          <w:sz w:val="22"/>
          <w:szCs w:val="22"/>
        </w:rPr>
        <w:tab/>
      </w:r>
      <w:r>
        <w:rPr>
          <w:sz w:val="22"/>
          <w:szCs w:val="22"/>
        </w:rPr>
        <w:tab/>
        <w:t>Germ Cell Tumors</w:t>
      </w:r>
      <w:r w:rsidRPr="00625CB5">
        <w:rPr>
          <w:sz w:val="22"/>
          <w:szCs w:val="22"/>
        </w:rPr>
        <w:t>……………………………………………</w:t>
      </w:r>
      <w:r>
        <w:rPr>
          <w:sz w:val="22"/>
          <w:szCs w:val="22"/>
        </w:rPr>
        <w:t xml:space="preserve">…………………………… </w:t>
      </w:r>
      <w:r>
        <w:rPr>
          <w:sz w:val="22"/>
          <w:szCs w:val="22"/>
        </w:rPr>
        <w:tab/>
        <w:t>3</w:t>
      </w:r>
      <w:r w:rsidR="006F3987">
        <w:rPr>
          <w:sz w:val="22"/>
          <w:szCs w:val="22"/>
        </w:rPr>
        <w:t>5</w:t>
      </w:r>
    </w:p>
    <w:p w:rsidR="004C1E6A" w:rsidRPr="00625CB5" w:rsidRDefault="004C1E6A" w:rsidP="00687A38">
      <w:pPr>
        <w:tabs>
          <w:tab w:val="left" w:pos="360"/>
          <w:tab w:val="left" w:pos="720"/>
          <w:tab w:val="left" w:pos="1080"/>
        </w:tabs>
        <w:rPr>
          <w:sz w:val="22"/>
          <w:szCs w:val="22"/>
        </w:rPr>
      </w:pPr>
      <w:r>
        <w:rPr>
          <w:sz w:val="22"/>
          <w:szCs w:val="22"/>
        </w:rPr>
        <w:tab/>
      </w:r>
      <w:r>
        <w:rPr>
          <w:sz w:val="22"/>
          <w:szCs w:val="22"/>
        </w:rPr>
        <w:tab/>
        <w:t>Malignant Bone Tumors</w:t>
      </w:r>
      <w:r w:rsidRPr="00625CB5">
        <w:rPr>
          <w:sz w:val="22"/>
          <w:szCs w:val="22"/>
        </w:rPr>
        <w:t>……………………………………………</w:t>
      </w:r>
      <w:r>
        <w:rPr>
          <w:sz w:val="22"/>
          <w:szCs w:val="22"/>
        </w:rPr>
        <w:t xml:space="preserve">……………………... </w:t>
      </w:r>
      <w:r>
        <w:rPr>
          <w:sz w:val="22"/>
          <w:szCs w:val="22"/>
        </w:rPr>
        <w:tab/>
        <w:t>3</w:t>
      </w:r>
      <w:r w:rsidR="006F3987">
        <w:rPr>
          <w:sz w:val="22"/>
          <w:szCs w:val="22"/>
        </w:rPr>
        <w:t>7</w:t>
      </w:r>
    </w:p>
    <w:p w:rsidR="004C1E6A" w:rsidRPr="00625CB5" w:rsidRDefault="004C1E6A" w:rsidP="00687A38">
      <w:pPr>
        <w:tabs>
          <w:tab w:val="left" w:pos="360"/>
          <w:tab w:val="left" w:pos="720"/>
          <w:tab w:val="left" w:pos="1080"/>
        </w:tabs>
        <w:rPr>
          <w:sz w:val="22"/>
          <w:szCs w:val="22"/>
        </w:rPr>
      </w:pPr>
      <w:r>
        <w:rPr>
          <w:sz w:val="22"/>
          <w:szCs w:val="22"/>
        </w:rPr>
        <w:tab/>
      </w:r>
      <w:r>
        <w:rPr>
          <w:sz w:val="22"/>
          <w:szCs w:val="22"/>
        </w:rPr>
        <w:tab/>
        <w:t>Renal Tumors</w:t>
      </w:r>
      <w:r w:rsidRPr="00625CB5">
        <w:rPr>
          <w:sz w:val="22"/>
          <w:szCs w:val="22"/>
        </w:rPr>
        <w:t>……………………………………………</w:t>
      </w:r>
      <w:r w:rsidR="006F3987">
        <w:rPr>
          <w:sz w:val="22"/>
          <w:szCs w:val="22"/>
        </w:rPr>
        <w:t>…………………………………39</w:t>
      </w:r>
    </w:p>
    <w:p w:rsidR="004C1E6A" w:rsidRPr="00625CB5" w:rsidRDefault="004C1E6A" w:rsidP="00687A38">
      <w:pPr>
        <w:tabs>
          <w:tab w:val="left" w:pos="360"/>
          <w:tab w:val="left" w:pos="720"/>
          <w:tab w:val="left" w:pos="1080"/>
        </w:tabs>
        <w:rPr>
          <w:sz w:val="22"/>
          <w:szCs w:val="22"/>
        </w:rPr>
      </w:pPr>
      <w:r>
        <w:rPr>
          <w:sz w:val="22"/>
          <w:szCs w:val="22"/>
        </w:rPr>
        <w:tab/>
      </w:r>
      <w:r>
        <w:rPr>
          <w:sz w:val="22"/>
          <w:szCs w:val="22"/>
        </w:rPr>
        <w:tab/>
        <w:t>Retinoblastoma</w:t>
      </w:r>
      <w:r w:rsidRPr="00625CB5">
        <w:rPr>
          <w:sz w:val="22"/>
          <w:szCs w:val="22"/>
        </w:rPr>
        <w:t>……………………………………………</w:t>
      </w:r>
      <w:r>
        <w:rPr>
          <w:sz w:val="22"/>
          <w:szCs w:val="22"/>
        </w:rPr>
        <w:t xml:space="preserve">………………………………. </w:t>
      </w:r>
      <w:r>
        <w:rPr>
          <w:sz w:val="22"/>
          <w:szCs w:val="22"/>
        </w:rPr>
        <w:tab/>
        <w:t>4</w:t>
      </w:r>
      <w:r w:rsidR="006F3987">
        <w:rPr>
          <w:sz w:val="22"/>
          <w:szCs w:val="22"/>
        </w:rPr>
        <w:t>0</w:t>
      </w:r>
    </w:p>
    <w:p w:rsidR="004C1E6A" w:rsidRPr="00625CB5" w:rsidRDefault="004C1E6A" w:rsidP="00687A38">
      <w:pPr>
        <w:tabs>
          <w:tab w:val="left" w:pos="360"/>
          <w:tab w:val="left" w:pos="720"/>
          <w:tab w:val="left" w:pos="1080"/>
        </w:tabs>
        <w:rPr>
          <w:sz w:val="22"/>
          <w:szCs w:val="22"/>
        </w:rPr>
      </w:pPr>
      <w:r>
        <w:rPr>
          <w:sz w:val="22"/>
          <w:szCs w:val="22"/>
        </w:rPr>
        <w:tab/>
      </w:r>
      <w:r>
        <w:rPr>
          <w:sz w:val="22"/>
          <w:szCs w:val="22"/>
        </w:rPr>
        <w:tab/>
        <w:t>Hepatic (Liver) Tumors</w:t>
      </w:r>
      <w:r w:rsidRPr="00625CB5">
        <w:rPr>
          <w:sz w:val="22"/>
          <w:szCs w:val="22"/>
        </w:rPr>
        <w:t>……………………………………………</w:t>
      </w:r>
      <w:r>
        <w:rPr>
          <w:sz w:val="22"/>
          <w:szCs w:val="22"/>
        </w:rPr>
        <w:t xml:space="preserve">……………………… </w:t>
      </w:r>
      <w:r>
        <w:rPr>
          <w:sz w:val="22"/>
          <w:szCs w:val="22"/>
        </w:rPr>
        <w:tab/>
        <w:t>4</w:t>
      </w:r>
      <w:r w:rsidR="006F3987">
        <w:rPr>
          <w:sz w:val="22"/>
          <w:szCs w:val="22"/>
        </w:rPr>
        <w:t>0</w:t>
      </w:r>
    </w:p>
    <w:p w:rsidR="004C1E6A" w:rsidRPr="00987C2D" w:rsidRDefault="004C1E6A" w:rsidP="00987C2D">
      <w:pPr>
        <w:pStyle w:val="Footer"/>
        <w:tabs>
          <w:tab w:val="clear" w:pos="4320"/>
          <w:tab w:val="clear" w:pos="8640"/>
          <w:tab w:val="left" w:pos="360"/>
          <w:tab w:val="left" w:pos="720"/>
          <w:tab w:val="left" w:pos="1080"/>
        </w:tabs>
        <w:rPr>
          <w:rFonts w:ascii="Times New Roman" w:hAnsi="Times New Roman"/>
          <w:szCs w:val="22"/>
        </w:rPr>
      </w:pPr>
    </w:p>
    <w:p w:rsidR="004C1E6A" w:rsidRDefault="004C1E6A" w:rsidP="007D2AF6">
      <w:pPr>
        <w:tabs>
          <w:tab w:val="left" w:pos="360"/>
          <w:tab w:val="left" w:pos="720"/>
          <w:tab w:val="left" w:pos="1080"/>
        </w:tabs>
        <w:rPr>
          <w:sz w:val="22"/>
          <w:szCs w:val="22"/>
        </w:rPr>
      </w:pPr>
      <w:r>
        <w:rPr>
          <w:sz w:val="22"/>
          <w:szCs w:val="22"/>
        </w:rPr>
        <w:t>Discussion…………………………………………………………………………………………..</w:t>
      </w:r>
      <w:r>
        <w:rPr>
          <w:sz w:val="22"/>
          <w:szCs w:val="22"/>
        </w:rPr>
        <w:tab/>
        <w:t>4</w:t>
      </w:r>
      <w:r w:rsidR="006F3987">
        <w:rPr>
          <w:sz w:val="22"/>
          <w:szCs w:val="22"/>
        </w:rPr>
        <w:t>1</w:t>
      </w:r>
    </w:p>
    <w:p w:rsidR="004C1E6A" w:rsidRDefault="004C1E6A" w:rsidP="007D2AF6">
      <w:pPr>
        <w:tabs>
          <w:tab w:val="left" w:pos="360"/>
          <w:tab w:val="left" w:pos="720"/>
          <w:tab w:val="left" w:pos="1080"/>
        </w:tabs>
        <w:rPr>
          <w:sz w:val="22"/>
          <w:szCs w:val="22"/>
        </w:rPr>
      </w:pPr>
    </w:p>
    <w:p w:rsidR="004C1E6A" w:rsidRDefault="004C1E6A" w:rsidP="007D2AF6">
      <w:pPr>
        <w:tabs>
          <w:tab w:val="left" w:pos="360"/>
          <w:tab w:val="left" w:pos="720"/>
          <w:tab w:val="left" w:pos="1080"/>
        </w:tabs>
        <w:spacing w:line="360" w:lineRule="auto"/>
        <w:rPr>
          <w:sz w:val="22"/>
          <w:szCs w:val="22"/>
        </w:rPr>
      </w:pPr>
      <w:r>
        <w:rPr>
          <w:sz w:val="22"/>
          <w:szCs w:val="22"/>
        </w:rPr>
        <w:t>Appendices………………………………………………………………………………………….</w:t>
      </w:r>
      <w:r>
        <w:rPr>
          <w:sz w:val="22"/>
          <w:szCs w:val="22"/>
        </w:rPr>
        <w:tab/>
        <w:t>4</w:t>
      </w:r>
      <w:r w:rsidR="006F3987">
        <w:rPr>
          <w:sz w:val="22"/>
          <w:szCs w:val="22"/>
        </w:rPr>
        <w:t>3</w:t>
      </w:r>
    </w:p>
    <w:p w:rsidR="004C1E6A" w:rsidRDefault="004C1E6A" w:rsidP="00987C2D">
      <w:pPr>
        <w:tabs>
          <w:tab w:val="left" w:pos="360"/>
          <w:tab w:val="left" w:pos="720"/>
          <w:tab w:val="left" w:pos="1080"/>
        </w:tabs>
        <w:rPr>
          <w:sz w:val="22"/>
          <w:szCs w:val="22"/>
        </w:rPr>
      </w:pPr>
      <w:r>
        <w:rPr>
          <w:sz w:val="22"/>
          <w:szCs w:val="22"/>
        </w:rPr>
        <w:tab/>
      </w:r>
      <w:r>
        <w:rPr>
          <w:sz w:val="22"/>
          <w:szCs w:val="22"/>
        </w:rPr>
        <w:tab/>
        <w:t>Appendix I. International Classification of Childhood Cancer, 3</w:t>
      </w:r>
      <w:r w:rsidRPr="00142D46">
        <w:rPr>
          <w:sz w:val="22"/>
          <w:szCs w:val="22"/>
          <w:vertAlign w:val="superscript"/>
        </w:rPr>
        <w:t>rd</w:t>
      </w:r>
      <w:r>
        <w:rPr>
          <w:sz w:val="22"/>
          <w:szCs w:val="22"/>
        </w:rPr>
        <w:t xml:space="preserve"> Edition (ICC-3)………</w:t>
      </w:r>
      <w:r>
        <w:rPr>
          <w:sz w:val="22"/>
          <w:szCs w:val="22"/>
        </w:rPr>
        <w:tab/>
        <w:t>4</w:t>
      </w:r>
      <w:r w:rsidR="006F3987">
        <w:rPr>
          <w:sz w:val="22"/>
          <w:szCs w:val="22"/>
        </w:rPr>
        <w:t>3</w:t>
      </w:r>
    </w:p>
    <w:p w:rsidR="004C1E6A" w:rsidRPr="00142D46" w:rsidRDefault="004C1E6A" w:rsidP="00987C2D">
      <w:pPr>
        <w:pStyle w:val="Footer"/>
        <w:tabs>
          <w:tab w:val="clear" w:pos="4320"/>
          <w:tab w:val="clear" w:pos="8640"/>
        </w:tabs>
        <w:rPr>
          <w:rFonts w:ascii="Times New Roman" w:hAnsi="Times New Roman"/>
        </w:rPr>
      </w:pPr>
      <w:r>
        <w:rPr>
          <w:szCs w:val="22"/>
        </w:rPr>
        <w:t xml:space="preserve">     </w:t>
      </w:r>
      <w:r>
        <w:rPr>
          <w:szCs w:val="22"/>
        </w:rPr>
        <w:tab/>
      </w:r>
      <w:r w:rsidRPr="00142D46">
        <w:rPr>
          <w:rFonts w:ascii="Times New Roman" w:hAnsi="Times New Roman"/>
          <w:szCs w:val="22"/>
        </w:rPr>
        <w:t xml:space="preserve">Appendix II. ICD-9 </w:t>
      </w:r>
      <w:r w:rsidRPr="00142D46">
        <w:rPr>
          <w:rStyle w:val="FootnoteReference"/>
          <w:rFonts w:ascii="Times New Roman" w:hAnsi="Times New Roman"/>
          <w:szCs w:val="22"/>
        </w:rPr>
        <w:footnoteReference w:customMarkFollows="1" w:id="1"/>
        <w:t>*</w:t>
      </w:r>
      <w:r w:rsidRPr="00142D46">
        <w:rPr>
          <w:rFonts w:ascii="Times New Roman" w:hAnsi="Times New Roman"/>
          <w:szCs w:val="22"/>
        </w:rPr>
        <w:t xml:space="preserve"> and ICD-10* Codes</w:t>
      </w:r>
      <w:r w:rsidRPr="00142D46">
        <w:rPr>
          <w:rFonts w:ascii="Times New Roman" w:hAnsi="Times New Roman"/>
        </w:rPr>
        <w:t>………………………………………………...</w:t>
      </w:r>
      <w:r w:rsidRPr="00142D46">
        <w:rPr>
          <w:rFonts w:ascii="Times New Roman" w:hAnsi="Times New Roman"/>
        </w:rPr>
        <w:tab/>
      </w:r>
      <w:r>
        <w:rPr>
          <w:rFonts w:ascii="Times New Roman" w:hAnsi="Times New Roman"/>
        </w:rPr>
        <w:t>4</w:t>
      </w:r>
      <w:r w:rsidR="006F3987">
        <w:rPr>
          <w:rFonts w:ascii="Times New Roman" w:hAnsi="Times New Roman"/>
        </w:rPr>
        <w:t>8</w:t>
      </w:r>
    </w:p>
    <w:p w:rsidR="004C1E6A" w:rsidRDefault="004C1E6A" w:rsidP="00987C2D">
      <w:pPr>
        <w:tabs>
          <w:tab w:val="left" w:pos="360"/>
          <w:tab w:val="left" w:pos="720"/>
          <w:tab w:val="left" w:pos="1080"/>
        </w:tabs>
        <w:rPr>
          <w:sz w:val="22"/>
          <w:szCs w:val="22"/>
        </w:rPr>
      </w:pPr>
      <w:r>
        <w:rPr>
          <w:sz w:val="22"/>
          <w:szCs w:val="22"/>
        </w:rPr>
        <w:tab/>
      </w:r>
      <w:r>
        <w:rPr>
          <w:sz w:val="22"/>
          <w:szCs w:val="22"/>
        </w:rPr>
        <w:tab/>
      </w:r>
      <w:r w:rsidRPr="00142D46">
        <w:rPr>
          <w:sz w:val="22"/>
          <w:szCs w:val="22"/>
        </w:rPr>
        <w:t xml:space="preserve">Appendix III. </w:t>
      </w:r>
      <w:smartTag w:uri="urn:schemas-microsoft-com:office:smarttags" w:element="State">
        <w:smartTag w:uri="urn:schemas-microsoft-com:office:smarttags" w:element="place">
          <w:r w:rsidRPr="00142D46">
            <w:rPr>
              <w:sz w:val="22"/>
              <w:szCs w:val="22"/>
            </w:rPr>
            <w:t>Massachusetts</w:t>
          </w:r>
        </w:smartTag>
      </w:smartTag>
      <w:r w:rsidRPr="00142D46">
        <w:rPr>
          <w:sz w:val="22"/>
          <w:szCs w:val="22"/>
        </w:rPr>
        <w:t xml:space="preserve"> Childhood and Adolescent Cancer Counts, 2000-2009</w:t>
      </w:r>
      <w:r>
        <w:rPr>
          <w:sz w:val="22"/>
          <w:szCs w:val="22"/>
        </w:rPr>
        <w:t>…….</w:t>
      </w:r>
      <w:r>
        <w:rPr>
          <w:sz w:val="22"/>
          <w:szCs w:val="22"/>
        </w:rPr>
        <w:tab/>
      </w:r>
      <w:r w:rsidR="006F3987">
        <w:rPr>
          <w:sz w:val="22"/>
          <w:szCs w:val="22"/>
        </w:rPr>
        <w:t>49</w:t>
      </w:r>
    </w:p>
    <w:p w:rsidR="004C1E6A" w:rsidRDefault="004C1E6A" w:rsidP="007D2AF6">
      <w:pPr>
        <w:tabs>
          <w:tab w:val="left" w:pos="360"/>
          <w:tab w:val="left" w:pos="720"/>
          <w:tab w:val="left" w:pos="1080"/>
        </w:tabs>
        <w:spacing w:line="360" w:lineRule="auto"/>
        <w:rPr>
          <w:sz w:val="22"/>
          <w:szCs w:val="22"/>
        </w:rPr>
      </w:pPr>
    </w:p>
    <w:p w:rsidR="004C1E6A" w:rsidRDefault="004C1E6A" w:rsidP="007D2AF6">
      <w:pPr>
        <w:tabs>
          <w:tab w:val="left" w:pos="360"/>
          <w:tab w:val="left" w:pos="720"/>
          <w:tab w:val="left" w:pos="1080"/>
        </w:tabs>
        <w:spacing w:line="360" w:lineRule="auto"/>
        <w:rPr>
          <w:sz w:val="22"/>
          <w:szCs w:val="22"/>
        </w:rPr>
      </w:pPr>
      <w:r>
        <w:rPr>
          <w:sz w:val="22"/>
          <w:szCs w:val="22"/>
        </w:rPr>
        <w:t>References …………………………………………………………………………………………..</w:t>
      </w:r>
      <w:r>
        <w:rPr>
          <w:sz w:val="22"/>
          <w:szCs w:val="22"/>
        </w:rPr>
        <w:tab/>
        <w:t>5</w:t>
      </w:r>
      <w:r w:rsidR="006F3987">
        <w:rPr>
          <w:sz w:val="22"/>
          <w:szCs w:val="22"/>
        </w:rPr>
        <w:t>3</w:t>
      </w:r>
    </w:p>
    <w:p w:rsidR="004C1E6A" w:rsidRDefault="004C1E6A" w:rsidP="007D2AF6">
      <w:pPr>
        <w:spacing w:line="360" w:lineRule="auto"/>
        <w:jc w:val="both"/>
        <w:rPr>
          <w:sz w:val="22"/>
          <w:szCs w:val="22"/>
        </w:rPr>
      </w:pPr>
    </w:p>
    <w:p w:rsidR="004C1E6A" w:rsidRDefault="004C1E6A" w:rsidP="007D2AF6">
      <w:pPr>
        <w:jc w:val="both"/>
        <w:rPr>
          <w:sz w:val="22"/>
          <w:szCs w:val="22"/>
        </w:rPr>
      </w:pPr>
    </w:p>
    <w:p w:rsidR="004C1E6A" w:rsidRPr="007F668C" w:rsidRDefault="004C1E6A" w:rsidP="007F668C">
      <w:pPr>
        <w:pStyle w:val="Header"/>
        <w:tabs>
          <w:tab w:val="clear" w:pos="4320"/>
          <w:tab w:val="clear" w:pos="8640"/>
        </w:tabs>
        <w:rPr>
          <w:snapToGrid w:val="0"/>
        </w:rPr>
      </w:pPr>
    </w:p>
    <w:p w:rsidR="004C1E6A" w:rsidRDefault="004C1E6A" w:rsidP="00022EB2">
      <w:pPr>
        <w:pStyle w:val="Weld"/>
        <w:framePr w:wrap="notBeside" w:vAnchor="page" w:x="541" w:y="2449"/>
      </w:pPr>
    </w:p>
    <w:p w:rsidR="004C1E6A" w:rsidRDefault="004C1E6A" w:rsidP="007F668C">
      <w:pPr>
        <w:pStyle w:val="Caption"/>
      </w:pPr>
    </w:p>
    <w:p w:rsidR="004C1E6A" w:rsidRDefault="004C1E6A" w:rsidP="007F668C">
      <w:pPr>
        <w:pStyle w:val="Caption"/>
      </w:pPr>
    </w:p>
    <w:p w:rsidR="004C1E6A" w:rsidRDefault="004C1E6A" w:rsidP="007F668C">
      <w:pPr>
        <w:pStyle w:val="Caption"/>
      </w:pPr>
    </w:p>
    <w:p w:rsidR="004C1E6A" w:rsidRDefault="004C1E6A" w:rsidP="007F668C">
      <w:pPr>
        <w:pStyle w:val="Caption"/>
      </w:pPr>
    </w:p>
    <w:p w:rsidR="004C1E6A" w:rsidRDefault="004C1E6A" w:rsidP="007F668C">
      <w:pPr>
        <w:pStyle w:val="Caption"/>
      </w:pPr>
    </w:p>
    <w:p w:rsidR="004C1E6A" w:rsidRDefault="004C1E6A" w:rsidP="007F668C">
      <w:pPr>
        <w:pStyle w:val="Caption"/>
      </w:pPr>
    </w:p>
    <w:p w:rsidR="004C1E6A" w:rsidRDefault="004C1E6A" w:rsidP="007F668C">
      <w:pPr>
        <w:pStyle w:val="Caption"/>
      </w:pPr>
    </w:p>
    <w:p w:rsidR="00D10EF6" w:rsidRPr="00200230" w:rsidRDefault="00D10EF6" w:rsidP="00D10EF6">
      <w:pPr>
        <w:jc w:val="center"/>
        <w:rPr>
          <w:b/>
        </w:rPr>
      </w:pPr>
      <w:r w:rsidRPr="00200230">
        <w:rPr>
          <w:b/>
        </w:rPr>
        <w:lastRenderedPageBreak/>
        <w:t>EXECUTIVE SUMMARY</w:t>
      </w:r>
    </w:p>
    <w:p w:rsidR="00D10EF6" w:rsidRPr="00200230" w:rsidRDefault="00D10EF6" w:rsidP="00D10EF6">
      <w:pPr>
        <w:rPr>
          <w:b/>
        </w:rPr>
      </w:pPr>
    </w:p>
    <w:p w:rsidR="00D10EF6" w:rsidRPr="00200230" w:rsidRDefault="00D10EF6" w:rsidP="00D10EF6">
      <w:r w:rsidRPr="00200230">
        <w:rPr>
          <w:i/>
        </w:rPr>
        <w:t xml:space="preserve">Data Report on Cancer in Children and Adolescents in </w:t>
      </w:r>
      <w:smartTag w:uri="urn:schemas-microsoft-com:office:smarttags" w:element="State">
        <w:r w:rsidRPr="00200230">
          <w:rPr>
            <w:i/>
          </w:rPr>
          <w:t>Massachusetts</w:t>
        </w:r>
      </w:smartTag>
      <w:r w:rsidRPr="00200230">
        <w:rPr>
          <w:i/>
        </w:rPr>
        <w:t>, 2000-2009</w:t>
      </w:r>
      <w:r w:rsidRPr="00200230">
        <w:t xml:space="preserve"> presents cancer incidence and mortality data from 2000 through 2009 for children and adolescents (birth to 19 years) who were residents of </w:t>
      </w:r>
      <w:smartTag w:uri="urn:schemas-microsoft-com:office:smarttags" w:element="place">
        <w:smartTag w:uri="urn:schemas-microsoft-com:office:smarttags" w:element="State">
          <w:r w:rsidRPr="00200230">
            <w:t>Massachusetts</w:t>
          </w:r>
        </w:smartTag>
      </w:smartTag>
      <w:r w:rsidRPr="00200230">
        <w:t xml:space="preserve"> at the time of diagnosis. This report updates the Massachusetts Cancer Registry’s report, </w:t>
      </w:r>
      <w:r w:rsidRPr="00200230">
        <w:rPr>
          <w:i/>
        </w:rPr>
        <w:t>Childhood Cancer in Massachusetts 1990-1999</w:t>
      </w:r>
      <w:r w:rsidRPr="00200230">
        <w:t xml:space="preserve">, and provides information about the most common types of childhood cancer including differences by age, gender, and race/ethnicity.  Time trends from 2000 to 2009 are analyzed and cancer- related deaths for both childhood (0-14) and adolescence (15-19) are detailed.  </w:t>
      </w:r>
    </w:p>
    <w:p w:rsidR="00D10EF6" w:rsidRPr="00200230" w:rsidRDefault="00D10EF6" w:rsidP="00D10EF6"/>
    <w:p w:rsidR="00D10EF6" w:rsidRPr="00200230" w:rsidRDefault="00D10EF6" w:rsidP="00D10EF6">
      <w:r w:rsidRPr="00200230">
        <w:t>The decreased mortality rate of childhood</w:t>
      </w:r>
      <w:r>
        <w:t>/adolescent</w:t>
      </w:r>
      <w:r w:rsidRPr="00200230">
        <w:t xml:space="preserve"> cancer has been one of the major success stories of medicine in the last 20 years. Although the overall death rate for </w:t>
      </w:r>
      <w:r>
        <w:t xml:space="preserve">these cancers </w:t>
      </w:r>
      <w:r w:rsidRPr="00200230">
        <w:t xml:space="preserve">did not decline significantly from 2000 to 2009, </w:t>
      </w:r>
      <w:r>
        <w:t>it did decrease significantly from 1990 to 2009 (see graph below</w:t>
      </w:r>
      <w:r w:rsidR="00932D75">
        <w:t xml:space="preserve"> for yearly death rates and the average annual change in death rate as indicated by the straight line</w:t>
      </w:r>
      <w:r>
        <w:t>)</w:t>
      </w:r>
      <w:r w:rsidRPr="00200230">
        <w:t xml:space="preserve">. Consistent with national statistics, </w:t>
      </w:r>
      <w:r>
        <w:t>l</w:t>
      </w:r>
      <w:r w:rsidRPr="00200230">
        <w:t xml:space="preserve">eukemia incidence rates increased significantly from 2000 to 2009. This increase was due in part to an increase in the </w:t>
      </w:r>
      <w:r>
        <w:t xml:space="preserve">rate of a </w:t>
      </w:r>
      <w:r w:rsidRPr="00200230">
        <w:t>specific subtype</w:t>
      </w:r>
      <w:r>
        <w:t xml:space="preserve"> known as</w:t>
      </w:r>
      <w:r w:rsidRPr="00200230">
        <w:t xml:space="preserve"> acute lymphocytic leukemia.  As with </w:t>
      </w:r>
      <w:r>
        <w:t xml:space="preserve">overall childhood/adolescent mortality </w:t>
      </w:r>
      <w:r w:rsidRPr="00200230">
        <w:t>trend data</w:t>
      </w:r>
      <w:r>
        <w:t xml:space="preserve"> in Massachusetts</w:t>
      </w:r>
      <w:r w:rsidRPr="00200230">
        <w:t>, the 20 year mortality trend for leukemia decreased significantly.</w:t>
      </w:r>
    </w:p>
    <w:p w:rsidR="00D10EF6" w:rsidRPr="00200230" w:rsidRDefault="00D10EF6" w:rsidP="00D10EF6"/>
    <w:p w:rsidR="00D10EF6" w:rsidRPr="00200230" w:rsidRDefault="00D10EF6" w:rsidP="00D10EF6">
      <w:r w:rsidRPr="00200230">
        <w:t xml:space="preserve">Public health and reports such as this one provide baseline tracking of the new cases (incidence) and mortality of diseases. Cancer is one of the top three reasons for childhood deaths.  While progress is being made, continued surveillance over time for research and vigilance is needed to measure successes, and where there is opportunity to make an impact.  </w:t>
      </w:r>
    </w:p>
    <w:p w:rsidR="00D10EF6" w:rsidRPr="00200230" w:rsidRDefault="00D10EF6" w:rsidP="00D10EF6"/>
    <w:p w:rsidR="00D10EF6" w:rsidRDefault="00D10EF6" w:rsidP="00D10EF6">
      <w:pPr>
        <w:rPr>
          <w:b/>
        </w:rPr>
      </w:pPr>
    </w:p>
    <w:p w:rsidR="00D10EF6" w:rsidRDefault="00D10EF6" w:rsidP="00D10EF6">
      <w:pPr>
        <w:rPr>
          <w:b/>
        </w:rPr>
      </w:pPr>
    </w:p>
    <w:p w:rsidR="00D10EF6" w:rsidRDefault="00D10EF6" w:rsidP="00D10EF6">
      <w:pPr>
        <w:rPr>
          <w:b/>
        </w:rPr>
      </w:pPr>
      <w:r w:rsidRPr="00200230">
        <w:rPr>
          <w:b/>
        </w:rPr>
        <w:t>Data Highlights from the Report</w:t>
      </w:r>
    </w:p>
    <w:p w:rsidR="00D10EF6" w:rsidRPr="00200230" w:rsidRDefault="00D10EF6" w:rsidP="00D10EF6">
      <w:pPr>
        <w:rPr>
          <w:b/>
        </w:rPr>
      </w:pPr>
    </w:p>
    <w:p w:rsidR="00D10EF6" w:rsidRPr="00200230" w:rsidRDefault="00D10EF6" w:rsidP="00D10EF6">
      <w:pPr>
        <w:rPr>
          <w:b/>
        </w:rPr>
      </w:pPr>
    </w:p>
    <w:p w:rsidR="00D10EF6" w:rsidRPr="00200230" w:rsidRDefault="00D10EF6" w:rsidP="00D10EF6">
      <w:pPr>
        <w:numPr>
          <w:ilvl w:val="0"/>
          <w:numId w:val="4"/>
        </w:numPr>
        <w:contextualSpacing/>
      </w:pPr>
      <w:r w:rsidRPr="00200230">
        <w:t xml:space="preserve">From 2000 through 2009, 3,001 invasive cancer cases were diagnosed among </w:t>
      </w:r>
      <w:smartTag w:uri="urn:schemas-microsoft-com:office:smarttags" w:element="State">
        <w:smartTag w:uri="urn:schemas-microsoft-com:office:smarttags" w:element="place">
          <w:r w:rsidRPr="00200230">
            <w:t>Massachusetts</w:t>
          </w:r>
        </w:smartTag>
      </w:smartTag>
      <w:r w:rsidRPr="00200230">
        <w:t xml:space="preserve"> children and adolescents.  The age-adjusted incidence rate of childhood invasive cancers declined non-significantly from 2000 to 2009 for both genders. </w:t>
      </w:r>
    </w:p>
    <w:p w:rsidR="00D10EF6" w:rsidRPr="00200230" w:rsidRDefault="00D10EF6" w:rsidP="00D10EF6">
      <w:pPr>
        <w:ind w:left="720"/>
        <w:contextualSpacing/>
        <w:rPr>
          <w:sz w:val="16"/>
          <w:szCs w:val="16"/>
        </w:rPr>
      </w:pPr>
    </w:p>
    <w:p w:rsidR="00D10EF6" w:rsidRPr="00200230" w:rsidRDefault="00D10EF6" w:rsidP="00D10EF6">
      <w:pPr>
        <w:numPr>
          <w:ilvl w:val="0"/>
          <w:numId w:val="4"/>
        </w:numPr>
        <w:contextualSpacing/>
      </w:pPr>
      <w:r w:rsidRPr="00200230">
        <w:t xml:space="preserve">Males represented 53.4% of all childhood/adolescent cancers and females 46.6%.  The three most common cancers among males in this age group were leukemia (23.6%), cancers of the brain and central nervous system (CNS) (19.0%), and lymphoma (18.7%).  Among females, they were leukemia (23.3%), cancers of the brain and CNS (18.3%), and malignant epithelial neoplasms (15.2%), the most common of which were thyroid cancer (8.0%) and melanoma (4.4%). </w:t>
      </w:r>
    </w:p>
    <w:p w:rsidR="00D10EF6" w:rsidRPr="00200230" w:rsidRDefault="00D10EF6" w:rsidP="00D10EF6">
      <w:pPr>
        <w:contextualSpacing/>
        <w:rPr>
          <w:sz w:val="16"/>
          <w:szCs w:val="16"/>
        </w:rPr>
      </w:pPr>
    </w:p>
    <w:p w:rsidR="00D10EF6" w:rsidRDefault="00D10EF6" w:rsidP="00D10EF6">
      <w:pPr>
        <w:numPr>
          <w:ilvl w:val="0"/>
          <w:numId w:val="4"/>
        </w:numPr>
        <w:contextualSpacing/>
      </w:pPr>
      <w:r w:rsidRPr="00200230">
        <w:t xml:space="preserve">Malignant epithelial neoplasm rates increased significantly from 2000 to 2009. Much of this increase can be attributed to a significant increase in thyroid cancer, likely due to better detection of smaller tumors (see </w:t>
      </w:r>
      <w:r w:rsidRPr="00200230">
        <w:rPr>
          <w:i/>
        </w:rPr>
        <w:t>Data Report: Thyroid Cancer in Massachusetts</w:t>
      </w:r>
      <w:r>
        <w:rPr>
          <w:i/>
        </w:rPr>
        <w:t xml:space="preserve"> </w:t>
      </w:r>
      <w:hyperlink r:id="rId12" w:history="1">
        <w:r w:rsidRPr="00334F13">
          <w:rPr>
            <w:rStyle w:val="Hyperlink"/>
            <w:szCs w:val="20"/>
            <w:lang w:val="en"/>
          </w:rPr>
          <w:t>www.mass.gov/dph/mcr</w:t>
        </w:r>
      </w:hyperlink>
      <w:r w:rsidRPr="00334F13">
        <w:rPr>
          <w:rStyle w:val="Strong"/>
          <w:szCs w:val="20"/>
          <w:lang w:val="en"/>
        </w:rPr>
        <w:t xml:space="preserve"> </w:t>
      </w:r>
      <w:r w:rsidRPr="00334F13">
        <w:t>).</w:t>
      </w:r>
      <w:r w:rsidRPr="00200230">
        <w:rPr>
          <w:i/>
        </w:rPr>
        <w:t xml:space="preserve"> </w:t>
      </w:r>
      <w:r w:rsidRPr="00200230">
        <w:t xml:space="preserve"> Significantly more females than males were diagnosed with thyroid cancer and the majority of cases occurred in the 15-19 age group.</w:t>
      </w:r>
    </w:p>
    <w:p w:rsidR="00D10EF6" w:rsidRDefault="00D10EF6" w:rsidP="00D10EF6">
      <w:pPr>
        <w:pStyle w:val="ListParagraph"/>
      </w:pPr>
    </w:p>
    <w:p w:rsidR="00D10EF6" w:rsidRDefault="00D10EF6" w:rsidP="00D10EF6">
      <w:pPr>
        <w:contextualSpacing/>
      </w:pPr>
    </w:p>
    <w:p w:rsidR="00D10EF6" w:rsidRDefault="00D10EF6" w:rsidP="00D10EF6">
      <w:pPr>
        <w:numPr>
          <w:ilvl w:val="0"/>
          <w:numId w:val="4"/>
        </w:numPr>
        <w:contextualSpacing/>
      </w:pPr>
      <w:r w:rsidRPr="00200230">
        <w:lastRenderedPageBreak/>
        <w:t>From 2000-2009, cancer was ranked the 6</w:t>
      </w:r>
      <w:r w:rsidRPr="00200230">
        <w:rPr>
          <w:vertAlign w:val="superscript"/>
        </w:rPr>
        <w:t>th</w:t>
      </w:r>
      <w:r w:rsidRPr="00200230">
        <w:t xml:space="preserve"> most common cause of death for children ages 0-4 (75 deaths, 1.7%), the 2</w:t>
      </w:r>
      <w:r w:rsidRPr="00200230">
        <w:rPr>
          <w:vertAlign w:val="superscript"/>
        </w:rPr>
        <w:t>nd</w:t>
      </w:r>
      <w:r w:rsidRPr="00200230">
        <w:t xml:space="preserve"> most common for children ages 5-9 (86 deaths, 23.2%), the 2</w:t>
      </w:r>
      <w:r w:rsidRPr="00200230">
        <w:rPr>
          <w:vertAlign w:val="superscript"/>
        </w:rPr>
        <w:t>nd</w:t>
      </w:r>
      <w:r w:rsidRPr="00200230">
        <w:t xml:space="preserve"> most common for children ages 10-14 (94 deaths, 18.8%), and the 2</w:t>
      </w:r>
      <w:r w:rsidRPr="00200230">
        <w:rPr>
          <w:vertAlign w:val="superscript"/>
        </w:rPr>
        <w:t>nd</w:t>
      </w:r>
      <w:r w:rsidRPr="00200230">
        <w:t xml:space="preserve"> most common for adolescents ages 15-19 (131 deaths, 7.5%).  Of the 386 cancer deaths among children and adolescents, the three most common were leukemia (29.4%), CNS cancer (23.2%), and adrenal gland cancer (9.8%).</w:t>
      </w:r>
    </w:p>
    <w:p w:rsidR="00D10EF6" w:rsidRDefault="00D10EF6" w:rsidP="00D10EF6">
      <w:pPr>
        <w:pStyle w:val="ListParagraph"/>
      </w:pPr>
    </w:p>
    <w:p w:rsidR="00D10EF6" w:rsidRDefault="00D10EF6" w:rsidP="00D10EF6">
      <w:pPr>
        <w:contextualSpacing/>
      </w:pPr>
    </w:p>
    <w:p w:rsidR="00D10EF6" w:rsidRDefault="00D10EF6" w:rsidP="00D10EF6">
      <w:pPr>
        <w:pStyle w:val="ListParagraph"/>
      </w:pPr>
      <w:r w:rsidRPr="00D10EF6">
        <w:rPr>
          <w:b/>
        </w:rPr>
        <w:t>Childhood and Adolescent Cancer Age Adjusted Death Rates, 1990-2009</w:t>
      </w:r>
      <w:r>
        <w:t>:</w:t>
      </w:r>
    </w:p>
    <w:p w:rsidR="00D10EF6" w:rsidRDefault="007717FF" w:rsidP="00D10EF6">
      <w:pPr>
        <w:pStyle w:val="Caption"/>
        <w:ind w:left="-270"/>
      </w:pPr>
      <w:r>
        <w:rPr>
          <w:noProof/>
        </w:rPr>
        <mc:AlternateContent>
          <mc:Choice Requires="wps">
            <w:drawing>
              <wp:anchor distT="0" distB="0" distL="114300" distR="114300" simplePos="0" relativeHeight="251662848" behindDoc="0" locked="0" layoutInCell="1" allowOverlap="1" wp14:anchorId="71CCF80D" wp14:editId="5F54EEC0">
                <wp:simplePos x="0" y="0"/>
                <wp:positionH relativeFrom="column">
                  <wp:posOffset>3832860</wp:posOffset>
                </wp:positionH>
                <wp:positionV relativeFrom="paragraph">
                  <wp:posOffset>1089025</wp:posOffset>
                </wp:positionV>
                <wp:extent cx="1924050" cy="1403985"/>
                <wp:effectExtent l="0" t="0" r="19050" b="101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3985"/>
                        </a:xfrm>
                        <a:prstGeom prst="rect">
                          <a:avLst/>
                        </a:prstGeom>
                        <a:noFill/>
                        <a:ln w="9525">
                          <a:solidFill>
                            <a:srgbClr val="000000"/>
                          </a:solidFill>
                          <a:miter lim="800000"/>
                          <a:headEnd/>
                          <a:tailEnd/>
                        </a:ln>
                      </wps:spPr>
                      <wps:txbx>
                        <w:txbxContent>
                          <w:p w:rsidR="00161B87" w:rsidRPr="007717FF" w:rsidRDefault="00161B87">
                            <w:pPr>
                              <w:rPr>
                                <w:sz w:val="16"/>
                                <w:szCs w:val="16"/>
                              </w:rPr>
                            </w:pPr>
                            <w:r w:rsidRPr="007717FF">
                              <w:rPr>
                                <w:sz w:val="16"/>
                                <w:szCs w:val="16"/>
                              </w:rPr>
                              <w:t>Average Annual Change in Death 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1.8pt;margin-top:85.75pt;width:151.5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" filled="f">
                <v:textbox style="mso-fit-shape-to-text:t">
                  <w:txbxContent>
                    <w:p w:rsidR="00161B87" w:rsidRPr="007717FF" w:rsidRDefault="00161B87">
                      <w:pPr>
                        <w:rPr>
                          <w:sz w:val="16"/>
                          <w:szCs w:val="16"/>
                        </w:rPr>
                      </w:pPr>
                      <w:r w:rsidRPr="007717FF">
                        <w:rPr>
                          <w:sz w:val="16"/>
                          <w:szCs w:val="16"/>
                        </w:rPr>
                        <w:t>Average Annual Change in Death Rate</w:t>
                      </w:r>
                    </w:p>
                  </w:txbxContent>
                </v:textbox>
              </v:shape>
            </w:pict>
          </mc:Fallback>
        </mc:AlternateContent>
      </w:r>
      <w:r w:rsidR="00D10EF6">
        <w:rPr>
          <w:noProof/>
        </w:rPr>
        <mc:AlternateContent>
          <mc:Choice Requires="wps">
            <w:drawing>
              <wp:anchor distT="0" distB="0" distL="114300" distR="114300" simplePos="0" relativeHeight="251660800" behindDoc="0" locked="0" layoutInCell="1" allowOverlap="1" wp14:anchorId="58582878" wp14:editId="491572F0">
                <wp:simplePos x="0" y="0"/>
                <wp:positionH relativeFrom="column">
                  <wp:posOffset>-57150</wp:posOffset>
                </wp:positionH>
                <wp:positionV relativeFrom="paragraph">
                  <wp:posOffset>100330</wp:posOffset>
                </wp:positionV>
                <wp:extent cx="1695450" cy="304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04800"/>
                        </a:xfrm>
                        <a:prstGeom prst="rect">
                          <a:avLst/>
                        </a:prstGeom>
                        <a:solidFill>
                          <a:srgbClr val="FFFFFF"/>
                        </a:solidFill>
                        <a:ln w="9525">
                          <a:noFill/>
                          <a:miter lim="800000"/>
                          <a:headEnd/>
                          <a:tailEnd/>
                        </a:ln>
                      </wps:spPr>
                      <wps:txbx>
                        <w:txbxContent>
                          <w:p w:rsidR="00161B87" w:rsidRPr="00ED52DE" w:rsidRDefault="00161B87" w:rsidP="00D10EF6">
                            <w:pPr>
                              <w:rPr>
                                <w:sz w:val="20"/>
                                <w:szCs w:val="20"/>
                              </w:rPr>
                            </w:pPr>
                            <w:r w:rsidRPr="00ED52DE">
                              <w:rPr>
                                <w:sz w:val="20"/>
                                <w:szCs w:val="20"/>
                              </w:rPr>
                              <w:t>Rate per 100,000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5pt;margin-top:7.9pt;width:133.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" stroked="f">
                <v:textbox>
                  <w:txbxContent>
                    <w:p w:rsidR="00161B87" w:rsidRPr="00ED52DE" w:rsidRDefault="00161B87" w:rsidP="00D10EF6">
                      <w:pPr>
                        <w:rPr>
                          <w:sz w:val="20"/>
                          <w:szCs w:val="20"/>
                        </w:rPr>
                      </w:pPr>
                      <w:r w:rsidRPr="00ED52DE">
                        <w:rPr>
                          <w:sz w:val="20"/>
                          <w:szCs w:val="20"/>
                        </w:rPr>
                        <w:t>Rate per 100,000</w:t>
                      </w:r>
                    </w:p>
                  </w:txbxContent>
                </v:textbox>
              </v:shape>
            </w:pict>
          </mc:Fallback>
        </mc:AlternateContent>
      </w:r>
      <w:r w:rsidR="00D10EF6" w:rsidRPr="004D288B">
        <w:rPr>
          <w:noProof/>
        </w:rPr>
        <w:drawing>
          <wp:inline distT="0" distB="0" distL="0" distR="0" wp14:anchorId="56E737E1" wp14:editId="7F5792A5">
            <wp:extent cx="6324600" cy="3400425"/>
            <wp:effectExtent l="0" t="0" r="19050" b="9525"/>
            <wp:docPr id="2" name="Chart 2" title="Age Adjusted Cancer Deaths Among Children and Adolescents 0-19, 1990-20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0EF6" w:rsidRDefault="00D10EF6" w:rsidP="00D10EF6">
      <w:pPr>
        <w:pStyle w:val="Caption"/>
        <w:ind w:left="-270"/>
      </w:pPr>
      <w:r w:rsidRPr="00650873">
        <w:rPr>
          <w:sz w:val="20"/>
          <w:szCs w:val="20"/>
        </w:rPr>
        <w:t xml:space="preserve"> </w:t>
      </w:r>
      <w:r w:rsidRPr="00B445FA">
        <w:rPr>
          <w:b w:val="0"/>
          <w:sz w:val="20"/>
          <w:szCs w:val="20"/>
        </w:rPr>
        <w:t>Sou</w:t>
      </w:r>
      <w:r>
        <w:rPr>
          <w:b w:val="0"/>
          <w:sz w:val="20"/>
          <w:szCs w:val="20"/>
        </w:rPr>
        <w:t>r</w:t>
      </w:r>
      <w:r w:rsidRPr="00B445FA">
        <w:rPr>
          <w:b w:val="0"/>
          <w:sz w:val="20"/>
          <w:szCs w:val="20"/>
        </w:rPr>
        <w:t>ce: Massachusetts Registry</w:t>
      </w:r>
      <w:r>
        <w:rPr>
          <w:b w:val="0"/>
          <w:sz w:val="20"/>
          <w:szCs w:val="20"/>
        </w:rPr>
        <w:t xml:space="preserve"> of Vital Records and Statistics and National Center for Health Statistics</w:t>
      </w:r>
      <w:r w:rsidRPr="00B445FA">
        <w:rPr>
          <w:b w:val="0"/>
          <w:sz w:val="20"/>
          <w:szCs w:val="20"/>
        </w:rPr>
        <w:t>.</w:t>
      </w:r>
      <w:r>
        <w:t xml:space="preserve"> </w:t>
      </w:r>
      <w:r>
        <w:rPr>
          <w:b w:val="0"/>
          <w:sz w:val="20"/>
          <w:szCs w:val="20"/>
        </w:rPr>
        <w:t>* Rates are age-adjusted to the US standard 2000 population for ages 0-19.</w:t>
      </w:r>
    </w:p>
    <w:p w:rsidR="00D10EF6" w:rsidRPr="00200230" w:rsidRDefault="00D10EF6" w:rsidP="00D10EF6">
      <w:pPr>
        <w:ind w:left="720"/>
        <w:contextualSpacing/>
      </w:pPr>
    </w:p>
    <w:p w:rsidR="00D10EF6" w:rsidRDefault="00D10EF6" w:rsidP="00BD3CF0">
      <w:pPr>
        <w:jc w:val="center"/>
        <w:rPr>
          <w:b/>
          <w:sz w:val="22"/>
          <w:szCs w:val="22"/>
        </w:rPr>
      </w:pPr>
    </w:p>
    <w:p w:rsidR="00D10EF6" w:rsidRDefault="00D10EF6" w:rsidP="00BD3CF0">
      <w:pPr>
        <w:jc w:val="center"/>
        <w:rPr>
          <w:b/>
          <w:sz w:val="22"/>
          <w:szCs w:val="22"/>
        </w:rPr>
      </w:pPr>
    </w:p>
    <w:p w:rsidR="004C1E6A" w:rsidRDefault="004C1E6A" w:rsidP="004E16D6">
      <w:pPr>
        <w:pStyle w:val="Heading1"/>
      </w:pPr>
      <w:r>
        <w:br w:type="page"/>
      </w:r>
      <w:bookmarkStart w:id="0" w:name="_GoBack"/>
      <w:bookmarkEnd w:id="0"/>
      <w:r>
        <w:lastRenderedPageBreak/>
        <w:t>METHODS</w:t>
      </w:r>
    </w:p>
    <w:p w:rsidR="004C1E6A" w:rsidRPr="004E16D6" w:rsidRDefault="004C1E6A" w:rsidP="004E16D6"/>
    <w:p w:rsidR="004C1E6A" w:rsidRPr="0019491A" w:rsidRDefault="004C1E6A" w:rsidP="00DC2035">
      <w:pPr>
        <w:pStyle w:val="Heading1"/>
      </w:pPr>
      <w:r w:rsidRPr="0019491A">
        <w:t>Sources of Incidence and Mortality Data</w:t>
      </w:r>
      <w:r>
        <w:t>:</w:t>
      </w:r>
    </w:p>
    <w:p w:rsidR="004C1E6A" w:rsidRDefault="004C1E6A" w:rsidP="00DC2035">
      <w:pPr>
        <w:rPr>
          <w:b/>
        </w:rPr>
      </w:pPr>
    </w:p>
    <w:p w:rsidR="004C1E6A" w:rsidRPr="00025738" w:rsidRDefault="003F5DC5" w:rsidP="00025738">
      <w:pPr>
        <w:pStyle w:val="1Normal"/>
        <w:rPr>
          <w:rFonts w:ascii="Times New Roman" w:hAnsi="Times New Roman"/>
        </w:rPr>
      </w:pPr>
      <w:r>
        <w:rPr>
          <w:noProof/>
        </w:rPr>
        <mc:AlternateContent>
          <mc:Choice Requires="wps">
            <w:drawing>
              <wp:anchor distT="0" distB="0" distL="114300" distR="114300" simplePos="0" relativeHeight="251656704" behindDoc="0" locked="0" layoutInCell="1" allowOverlap="1" wp14:anchorId="5DA1B0F6" wp14:editId="1F0EB24C">
                <wp:simplePos x="0" y="0"/>
                <wp:positionH relativeFrom="column">
                  <wp:posOffset>76200</wp:posOffset>
                </wp:positionH>
                <wp:positionV relativeFrom="paragraph">
                  <wp:posOffset>3679190</wp:posOffset>
                </wp:positionV>
                <wp:extent cx="5943600" cy="69850"/>
                <wp:effectExtent l="0" t="0" r="19050" b="2540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850"/>
                        </a:xfrm>
                        <a:prstGeom prst="rect">
                          <a:avLst/>
                        </a:prstGeom>
                        <a:solidFill>
                          <a:srgbClr val="FFFFFF"/>
                        </a:solidFill>
                        <a:ln w="9525">
                          <a:solidFill>
                            <a:srgbClr val="FFFFFF"/>
                          </a:solidFill>
                          <a:miter lim="800000"/>
                          <a:headEnd/>
                          <a:tailEnd/>
                        </a:ln>
                      </wps:spPr>
                      <wps:txbx>
                        <w:txbxContent>
                          <w:p w:rsidR="00161B87" w:rsidRPr="00732CA7" w:rsidRDefault="00161B87" w:rsidP="00732CA7">
                            <w:pPr>
                              <w:rPr>
                                <w:szCs w:val="6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6pt;margin-top:289.7pt;width:468pt;height: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" strokecolor="white">
                <v:textbox>
                  <w:txbxContent>
                    <w:p w:rsidR="00161B87" w:rsidRPr="00732CA7" w:rsidRDefault="00161B87" w:rsidP="00732CA7">
                      <w:pPr>
                        <w:rPr>
                          <w:szCs w:val="64"/>
                        </w:rPr>
                      </w:pPr>
                    </w:p>
                  </w:txbxContent>
                </v:textbox>
              </v:shape>
            </w:pict>
          </mc:Fallback>
        </mc:AlternateContent>
      </w:r>
      <w:r w:rsidR="004C1E6A" w:rsidRPr="005020C0">
        <w:rPr>
          <w:rFonts w:ascii="Times New Roman" w:hAnsi="Times New Roman"/>
          <w:b/>
        </w:rPr>
        <w:t xml:space="preserve">The </w:t>
      </w:r>
      <w:smartTag w:uri="urn:schemas-microsoft-com:office:smarttags" w:element="State">
        <w:r w:rsidR="004C1E6A" w:rsidRPr="005020C0">
          <w:rPr>
            <w:rFonts w:ascii="Times New Roman" w:hAnsi="Times New Roman"/>
            <w:b/>
          </w:rPr>
          <w:t>Massachusetts</w:t>
        </w:r>
      </w:smartTag>
      <w:r w:rsidR="004C1E6A" w:rsidRPr="005020C0">
        <w:rPr>
          <w:rFonts w:ascii="Times New Roman" w:hAnsi="Times New Roman"/>
          <w:b/>
        </w:rPr>
        <w:t xml:space="preserve"> Cancer Registry (MCR)</w:t>
      </w:r>
      <w:r w:rsidR="004C1E6A" w:rsidRPr="005020C0">
        <w:rPr>
          <w:rFonts w:ascii="Times New Roman" w:hAnsi="Times New Roman"/>
        </w:rPr>
        <w:t xml:space="preserve">: All </w:t>
      </w:r>
      <w:smartTag w:uri="urn:schemas-microsoft-com:office:smarttags" w:element="State">
        <w:smartTag w:uri="urn:schemas-microsoft-com:office:smarttags" w:element="place">
          <w:r w:rsidR="004C1E6A" w:rsidRPr="005020C0">
            <w:rPr>
              <w:rFonts w:ascii="Times New Roman" w:hAnsi="Times New Roman"/>
            </w:rPr>
            <w:t>Massachusetts</w:t>
          </w:r>
        </w:smartTag>
      </w:smartTag>
      <w:r w:rsidR="004C1E6A" w:rsidRPr="005020C0">
        <w:rPr>
          <w:rFonts w:ascii="Times New Roman" w:hAnsi="Times New Roman"/>
        </w:rPr>
        <w:t xml:space="preserve"> incidence data are provided by the MCR, which is part of the Massachusetts Department of Public Health (MDPH).  The MCR is a population-based registry that began collecting reports of newly-diagnosed cancer cases in 1982.  The MCR collects reports of these cancer cases from health care facilities and practitioners throughout Massachusetts. Facilities currently reporting to the MCR in 2012 include 65 Massachusetts  acute care hospitals, 6 radiation centers, 3 endoscopy centers, 4 surgical centers, 19 independent laboratories, 2 medical practice associations, 4 radiation/oncology centers and approximately 500 private practice physicians. Additionally, the MCR has reciprocal reporting agreements with </w:t>
      </w:r>
      <w:r w:rsidR="004C1E6A">
        <w:rPr>
          <w:rFonts w:ascii="Times New Roman" w:hAnsi="Times New Roman"/>
        </w:rPr>
        <w:t>25</w:t>
      </w:r>
      <w:r w:rsidR="004C1E6A" w:rsidRPr="005020C0">
        <w:rPr>
          <w:rFonts w:ascii="Times New Roman" w:hAnsi="Times New Roman"/>
        </w:rPr>
        <w:t xml:space="preserve"> states to obtain data on Massachusetts residents diagnosed out of state.  Currently the MCR collects information on </w:t>
      </w:r>
      <w:r w:rsidR="004C1E6A" w:rsidRPr="005020C0">
        <w:rPr>
          <w:rFonts w:ascii="Times New Roman" w:hAnsi="Times New Roman"/>
          <w:i/>
        </w:rPr>
        <w:t>in situ</w:t>
      </w:r>
      <w:r w:rsidR="004C1E6A">
        <w:rPr>
          <w:rFonts w:ascii="Times New Roman" w:hAnsi="Times New Roman"/>
        </w:rPr>
        <w:t xml:space="preserve"> (except cervix)</w:t>
      </w:r>
      <w:r w:rsidR="004C1E6A" w:rsidRPr="005020C0">
        <w:rPr>
          <w:rFonts w:ascii="Times New Roman" w:hAnsi="Times New Roman"/>
        </w:rPr>
        <w:t xml:space="preserve"> and invasive cancers and benign tumors of the brain and associated tissues. The MCR does not collect information on basal and squamous cell carcinomas of the skin.  The MCR also collects information from reporting hospitals on cases diagnosed and treated in physician offices when this information is available. Not all hospitals report th</w:t>
      </w:r>
      <w:r w:rsidR="004C1E6A">
        <w:rPr>
          <w:rFonts w:ascii="Times New Roman" w:hAnsi="Times New Roman"/>
        </w:rPr>
        <w:t>e</w:t>
      </w:r>
      <w:r w:rsidR="004C1E6A" w:rsidRPr="005020C0">
        <w:rPr>
          <w:rFonts w:ascii="Times New Roman" w:hAnsi="Times New Roman"/>
        </w:rPr>
        <w:t>s</w:t>
      </w:r>
      <w:r w:rsidR="004C1E6A">
        <w:rPr>
          <w:rFonts w:ascii="Times New Roman" w:hAnsi="Times New Roman"/>
        </w:rPr>
        <w:t>e</w:t>
      </w:r>
      <w:r w:rsidR="004C1E6A" w:rsidRPr="005020C0">
        <w:rPr>
          <w:rFonts w:ascii="Times New Roman" w:hAnsi="Times New Roman"/>
        </w:rPr>
        <w:t xml:space="preserve"> </w:t>
      </w:r>
      <w:r w:rsidR="004C1E6A">
        <w:rPr>
          <w:rFonts w:ascii="Times New Roman" w:hAnsi="Times New Roman"/>
        </w:rPr>
        <w:t xml:space="preserve">physician office </w:t>
      </w:r>
      <w:r w:rsidR="004C1E6A" w:rsidRPr="005020C0">
        <w:rPr>
          <w:rFonts w:ascii="Times New Roman" w:hAnsi="Times New Roman"/>
        </w:rPr>
        <w:t>case</w:t>
      </w:r>
      <w:r w:rsidR="004C1E6A">
        <w:rPr>
          <w:rFonts w:ascii="Times New Roman" w:hAnsi="Times New Roman"/>
        </w:rPr>
        <w:t>s</w:t>
      </w:r>
      <w:r w:rsidR="004C1E6A" w:rsidRPr="005020C0">
        <w:rPr>
          <w:rFonts w:ascii="Times New Roman" w:hAnsi="Times New Roman"/>
        </w:rPr>
        <w:t>, however, some hospitals report such cases as if the patients had been diagnosed and treated by the hospital directly. Collecti</w:t>
      </w:r>
      <w:r w:rsidR="004C1E6A">
        <w:rPr>
          <w:rFonts w:ascii="Times New Roman" w:hAnsi="Times New Roman"/>
        </w:rPr>
        <w:t>o</w:t>
      </w:r>
      <w:r w:rsidR="004C1E6A" w:rsidRPr="005020C0">
        <w:rPr>
          <w:rFonts w:ascii="Times New Roman" w:hAnsi="Times New Roman"/>
        </w:rPr>
        <w:t xml:space="preserve">n </w:t>
      </w:r>
      <w:r w:rsidR="004C1E6A">
        <w:rPr>
          <w:rFonts w:ascii="Times New Roman" w:hAnsi="Times New Roman"/>
        </w:rPr>
        <w:t xml:space="preserve">of </w:t>
      </w:r>
      <w:r w:rsidR="004C1E6A" w:rsidRPr="005020C0">
        <w:rPr>
          <w:rFonts w:ascii="Times New Roman" w:hAnsi="Times New Roman"/>
        </w:rPr>
        <w:t>these data makes the MCR’s overall case ascertainment more complete.</w:t>
      </w:r>
      <w:r w:rsidR="004C1E6A" w:rsidRPr="00025738">
        <w:rPr>
          <w:rFonts w:ascii="Times New Roman" w:hAnsi="Times New Roman"/>
        </w:rPr>
        <w:t xml:space="preserve"> Some cancer types that may be reported to the MCR in this manner are melanoma, prostate, colon/rectum, and oral cancers.</w:t>
      </w:r>
      <w:r w:rsidR="004C1E6A">
        <w:rPr>
          <w:rFonts w:ascii="Times New Roman" w:hAnsi="Times New Roman"/>
        </w:rPr>
        <w:t xml:space="preserve">  The MCR also identified and included cancers noted on death certificates that were not previously reported to the MCR.</w:t>
      </w:r>
    </w:p>
    <w:p w:rsidR="004C1E6A" w:rsidRPr="00E938A3" w:rsidRDefault="004C1E6A" w:rsidP="00DC2035">
      <w:pPr>
        <w:widowControl w:val="0"/>
        <w:jc w:val="both"/>
      </w:pPr>
    </w:p>
    <w:p w:rsidR="004C1E6A" w:rsidRPr="00F20B67" w:rsidRDefault="004C1E6A" w:rsidP="00A25C70">
      <w:pPr>
        <w:spacing w:line="280" w:lineRule="exact"/>
      </w:pPr>
      <w:r w:rsidRPr="00F20B67">
        <w:t xml:space="preserve">To improve case completeness, this MCR report includes previously unreported cancer cases that have been discovered through death certificate clearance.  This process identifies cancers mentioned on death certificates that were not previously reported to the MCR.  In some instances, the MCR was able to obtain additional information on these cases through follow-up activities with hospitals, nursing homes and physicians’ offices.  In other instances, a cancer-related cause of death recorded on a Massachusetts death certificate is the only source of information for a cancer case.  These “death certificate only” cancer diagnoses are, therefore, poorly documented, and have not been confirmed by review of complete clinical information.  Such cases are included in this report, but they comprise less than 3% of all cancer cases for the years covered by this report. </w:t>
      </w:r>
    </w:p>
    <w:p w:rsidR="004C1E6A" w:rsidRPr="00E938A3" w:rsidRDefault="004C1E6A" w:rsidP="00DC2035">
      <w:pPr>
        <w:widowControl w:val="0"/>
        <w:jc w:val="both"/>
      </w:pPr>
    </w:p>
    <w:p w:rsidR="004C1E6A" w:rsidRPr="00F20B67" w:rsidRDefault="004C1E6A" w:rsidP="00A25C70">
      <w:pPr>
        <w:spacing w:line="280" w:lineRule="exact"/>
      </w:pPr>
      <w:r w:rsidRPr="00275961">
        <w:t>Each year, the North American Association of Central Cancer Registries (NAACCR) reviews cancer registry data for quality, completeness, and timeliness.  For diagnosis years 200</w:t>
      </w:r>
      <w:r>
        <w:t>0</w:t>
      </w:r>
      <w:r w:rsidRPr="00275961">
        <w:t>-2009, the MCR annual case count was estimated by NAACCR to be more than 95% complete each year.  The MCR achieved the gold standard for this certification element, in addition to six other quality and timeliness elements for each year during 200</w:t>
      </w:r>
      <w:r>
        <w:t>0</w:t>
      </w:r>
      <w:r w:rsidRPr="00275961">
        <w:t>-2009.</w:t>
      </w:r>
      <w:r w:rsidRPr="00F20B67">
        <w:t xml:space="preserve">  </w:t>
      </w:r>
    </w:p>
    <w:p w:rsidR="004C1E6A" w:rsidRDefault="004C1E6A" w:rsidP="00025738">
      <w:pPr>
        <w:pStyle w:val="1Normal"/>
        <w:rPr>
          <w:rFonts w:ascii="Times New Roman" w:hAnsi="Times New Roman"/>
        </w:rPr>
      </w:pPr>
    </w:p>
    <w:p w:rsidR="004C1E6A" w:rsidRPr="00E12AF5" w:rsidRDefault="004C1E6A" w:rsidP="0019491A">
      <w:r>
        <w:t>C</w:t>
      </w:r>
      <w:r w:rsidRPr="00E12AF5">
        <w:t xml:space="preserve">hildhood cancers are classified differently from adult cancers.  </w:t>
      </w:r>
      <w:r>
        <w:t>Whereas a</w:t>
      </w:r>
      <w:r w:rsidRPr="00E12AF5">
        <w:t xml:space="preserve">dult cancers are coded first using the cancer origin or primary site and then </w:t>
      </w:r>
      <w:r>
        <w:t>by</w:t>
      </w:r>
      <w:r w:rsidRPr="00E12AF5">
        <w:t xml:space="preserve"> histology</w:t>
      </w:r>
      <w:r>
        <w:t>, c</w:t>
      </w:r>
      <w:r w:rsidRPr="00E12AF5">
        <w:t>hildhood cancers are predominately classified according to histology or tissue type</w:t>
      </w:r>
      <w:r>
        <w:t xml:space="preserve"> regardless of primary site</w:t>
      </w:r>
      <w:r w:rsidRPr="00E12AF5">
        <w:t>.  The International Classification of Childhood Cancer, Third Edition (ICCC-3), based on the histology codes used in the International Classification of Diseases for Oncology, Third Edition (ICD-O-3)</w:t>
      </w:r>
      <w:r>
        <w:t>,</w:t>
      </w:r>
      <w:r w:rsidRPr="00E12AF5">
        <w:t xml:space="preserve"> </w:t>
      </w:r>
      <w:r>
        <w:t>was</w:t>
      </w:r>
      <w:r w:rsidRPr="00E12AF5">
        <w:t xml:space="preserve"> developed to standardize the classification of childhood cancer cases</w:t>
      </w:r>
      <w:r>
        <w:t>.</w:t>
      </w:r>
      <w:r w:rsidRPr="006A25CF">
        <w:rPr>
          <w:vertAlign w:val="superscript"/>
        </w:rPr>
        <w:t>1</w:t>
      </w:r>
      <w:r w:rsidRPr="00E12AF5">
        <w:t xml:space="preserve"> </w:t>
      </w:r>
    </w:p>
    <w:p w:rsidR="004C1E6A" w:rsidRDefault="004C1E6A" w:rsidP="0019491A">
      <w:r w:rsidRPr="00CE3606">
        <w:lastRenderedPageBreak/>
        <w:t xml:space="preserve">Case reports for 2000 were coded following the International Classification of Diseases for Oncology, Second Edition (ICD-O-2) and converted to International Classification of Diseases for Oncology, Third Edition (ICD-O-3); ICD-O-2 was converted to ICD-O-3 in 2001.  Cases reported </w:t>
      </w:r>
      <w:r>
        <w:t>from</w:t>
      </w:r>
      <w:r w:rsidRPr="00CE3606">
        <w:t xml:space="preserve"> 2001 </w:t>
      </w:r>
      <w:r>
        <w:t>through</w:t>
      </w:r>
      <w:r w:rsidRPr="00CE3606">
        <w:t xml:space="preserve"> 2009 were coded following the ICD-O-3 system.  All cases diagnosed in children and adolescents were then grouped into International Classification of Childhood Cancer, Third Edition (ICCC-3) categories.  The ICCC-3 system groups ICD-O-3 histology and site codes into 12 categories.  Although the ICCC includes some tumors of benign or uncertain behavior in its classification of central nervous system and intracranial and </w:t>
      </w:r>
      <w:proofErr w:type="spellStart"/>
      <w:r w:rsidRPr="00CE3606">
        <w:t>intraspinal</w:t>
      </w:r>
      <w:proofErr w:type="spellEnd"/>
      <w:r w:rsidRPr="00CE3606">
        <w:t xml:space="preserve"> neoplasms, those tumors are not included in this report</w:t>
      </w:r>
      <w:r>
        <w:t>, which focuses on invasive Massachusetts cancers only</w:t>
      </w:r>
      <w:r w:rsidRPr="00CE3606">
        <w:t xml:space="preserve">.  </w:t>
      </w:r>
    </w:p>
    <w:p w:rsidR="004C1E6A" w:rsidRPr="0019491A" w:rsidRDefault="004C1E6A" w:rsidP="0019491A"/>
    <w:p w:rsidR="004C1E6A" w:rsidRDefault="004C1E6A" w:rsidP="005020C0">
      <w:r w:rsidRPr="005020C0">
        <w:rPr>
          <w:b/>
        </w:rPr>
        <w:t>Surveillance, Epidemiology, and End Results (SEER):</w:t>
      </w:r>
      <w:r w:rsidRPr="005020C0">
        <w:t xml:space="preserve"> </w:t>
      </w:r>
      <w:r>
        <w:t xml:space="preserve"> National data on cancer incidence are from the National Cancer Institute’s SEER Program, an authoritative source on cancer incidence and survival in the United States that collects and publishes data from registries in selected areas.  The national cancer incidence data in this report include malignant cases from the 18 SEER areas (including Atlanta, Connecticut, Detroit, Hawaii, Iowa, New Mexico, San Francisco-Oakland, Seattle-Puget Sound, Utah, Los Angeles, San Jose-Monterey and Alaska, rural Georgia, greater California, Kentucky, Louisiana, New Jersey, and greater Georgia).  SEER rates are presented per 100,000 persons and are age-adjusted to the 2000 United States standard population for ages 0-19 years.  Please note that cases diagnosed in Louisiana from July to December 2005 were excluded as a result of Hurricane Katrina.</w:t>
      </w:r>
      <w:r w:rsidRPr="002A6A99">
        <w:rPr>
          <w:vertAlign w:val="superscript"/>
        </w:rPr>
        <w:t>2</w:t>
      </w:r>
    </w:p>
    <w:p w:rsidR="004C1E6A" w:rsidRPr="00FF43D3" w:rsidRDefault="004C1E6A" w:rsidP="005020C0"/>
    <w:p w:rsidR="004C1E6A" w:rsidRDefault="004C1E6A" w:rsidP="00FF43D3">
      <w:r w:rsidRPr="000F5EDF">
        <w:rPr>
          <w:b/>
        </w:rPr>
        <w:t>Massachusetts Registry of Vital Records and Statistics</w:t>
      </w:r>
      <w:r>
        <w:rPr>
          <w:b/>
        </w:rPr>
        <w:t xml:space="preserve"> (MVRS)</w:t>
      </w:r>
      <w:r w:rsidRPr="00EB3340">
        <w:rPr>
          <w:b/>
          <w:color w:val="800000"/>
          <w:sz w:val="22"/>
          <w:szCs w:val="22"/>
        </w:rPr>
        <w:t>:</w:t>
      </w:r>
      <w:r>
        <w:t xml:space="preserve"> Massachusetts death data were obtained from the MDPH’s Registry of Vital Records and Statistics, which has legal responsibility for collecting reports of deaths of Massachusetts residents.  </w:t>
      </w:r>
    </w:p>
    <w:p w:rsidR="004C1E6A" w:rsidRDefault="004C1E6A" w:rsidP="00FF43D3"/>
    <w:p w:rsidR="004C1E6A" w:rsidRDefault="004C1E6A" w:rsidP="00FF43D3">
      <w:r w:rsidRPr="004A45B5">
        <w:rPr>
          <w:b/>
        </w:rPr>
        <w:t>National Center for Health Statistics</w:t>
      </w:r>
      <w:r>
        <w:rPr>
          <w:b/>
        </w:rPr>
        <w:t xml:space="preserve"> (NCHS)</w:t>
      </w:r>
      <w:r w:rsidRPr="004A45B5">
        <w:rPr>
          <w:b/>
        </w:rPr>
        <w:t>:</w:t>
      </w:r>
      <w:r>
        <w:t xml:space="preserve">  National mortality data were obtained from the Centers for Disease Control’s National Center for Health Statistics, which collects national death data from individual state vital statistics registries. In contrast to national incidence data, mortality data include the entire United States.</w:t>
      </w:r>
    </w:p>
    <w:p w:rsidR="004C1E6A" w:rsidRDefault="004C1E6A" w:rsidP="005020C0"/>
    <w:p w:rsidR="004C1E6A" w:rsidRDefault="004C1E6A" w:rsidP="00CC59AF">
      <w:pPr>
        <w:pStyle w:val="Heading1"/>
      </w:pPr>
    </w:p>
    <w:p w:rsidR="004C1E6A" w:rsidRPr="00CC59AF" w:rsidRDefault="004C1E6A" w:rsidP="00CC59AF">
      <w:pPr>
        <w:pStyle w:val="Heading1"/>
      </w:pPr>
      <w:r w:rsidRPr="00CC59AF">
        <w:t>Statistical Terms</w:t>
      </w:r>
      <w:r>
        <w:t>:</w:t>
      </w:r>
    </w:p>
    <w:p w:rsidR="004C1E6A" w:rsidRDefault="004C1E6A" w:rsidP="00AC684D"/>
    <w:p w:rsidR="004C1E6A" w:rsidRDefault="004C1E6A" w:rsidP="00AC684D">
      <w:r w:rsidRPr="00CC59AF">
        <w:rPr>
          <w:b/>
        </w:rPr>
        <w:t>Age-Specific Rates</w:t>
      </w:r>
      <w:r>
        <w:t xml:space="preserve"> – Age-specific rates were calculated by dividing the number of people in an age group who were diagnosed with cancer or died of cancer in a given time frame by the number of people in that same age group overall in that time frame. They are presented as rates per 100,000 residents and are cancer type and sex specific.</w:t>
      </w:r>
    </w:p>
    <w:p w:rsidR="004C1E6A" w:rsidRDefault="004C1E6A" w:rsidP="00AC684D"/>
    <w:p w:rsidR="004C1E6A" w:rsidRDefault="004C1E6A" w:rsidP="00AC684D">
      <w:r w:rsidRPr="00A80DB9">
        <w:rPr>
          <w:b/>
        </w:rPr>
        <w:t>Age-Adjusted</w:t>
      </w:r>
      <w:r>
        <w:t xml:space="preserve"> </w:t>
      </w:r>
      <w:r w:rsidRPr="00A80DB9">
        <w:rPr>
          <w:b/>
        </w:rPr>
        <w:t>Rates</w:t>
      </w:r>
      <w:r>
        <w:t xml:space="preserve"> – For most other MCR publications that focus on a specific cancer or cancers in the general population, age adjustment is based on 18 age groups (0-4, 5-9, 10-14, 15-19, etc. to 85+).  The percentage that each age group comprised of the total United States 2000 population is multiplied by the age-specific rate for a cancer to obtain an adjusted rate.  The age-adjusted rate for a specific cancer is derived by adding the 18 age group-specific rates into one age-adjusted rate.  Age adjustment controls for age differences in cancer incidence.  For this report, age adjustment was based on the first four age groups (0-4, 5-9, 10-14, and 15-19).  The population percentages of each of these four groups were derived from the US 2000 </w:t>
      </w:r>
      <w:r>
        <w:lastRenderedPageBreak/>
        <w:t xml:space="preserve">population.  From this derivation, age-adjusted cancer rates for 0-19 year olds were calculated in the same manner as the age adjustment for the 18 age groups. </w:t>
      </w:r>
      <w:r w:rsidRPr="00E12AF5">
        <w:t>Age-adjusted rates can only be compared if they are adjusted to the same standard population.</w:t>
      </w:r>
    </w:p>
    <w:p w:rsidR="004C1E6A" w:rsidRDefault="004C1E6A" w:rsidP="00AC684D"/>
    <w:p w:rsidR="004C1E6A" w:rsidRDefault="004C1E6A" w:rsidP="00AC684D">
      <w:proofErr w:type="spellStart"/>
      <w:r w:rsidRPr="00CC59AF">
        <w:rPr>
          <w:b/>
        </w:rPr>
        <w:t>Joinpoint</w:t>
      </w:r>
      <w:proofErr w:type="spellEnd"/>
      <w:r w:rsidRPr="00CC59AF">
        <w:rPr>
          <w:b/>
        </w:rPr>
        <w:t xml:space="preserve"> Regression Analysis of Cancer Trends</w:t>
      </w:r>
      <w:r>
        <w:t xml:space="preserve"> – The annual percent change (APC) =100*(e</w:t>
      </w:r>
      <w:r>
        <w:rPr>
          <w:vertAlign w:val="superscript"/>
        </w:rPr>
        <w:t>m</w:t>
      </w:r>
      <w:r>
        <w:t>-1), where m is a slope of the linear regression line, which is an approximation of the function of the natural logarithm of the rates by the year of diagnosis.  The APC is a linear approximation; therefore, it may not give an accurate picture of long-term trend.  SEER provides software to calculate the number and location (in time) of points where trends change direction (</w:t>
      </w:r>
      <w:proofErr w:type="spellStart"/>
      <w:r>
        <w:t>joinpoints</w:t>
      </w:r>
      <w:proofErr w:type="spellEnd"/>
      <w:r>
        <w:t>).</w:t>
      </w:r>
      <w:r w:rsidRPr="002A6A99">
        <w:rPr>
          <w:vertAlign w:val="superscript"/>
        </w:rPr>
        <w:t>3</w:t>
      </w:r>
      <w:r>
        <w:t xml:space="preserve"> At each </w:t>
      </w:r>
      <w:proofErr w:type="spellStart"/>
      <w:r>
        <w:t>joinpoint</w:t>
      </w:r>
      <w:proofErr w:type="spellEnd"/>
      <w:r>
        <w:t xml:space="preserve">, the trend may change in different ways.  The </w:t>
      </w:r>
      <w:proofErr w:type="spellStart"/>
      <w:r>
        <w:t>joinpoint</w:t>
      </w:r>
      <w:proofErr w:type="spellEnd"/>
      <w:r>
        <w:t xml:space="preserve"> regression model describes the trend as a sequence of linear segments between corresponding </w:t>
      </w:r>
      <w:proofErr w:type="spellStart"/>
      <w:r>
        <w:t>joinpoints</w:t>
      </w:r>
      <w:proofErr w:type="spellEnd"/>
      <w:r>
        <w:t xml:space="preserve"> so that each segment has an associated APC positive trend, negative trend, or no trend.</w:t>
      </w:r>
    </w:p>
    <w:p w:rsidR="004C1E6A" w:rsidRDefault="004C1E6A" w:rsidP="00AC684D"/>
    <w:p w:rsidR="004C1E6A" w:rsidRDefault="004C1E6A" w:rsidP="00AC684D">
      <w:r w:rsidRPr="00C21FB0">
        <w:rPr>
          <w:b/>
        </w:rPr>
        <w:t>Proportion Comparisons</w:t>
      </w:r>
      <w:r>
        <w:t xml:space="preserve"> – Proportions were compared for significance using the modified Wald Method on graph pad software </w:t>
      </w:r>
      <w:hyperlink r:id="rId14" w:history="1">
        <w:r w:rsidRPr="00C32814">
          <w:rPr>
            <w:rStyle w:val="Hyperlink"/>
          </w:rPr>
          <w:t>http://graphpad.com/quickcalcs/confInterval1/</w:t>
        </w:r>
      </w:hyperlink>
      <w:r>
        <w:t xml:space="preserve">   Significance for rate comparisons was determined by comparing the 95% confidence intervals for two rates.  If the intervals overlapped, the difference between the rates was not considered to be statistically significant.  If, however, there was no overlap between the confidence intervals, then the difference in rates was considered to be statistically significant.  For the sake of brevity, all statistically significant differences in this report will be referred to as being significantly different and not statistically significantly different.</w:t>
      </w:r>
    </w:p>
    <w:p w:rsidR="004C1E6A" w:rsidRDefault="004C1E6A" w:rsidP="00AC684D"/>
    <w:p w:rsidR="004C1E6A" w:rsidRDefault="004C1E6A" w:rsidP="00AC684D">
      <w:r w:rsidRPr="0021264D">
        <w:rPr>
          <w:b/>
        </w:rPr>
        <w:t>Survival</w:t>
      </w:r>
      <w:r w:rsidRPr="0021264D">
        <w:t xml:space="preserve"> - The calculation of minimum five</w:t>
      </w:r>
      <w:r>
        <w:t>-</w:t>
      </w:r>
      <w:r w:rsidRPr="0021264D">
        <w:t xml:space="preserve">year survival time was limited to Massachusetts and US SEER cases diagnosed from 2000 to 2004 since mortality data were available only through 2009.  </w:t>
      </w:r>
      <w:r>
        <w:t xml:space="preserve">Survival analyses were done only for those cancers with 20 or more incident cases from 2000 to 2004.  </w:t>
      </w:r>
      <w:r w:rsidRPr="0021264D">
        <w:t>Cumulative five</w:t>
      </w:r>
      <w:r>
        <w:t>-</w:t>
      </w:r>
      <w:r w:rsidRPr="0021264D">
        <w:t>year survival times were calculated using the life table or actuarial method whereby only cancer specific causes of death were used as an endpoint and all other causes of death were censored, or excluded from analyses.  Survival rates were computed for each of the 5</w:t>
      </w:r>
      <w:r>
        <w:t>-</w:t>
      </w:r>
      <w:r w:rsidRPr="0021264D">
        <w:t>year periods and then multiplied to obtain a cumulative survival rate.  For example, if 96.8% survived the first year, 94.6% the second year, 93.2% the third year, 96.3% the fourth year, and 98.7% the fifth year, the five</w:t>
      </w:r>
      <w:r>
        <w:t>-</w:t>
      </w:r>
      <w:r w:rsidRPr="0021264D">
        <w:t>year cumulative survival would be .968 x .946 x .932 x .963 x .987, or 81.1%.  The SEER survival data presented are also cause</w:t>
      </w:r>
      <w:r>
        <w:t>-</w:t>
      </w:r>
      <w:r w:rsidRPr="0021264D">
        <w:t>specific and computed by the actuarial method.</w:t>
      </w:r>
      <w:r w:rsidRPr="0021264D">
        <w:rPr>
          <w:vertAlign w:val="superscript"/>
        </w:rPr>
        <w:t>4</w:t>
      </w:r>
    </w:p>
    <w:p w:rsidR="004C1E6A" w:rsidRPr="00C21FB0" w:rsidRDefault="004C1E6A" w:rsidP="00C21FB0">
      <w:pPr>
        <w:pStyle w:val="Header"/>
        <w:tabs>
          <w:tab w:val="clear" w:pos="4320"/>
          <w:tab w:val="clear" w:pos="8640"/>
        </w:tabs>
      </w:pPr>
    </w:p>
    <w:p w:rsidR="004C1E6A" w:rsidRPr="00CC59AF" w:rsidRDefault="004C1E6A" w:rsidP="00AC684D">
      <w:pPr>
        <w:rPr>
          <w:b/>
        </w:rPr>
      </w:pPr>
      <w:r w:rsidRPr="00CC59AF">
        <w:rPr>
          <w:b/>
        </w:rPr>
        <w:t>Population Estimates</w:t>
      </w:r>
      <w:r>
        <w:rPr>
          <w:b/>
        </w:rPr>
        <w:t>:</w:t>
      </w:r>
    </w:p>
    <w:p w:rsidR="004C1E6A" w:rsidRDefault="004C1E6A" w:rsidP="00AC684D"/>
    <w:p w:rsidR="004C1E6A" w:rsidRPr="00E12AF5" w:rsidRDefault="004C1E6A" w:rsidP="00AC684D">
      <w:r w:rsidRPr="00E12AF5">
        <w:t xml:space="preserve">All of the population estimates used in this report were produced by the NCHS in collaboration with the Census Bureau‘s Population Estimation Program.  The NCHS reallocates the multiple race categories from the Census Bureau population estimates file to create four mutually exclusive race categories that are consistent with the race categories used to collect cancer incidence and cancer mortality data for the years </w:t>
      </w:r>
      <w:r>
        <w:t>2000-2009</w:t>
      </w:r>
      <w:r w:rsidRPr="00E12AF5">
        <w:t xml:space="preserve">. </w:t>
      </w:r>
    </w:p>
    <w:p w:rsidR="004C1E6A" w:rsidRDefault="004C1E6A" w:rsidP="00AC684D"/>
    <w:p w:rsidR="004C1E6A" w:rsidRPr="002A6A99" w:rsidRDefault="004C1E6A" w:rsidP="00AC684D">
      <w:r w:rsidRPr="002A6A99">
        <w:rPr>
          <w:b/>
        </w:rPr>
        <w:t>Race/Ethnicity</w:t>
      </w:r>
      <w:r>
        <w:t>:</w:t>
      </w:r>
      <w:r w:rsidRPr="002A6A99">
        <w:t xml:space="preserve"> </w:t>
      </w:r>
    </w:p>
    <w:p w:rsidR="004C1E6A" w:rsidRDefault="004C1E6A" w:rsidP="00AC684D"/>
    <w:p w:rsidR="004C1E6A" w:rsidRDefault="004C1E6A" w:rsidP="000F5EDF">
      <w:r w:rsidRPr="00E12AF5">
        <w:t xml:space="preserve">The race/ethnicity categories presented in this report are mutually exclusive.  Cases and deaths are only included in one race/ethnicity category.  The race/ethnicity tables include the </w:t>
      </w:r>
      <w:r w:rsidRPr="00E12AF5">
        <w:lastRenderedPageBreak/>
        <w:t xml:space="preserve">categories white, non-Hispanic; black, non-Hispanic; Asian, non-Hispanic; and Hispanic.  The total population in Massachusetts also includes unknown races/ethnicities and Native Americans.  As a result, the number of cases for the total population is not the sum of cases by race/ethnicity.  </w:t>
      </w:r>
    </w:p>
    <w:p w:rsidR="004C1E6A" w:rsidRDefault="004C1E6A" w:rsidP="00AC684D">
      <w:pPr>
        <w:rPr>
          <w:b/>
        </w:rPr>
      </w:pPr>
    </w:p>
    <w:p w:rsidR="004C1E6A" w:rsidRDefault="004C1E6A" w:rsidP="00AC684D">
      <w:pPr>
        <w:rPr>
          <w:b/>
        </w:rPr>
      </w:pPr>
    </w:p>
    <w:p w:rsidR="004C1E6A" w:rsidRPr="002A6A99" w:rsidRDefault="004C1E6A" w:rsidP="00AC684D">
      <w:pPr>
        <w:rPr>
          <w:b/>
        </w:rPr>
      </w:pPr>
      <w:r w:rsidRPr="002A6A99">
        <w:rPr>
          <w:b/>
        </w:rPr>
        <w:t>Data Limitations</w:t>
      </w:r>
      <w:r>
        <w:rPr>
          <w:b/>
        </w:rPr>
        <w:t>:</w:t>
      </w:r>
    </w:p>
    <w:p w:rsidR="004C1E6A" w:rsidRDefault="004C1E6A" w:rsidP="002A6A99">
      <w:pPr>
        <w:pStyle w:val="Header"/>
        <w:tabs>
          <w:tab w:val="clear" w:pos="4320"/>
          <w:tab w:val="clear" w:pos="8640"/>
        </w:tabs>
      </w:pPr>
    </w:p>
    <w:p w:rsidR="004C1E6A" w:rsidRDefault="004C1E6A" w:rsidP="00AC684D">
      <w:r>
        <w:t>When interpreting the cancer data, it is important to consider certain limitations which include:</w:t>
      </w:r>
    </w:p>
    <w:p w:rsidR="004C1E6A" w:rsidRDefault="004C1E6A" w:rsidP="009930DB">
      <w:pPr>
        <w:pStyle w:val="Header"/>
        <w:tabs>
          <w:tab w:val="clear" w:pos="4320"/>
          <w:tab w:val="clear" w:pos="8640"/>
        </w:tabs>
      </w:pPr>
    </w:p>
    <w:p w:rsidR="004C1E6A" w:rsidRPr="00A80DB9" w:rsidRDefault="004C1E6A" w:rsidP="005B643E">
      <w:pPr>
        <w:numPr>
          <w:ilvl w:val="0"/>
          <w:numId w:val="1"/>
        </w:numPr>
      </w:pPr>
      <w:r w:rsidRPr="009930DB">
        <w:rPr>
          <w:u w:val="single"/>
        </w:rPr>
        <w:t>Under-reporting in areas close to neighboring states</w:t>
      </w:r>
      <w:r w:rsidRPr="00A80DB9">
        <w:t xml:space="preserve">: Although the MCR has reciprocal reporting agreements with </w:t>
      </w:r>
      <w:r>
        <w:t>25</w:t>
      </w:r>
      <w:r w:rsidRPr="00A80DB9">
        <w:t xml:space="preserve"> states, including all New England states, there may still be some Massachusetts residents who were diagnosed </w:t>
      </w:r>
      <w:r>
        <w:t>out of state</w:t>
      </w:r>
      <w:r w:rsidRPr="00A80DB9">
        <w:t xml:space="preserve"> and not reported to the MCR</w:t>
      </w:r>
    </w:p>
    <w:p w:rsidR="004C1E6A" w:rsidRDefault="004C1E6A" w:rsidP="005B643E">
      <w:pPr>
        <w:numPr>
          <w:ilvl w:val="0"/>
          <w:numId w:val="1"/>
        </w:numPr>
      </w:pPr>
      <w:r w:rsidRPr="009930DB">
        <w:rPr>
          <w:u w:val="single"/>
        </w:rPr>
        <w:t>Potentially misleading trends</w:t>
      </w:r>
      <w:r>
        <w:t>:</w:t>
      </w:r>
      <w:r w:rsidRPr="009930DB">
        <w:t xml:space="preserve"> </w:t>
      </w:r>
      <w:r>
        <w:t xml:space="preserve">Apparent increases or decreases in cancer incidence over time may reflect changes in diagnostic methods or case reporting rather than true changes in cancer occurrence.  </w:t>
      </w:r>
    </w:p>
    <w:p w:rsidR="004C1E6A" w:rsidRDefault="004C1E6A" w:rsidP="005B643E">
      <w:pPr>
        <w:numPr>
          <w:ilvl w:val="0"/>
          <w:numId w:val="1"/>
        </w:numPr>
      </w:pPr>
      <w:r w:rsidRPr="009930DB">
        <w:rPr>
          <w:u w:val="single"/>
        </w:rPr>
        <w:t>Small numbers of cases</w:t>
      </w:r>
      <w:r>
        <w:t>: Many of the calculations in this report involved small numbers of cases</w:t>
      </w:r>
      <w:r w:rsidRPr="00E12AF5">
        <w:t>.  As a result, differences in rates may be due to chance, and</w:t>
      </w:r>
      <w:r w:rsidRPr="00E12AF5">
        <w:rPr>
          <w:b/>
        </w:rPr>
        <w:t xml:space="preserve"> </w:t>
      </w:r>
      <w:r w:rsidRPr="00E12AF5">
        <w:t>the data should be interpreted with caution.</w:t>
      </w:r>
    </w:p>
    <w:p w:rsidR="004C1E6A" w:rsidRDefault="004C1E6A" w:rsidP="009930DB">
      <w:pPr>
        <w:numPr>
          <w:ilvl w:val="0"/>
          <w:numId w:val="1"/>
        </w:numPr>
      </w:pPr>
      <w:r w:rsidRPr="009930DB">
        <w:rPr>
          <w:u w:val="single"/>
        </w:rPr>
        <w:t>Misclassification and/or under-reporting of rac</w:t>
      </w:r>
      <w:r>
        <w:rPr>
          <w:u w:val="single"/>
        </w:rPr>
        <w:t>ial</w:t>
      </w:r>
      <w:r w:rsidRPr="009930DB">
        <w:rPr>
          <w:u w:val="single"/>
        </w:rPr>
        <w:t>/ethnic data</w:t>
      </w:r>
      <w:r>
        <w:t>: Data</w:t>
      </w:r>
      <w:r w:rsidRPr="00E12AF5">
        <w:t xml:space="preserve"> on race/ethnicity are based on information existing in the</w:t>
      </w:r>
      <w:r>
        <w:t xml:space="preserve"> medical record for cancer cases and information on the death certificate for cancer deaths.  Errors in these source documents may lead to incorrect classification of race/ethnicity.  </w:t>
      </w:r>
    </w:p>
    <w:p w:rsidR="004C1E6A" w:rsidRDefault="004C1E6A" w:rsidP="009930DB">
      <w:pPr>
        <w:rPr>
          <w:u w:val="single"/>
        </w:rPr>
      </w:pPr>
    </w:p>
    <w:p w:rsidR="004C1E6A" w:rsidRPr="00840BDB" w:rsidRDefault="004C1E6A" w:rsidP="009930DB"/>
    <w:p w:rsidR="004C1E6A" w:rsidRDefault="004C1E6A" w:rsidP="009930DB"/>
    <w:p w:rsidR="004C1E6A" w:rsidRDefault="004C1E6A" w:rsidP="00E35F78"/>
    <w:p w:rsidR="004C1E6A" w:rsidRDefault="004C1E6A" w:rsidP="00AC684D"/>
    <w:p w:rsidR="004C1E6A" w:rsidRDefault="004C1E6A" w:rsidP="003B6466">
      <w:pPr>
        <w:jc w:val="center"/>
      </w:pPr>
    </w:p>
    <w:p w:rsidR="004C1E6A" w:rsidRDefault="004C1E6A" w:rsidP="00E034A6"/>
    <w:p w:rsidR="004C1E6A" w:rsidRDefault="004C1E6A" w:rsidP="00E034A6"/>
    <w:p w:rsidR="004C1E6A" w:rsidRDefault="004C1E6A" w:rsidP="00E034A6"/>
    <w:p w:rsidR="004C1E6A" w:rsidRDefault="004C1E6A" w:rsidP="00E034A6"/>
    <w:p w:rsidR="004C1E6A" w:rsidRDefault="004C1E6A" w:rsidP="00E034A6"/>
    <w:p w:rsidR="004C1E6A" w:rsidRDefault="004C1E6A" w:rsidP="00E034A6"/>
    <w:p w:rsidR="004C1E6A" w:rsidRDefault="004C1E6A" w:rsidP="00E034A6"/>
    <w:p w:rsidR="004C1E6A" w:rsidRDefault="004C1E6A" w:rsidP="00E034A6"/>
    <w:p w:rsidR="004C1E6A" w:rsidRDefault="004C1E6A" w:rsidP="00E034A6"/>
    <w:p w:rsidR="004C1E6A" w:rsidRDefault="004C1E6A" w:rsidP="00E034A6"/>
    <w:p w:rsidR="004C1E6A" w:rsidRDefault="004C1E6A" w:rsidP="00E034A6"/>
    <w:p w:rsidR="004C1E6A" w:rsidRDefault="004C1E6A" w:rsidP="00E034A6"/>
    <w:p w:rsidR="004C1E6A" w:rsidRDefault="004C1E6A" w:rsidP="00E034A6"/>
    <w:p w:rsidR="004C1E6A" w:rsidRDefault="004C1E6A" w:rsidP="00E034A6"/>
    <w:p w:rsidR="004C1E6A" w:rsidRDefault="004C1E6A" w:rsidP="00E034A6">
      <w:pPr>
        <w:rPr>
          <w:b/>
        </w:rPr>
      </w:pPr>
    </w:p>
    <w:p w:rsidR="004C1E6A" w:rsidRDefault="004C1E6A" w:rsidP="00E034A6">
      <w:pPr>
        <w:rPr>
          <w:b/>
        </w:rPr>
      </w:pPr>
    </w:p>
    <w:p w:rsidR="004C1E6A" w:rsidRDefault="004C1E6A" w:rsidP="00E034A6">
      <w:pPr>
        <w:rPr>
          <w:b/>
        </w:rPr>
      </w:pPr>
    </w:p>
    <w:p w:rsidR="004C1E6A" w:rsidRDefault="004C1E6A" w:rsidP="00E034A6">
      <w:pPr>
        <w:rPr>
          <w:b/>
        </w:rPr>
      </w:pPr>
    </w:p>
    <w:p w:rsidR="004C1E6A" w:rsidRDefault="004C1E6A" w:rsidP="00E034A6">
      <w:pPr>
        <w:rPr>
          <w:b/>
        </w:rPr>
      </w:pPr>
      <w:r>
        <w:rPr>
          <w:b/>
        </w:rPr>
        <w:lastRenderedPageBreak/>
        <w:t xml:space="preserve">CHILDHOOD AND ADOLESCENT </w:t>
      </w:r>
      <w:r w:rsidRPr="00103A4B">
        <w:rPr>
          <w:b/>
        </w:rPr>
        <w:t>CANCER INCIDENCE AND MORTALITY</w:t>
      </w:r>
    </w:p>
    <w:p w:rsidR="004C1E6A" w:rsidRDefault="004C1E6A" w:rsidP="00E034A6">
      <w:pPr>
        <w:rPr>
          <w:b/>
        </w:rPr>
      </w:pPr>
    </w:p>
    <w:p w:rsidR="004C1E6A" w:rsidRPr="001E08AC" w:rsidRDefault="004C1E6A" w:rsidP="00E034A6">
      <w:pPr>
        <w:rPr>
          <w:b/>
        </w:rPr>
      </w:pPr>
      <w:r>
        <w:rPr>
          <w:b/>
        </w:rPr>
        <w:t>Incidence</w:t>
      </w:r>
      <w:r w:rsidRPr="001E08AC">
        <w:rPr>
          <w:b/>
        </w:rPr>
        <w:t>:</w:t>
      </w:r>
    </w:p>
    <w:p w:rsidR="004C1E6A" w:rsidRDefault="004C1E6A" w:rsidP="00E034A6"/>
    <w:p w:rsidR="004C1E6A" w:rsidRDefault="004C1E6A" w:rsidP="00E034A6">
      <w:r>
        <w:t>From 2000-2009, there were 3,001 invasive cancer cases diagnosed among Massachusetts children and adolescents through the age of 19.  For both males and females, the age-adjusted incidence of all cancers combined among children and adolescents did not change significantly from 2000-2009, with annual percent changes (APC) of 1.0% and 0.8%, respectively.  Nationally, US SEER incidence rates for male and female children and adolescents also showed non-statistically significant increases (APC of 0.5% for both sexes) (Figure 1).</w:t>
      </w:r>
    </w:p>
    <w:p w:rsidR="004C1E6A" w:rsidRDefault="004C1E6A" w:rsidP="00E034A6"/>
    <w:p w:rsidR="004C1E6A" w:rsidRDefault="003F5DC5" w:rsidP="00F432B3">
      <w:pPr>
        <w:keepNext/>
      </w:pPr>
      <w:r>
        <w:rPr>
          <w:noProof/>
        </w:rPr>
        <w:drawing>
          <wp:inline distT="0" distB="0" distL="0" distR="0" wp14:anchorId="11DADACA" wp14:editId="14082E4F">
            <wp:extent cx="5838825" cy="3286125"/>
            <wp:effectExtent l="0" t="0" r="0" b="0"/>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1E6A" w:rsidRPr="00F432B3" w:rsidRDefault="004C1E6A" w:rsidP="00F432B3">
      <w:pPr>
        <w:pStyle w:val="Caption"/>
        <w:rPr>
          <w:b w:val="0"/>
          <w:sz w:val="20"/>
          <w:szCs w:val="20"/>
        </w:rPr>
      </w:pPr>
      <w:r w:rsidRPr="00F432B3">
        <w:rPr>
          <w:b w:val="0"/>
          <w:sz w:val="20"/>
          <w:szCs w:val="20"/>
        </w:rPr>
        <w:t>Sou</w:t>
      </w:r>
      <w:r>
        <w:rPr>
          <w:b w:val="0"/>
          <w:sz w:val="20"/>
          <w:szCs w:val="20"/>
        </w:rPr>
        <w:t>r</w:t>
      </w:r>
      <w:r w:rsidRPr="00F432B3">
        <w:rPr>
          <w:b w:val="0"/>
          <w:sz w:val="20"/>
          <w:szCs w:val="20"/>
        </w:rPr>
        <w:t>ce: Massachusetts Cancer Registry</w:t>
      </w:r>
      <w:r>
        <w:rPr>
          <w:b w:val="0"/>
          <w:sz w:val="20"/>
          <w:szCs w:val="20"/>
        </w:rPr>
        <w:t xml:space="preserve"> and SEER 18 Registries. *Rates are age-adjusted to the US standard 2000 population for ages 0-19.</w:t>
      </w:r>
    </w:p>
    <w:p w:rsidR="004C1E6A" w:rsidRDefault="004C1E6A" w:rsidP="003B6466">
      <w:pPr>
        <w:jc w:val="center"/>
      </w:pPr>
    </w:p>
    <w:p w:rsidR="004C1E6A" w:rsidRDefault="004C1E6A" w:rsidP="0049075D">
      <w:r>
        <w:t>Massachusetts males represented 53.4% of the cancer cases and females 46.6% (Figures 2 and 3).  The three most common cancers diagnosed among male Massachusetts children and adolescents from 2000</w:t>
      </w:r>
      <w:r w:rsidRPr="0062388E">
        <w:t xml:space="preserve"> to </w:t>
      </w:r>
      <w:r>
        <w:t xml:space="preserve">2009, accounting for 61.3% of all cases, were leukemia, cancers of the brain and central nervous system, and lymphoma.  The three most common of these cancers for females, accounting for 56.8% of all cases, were leukemia, cancers of the brain and central nervous system (CNS) and malignant epithelial neoplasms.  The most common epithelial neoplasms were thyroid cancer (8.0% of all cases) and melanoma (4.4% of all cases).  No other grouping accounted for more than </w:t>
      </w:r>
      <w:r w:rsidRPr="0062388E">
        <w:t>10</w:t>
      </w:r>
      <w:r>
        <w:t xml:space="preserve">% of childhood and adolescent cancer in either sex.  </w:t>
      </w:r>
    </w:p>
    <w:p w:rsidR="004C1E6A" w:rsidRDefault="004C1E6A" w:rsidP="0049075D"/>
    <w:p w:rsidR="004C1E6A" w:rsidRDefault="004C1E6A" w:rsidP="0049075D">
      <w:r>
        <w:t>Nationally, males represented 54.3% of childhood and adolescent cancers diagnosed from 2000 to 2009 and females represented 45.7%.  The three most common of these cancers for males were leukemia, lymphoma, and CNS cancer, representing 60.8% of all cancers.  Nationally, the three most common of these cancers for female children and adolescents were leukemia, brain and CNS cancer, and malignant epithelial neoplasms, representing 57.1% of all cancers.  Lymphoma, representing 12.7% of female cancers, ranked fourth.</w:t>
      </w:r>
    </w:p>
    <w:p w:rsidR="004C1E6A" w:rsidRDefault="004C1E6A" w:rsidP="003B6466">
      <w:pPr>
        <w:jc w:val="center"/>
      </w:pPr>
    </w:p>
    <w:p w:rsidR="004C1E6A" w:rsidRDefault="003F5DC5" w:rsidP="003B6466">
      <w:pPr>
        <w:jc w:val="center"/>
      </w:pPr>
      <w:r>
        <w:rPr>
          <w:noProof/>
        </w:rPr>
        <w:drawing>
          <wp:inline distT="0" distB="0" distL="0" distR="0" wp14:anchorId="18E545A6" wp14:editId="2EADA695">
            <wp:extent cx="5648325" cy="3648075"/>
            <wp:effectExtent l="0" t="0" r="0" b="0"/>
            <wp:docPr id="4"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C1E6A" w:rsidRDefault="004C1E6A" w:rsidP="00806BC3">
      <w:pPr>
        <w:pStyle w:val="CommentText"/>
      </w:pPr>
      <w:r w:rsidRPr="00806BC3">
        <w:t>Source: Massachusetts Cancer Registry</w:t>
      </w:r>
    </w:p>
    <w:p w:rsidR="004C1E6A" w:rsidRPr="00806BC3" w:rsidRDefault="004C1E6A" w:rsidP="00806BC3">
      <w:pPr>
        <w:pStyle w:val="CommentText"/>
      </w:pPr>
    </w:p>
    <w:p w:rsidR="004C1E6A" w:rsidRDefault="003F5DC5" w:rsidP="003B6466">
      <w:pPr>
        <w:jc w:val="center"/>
      </w:pPr>
      <w:r>
        <w:rPr>
          <w:noProof/>
        </w:rPr>
        <w:drawing>
          <wp:inline distT="0" distB="0" distL="0" distR="0" wp14:anchorId="56DC5B39" wp14:editId="5EA48348">
            <wp:extent cx="5772150" cy="3552825"/>
            <wp:effectExtent l="0" t="0" r="0" b="0"/>
            <wp:docPr id="5"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C1E6A" w:rsidRPr="00806BC3" w:rsidRDefault="004C1E6A" w:rsidP="00806BC3">
      <w:pPr>
        <w:pStyle w:val="CommentText"/>
      </w:pPr>
      <w:r w:rsidRPr="00806BC3">
        <w:t>Source: Massachusetts Cancer Registry</w:t>
      </w:r>
    </w:p>
    <w:p w:rsidR="004C1E6A" w:rsidRDefault="004C1E6A" w:rsidP="00333B19">
      <w:pPr>
        <w:rPr>
          <w:b/>
        </w:rPr>
      </w:pPr>
    </w:p>
    <w:p w:rsidR="004C1E6A" w:rsidRDefault="004C1E6A" w:rsidP="00333B19">
      <w:pPr>
        <w:rPr>
          <w:b/>
        </w:rPr>
      </w:pPr>
    </w:p>
    <w:p w:rsidR="004C1E6A" w:rsidRDefault="004C1E6A" w:rsidP="00333B19">
      <w:pPr>
        <w:rPr>
          <w:b/>
        </w:rPr>
      </w:pPr>
    </w:p>
    <w:p w:rsidR="004C1E6A" w:rsidRPr="00333B19" w:rsidRDefault="004C1E6A" w:rsidP="00333B19">
      <w:pPr>
        <w:rPr>
          <w:b/>
        </w:rPr>
      </w:pPr>
      <w:r w:rsidRPr="00333B19">
        <w:rPr>
          <w:b/>
        </w:rPr>
        <w:lastRenderedPageBreak/>
        <w:t>Mortality:</w:t>
      </w:r>
    </w:p>
    <w:p w:rsidR="004C1E6A" w:rsidRDefault="004C1E6A" w:rsidP="00333B19"/>
    <w:p w:rsidR="004C1E6A" w:rsidRDefault="004C1E6A" w:rsidP="00333B19">
      <w:r w:rsidRPr="00AF16BC">
        <w:t>From 2000-2009 in Massachusetts, cancer was ranked the 6</w:t>
      </w:r>
      <w:r w:rsidRPr="00AF16BC">
        <w:rPr>
          <w:vertAlign w:val="superscript"/>
        </w:rPr>
        <w:t>th</w:t>
      </w:r>
      <w:r w:rsidRPr="00AF16BC">
        <w:t xml:space="preserve"> most common cause of death for children ages 0-4 (75 deaths, 1.7%), the 2</w:t>
      </w:r>
      <w:r w:rsidRPr="00AF16BC">
        <w:rPr>
          <w:vertAlign w:val="superscript"/>
        </w:rPr>
        <w:t>nd</w:t>
      </w:r>
      <w:r w:rsidRPr="00AF16BC">
        <w:t xml:space="preserve"> most common for children ages 5-9 (86 deaths, 23.2%), the 2</w:t>
      </w:r>
      <w:r w:rsidRPr="00AF16BC">
        <w:rPr>
          <w:vertAlign w:val="superscript"/>
        </w:rPr>
        <w:t>nd</w:t>
      </w:r>
      <w:r w:rsidRPr="00AF16BC">
        <w:t xml:space="preserve"> most common for children ages 10-14 (94 deaths, 18.8%), and the 2</w:t>
      </w:r>
      <w:r w:rsidRPr="00AF16BC">
        <w:rPr>
          <w:vertAlign w:val="superscript"/>
        </w:rPr>
        <w:t>nd</w:t>
      </w:r>
      <w:r w:rsidRPr="00AF16BC">
        <w:t xml:space="preserve"> most common for adolescents ages 15-19 (131 deaths, 7.5%).  </w:t>
      </w:r>
      <w:r>
        <w:t>During this time period, there were 386 deaths with cancer as an underlying cause of death among children and adolescents.  Since the number of deaths was small, Massachusetts death data were not broken down by sex.  The national death data were not broken down by sex to be consistent with Massachusetts data.  The death rate has been decreasing with an APC of -2.2% for Massachusetts and -2.0% for the United States.  The trend, however, was only statistically significant for national statistics</w:t>
      </w:r>
      <w:r w:rsidRPr="004424BF">
        <w:t>.  The 20-year trend in Massachusetts from 1990 to 2009 (not pictured), however, indicated a statistically significant decrease (APC=-1.8%) in cancer deaths among children and adolescents.</w:t>
      </w:r>
    </w:p>
    <w:p w:rsidR="004C1E6A" w:rsidRDefault="004C1E6A" w:rsidP="003B6466">
      <w:pPr>
        <w:jc w:val="center"/>
      </w:pPr>
    </w:p>
    <w:p w:rsidR="004C1E6A" w:rsidRDefault="003F5DC5" w:rsidP="003B6466">
      <w:pPr>
        <w:jc w:val="center"/>
      </w:pPr>
      <w:r>
        <w:rPr>
          <w:noProof/>
        </w:rPr>
        <w:drawing>
          <wp:inline distT="0" distB="0" distL="0" distR="0" wp14:anchorId="684D385F" wp14:editId="75787ED5">
            <wp:extent cx="5819775" cy="3305175"/>
            <wp:effectExtent l="0" t="0" r="0" b="0"/>
            <wp:docPr id="6"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1E6A" w:rsidRDefault="004C1E6A" w:rsidP="0049075D">
      <w:pPr>
        <w:pStyle w:val="Caption"/>
      </w:pPr>
      <w:r w:rsidRPr="00B445FA">
        <w:rPr>
          <w:b w:val="0"/>
          <w:sz w:val="20"/>
          <w:szCs w:val="20"/>
        </w:rPr>
        <w:t>Sou</w:t>
      </w:r>
      <w:r>
        <w:rPr>
          <w:b w:val="0"/>
          <w:sz w:val="20"/>
          <w:szCs w:val="20"/>
        </w:rPr>
        <w:t>r</w:t>
      </w:r>
      <w:r w:rsidRPr="00B445FA">
        <w:rPr>
          <w:b w:val="0"/>
          <w:sz w:val="20"/>
          <w:szCs w:val="20"/>
        </w:rPr>
        <w:t>ce: Massachusetts Registry</w:t>
      </w:r>
      <w:r>
        <w:rPr>
          <w:b w:val="0"/>
          <w:sz w:val="20"/>
          <w:szCs w:val="20"/>
        </w:rPr>
        <w:t xml:space="preserve"> of Vital Records and Statistics and National Center for Health Statistics</w:t>
      </w:r>
      <w:r w:rsidRPr="00B445FA">
        <w:rPr>
          <w:b w:val="0"/>
          <w:sz w:val="20"/>
          <w:szCs w:val="20"/>
        </w:rPr>
        <w:t>.</w:t>
      </w:r>
      <w:r>
        <w:t xml:space="preserve"> </w:t>
      </w:r>
      <w:r>
        <w:rPr>
          <w:b w:val="0"/>
          <w:sz w:val="20"/>
          <w:szCs w:val="20"/>
        </w:rPr>
        <w:t>* Rates are age-adjusted to the US standard 2000 population for ages 0-19.</w:t>
      </w:r>
    </w:p>
    <w:p w:rsidR="004C1E6A" w:rsidRDefault="004C1E6A" w:rsidP="003B6466">
      <w:pPr>
        <w:jc w:val="center"/>
      </w:pPr>
    </w:p>
    <w:p w:rsidR="004C1E6A" w:rsidRDefault="004C1E6A" w:rsidP="004A45B5">
      <w:pPr>
        <w:pStyle w:val="Header"/>
        <w:tabs>
          <w:tab w:val="clear" w:pos="4320"/>
          <w:tab w:val="clear" w:pos="8640"/>
        </w:tabs>
      </w:pPr>
      <w:r>
        <w:t xml:space="preserve">Leukemia accounted for 27.8% of cancer deaths among Massachusetts children and adolescents of both sexes from 2000-2009,  the leading cause of death from cancer for this group. Central nervous system cancer was second and accounted for 23.7% of deaths.  Cancers of the adrenal gland (related to </w:t>
      </w:r>
      <w:proofErr w:type="spellStart"/>
      <w:r>
        <w:t>neuroblastoma</w:t>
      </w:r>
      <w:proofErr w:type="spellEnd"/>
      <w:r>
        <w:t>), bone, and soft tissue comprise the top five causes of death from cancer, accounting for 9.8%, 9.8%, and 8.8% of deaths, respectively (Figure 5).</w:t>
      </w:r>
    </w:p>
    <w:p w:rsidR="004C1E6A" w:rsidRDefault="004C1E6A" w:rsidP="004A45B5">
      <w:pPr>
        <w:pStyle w:val="Header"/>
        <w:tabs>
          <w:tab w:val="clear" w:pos="4320"/>
          <w:tab w:val="clear" w:pos="8640"/>
        </w:tabs>
      </w:pPr>
    </w:p>
    <w:p w:rsidR="004C1E6A" w:rsidRDefault="003F5DC5" w:rsidP="003B6466">
      <w:pPr>
        <w:jc w:val="center"/>
      </w:pPr>
      <w:r>
        <w:rPr>
          <w:noProof/>
        </w:rPr>
        <w:lastRenderedPageBreak/>
        <w:drawing>
          <wp:inline distT="0" distB="0" distL="0" distR="0" wp14:anchorId="2AA6A7EB" wp14:editId="5684A37C">
            <wp:extent cx="5753100" cy="3390900"/>
            <wp:effectExtent l="0" t="0" r="0" b="0"/>
            <wp:docPr id="7"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C1E6A" w:rsidRPr="004C03D4" w:rsidRDefault="004C1E6A" w:rsidP="0049075D">
      <w:pPr>
        <w:pStyle w:val="Caption"/>
        <w:rPr>
          <w:b w:val="0"/>
          <w:sz w:val="16"/>
          <w:szCs w:val="16"/>
        </w:rPr>
      </w:pPr>
      <w:r w:rsidRPr="004C03D4">
        <w:rPr>
          <w:b w:val="0"/>
          <w:sz w:val="16"/>
          <w:szCs w:val="16"/>
        </w:rPr>
        <w:t>Source: Massachusetts Registry</w:t>
      </w:r>
      <w:r>
        <w:rPr>
          <w:b w:val="0"/>
          <w:sz w:val="16"/>
          <w:szCs w:val="16"/>
        </w:rPr>
        <w:t xml:space="preserve"> of Vital Records and Statistics.</w:t>
      </w:r>
      <w:r w:rsidRPr="004C03D4">
        <w:rPr>
          <w:b w:val="0"/>
          <w:sz w:val="16"/>
          <w:szCs w:val="16"/>
        </w:rPr>
        <w:t xml:space="preserve"> </w:t>
      </w:r>
    </w:p>
    <w:p w:rsidR="004C1E6A" w:rsidRPr="007D01CB" w:rsidRDefault="004C1E6A" w:rsidP="003B6466">
      <w:pPr>
        <w:jc w:val="center"/>
        <w:rPr>
          <w:b/>
        </w:rPr>
      </w:pPr>
    </w:p>
    <w:p w:rsidR="004C1E6A" w:rsidRPr="007D01CB" w:rsidRDefault="004C1E6A" w:rsidP="00A80DB9">
      <w:pPr>
        <w:rPr>
          <w:b/>
        </w:rPr>
      </w:pPr>
      <w:r w:rsidRPr="007D01CB">
        <w:rPr>
          <w:b/>
        </w:rPr>
        <w:t xml:space="preserve">CHILDHOOD </w:t>
      </w:r>
      <w:r>
        <w:rPr>
          <w:b/>
        </w:rPr>
        <w:t xml:space="preserve">AND ADOLESCENT </w:t>
      </w:r>
      <w:r w:rsidRPr="007D01CB">
        <w:rPr>
          <w:b/>
        </w:rPr>
        <w:t>CANCER INCIDENCE BY AGE GROUP:</w:t>
      </w:r>
    </w:p>
    <w:p w:rsidR="004C1E6A" w:rsidRDefault="004C1E6A" w:rsidP="00A80DB9"/>
    <w:p w:rsidR="004C1E6A" w:rsidRDefault="004C1E6A" w:rsidP="007D01CB">
      <w:r>
        <w:t>When analyzing age-specific rates, children under the age of 5 and adolescents ages 15 to 19 had higher cancer rates than those ages 5 to 14.  The age group 15-19 was the only age group displaying a  significantly increasing trend with an APC of 2.1% (Figure 6).</w:t>
      </w:r>
    </w:p>
    <w:p w:rsidR="004C1E6A" w:rsidRDefault="004C1E6A" w:rsidP="007D01CB"/>
    <w:p w:rsidR="004C1E6A" w:rsidRDefault="003F5DC5" w:rsidP="00E17F36">
      <w:r>
        <w:rPr>
          <w:noProof/>
        </w:rPr>
        <w:drawing>
          <wp:inline distT="0" distB="0" distL="0" distR="0" wp14:anchorId="39809FF8" wp14:editId="1685B15B">
            <wp:extent cx="5838825" cy="3248025"/>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4C1E6A" w:rsidRPr="00F432B3">
        <w:t>Sou</w:t>
      </w:r>
      <w:r w:rsidR="004C1E6A">
        <w:t>r</w:t>
      </w:r>
      <w:r w:rsidR="004C1E6A" w:rsidRPr="00F432B3">
        <w:t>ce: Massachusetts Cancer Registry</w:t>
      </w:r>
      <w:r w:rsidR="004C1E6A">
        <w:t xml:space="preserve">. </w:t>
      </w:r>
    </w:p>
    <w:p w:rsidR="004C1E6A" w:rsidRPr="00BF63FF" w:rsidRDefault="004C1E6A" w:rsidP="00D16C54">
      <w:pPr>
        <w:rPr>
          <w:sz w:val="16"/>
          <w:szCs w:val="16"/>
        </w:rPr>
      </w:pPr>
    </w:p>
    <w:tbl>
      <w:tblPr>
        <w:tblW w:w="9712" w:type="dxa"/>
        <w:tblInd w:w="108" w:type="dxa"/>
        <w:tblLook w:val="0000" w:firstRow="0" w:lastRow="0" w:firstColumn="0" w:lastColumn="0" w:noHBand="0" w:noVBand="0"/>
      </w:tblPr>
      <w:tblGrid>
        <w:gridCol w:w="777"/>
        <w:gridCol w:w="132"/>
        <w:gridCol w:w="1908"/>
        <w:gridCol w:w="2050"/>
        <w:gridCol w:w="236"/>
        <w:gridCol w:w="777"/>
        <w:gridCol w:w="1920"/>
        <w:gridCol w:w="1912"/>
      </w:tblGrid>
      <w:tr w:rsidR="004C1E6A" w:rsidTr="00893D8C">
        <w:trPr>
          <w:trHeight w:val="870"/>
        </w:trPr>
        <w:tc>
          <w:tcPr>
            <w:tcW w:w="9712" w:type="dxa"/>
            <w:gridSpan w:val="8"/>
            <w:tcBorders>
              <w:top w:val="nil"/>
              <w:left w:val="nil"/>
              <w:right w:val="nil"/>
            </w:tcBorders>
            <w:noWrap/>
            <w:vAlign w:val="center"/>
          </w:tcPr>
          <w:p w:rsidR="004C1E6A" w:rsidRDefault="004C1E6A" w:rsidP="00B177C4">
            <w:pPr>
              <w:jc w:val="center"/>
              <w:rPr>
                <w:b/>
                <w:bCs/>
              </w:rPr>
            </w:pPr>
            <w:r w:rsidRPr="000E5D7A">
              <w:rPr>
                <w:b/>
                <w:bCs/>
              </w:rPr>
              <w:lastRenderedPageBreak/>
              <w:t>Table 1</w:t>
            </w:r>
            <w:r>
              <w:rPr>
                <w:b/>
                <w:bCs/>
              </w:rPr>
              <w:t>: Age-specific incidence rates and 95% confidence intervals of leading cancers among children and adolescents by age group and sex, Massachusetts, 2000-2009</w:t>
            </w:r>
          </w:p>
        </w:tc>
      </w:tr>
      <w:tr w:rsidR="004C1E6A" w:rsidTr="00893D8C">
        <w:trPr>
          <w:trHeight w:val="315"/>
        </w:trPr>
        <w:tc>
          <w:tcPr>
            <w:tcW w:w="909" w:type="dxa"/>
            <w:gridSpan w:val="2"/>
            <w:tcBorders>
              <w:top w:val="nil"/>
              <w:left w:val="nil"/>
              <w:bottom w:val="nil"/>
              <w:right w:val="nil"/>
            </w:tcBorders>
            <w:noWrap/>
            <w:vAlign w:val="bottom"/>
          </w:tcPr>
          <w:p w:rsidR="004C1E6A" w:rsidRDefault="004C1E6A" w:rsidP="000821A5"/>
        </w:tc>
        <w:tc>
          <w:tcPr>
            <w:tcW w:w="1908" w:type="dxa"/>
            <w:tcBorders>
              <w:top w:val="nil"/>
              <w:left w:val="nil"/>
              <w:bottom w:val="nil"/>
              <w:right w:val="nil"/>
            </w:tcBorders>
            <w:noWrap/>
            <w:vAlign w:val="bottom"/>
          </w:tcPr>
          <w:p w:rsidR="004C1E6A" w:rsidRDefault="004C1E6A" w:rsidP="000821A5"/>
        </w:tc>
        <w:tc>
          <w:tcPr>
            <w:tcW w:w="2050" w:type="dxa"/>
            <w:tcBorders>
              <w:top w:val="nil"/>
              <w:left w:val="nil"/>
              <w:bottom w:val="nil"/>
              <w:right w:val="nil"/>
            </w:tcBorders>
            <w:noWrap/>
            <w:vAlign w:val="bottom"/>
          </w:tcPr>
          <w:p w:rsidR="004C1E6A" w:rsidRDefault="004C1E6A" w:rsidP="000821A5"/>
        </w:tc>
        <w:tc>
          <w:tcPr>
            <w:tcW w:w="236" w:type="dxa"/>
            <w:tcBorders>
              <w:top w:val="nil"/>
              <w:left w:val="nil"/>
              <w:bottom w:val="nil"/>
              <w:right w:val="nil"/>
            </w:tcBorders>
            <w:noWrap/>
            <w:vAlign w:val="bottom"/>
          </w:tcPr>
          <w:p w:rsidR="004C1E6A" w:rsidRDefault="004C1E6A" w:rsidP="000821A5"/>
        </w:tc>
        <w:tc>
          <w:tcPr>
            <w:tcW w:w="777" w:type="dxa"/>
            <w:tcBorders>
              <w:top w:val="nil"/>
              <w:left w:val="nil"/>
              <w:bottom w:val="nil"/>
              <w:right w:val="nil"/>
            </w:tcBorders>
            <w:noWrap/>
            <w:vAlign w:val="bottom"/>
          </w:tcPr>
          <w:p w:rsidR="004C1E6A" w:rsidRDefault="004C1E6A" w:rsidP="000821A5"/>
        </w:tc>
        <w:tc>
          <w:tcPr>
            <w:tcW w:w="1920" w:type="dxa"/>
            <w:tcBorders>
              <w:top w:val="nil"/>
              <w:left w:val="nil"/>
              <w:bottom w:val="nil"/>
              <w:right w:val="nil"/>
            </w:tcBorders>
            <w:noWrap/>
            <w:vAlign w:val="bottom"/>
          </w:tcPr>
          <w:p w:rsidR="004C1E6A" w:rsidRDefault="004C1E6A" w:rsidP="000821A5"/>
        </w:tc>
        <w:tc>
          <w:tcPr>
            <w:tcW w:w="1912" w:type="dxa"/>
            <w:tcBorders>
              <w:top w:val="nil"/>
              <w:left w:val="nil"/>
              <w:bottom w:val="nil"/>
              <w:right w:val="nil"/>
            </w:tcBorders>
            <w:noWrap/>
            <w:vAlign w:val="bottom"/>
          </w:tcPr>
          <w:p w:rsidR="004C1E6A" w:rsidRDefault="004C1E6A" w:rsidP="000821A5"/>
        </w:tc>
      </w:tr>
      <w:tr w:rsidR="004C1E6A" w:rsidTr="00893D8C">
        <w:trPr>
          <w:trHeight w:val="315"/>
        </w:trPr>
        <w:tc>
          <w:tcPr>
            <w:tcW w:w="2817" w:type="dxa"/>
            <w:gridSpan w:val="3"/>
            <w:tcBorders>
              <w:top w:val="nil"/>
              <w:left w:val="nil"/>
              <w:bottom w:val="nil"/>
              <w:right w:val="nil"/>
            </w:tcBorders>
            <w:noWrap/>
            <w:vAlign w:val="bottom"/>
          </w:tcPr>
          <w:p w:rsidR="004C1E6A" w:rsidRPr="00774CA2" w:rsidRDefault="004C1E6A" w:rsidP="000821A5">
            <w:pPr>
              <w:rPr>
                <w:b/>
              </w:rPr>
            </w:pPr>
            <w:r w:rsidRPr="00774CA2">
              <w:rPr>
                <w:b/>
              </w:rPr>
              <w:t xml:space="preserve">Age 00-04 years </w:t>
            </w:r>
          </w:p>
        </w:tc>
        <w:tc>
          <w:tcPr>
            <w:tcW w:w="2050" w:type="dxa"/>
            <w:tcBorders>
              <w:top w:val="nil"/>
              <w:left w:val="nil"/>
              <w:bottom w:val="nil"/>
              <w:right w:val="nil"/>
            </w:tcBorders>
            <w:noWrap/>
            <w:vAlign w:val="bottom"/>
          </w:tcPr>
          <w:p w:rsidR="004C1E6A" w:rsidRDefault="004C1E6A" w:rsidP="000821A5"/>
        </w:tc>
        <w:tc>
          <w:tcPr>
            <w:tcW w:w="236" w:type="dxa"/>
            <w:tcBorders>
              <w:top w:val="nil"/>
              <w:left w:val="nil"/>
              <w:bottom w:val="nil"/>
              <w:right w:val="nil"/>
            </w:tcBorders>
            <w:noWrap/>
            <w:vAlign w:val="bottom"/>
          </w:tcPr>
          <w:p w:rsidR="004C1E6A" w:rsidRDefault="004C1E6A" w:rsidP="000821A5"/>
        </w:tc>
        <w:tc>
          <w:tcPr>
            <w:tcW w:w="2697" w:type="dxa"/>
            <w:gridSpan w:val="2"/>
            <w:tcBorders>
              <w:top w:val="nil"/>
              <w:left w:val="nil"/>
              <w:bottom w:val="nil"/>
              <w:right w:val="nil"/>
            </w:tcBorders>
            <w:noWrap/>
            <w:vAlign w:val="bottom"/>
          </w:tcPr>
          <w:p w:rsidR="004C1E6A" w:rsidRPr="00774CA2" w:rsidRDefault="004C1E6A" w:rsidP="000821A5">
            <w:pPr>
              <w:rPr>
                <w:b/>
              </w:rPr>
            </w:pPr>
            <w:r w:rsidRPr="00774CA2">
              <w:rPr>
                <w:b/>
              </w:rPr>
              <w:t xml:space="preserve">Age 05-09 years </w:t>
            </w:r>
          </w:p>
        </w:tc>
        <w:tc>
          <w:tcPr>
            <w:tcW w:w="1912" w:type="dxa"/>
            <w:tcBorders>
              <w:top w:val="nil"/>
              <w:left w:val="nil"/>
              <w:bottom w:val="nil"/>
              <w:right w:val="nil"/>
            </w:tcBorders>
            <w:noWrap/>
            <w:vAlign w:val="bottom"/>
          </w:tcPr>
          <w:p w:rsidR="004C1E6A" w:rsidRDefault="004C1E6A" w:rsidP="000821A5"/>
        </w:tc>
      </w:tr>
      <w:tr w:rsidR="004C1E6A" w:rsidTr="00893D8C">
        <w:trPr>
          <w:trHeight w:val="315"/>
        </w:trPr>
        <w:tc>
          <w:tcPr>
            <w:tcW w:w="777"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4C1E6A" w:rsidRDefault="004C1E6A" w:rsidP="000821A5">
            <w:pPr>
              <w:jc w:val="center"/>
              <w:rPr>
                <w:b/>
                <w:bCs/>
              </w:rPr>
            </w:pPr>
            <w:r>
              <w:rPr>
                <w:b/>
                <w:bCs/>
              </w:rPr>
              <w:t>Rank</w:t>
            </w:r>
          </w:p>
        </w:tc>
        <w:tc>
          <w:tcPr>
            <w:tcW w:w="2040" w:type="dxa"/>
            <w:gridSpan w:val="2"/>
            <w:tcBorders>
              <w:top w:val="single" w:sz="4" w:space="0" w:color="auto"/>
              <w:left w:val="nil"/>
              <w:bottom w:val="single" w:sz="4" w:space="0" w:color="auto"/>
              <w:right w:val="single" w:sz="4" w:space="0" w:color="auto"/>
            </w:tcBorders>
            <w:shd w:val="clear" w:color="auto" w:fill="C0C0C0"/>
            <w:noWrap/>
            <w:vAlign w:val="bottom"/>
          </w:tcPr>
          <w:p w:rsidR="004C1E6A" w:rsidRDefault="004C1E6A" w:rsidP="000821A5">
            <w:pPr>
              <w:jc w:val="center"/>
              <w:rPr>
                <w:b/>
                <w:bCs/>
              </w:rPr>
            </w:pPr>
            <w:r>
              <w:rPr>
                <w:b/>
                <w:bCs/>
              </w:rPr>
              <w:t>Males</w:t>
            </w:r>
          </w:p>
        </w:tc>
        <w:tc>
          <w:tcPr>
            <w:tcW w:w="2050" w:type="dxa"/>
            <w:tcBorders>
              <w:top w:val="single" w:sz="4" w:space="0" w:color="auto"/>
              <w:left w:val="nil"/>
              <w:bottom w:val="single" w:sz="4" w:space="0" w:color="auto"/>
              <w:right w:val="single" w:sz="4" w:space="0" w:color="auto"/>
            </w:tcBorders>
            <w:shd w:val="clear" w:color="auto" w:fill="C0C0C0"/>
            <w:noWrap/>
            <w:vAlign w:val="bottom"/>
          </w:tcPr>
          <w:p w:rsidR="004C1E6A" w:rsidRPr="00A90F18" w:rsidRDefault="004C1E6A" w:rsidP="000821A5">
            <w:pPr>
              <w:jc w:val="center"/>
              <w:rPr>
                <w:b/>
                <w:bCs/>
              </w:rPr>
            </w:pPr>
            <w:r w:rsidRPr="00A90F18">
              <w:rPr>
                <w:b/>
                <w:bCs/>
              </w:rPr>
              <w:t>Females</w:t>
            </w:r>
          </w:p>
        </w:tc>
        <w:tc>
          <w:tcPr>
            <w:tcW w:w="236" w:type="dxa"/>
            <w:tcBorders>
              <w:top w:val="nil"/>
              <w:left w:val="nil"/>
              <w:bottom w:val="nil"/>
              <w:right w:val="nil"/>
            </w:tcBorders>
            <w:shd w:val="clear" w:color="auto" w:fill="C0C0C0"/>
            <w:noWrap/>
            <w:vAlign w:val="bottom"/>
          </w:tcPr>
          <w:p w:rsidR="004C1E6A" w:rsidRDefault="004C1E6A" w:rsidP="000821A5"/>
        </w:tc>
        <w:tc>
          <w:tcPr>
            <w:tcW w:w="777"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4C1E6A" w:rsidRDefault="004C1E6A" w:rsidP="000821A5">
            <w:pPr>
              <w:jc w:val="center"/>
              <w:rPr>
                <w:b/>
                <w:bCs/>
              </w:rPr>
            </w:pPr>
            <w:r>
              <w:rPr>
                <w:b/>
                <w:bCs/>
              </w:rPr>
              <w:t>Rank</w:t>
            </w:r>
          </w:p>
        </w:tc>
        <w:tc>
          <w:tcPr>
            <w:tcW w:w="1920" w:type="dxa"/>
            <w:tcBorders>
              <w:top w:val="single" w:sz="4" w:space="0" w:color="auto"/>
              <w:left w:val="nil"/>
              <w:bottom w:val="single" w:sz="4" w:space="0" w:color="auto"/>
              <w:right w:val="single" w:sz="4" w:space="0" w:color="auto"/>
            </w:tcBorders>
            <w:shd w:val="clear" w:color="auto" w:fill="C0C0C0"/>
            <w:noWrap/>
            <w:vAlign w:val="bottom"/>
          </w:tcPr>
          <w:p w:rsidR="004C1E6A" w:rsidRDefault="004C1E6A" w:rsidP="000821A5">
            <w:pPr>
              <w:jc w:val="center"/>
              <w:rPr>
                <w:b/>
                <w:bCs/>
              </w:rPr>
            </w:pPr>
            <w:r>
              <w:rPr>
                <w:b/>
                <w:bCs/>
              </w:rPr>
              <w:t>Males</w:t>
            </w:r>
          </w:p>
        </w:tc>
        <w:tc>
          <w:tcPr>
            <w:tcW w:w="1912" w:type="dxa"/>
            <w:tcBorders>
              <w:top w:val="single" w:sz="4" w:space="0" w:color="auto"/>
              <w:left w:val="nil"/>
              <w:bottom w:val="single" w:sz="4" w:space="0" w:color="auto"/>
              <w:right w:val="single" w:sz="4" w:space="0" w:color="auto"/>
            </w:tcBorders>
            <w:shd w:val="clear" w:color="auto" w:fill="C0C0C0"/>
            <w:noWrap/>
            <w:vAlign w:val="bottom"/>
          </w:tcPr>
          <w:p w:rsidR="004C1E6A" w:rsidRPr="00A90F18" w:rsidRDefault="004C1E6A" w:rsidP="000821A5">
            <w:pPr>
              <w:jc w:val="center"/>
              <w:rPr>
                <w:b/>
                <w:bCs/>
              </w:rPr>
            </w:pPr>
            <w:r w:rsidRPr="00A90F18">
              <w:rPr>
                <w:b/>
                <w:bCs/>
              </w:rPr>
              <w:t>Females</w:t>
            </w:r>
          </w:p>
        </w:tc>
      </w:tr>
      <w:tr w:rsidR="004C1E6A" w:rsidTr="00893D8C">
        <w:trPr>
          <w:trHeight w:val="690"/>
        </w:trPr>
        <w:tc>
          <w:tcPr>
            <w:tcW w:w="777" w:type="dxa"/>
            <w:tcBorders>
              <w:top w:val="nil"/>
              <w:left w:val="single" w:sz="4" w:space="0" w:color="auto"/>
              <w:bottom w:val="single" w:sz="4" w:space="0" w:color="auto"/>
              <w:right w:val="single" w:sz="4" w:space="0" w:color="auto"/>
            </w:tcBorders>
            <w:shd w:val="clear" w:color="auto" w:fill="C0C0C0"/>
            <w:noWrap/>
            <w:vAlign w:val="center"/>
          </w:tcPr>
          <w:p w:rsidR="004C1E6A" w:rsidRDefault="004C1E6A" w:rsidP="000821A5">
            <w:pPr>
              <w:jc w:val="center"/>
              <w:rPr>
                <w:b/>
                <w:bCs/>
              </w:rPr>
            </w:pPr>
          </w:p>
        </w:tc>
        <w:tc>
          <w:tcPr>
            <w:tcW w:w="2040" w:type="dxa"/>
            <w:gridSpan w:val="2"/>
            <w:tcBorders>
              <w:top w:val="nil"/>
              <w:left w:val="nil"/>
              <w:bottom w:val="single" w:sz="4" w:space="0" w:color="auto"/>
              <w:right w:val="single" w:sz="4" w:space="0" w:color="auto"/>
            </w:tcBorders>
            <w:shd w:val="clear" w:color="auto" w:fill="C0C0C0"/>
            <w:vAlign w:val="bottom"/>
          </w:tcPr>
          <w:p w:rsidR="004C1E6A" w:rsidRDefault="004C1E6A" w:rsidP="000821A5">
            <w:pPr>
              <w:jc w:val="center"/>
            </w:pPr>
            <w:r>
              <w:t>All Cancers     23.1 (20.9, 25.2)</w:t>
            </w:r>
          </w:p>
        </w:tc>
        <w:tc>
          <w:tcPr>
            <w:tcW w:w="2050"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All Cancers     23.7 (21.6, 26.0)</w:t>
            </w:r>
          </w:p>
        </w:tc>
        <w:tc>
          <w:tcPr>
            <w:tcW w:w="236" w:type="dxa"/>
            <w:tcBorders>
              <w:top w:val="nil"/>
              <w:left w:val="nil"/>
              <w:bottom w:val="nil"/>
              <w:right w:val="nil"/>
            </w:tcBorders>
            <w:shd w:val="clear" w:color="auto" w:fill="C0C0C0"/>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shd w:val="clear" w:color="auto" w:fill="C0C0C0"/>
            <w:noWrap/>
            <w:vAlign w:val="center"/>
          </w:tcPr>
          <w:p w:rsidR="004C1E6A" w:rsidRDefault="004C1E6A" w:rsidP="000821A5">
            <w:pPr>
              <w:jc w:val="center"/>
              <w:rPr>
                <w:b/>
                <w:bCs/>
              </w:rPr>
            </w:pPr>
          </w:p>
        </w:tc>
        <w:tc>
          <w:tcPr>
            <w:tcW w:w="1920" w:type="dxa"/>
            <w:tcBorders>
              <w:top w:val="nil"/>
              <w:left w:val="nil"/>
              <w:bottom w:val="single" w:sz="4" w:space="0" w:color="auto"/>
              <w:right w:val="single" w:sz="4" w:space="0" w:color="auto"/>
            </w:tcBorders>
            <w:shd w:val="clear" w:color="auto" w:fill="C0C0C0"/>
            <w:vAlign w:val="bottom"/>
          </w:tcPr>
          <w:p w:rsidR="004C1E6A" w:rsidRDefault="004C1E6A" w:rsidP="000821A5">
            <w:pPr>
              <w:jc w:val="center"/>
            </w:pPr>
            <w:r>
              <w:t>All Cancers   13.6 (12.0, 15.2)</w:t>
            </w:r>
          </w:p>
        </w:tc>
        <w:tc>
          <w:tcPr>
            <w:tcW w:w="1912"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All Cancers     10.9 (9.5, 12.4)</w:t>
            </w:r>
          </w:p>
        </w:tc>
      </w:tr>
      <w:tr w:rsidR="004C1E6A" w:rsidTr="00893D8C">
        <w:trPr>
          <w:trHeight w:val="690"/>
        </w:trPr>
        <w:tc>
          <w:tcPr>
            <w:tcW w:w="777" w:type="dxa"/>
            <w:tcBorders>
              <w:top w:val="nil"/>
              <w:left w:val="single" w:sz="4" w:space="0" w:color="auto"/>
              <w:bottom w:val="single" w:sz="4" w:space="0" w:color="auto"/>
              <w:right w:val="single" w:sz="4" w:space="0" w:color="auto"/>
            </w:tcBorders>
            <w:noWrap/>
            <w:vAlign w:val="center"/>
          </w:tcPr>
          <w:p w:rsidR="004C1E6A" w:rsidRDefault="004C1E6A" w:rsidP="000821A5">
            <w:pPr>
              <w:jc w:val="center"/>
              <w:rPr>
                <w:b/>
                <w:bCs/>
              </w:rPr>
            </w:pPr>
            <w:r>
              <w:rPr>
                <w:b/>
                <w:bCs/>
              </w:rPr>
              <w:t>1</w:t>
            </w:r>
          </w:p>
        </w:tc>
        <w:tc>
          <w:tcPr>
            <w:tcW w:w="2040" w:type="dxa"/>
            <w:gridSpan w:val="2"/>
            <w:tcBorders>
              <w:top w:val="nil"/>
              <w:left w:val="nil"/>
              <w:bottom w:val="single" w:sz="4" w:space="0" w:color="auto"/>
              <w:right w:val="single" w:sz="4" w:space="0" w:color="auto"/>
            </w:tcBorders>
            <w:vAlign w:val="bottom"/>
          </w:tcPr>
          <w:p w:rsidR="004C1E6A" w:rsidRPr="001E0BBA" w:rsidRDefault="004C1E6A" w:rsidP="000821A5">
            <w:pPr>
              <w:jc w:val="center"/>
            </w:pPr>
            <w:r w:rsidRPr="001E0BBA">
              <w:t>Leukemia          8.0 (6.7, 9.2)</w:t>
            </w:r>
          </w:p>
        </w:tc>
        <w:tc>
          <w:tcPr>
            <w:tcW w:w="2050" w:type="dxa"/>
            <w:tcBorders>
              <w:top w:val="nil"/>
              <w:left w:val="nil"/>
              <w:bottom w:val="single" w:sz="4" w:space="0" w:color="auto"/>
              <w:right w:val="single" w:sz="4" w:space="0" w:color="auto"/>
            </w:tcBorders>
            <w:vAlign w:val="bottom"/>
          </w:tcPr>
          <w:p w:rsidR="004C1E6A" w:rsidRPr="00A90F18" w:rsidRDefault="004C1E6A" w:rsidP="000821A5">
            <w:pPr>
              <w:jc w:val="center"/>
            </w:pPr>
            <w:r w:rsidRPr="00A90F18">
              <w:t xml:space="preserve">Leukemia       </w:t>
            </w:r>
          </w:p>
          <w:p w:rsidR="004C1E6A" w:rsidRPr="00A90F18" w:rsidRDefault="004C1E6A" w:rsidP="000821A5">
            <w:pPr>
              <w:jc w:val="center"/>
            </w:pPr>
            <w:r w:rsidRPr="00A90F18">
              <w:t>9.0 (7.6, 10.3)</w:t>
            </w:r>
          </w:p>
        </w:tc>
        <w:tc>
          <w:tcPr>
            <w:tcW w:w="236" w:type="dxa"/>
            <w:tcBorders>
              <w:top w:val="nil"/>
              <w:left w:val="nil"/>
              <w:bottom w:val="nil"/>
              <w:right w:val="nil"/>
            </w:tcBorders>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noWrap/>
            <w:vAlign w:val="center"/>
          </w:tcPr>
          <w:p w:rsidR="004C1E6A" w:rsidRDefault="004C1E6A" w:rsidP="000821A5">
            <w:pPr>
              <w:jc w:val="center"/>
              <w:rPr>
                <w:b/>
                <w:bCs/>
              </w:rPr>
            </w:pPr>
            <w:r>
              <w:rPr>
                <w:b/>
                <w:bCs/>
              </w:rPr>
              <w:t>1</w:t>
            </w:r>
          </w:p>
        </w:tc>
        <w:tc>
          <w:tcPr>
            <w:tcW w:w="1920" w:type="dxa"/>
            <w:tcBorders>
              <w:top w:val="nil"/>
              <w:left w:val="nil"/>
              <w:bottom w:val="single" w:sz="4" w:space="0" w:color="auto"/>
              <w:right w:val="single" w:sz="4" w:space="0" w:color="auto"/>
            </w:tcBorders>
            <w:vAlign w:val="bottom"/>
          </w:tcPr>
          <w:p w:rsidR="004C1E6A" w:rsidRDefault="004C1E6A" w:rsidP="000821A5">
            <w:pPr>
              <w:jc w:val="center"/>
            </w:pPr>
            <w:r>
              <w:t>Central Nervous System               4.6 (3.7, 5.5)</w:t>
            </w:r>
          </w:p>
        </w:tc>
        <w:tc>
          <w:tcPr>
            <w:tcW w:w="1912" w:type="dxa"/>
            <w:tcBorders>
              <w:top w:val="nil"/>
              <w:left w:val="nil"/>
              <w:bottom w:val="single" w:sz="4" w:space="0" w:color="auto"/>
              <w:right w:val="single" w:sz="4" w:space="0" w:color="auto"/>
            </w:tcBorders>
            <w:vAlign w:val="bottom"/>
          </w:tcPr>
          <w:p w:rsidR="004C1E6A" w:rsidRPr="00A90F18" w:rsidRDefault="004C1E6A" w:rsidP="000821A5">
            <w:pPr>
              <w:jc w:val="center"/>
            </w:pPr>
            <w:r w:rsidRPr="00A90F18">
              <w:t>Central Nervous System               3.5 (2.7, 4.4)</w:t>
            </w:r>
          </w:p>
        </w:tc>
      </w:tr>
      <w:tr w:rsidR="004C1E6A" w:rsidTr="00893D8C">
        <w:trPr>
          <w:trHeight w:val="630"/>
        </w:trPr>
        <w:tc>
          <w:tcPr>
            <w:tcW w:w="777" w:type="dxa"/>
            <w:tcBorders>
              <w:top w:val="nil"/>
              <w:left w:val="single" w:sz="4" w:space="0" w:color="auto"/>
              <w:bottom w:val="single" w:sz="4" w:space="0" w:color="auto"/>
              <w:right w:val="single" w:sz="4" w:space="0" w:color="auto"/>
            </w:tcBorders>
            <w:shd w:val="clear" w:color="auto" w:fill="C0C0C0"/>
            <w:noWrap/>
            <w:vAlign w:val="center"/>
          </w:tcPr>
          <w:p w:rsidR="004C1E6A" w:rsidRDefault="004C1E6A" w:rsidP="000821A5">
            <w:pPr>
              <w:jc w:val="center"/>
              <w:rPr>
                <w:b/>
                <w:bCs/>
              </w:rPr>
            </w:pPr>
            <w:r>
              <w:rPr>
                <w:b/>
                <w:bCs/>
              </w:rPr>
              <w:t>2</w:t>
            </w:r>
          </w:p>
        </w:tc>
        <w:tc>
          <w:tcPr>
            <w:tcW w:w="2040" w:type="dxa"/>
            <w:gridSpan w:val="2"/>
            <w:tcBorders>
              <w:top w:val="nil"/>
              <w:left w:val="nil"/>
              <w:bottom w:val="single" w:sz="4" w:space="0" w:color="auto"/>
              <w:right w:val="single" w:sz="4" w:space="0" w:color="auto"/>
            </w:tcBorders>
            <w:shd w:val="clear" w:color="auto" w:fill="C0C0C0"/>
            <w:vAlign w:val="bottom"/>
          </w:tcPr>
          <w:p w:rsidR="004C1E6A" w:rsidRPr="001E0BBA" w:rsidRDefault="004C1E6A" w:rsidP="000821A5">
            <w:pPr>
              <w:jc w:val="center"/>
            </w:pPr>
            <w:r w:rsidRPr="001E0BBA">
              <w:t>Central Nervous System                  4.6 (3.6, 5.5)</w:t>
            </w:r>
          </w:p>
        </w:tc>
        <w:tc>
          <w:tcPr>
            <w:tcW w:w="2050"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 xml:space="preserve">Central Nervous System                 </w:t>
            </w:r>
          </w:p>
          <w:p w:rsidR="004C1E6A" w:rsidRPr="00A90F18" w:rsidRDefault="004C1E6A" w:rsidP="000821A5">
            <w:pPr>
              <w:jc w:val="center"/>
            </w:pPr>
            <w:r w:rsidRPr="00A90F18">
              <w:t xml:space="preserve"> 4.7 (3.7, 5.7)</w:t>
            </w:r>
          </w:p>
        </w:tc>
        <w:tc>
          <w:tcPr>
            <w:tcW w:w="236" w:type="dxa"/>
            <w:tcBorders>
              <w:top w:val="nil"/>
              <w:left w:val="nil"/>
              <w:bottom w:val="nil"/>
              <w:right w:val="nil"/>
            </w:tcBorders>
            <w:shd w:val="clear" w:color="auto" w:fill="C0C0C0"/>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shd w:val="clear" w:color="auto" w:fill="C0C0C0"/>
            <w:noWrap/>
            <w:vAlign w:val="center"/>
          </w:tcPr>
          <w:p w:rsidR="004C1E6A" w:rsidRDefault="004C1E6A" w:rsidP="000821A5">
            <w:pPr>
              <w:jc w:val="center"/>
              <w:rPr>
                <w:b/>
                <w:bCs/>
              </w:rPr>
            </w:pPr>
            <w:r>
              <w:rPr>
                <w:b/>
                <w:bCs/>
              </w:rPr>
              <w:t>2</w:t>
            </w:r>
          </w:p>
        </w:tc>
        <w:tc>
          <w:tcPr>
            <w:tcW w:w="1920" w:type="dxa"/>
            <w:tcBorders>
              <w:top w:val="nil"/>
              <w:left w:val="nil"/>
              <w:bottom w:val="single" w:sz="4" w:space="0" w:color="auto"/>
              <w:right w:val="single" w:sz="4" w:space="0" w:color="auto"/>
            </w:tcBorders>
            <w:shd w:val="clear" w:color="auto" w:fill="C0C0C0"/>
            <w:vAlign w:val="bottom"/>
          </w:tcPr>
          <w:p w:rsidR="004C1E6A" w:rsidRDefault="004C1E6A" w:rsidP="000821A5">
            <w:pPr>
              <w:jc w:val="center"/>
            </w:pPr>
            <w:r>
              <w:t>Leukemia        3.6 (2.7, 4.4)</w:t>
            </w:r>
          </w:p>
        </w:tc>
        <w:tc>
          <w:tcPr>
            <w:tcW w:w="1912"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 xml:space="preserve">  Leukemia       3.0 (2.2, 3.7)</w:t>
            </w:r>
          </w:p>
        </w:tc>
      </w:tr>
      <w:tr w:rsidR="004C1E6A" w:rsidTr="00893D8C">
        <w:trPr>
          <w:trHeight w:val="630"/>
        </w:trPr>
        <w:tc>
          <w:tcPr>
            <w:tcW w:w="777" w:type="dxa"/>
            <w:tcBorders>
              <w:top w:val="nil"/>
              <w:left w:val="single" w:sz="4" w:space="0" w:color="auto"/>
              <w:bottom w:val="single" w:sz="4" w:space="0" w:color="auto"/>
              <w:right w:val="single" w:sz="4" w:space="0" w:color="auto"/>
            </w:tcBorders>
            <w:noWrap/>
            <w:vAlign w:val="center"/>
          </w:tcPr>
          <w:p w:rsidR="004C1E6A" w:rsidRDefault="004C1E6A" w:rsidP="000821A5">
            <w:pPr>
              <w:jc w:val="center"/>
              <w:rPr>
                <w:b/>
                <w:bCs/>
              </w:rPr>
            </w:pPr>
            <w:r>
              <w:rPr>
                <w:b/>
                <w:bCs/>
              </w:rPr>
              <w:t>3</w:t>
            </w:r>
          </w:p>
        </w:tc>
        <w:tc>
          <w:tcPr>
            <w:tcW w:w="2040" w:type="dxa"/>
            <w:gridSpan w:val="2"/>
            <w:tcBorders>
              <w:top w:val="nil"/>
              <w:left w:val="nil"/>
              <w:bottom w:val="single" w:sz="4" w:space="0" w:color="auto"/>
              <w:right w:val="single" w:sz="4" w:space="0" w:color="auto"/>
            </w:tcBorders>
            <w:vAlign w:val="bottom"/>
          </w:tcPr>
          <w:p w:rsidR="004C1E6A" w:rsidRPr="001E0BBA" w:rsidRDefault="004C1E6A" w:rsidP="000821A5">
            <w:pPr>
              <w:jc w:val="center"/>
            </w:pPr>
            <w:r w:rsidRPr="001E0BBA">
              <w:t>Peripheral Nervous System                   4.3 (3.4, 5.2)</w:t>
            </w:r>
          </w:p>
        </w:tc>
        <w:tc>
          <w:tcPr>
            <w:tcW w:w="2050" w:type="dxa"/>
            <w:tcBorders>
              <w:top w:val="nil"/>
              <w:left w:val="nil"/>
              <w:bottom w:val="single" w:sz="4" w:space="0" w:color="auto"/>
              <w:right w:val="single" w:sz="4" w:space="0" w:color="auto"/>
            </w:tcBorders>
            <w:vAlign w:val="bottom"/>
          </w:tcPr>
          <w:p w:rsidR="004C1E6A" w:rsidRPr="00A90F18" w:rsidRDefault="004C1E6A" w:rsidP="000821A5">
            <w:pPr>
              <w:jc w:val="center"/>
            </w:pPr>
            <w:r w:rsidRPr="00A90F18">
              <w:t xml:space="preserve">Peripheral Nervous System          </w:t>
            </w:r>
          </w:p>
          <w:p w:rsidR="004C1E6A" w:rsidRPr="00A90F18" w:rsidRDefault="004C1E6A" w:rsidP="000821A5">
            <w:pPr>
              <w:jc w:val="center"/>
            </w:pPr>
            <w:r w:rsidRPr="00A90F18">
              <w:t>3.8 (2.9, 4.7)</w:t>
            </w:r>
          </w:p>
        </w:tc>
        <w:tc>
          <w:tcPr>
            <w:tcW w:w="236" w:type="dxa"/>
            <w:tcBorders>
              <w:top w:val="nil"/>
              <w:left w:val="nil"/>
              <w:bottom w:val="nil"/>
              <w:right w:val="nil"/>
            </w:tcBorders>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noWrap/>
            <w:vAlign w:val="center"/>
          </w:tcPr>
          <w:p w:rsidR="004C1E6A" w:rsidRDefault="004C1E6A" w:rsidP="000821A5">
            <w:pPr>
              <w:jc w:val="center"/>
              <w:rPr>
                <w:b/>
                <w:bCs/>
              </w:rPr>
            </w:pPr>
            <w:r>
              <w:rPr>
                <w:b/>
                <w:bCs/>
              </w:rPr>
              <w:t>3</w:t>
            </w:r>
          </w:p>
        </w:tc>
        <w:tc>
          <w:tcPr>
            <w:tcW w:w="1920" w:type="dxa"/>
            <w:tcBorders>
              <w:top w:val="nil"/>
              <w:left w:val="nil"/>
              <w:bottom w:val="single" w:sz="4" w:space="0" w:color="auto"/>
              <w:right w:val="single" w:sz="4" w:space="0" w:color="auto"/>
            </w:tcBorders>
            <w:vAlign w:val="bottom"/>
          </w:tcPr>
          <w:p w:rsidR="004C1E6A" w:rsidRDefault="004C1E6A" w:rsidP="000821A5">
            <w:pPr>
              <w:jc w:val="center"/>
            </w:pPr>
            <w:r>
              <w:t>Lymphoma     2.4 (1.7, 3.0)</w:t>
            </w:r>
          </w:p>
        </w:tc>
        <w:tc>
          <w:tcPr>
            <w:tcW w:w="1912" w:type="dxa"/>
            <w:tcBorders>
              <w:top w:val="nil"/>
              <w:left w:val="nil"/>
              <w:bottom w:val="single" w:sz="4" w:space="0" w:color="auto"/>
              <w:right w:val="single" w:sz="4" w:space="0" w:color="auto"/>
            </w:tcBorders>
            <w:vAlign w:val="bottom"/>
          </w:tcPr>
          <w:p w:rsidR="004C1E6A" w:rsidRPr="00A90F18" w:rsidRDefault="004C1E6A" w:rsidP="000821A5">
            <w:pPr>
              <w:jc w:val="center"/>
            </w:pPr>
            <w:r w:rsidRPr="00A90F18">
              <w:t>Soft Tissue Sarcomas         1.0 (0.5, 1.4)</w:t>
            </w:r>
          </w:p>
        </w:tc>
      </w:tr>
      <w:tr w:rsidR="004C1E6A" w:rsidTr="00893D8C">
        <w:trPr>
          <w:trHeight w:val="630"/>
        </w:trPr>
        <w:tc>
          <w:tcPr>
            <w:tcW w:w="777" w:type="dxa"/>
            <w:tcBorders>
              <w:top w:val="nil"/>
              <w:left w:val="single" w:sz="4" w:space="0" w:color="auto"/>
              <w:bottom w:val="single" w:sz="4" w:space="0" w:color="auto"/>
              <w:right w:val="single" w:sz="4" w:space="0" w:color="auto"/>
            </w:tcBorders>
            <w:shd w:val="clear" w:color="auto" w:fill="C0C0C0"/>
            <w:noWrap/>
            <w:vAlign w:val="center"/>
          </w:tcPr>
          <w:p w:rsidR="004C1E6A" w:rsidRDefault="004C1E6A" w:rsidP="000821A5">
            <w:pPr>
              <w:jc w:val="center"/>
              <w:rPr>
                <w:b/>
                <w:bCs/>
              </w:rPr>
            </w:pPr>
            <w:r>
              <w:rPr>
                <w:b/>
                <w:bCs/>
              </w:rPr>
              <w:t>4</w:t>
            </w:r>
          </w:p>
        </w:tc>
        <w:tc>
          <w:tcPr>
            <w:tcW w:w="2040" w:type="dxa"/>
            <w:gridSpan w:val="2"/>
            <w:tcBorders>
              <w:top w:val="nil"/>
              <w:left w:val="nil"/>
              <w:bottom w:val="single" w:sz="4" w:space="0" w:color="auto"/>
              <w:right w:val="single" w:sz="4" w:space="0" w:color="auto"/>
            </w:tcBorders>
            <w:shd w:val="clear" w:color="auto" w:fill="C0C0C0"/>
            <w:vAlign w:val="bottom"/>
          </w:tcPr>
          <w:p w:rsidR="004C1E6A" w:rsidRPr="001E0BBA" w:rsidRDefault="004C1E6A" w:rsidP="000821A5">
            <w:pPr>
              <w:jc w:val="center"/>
            </w:pPr>
            <w:r w:rsidRPr="001E0BBA">
              <w:t>Renal Tumors                   1.8 (1.2, 2.3)</w:t>
            </w:r>
          </w:p>
        </w:tc>
        <w:tc>
          <w:tcPr>
            <w:tcW w:w="2050"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 xml:space="preserve">Renal Tumor              </w:t>
            </w:r>
          </w:p>
          <w:p w:rsidR="004C1E6A" w:rsidRPr="00A90F18" w:rsidRDefault="004C1E6A" w:rsidP="000821A5">
            <w:pPr>
              <w:jc w:val="center"/>
            </w:pPr>
            <w:r w:rsidRPr="00A90F18">
              <w:t xml:space="preserve"> 1.7 (1.1, 2.3)</w:t>
            </w:r>
          </w:p>
        </w:tc>
        <w:tc>
          <w:tcPr>
            <w:tcW w:w="236" w:type="dxa"/>
            <w:tcBorders>
              <w:top w:val="nil"/>
              <w:left w:val="nil"/>
              <w:bottom w:val="nil"/>
              <w:right w:val="nil"/>
            </w:tcBorders>
            <w:shd w:val="clear" w:color="auto" w:fill="C0C0C0"/>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shd w:val="clear" w:color="auto" w:fill="C0C0C0"/>
            <w:noWrap/>
            <w:vAlign w:val="center"/>
          </w:tcPr>
          <w:p w:rsidR="004C1E6A" w:rsidRDefault="004C1E6A" w:rsidP="000821A5">
            <w:pPr>
              <w:jc w:val="center"/>
              <w:rPr>
                <w:b/>
                <w:bCs/>
              </w:rPr>
            </w:pPr>
            <w:r>
              <w:rPr>
                <w:b/>
                <w:bCs/>
              </w:rPr>
              <w:t>4</w:t>
            </w:r>
          </w:p>
        </w:tc>
        <w:tc>
          <w:tcPr>
            <w:tcW w:w="1920" w:type="dxa"/>
            <w:tcBorders>
              <w:top w:val="nil"/>
              <w:left w:val="nil"/>
              <w:bottom w:val="single" w:sz="4" w:space="0" w:color="auto"/>
              <w:right w:val="single" w:sz="4" w:space="0" w:color="auto"/>
            </w:tcBorders>
            <w:shd w:val="clear" w:color="auto" w:fill="C0C0C0"/>
            <w:vAlign w:val="bottom"/>
          </w:tcPr>
          <w:p w:rsidR="004C1E6A" w:rsidRDefault="004C1E6A" w:rsidP="000821A5">
            <w:pPr>
              <w:jc w:val="center"/>
            </w:pPr>
            <w:r>
              <w:t>Soft tissue sarcoma           0.9 (0.5, 1.3)</w:t>
            </w:r>
          </w:p>
        </w:tc>
        <w:tc>
          <w:tcPr>
            <w:tcW w:w="1912"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 xml:space="preserve"> Renal Tumor     0.9 (0.5, 1.3)</w:t>
            </w:r>
          </w:p>
        </w:tc>
      </w:tr>
      <w:tr w:rsidR="004C1E6A" w:rsidTr="00893D8C">
        <w:trPr>
          <w:trHeight w:val="630"/>
        </w:trPr>
        <w:tc>
          <w:tcPr>
            <w:tcW w:w="777" w:type="dxa"/>
            <w:tcBorders>
              <w:top w:val="nil"/>
              <w:left w:val="single" w:sz="4" w:space="0" w:color="auto"/>
              <w:bottom w:val="single" w:sz="4" w:space="0" w:color="auto"/>
              <w:right w:val="single" w:sz="4" w:space="0" w:color="auto"/>
            </w:tcBorders>
            <w:noWrap/>
            <w:vAlign w:val="center"/>
          </w:tcPr>
          <w:p w:rsidR="004C1E6A" w:rsidRDefault="004C1E6A" w:rsidP="000821A5">
            <w:pPr>
              <w:jc w:val="center"/>
              <w:rPr>
                <w:b/>
                <w:bCs/>
              </w:rPr>
            </w:pPr>
            <w:r>
              <w:rPr>
                <w:b/>
                <w:bCs/>
              </w:rPr>
              <w:t>5</w:t>
            </w:r>
          </w:p>
        </w:tc>
        <w:tc>
          <w:tcPr>
            <w:tcW w:w="2040" w:type="dxa"/>
            <w:gridSpan w:val="2"/>
            <w:tcBorders>
              <w:top w:val="nil"/>
              <w:left w:val="nil"/>
              <w:bottom w:val="single" w:sz="4" w:space="0" w:color="auto"/>
              <w:right w:val="single" w:sz="4" w:space="0" w:color="auto"/>
            </w:tcBorders>
            <w:vAlign w:val="bottom"/>
          </w:tcPr>
          <w:p w:rsidR="004C1E6A" w:rsidRPr="001E0BBA" w:rsidRDefault="004C1E6A" w:rsidP="000821A5">
            <w:pPr>
              <w:jc w:val="center"/>
            </w:pPr>
            <w:r w:rsidRPr="001E0BBA">
              <w:t>Soft Tissue Sarcoma            1.3 (0.8, 1.9)</w:t>
            </w:r>
          </w:p>
        </w:tc>
        <w:tc>
          <w:tcPr>
            <w:tcW w:w="2050" w:type="dxa"/>
            <w:tcBorders>
              <w:top w:val="nil"/>
              <w:left w:val="nil"/>
              <w:bottom w:val="single" w:sz="4" w:space="0" w:color="auto"/>
              <w:right w:val="single" w:sz="4" w:space="0" w:color="auto"/>
            </w:tcBorders>
            <w:vAlign w:val="bottom"/>
          </w:tcPr>
          <w:p w:rsidR="004C1E6A" w:rsidRPr="00A90F18" w:rsidRDefault="004C1E6A" w:rsidP="000821A5">
            <w:pPr>
              <w:jc w:val="center"/>
            </w:pPr>
            <w:r w:rsidRPr="00A90F18">
              <w:t xml:space="preserve">Retinoblastoma </w:t>
            </w:r>
          </w:p>
          <w:p w:rsidR="004C1E6A" w:rsidRPr="00A90F18" w:rsidRDefault="004C1E6A" w:rsidP="000821A5">
            <w:pPr>
              <w:jc w:val="center"/>
            </w:pPr>
            <w:r w:rsidRPr="00A90F18">
              <w:t>1.3 (0.7, 1.8)</w:t>
            </w:r>
          </w:p>
        </w:tc>
        <w:tc>
          <w:tcPr>
            <w:tcW w:w="236" w:type="dxa"/>
            <w:tcBorders>
              <w:top w:val="nil"/>
              <w:left w:val="nil"/>
              <w:bottom w:val="nil"/>
              <w:right w:val="nil"/>
            </w:tcBorders>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noWrap/>
            <w:vAlign w:val="center"/>
          </w:tcPr>
          <w:p w:rsidR="004C1E6A" w:rsidRDefault="004C1E6A" w:rsidP="000821A5">
            <w:pPr>
              <w:jc w:val="center"/>
              <w:rPr>
                <w:b/>
                <w:bCs/>
              </w:rPr>
            </w:pPr>
            <w:r>
              <w:rPr>
                <w:b/>
                <w:bCs/>
              </w:rPr>
              <w:t>5</w:t>
            </w:r>
          </w:p>
        </w:tc>
        <w:tc>
          <w:tcPr>
            <w:tcW w:w="1920" w:type="dxa"/>
            <w:tcBorders>
              <w:top w:val="nil"/>
              <w:left w:val="nil"/>
              <w:bottom w:val="single" w:sz="4" w:space="0" w:color="auto"/>
              <w:right w:val="single" w:sz="4" w:space="0" w:color="auto"/>
            </w:tcBorders>
            <w:vAlign w:val="bottom"/>
          </w:tcPr>
          <w:p w:rsidR="004C1E6A" w:rsidRDefault="004C1E6A" w:rsidP="000821A5">
            <w:pPr>
              <w:jc w:val="center"/>
            </w:pPr>
            <w:r>
              <w:t>Renal Tumor              0.6 (0.3, 0.9)</w:t>
            </w:r>
          </w:p>
        </w:tc>
        <w:tc>
          <w:tcPr>
            <w:tcW w:w="1912" w:type="dxa"/>
            <w:tcBorders>
              <w:top w:val="nil"/>
              <w:left w:val="nil"/>
              <w:bottom w:val="single" w:sz="4" w:space="0" w:color="auto"/>
              <w:right w:val="single" w:sz="4" w:space="0" w:color="auto"/>
            </w:tcBorders>
            <w:vAlign w:val="bottom"/>
          </w:tcPr>
          <w:p w:rsidR="004C1E6A" w:rsidRPr="00A90F18" w:rsidRDefault="004C1E6A" w:rsidP="000821A5">
            <w:pPr>
              <w:jc w:val="center"/>
            </w:pPr>
            <w:r w:rsidRPr="00A90F18">
              <w:t xml:space="preserve">Lymphoma     0.7 (0.3, 1.1)                </w:t>
            </w:r>
          </w:p>
        </w:tc>
      </w:tr>
      <w:tr w:rsidR="004C1E6A" w:rsidTr="00893D8C">
        <w:trPr>
          <w:trHeight w:val="315"/>
        </w:trPr>
        <w:tc>
          <w:tcPr>
            <w:tcW w:w="777" w:type="dxa"/>
            <w:tcBorders>
              <w:top w:val="nil"/>
              <w:left w:val="nil"/>
              <w:bottom w:val="nil"/>
              <w:right w:val="nil"/>
            </w:tcBorders>
            <w:noWrap/>
            <w:vAlign w:val="bottom"/>
          </w:tcPr>
          <w:p w:rsidR="004C1E6A" w:rsidRDefault="004C1E6A" w:rsidP="000821A5"/>
        </w:tc>
        <w:tc>
          <w:tcPr>
            <w:tcW w:w="2040" w:type="dxa"/>
            <w:gridSpan w:val="2"/>
            <w:tcBorders>
              <w:top w:val="nil"/>
              <w:left w:val="nil"/>
              <w:bottom w:val="nil"/>
              <w:right w:val="nil"/>
            </w:tcBorders>
            <w:noWrap/>
            <w:vAlign w:val="bottom"/>
          </w:tcPr>
          <w:p w:rsidR="004C1E6A" w:rsidRPr="001E0BBA" w:rsidRDefault="004C1E6A" w:rsidP="000821A5"/>
        </w:tc>
        <w:tc>
          <w:tcPr>
            <w:tcW w:w="2050" w:type="dxa"/>
            <w:tcBorders>
              <w:top w:val="nil"/>
              <w:left w:val="nil"/>
              <w:bottom w:val="nil"/>
              <w:right w:val="nil"/>
            </w:tcBorders>
            <w:noWrap/>
            <w:vAlign w:val="bottom"/>
          </w:tcPr>
          <w:p w:rsidR="004C1E6A" w:rsidRPr="001E0BBA" w:rsidRDefault="004C1E6A" w:rsidP="000821A5">
            <w:pPr>
              <w:rPr>
                <w:highlight w:val="yellow"/>
              </w:rPr>
            </w:pPr>
          </w:p>
        </w:tc>
        <w:tc>
          <w:tcPr>
            <w:tcW w:w="236" w:type="dxa"/>
            <w:tcBorders>
              <w:top w:val="nil"/>
              <w:left w:val="nil"/>
              <w:bottom w:val="nil"/>
              <w:right w:val="nil"/>
            </w:tcBorders>
            <w:noWrap/>
            <w:vAlign w:val="bottom"/>
          </w:tcPr>
          <w:p w:rsidR="004C1E6A" w:rsidRDefault="004C1E6A" w:rsidP="000821A5"/>
        </w:tc>
        <w:tc>
          <w:tcPr>
            <w:tcW w:w="777" w:type="dxa"/>
            <w:tcBorders>
              <w:top w:val="nil"/>
              <w:left w:val="nil"/>
              <w:bottom w:val="nil"/>
              <w:right w:val="nil"/>
            </w:tcBorders>
            <w:noWrap/>
            <w:vAlign w:val="bottom"/>
          </w:tcPr>
          <w:p w:rsidR="004C1E6A" w:rsidRDefault="004C1E6A" w:rsidP="000821A5"/>
        </w:tc>
        <w:tc>
          <w:tcPr>
            <w:tcW w:w="1920" w:type="dxa"/>
            <w:tcBorders>
              <w:top w:val="nil"/>
              <w:left w:val="nil"/>
              <w:bottom w:val="nil"/>
              <w:right w:val="nil"/>
            </w:tcBorders>
            <w:noWrap/>
            <w:vAlign w:val="bottom"/>
          </w:tcPr>
          <w:p w:rsidR="004C1E6A" w:rsidRDefault="004C1E6A" w:rsidP="000821A5"/>
        </w:tc>
        <w:tc>
          <w:tcPr>
            <w:tcW w:w="1912" w:type="dxa"/>
            <w:tcBorders>
              <w:top w:val="nil"/>
              <w:left w:val="nil"/>
              <w:bottom w:val="nil"/>
              <w:right w:val="nil"/>
            </w:tcBorders>
            <w:noWrap/>
            <w:vAlign w:val="bottom"/>
          </w:tcPr>
          <w:p w:rsidR="004C1E6A" w:rsidRPr="001E0BBA" w:rsidRDefault="004C1E6A" w:rsidP="000821A5">
            <w:pPr>
              <w:rPr>
                <w:highlight w:val="yellow"/>
              </w:rPr>
            </w:pPr>
          </w:p>
        </w:tc>
      </w:tr>
      <w:tr w:rsidR="004C1E6A" w:rsidTr="00893D8C">
        <w:trPr>
          <w:trHeight w:val="315"/>
        </w:trPr>
        <w:tc>
          <w:tcPr>
            <w:tcW w:w="2817" w:type="dxa"/>
            <w:gridSpan w:val="3"/>
            <w:tcBorders>
              <w:top w:val="nil"/>
              <w:left w:val="nil"/>
              <w:bottom w:val="nil"/>
              <w:right w:val="nil"/>
            </w:tcBorders>
            <w:noWrap/>
            <w:vAlign w:val="bottom"/>
          </w:tcPr>
          <w:p w:rsidR="004C1E6A" w:rsidRPr="001E0BBA" w:rsidRDefault="004C1E6A" w:rsidP="000821A5">
            <w:pPr>
              <w:rPr>
                <w:b/>
              </w:rPr>
            </w:pPr>
            <w:r w:rsidRPr="001E0BBA">
              <w:rPr>
                <w:b/>
              </w:rPr>
              <w:t xml:space="preserve">Age 10-14 years </w:t>
            </w:r>
          </w:p>
        </w:tc>
        <w:tc>
          <w:tcPr>
            <w:tcW w:w="2050" w:type="dxa"/>
            <w:tcBorders>
              <w:top w:val="nil"/>
              <w:left w:val="nil"/>
              <w:bottom w:val="nil"/>
              <w:right w:val="nil"/>
            </w:tcBorders>
            <w:noWrap/>
            <w:vAlign w:val="bottom"/>
          </w:tcPr>
          <w:p w:rsidR="004C1E6A" w:rsidRPr="001E0BBA" w:rsidRDefault="004C1E6A" w:rsidP="000821A5">
            <w:pPr>
              <w:rPr>
                <w:highlight w:val="yellow"/>
              </w:rPr>
            </w:pPr>
          </w:p>
        </w:tc>
        <w:tc>
          <w:tcPr>
            <w:tcW w:w="236" w:type="dxa"/>
            <w:tcBorders>
              <w:top w:val="nil"/>
              <w:left w:val="nil"/>
              <w:bottom w:val="nil"/>
              <w:right w:val="nil"/>
            </w:tcBorders>
            <w:noWrap/>
            <w:vAlign w:val="bottom"/>
          </w:tcPr>
          <w:p w:rsidR="004C1E6A" w:rsidRDefault="004C1E6A" w:rsidP="000821A5"/>
        </w:tc>
        <w:tc>
          <w:tcPr>
            <w:tcW w:w="2697" w:type="dxa"/>
            <w:gridSpan w:val="2"/>
            <w:tcBorders>
              <w:top w:val="nil"/>
              <w:left w:val="nil"/>
              <w:bottom w:val="nil"/>
              <w:right w:val="nil"/>
            </w:tcBorders>
            <w:noWrap/>
            <w:vAlign w:val="bottom"/>
          </w:tcPr>
          <w:p w:rsidR="004C1E6A" w:rsidRPr="00774CA2" w:rsidRDefault="004C1E6A" w:rsidP="000821A5">
            <w:pPr>
              <w:rPr>
                <w:b/>
              </w:rPr>
            </w:pPr>
            <w:r w:rsidRPr="00774CA2">
              <w:rPr>
                <w:b/>
              </w:rPr>
              <w:t xml:space="preserve">Age 15-19 years </w:t>
            </w:r>
          </w:p>
        </w:tc>
        <w:tc>
          <w:tcPr>
            <w:tcW w:w="1912" w:type="dxa"/>
            <w:tcBorders>
              <w:top w:val="nil"/>
              <w:left w:val="nil"/>
              <w:bottom w:val="nil"/>
              <w:right w:val="nil"/>
            </w:tcBorders>
            <w:noWrap/>
            <w:vAlign w:val="bottom"/>
          </w:tcPr>
          <w:p w:rsidR="004C1E6A" w:rsidRPr="001E0BBA" w:rsidRDefault="004C1E6A" w:rsidP="000821A5">
            <w:pPr>
              <w:rPr>
                <w:highlight w:val="yellow"/>
              </w:rPr>
            </w:pPr>
          </w:p>
        </w:tc>
      </w:tr>
      <w:tr w:rsidR="004C1E6A" w:rsidTr="00893D8C">
        <w:trPr>
          <w:trHeight w:val="315"/>
        </w:trPr>
        <w:tc>
          <w:tcPr>
            <w:tcW w:w="909"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4C1E6A" w:rsidRPr="001E0BBA" w:rsidRDefault="004C1E6A" w:rsidP="000821A5">
            <w:pPr>
              <w:jc w:val="center"/>
              <w:rPr>
                <w:b/>
                <w:bCs/>
              </w:rPr>
            </w:pPr>
            <w:r w:rsidRPr="001E0BBA">
              <w:rPr>
                <w:b/>
                <w:bCs/>
              </w:rPr>
              <w:t>Rank</w:t>
            </w:r>
          </w:p>
        </w:tc>
        <w:tc>
          <w:tcPr>
            <w:tcW w:w="1908" w:type="dxa"/>
            <w:tcBorders>
              <w:top w:val="single" w:sz="4" w:space="0" w:color="auto"/>
              <w:left w:val="nil"/>
              <w:bottom w:val="single" w:sz="4" w:space="0" w:color="auto"/>
              <w:right w:val="single" w:sz="4" w:space="0" w:color="auto"/>
            </w:tcBorders>
            <w:shd w:val="clear" w:color="auto" w:fill="C0C0C0"/>
            <w:noWrap/>
            <w:vAlign w:val="bottom"/>
          </w:tcPr>
          <w:p w:rsidR="004C1E6A" w:rsidRPr="001E0BBA" w:rsidRDefault="004C1E6A" w:rsidP="000821A5">
            <w:pPr>
              <w:jc w:val="center"/>
              <w:rPr>
                <w:b/>
                <w:bCs/>
              </w:rPr>
            </w:pPr>
            <w:r w:rsidRPr="001E0BBA">
              <w:rPr>
                <w:b/>
                <w:bCs/>
              </w:rPr>
              <w:t>Males</w:t>
            </w:r>
          </w:p>
        </w:tc>
        <w:tc>
          <w:tcPr>
            <w:tcW w:w="2050" w:type="dxa"/>
            <w:tcBorders>
              <w:top w:val="single" w:sz="4" w:space="0" w:color="auto"/>
              <w:left w:val="nil"/>
              <w:bottom w:val="single" w:sz="4" w:space="0" w:color="auto"/>
              <w:right w:val="single" w:sz="4" w:space="0" w:color="auto"/>
            </w:tcBorders>
            <w:shd w:val="clear" w:color="auto" w:fill="C0C0C0"/>
            <w:noWrap/>
            <w:vAlign w:val="bottom"/>
          </w:tcPr>
          <w:p w:rsidR="004C1E6A" w:rsidRPr="00A90F18" w:rsidRDefault="004C1E6A" w:rsidP="000821A5">
            <w:pPr>
              <w:jc w:val="center"/>
              <w:rPr>
                <w:b/>
                <w:bCs/>
              </w:rPr>
            </w:pPr>
            <w:r w:rsidRPr="00A90F18">
              <w:rPr>
                <w:b/>
                <w:bCs/>
              </w:rPr>
              <w:t>Females</w:t>
            </w:r>
          </w:p>
        </w:tc>
        <w:tc>
          <w:tcPr>
            <w:tcW w:w="236" w:type="dxa"/>
            <w:tcBorders>
              <w:top w:val="nil"/>
              <w:left w:val="nil"/>
              <w:bottom w:val="nil"/>
              <w:right w:val="nil"/>
            </w:tcBorders>
            <w:shd w:val="clear" w:color="auto" w:fill="C0C0C0"/>
            <w:noWrap/>
            <w:vAlign w:val="bottom"/>
          </w:tcPr>
          <w:p w:rsidR="004C1E6A" w:rsidRDefault="004C1E6A" w:rsidP="000821A5"/>
        </w:tc>
        <w:tc>
          <w:tcPr>
            <w:tcW w:w="777"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4C1E6A" w:rsidRDefault="004C1E6A" w:rsidP="000821A5">
            <w:pPr>
              <w:jc w:val="center"/>
              <w:rPr>
                <w:b/>
                <w:bCs/>
              </w:rPr>
            </w:pPr>
            <w:r>
              <w:rPr>
                <w:b/>
                <w:bCs/>
              </w:rPr>
              <w:t>Rank</w:t>
            </w:r>
          </w:p>
        </w:tc>
        <w:tc>
          <w:tcPr>
            <w:tcW w:w="1920" w:type="dxa"/>
            <w:tcBorders>
              <w:top w:val="single" w:sz="4" w:space="0" w:color="auto"/>
              <w:left w:val="nil"/>
              <w:bottom w:val="single" w:sz="4" w:space="0" w:color="auto"/>
              <w:right w:val="single" w:sz="4" w:space="0" w:color="auto"/>
            </w:tcBorders>
            <w:shd w:val="clear" w:color="auto" w:fill="C0C0C0"/>
            <w:noWrap/>
            <w:vAlign w:val="bottom"/>
          </w:tcPr>
          <w:p w:rsidR="004C1E6A" w:rsidRDefault="004C1E6A" w:rsidP="000821A5">
            <w:pPr>
              <w:jc w:val="center"/>
              <w:rPr>
                <w:b/>
                <w:bCs/>
              </w:rPr>
            </w:pPr>
            <w:r>
              <w:rPr>
                <w:b/>
                <w:bCs/>
              </w:rPr>
              <w:t>Males</w:t>
            </w:r>
          </w:p>
        </w:tc>
        <w:tc>
          <w:tcPr>
            <w:tcW w:w="1912" w:type="dxa"/>
            <w:tcBorders>
              <w:top w:val="single" w:sz="4" w:space="0" w:color="auto"/>
              <w:left w:val="nil"/>
              <w:bottom w:val="single" w:sz="4" w:space="0" w:color="auto"/>
              <w:right w:val="single" w:sz="4" w:space="0" w:color="auto"/>
            </w:tcBorders>
            <w:shd w:val="clear" w:color="auto" w:fill="C0C0C0"/>
            <w:noWrap/>
            <w:vAlign w:val="bottom"/>
          </w:tcPr>
          <w:p w:rsidR="004C1E6A" w:rsidRPr="00A90F18" w:rsidRDefault="004C1E6A" w:rsidP="000821A5">
            <w:pPr>
              <w:jc w:val="center"/>
              <w:rPr>
                <w:b/>
                <w:bCs/>
              </w:rPr>
            </w:pPr>
            <w:r w:rsidRPr="00A90F18">
              <w:rPr>
                <w:b/>
                <w:bCs/>
              </w:rPr>
              <w:t>Females</w:t>
            </w:r>
          </w:p>
        </w:tc>
      </w:tr>
      <w:tr w:rsidR="004C1E6A" w:rsidTr="00893D8C">
        <w:trPr>
          <w:trHeight w:val="630"/>
        </w:trPr>
        <w:tc>
          <w:tcPr>
            <w:tcW w:w="909" w:type="dxa"/>
            <w:gridSpan w:val="2"/>
            <w:tcBorders>
              <w:top w:val="nil"/>
              <w:left w:val="single" w:sz="4" w:space="0" w:color="auto"/>
              <w:bottom w:val="single" w:sz="4" w:space="0" w:color="auto"/>
              <w:right w:val="single" w:sz="4" w:space="0" w:color="auto"/>
            </w:tcBorders>
            <w:shd w:val="clear" w:color="auto" w:fill="C0C0C0"/>
            <w:noWrap/>
            <w:vAlign w:val="center"/>
          </w:tcPr>
          <w:p w:rsidR="004C1E6A" w:rsidRPr="001E0BBA" w:rsidRDefault="004C1E6A" w:rsidP="000821A5">
            <w:pPr>
              <w:jc w:val="center"/>
              <w:rPr>
                <w:b/>
                <w:bCs/>
              </w:rPr>
            </w:pPr>
          </w:p>
        </w:tc>
        <w:tc>
          <w:tcPr>
            <w:tcW w:w="1908" w:type="dxa"/>
            <w:tcBorders>
              <w:top w:val="nil"/>
              <w:left w:val="nil"/>
              <w:bottom w:val="single" w:sz="4" w:space="0" w:color="auto"/>
              <w:right w:val="single" w:sz="4" w:space="0" w:color="auto"/>
            </w:tcBorders>
            <w:shd w:val="clear" w:color="auto" w:fill="C0C0C0"/>
            <w:vAlign w:val="bottom"/>
          </w:tcPr>
          <w:p w:rsidR="004C1E6A" w:rsidRPr="001E0BBA" w:rsidRDefault="004C1E6A" w:rsidP="000821A5">
            <w:pPr>
              <w:jc w:val="center"/>
            </w:pPr>
            <w:r w:rsidRPr="001E0BBA">
              <w:t>All Cancers     14.4 (12.8, 16.0)</w:t>
            </w:r>
          </w:p>
        </w:tc>
        <w:tc>
          <w:tcPr>
            <w:tcW w:w="2050"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All Cancers     12.4 (10.9, 13.9)</w:t>
            </w:r>
          </w:p>
        </w:tc>
        <w:tc>
          <w:tcPr>
            <w:tcW w:w="236" w:type="dxa"/>
            <w:tcBorders>
              <w:top w:val="nil"/>
              <w:left w:val="nil"/>
              <w:bottom w:val="nil"/>
              <w:right w:val="nil"/>
            </w:tcBorders>
            <w:shd w:val="clear" w:color="auto" w:fill="C0C0C0"/>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shd w:val="clear" w:color="auto" w:fill="C0C0C0"/>
            <w:noWrap/>
            <w:vAlign w:val="center"/>
          </w:tcPr>
          <w:p w:rsidR="004C1E6A" w:rsidRDefault="004C1E6A" w:rsidP="000821A5">
            <w:pPr>
              <w:jc w:val="center"/>
              <w:rPr>
                <w:b/>
                <w:bCs/>
              </w:rPr>
            </w:pPr>
          </w:p>
        </w:tc>
        <w:tc>
          <w:tcPr>
            <w:tcW w:w="1920" w:type="dxa"/>
            <w:tcBorders>
              <w:top w:val="nil"/>
              <w:left w:val="nil"/>
              <w:bottom w:val="single" w:sz="4" w:space="0" w:color="auto"/>
              <w:right w:val="single" w:sz="4" w:space="0" w:color="auto"/>
            </w:tcBorders>
            <w:shd w:val="clear" w:color="auto" w:fill="C0C0C0"/>
            <w:vAlign w:val="bottom"/>
          </w:tcPr>
          <w:p w:rsidR="004C1E6A" w:rsidRDefault="004C1E6A" w:rsidP="000821A5">
            <w:pPr>
              <w:jc w:val="center"/>
            </w:pPr>
            <w:r>
              <w:t>All Cancers     25.2 (23.1, 27.2)</w:t>
            </w:r>
          </w:p>
        </w:tc>
        <w:tc>
          <w:tcPr>
            <w:tcW w:w="1912"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All Cancers     22.4 (20.4, 24.4)</w:t>
            </w:r>
          </w:p>
        </w:tc>
      </w:tr>
      <w:tr w:rsidR="004C1E6A" w:rsidTr="00893D8C">
        <w:trPr>
          <w:trHeight w:val="630"/>
        </w:trPr>
        <w:tc>
          <w:tcPr>
            <w:tcW w:w="909" w:type="dxa"/>
            <w:gridSpan w:val="2"/>
            <w:tcBorders>
              <w:top w:val="nil"/>
              <w:left w:val="single" w:sz="4" w:space="0" w:color="auto"/>
              <w:bottom w:val="single" w:sz="4" w:space="0" w:color="auto"/>
              <w:right w:val="single" w:sz="4" w:space="0" w:color="auto"/>
            </w:tcBorders>
            <w:noWrap/>
            <w:vAlign w:val="center"/>
          </w:tcPr>
          <w:p w:rsidR="004C1E6A" w:rsidRPr="001E0BBA" w:rsidRDefault="004C1E6A" w:rsidP="000821A5">
            <w:pPr>
              <w:jc w:val="center"/>
              <w:rPr>
                <w:b/>
                <w:bCs/>
              </w:rPr>
            </w:pPr>
            <w:r w:rsidRPr="001E0BBA">
              <w:rPr>
                <w:b/>
                <w:bCs/>
              </w:rPr>
              <w:t>1</w:t>
            </w:r>
          </w:p>
        </w:tc>
        <w:tc>
          <w:tcPr>
            <w:tcW w:w="1908" w:type="dxa"/>
            <w:tcBorders>
              <w:top w:val="nil"/>
              <w:left w:val="nil"/>
              <w:bottom w:val="single" w:sz="4" w:space="0" w:color="auto"/>
              <w:right w:val="single" w:sz="4" w:space="0" w:color="auto"/>
            </w:tcBorders>
            <w:vAlign w:val="bottom"/>
          </w:tcPr>
          <w:p w:rsidR="004C1E6A" w:rsidRPr="001E0BBA" w:rsidRDefault="004C1E6A" w:rsidP="000821A5">
            <w:pPr>
              <w:jc w:val="center"/>
            </w:pPr>
            <w:r w:rsidRPr="001E0BBA">
              <w:t>Lymphoma     4.2 (3.3, 5.0)</w:t>
            </w:r>
          </w:p>
        </w:tc>
        <w:tc>
          <w:tcPr>
            <w:tcW w:w="2050" w:type="dxa"/>
            <w:tcBorders>
              <w:top w:val="nil"/>
              <w:left w:val="nil"/>
              <w:bottom w:val="single" w:sz="4" w:space="0" w:color="auto"/>
              <w:right w:val="single" w:sz="4" w:space="0" w:color="auto"/>
            </w:tcBorders>
            <w:vAlign w:val="bottom"/>
          </w:tcPr>
          <w:p w:rsidR="004C1E6A" w:rsidRPr="00A90F18" w:rsidRDefault="004C1E6A" w:rsidP="000821A5">
            <w:pPr>
              <w:jc w:val="center"/>
            </w:pPr>
            <w:r w:rsidRPr="00A90F18">
              <w:t xml:space="preserve">Central Nervous System                </w:t>
            </w:r>
          </w:p>
          <w:p w:rsidR="004C1E6A" w:rsidRPr="00A90F18" w:rsidRDefault="004C1E6A" w:rsidP="000821A5">
            <w:pPr>
              <w:jc w:val="center"/>
            </w:pPr>
            <w:r w:rsidRPr="00A90F18">
              <w:t>2.5 (1.8, 3.2)</w:t>
            </w:r>
          </w:p>
        </w:tc>
        <w:tc>
          <w:tcPr>
            <w:tcW w:w="236" w:type="dxa"/>
            <w:tcBorders>
              <w:top w:val="nil"/>
              <w:left w:val="nil"/>
              <w:bottom w:val="nil"/>
              <w:right w:val="nil"/>
            </w:tcBorders>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noWrap/>
            <w:vAlign w:val="center"/>
          </w:tcPr>
          <w:p w:rsidR="004C1E6A" w:rsidRDefault="004C1E6A" w:rsidP="000821A5">
            <w:pPr>
              <w:jc w:val="center"/>
              <w:rPr>
                <w:b/>
                <w:bCs/>
              </w:rPr>
            </w:pPr>
            <w:r>
              <w:rPr>
                <w:b/>
                <w:bCs/>
              </w:rPr>
              <w:t>1</w:t>
            </w:r>
          </w:p>
        </w:tc>
        <w:tc>
          <w:tcPr>
            <w:tcW w:w="1920" w:type="dxa"/>
            <w:tcBorders>
              <w:top w:val="nil"/>
              <w:left w:val="nil"/>
              <w:bottom w:val="single" w:sz="4" w:space="0" w:color="auto"/>
              <w:right w:val="single" w:sz="4" w:space="0" w:color="auto"/>
            </w:tcBorders>
            <w:vAlign w:val="bottom"/>
          </w:tcPr>
          <w:p w:rsidR="004C1E6A" w:rsidRDefault="004C1E6A" w:rsidP="000821A5">
            <w:pPr>
              <w:jc w:val="center"/>
            </w:pPr>
            <w:r>
              <w:t>Lymphoma     6.6 (5.5, 7.7)</w:t>
            </w:r>
          </w:p>
        </w:tc>
        <w:tc>
          <w:tcPr>
            <w:tcW w:w="1912" w:type="dxa"/>
            <w:tcBorders>
              <w:top w:val="nil"/>
              <w:left w:val="nil"/>
              <w:bottom w:val="single" w:sz="4" w:space="0" w:color="auto"/>
              <w:right w:val="single" w:sz="4" w:space="0" w:color="auto"/>
            </w:tcBorders>
            <w:vAlign w:val="bottom"/>
          </w:tcPr>
          <w:p w:rsidR="004C1E6A" w:rsidRPr="00A90F18" w:rsidRDefault="004C1E6A" w:rsidP="00426350">
            <w:pPr>
              <w:jc w:val="center"/>
            </w:pPr>
            <w:r w:rsidRPr="00A90F18">
              <w:t>Epithelial Tumor            7.8 (6.6, 9.0)</w:t>
            </w:r>
          </w:p>
        </w:tc>
      </w:tr>
      <w:tr w:rsidR="004C1E6A" w:rsidTr="00893D8C">
        <w:trPr>
          <w:trHeight w:val="630"/>
        </w:trPr>
        <w:tc>
          <w:tcPr>
            <w:tcW w:w="909" w:type="dxa"/>
            <w:gridSpan w:val="2"/>
            <w:tcBorders>
              <w:top w:val="nil"/>
              <w:left w:val="single" w:sz="4" w:space="0" w:color="auto"/>
              <w:bottom w:val="single" w:sz="4" w:space="0" w:color="auto"/>
              <w:right w:val="single" w:sz="4" w:space="0" w:color="auto"/>
            </w:tcBorders>
            <w:shd w:val="clear" w:color="auto" w:fill="C0C0C0"/>
            <w:noWrap/>
            <w:vAlign w:val="center"/>
          </w:tcPr>
          <w:p w:rsidR="004C1E6A" w:rsidRDefault="004C1E6A" w:rsidP="000821A5">
            <w:pPr>
              <w:jc w:val="center"/>
              <w:rPr>
                <w:b/>
                <w:bCs/>
              </w:rPr>
            </w:pPr>
            <w:r>
              <w:rPr>
                <w:b/>
                <w:bCs/>
              </w:rPr>
              <w:t>2</w:t>
            </w:r>
          </w:p>
        </w:tc>
        <w:tc>
          <w:tcPr>
            <w:tcW w:w="1908" w:type="dxa"/>
            <w:tcBorders>
              <w:top w:val="nil"/>
              <w:left w:val="nil"/>
              <w:bottom w:val="single" w:sz="4" w:space="0" w:color="auto"/>
              <w:right w:val="single" w:sz="4" w:space="0" w:color="auto"/>
            </w:tcBorders>
            <w:shd w:val="clear" w:color="auto" w:fill="C0C0C0"/>
            <w:vAlign w:val="bottom"/>
          </w:tcPr>
          <w:p w:rsidR="004C1E6A" w:rsidRDefault="004C1E6A" w:rsidP="000821A5">
            <w:pPr>
              <w:jc w:val="center"/>
            </w:pPr>
            <w:r>
              <w:t>Leukemia        3.1 (2.4, 3.8)</w:t>
            </w:r>
          </w:p>
        </w:tc>
        <w:tc>
          <w:tcPr>
            <w:tcW w:w="2050"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 xml:space="preserve">Lymphoma   </w:t>
            </w:r>
          </w:p>
          <w:p w:rsidR="004C1E6A" w:rsidRPr="00A90F18" w:rsidRDefault="004C1E6A" w:rsidP="000821A5">
            <w:pPr>
              <w:jc w:val="center"/>
            </w:pPr>
            <w:r w:rsidRPr="00A90F18">
              <w:t xml:space="preserve"> 2.5 (1.8, 3.2)</w:t>
            </w:r>
          </w:p>
        </w:tc>
        <w:tc>
          <w:tcPr>
            <w:tcW w:w="236" w:type="dxa"/>
            <w:tcBorders>
              <w:top w:val="nil"/>
              <w:left w:val="nil"/>
              <w:bottom w:val="nil"/>
              <w:right w:val="nil"/>
            </w:tcBorders>
            <w:shd w:val="clear" w:color="auto" w:fill="C0C0C0"/>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shd w:val="clear" w:color="auto" w:fill="C0C0C0"/>
            <w:noWrap/>
            <w:vAlign w:val="center"/>
          </w:tcPr>
          <w:p w:rsidR="004C1E6A" w:rsidRDefault="004C1E6A" w:rsidP="000821A5">
            <w:pPr>
              <w:jc w:val="center"/>
              <w:rPr>
                <w:b/>
                <w:bCs/>
              </w:rPr>
            </w:pPr>
            <w:r>
              <w:rPr>
                <w:b/>
                <w:bCs/>
              </w:rPr>
              <w:t>2</w:t>
            </w:r>
          </w:p>
        </w:tc>
        <w:tc>
          <w:tcPr>
            <w:tcW w:w="1920" w:type="dxa"/>
            <w:tcBorders>
              <w:top w:val="nil"/>
              <w:left w:val="nil"/>
              <w:bottom w:val="single" w:sz="4" w:space="0" w:color="auto"/>
              <w:right w:val="single" w:sz="4" w:space="0" w:color="auto"/>
            </w:tcBorders>
            <w:shd w:val="clear" w:color="auto" w:fill="C0C0C0"/>
            <w:vAlign w:val="bottom"/>
          </w:tcPr>
          <w:p w:rsidR="004C1E6A" w:rsidRDefault="004C1E6A" w:rsidP="000821A5">
            <w:pPr>
              <w:jc w:val="center"/>
            </w:pPr>
            <w:r>
              <w:t>Germ cell        4.0 (3.2, 4.9)</w:t>
            </w:r>
          </w:p>
        </w:tc>
        <w:tc>
          <w:tcPr>
            <w:tcW w:w="1912"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Lymphoma      5.8 (4.8, 6.8)</w:t>
            </w:r>
          </w:p>
        </w:tc>
      </w:tr>
      <w:tr w:rsidR="004C1E6A" w:rsidTr="00893D8C">
        <w:trPr>
          <w:trHeight w:val="630"/>
        </w:trPr>
        <w:tc>
          <w:tcPr>
            <w:tcW w:w="909" w:type="dxa"/>
            <w:gridSpan w:val="2"/>
            <w:tcBorders>
              <w:top w:val="nil"/>
              <w:left w:val="single" w:sz="4" w:space="0" w:color="auto"/>
              <w:bottom w:val="single" w:sz="4" w:space="0" w:color="auto"/>
              <w:right w:val="single" w:sz="4" w:space="0" w:color="auto"/>
            </w:tcBorders>
            <w:noWrap/>
            <w:vAlign w:val="center"/>
          </w:tcPr>
          <w:p w:rsidR="004C1E6A" w:rsidRDefault="004C1E6A" w:rsidP="000821A5">
            <w:pPr>
              <w:jc w:val="center"/>
              <w:rPr>
                <w:b/>
                <w:bCs/>
              </w:rPr>
            </w:pPr>
            <w:r>
              <w:rPr>
                <w:b/>
                <w:bCs/>
              </w:rPr>
              <w:t>3</w:t>
            </w:r>
          </w:p>
        </w:tc>
        <w:tc>
          <w:tcPr>
            <w:tcW w:w="1908" w:type="dxa"/>
            <w:tcBorders>
              <w:top w:val="nil"/>
              <w:left w:val="nil"/>
              <w:bottom w:val="single" w:sz="4" w:space="0" w:color="auto"/>
              <w:right w:val="single" w:sz="4" w:space="0" w:color="auto"/>
            </w:tcBorders>
            <w:vAlign w:val="bottom"/>
          </w:tcPr>
          <w:p w:rsidR="004C1E6A" w:rsidRDefault="004C1E6A" w:rsidP="000821A5">
            <w:pPr>
              <w:jc w:val="center"/>
            </w:pPr>
            <w:r>
              <w:t xml:space="preserve">Central Nervous System                2.8 (2.1, 3.5)      </w:t>
            </w:r>
          </w:p>
        </w:tc>
        <w:tc>
          <w:tcPr>
            <w:tcW w:w="2050" w:type="dxa"/>
            <w:tcBorders>
              <w:top w:val="nil"/>
              <w:left w:val="nil"/>
              <w:bottom w:val="single" w:sz="4" w:space="0" w:color="auto"/>
              <w:right w:val="single" w:sz="4" w:space="0" w:color="auto"/>
            </w:tcBorders>
            <w:vAlign w:val="bottom"/>
          </w:tcPr>
          <w:p w:rsidR="004C1E6A" w:rsidRPr="00A90F18" w:rsidRDefault="004C1E6A" w:rsidP="000821A5">
            <w:pPr>
              <w:jc w:val="center"/>
            </w:pPr>
            <w:r w:rsidRPr="00A90F18">
              <w:t xml:space="preserve">Leukemia       </w:t>
            </w:r>
          </w:p>
          <w:p w:rsidR="004C1E6A" w:rsidRPr="00A90F18" w:rsidRDefault="004C1E6A" w:rsidP="000821A5">
            <w:pPr>
              <w:jc w:val="center"/>
            </w:pPr>
            <w:r w:rsidRPr="00A90F18">
              <w:t xml:space="preserve"> 2.3 ( 1.7, 3.0)</w:t>
            </w:r>
          </w:p>
        </w:tc>
        <w:tc>
          <w:tcPr>
            <w:tcW w:w="236" w:type="dxa"/>
            <w:tcBorders>
              <w:top w:val="nil"/>
              <w:left w:val="nil"/>
              <w:bottom w:val="nil"/>
              <w:right w:val="nil"/>
            </w:tcBorders>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noWrap/>
            <w:vAlign w:val="center"/>
          </w:tcPr>
          <w:p w:rsidR="004C1E6A" w:rsidRDefault="004C1E6A" w:rsidP="000821A5">
            <w:pPr>
              <w:jc w:val="center"/>
              <w:rPr>
                <w:b/>
                <w:bCs/>
              </w:rPr>
            </w:pPr>
            <w:r>
              <w:rPr>
                <w:b/>
                <w:bCs/>
              </w:rPr>
              <w:t>3</w:t>
            </w:r>
          </w:p>
        </w:tc>
        <w:tc>
          <w:tcPr>
            <w:tcW w:w="1920" w:type="dxa"/>
            <w:tcBorders>
              <w:top w:val="nil"/>
              <w:left w:val="nil"/>
              <w:bottom w:val="single" w:sz="4" w:space="0" w:color="auto"/>
              <w:right w:val="single" w:sz="4" w:space="0" w:color="auto"/>
            </w:tcBorders>
            <w:vAlign w:val="bottom"/>
          </w:tcPr>
          <w:p w:rsidR="004C1E6A" w:rsidRDefault="004C1E6A" w:rsidP="000821A5">
            <w:pPr>
              <w:jc w:val="center"/>
            </w:pPr>
            <w:r>
              <w:t xml:space="preserve">Epithelial Tumor        4.0 (3.2, 4.9)      </w:t>
            </w:r>
          </w:p>
        </w:tc>
        <w:tc>
          <w:tcPr>
            <w:tcW w:w="1912" w:type="dxa"/>
            <w:tcBorders>
              <w:top w:val="nil"/>
              <w:left w:val="nil"/>
              <w:bottom w:val="single" w:sz="4" w:space="0" w:color="auto"/>
              <w:right w:val="single" w:sz="4" w:space="0" w:color="auto"/>
            </w:tcBorders>
            <w:vAlign w:val="bottom"/>
          </w:tcPr>
          <w:p w:rsidR="004C1E6A" w:rsidRPr="00A90F18" w:rsidRDefault="004C1E6A" w:rsidP="000821A5">
            <w:pPr>
              <w:jc w:val="center"/>
            </w:pPr>
            <w:r w:rsidRPr="00A90F18">
              <w:t>Leukemia         2.3 (1.7, 2.9)</w:t>
            </w:r>
          </w:p>
        </w:tc>
      </w:tr>
      <w:tr w:rsidR="004C1E6A" w:rsidTr="00893D8C">
        <w:trPr>
          <w:trHeight w:val="630"/>
        </w:trPr>
        <w:tc>
          <w:tcPr>
            <w:tcW w:w="909" w:type="dxa"/>
            <w:gridSpan w:val="2"/>
            <w:tcBorders>
              <w:top w:val="nil"/>
              <w:left w:val="single" w:sz="4" w:space="0" w:color="auto"/>
              <w:bottom w:val="single" w:sz="4" w:space="0" w:color="auto"/>
              <w:right w:val="single" w:sz="4" w:space="0" w:color="auto"/>
            </w:tcBorders>
            <w:shd w:val="clear" w:color="auto" w:fill="C0C0C0"/>
            <w:noWrap/>
            <w:vAlign w:val="center"/>
          </w:tcPr>
          <w:p w:rsidR="004C1E6A" w:rsidRDefault="004C1E6A" w:rsidP="000821A5">
            <w:pPr>
              <w:jc w:val="center"/>
              <w:rPr>
                <w:b/>
                <w:bCs/>
              </w:rPr>
            </w:pPr>
            <w:r>
              <w:rPr>
                <w:b/>
                <w:bCs/>
              </w:rPr>
              <w:t>4</w:t>
            </w:r>
          </w:p>
        </w:tc>
        <w:tc>
          <w:tcPr>
            <w:tcW w:w="1908" w:type="dxa"/>
            <w:tcBorders>
              <w:top w:val="nil"/>
              <w:left w:val="nil"/>
              <w:bottom w:val="single" w:sz="4" w:space="0" w:color="auto"/>
              <w:right w:val="single" w:sz="4" w:space="0" w:color="auto"/>
            </w:tcBorders>
            <w:shd w:val="clear" w:color="auto" w:fill="C0C0C0"/>
            <w:vAlign w:val="bottom"/>
          </w:tcPr>
          <w:p w:rsidR="004C1E6A" w:rsidRDefault="004C1E6A" w:rsidP="000821A5">
            <w:pPr>
              <w:jc w:val="center"/>
            </w:pPr>
            <w:r>
              <w:t>Bone               1.5 (1.0, 2.0)</w:t>
            </w:r>
          </w:p>
        </w:tc>
        <w:tc>
          <w:tcPr>
            <w:tcW w:w="2050"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 xml:space="preserve">Epithelial Tumor        </w:t>
            </w:r>
          </w:p>
          <w:p w:rsidR="004C1E6A" w:rsidRPr="00A90F18" w:rsidRDefault="004C1E6A" w:rsidP="000821A5">
            <w:pPr>
              <w:jc w:val="center"/>
            </w:pPr>
            <w:r w:rsidRPr="00A90F18">
              <w:t>1.9 (1.3, 2.5)</w:t>
            </w:r>
          </w:p>
        </w:tc>
        <w:tc>
          <w:tcPr>
            <w:tcW w:w="236" w:type="dxa"/>
            <w:tcBorders>
              <w:top w:val="nil"/>
              <w:left w:val="nil"/>
              <w:bottom w:val="nil"/>
              <w:right w:val="nil"/>
            </w:tcBorders>
            <w:shd w:val="clear" w:color="auto" w:fill="C0C0C0"/>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shd w:val="clear" w:color="auto" w:fill="C0C0C0"/>
            <w:noWrap/>
            <w:vAlign w:val="center"/>
          </w:tcPr>
          <w:p w:rsidR="004C1E6A" w:rsidRDefault="004C1E6A" w:rsidP="000821A5">
            <w:pPr>
              <w:jc w:val="center"/>
              <w:rPr>
                <w:b/>
                <w:bCs/>
              </w:rPr>
            </w:pPr>
            <w:r>
              <w:rPr>
                <w:b/>
                <w:bCs/>
              </w:rPr>
              <w:t>4</w:t>
            </w:r>
          </w:p>
        </w:tc>
        <w:tc>
          <w:tcPr>
            <w:tcW w:w="1920" w:type="dxa"/>
            <w:tcBorders>
              <w:top w:val="nil"/>
              <w:left w:val="nil"/>
              <w:bottom w:val="single" w:sz="4" w:space="0" w:color="auto"/>
              <w:right w:val="single" w:sz="4" w:space="0" w:color="auto"/>
            </w:tcBorders>
            <w:shd w:val="clear" w:color="auto" w:fill="C0C0C0"/>
            <w:vAlign w:val="bottom"/>
          </w:tcPr>
          <w:p w:rsidR="004C1E6A" w:rsidRDefault="004C1E6A" w:rsidP="000821A5">
            <w:pPr>
              <w:jc w:val="center"/>
            </w:pPr>
            <w:r>
              <w:t>Leukemia        3.6 (2.8, 4.4)</w:t>
            </w:r>
          </w:p>
        </w:tc>
        <w:tc>
          <w:tcPr>
            <w:tcW w:w="1912" w:type="dxa"/>
            <w:tcBorders>
              <w:top w:val="nil"/>
              <w:left w:val="nil"/>
              <w:bottom w:val="single" w:sz="4" w:space="0" w:color="auto"/>
              <w:right w:val="single" w:sz="4" w:space="0" w:color="auto"/>
            </w:tcBorders>
            <w:shd w:val="clear" w:color="auto" w:fill="C0C0C0"/>
            <w:vAlign w:val="bottom"/>
          </w:tcPr>
          <w:p w:rsidR="004C1E6A" w:rsidRPr="00A90F18" w:rsidRDefault="004C1E6A" w:rsidP="000821A5">
            <w:pPr>
              <w:jc w:val="center"/>
            </w:pPr>
            <w:r w:rsidRPr="00A90F18">
              <w:t>Central Nervous System                 2.2 (1.5, 2.8)</w:t>
            </w:r>
          </w:p>
        </w:tc>
      </w:tr>
      <w:tr w:rsidR="004C1E6A" w:rsidTr="00893D8C">
        <w:trPr>
          <w:trHeight w:val="630"/>
        </w:trPr>
        <w:tc>
          <w:tcPr>
            <w:tcW w:w="909" w:type="dxa"/>
            <w:gridSpan w:val="2"/>
            <w:tcBorders>
              <w:top w:val="nil"/>
              <w:left w:val="single" w:sz="4" w:space="0" w:color="auto"/>
              <w:bottom w:val="single" w:sz="4" w:space="0" w:color="auto"/>
              <w:right w:val="single" w:sz="4" w:space="0" w:color="auto"/>
            </w:tcBorders>
            <w:noWrap/>
            <w:vAlign w:val="center"/>
          </w:tcPr>
          <w:p w:rsidR="004C1E6A" w:rsidRDefault="004C1E6A" w:rsidP="000821A5">
            <w:pPr>
              <w:jc w:val="center"/>
              <w:rPr>
                <w:b/>
                <w:bCs/>
              </w:rPr>
            </w:pPr>
            <w:r>
              <w:rPr>
                <w:b/>
                <w:bCs/>
              </w:rPr>
              <w:t>5</w:t>
            </w:r>
          </w:p>
        </w:tc>
        <w:tc>
          <w:tcPr>
            <w:tcW w:w="1908" w:type="dxa"/>
            <w:tcBorders>
              <w:top w:val="nil"/>
              <w:left w:val="nil"/>
              <w:bottom w:val="single" w:sz="4" w:space="0" w:color="auto"/>
              <w:right w:val="single" w:sz="4" w:space="0" w:color="auto"/>
            </w:tcBorders>
            <w:vAlign w:val="bottom"/>
          </w:tcPr>
          <w:p w:rsidR="004C1E6A" w:rsidRDefault="004C1E6A" w:rsidP="000821A5">
            <w:pPr>
              <w:jc w:val="center"/>
            </w:pPr>
            <w:r>
              <w:t>Epithelial Tumor         1.2 (0.8, 1.7)</w:t>
            </w:r>
          </w:p>
        </w:tc>
        <w:tc>
          <w:tcPr>
            <w:tcW w:w="2050" w:type="dxa"/>
            <w:tcBorders>
              <w:top w:val="nil"/>
              <w:left w:val="nil"/>
              <w:bottom w:val="single" w:sz="4" w:space="0" w:color="auto"/>
              <w:right w:val="single" w:sz="4" w:space="0" w:color="auto"/>
            </w:tcBorders>
            <w:vAlign w:val="bottom"/>
          </w:tcPr>
          <w:p w:rsidR="004C1E6A" w:rsidRPr="00A90F18" w:rsidRDefault="004C1E6A" w:rsidP="000821A5">
            <w:pPr>
              <w:jc w:val="center"/>
            </w:pPr>
            <w:r w:rsidRPr="00A90F18">
              <w:t xml:space="preserve">Bone              </w:t>
            </w:r>
          </w:p>
          <w:p w:rsidR="004C1E6A" w:rsidRPr="00A90F18" w:rsidRDefault="004C1E6A" w:rsidP="000821A5">
            <w:pPr>
              <w:jc w:val="center"/>
            </w:pPr>
            <w:r w:rsidRPr="00A90F18">
              <w:t xml:space="preserve"> 1.1 (0.6, 1.5)</w:t>
            </w:r>
          </w:p>
        </w:tc>
        <w:tc>
          <w:tcPr>
            <w:tcW w:w="236" w:type="dxa"/>
            <w:tcBorders>
              <w:top w:val="nil"/>
              <w:left w:val="nil"/>
              <w:bottom w:val="nil"/>
              <w:right w:val="nil"/>
            </w:tcBorders>
            <w:noWrap/>
            <w:vAlign w:val="bottom"/>
          </w:tcPr>
          <w:p w:rsidR="004C1E6A" w:rsidRDefault="004C1E6A" w:rsidP="000821A5"/>
        </w:tc>
        <w:tc>
          <w:tcPr>
            <w:tcW w:w="777" w:type="dxa"/>
            <w:tcBorders>
              <w:top w:val="nil"/>
              <w:left w:val="single" w:sz="4" w:space="0" w:color="auto"/>
              <w:bottom w:val="single" w:sz="4" w:space="0" w:color="auto"/>
              <w:right w:val="single" w:sz="4" w:space="0" w:color="auto"/>
            </w:tcBorders>
            <w:noWrap/>
            <w:vAlign w:val="center"/>
          </w:tcPr>
          <w:p w:rsidR="004C1E6A" w:rsidRDefault="004C1E6A" w:rsidP="000821A5">
            <w:pPr>
              <w:jc w:val="center"/>
              <w:rPr>
                <w:b/>
                <w:bCs/>
              </w:rPr>
            </w:pPr>
            <w:r>
              <w:rPr>
                <w:b/>
                <w:bCs/>
              </w:rPr>
              <w:t>5</w:t>
            </w:r>
          </w:p>
        </w:tc>
        <w:tc>
          <w:tcPr>
            <w:tcW w:w="1920" w:type="dxa"/>
            <w:tcBorders>
              <w:top w:val="nil"/>
              <w:left w:val="nil"/>
              <w:bottom w:val="single" w:sz="4" w:space="0" w:color="auto"/>
              <w:right w:val="single" w:sz="4" w:space="0" w:color="auto"/>
            </w:tcBorders>
            <w:vAlign w:val="bottom"/>
          </w:tcPr>
          <w:p w:rsidR="004C1E6A" w:rsidRDefault="004C1E6A" w:rsidP="000821A5">
            <w:pPr>
              <w:jc w:val="center"/>
            </w:pPr>
            <w:r>
              <w:t xml:space="preserve">Central Nervous System            2.8 (2.1, 3.5)          </w:t>
            </w:r>
          </w:p>
        </w:tc>
        <w:tc>
          <w:tcPr>
            <w:tcW w:w="1912" w:type="dxa"/>
            <w:tcBorders>
              <w:top w:val="nil"/>
              <w:left w:val="nil"/>
              <w:bottom w:val="single" w:sz="4" w:space="0" w:color="auto"/>
              <w:right w:val="single" w:sz="4" w:space="0" w:color="auto"/>
            </w:tcBorders>
            <w:vAlign w:val="bottom"/>
          </w:tcPr>
          <w:p w:rsidR="004C1E6A" w:rsidRPr="00A90F18" w:rsidRDefault="004C1E6A" w:rsidP="000821A5">
            <w:pPr>
              <w:jc w:val="center"/>
            </w:pPr>
            <w:r w:rsidRPr="00A90F18">
              <w:t>Soft Tissue Sarcoma           1.7 (1.2, 2.3)</w:t>
            </w:r>
          </w:p>
        </w:tc>
      </w:tr>
    </w:tbl>
    <w:p w:rsidR="004C1E6A" w:rsidRDefault="004C1E6A" w:rsidP="003C7E19">
      <w:pPr>
        <w:pStyle w:val="Caption"/>
      </w:pPr>
      <w:r w:rsidRPr="00B445FA">
        <w:rPr>
          <w:b w:val="0"/>
          <w:sz w:val="20"/>
          <w:szCs w:val="20"/>
        </w:rPr>
        <w:t>Sou</w:t>
      </w:r>
      <w:r>
        <w:rPr>
          <w:b w:val="0"/>
          <w:sz w:val="20"/>
          <w:szCs w:val="20"/>
        </w:rPr>
        <w:t>r</w:t>
      </w:r>
      <w:r w:rsidRPr="00B445FA">
        <w:rPr>
          <w:b w:val="0"/>
          <w:sz w:val="20"/>
          <w:szCs w:val="20"/>
        </w:rPr>
        <w:t>ce: Massachusetts Cancer Registry.</w:t>
      </w:r>
      <w:r>
        <w:t xml:space="preserve"> </w:t>
      </w:r>
    </w:p>
    <w:p w:rsidR="004C1E6A" w:rsidRDefault="004C1E6A" w:rsidP="00D16C54">
      <w:pPr>
        <w:rPr>
          <w:sz w:val="18"/>
          <w:szCs w:val="18"/>
        </w:rPr>
      </w:pPr>
    </w:p>
    <w:p w:rsidR="004C1E6A" w:rsidRPr="00646654" w:rsidRDefault="004C1E6A" w:rsidP="00D16C54">
      <w:pPr>
        <w:rPr>
          <w:sz w:val="18"/>
          <w:szCs w:val="18"/>
        </w:rPr>
      </w:pPr>
    </w:p>
    <w:p w:rsidR="004C1E6A" w:rsidRDefault="004C1E6A" w:rsidP="000A5E3D">
      <w:r>
        <w:lastRenderedPageBreak/>
        <w:t xml:space="preserve">The age-specific incidence rate of childhood cancer was highest among Massachusetts males  </w:t>
      </w:r>
      <w:r w:rsidRPr="00E12AF5">
        <w:t>15-19 years old</w:t>
      </w:r>
      <w:r>
        <w:t xml:space="preserve"> and for</w:t>
      </w:r>
      <w:r w:rsidRPr="00E12AF5">
        <w:t xml:space="preserve"> females 0-4 years old</w:t>
      </w:r>
      <w:r>
        <w:t xml:space="preserve"> (Table 1)</w:t>
      </w:r>
      <w:r w:rsidRPr="00E12AF5">
        <w:t>.</w:t>
      </w:r>
      <w:r>
        <w:t xml:space="preserve">  The rates for both males and females in these two groups were both statistically significantly elevated when compared to males and females of the other two groups (5-9 and 10-14).  The most common cancers among children and adolescents varied by age group and sex. </w:t>
      </w:r>
      <w:r w:rsidRPr="00BC7E1E">
        <w:t>Leukemia rank</w:t>
      </w:r>
      <w:r>
        <w:t>ed</w:t>
      </w:r>
      <w:r w:rsidRPr="00BC7E1E">
        <w:t xml:space="preserve"> number one </w:t>
      </w:r>
      <w:r>
        <w:t>among</w:t>
      </w:r>
      <w:r w:rsidRPr="00BC7E1E">
        <w:t xml:space="preserve"> 0-4 year old</w:t>
      </w:r>
      <w:r>
        <w:t>s for both males and females, with significantly higher rates than any other cancer in this age group</w:t>
      </w:r>
      <w:r w:rsidRPr="00BC7E1E">
        <w:t>.</w:t>
      </w:r>
      <w:r>
        <w:t xml:space="preserve">  </w:t>
      </w:r>
      <w:r w:rsidRPr="00BC7E1E">
        <w:t xml:space="preserve">Central nervous system tumors </w:t>
      </w:r>
      <w:r>
        <w:t xml:space="preserve">ranked number one </w:t>
      </w:r>
      <w:r w:rsidRPr="00BC7E1E">
        <w:t>among 5</w:t>
      </w:r>
      <w:r>
        <w:t>-9</w:t>
      </w:r>
      <w:r w:rsidRPr="00BC7E1E">
        <w:t xml:space="preserve"> year</w:t>
      </w:r>
      <w:r>
        <w:t xml:space="preserve">s </w:t>
      </w:r>
      <w:r w:rsidRPr="00BC7E1E">
        <w:t xml:space="preserve">old for both </w:t>
      </w:r>
      <w:r>
        <w:t>males and females</w:t>
      </w:r>
      <w:r w:rsidRPr="00BC7E1E">
        <w:t>.</w:t>
      </w:r>
      <w:r>
        <w:t xml:space="preserve">  </w:t>
      </w:r>
      <w:r w:rsidRPr="00BC7E1E">
        <w:t>Lymphomas rank</w:t>
      </w:r>
      <w:r>
        <w:t>ed</w:t>
      </w:r>
      <w:r w:rsidRPr="00BC7E1E">
        <w:t xml:space="preserve"> number one for males</w:t>
      </w:r>
      <w:r>
        <w:t xml:space="preserve"> and central nervous system tumors rank number one for females</w:t>
      </w:r>
      <w:r w:rsidRPr="00BC7E1E">
        <w:t xml:space="preserve"> in the 10-1</w:t>
      </w:r>
      <w:r>
        <w:t>4</w:t>
      </w:r>
      <w:r w:rsidRPr="00BC7E1E">
        <w:t xml:space="preserve"> years old</w:t>
      </w:r>
      <w:r>
        <w:t xml:space="preserve"> group</w:t>
      </w:r>
      <w:r w:rsidRPr="00BC7E1E">
        <w:t>.</w:t>
      </w:r>
      <w:r>
        <w:t xml:space="preserve">  Lymphomas ranked number one for males and malignant epithelial neoplasms ranked number one for females in the 15-19 years old group who had a significantly higher rate of epithelial tumors compared to males</w:t>
      </w:r>
      <w:r w:rsidRPr="00BC7E1E">
        <w:t xml:space="preserve">. </w:t>
      </w:r>
      <w:r>
        <w:t xml:space="preserve"> </w:t>
      </w:r>
      <w:r w:rsidRPr="00A90F18">
        <w:t>The rate of all cancers among females in Massachusetts aged 0-4 was significantly elevated compared to the SEER rate (23.7, CI=21.6-26.0 vs. 19.</w:t>
      </w:r>
      <w:r>
        <w:t>5</w:t>
      </w:r>
      <w:r w:rsidRPr="00A90F18">
        <w:t>, CI=19.</w:t>
      </w:r>
      <w:r>
        <w:t>0</w:t>
      </w:r>
      <w:r w:rsidRPr="00A90F18">
        <w:t>-20.1).  Additionally, the lymphoma rate among males in Massachusetts aged 10-14 was significantly elevated compared to the national rate (4.2, CI=3.3-5.0 vs. 3.0, CI=2.8-3.2).  Otherwise, there were no significant differences between Massachusetts and SEER rates.</w:t>
      </w:r>
      <w:r>
        <w:t xml:space="preserve"> </w:t>
      </w:r>
    </w:p>
    <w:p w:rsidR="004C1E6A" w:rsidRPr="00BC7E1E" w:rsidRDefault="004C1E6A" w:rsidP="000A5E3D"/>
    <w:p w:rsidR="004C1E6A" w:rsidRDefault="004C1E6A" w:rsidP="00D16C54">
      <w:pPr>
        <w:rPr>
          <w:b/>
        </w:rPr>
      </w:pPr>
      <w:r>
        <w:rPr>
          <w:b/>
        </w:rPr>
        <w:t xml:space="preserve">CHILDHOOD AND ADOLESCENT CANCER </w:t>
      </w:r>
      <w:r w:rsidRPr="007D01CB">
        <w:rPr>
          <w:b/>
        </w:rPr>
        <w:t>INCIDENCE BY RACE:</w:t>
      </w:r>
    </w:p>
    <w:p w:rsidR="004C1E6A" w:rsidRDefault="004C1E6A" w:rsidP="00D16C54">
      <w:r w:rsidRPr="007D01CB">
        <w:t>The following five figures compare childhood and adolescent cancer incidence trends by race and ethnicity.</w:t>
      </w:r>
      <w:r>
        <w:t xml:space="preserve">  The first figure (Figure 7) compares the incidence trends from 2000-2009 for the four major racial/ethnic groups in Massachusetts.  The rates for white, non-Hispanics (NH) and Asian, NHs increased non-significantly with APCs of 1.3% and 7.4%, respectively.  The incidence rate for black, NHs decreased significantly with an APC of -11% from 2000-2004 and then increased significantly with an APC of 9.1% from 2005-2009.  The incidence rate for Hispanics increased significantly with an APC of 4.6% from 2000-2009.  It should be noted that, with the exception of the white, NH case numbers (n=2387), the other numbers were small and had less stable rates (black, NH=175, Asian, NH=108, Hispanic=272).  For example, when there are 6 cases in a given year, an increase of even 2 or 3 cases the following year can possibly indicate a trend when there isn’t one, especially if the number falls back to 5 the following year.</w:t>
      </w:r>
    </w:p>
    <w:p w:rsidR="004C1E6A" w:rsidRPr="004928A6" w:rsidRDefault="003F5DC5" w:rsidP="004928A6">
      <w:pPr>
        <w:rPr>
          <w:sz w:val="20"/>
          <w:szCs w:val="20"/>
        </w:rPr>
      </w:pPr>
      <w:r>
        <w:rPr>
          <w:noProof/>
        </w:rPr>
        <w:lastRenderedPageBreak/>
        <w:drawing>
          <wp:inline distT="0" distB="0" distL="0" distR="0">
            <wp:extent cx="5876925" cy="3305175"/>
            <wp:effectExtent l="0" t="0" r="0" b="0"/>
            <wp:docPr id="9"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4C1E6A" w:rsidRPr="004928A6">
        <w:rPr>
          <w:sz w:val="20"/>
          <w:szCs w:val="20"/>
        </w:rPr>
        <w:t>Source: Massachusetts Cancer Registry. * Rates are age-adjusted to the US standard 2000 population for ages 0-19</w:t>
      </w:r>
    </w:p>
    <w:p w:rsidR="004C1E6A" w:rsidRDefault="004C1E6A" w:rsidP="00144D9C">
      <w:pPr>
        <w:pStyle w:val="BodyText2"/>
        <w:rPr>
          <w:sz w:val="24"/>
          <w:szCs w:val="24"/>
        </w:rPr>
      </w:pPr>
    </w:p>
    <w:p w:rsidR="004C1E6A" w:rsidRDefault="004C1E6A" w:rsidP="00D16C54">
      <w:r w:rsidRPr="002B7CFD">
        <w:t xml:space="preserve">Nationally, </w:t>
      </w:r>
      <w:r>
        <w:t>the incidence rates for white, NHs, increased non-significantly with an APC of 0.1% (Figure 8). For black, NHs the trend increased with a significant APC of 2.0% (Figure 9); for Asian, NHs the trend increased non-significantly with an APC of 2.0% despite some annual fluctuations (Figure 10); and for Hispanics the trend increased significantly with an APC of 1.3% (Figure 11).  As opposed to the state trends for black, NHs, Asian, NHs, and Hispanics, the national numbers were much larger and as a result, the trends are less subject to small fluctuations in annual case numbers.</w:t>
      </w:r>
      <w:r w:rsidR="003F5DC5">
        <w:rPr>
          <w:noProof/>
        </w:rPr>
        <w:drawing>
          <wp:inline distT="0" distB="0" distL="0" distR="0">
            <wp:extent cx="5905500" cy="3181350"/>
            <wp:effectExtent l="0" t="0" r="0" b="0"/>
            <wp:docPr id="10"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C1E6A" w:rsidRPr="00F432B3" w:rsidRDefault="004C1E6A" w:rsidP="00190EE8">
      <w:pPr>
        <w:pStyle w:val="Caption"/>
        <w:rPr>
          <w:b w:val="0"/>
          <w:sz w:val="20"/>
          <w:szCs w:val="20"/>
        </w:rPr>
      </w:pPr>
      <w:r w:rsidRPr="00F432B3">
        <w:rPr>
          <w:b w:val="0"/>
          <w:sz w:val="20"/>
          <w:szCs w:val="20"/>
        </w:rPr>
        <w:t>Sou</w:t>
      </w:r>
      <w:r>
        <w:rPr>
          <w:b w:val="0"/>
          <w:sz w:val="20"/>
          <w:szCs w:val="20"/>
        </w:rPr>
        <w:t>r</w:t>
      </w:r>
      <w:r w:rsidRPr="00F432B3">
        <w:rPr>
          <w:b w:val="0"/>
          <w:sz w:val="20"/>
          <w:szCs w:val="20"/>
        </w:rPr>
        <w:t>ce</w:t>
      </w:r>
      <w:r>
        <w:rPr>
          <w:b w:val="0"/>
          <w:sz w:val="20"/>
          <w:szCs w:val="20"/>
        </w:rPr>
        <w:t>s</w:t>
      </w:r>
      <w:r w:rsidRPr="00F432B3">
        <w:rPr>
          <w:b w:val="0"/>
          <w:sz w:val="20"/>
          <w:szCs w:val="20"/>
        </w:rPr>
        <w:t>: Massachusetts Cancer Registry</w:t>
      </w:r>
      <w:r>
        <w:rPr>
          <w:b w:val="0"/>
          <w:sz w:val="20"/>
          <w:szCs w:val="20"/>
        </w:rPr>
        <w:t xml:space="preserve"> and SEER 18 Registries. * Rates are age-adjusted to the US standard 2000 population for ages 0-19.</w:t>
      </w:r>
    </w:p>
    <w:p w:rsidR="004C1E6A" w:rsidRDefault="004C1E6A" w:rsidP="00D16C54"/>
    <w:p w:rsidR="004C1E6A" w:rsidRDefault="003F5DC5" w:rsidP="00D16C54">
      <w:r>
        <w:rPr>
          <w:noProof/>
        </w:rPr>
        <w:drawing>
          <wp:inline distT="0" distB="0" distL="0" distR="0">
            <wp:extent cx="5857875" cy="3028950"/>
            <wp:effectExtent l="0" t="0" r="0" b="0"/>
            <wp:docPr id="11"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C1E6A" w:rsidRDefault="004C1E6A" w:rsidP="00144D9C">
      <w:pPr>
        <w:pStyle w:val="BodyText2"/>
      </w:pPr>
      <w:r w:rsidRPr="00144D9C">
        <w:t>Sources: Massachusetts Cancer Registry and SEER 18 Registr</w:t>
      </w:r>
      <w:r>
        <w:t>ies</w:t>
      </w:r>
      <w:r w:rsidRPr="00144D9C">
        <w:t xml:space="preserve">. * </w:t>
      </w:r>
      <w:r>
        <w:t>R</w:t>
      </w:r>
      <w:r w:rsidRPr="00144D9C">
        <w:t>ates are age</w:t>
      </w:r>
      <w:r>
        <w:t>-</w:t>
      </w:r>
      <w:r w:rsidRPr="00144D9C">
        <w:t>adjusted to the US standard 2000 population for ages 0-19.</w:t>
      </w:r>
    </w:p>
    <w:p w:rsidR="004C1E6A" w:rsidRPr="00144D9C" w:rsidRDefault="004C1E6A" w:rsidP="00144D9C">
      <w:pPr>
        <w:pStyle w:val="BodyText2"/>
      </w:pPr>
    </w:p>
    <w:p w:rsidR="004C1E6A" w:rsidRDefault="003F5DC5" w:rsidP="00D16C54">
      <w:pPr>
        <w:rPr>
          <w:sz w:val="20"/>
          <w:szCs w:val="20"/>
        </w:rPr>
      </w:pPr>
      <w:r>
        <w:rPr>
          <w:noProof/>
        </w:rPr>
        <w:drawing>
          <wp:inline distT="0" distB="0" distL="0" distR="0">
            <wp:extent cx="5838825" cy="3190875"/>
            <wp:effectExtent l="0" t="0" r="0" b="0"/>
            <wp:docPr id="12"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4C1E6A" w:rsidRPr="00144D9C">
        <w:rPr>
          <w:b/>
          <w:sz w:val="20"/>
          <w:szCs w:val="20"/>
        </w:rPr>
        <w:t xml:space="preserve"> </w:t>
      </w:r>
      <w:r w:rsidR="004C1E6A" w:rsidRPr="00144D9C">
        <w:rPr>
          <w:sz w:val="20"/>
          <w:szCs w:val="20"/>
        </w:rPr>
        <w:t>Sources: Massachusetts Cancer Registry and SEER 18 Registr</w:t>
      </w:r>
      <w:r w:rsidR="004C1E6A">
        <w:rPr>
          <w:sz w:val="20"/>
          <w:szCs w:val="20"/>
        </w:rPr>
        <w:t>ies</w:t>
      </w:r>
      <w:r w:rsidR="004C1E6A" w:rsidRPr="00144D9C">
        <w:rPr>
          <w:sz w:val="20"/>
          <w:szCs w:val="20"/>
        </w:rPr>
        <w:t xml:space="preserve">. * </w:t>
      </w:r>
      <w:r w:rsidR="004C1E6A">
        <w:rPr>
          <w:sz w:val="20"/>
          <w:szCs w:val="20"/>
        </w:rPr>
        <w:t>R</w:t>
      </w:r>
      <w:r w:rsidR="004C1E6A" w:rsidRPr="00144D9C">
        <w:rPr>
          <w:sz w:val="20"/>
          <w:szCs w:val="20"/>
        </w:rPr>
        <w:t>ates are age</w:t>
      </w:r>
      <w:r w:rsidR="004C1E6A">
        <w:rPr>
          <w:sz w:val="20"/>
          <w:szCs w:val="20"/>
        </w:rPr>
        <w:t>-</w:t>
      </w:r>
      <w:r w:rsidR="004C1E6A" w:rsidRPr="00144D9C">
        <w:rPr>
          <w:sz w:val="20"/>
          <w:szCs w:val="20"/>
        </w:rPr>
        <w:t>adjusted to the US standard 2000 population for ages 0-19</w:t>
      </w:r>
    </w:p>
    <w:p w:rsidR="004C1E6A" w:rsidRPr="00144D9C" w:rsidRDefault="004C1E6A" w:rsidP="00D16C54"/>
    <w:p w:rsidR="004C1E6A" w:rsidRDefault="003F5DC5" w:rsidP="00D16C54">
      <w:r>
        <w:rPr>
          <w:noProof/>
        </w:rPr>
        <w:lastRenderedPageBreak/>
        <w:drawing>
          <wp:inline distT="0" distB="0" distL="0" distR="0">
            <wp:extent cx="5819775" cy="3267075"/>
            <wp:effectExtent l="0" t="0" r="0" b="0"/>
            <wp:docPr id="13"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C1E6A" w:rsidRPr="00144D9C" w:rsidRDefault="004C1E6A" w:rsidP="00144D9C">
      <w:pPr>
        <w:pStyle w:val="BodyText2"/>
      </w:pPr>
      <w:r w:rsidRPr="00144D9C">
        <w:t>Sources: Massachusetts Cancer Registry and SEER 18 Registr</w:t>
      </w:r>
      <w:r>
        <w:t>ies</w:t>
      </w:r>
      <w:r w:rsidRPr="00144D9C">
        <w:t xml:space="preserve">. * </w:t>
      </w:r>
      <w:r>
        <w:t>R</w:t>
      </w:r>
      <w:r w:rsidRPr="00144D9C">
        <w:t>ates are age</w:t>
      </w:r>
      <w:r>
        <w:t>-</w:t>
      </w:r>
      <w:r w:rsidRPr="00144D9C">
        <w:t>adjusted to the US standard 2000 population for ages 0-19</w:t>
      </w:r>
    </w:p>
    <w:p w:rsidR="004C1E6A" w:rsidRDefault="004C1E6A" w:rsidP="00D16C54"/>
    <w:p w:rsidR="006F3987" w:rsidRDefault="006F3987" w:rsidP="00D16C54"/>
    <w:p w:rsidR="006F3987" w:rsidRDefault="006F3987" w:rsidP="00D16C54"/>
    <w:p w:rsidR="004C1E6A" w:rsidRDefault="004C1E6A" w:rsidP="00D16C54">
      <w:r>
        <w:t xml:space="preserve">From 2000-2009, Massachusetts white, NH children and adolescents had a significantly higher age-adjusted incidence rate for all cancers combined and CNS cancers compared to the three other racial/ethnic groups (Table 2).  There were no significant differences between black, NHs, Asian, NHs, and Hispanics. Of the five leading cancers for each racial/ethnic group, three were the same (leukemia, CNS and Lymphoma) but differed in the ranking.  </w:t>
      </w:r>
      <w:r w:rsidRPr="00A90F18">
        <w:t xml:space="preserve">When compared to the national SEER rates, the rate of all cancers among Hispanics was significantly lower (14.0, CI=12.4-15.7 vs. 16.5, CI=16.1-16.8).  Otherwise, there were no significant differences in rates between Massachusetts and </w:t>
      </w:r>
      <w:r>
        <w:t xml:space="preserve">the </w:t>
      </w:r>
      <w:r w:rsidRPr="00A90F18">
        <w:t>natio</w:t>
      </w:r>
      <w:r>
        <w:t>n</w:t>
      </w:r>
      <w:r w:rsidRPr="00A90F18">
        <w:t>.</w:t>
      </w:r>
    </w:p>
    <w:p w:rsidR="004C1E6A" w:rsidRDefault="004C1E6A" w:rsidP="00D16C54"/>
    <w:p w:rsidR="006F3987" w:rsidRDefault="006F3987" w:rsidP="00D16C54"/>
    <w:p w:rsidR="006F3987" w:rsidRDefault="006F3987" w:rsidP="00D16C54"/>
    <w:p w:rsidR="006F3987" w:rsidRDefault="006F3987" w:rsidP="00D16C54"/>
    <w:p w:rsidR="006F3987" w:rsidRDefault="006F3987" w:rsidP="00D16C54"/>
    <w:p w:rsidR="006F3987" w:rsidRDefault="006F3987" w:rsidP="00D16C54"/>
    <w:p w:rsidR="006F3987" w:rsidRDefault="006F3987" w:rsidP="00D16C54"/>
    <w:p w:rsidR="006F3987" w:rsidRDefault="006F3987" w:rsidP="00D16C54"/>
    <w:p w:rsidR="006F3987" w:rsidRDefault="006F3987" w:rsidP="00D16C54"/>
    <w:p w:rsidR="006F3987" w:rsidRDefault="006F3987" w:rsidP="00D16C54"/>
    <w:p w:rsidR="006F3987" w:rsidRDefault="006F3987" w:rsidP="00D16C54"/>
    <w:p w:rsidR="006F3987" w:rsidRDefault="006F3987" w:rsidP="00D16C54"/>
    <w:p w:rsidR="006F3987" w:rsidRDefault="006F3987" w:rsidP="00D16C54"/>
    <w:p w:rsidR="006F3987" w:rsidRDefault="006F3987" w:rsidP="00D16C54"/>
    <w:p w:rsidR="006F3987" w:rsidRDefault="006F3987" w:rsidP="00D16C54"/>
    <w:tbl>
      <w:tblPr>
        <w:tblW w:w="8880" w:type="dxa"/>
        <w:jc w:val="center"/>
        <w:tblInd w:w="108" w:type="dxa"/>
        <w:tblLook w:val="0000" w:firstRow="0" w:lastRow="0" w:firstColumn="0" w:lastColumn="0" w:noHBand="0" w:noVBand="0"/>
      </w:tblPr>
      <w:tblGrid>
        <w:gridCol w:w="710"/>
        <w:gridCol w:w="2040"/>
        <w:gridCol w:w="2050"/>
        <w:gridCol w:w="1856"/>
        <w:gridCol w:w="2224"/>
      </w:tblGrid>
      <w:tr w:rsidR="004C1E6A" w:rsidTr="00E17F36">
        <w:trPr>
          <w:trHeight w:val="549"/>
          <w:jc w:val="center"/>
        </w:trPr>
        <w:tc>
          <w:tcPr>
            <w:tcW w:w="8880" w:type="dxa"/>
            <w:gridSpan w:val="5"/>
            <w:tcBorders>
              <w:top w:val="nil"/>
              <w:left w:val="nil"/>
              <w:right w:val="nil"/>
            </w:tcBorders>
            <w:noWrap/>
            <w:vAlign w:val="center"/>
          </w:tcPr>
          <w:p w:rsidR="004C1E6A" w:rsidRDefault="004C1E6A" w:rsidP="000821A5">
            <w:pPr>
              <w:jc w:val="center"/>
              <w:rPr>
                <w:b/>
                <w:bCs/>
              </w:rPr>
            </w:pPr>
            <w:r w:rsidRPr="000E5D7A">
              <w:rPr>
                <w:b/>
                <w:bCs/>
              </w:rPr>
              <w:lastRenderedPageBreak/>
              <w:t xml:space="preserve">Table </w:t>
            </w:r>
            <w:r>
              <w:rPr>
                <w:b/>
                <w:bCs/>
              </w:rPr>
              <w:t>2: Age-Adjusted Incidence rates and 95% Confidence Intervals of the top five cancers among children and adolescents by race/ethnicity, Massachusetts, 2000-2009</w:t>
            </w:r>
          </w:p>
        </w:tc>
      </w:tr>
      <w:tr w:rsidR="004C1E6A" w:rsidTr="00E17F36">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9999FF" w:fill="C0C0C0"/>
            <w:noWrap/>
            <w:vAlign w:val="bottom"/>
          </w:tcPr>
          <w:p w:rsidR="004C1E6A" w:rsidRDefault="004C1E6A" w:rsidP="000821A5">
            <w:pPr>
              <w:jc w:val="center"/>
              <w:rPr>
                <w:b/>
                <w:bCs/>
              </w:rPr>
            </w:pPr>
            <w:r>
              <w:rPr>
                <w:b/>
                <w:bCs/>
              </w:rPr>
              <w:t>rank</w:t>
            </w:r>
          </w:p>
        </w:tc>
        <w:tc>
          <w:tcPr>
            <w:tcW w:w="2040" w:type="dxa"/>
            <w:tcBorders>
              <w:top w:val="single" w:sz="4" w:space="0" w:color="auto"/>
              <w:left w:val="nil"/>
              <w:bottom w:val="single" w:sz="4" w:space="0" w:color="auto"/>
              <w:right w:val="single" w:sz="4" w:space="0" w:color="auto"/>
            </w:tcBorders>
            <w:shd w:val="clear" w:color="9999FF" w:fill="C0C0C0"/>
            <w:noWrap/>
            <w:vAlign w:val="bottom"/>
          </w:tcPr>
          <w:p w:rsidR="004C1E6A" w:rsidRDefault="004C1E6A" w:rsidP="000821A5">
            <w:pPr>
              <w:jc w:val="center"/>
              <w:rPr>
                <w:b/>
                <w:bCs/>
              </w:rPr>
            </w:pPr>
            <w:r>
              <w:rPr>
                <w:b/>
                <w:bCs/>
              </w:rPr>
              <w:t>White, NH</w:t>
            </w:r>
          </w:p>
        </w:tc>
        <w:tc>
          <w:tcPr>
            <w:tcW w:w="2050" w:type="dxa"/>
            <w:tcBorders>
              <w:top w:val="single" w:sz="4" w:space="0" w:color="auto"/>
              <w:left w:val="nil"/>
              <w:bottom w:val="single" w:sz="4" w:space="0" w:color="auto"/>
              <w:right w:val="single" w:sz="4" w:space="0" w:color="auto"/>
            </w:tcBorders>
            <w:shd w:val="clear" w:color="9999FF" w:fill="C0C0C0"/>
            <w:noWrap/>
            <w:vAlign w:val="bottom"/>
          </w:tcPr>
          <w:p w:rsidR="004C1E6A" w:rsidRDefault="004C1E6A" w:rsidP="000821A5">
            <w:pPr>
              <w:jc w:val="center"/>
              <w:rPr>
                <w:b/>
                <w:bCs/>
              </w:rPr>
            </w:pPr>
            <w:r>
              <w:rPr>
                <w:b/>
                <w:bCs/>
              </w:rPr>
              <w:t>Black, NH</w:t>
            </w:r>
          </w:p>
        </w:tc>
        <w:tc>
          <w:tcPr>
            <w:tcW w:w="1856" w:type="dxa"/>
            <w:tcBorders>
              <w:top w:val="single" w:sz="4" w:space="0" w:color="auto"/>
              <w:left w:val="nil"/>
              <w:bottom w:val="single" w:sz="4" w:space="0" w:color="auto"/>
              <w:right w:val="single" w:sz="4" w:space="0" w:color="auto"/>
            </w:tcBorders>
            <w:shd w:val="clear" w:color="9999FF" w:fill="C0C0C0"/>
            <w:noWrap/>
            <w:vAlign w:val="bottom"/>
          </w:tcPr>
          <w:p w:rsidR="004C1E6A" w:rsidRDefault="004C1E6A" w:rsidP="000821A5">
            <w:pPr>
              <w:jc w:val="center"/>
              <w:rPr>
                <w:b/>
                <w:bCs/>
              </w:rPr>
            </w:pPr>
            <w:r>
              <w:rPr>
                <w:b/>
                <w:bCs/>
              </w:rPr>
              <w:t>Asian, NH</w:t>
            </w:r>
          </w:p>
        </w:tc>
        <w:tc>
          <w:tcPr>
            <w:tcW w:w="2224" w:type="dxa"/>
            <w:tcBorders>
              <w:top w:val="single" w:sz="4" w:space="0" w:color="auto"/>
              <w:left w:val="nil"/>
              <w:bottom w:val="single" w:sz="4" w:space="0" w:color="auto"/>
              <w:right w:val="single" w:sz="4" w:space="0" w:color="auto"/>
            </w:tcBorders>
            <w:shd w:val="clear" w:color="9999FF" w:fill="C0C0C0"/>
            <w:noWrap/>
            <w:vAlign w:val="bottom"/>
          </w:tcPr>
          <w:p w:rsidR="004C1E6A" w:rsidRDefault="004C1E6A" w:rsidP="000821A5">
            <w:pPr>
              <w:jc w:val="center"/>
              <w:rPr>
                <w:b/>
                <w:bCs/>
              </w:rPr>
            </w:pPr>
            <w:r>
              <w:rPr>
                <w:b/>
                <w:bCs/>
              </w:rPr>
              <w:t>Hispanic</w:t>
            </w:r>
          </w:p>
        </w:tc>
      </w:tr>
      <w:tr w:rsidR="004C1E6A" w:rsidTr="00E17F36">
        <w:trPr>
          <w:trHeight w:val="690"/>
          <w:jc w:val="center"/>
        </w:trPr>
        <w:tc>
          <w:tcPr>
            <w:tcW w:w="710" w:type="dxa"/>
            <w:tcBorders>
              <w:top w:val="nil"/>
              <w:left w:val="single" w:sz="4" w:space="0" w:color="auto"/>
              <w:bottom w:val="single" w:sz="4" w:space="0" w:color="auto"/>
              <w:right w:val="single" w:sz="4" w:space="0" w:color="auto"/>
            </w:tcBorders>
            <w:shd w:val="clear" w:color="9999FF" w:fill="C0C0C0"/>
            <w:noWrap/>
            <w:vAlign w:val="center"/>
          </w:tcPr>
          <w:p w:rsidR="004C1E6A" w:rsidRDefault="004C1E6A" w:rsidP="000821A5">
            <w:pPr>
              <w:jc w:val="center"/>
              <w:rPr>
                <w:b/>
                <w:bCs/>
              </w:rPr>
            </w:pPr>
          </w:p>
        </w:tc>
        <w:tc>
          <w:tcPr>
            <w:tcW w:w="2040"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rsidRPr="001E0BBA">
              <w:t>All Cancers     19.3 (18.5, 20.1)</w:t>
            </w:r>
          </w:p>
        </w:tc>
        <w:tc>
          <w:tcPr>
            <w:tcW w:w="2050"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All Cancers     13.2 (11.3, 15.2)</w:t>
            </w:r>
          </w:p>
        </w:tc>
        <w:tc>
          <w:tcPr>
            <w:tcW w:w="1856"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All Cancers  12.4 (10.1, 14.7)</w:t>
            </w:r>
          </w:p>
        </w:tc>
        <w:tc>
          <w:tcPr>
            <w:tcW w:w="2224"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All Cancers        14.0 (12.4, 15.7)</w:t>
            </w:r>
          </w:p>
        </w:tc>
      </w:tr>
      <w:tr w:rsidR="004C1E6A" w:rsidTr="00E17F36">
        <w:trPr>
          <w:trHeight w:val="690"/>
          <w:jc w:val="center"/>
        </w:trPr>
        <w:tc>
          <w:tcPr>
            <w:tcW w:w="710" w:type="dxa"/>
            <w:tcBorders>
              <w:top w:val="nil"/>
              <w:left w:val="single" w:sz="4" w:space="0" w:color="auto"/>
              <w:bottom w:val="single" w:sz="4" w:space="0" w:color="auto"/>
              <w:right w:val="single" w:sz="4" w:space="0" w:color="auto"/>
            </w:tcBorders>
            <w:shd w:val="clear" w:color="9999FF" w:fill="C0C0C0"/>
            <w:noWrap/>
            <w:vAlign w:val="center"/>
          </w:tcPr>
          <w:p w:rsidR="004C1E6A" w:rsidRDefault="004C1E6A" w:rsidP="000821A5">
            <w:pPr>
              <w:jc w:val="center"/>
              <w:rPr>
                <w:b/>
                <w:bCs/>
              </w:rPr>
            </w:pPr>
            <w:r>
              <w:rPr>
                <w:b/>
                <w:bCs/>
              </w:rPr>
              <w:t>1</w:t>
            </w:r>
          </w:p>
        </w:tc>
        <w:tc>
          <w:tcPr>
            <w:tcW w:w="2040"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Leukemia          4.6 (4.2, 5.0)</w:t>
            </w:r>
          </w:p>
        </w:tc>
        <w:tc>
          <w:tcPr>
            <w:tcW w:w="2050"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Lymphoma        2.6 (1.8, 3.5)</w:t>
            </w:r>
          </w:p>
        </w:tc>
        <w:tc>
          <w:tcPr>
            <w:tcW w:w="1856"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Leukemia       3.5 (2.3, 4.8)</w:t>
            </w:r>
          </w:p>
        </w:tc>
        <w:tc>
          <w:tcPr>
            <w:tcW w:w="2224"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Leukemia              4.1 (3.2, 5.0)</w:t>
            </w:r>
          </w:p>
        </w:tc>
      </w:tr>
      <w:tr w:rsidR="004C1E6A" w:rsidTr="00E17F36">
        <w:trPr>
          <w:trHeight w:val="630"/>
          <w:jc w:val="center"/>
        </w:trPr>
        <w:tc>
          <w:tcPr>
            <w:tcW w:w="710" w:type="dxa"/>
            <w:tcBorders>
              <w:top w:val="nil"/>
              <w:left w:val="single" w:sz="4" w:space="0" w:color="auto"/>
              <w:bottom w:val="single" w:sz="4" w:space="0" w:color="auto"/>
              <w:right w:val="single" w:sz="4" w:space="0" w:color="auto"/>
            </w:tcBorders>
            <w:shd w:val="clear" w:color="9999FF" w:fill="FFFFFF"/>
            <w:noWrap/>
            <w:vAlign w:val="center"/>
          </w:tcPr>
          <w:p w:rsidR="004C1E6A" w:rsidRDefault="004C1E6A" w:rsidP="000821A5">
            <w:pPr>
              <w:jc w:val="center"/>
              <w:rPr>
                <w:b/>
                <w:bCs/>
              </w:rPr>
            </w:pPr>
            <w:r>
              <w:rPr>
                <w:b/>
                <w:bCs/>
              </w:rPr>
              <w:t>2</w:t>
            </w:r>
          </w:p>
        </w:tc>
        <w:tc>
          <w:tcPr>
            <w:tcW w:w="2040" w:type="dxa"/>
            <w:tcBorders>
              <w:top w:val="nil"/>
              <w:left w:val="nil"/>
              <w:bottom w:val="single" w:sz="4" w:space="0" w:color="auto"/>
              <w:right w:val="single" w:sz="4" w:space="0" w:color="auto"/>
            </w:tcBorders>
            <w:shd w:val="clear" w:color="9999FF" w:fill="FFFFFF"/>
            <w:vAlign w:val="bottom"/>
          </w:tcPr>
          <w:p w:rsidR="004C1E6A" w:rsidRDefault="004C1E6A" w:rsidP="000821A5">
            <w:pPr>
              <w:jc w:val="center"/>
            </w:pPr>
            <w:r>
              <w:t>Brain/Central Nervous System              3.8 (3.5, 4.2)</w:t>
            </w:r>
          </w:p>
        </w:tc>
        <w:tc>
          <w:tcPr>
            <w:tcW w:w="2050" w:type="dxa"/>
            <w:tcBorders>
              <w:top w:val="nil"/>
              <w:left w:val="nil"/>
              <w:bottom w:val="single" w:sz="4" w:space="0" w:color="auto"/>
              <w:right w:val="single" w:sz="4" w:space="0" w:color="auto"/>
            </w:tcBorders>
            <w:shd w:val="clear" w:color="9999FF" w:fill="FFFFFF"/>
            <w:vAlign w:val="bottom"/>
          </w:tcPr>
          <w:p w:rsidR="004C1E6A" w:rsidRDefault="004C1E6A" w:rsidP="000821A5">
            <w:pPr>
              <w:jc w:val="center"/>
            </w:pPr>
            <w:r>
              <w:t>Leukemia          2.5 (1.6, 3.3)</w:t>
            </w:r>
          </w:p>
        </w:tc>
        <w:tc>
          <w:tcPr>
            <w:tcW w:w="1856" w:type="dxa"/>
            <w:tcBorders>
              <w:top w:val="nil"/>
              <w:left w:val="nil"/>
              <w:bottom w:val="single" w:sz="4" w:space="0" w:color="auto"/>
              <w:right w:val="single" w:sz="4" w:space="0" w:color="auto"/>
            </w:tcBorders>
            <w:shd w:val="clear" w:color="9999FF" w:fill="FFFFFF"/>
            <w:vAlign w:val="bottom"/>
          </w:tcPr>
          <w:p w:rsidR="004C1E6A" w:rsidRDefault="004C1E6A" w:rsidP="000821A5">
            <w:pPr>
              <w:jc w:val="center"/>
            </w:pPr>
            <w:r>
              <w:t>Lymphoma    2.2 (1.2, 3.3)</w:t>
            </w:r>
          </w:p>
        </w:tc>
        <w:tc>
          <w:tcPr>
            <w:tcW w:w="2224" w:type="dxa"/>
            <w:tcBorders>
              <w:top w:val="nil"/>
              <w:left w:val="nil"/>
              <w:bottom w:val="single" w:sz="4" w:space="0" w:color="auto"/>
              <w:right w:val="single" w:sz="4" w:space="0" w:color="auto"/>
            </w:tcBorders>
            <w:shd w:val="clear" w:color="9999FF" w:fill="FFFFFF"/>
            <w:vAlign w:val="bottom"/>
          </w:tcPr>
          <w:p w:rsidR="004C1E6A" w:rsidRDefault="004C1E6A" w:rsidP="000821A5">
            <w:pPr>
              <w:jc w:val="center"/>
            </w:pPr>
            <w:r>
              <w:t>Brain/Central Nervous System                 2.3 (1.7, 3.0)</w:t>
            </w:r>
          </w:p>
        </w:tc>
      </w:tr>
      <w:tr w:rsidR="004C1E6A" w:rsidTr="00E17F36">
        <w:trPr>
          <w:trHeight w:val="630"/>
          <w:jc w:val="center"/>
        </w:trPr>
        <w:tc>
          <w:tcPr>
            <w:tcW w:w="710" w:type="dxa"/>
            <w:tcBorders>
              <w:top w:val="nil"/>
              <w:left w:val="single" w:sz="4" w:space="0" w:color="auto"/>
              <w:bottom w:val="single" w:sz="4" w:space="0" w:color="auto"/>
              <w:right w:val="single" w:sz="4" w:space="0" w:color="auto"/>
            </w:tcBorders>
            <w:shd w:val="clear" w:color="9999FF" w:fill="C0C0C0"/>
            <w:noWrap/>
            <w:vAlign w:val="center"/>
          </w:tcPr>
          <w:p w:rsidR="004C1E6A" w:rsidRDefault="004C1E6A" w:rsidP="000821A5">
            <w:pPr>
              <w:jc w:val="center"/>
              <w:rPr>
                <w:b/>
                <w:bCs/>
              </w:rPr>
            </w:pPr>
            <w:r>
              <w:rPr>
                <w:b/>
                <w:bCs/>
              </w:rPr>
              <w:t>3</w:t>
            </w:r>
          </w:p>
        </w:tc>
        <w:tc>
          <w:tcPr>
            <w:tcW w:w="2040"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Lymphoma       3.1 (2.8, 3.4)</w:t>
            </w:r>
          </w:p>
        </w:tc>
        <w:tc>
          <w:tcPr>
            <w:tcW w:w="2050"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Central Nervous System              1.8 (1.0, 2.5)</w:t>
            </w:r>
          </w:p>
        </w:tc>
        <w:tc>
          <w:tcPr>
            <w:tcW w:w="1856"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Central Nervous System           2.1 (1.2, 3.3)</w:t>
            </w:r>
          </w:p>
        </w:tc>
        <w:tc>
          <w:tcPr>
            <w:tcW w:w="2224"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Lymphoma           2.3 (1.6, 3.0)</w:t>
            </w:r>
          </w:p>
        </w:tc>
      </w:tr>
      <w:tr w:rsidR="004C1E6A" w:rsidTr="00E17F36">
        <w:trPr>
          <w:trHeight w:val="593"/>
          <w:jc w:val="center"/>
        </w:trPr>
        <w:tc>
          <w:tcPr>
            <w:tcW w:w="710" w:type="dxa"/>
            <w:tcBorders>
              <w:top w:val="nil"/>
              <w:left w:val="single" w:sz="4" w:space="0" w:color="auto"/>
              <w:bottom w:val="single" w:sz="4" w:space="0" w:color="auto"/>
              <w:right w:val="single" w:sz="4" w:space="0" w:color="auto"/>
            </w:tcBorders>
            <w:shd w:val="clear" w:color="9999FF" w:fill="FFFFFF"/>
            <w:noWrap/>
            <w:vAlign w:val="center"/>
          </w:tcPr>
          <w:p w:rsidR="004C1E6A" w:rsidRDefault="004C1E6A" w:rsidP="000821A5">
            <w:pPr>
              <w:jc w:val="center"/>
              <w:rPr>
                <w:b/>
                <w:bCs/>
              </w:rPr>
            </w:pPr>
            <w:r>
              <w:rPr>
                <w:b/>
                <w:bCs/>
              </w:rPr>
              <w:t>4</w:t>
            </w:r>
          </w:p>
        </w:tc>
        <w:tc>
          <w:tcPr>
            <w:tcW w:w="2040" w:type="dxa"/>
            <w:tcBorders>
              <w:top w:val="nil"/>
              <w:left w:val="nil"/>
              <w:bottom w:val="single" w:sz="4" w:space="0" w:color="auto"/>
              <w:right w:val="single" w:sz="4" w:space="0" w:color="auto"/>
            </w:tcBorders>
            <w:shd w:val="clear" w:color="9999FF" w:fill="FFFFFF"/>
            <w:vAlign w:val="bottom"/>
          </w:tcPr>
          <w:p w:rsidR="004C1E6A" w:rsidRDefault="004C1E6A" w:rsidP="000821A5">
            <w:pPr>
              <w:jc w:val="center"/>
            </w:pPr>
            <w:r>
              <w:t>Epithelial Tumors  2.0 (1.8, 2.3)</w:t>
            </w:r>
          </w:p>
        </w:tc>
        <w:tc>
          <w:tcPr>
            <w:tcW w:w="2050" w:type="dxa"/>
            <w:tcBorders>
              <w:top w:val="nil"/>
              <w:left w:val="nil"/>
              <w:bottom w:val="single" w:sz="4" w:space="0" w:color="auto"/>
              <w:right w:val="single" w:sz="4" w:space="0" w:color="auto"/>
            </w:tcBorders>
            <w:shd w:val="clear" w:color="9999FF" w:fill="FFFFFF"/>
            <w:vAlign w:val="bottom"/>
          </w:tcPr>
          <w:p w:rsidR="004C1E6A" w:rsidRDefault="004C1E6A" w:rsidP="000821A5">
            <w:pPr>
              <w:jc w:val="center"/>
            </w:pPr>
            <w:r>
              <w:t>Soft Tissue Sarcoma            1.7 (1.0, 2.4)</w:t>
            </w:r>
          </w:p>
        </w:tc>
        <w:tc>
          <w:tcPr>
            <w:tcW w:w="1856" w:type="dxa"/>
            <w:tcBorders>
              <w:top w:val="nil"/>
              <w:left w:val="nil"/>
              <w:bottom w:val="single" w:sz="4" w:space="0" w:color="auto"/>
              <w:right w:val="single" w:sz="4" w:space="0" w:color="auto"/>
            </w:tcBorders>
            <w:shd w:val="clear" w:color="9999FF" w:fill="FFFFFF"/>
            <w:vAlign w:val="bottom"/>
          </w:tcPr>
          <w:p w:rsidR="004C1E6A" w:rsidRDefault="004C1E6A" w:rsidP="000821A5">
            <w:pPr>
              <w:jc w:val="center"/>
            </w:pPr>
            <w:r>
              <w:t>Soft Tissue Sarcoma         1.0 (0.3, 1.6)</w:t>
            </w:r>
          </w:p>
        </w:tc>
        <w:tc>
          <w:tcPr>
            <w:tcW w:w="2224" w:type="dxa"/>
            <w:tcBorders>
              <w:top w:val="nil"/>
              <w:left w:val="nil"/>
              <w:bottom w:val="single" w:sz="4" w:space="0" w:color="auto"/>
              <w:right w:val="single" w:sz="4" w:space="0" w:color="auto"/>
            </w:tcBorders>
            <w:shd w:val="clear" w:color="9999FF" w:fill="FFFFFF"/>
            <w:vAlign w:val="bottom"/>
          </w:tcPr>
          <w:p w:rsidR="004C1E6A" w:rsidRDefault="004C1E6A" w:rsidP="000821A5">
            <w:pPr>
              <w:jc w:val="center"/>
            </w:pPr>
            <w:r>
              <w:t>Epithelial Tumors  1.4 (0.8, 1.9)</w:t>
            </w:r>
          </w:p>
        </w:tc>
      </w:tr>
      <w:tr w:rsidR="004C1E6A" w:rsidTr="00E17F36">
        <w:trPr>
          <w:trHeight w:val="665"/>
          <w:jc w:val="center"/>
        </w:trPr>
        <w:tc>
          <w:tcPr>
            <w:tcW w:w="710" w:type="dxa"/>
            <w:tcBorders>
              <w:top w:val="nil"/>
              <w:left w:val="single" w:sz="4" w:space="0" w:color="auto"/>
              <w:bottom w:val="single" w:sz="4" w:space="0" w:color="auto"/>
              <w:right w:val="single" w:sz="4" w:space="0" w:color="auto"/>
            </w:tcBorders>
            <w:shd w:val="clear" w:color="9999FF" w:fill="C0C0C0"/>
            <w:noWrap/>
            <w:vAlign w:val="center"/>
          </w:tcPr>
          <w:p w:rsidR="004C1E6A" w:rsidRDefault="004C1E6A" w:rsidP="000821A5">
            <w:pPr>
              <w:jc w:val="center"/>
              <w:rPr>
                <w:b/>
                <w:bCs/>
              </w:rPr>
            </w:pPr>
            <w:r>
              <w:rPr>
                <w:b/>
                <w:bCs/>
              </w:rPr>
              <w:t>5</w:t>
            </w:r>
          </w:p>
        </w:tc>
        <w:tc>
          <w:tcPr>
            <w:tcW w:w="2040"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rsidRPr="000A5E3D">
              <w:t>Peripheral Nervous System                  1.4 (1.2, 1.6)</w:t>
            </w:r>
          </w:p>
        </w:tc>
        <w:tc>
          <w:tcPr>
            <w:tcW w:w="2050"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Renal Tumors   0.9 (0.4, 1.4)</w:t>
            </w:r>
          </w:p>
        </w:tc>
        <w:tc>
          <w:tcPr>
            <w:tcW w:w="1856"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Germ Cell Tumors          0.8 (0.2, 1.4)</w:t>
            </w:r>
          </w:p>
        </w:tc>
        <w:tc>
          <w:tcPr>
            <w:tcW w:w="2224" w:type="dxa"/>
            <w:tcBorders>
              <w:top w:val="nil"/>
              <w:left w:val="nil"/>
              <w:bottom w:val="single" w:sz="4" w:space="0" w:color="auto"/>
              <w:right w:val="single" w:sz="4" w:space="0" w:color="auto"/>
            </w:tcBorders>
            <w:shd w:val="clear" w:color="9999FF" w:fill="C0C0C0"/>
            <w:vAlign w:val="bottom"/>
          </w:tcPr>
          <w:p w:rsidR="004C1E6A" w:rsidRDefault="004C1E6A" w:rsidP="000821A5">
            <w:pPr>
              <w:jc w:val="center"/>
            </w:pPr>
            <w:r>
              <w:t>Soft Tissue Sarcoma  1.1 (0.6, 1.6)</w:t>
            </w:r>
          </w:p>
        </w:tc>
      </w:tr>
    </w:tbl>
    <w:p w:rsidR="004C1E6A" w:rsidRDefault="004C1E6A" w:rsidP="00B445FA">
      <w:pPr>
        <w:pStyle w:val="Caption"/>
      </w:pPr>
      <w:r w:rsidRPr="00B445FA">
        <w:rPr>
          <w:b w:val="0"/>
          <w:sz w:val="20"/>
          <w:szCs w:val="20"/>
        </w:rPr>
        <w:t>Sou</w:t>
      </w:r>
      <w:r>
        <w:rPr>
          <w:b w:val="0"/>
          <w:sz w:val="20"/>
          <w:szCs w:val="20"/>
        </w:rPr>
        <w:t>r</w:t>
      </w:r>
      <w:r w:rsidRPr="00B445FA">
        <w:rPr>
          <w:b w:val="0"/>
          <w:sz w:val="20"/>
          <w:szCs w:val="20"/>
        </w:rPr>
        <w:t>ce: Massachusetts Cancer Registry.</w:t>
      </w:r>
      <w:r>
        <w:t xml:space="preserve"> </w:t>
      </w:r>
      <w:r>
        <w:rPr>
          <w:b w:val="0"/>
          <w:sz w:val="20"/>
          <w:szCs w:val="20"/>
        </w:rPr>
        <w:t>* Rates are age-adjusted to the US standard 2000 population for ages 0-19.</w:t>
      </w:r>
    </w:p>
    <w:p w:rsidR="004C1E6A" w:rsidRDefault="004C1E6A" w:rsidP="003B6466">
      <w:pPr>
        <w:rPr>
          <w:b/>
          <w:caps/>
        </w:rPr>
      </w:pPr>
    </w:p>
    <w:p w:rsidR="004C1E6A" w:rsidRPr="00BF2A5A" w:rsidRDefault="004C1E6A" w:rsidP="003B6466">
      <w:pPr>
        <w:rPr>
          <w:b/>
          <w:caps/>
        </w:rPr>
      </w:pPr>
      <w:r w:rsidRPr="00BF2A5A">
        <w:rPr>
          <w:b/>
          <w:caps/>
        </w:rPr>
        <w:t xml:space="preserve">Specific Types of Childhood </w:t>
      </w:r>
      <w:r>
        <w:rPr>
          <w:b/>
          <w:caps/>
        </w:rPr>
        <w:t xml:space="preserve">AND ADOLESCENT </w:t>
      </w:r>
      <w:r w:rsidRPr="00BF2A5A">
        <w:rPr>
          <w:b/>
          <w:caps/>
        </w:rPr>
        <w:t>Cancers</w:t>
      </w:r>
      <w:r>
        <w:rPr>
          <w:b/>
          <w:caps/>
        </w:rPr>
        <w:t>:</w:t>
      </w:r>
    </w:p>
    <w:p w:rsidR="004C1E6A" w:rsidRDefault="004C1E6A" w:rsidP="003B6466"/>
    <w:p w:rsidR="004C1E6A" w:rsidRPr="00657754" w:rsidRDefault="004C1E6A" w:rsidP="003B6466">
      <w:pPr>
        <w:rPr>
          <w:b/>
          <w:caps/>
        </w:rPr>
      </w:pPr>
      <w:r w:rsidRPr="00657754">
        <w:rPr>
          <w:b/>
          <w:caps/>
        </w:rPr>
        <w:t>Leukemia</w:t>
      </w:r>
    </w:p>
    <w:p w:rsidR="004C1E6A" w:rsidRDefault="004C1E6A" w:rsidP="003B6466"/>
    <w:p w:rsidR="004C1E6A" w:rsidRDefault="004C1E6A" w:rsidP="00CE3606">
      <w:pPr>
        <w:autoSpaceDE w:val="0"/>
        <w:autoSpaceDN w:val="0"/>
        <w:adjustRightInd w:val="0"/>
      </w:pPr>
      <w:r w:rsidRPr="00C0389B">
        <w:t>Leukemia is a general term that includes different cancers that occur in the bone marrow, which</w:t>
      </w:r>
      <w:r>
        <w:t xml:space="preserve"> </w:t>
      </w:r>
      <w:r w:rsidRPr="00C0389B">
        <w:t>is responsible for supplying blood cells.</w:t>
      </w:r>
      <w:r>
        <w:t xml:space="preserve">  Any cell in the bone marrow can transform into a leukemia cell which can reproduce quickly and not die when it should.  The cells build up in the bone marrow and eventually enter the bloodstream.</w:t>
      </w:r>
      <w:r>
        <w:rPr>
          <w:vertAlign w:val="superscript"/>
        </w:rPr>
        <w:t>5</w:t>
      </w:r>
      <w:r>
        <w:t xml:space="preserve"> From 2000-2009, the 705 leukemia cases accounted for 23.5% of Massachusetts childhood and adolescent cancer cases compared with 26.7% of US SEER cases.  Figure 12 shows the trends in total leukemia incidence by age group from 2000-2009.  There was a significant increase in the incidence trend for childhood and adolescent leukemia in MA (APC=2.3%) but not in the US (APC=1.0%).  </w:t>
      </w:r>
    </w:p>
    <w:p w:rsidR="004C1E6A" w:rsidRDefault="004C1E6A" w:rsidP="00CE3606">
      <w:pPr>
        <w:autoSpaceDE w:val="0"/>
        <w:autoSpaceDN w:val="0"/>
        <w:adjustRightInd w:val="0"/>
      </w:pPr>
    </w:p>
    <w:p w:rsidR="004C1E6A" w:rsidRDefault="004C1E6A" w:rsidP="00CE3606">
      <w:pPr>
        <w:autoSpaceDE w:val="0"/>
        <w:autoSpaceDN w:val="0"/>
        <w:adjustRightInd w:val="0"/>
      </w:pPr>
      <w:r>
        <w:object w:dxaOrig="9117" w:dyaOrig="5176">
          <v:shape id="_x0000_i1027" type="#_x0000_t75" style="width:455.85pt;height:258.8pt" o:ole="" o:bordertopcolor="this" o:borderleftcolor="this" o:borderbottomcolor="this" o:borderrightcolor="this">
            <v:imagedata r:id="rId26" o:title=""/>
            <w10:bordertop type="single" width="4"/>
            <w10:borderleft type="single" width="4"/>
            <w10:borderbottom type="single" width="4"/>
            <w10:borderright type="single" width="4"/>
          </v:shape>
          <o:OLEObject Type="Embed" ProgID="MSGraph.Chart.8" ShapeID="_x0000_i1027" DrawAspect="Content" ObjectID="_1465804138" r:id="rId27">
            <o:FieldCodes>\s</o:FieldCodes>
          </o:OLEObject>
        </w:object>
      </w:r>
    </w:p>
    <w:p w:rsidR="004C1E6A" w:rsidRDefault="004C1E6A" w:rsidP="00B445FA">
      <w:pPr>
        <w:pStyle w:val="Caption"/>
      </w:pPr>
      <w:r w:rsidRPr="00B445FA">
        <w:rPr>
          <w:b w:val="0"/>
          <w:sz w:val="20"/>
          <w:szCs w:val="20"/>
        </w:rPr>
        <w:t>Sou</w:t>
      </w:r>
      <w:r>
        <w:rPr>
          <w:b w:val="0"/>
          <w:sz w:val="20"/>
          <w:szCs w:val="20"/>
        </w:rPr>
        <w:t>r</w:t>
      </w:r>
      <w:r w:rsidRPr="00B445FA">
        <w:rPr>
          <w:b w:val="0"/>
          <w:sz w:val="20"/>
          <w:szCs w:val="20"/>
        </w:rPr>
        <w:t>ce: Massachusetts Cancer Registry</w:t>
      </w:r>
      <w:r>
        <w:rPr>
          <w:b w:val="0"/>
          <w:sz w:val="20"/>
          <w:szCs w:val="20"/>
        </w:rPr>
        <w:t xml:space="preserve"> and SEER 18 Registries</w:t>
      </w:r>
      <w:r w:rsidRPr="00B445FA">
        <w:rPr>
          <w:b w:val="0"/>
          <w:sz w:val="20"/>
          <w:szCs w:val="20"/>
        </w:rPr>
        <w:t>.</w:t>
      </w:r>
      <w:r>
        <w:t xml:space="preserve"> </w:t>
      </w:r>
      <w:r>
        <w:rPr>
          <w:b w:val="0"/>
          <w:sz w:val="20"/>
          <w:szCs w:val="20"/>
        </w:rPr>
        <w:t>* Rates are age-adjusted to the US standard 2000 population for ages 0-19.</w:t>
      </w:r>
    </w:p>
    <w:p w:rsidR="004C1E6A" w:rsidRDefault="004C1E6A" w:rsidP="00CE3606">
      <w:pPr>
        <w:autoSpaceDE w:val="0"/>
        <w:autoSpaceDN w:val="0"/>
        <w:adjustRightInd w:val="0"/>
      </w:pPr>
    </w:p>
    <w:p w:rsidR="004C1E6A" w:rsidRDefault="004C1E6A" w:rsidP="00F409C2">
      <w:pPr>
        <w:autoSpaceDE w:val="0"/>
        <w:autoSpaceDN w:val="0"/>
        <w:adjustRightInd w:val="0"/>
      </w:pPr>
      <w:r>
        <w:t>Trends in leukemia incidence were compared between white, NHs and Hispanics.  These were the only two groups with enough cases to perform any meaningful analyses (a minimum of 5 cases/year).  Since there were fewer than 5 cases among Hispanics in 2000, the trends were analyzed from 2001 to 2009.  While the incidence rates increased for both white, NHs and Hispanics (APCs of 1.3% and 2.9%, respectively), neither trend was significant.  (Figure 13)</w:t>
      </w:r>
    </w:p>
    <w:p w:rsidR="004C1E6A" w:rsidRDefault="004C1E6A" w:rsidP="00F409C2">
      <w:pPr>
        <w:autoSpaceDE w:val="0"/>
        <w:autoSpaceDN w:val="0"/>
        <w:adjustRightInd w:val="0"/>
      </w:pPr>
    </w:p>
    <w:p w:rsidR="004C1E6A" w:rsidRDefault="004C1E6A" w:rsidP="00F409C2">
      <w:pPr>
        <w:autoSpaceDE w:val="0"/>
        <w:autoSpaceDN w:val="0"/>
        <w:adjustRightInd w:val="0"/>
      </w:pPr>
    </w:p>
    <w:p w:rsidR="004C1E6A" w:rsidRDefault="003F5DC5" w:rsidP="00F409C2">
      <w:pPr>
        <w:autoSpaceDE w:val="0"/>
        <w:autoSpaceDN w:val="0"/>
        <w:adjustRightInd w:val="0"/>
      </w:pPr>
      <w:r>
        <w:rPr>
          <w:noProof/>
        </w:rPr>
        <w:drawing>
          <wp:inline distT="0" distB="0" distL="0" distR="0">
            <wp:extent cx="5734050" cy="3200400"/>
            <wp:effectExtent l="0" t="0" r="0" b="0"/>
            <wp:docPr id="15" name="Objec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C1E6A" w:rsidRDefault="004C1E6A" w:rsidP="00F409C2">
      <w:pPr>
        <w:pStyle w:val="Caption"/>
        <w:rPr>
          <w:b w:val="0"/>
          <w:sz w:val="20"/>
          <w:szCs w:val="20"/>
        </w:rPr>
      </w:pPr>
      <w:r w:rsidRPr="00B445FA">
        <w:rPr>
          <w:b w:val="0"/>
          <w:sz w:val="20"/>
          <w:szCs w:val="20"/>
        </w:rPr>
        <w:t>Sou</w:t>
      </w:r>
      <w:r>
        <w:rPr>
          <w:b w:val="0"/>
          <w:sz w:val="20"/>
          <w:szCs w:val="20"/>
        </w:rPr>
        <w:t>r</w:t>
      </w:r>
      <w:r w:rsidRPr="00B445FA">
        <w:rPr>
          <w:b w:val="0"/>
          <w:sz w:val="20"/>
          <w:szCs w:val="20"/>
        </w:rPr>
        <w:t>ce: Massachusetts Cancer Registry</w:t>
      </w:r>
      <w:r>
        <w:rPr>
          <w:b w:val="0"/>
          <w:sz w:val="20"/>
          <w:szCs w:val="20"/>
        </w:rPr>
        <w:t>.* Rates are age-adjusted to the US standard 2000 population for ages 0-19.</w:t>
      </w:r>
    </w:p>
    <w:p w:rsidR="004C1E6A" w:rsidRDefault="004C1E6A" w:rsidP="00E40447"/>
    <w:p w:rsidR="004C1E6A" w:rsidRDefault="004C1E6A" w:rsidP="00E40447">
      <w:r>
        <w:t xml:space="preserve">There are five subgroups of leukemia (acute lymphoid leukemia, acute myeloid leukemia, chronic </w:t>
      </w:r>
      <w:proofErr w:type="spellStart"/>
      <w:r>
        <w:t>myeloproliferative</w:t>
      </w:r>
      <w:proofErr w:type="spellEnd"/>
      <w:r>
        <w:t xml:space="preserve"> leukemia, </w:t>
      </w:r>
      <w:proofErr w:type="spellStart"/>
      <w:r w:rsidRPr="00EC3EB1">
        <w:t>myelodysplastic</w:t>
      </w:r>
      <w:proofErr w:type="spellEnd"/>
      <w:r w:rsidRPr="00EC3EB1">
        <w:t xml:space="preserve"> syndrome</w:t>
      </w:r>
      <w:r>
        <w:t>, and unspecified leukemia).</w:t>
      </w:r>
    </w:p>
    <w:p w:rsidR="004C1E6A" w:rsidRPr="00E40447" w:rsidRDefault="004C1E6A" w:rsidP="00E40447"/>
    <w:p w:rsidR="004C1E6A" w:rsidRDefault="004C1E6A" w:rsidP="00AD31C0">
      <w:pPr>
        <w:autoSpaceDE w:val="0"/>
        <w:autoSpaceDN w:val="0"/>
        <w:adjustRightInd w:val="0"/>
      </w:pPr>
      <w:r>
        <w:rPr>
          <w:b/>
        </w:rPr>
        <w:t>Acute l</w:t>
      </w:r>
      <w:r w:rsidRPr="001E676C">
        <w:rPr>
          <w:b/>
        </w:rPr>
        <w:t>ymphoid leukemia</w:t>
      </w:r>
      <w:r>
        <w:rPr>
          <w:b/>
        </w:rPr>
        <w:t xml:space="preserve"> (ALL)</w:t>
      </w:r>
      <w:r>
        <w:t xml:space="preserve"> is an acute (fast growing) leukemia that starts in the lymphoid cells of the bone marrow.</w:t>
      </w:r>
      <w:r>
        <w:rPr>
          <w:vertAlign w:val="superscript"/>
        </w:rPr>
        <w:t>5</w:t>
      </w:r>
      <w:r>
        <w:t xml:space="preserve"> Nationally, it accounted for 75.9% of all childhood and adolescent </w:t>
      </w:r>
      <w:proofErr w:type="spellStart"/>
      <w:r>
        <w:t>leukemias</w:t>
      </w:r>
      <w:proofErr w:type="spellEnd"/>
      <w:r>
        <w:t xml:space="preserve"> diagnosed from 2000-2009 while statewide it accounted for 77.7% (n=548) of leukemia cases. A significantly larger percentage of ALL cases were male compared to female (56.4% vs. 43.6</w:t>
      </w:r>
      <w:r w:rsidRPr="002D7945">
        <w:t xml:space="preserve">%).  ALL was more likely to be diagnosed in the younger age groups with 72.5% of cases diagnosed before the age of 10 and 51.3% before the age of 5.  There were </w:t>
      </w:r>
      <w:r>
        <w:t xml:space="preserve">statistically </w:t>
      </w:r>
      <w:r w:rsidRPr="002D7945">
        <w:t>significant increases in the incidence trends for ALL in both Massachusetts and the US (APC=3.2 and 1.2, respectively) (Figure 14).</w:t>
      </w:r>
      <w:r>
        <w:t xml:space="preserve">  </w:t>
      </w:r>
    </w:p>
    <w:p w:rsidR="004C1E6A" w:rsidRDefault="004C1E6A" w:rsidP="00AD31C0">
      <w:pPr>
        <w:autoSpaceDE w:val="0"/>
        <w:autoSpaceDN w:val="0"/>
        <w:adjustRightInd w:val="0"/>
      </w:pPr>
    </w:p>
    <w:p w:rsidR="004C1E6A" w:rsidRDefault="003F5DC5" w:rsidP="00AD31C0">
      <w:pPr>
        <w:autoSpaceDE w:val="0"/>
        <w:autoSpaceDN w:val="0"/>
        <w:adjustRightInd w:val="0"/>
      </w:pPr>
      <w:r>
        <w:rPr>
          <w:noProof/>
        </w:rPr>
        <w:drawing>
          <wp:inline distT="0" distB="0" distL="0" distR="0">
            <wp:extent cx="5838825" cy="3305175"/>
            <wp:effectExtent l="0" t="0" r="0" b="0"/>
            <wp:docPr id="16" name="Obj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C1E6A" w:rsidRDefault="004C1E6A" w:rsidP="00AD31C0">
      <w:pPr>
        <w:pStyle w:val="Caption"/>
      </w:pPr>
      <w:r w:rsidRPr="00B445FA">
        <w:rPr>
          <w:b w:val="0"/>
          <w:sz w:val="20"/>
          <w:szCs w:val="20"/>
        </w:rPr>
        <w:t>Sou</w:t>
      </w:r>
      <w:r>
        <w:rPr>
          <w:b w:val="0"/>
          <w:sz w:val="20"/>
          <w:szCs w:val="20"/>
        </w:rPr>
        <w:t>r</w:t>
      </w:r>
      <w:r w:rsidRPr="00B445FA">
        <w:rPr>
          <w:b w:val="0"/>
          <w:sz w:val="20"/>
          <w:szCs w:val="20"/>
        </w:rPr>
        <w:t>ce</w:t>
      </w:r>
      <w:r>
        <w:rPr>
          <w:b w:val="0"/>
          <w:sz w:val="20"/>
          <w:szCs w:val="20"/>
        </w:rPr>
        <w:t>s</w:t>
      </w:r>
      <w:r w:rsidRPr="00B445FA">
        <w:rPr>
          <w:b w:val="0"/>
          <w:sz w:val="20"/>
          <w:szCs w:val="20"/>
        </w:rPr>
        <w:t>: Massachusetts Cancer Registry</w:t>
      </w:r>
      <w:r>
        <w:rPr>
          <w:b w:val="0"/>
          <w:sz w:val="20"/>
          <w:szCs w:val="20"/>
        </w:rPr>
        <w:t xml:space="preserve"> and SEER 18 Registries</w:t>
      </w:r>
      <w:r w:rsidRPr="00B445FA">
        <w:rPr>
          <w:b w:val="0"/>
          <w:sz w:val="20"/>
          <w:szCs w:val="20"/>
        </w:rPr>
        <w:t>.</w:t>
      </w:r>
      <w:r>
        <w:t xml:space="preserve"> </w:t>
      </w:r>
      <w:r>
        <w:rPr>
          <w:b w:val="0"/>
          <w:sz w:val="20"/>
          <w:szCs w:val="20"/>
        </w:rPr>
        <w:t>* Rates are age-adjusted to the US standard 2000 population for ages 0-19.</w:t>
      </w:r>
    </w:p>
    <w:p w:rsidR="004C1E6A" w:rsidRDefault="004C1E6A" w:rsidP="00D16C54">
      <w:pPr>
        <w:autoSpaceDE w:val="0"/>
        <w:autoSpaceDN w:val="0"/>
        <w:adjustRightInd w:val="0"/>
      </w:pPr>
    </w:p>
    <w:p w:rsidR="004C1E6A" w:rsidRDefault="004C1E6A" w:rsidP="009B7037">
      <w:pPr>
        <w:autoSpaceDE w:val="0"/>
        <w:autoSpaceDN w:val="0"/>
        <w:adjustRightInd w:val="0"/>
      </w:pPr>
      <w:r w:rsidRPr="009815B0">
        <w:rPr>
          <w:b/>
        </w:rPr>
        <w:t>Acute myeloid leukemia</w:t>
      </w:r>
      <w:r>
        <w:rPr>
          <w:b/>
        </w:rPr>
        <w:t xml:space="preserve"> (AML)</w:t>
      </w:r>
      <w:r>
        <w:t xml:space="preserve"> starts in myeloid cells that form white cells (other than lymphocytes), red blood cells, or platelets.</w:t>
      </w:r>
      <w:r>
        <w:rPr>
          <w:vertAlign w:val="superscript"/>
        </w:rPr>
        <w:t>5</w:t>
      </w:r>
      <w:r>
        <w:t xml:space="preserve">  </w:t>
      </w:r>
      <w:r w:rsidRPr="002D7945">
        <w:t>It accounted for 18.3 % of US childhood and adolescent leukemia cases and 16.3%</w:t>
      </w:r>
      <w:r>
        <w:t xml:space="preserve"> (n=115)</w:t>
      </w:r>
      <w:r w:rsidRPr="002D7945">
        <w:t xml:space="preserve"> of 2000-2009 M</w:t>
      </w:r>
      <w:r>
        <w:t>assachusetts cases</w:t>
      </w:r>
      <w:r w:rsidRPr="002D7945">
        <w:t xml:space="preserve"> </w:t>
      </w:r>
      <w:r>
        <w:t xml:space="preserve">of which </w:t>
      </w:r>
      <w:r w:rsidRPr="002D7945">
        <w:t xml:space="preserve">44.4% </w:t>
      </w:r>
      <w:r>
        <w:t xml:space="preserve">were </w:t>
      </w:r>
      <w:r w:rsidRPr="002D7945">
        <w:t xml:space="preserve">male and 55.7% female, no significant difference.  Of the </w:t>
      </w:r>
      <w:r>
        <w:t>Massachusetts</w:t>
      </w:r>
      <w:r w:rsidRPr="002D7945">
        <w:t xml:space="preserve"> cases, 29.6% were diagnosed before the age of five and 61.8% were diagnosed between 10 and 19</w:t>
      </w:r>
      <w:r>
        <w:t xml:space="preserve"> years</w:t>
      </w:r>
      <w:r w:rsidRPr="002D7945">
        <w:t xml:space="preserve">.  In Massachusetts, the incidence trend for AML decreased non-significantly with an APC of 1.2% while nationally the trend remained stable </w:t>
      </w:r>
      <w:r>
        <w:t xml:space="preserve">with an APC of 0% </w:t>
      </w:r>
      <w:r w:rsidRPr="002D7945">
        <w:t>(Figure 15)</w:t>
      </w:r>
      <w:r>
        <w:t>.</w:t>
      </w:r>
    </w:p>
    <w:p w:rsidR="004C1E6A" w:rsidRDefault="004C1E6A" w:rsidP="00AD31C0">
      <w:pPr>
        <w:autoSpaceDE w:val="0"/>
        <w:autoSpaceDN w:val="0"/>
        <w:adjustRightInd w:val="0"/>
      </w:pPr>
    </w:p>
    <w:p w:rsidR="004C1E6A" w:rsidRDefault="003F5DC5" w:rsidP="00AD31C0">
      <w:pPr>
        <w:autoSpaceDE w:val="0"/>
        <w:autoSpaceDN w:val="0"/>
        <w:adjustRightInd w:val="0"/>
      </w:pPr>
      <w:r>
        <w:rPr>
          <w:noProof/>
        </w:rPr>
        <w:lastRenderedPageBreak/>
        <w:drawing>
          <wp:inline distT="0" distB="0" distL="0" distR="0">
            <wp:extent cx="5838825" cy="3181350"/>
            <wp:effectExtent l="0" t="0" r="0" b="0"/>
            <wp:docPr id="17" name="Objec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C1E6A" w:rsidRDefault="004C1E6A" w:rsidP="00AD31C0">
      <w:pPr>
        <w:pStyle w:val="Caption"/>
      </w:pPr>
      <w:r w:rsidRPr="00B445FA">
        <w:rPr>
          <w:b w:val="0"/>
          <w:sz w:val="20"/>
          <w:szCs w:val="20"/>
        </w:rPr>
        <w:t>Sou</w:t>
      </w:r>
      <w:r>
        <w:rPr>
          <w:b w:val="0"/>
          <w:sz w:val="20"/>
          <w:szCs w:val="20"/>
        </w:rPr>
        <w:t>r</w:t>
      </w:r>
      <w:r w:rsidRPr="00B445FA">
        <w:rPr>
          <w:b w:val="0"/>
          <w:sz w:val="20"/>
          <w:szCs w:val="20"/>
        </w:rPr>
        <w:t>ce</w:t>
      </w:r>
      <w:r>
        <w:rPr>
          <w:b w:val="0"/>
          <w:sz w:val="20"/>
          <w:szCs w:val="20"/>
        </w:rPr>
        <w:t>s</w:t>
      </w:r>
      <w:r w:rsidRPr="00B445FA">
        <w:rPr>
          <w:b w:val="0"/>
          <w:sz w:val="20"/>
          <w:szCs w:val="20"/>
        </w:rPr>
        <w:t>: Massachusetts Cancer Registry</w:t>
      </w:r>
      <w:r>
        <w:rPr>
          <w:b w:val="0"/>
          <w:sz w:val="20"/>
          <w:szCs w:val="20"/>
        </w:rPr>
        <w:t xml:space="preserve"> and SEER 18 Registries</w:t>
      </w:r>
      <w:r w:rsidRPr="00B445FA">
        <w:rPr>
          <w:b w:val="0"/>
          <w:sz w:val="20"/>
          <w:szCs w:val="20"/>
        </w:rPr>
        <w:t>.</w:t>
      </w:r>
      <w:r>
        <w:t xml:space="preserve"> </w:t>
      </w:r>
      <w:r>
        <w:rPr>
          <w:b w:val="0"/>
          <w:sz w:val="20"/>
          <w:szCs w:val="20"/>
        </w:rPr>
        <w:t>* Rates are age-adjusted to the US standard 2000 population for ages 0-19.</w:t>
      </w:r>
    </w:p>
    <w:p w:rsidR="004C1E6A" w:rsidRDefault="004C1E6A" w:rsidP="009815B0">
      <w:pPr>
        <w:autoSpaceDE w:val="0"/>
        <w:autoSpaceDN w:val="0"/>
        <w:adjustRightInd w:val="0"/>
      </w:pPr>
    </w:p>
    <w:p w:rsidR="004C1E6A" w:rsidRDefault="004C1E6A" w:rsidP="007F32F4">
      <w:pPr>
        <w:pStyle w:val="BodyTextIndent2"/>
        <w:ind w:left="0"/>
      </w:pPr>
      <w:r w:rsidRPr="007F32F4">
        <w:rPr>
          <w:b/>
        </w:rPr>
        <w:t xml:space="preserve">Chronic </w:t>
      </w:r>
      <w:proofErr w:type="spellStart"/>
      <w:r w:rsidRPr="007F32F4">
        <w:rPr>
          <w:b/>
        </w:rPr>
        <w:t>myeloproliferative</w:t>
      </w:r>
      <w:proofErr w:type="spellEnd"/>
      <w:r w:rsidRPr="007F32F4">
        <w:rPr>
          <w:b/>
        </w:rPr>
        <w:t xml:space="preserve"> leukemia</w:t>
      </w:r>
      <w:r>
        <w:rPr>
          <w:b/>
        </w:rPr>
        <w:t xml:space="preserve"> (CML)</w:t>
      </w:r>
      <w:r>
        <w:t xml:space="preserve"> is a chronic (slow growing) form of leukemia that occurs more often among older adults and is rare in children</w:t>
      </w:r>
      <w:r>
        <w:rPr>
          <w:vertAlign w:val="superscript"/>
        </w:rPr>
        <w:t>5</w:t>
      </w:r>
      <w:r>
        <w:t xml:space="preserve">. It accounted for 2.5% of US childhood and adolescent </w:t>
      </w:r>
      <w:r w:rsidRPr="00390D0D">
        <w:t>leukemia cases and 3.8% of Massachusetts cases (51.9% male and 48.2% female, no significant</w:t>
      </w:r>
      <w:r>
        <w:t xml:space="preserve"> difference</w:t>
      </w:r>
      <w:r w:rsidRPr="00390D0D">
        <w:t>).  Of the Massachusetts cases, 51.9% were diagnosed after the age of 14.  Since there were only 27 cases diagnosed in Massachusetts over the ten year period, it was not possible to meaningfully compare racial/ethnic groups or examine time trends.</w:t>
      </w:r>
    </w:p>
    <w:p w:rsidR="004C1E6A" w:rsidRDefault="004C1E6A" w:rsidP="007F32F4">
      <w:pPr>
        <w:pStyle w:val="BodyTextIndent2"/>
        <w:ind w:left="0"/>
      </w:pPr>
    </w:p>
    <w:p w:rsidR="004C1E6A" w:rsidRDefault="004C1E6A" w:rsidP="00D6414E">
      <w:pPr>
        <w:autoSpaceDE w:val="0"/>
        <w:autoSpaceDN w:val="0"/>
        <w:adjustRightInd w:val="0"/>
      </w:pPr>
      <w:proofErr w:type="spellStart"/>
      <w:r w:rsidRPr="00D6414E">
        <w:rPr>
          <w:b/>
        </w:rPr>
        <w:t>Myelodysplastic</w:t>
      </w:r>
      <w:proofErr w:type="spellEnd"/>
      <w:r w:rsidRPr="00D6414E">
        <w:rPr>
          <w:b/>
        </w:rPr>
        <w:t xml:space="preserve"> syndrome (MDS</w:t>
      </w:r>
      <w:r>
        <w:rPr>
          <w:b/>
        </w:rPr>
        <w:t>)</w:t>
      </w:r>
      <w:r>
        <w:t>, also more frequent in adults and rare in children, is a bone marrow disorder sometimes referred to as ‘</w:t>
      </w:r>
      <w:proofErr w:type="spellStart"/>
      <w:r>
        <w:t>preleukemia</w:t>
      </w:r>
      <w:proofErr w:type="spellEnd"/>
      <w:r>
        <w:t>’ due to its tendency to transform into acute myeloid leukemia.</w:t>
      </w:r>
      <w:r>
        <w:rPr>
          <w:vertAlign w:val="superscript"/>
        </w:rPr>
        <w:t>6</w:t>
      </w:r>
      <w:r>
        <w:t xml:space="preserve"> There were seven cases diagnosed over the ten year period, which was 1% of all Massachusetts childhood and adolescent leukemia cases similar to 0.8% of US SEER cases.  Of the Massachusetts cases, 71.4% were diagnosed before the age of five.</w:t>
      </w:r>
    </w:p>
    <w:p w:rsidR="004C1E6A" w:rsidRDefault="004C1E6A" w:rsidP="005278E0">
      <w:pPr>
        <w:pStyle w:val="Header"/>
        <w:tabs>
          <w:tab w:val="clear" w:pos="4320"/>
          <w:tab w:val="clear" w:pos="8640"/>
        </w:tabs>
        <w:autoSpaceDE w:val="0"/>
        <w:autoSpaceDN w:val="0"/>
        <w:adjustRightInd w:val="0"/>
      </w:pPr>
    </w:p>
    <w:p w:rsidR="004C1E6A" w:rsidRPr="006A50FC" w:rsidRDefault="004C1E6A" w:rsidP="00CD2980">
      <w:pPr>
        <w:autoSpaceDE w:val="0"/>
        <w:autoSpaceDN w:val="0"/>
        <w:adjustRightInd w:val="0"/>
        <w:rPr>
          <w:color w:val="FF0000"/>
        </w:rPr>
      </w:pPr>
      <w:r w:rsidRPr="00D6414E">
        <w:rPr>
          <w:b/>
        </w:rPr>
        <w:t xml:space="preserve">Unspecified </w:t>
      </w:r>
      <w:proofErr w:type="spellStart"/>
      <w:r w:rsidRPr="00D6414E">
        <w:rPr>
          <w:b/>
        </w:rPr>
        <w:t>leukemia</w:t>
      </w:r>
      <w:r>
        <w:rPr>
          <w:b/>
        </w:rPr>
        <w:t>s</w:t>
      </w:r>
      <w:proofErr w:type="spellEnd"/>
      <w:r>
        <w:t xml:space="preserve"> are cases reported without a type specified and accounted for 1.1% of Massachusetts leukemia cases (n=7) and 2.5% of US cases.  Of these cases, 87.5% were diagnosed before the age of five.</w:t>
      </w:r>
    </w:p>
    <w:p w:rsidR="004C1E6A" w:rsidRDefault="004C1E6A" w:rsidP="003B6466">
      <w:pPr>
        <w:rPr>
          <w:b/>
          <w:u w:val="single"/>
        </w:rPr>
      </w:pPr>
    </w:p>
    <w:p w:rsidR="004C1E6A" w:rsidRPr="00BD2F5A" w:rsidRDefault="004C1E6A" w:rsidP="003B6466">
      <w:pPr>
        <w:rPr>
          <w:b/>
          <w:u w:val="single"/>
        </w:rPr>
      </w:pPr>
      <w:r w:rsidRPr="00BD2F5A">
        <w:rPr>
          <w:b/>
          <w:u w:val="single"/>
        </w:rPr>
        <w:t>Leukemia Mortality</w:t>
      </w:r>
      <w:r>
        <w:rPr>
          <w:b/>
          <w:u w:val="single"/>
        </w:rPr>
        <w:t xml:space="preserve"> and Survival</w:t>
      </w:r>
      <w:r w:rsidRPr="00BD2F5A">
        <w:rPr>
          <w:b/>
          <w:u w:val="single"/>
        </w:rPr>
        <w:t>:</w:t>
      </w:r>
    </w:p>
    <w:p w:rsidR="004C1E6A" w:rsidRDefault="004C1E6A" w:rsidP="003B6466"/>
    <w:p w:rsidR="004C1E6A" w:rsidRDefault="004C1E6A" w:rsidP="00A26F00">
      <w:r>
        <w:t xml:space="preserve">There were 107 leukemia-related deaths among Massachusetts children and adolescents from 2000 to 2009. The annual age-adjusted mortality rate for all leukemia cases aged 0-19 at the time of death was compared with US rates (Figure 16).  The Massachusetts trend decreased non-significantly (-0.2% APC) while the US trend decreased significantly (-2.6% APC).  </w:t>
      </w:r>
      <w:r w:rsidRPr="004424BF">
        <w:t>The 20-year trend in Massachusetts from 1990 to 2009 (not pictured), however, indicated a significant decrease (-3.1% APC) in leukemia deaths among children and adolescents.</w:t>
      </w:r>
    </w:p>
    <w:p w:rsidR="004C1E6A" w:rsidRDefault="004C1E6A" w:rsidP="003B6466"/>
    <w:p w:rsidR="004C1E6A" w:rsidRDefault="003F5DC5" w:rsidP="003B6466">
      <w:r>
        <w:rPr>
          <w:noProof/>
        </w:rPr>
        <w:drawing>
          <wp:inline distT="0" distB="0" distL="0" distR="0">
            <wp:extent cx="5819775" cy="3438525"/>
            <wp:effectExtent l="0" t="0" r="0" b="0"/>
            <wp:docPr id="18" name="Objec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C1E6A" w:rsidRPr="00F432B3" w:rsidRDefault="004C1E6A" w:rsidP="00B445FA">
      <w:pPr>
        <w:pStyle w:val="Caption"/>
        <w:rPr>
          <w:b w:val="0"/>
          <w:sz w:val="20"/>
          <w:szCs w:val="20"/>
        </w:rPr>
      </w:pPr>
      <w:r w:rsidRPr="00F432B3">
        <w:rPr>
          <w:b w:val="0"/>
          <w:sz w:val="20"/>
          <w:szCs w:val="20"/>
        </w:rPr>
        <w:t>Sou</w:t>
      </w:r>
      <w:r>
        <w:rPr>
          <w:b w:val="0"/>
          <w:sz w:val="20"/>
          <w:szCs w:val="20"/>
        </w:rPr>
        <w:t>r</w:t>
      </w:r>
      <w:r w:rsidRPr="00F432B3">
        <w:rPr>
          <w:b w:val="0"/>
          <w:sz w:val="20"/>
          <w:szCs w:val="20"/>
        </w:rPr>
        <w:t>ce: Massachusetts Registry</w:t>
      </w:r>
      <w:r>
        <w:rPr>
          <w:b w:val="0"/>
          <w:sz w:val="20"/>
          <w:szCs w:val="20"/>
        </w:rPr>
        <w:t xml:space="preserve"> of Vital Records and Statistics and the National Center for Health Statistics.          * Rates are age-adjusted to the US standard 2000 population for ages 0-19.</w:t>
      </w:r>
    </w:p>
    <w:p w:rsidR="004C1E6A" w:rsidRDefault="004C1E6A" w:rsidP="003B6466"/>
    <w:p w:rsidR="004C1E6A" w:rsidRDefault="004C1E6A" w:rsidP="003B6466">
      <w:r>
        <w:t xml:space="preserve">Leukemia cases diagnosed from 2000 to 2004 were analyzed to determine the cumulative five year cause-specific survival in Massachusetts compared with US SEER survival.   </w:t>
      </w:r>
    </w:p>
    <w:p w:rsidR="004C1E6A" w:rsidRPr="00BA504F" w:rsidRDefault="004C1E6A" w:rsidP="003B6466"/>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2036"/>
        <w:gridCol w:w="2524"/>
      </w:tblGrid>
      <w:tr w:rsidR="004C1E6A" w:rsidRPr="00F775DA" w:rsidTr="00F775DA">
        <w:tc>
          <w:tcPr>
            <w:tcW w:w="4668" w:type="dxa"/>
          </w:tcPr>
          <w:p w:rsidR="004C1E6A" w:rsidRPr="00F775DA" w:rsidRDefault="004C1E6A" w:rsidP="003B6466">
            <w:pPr>
              <w:rPr>
                <w:b/>
              </w:rPr>
            </w:pPr>
            <w:r w:rsidRPr="00F775DA">
              <w:rPr>
                <w:b/>
              </w:rPr>
              <w:t>Childhood Cancer</w:t>
            </w:r>
          </w:p>
        </w:tc>
        <w:tc>
          <w:tcPr>
            <w:tcW w:w="2036" w:type="dxa"/>
          </w:tcPr>
          <w:p w:rsidR="004C1E6A" w:rsidRPr="00F775DA" w:rsidRDefault="004C1E6A" w:rsidP="007D796A">
            <w:pPr>
              <w:jc w:val="center"/>
              <w:rPr>
                <w:b/>
              </w:rPr>
            </w:pPr>
            <w:r w:rsidRPr="00F775DA">
              <w:rPr>
                <w:b/>
              </w:rPr>
              <w:t>MA 5</w:t>
            </w:r>
            <w:r>
              <w:rPr>
                <w:b/>
              </w:rPr>
              <w:t>-</w:t>
            </w:r>
            <w:r w:rsidRPr="00F775DA">
              <w:rPr>
                <w:b/>
              </w:rPr>
              <w:t>Year Survival</w:t>
            </w:r>
          </w:p>
        </w:tc>
        <w:tc>
          <w:tcPr>
            <w:tcW w:w="2524" w:type="dxa"/>
          </w:tcPr>
          <w:p w:rsidR="004C1E6A" w:rsidRPr="00F775DA" w:rsidRDefault="004C1E6A" w:rsidP="007D796A">
            <w:pPr>
              <w:jc w:val="center"/>
              <w:rPr>
                <w:b/>
              </w:rPr>
            </w:pPr>
            <w:r w:rsidRPr="00F775DA">
              <w:rPr>
                <w:b/>
              </w:rPr>
              <w:t>US SEER 5</w:t>
            </w:r>
            <w:r>
              <w:rPr>
                <w:b/>
              </w:rPr>
              <w:t>-</w:t>
            </w:r>
            <w:r w:rsidRPr="00F775DA">
              <w:rPr>
                <w:b/>
              </w:rPr>
              <w:t>Year Survival</w:t>
            </w:r>
          </w:p>
        </w:tc>
      </w:tr>
      <w:tr w:rsidR="004C1E6A" w:rsidRPr="00F775DA" w:rsidTr="00F775DA">
        <w:tc>
          <w:tcPr>
            <w:tcW w:w="4668" w:type="dxa"/>
          </w:tcPr>
          <w:p w:rsidR="004C1E6A" w:rsidRPr="0021264D" w:rsidRDefault="004C1E6A" w:rsidP="003B6466">
            <w:r w:rsidRPr="0021264D">
              <w:t>Acute Myeloid Leukemia (n=55)</w:t>
            </w:r>
          </w:p>
        </w:tc>
        <w:tc>
          <w:tcPr>
            <w:tcW w:w="2036" w:type="dxa"/>
          </w:tcPr>
          <w:p w:rsidR="004C1E6A" w:rsidRPr="0021264D" w:rsidRDefault="004C1E6A" w:rsidP="00F775DA">
            <w:pPr>
              <w:jc w:val="center"/>
            </w:pPr>
            <w:r w:rsidRPr="0021264D">
              <w:t>72.8%</w:t>
            </w:r>
          </w:p>
        </w:tc>
        <w:tc>
          <w:tcPr>
            <w:tcW w:w="2524" w:type="dxa"/>
          </w:tcPr>
          <w:p w:rsidR="004C1E6A" w:rsidRPr="0021264D" w:rsidRDefault="004C1E6A" w:rsidP="00F775DA">
            <w:pPr>
              <w:jc w:val="center"/>
            </w:pPr>
            <w:r w:rsidRPr="0021264D">
              <w:t>61.0%</w:t>
            </w:r>
          </w:p>
        </w:tc>
      </w:tr>
      <w:tr w:rsidR="004C1E6A" w:rsidRPr="00F775DA" w:rsidTr="00F775DA">
        <w:tc>
          <w:tcPr>
            <w:tcW w:w="4668" w:type="dxa"/>
          </w:tcPr>
          <w:p w:rsidR="004C1E6A" w:rsidRPr="0021264D" w:rsidRDefault="004C1E6A" w:rsidP="003B6466">
            <w:r w:rsidRPr="0021264D">
              <w:t>Acute Lymphoid Leukemia (n=246)</w:t>
            </w:r>
          </w:p>
        </w:tc>
        <w:tc>
          <w:tcPr>
            <w:tcW w:w="2036" w:type="dxa"/>
          </w:tcPr>
          <w:p w:rsidR="004C1E6A" w:rsidRPr="0021264D" w:rsidRDefault="004C1E6A" w:rsidP="00F775DA">
            <w:pPr>
              <w:jc w:val="center"/>
            </w:pPr>
            <w:r w:rsidRPr="0021264D">
              <w:t>89.3%</w:t>
            </w:r>
          </w:p>
        </w:tc>
        <w:tc>
          <w:tcPr>
            <w:tcW w:w="2524" w:type="dxa"/>
          </w:tcPr>
          <w:p w:rsidR="004C1E6A" w:rsidRPr="0021264D" w:rsidRDefault="004C1E6A" w:rsidP="00F775DA">
            <w:pPr>
              <w:jc w:val="center"/>
            </w:pPr>
            <w:r w:rsidRPr="0021264D">
              <w:t>86.0%</w:t>
            </w:r>
          </w:p>
        </w:tc>
      </w:tr>
    </w:tbl>
    <w:p w:rsidR="004C1E6A" w:rsidRPr="00657754" w:rsidRDefault="004C1E6A" w:rsidP="003B6466">
      <w:pPr>
        <w:rPr>
          <w:b/>
          <w:caps/>
        </w:rPr>
      </w:pPr>
      <w:r>
        <w:rPr>
          <w:b/>
        </w:rPr>
        <w:br w:type="page"/>
      </w:r>
      <w:r w:rsidRPr="00657754">
        <w:rPr>
          <w:b/>
          <w:caps/>
        </w:rPr>
        <w:lastRenderedPageBreak/>
        <w:t xml:space="preserve">Lymphomas </w:t>
      </w:r>
    </w:p>
    <w:p w:rsidR="004C1E6A" w:rsidRDefault="004C1E6A" w:rsidP="00B662C7">
      <w:pPr>
        <w:pStyle w:val="Header"/>
        <w:tabs>
          <w:tab w:val="clear" w:pos="4320"/>
          <w:tab w:val="clear" w:pos="8640"/>
        </w:tabs>
      </w:pPr>
    </w:p>
    <w:p w:rsidR="004C1E6A" w:rsidRDefault="004C1E6A" w:rsidP="001B148B">
      <w:r>
        <w:t>Lymphomas are cancers that develop in cells called lymphocytes, which are located in the lymph nodes and lymphoid tissues (such as the spleen and bone marrow) and are used in the fight against infections and disease.</w:t>
      </w:r>
      <w:r>
        <w:rPr>
          <w:vertAlign w:val="superscript"/>
        </w:rPr>
        <w:t>7</w:t>
      </w:r>
      <w:r>
        <w:t xml:space="preserve">  From 2000-2009, lymphoma accounted for 16.6% of MA childhood and adolescent cases (n=499) and 14.4% of US cases.  Figure 17 compares incidence trends for all lymphomas from 2000 to 2009 in Massachusetts and the US.  Neither the incidence trend in Massachusetts (APC= 2.6%) or in the US (US APC= 2.0%) was significant.</w:t>
      </w:r>
    </w:p>
    <w:p w:rsidR="004C1E6A" w:rsidRDefault="004C1E6A" w:rsidP="00CE3606"/>
    <w:p w:rsidR="004C1E6A" w:rsidRDefault="004C1E6A" w:rsidP="00CE3606">
      <w:r>
        <w:object w:dxaOrig="9117" w:dyaOrig="5176">
          <v:shape id="_x0000_i1028" type="#_x0000_t75" style="width:455.85pt;height:258.8pt" o:ole="" o:bordertopcolor="this" o:borderleftcolor="this" o:borderbottomcolor="this" o:borderrightcolor="this">
            <v:imagedata r:id="rId32" o:title=""/>
            <w10:bordertop type="single" width="4"/>
            <w10:borderleft type="single" width="4"/>
            <w10:borderbottom type="single" width="4"/>
            <w10:borderright type="single" width="4"/>
          </v:shape>
          <o:OLEObject Type="Embed" ProgID="MSGraph.Chart.8" ShapeID="_x0000_i1028" DrawAspect="Content" ObjectID="_1465804139" r:id="rId33">
            <o:FieldCodes>\s</o:FieldCodes>
          </o:OLEObject>
        </w:object>
      </w:r>
    </w:p>
    <w:p w:rsidR="004C1E6A" w:rsidRPr="00F432B3" w:rsidRDefault="004C1E6A" w:rsidP="00C32C0F">
      <w:pPr>
        <w:pStyle w:val="Caption"/>
        <w:rPr>
          <w:b w:val="0"/>
          <w:sz w:val="20"/>
          <w:szCs w:val="20"/>
        </w:rPr>
      </w:pPr>
      <w:r w:rsidRPr="00F432B3">
        <w:rPr>
          <w:b w:val="0"/>
          <w:sz w:val="20"/>
          <w:szCs w:val="20"/>
        </w:rPr>
        <w:t>Sou</w:t>
      </w:r>
      <w:r>
        <w:rPr>
          <w:b w:val="0"/>
          <w:sz w:val="20"/>
          <w:szCs w:val="20"/>
        </w:rPr>
        <w:t>r</w:t>
      </w:r>
      <w:r w:rsidRPr="00F432B3">
        <w:rPr>
          <w:b w:val="0"/>
          <w:sz w:val="20"/>
          <w:szCs w:val="20"/>
        </w:rPr>
        <w:t>ce: Massachusetts Cancer Registry</w:t>
      </w:r>
      <w:r>
        <w:rPr>
          <w:b w:val="0"/>
          <w:sz w:val="20"/>
          <w:szCs w:val="20"/>
        </w:rPr>
        <w:t xml:space="preserve"> and SEER 18 Registries. * Rates are age-adjusted to the US standard 2000 population for ages 0-19.</w:t>
      </w:r>
    </w:p>
    <w:p w:rsidR="004C1E6A" w:rsidRDefault="004C1E6A" w:rsidP="00CE3606"/>
    <w:p w:rsidR="004C1E6A" w:rsidRDefault="004C1E6A" w:rsidP="001B148B">
      <w:pPr>
        <w:rPr>
          <w:b/>
        </w:rPr>
      </w:pPr>
      <w:r>
        <w:t xml:space="preserve">There are 5 subgroups of childhood lymphoma: Hodgkin lymphoma (HL), non-Hodgkin lymphoma (NHL), </w:t>
      </w:r>
      <w:proofErr w:type="spellStart"/>
      <w:r>
        <w:t>Burkitt</w:t>
      </w:r>
      <w:proofErr w:type="spellEnd"/>
      <w:r>
        <w:t xml:space="preserve"> lymphoma, miscellaneous </w:t>
      </w:r>
      <w:proofErr w:type="spellStart"/>
      <w:r>
        <w:t>lymphoreticular</w:t>
      </w:r>
      <w:proofErr w:type="spellEnd"/>
      <w:r>
        <w:t xml:space="preserve"> neoplasms, and unspecified lymphoma.</w:t>
      </w:r>
    </w:p>
    <w:p w:rsidR="004C1E6A" w:rsidRDefault="004C1E6A" w:rsidP="001B148B">
      <w:pPr>
        <w:rPr>
          <w:b/>
        </w:rPr>
      </w:pPr>
    </w:p>
    <w:p w:rsidR="004C1E6A" w:rsidRDefault="004C1E6A" w:rsidP="001B148B">
      <w:r w:rsidRPr="00AF6804">
        <w:rPr>
          <w:b/>
        </w:rPr>
        <w:t>Hodgkin lymphoma</w:t>
      </w:r>
      <w:r w:rsidRPr="00AF6804">
        <w:t xml:space="preserve"> </w:t>
      </w:r>
      <w:r w:rsidRPr="00AF6804">
        <w:rPr>
          <w:b/>
        </w:rPr>
        <w:t xml:space="preserve">(HL) </w:t>
      </w:r>
      <w:r w:rsidRPr="00AF6804">
        <w:t>is a type of lymphoma that involves the Reed-Sternberg cells.  Those lymphomas that don’t involve these cells are referred to as non-Hodgkin lymphoma.</w:t>
      </w:r>
      <w:r>
        <w:rPr>
          <w:vertAlign w:val="superscript"/>
        </w:rPr>
        <w:t>8</w:t>
      </w:r>
      <w:r>
        <w:t xml:space="preserve"> Among children and adolescents diagnosed with lymphoma from 2000 to 2009, 49.7% of US lymphoma cases fell into the HL category compared with 50.5% (n=252) of Massachusetts cases.  Of the Massachusetts childhood and adolescent cases, 92.5% were diagnosed between the ages of 10 and 19, with 65.5% of those diagnosed from 15 to 19. Of the HL cases, 51.2% were male and 48.8% female, a non-significant difference.    Figure 18 compares incidence trends for all HL cancer from 2000 to 2009 in Massachusetts and the US SEER Registries.  While the incidence trend in Massachusetts was not significant (APC= -1.1%), the national trend was (APC= 2.0%).</w:t>
      </w:r>
    </w:p>
    <w:p w:rsidR="004C1E6A" w:rsidRDefault="004C1E6A" w:rsidP="00787BC9">
      <w:pPr>
        <w:autoSpaceDE w:val="0"/>
        <w:autoSpaceDN w:val="0"/>
        <w:adjustRightInd w:val="0"/>
      </w:pPr>
    </w:p>
    <w:p w:rsidR="004C1E6A" w:rsidRDefault="004C1E6A" w:rsidP="000D4E51"/>
    <w:p w:rsidR="004C1E6A" w:rsidRDefault="003F5DC5" w:rsidP="000D4E51">
      <w:r>
        <w:rPr>
          <w:noProof/>
        </w:rPr>
        <w:lastRenderedPageBreak/>
        <w:drawing>
          <wp:inline distT="0" distB="0" distL="0" distR="0">
            <wp:extent cx="5819775" cy="3419475"/>
            <wp:effectExtent l="0" t="0" r="0" b="0"/>
            <wp:docPr id="20" name="Objec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C1E6A" w:rsidRDefault="004C1E6A" w:rsidP="000D4E51">
      <w:pPr>
        <w:pStyle w:val="Caption"/>
        <w:rPr>
          <w:b w:val="0"/>
          <w:sz w:val="20"/>
          <w:szCs w:val="20"/>
        </w:rPr>
      </w:pPr>
      <w:r w:rsidRPr="00F432B3">
        <w:rPr>
          <w:b w:val="0"/>
          <w:sz w:val="20"/>
          <w:szCs w:val="20"/>
        </w:rPr>
        <w:t>Sou</w:t>
      </w:r>
      <w:r>
        <w:rPr>
          <w:b w:val="0"/>
          <w:sz w:val="20"/>
          <w:szCs w:val="20"/>
        </w:rPr>
        <w:t>r</w:t>
      </w:r>
      <w:r w:rsidRPr="00F432B3">
        <w:rPr>
          <w:b w:val="0"/>
          <w:sz w:val="20"/>
          <w:szCs w:val="20"/>
        </w:rPr>
        <w:t>ce: Massachusetts Cancer Registry</w:t>
      </w:r>
      <w:r>
        <w:rPr>
          <w:b w:val="0"/>
          <w:sz w:val="20"/>
          <w:szCs w:val="20"/>
        </w:rPr>
        <w:t xml:space="preserve"> and SEER 18 Registries. * Rates are age-adjusted to the US standard 2000 population for ages 0-19.</w:t>
      </w:r>
    </w:p>
    <w:p w:rsidR="004C1E6A" w:rsidRPr="00306CD0" w:rsidRDefault="004C1E6A" w:rsidP="00306CD0"/>
    <w:p w:rsidR="004C1E6A" w:rsidRDefault="004C1E6A" w:rsidP="00A77B16">
      <w:r>
        <w:rPr>
          <w:b/>
        </w:rPr>
        <w:t>N</w:t>
      </w:r>
      <w:r w:rsidRPr="0017348D">
        <w:rPr>
          <w:b/>
        </w:rPr>
        <w:t>on-Hodgkin lymphoma</w:t>
      </w:r>
      <w:r>
        <w:t xml:space="preserve">, </w:t>
      </w:r>
      <w:r w:rsidRPr="0017348D">
        <w:rPr>
          <w:b/>
        </w:rPr>
        <w:t xml:space="preserve">excluding </w:t>
      </w:r>
      <w:proofErr w:type="spellStart"/>
      <w:r w:rsidRPr="0017348D">
        <w:rPr>
          <w:b/>
        </w:rPr>
        <w:t>Burkitt</w:t>
      </w:r>
      <w:proofErr w:type="spellEnd"/>
      <w:r w:rsidRPr="0017348D">
        <w:rPr>
          <w:b/>
        </w:rPr>
        <w:t xml:space="preserve"> lymphoma</w:t>
      </w:r>
      <w:r>
        <w:rPr>
          <w:b/>
        </w:rPr>
        <w:t xml:space="preserve"> (NHL)</w:t>
      </w:r>
      <w:r>
        <w:t xml:space="preserve"> in children comprises three main types.  Lymphoblastic and large cell lymphomas are categorized separately from </w:t>
      </w:r>
      <w:proofErr w:type="spellStart"/>
      <w:r>
        <w:t>Burkitt</w:t>
      </w:r>
      <w:proofErr w:type="spellEnd"/>
      <w:r>
        <w:t xml:space="preserve"> according to the ICCC-3 classifications.</w:t>
      </w:r>
      <w:r>
        <w:rPr>
          <w:vertAlign w:val="superscript"/>
        </w:rPr>
        <w:t>7</w:t>
      </w:r>
      <w:r>
        <w:t xml:space="preserve">  Of the US SEER childhood and adolescent lymphoma cases diagnosed from 2000 to </w:t>
      </w:r>
      <w:r w:rsidRPr="00390D0D">
        <w:t xml:space="preserve">2009, 35.4% fell into this category compared with 36.5% </w:t>
      </w:r>
      <w:r>
        <w:t xml:space="preserve">(n=182) </w:t>
      </w:r>
      <w:r w:rsidRPr="00390D0D">
        <w:t xml:space="preserve">of Massachusetts cases.  A significantly larger percentage of </w:t>
      </w:r>
      <w:r>
        <w:t xml:space="preserve">Massachusetts NHL cases were </w:t>
      </w:r>
      <w:r w:rsidRPr="00390D0D">
        <w:t>male compared to female (67.0% vs. 33.0%).  Of the NHL cases, 77.5% were diagnosed after the age of 14.  While the increasing incidence trend in Massachusetts was statistically</w:t>
      </w:r>
      <w:r>
        <w:t xml:space="preserve"> </w:t>
      </w:r>
      <w:r w:rsidRPr="00A77B16">
        <w:t>significant (APC= 6.0%), the national trend was not (US APC= 0.1%)</w:t>
      </w:r>
      <w:r>
        <w:t xml:space="preserve"> (Figure 19)</w:t>
      </w:r>
      <w:r w:rsidRPr="00A77B16">
        <w:t>.</w:t>
      </w:r>
      <w:r>
        <w:t xml:space="preserve">  </w:t>
      </w:r>
    </w:p>
    <w:p w:rsidR="004C1E6A" w:rsidRDefault="004C1E6A" w:rsidP="00306CD0">
      <w:pPr>
        <w:autoSpaceDE w:val="0"/>
        <w:autoSpaceDN w:val="0"/>
        <w:adjustRightInd w:val="0"/>
      </w:pPr>
    </w:p>
    <w:p w:rsidR="004C1E6A" w:rsidRPr="004928A6" w:rsidRDefault="003F5DC5" w:rsidP="004928A6">
      <w:pPr>
        <w:rPr>
          <w:sz w:val="20"/>
          <w:szCs w:val="20"/>
        </w:rPr>
      </w:pPr>
      <w:r>
        <w:rPr>
          <w:noProof/>
        </w:rPr>
        <w:lastRenderedPageBreak/>
        <w:drawing>
          <wp:inline distT="0" distB="0" distL="0" distR="0">
            <wp:extent cx="5734050" cy="3086100"/>
            <wp:effectExtent l="0" t="0" r="0" b="0"/>
            <wp:docPr id="21" name="Objec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4C1E6A" w:rsidRPr="004928A6">
        <w:rPr>
          <w:sz w:val="20"/>
          <w:szCs w:val="20"/>
        </w:rPr>
        <w:t>Sources: Massachusetts Cancer Registry and SEER 18 Registries. * Rates are age-adjusted to the US standard 2000 population for ages 0-19.</w:t>
      </w:r>
    </w:p>
    <w:p w:rsidR="004C1E6A" w:rsidRDefault="004C1E6A" w:rsidP="0007496E"/>
    <w:p w:rsidR="004C1E6A" w:rsidRDefault="004C1E6A" w:rsidP="00CF13A5">
      <w:pPr>
        <w:autoSpaceDE w:val="0"/>
        <w:autoSpaceDN w:val="0"/>
        <w:adjustRightInd w:val="0"/>
      </w:pPr>
      <w:proofErr w:type="spellStart"/>
      <w:r w:rsidRPr="00420849">
        <w:rPr>
          <w:b/>
        </w:rPr>
        <w:t>Burkitt</w:t>
      </w:r>
      <w:proofErr w:type="spellEnd"/>
      <w:r w:rsidRPr="00420849">
        <w:rPr>
          <w:b/>
        </w:rPr>
        <w:t xml:space="preserve"> lymphoma</w:t>
      </w:r>
      <w:r>
        <w:t xml:space="preserve"> is a form of non-Hodgkin lymphoma that develops from B lymphocytes and is one of the fastest growing cancers known.  A child will typically develop a large tumor in his/her abdomen that can sometimes block the intestines.</w:t>
      </w:r>
      <w:r>
        <w:rPr>
          <w:vertAlign w:val="superscript"/>
        </w:rPr>
        <w:t>7</w:t>
      </w:r>
      <w:r>
        <w:t xml:space="preserve">  While 10.1% of US childhood and adolescent lymphoma cases fell into this category, 11.0% of MA cases did (n=55).  </w:t>
      </w:r>
      <w:r w:rsidRPr="00C21FB0">
        <w:t xml:space="preserve">A significantly </w:t>
      </w:r>
      <w:r w:rsidRPr="00390D0D">
        <w:t xml:space="preserve">larger percentage of </w:t>
      </w:r>
      <w:r>
        <w:t xml:space="preserve">these cases were </w:t>
      </w:r>
      <w:r w:rsidRPr="00390D0D">
        <w:t>male compared to female (78.2% vs. 21.8%).  Only 7.3% of the cases were diagnosed before the age of five and the remaining age groups had relativel</w:t>
      </w:r>
      <w:r>
        <w:t>y</w:t>
      </w:r>
      <w:r w:rsidRPr="00390D0D">
        <w:t xml:space="preserve"> equal percentages ranging from 29.1% to 32.7%.</w:t>
      </w:r>
      <w:r>
        <w:t xml:space="preserve">  </w:t>
      </w:r>
    </w:p>
    <w:p w:rsidR="004C1E6A" w:rsidRDefault="004C1E6A" w:rsidP="00420849"/>
    <w:p w:rsidR="004C1E6A" w:rsidRDefault="004C1E6A" w:rsidP="00420849">
      <w:proofErr w:type="spellStart"/>
      <w:r w:rsidRPr="00420849">
        <w:rPr>
          <w:b/>
        </w:rPr>
        <w:t>Lymphoreticular</w:t>
      </w:r>
      <w:proofErr w:type="spellEnd"/>
      <w:r w:rsidRPr="00420849">
        <w:rPr>
          <w:b/>
        </w:rPr>
        <w:t xml:space="preserve"> neoplasm, not otherwise specified</w:t>
      </w:r>
      <w:r>
        <w:t xml:space="preserve"> accounted for 1.4% of US lymphoma cases and 1.8% of MA lymphoma cases (n=9).</w:t>
      </w:r>
    </w:p>
    <w:p w:rsidR="004C1E6A" w:rsidRDefault="004C1E6A" w:rsidP="00420849"/>
    <w:p w:rsidR="004C1E6A" w:rsidRDefault="004C1E6A" w:rsidP="00420849">
      <w:r w:rsidRPr="00787BC9">
        <w:rPr>
          <w:b/>
        </w:rPr>
        <w:t>Lymphoma, not otherwise specified</w:t>
      </w:r>
      <w:r>
        <w:t xml:space="preserve"> accounted for 1.3% of US lymphoma cases and less than 1% of MA cases (n&lt;5).</w:t>
      </w:r>
    </w:p>
    <w:p w:rsidR="004C1E6A" w:rsidRDefault="004C1E6A" w:rsidP="00787BC9">
      <w:pPr>
        <w:pStyle w:val="Header"/>
        <w:tabs>
          <w:tab w:val="clear" w:pos="4320"/>
          <w:tab w:val="clear" w:pos="8640"/>
        </w:tabs>
      </w:pPr>
    </w:p>
    <w:p w:rsidR="004C1E6A" w:rsidRPr="001E6032" w:rsidRDefault="004C1E6A" w:rsidP="00787BC9">
      <w:pPr>
        <w:rPr>
          <w:b/>
          <w:u w:val="single"/>
        </w:rPr>
      </w:pPr>
      <w:r w:rsidRPr="001E6032">
        <w:rPr>
          <w:b/>
          <w:u w:val="single"/>
        </w:rPr>
        <w:t>Lymphoma Mortality</w:t>
      </w:r>
      <w:r>
        <w:rPr>
          <w:b/>
          <w:u w:val="single"/>
        </w:rPr>
        <w:t xml:space="preserve"> and Survival</w:t>
      </w:r>
      <w:r w:rsidRPr="001E6032">
        <w:rPr>
          <w:b/>
          <w:u w:val="single"/>
        </w:rPr>
        <w:t>:</w:t>
      </w:r>
    </w:p>
    <w:p w:rsidR="004C1E6A" w:rsidRDefault="004C1E6A" w:rsidP="00787BC9"/>
    <w:p w:rsidR="004C1E6A" w:rsidRDefault="004C1E6A" w:rsidP="00787BC9">
      <w:r>
        <w:t>There were 17 lymphoma-related deaths among children and adolescents from 2000 to 2009. There were too few deaths to calculate age-specific morality and the numbers were evenly distributed across the years.</w:t>
      </w:r>
    </w:p>
    <w:p w:rsidR="004C1E6A" w:rsidRDefault="004C1E6A" w:rsidP="00787BC9"/>
    <w:p w:rsidR="004C1E6A" w:rsidRPr="00E12AF5" w:rsidRDefault="004C1E6A" w:rsidP="001A3142">
      <w:r>
        <w:t xml:space="preserve">Lymphoma cases diagnosed from 2000 to 2004 were analyzed to determine the five-year cause-specific cumulative survival compared to US SEER survival.  </w:t>
      </w:r>
    </w:p>
    <w:p w:rsidR="004C1E6A" w:rsidRDefault="004C1E6A" w:rsidP="003B6466">
      <w:pPr>
        <w:rPr>
          <w:b/>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1"/>
        <w:gridCol w:w="2940"/>
        <w:gridCol w:w="3144"/>
      </w:tblGrid>
      <w:tr w:rsidR="004C1E6A" w:rsidRPr="00F775DA" w:rsidTr="00F775DA">
        <w:tc>
          <w:tcPr>
            <w:tcW w:w="3551" w:type="dxa"/>
          </w:tcPr>
          <w:p w:rsidR="004C1E6A" w:rsidRPr="00F775DA" w:rsidRDefault="004C1E6A" w:rsidP="00A34944">
            <w:pPr>
              <w:rPr>
                <w:b/>
              </w:rPr>
            </w:pPr>
            <w:r w:rsidRPr="00F775DA">
              <w:rPr>
                <w:b/>
              </w:rPr>
              <w:t>Childhood Cancer</w:t>
            </w:r>
          </w:p>
        </w:tc>
        <w:tc>
          <w:tcPr>
            <w:tcW w:w="2940" w:type="dxa"/>
          </w:tcPr>
          <w:p w:rsidR="004C1E6A" w:rsidRPr="00F775DA" w:rsidRDefault="004C1E6A" w:rsidP="007D796A">
            <w:pPr>
              <w:jc w:val="center"/>
              <w:rPr>
                <w:b/>
              </w:rPr>
            </w:pPr>
            <w:r w:rsidRPr="00F775DA">
              <w:rPr>
                <w:b/>
              </w:rPr>
              <w:t>MA 5</w:t>
            </w:r>
            <w:r>
              <w:rPr>
                <w:b/>
              </w:rPr>
              <w:t>-</w:t>
            </w:r>
            <w:r w:rsidRPr="00F775DA">
              <w:rPr>
                <w:b/>
              </w:rPr>
              <w:t>Year Survival</w:t>
            </w:r>
          </w:p>
        </w:tc>
        <w:tc>
          <w:tcPr>
            <w:tcW w:w="3144" w:type="dxa"/>
          </w:tcPr>
          <w:p w:rsidR="004C1E6A" w:rsidRPr="00F775DA" w:rsidRDefault="004C1E6A" w:rsidP="007D796A">
            <w:pPr>
              <w:jc w:val="center"/>
              <w:rPr>
                <w:b/>
              </w:rPr>
            </w:pPr>
            <w:r w:rsidRPr="00F775DA">
              <w:rPr>
                <w:b/>
              </w:rPr>
              <w:t>US SEER 5</w:t>
            </w:r>
            <w:r>
              <w:rPr>
                <w:b/>
              </w:rPr>
              <w:t>-</w:t>
            </w:r>
            <w:r w:rsidRPr="00F775DA">
              <w:rPr>
                <w:b/>
              </w:rPr>
              <w:t>Year Survival</w:t>
            </w:r>
          </w:p>
        </w:tc>
      </w:tr>
      <w:tr w:rsidR="004C1E6A" w:rsidRPr="00F775DA" w:rsidTr="00F775DA">
        <w:tc>
          <w:tcPr>
            <w:tcW w:w="3551" w:type="dxa"/>
          </w:tcPr>
          <w:p w:rsidR="004C1E6A" w:rsidRPr="0021264D" w:rsidRDefault="004C1E6A" w:rsidP="00A34944">
            <w:r w:rsidRPr="0021264D">
              <w:t>Hodgkin Lymphoma (n=122)</w:t>
            </w:r>
          </w:p>
        </w:tc>
        <w:tc>
          <w:tcPr>
            <w:tcW w:w="2940" w:type="dxa"/>
          </w:tcPr>
          <w:p w:rsidR="004C1E6A" w:rsidRPr="0021264D" w:rsidRDefault="004C1E6A" w:rsidP="00F775DA">
            <w:pPr>
              <w:jc w:val="center"/>
            </w:pPr>
            <w:r w:rsidRPr="0021264D">
              <w:t>97.6%</w:t>
            </w:r>
          </w:p>
        </w:tc>
        <w:tc>
          <w:tcPr>
            <w:tcW w:w="3144" w:type="dxa"/>
          </w:tcPr>
          <w:p w:rsidR="004C1E6A" w:rsidRPr="0021264D" w:rsidRDefault="004C1E6A" w:rsidP="00F775DA">
            <w:pPr>
              <w:jc w:val="center"/>
            </w:pPr>
            <w:r w:rsidRPr="0021264D">
              <w:t>95.2%</w:t>
            </w:r>
          </w:p>
        </w:tc>
      </w:tr>
      <w:tr w:rsidR="004C1E6A" w:rsidRPr="00F775DA" w:rsidTr="00F775DA">
        <w:tc>
          <w:tcPr>
            <w:tcW w:w="3551" w:type="dxa"/>
          </w:tcPr>
          <w:p w:rsidR="004C1E6A" w:rsidRPr="0021264D" w:rsidRDefault="004C1E6A" w:rsidP="00A34944">
            <w:r w:rsidRPr="0021264D">
              <w:t>Non-Hodgkin Lymphoma (n=68)</w:t>
            </w:r>
          </w:p>
        </w:tc>
        <w:tc>
          <w:tcPr>
            <w:tcW w:w="2940" w:type="dxa"/>
          </w:tcPr>
          <w:p w:rsidR="004C1E6A" w:rsidRPr="0021264D" w:rsidRDefault="004C1E6A" w:rsidP="00F775DA">
            <w:pPr>
              <w:jc w:val="center"/>
            </w:pPr>
            <w:r w:rsidRPr="0021264D">
              <w:t>82.2%</w:t>
            </w:r>
          </w:p>
        </w:tc>
        <w:tc>
          <w:tcPr>
            <w:tcW w:w="3144" w:type="dxa"/>
          </w:tcPr>
          <w:p w:rsidR="004C1E6A" w:rsidRPr="0021264D" w:rsidRDefault="004C1E6A" w:rsidP="00F775DA">
            <w:pPr>
              <w:jc w:val="center"/>
            </w:pPr>
            <w:r w:rsidRPr="0021264D">
              <w:t>83.4%</w:t>
            </w:r>
          </w:p>
        </w:tc>
      </w:tr>
    </w:tbl>
    <w:p w:rsidR="004C1E6A" w:rsidRDefault="004C1E6A" w:rsidP="003B6466">
      <w:pPr>
        <w:rPr>
          <w:b/>
          <w:caps/>
        </w:rPr>
      </w:pPr>
    </w:p>
    <w:p w:rsidR="004C1E6A" w:rsidRPr="00657754" w:rsidRDefault="004C1E6A" w:rsidP="003B6466">
      <w:pPr>
        <w:rPr>
          <w:b/>
          <w:caps/>
        </w:rPr>
      </w:pPr>
      <w:r w:rsidRPr="00657754">
        <w:rPr>
          <w:b/>
          <w:caps/>
        </w:rPr>
        <w:lastRenderedPageBreak/>
        <w:t>Central Nervous System</w:t>
      </w:r>
    </w:p>
    <w:p w:rsidR="004C1E6A" w:rsidRDefault="004C1E6A" w:rsidP="003B6466"/>
    <w:p w:rsidR="004C1E6A" w:rsidRDefault="004C1E6A" w:rsidP="004E1EBA">
      <w:r>
        <w:t xml:space="preserve">Central nervous system and miscellaneous intracranial and </w:t>
      </w:r>
      <w:proofErr w:type="spellStart"/>
      <w:r>
        <w:t>intraspinal</w:t>
      </w:r>
      <w:proofErr w:type="spellEnd"/>
      <w:r>
        <w:t xml:space="preserve"> neoplasms (CNS cancer) include tumors that arise from the brain, spinal cord, and other sites within the skull and spinal cord.   From 2000-2009, CNS cancer accounted for 18.8% of Massachusetts childhood and adolescent cancer cases (n=563) and 17.4% of US cases.  Figure 20 compares incidence trends for all CNS cancer from 2000 to 2009 in Massachusetts and the US.  Neither trend was statistically significant (Massachusetts APC= -0.2% and US APC= 0.2%).</w:t>
      </w:r>
    </w:p>
    <w:p w:rsidR="004C1E6A" w:rsidRDefault="004C1E6A" w:rsidP="001727EA">
      <w:pPr>
        <w:pStyle w:val="Header"/>
        <w:tabs>
          <w:tab w:val="clear" w:pos="4320"/>
          <w:tab w:val="clear" w:pos="8640"/>
        </w:tabs>
      </w:pPr>
    </w:p>
    <w:p w:rsidR="004C1E6A" w:rsidRDefault="003F5DC5" w:rsidP="004E1EBA">
      <w:r>
        <w:rPr>
          <w:noProof/>
        </w:rPr>
        <w:drawing>
          <wp:inline distT="0" distB="0" distL="0" distR="0">
            <wp:extent cx="5838825" cy="3095625"/>
            <wp:effectExtent l="0" t="0" r="0" b="0"/>
            <wp:docPr id="22" name="Objec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C1E6A" w:rsidRPr="00F432B3" w:rsidRDefault="004C1E6A" w:rsidP="00796BFA">
      <w:pPr>
        <w:pStyle w:val="Caption"/>
        <w:rPr>
          <w:b w:val="0"/>
          <w:sz w:val="20"/>
          <w:szCs w:val="20"/>
        </w:rPr>
      </w:pPr>
      <w:r w:rsidRPr="00F432B3">
        <w:rPr>
          <w:b w:val="0"/>
          <w:sz w:val="20"/>
          <w:szCs w:val="20"/>
        </w:rPr>
        <w:t>Sou</w:t>
      </w:r>
      <w:r>
        <w:rPr>
          <w:b w:val="0"/>
          <w:sz w:val="20"/>
          <w:szCs w:val="20"/>
        </w:rPr>
        <w:t>r</w:t>
      </w:r>
      <w:r w:rsidRPr="00F432B3">
        <w:rPr>
          <w:b w:val="0"/>
          <w:sz w:val="20"/>
          <w:szCs w:val="20"/>
        </w:rPr>
        <w:t>ce</w:t>
      </w:r>
      <w:r>
        <w:rPr>
          <w:b w:val="0"/>
          <w:sz w:val="20"/>
          <w:szCs w:val="20"/>
        </w:rPr>
        <w:t>s</w:t>
      </w:r>
      <w:r w:rsidRPr="00F432B3">
        <w:rPr>
          <w:b w:val="0"/>
          <w:sz w:val="20"/>
          <w:szCs w:val="20"/>
        </w:rPr>
        <w:t>: Massachusetts Cancer Registry</w:t>
      </w:r>
      <w:r>
        <w:rPr>
          <w:b w:val="0"/>
          <w:sz w:val="20"/>
          <w:szCs w:val="20"/>
        </w:rPr>
        <w:t xml:space="preserve"> and SEER 18 </w:t>
      </w:r>
      <w:r w:rsidR="005F628A">
        <w:rPr>
          <w:b w:val="0"/>
          <w:sz w:val="20"/>
          <w:szCs w:val="20"/>
        </w:rPr>
        <w:t>Registries</w:t>
      </w:r>
      <w:r>
        <w:rPr>
          <w:b w:val="0"/>
          <w:sz w:val="20"/>
          <w:szCs w:val="20"/>
        </w:rPr>
        <w:t>. * Rates are age-adjusted to the US standard 2000 population for ages 0-19.</w:t>
      </w:r>
    </w:p>
    <w:p w:rsidR="004C1E6A" w:rsidRDefault="004C1E6A" w:rsidP="00B91B61">
      <w:pPr>
        <w:ind w:left="720"/>
      </w:pPr>
    </w:p>
    <w:p w:rsidR="004C1E6A" w:rsidRDefault="004C1E6A" w:rsidP="00306CD0">
      <w:pPr>
        <w:rPr>
          <w:b/>
          <w:u w:val="single"/>
        </w:rPr>
      </w:pPr>
      <w:r>
        <w:t xml:space="preserve">There are 5 types of childhood brain and central nervous system cancers: </w:t>
      </w:r>
      <w:proofErr w:type="spellStart"/>
      <w:r>
        <w:t>ependymomas</w:t>
      </w:r>
      <w:proofErr w:type="spellEnd"/>
      <w:r>
        <w:t xml:space="preserve"> and choroid plexus tumors, </w:t>
      </w:r>
      <w:proofErr w:type="spellStart"/>
      <w:r>
        <w:t>astrocytomas</w:t>
      </w:r>
      <w:proofErr w:type="spellEnd"/>
      <w:r>
        <w:t xml:space="preserve">, </w:t>
      </w:r>
      <w:proofErr w:type="spellStart"/>
      <w:r>
        <w:t>embryonal</w:t>
      </w:r>
      <w:proofErr w:type="spellEnd"/>
      <w:r>
        <w:t xml:space="preserve"> tumors, other </w:t>
      </w:r>
      <w:proofErr w:type="spellStart"/>
      <w:r>
        <w:t>gliomas</w:t>
      </w:r>
      <w:proofErr w:type="spellEnd"/>
      <w:r>
        <w:t>, and other intracranial tumors.</w:t>
      </w:r>
      <w:r>
        <w:rPr>
          <w:vertAlign w:val="superscript"/>
        </w:rPr>
        <w:t>9</w:t>
      </w:r>
      <w:r>
        <w:t xml:space="preserve">  </w:t>
      </w:r>
    </w:p>
    <w:p w:rsidR="004C1E6A" w:rsidRDefault="004C1E6A" w:rsidP="00306CD0">
      <w:pPr>
        <w:rPr>
          <w:b/>
          <w:u w:val="single"/>
        </w:rPr>
      </w:pPr>
    </w:p>
    <w:p w:rsidR="004C1E6A" w:rsidRDefault="004C1E6A" w:rsidP="00306CD0">
      <w:proofErr w:type="spellStart"/>
      <w:r w:rsidRPr="00306CD0">
        <w:rPr>
          <w:b/>
          <w:u w:val="single"/>
        </w:rPr>
        <w:t>Ependymomas</w:t>
      </w:r>
      <w:proofErr w:type="spellEnd"/>
      <w:r w:rsidRPr="00306CD0">
        <w:rPr>
          <w:b/>
          <w:u w:val="single"/>
        </w:rPr>
        <w:t xml:space="preserve"> and cho</w:t>
      </w:r>
      <w:r>
        <w:rPr>
          <w:b/>
          <w:u w:val="single"/>
        </w:rPr>
        <w:t>roi</w:t>
      </w:r>
      <w:r w:rsidRPr="00306CD0">
        <w:rPr>
          <w:b/>
          <w:u w:val="single"/>
        </w:rPr>
        <w:t>d plexus tumor</w:t>
      </w:r>
      <w:r>
        <w:rPr>
          <w:b/>
          <w:u w:val="single"/>
        </w:rPr>
        <w:t>s</w:t>
      </w:r>
      <w:r w:rsidRPr="001727EA">
        <w:t xml:space="preserve"> </w:t>
      </w:r>
      <w:r>
        <w:t xml:space="preserve">start in the ependymal cells that line the ventricles or central canal of the spinal cord.  They may spread along the cerebrospinal fluid (CSF) but do not spread outside the brain or spinal cord.  Unlike </w:t>
      </w:r>
      <w:proofErr w:type="spellStart"/>
      <w:r>
        <w:t>astrocytomas</w:t>
      </w:r>
      <w:proofErr w:type="spellEnd"/>
      <w:r>
        <w:t xml:space="preserve"> and </w:t>
      </w:r>
      <w:proofErr w:type="spellStart"/>
      <w:r>
        <w:t>oligodendrogliomas</w:t>
      </w:r>
      <w:proofErr w:type="spellEnd"/>
      <w:r>
        <w:t>, they don’t usually grow into brain tissue.  Choroid plexus tumors are rare tumors that start in the choroid plexus within the ventricles of the brain.</w:t>
      </w:r>
      <w:r>
        <w:rPr>
          <w:vertAlign w:val="superscript"/>
        </w:rPr>
        <w:t>9</w:t>
      </w:r>
      <w:r w:rsidRPr="002B0884">
        <w:t xml:space="preserve"> </w:t>
      </w:r>
      <w:r>
        <w:t xml:space="preserve"> These tumors accounted for 9.1% of CNS childhood and adolescent cancers diagnosed in Massachusetts (n=51) and 8.7% diagnosed in the US.  There was no significant difference in the percentage of these cases that were male compared to female (56.9% vs. 43.1%). The numbers were too small for any trend analysis.</w:t>
      </w:r>
    </w:p>
    <w:p w:rsidR="004C1E6A" w:rsidRDefault="004C1E6A" w:rsidP="00B91B61">
      <w:pPr>
        <w:ind w:left="720"/>
      </w:pPr>
    </w:p>
    <w:p w:rsidR="004C1E6A" w:rsidRDefault="004C1E6A" w:rsidP="00B91B61">
      <w:pPr>
        <w:ind w:left="720"/>
      </w:pPr>
    </w:p>
    <w:p w:rsidR="004C1E6A" w:rsidRDefault="004C1E6A" w:rsidP="00B91B61">
      <w:pPr>
        <w:ind w:left="720"/>
      </w:pPr>
    </w:p>
    <w:p w:rsidR="004C1E6A" w:rsidRDefault="004C1E6A" w:rsidP="00B91B61">
      <w:pPr>
        <w:ind w:left="720"/>
      </w:pPr>
    </w:p>
    <w:p w:rsidR="004C1E6A" w:rsidRDefault="004C1E6A" w:rsidP="00B91B61">
      <w:pPr>
        <w:ind w:left="720"/>
      </w:pPr>
    </w:p>
    <w:p w:rsidR="004C1E6A" w:rsidRDefault="004C1E6A" w:rsidP="00B91B61">
      <w:pPr>
        <w:ind w:left="720"/>
      </w:pPr>
    </w:p>
    <w:p w:rsidR="004C1E6A" w:rsidRDefault="004C1E6A" w:rsidP="00403100">
      <w:proofErr w:type="spellStart"/>
      <w:r w:rsidRPr="00306CD0">
        <w:rPr>
          <w:b/>
          <w:u w:val="single"/>
        </w:rPr>
        <w:lastRenderedPageBreak/>
        <w:t>Astrocytoma</w:t>
      </w:r>
      <w:r>
        <w:rPr>
          <w:b/>
          <w:u w:val="single"/>
        </w:rPr>
        <w:t>s</w:t>
      </w:r>
      <w:proofErr w:type="spellEnd"/>
      <w:r w:rsidRPr="00D372AF">
        <w:rPr>
          <w:b/>
        </w:rPr>
        <w:t xml:space="preserve"> </w:t>
      </w:r>
      <w:r>
        <w:t xml:space="preserve">can spread widely throughout and mingle with normal brain tissue.  There are three grades of </w:t>
      </w:r>
      <w:proofErr w:type="spellStart"/>
      <w:r>
        <w:t>astrocytomas</w:t>
      </w:r>
      <w:proofErr w:type="spellEnd"/>
      <w:r>
        <w:t xml:space="preserve">: low grade – slow growing and the most common type in children, anaplastic – moderate growing, and </w:t>
      </w:r>
      <w:proofErr w:type="spellStart"/>
      <w:r>
        <w:t>gliobastoma</w:t>
      </w:r>
      <w:proofErr w:type="spellEnd"/>
      <w:r>
        <w:t xml:space="preserve"> – the highest grade and the fastest growing. Most of the tumors that develop within the brain begin in cells known as astrocytes, a type of glial cell.</w:t>
      </w:r>
      <w:r>
        <w:rPr>
          <w:vertAlign w:val="superscript"/>
        </w:rPr>
        <w:t>9</w:t>
      </w:r>
      <w:r>
        <w:t xml:space="preserve">  They accounted for 49.7% of CNS childhood and adolescent cancers diagnosed in Massachusetts (n=280) and 49.0% diagnosed in the US.    There was no significant difference in the percentage of astrocytoma cases that were male compared to female (53.6% vs. 46.4%) and no strongly predominant age group. Figure 21 compares incidence trends for malignant </w:t>
      </w:r>
      <w:proofErr w:type="spellStart"/>
      <w:r>
        <w:t>astrocytomas</w:t>
      </w:r>
      <w:proofErr w:type="spellEnd"/>
      <w:r>
        <w:t xml:space="preserve"> from 2000 to 2009 in Massachusetts and the US.  Neither trend was significant (Massachusetts APC= -1.9% and US APC= 0.3%).  </w:t>
      </w:r>
    </w:p>
    <w:p w:rsidR="004C1E6A" w:rsidRDefault="004C1E6A" w:rsidP="00AD31C0"/>
    <w:p w:rsidR="004C1E6A" w:rsidRDefault="003F5DC5" w:rsidP="00AD31C0">
      <w:r>
        <w:rPr>
          <w:noProof/>
        </w:rPr>
        <w:drawing>
          <wp:inline distT="0" distB="0" distL="0" distR="0">
            <wp:extent cx="5819775" cy="3181350"/>
            <wp:effectExtent l="0" t="0" r="0" b="0"/>
            <wp:docPr id="23" name="Objec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C1E6A" w:rsidRPr="00F432B3" w:rsidRDefault="004C1E6A" w:rsidP="00796BFA">
      <w:pPr>
        <w:pStyle w:val="Caption"/>
        <w:rPr>
          <w:b w:val="0"/>
          <w:sz w:val="20"/>
          <w:szCs w:val="20"/>
        </w:rPr>
      </w:pPr>
      <w:r w:rsidRPr="00F432B3">
        <w:rPr>
          <w:b w:val="0"/>
          <w:sz w:val="20"/>
          <w:szCs w:val="20"/>
        </w:rPr>
        <w:t>Sou</w:t>
      </w:r>
      <w:r>
        <w:rPr>
          <w:b w:val="0"/>
          <w:sz w:val="20"/>
          <w:szCs w:val="20"/>
        </w:rPr>
        <w:t>r</w:t>
      </w:r>
      <w:r w:rsidRPr="00F432B3">
        <w:rPr>
          <w:b w:val="0"/>
          <w:sz w:val="20"/>
          <w:szCs w:val="20"/>
        </w:rPr>
        <w:t>ce</w:t>
      </w:r>
      <w:r>
        <w:rPr>
          <w:b w:val="0"/>
          <w:sz w:val="20"/>
          <w:szCs w:val="20"/>
        </w:rPr>
        <w:t>s</w:t>
      </w:r>
      <w:r w:rsidRPr="00F432B3">
        <w:rPr>
          <w:b w:val="0"/>
          <w:sz w:val="20"/>
          <w:szCs w:val="20"/>
        </w:rPr>
        <w:t>: Massachusetts Cancer Registry</w:t>
      </w:r>
      <w:r>
        <w:rPr>
          <w:b w:val="0"/>
          <w:sz w:val="20"/>
          <w:szCs w:val="20"/>
        </w:rPr>
        <w:t xml:space="preserve"> and SEER 18 Registries. * Rates are age-adjusted to the US standard 2000 population for ages 0-19.</w:t>
      </w:r>
    </w:p>
    <w:p w:rsidR="004C1E6A" w:rsidRDefault="004C1E6A" w:rsidP="00AD31C0"/>
    <w:p w:rsidR="004C1E6A" w:rsidRDefault="004C1E6A" w:rsidP="00700815">
      <w:proofErr w:type="spellStart"/>
      <w:r w:rsidRPr="00251987">
        <w:rPr>
          <w:b/>
          <w:u w:val="single"/>
        </w:rPr>
        <w:t>Embryonal</w:t>
      </w:r>
      <w:proofErr w:type="spellEnd"/>
      <w:r w:rsidRPr="00251987">
        <w:rPr>
          <w:b/>
          <w:u w:val="single"/>
        </w:rPr>
        <w:t xml:space="preserve"> tumors</w:t>
      </w:r>
      <w:r>
        <w:t xml:space="preserve"> begin in embryonic (fetal) cells in the brain and spinal cord.  There are six types of </w:t>
      </w:r>
      <w:proofErr w:type="spellStart"/>
      <w:r>
        <w:t>embryonal</w:t>
      </w:r>
      <w:proofErr w:type="spellEnd"/>
      <w:r>
        <w:t xml:space="preserve"> tumors: </w:t>
      </w:r>
      <w:proofErr w:type="spellStart"/>
      <w:r w:rsidRPr="00390D0D">
        <w:t>medulloblastoma</w:t>
      </w:r>
      <w:proofErr w:type="spellEnd"/>
      <w:r w:rsidRPr="00390D0D">
        <w:t xml:space="preserve">, pineal gland tumors, CNS primitive </w:t>
      </w:r>
      <w:proofErr w:type="spellStart"/>
      <w:r w:rsidRPr="00390D0D">
        <w:t>neuroectodermal</w:t>
      </w:r>
      <w:proofErr w:type="spellEnd"/>
      <w:r w:rsidRPr="00390D0D">
        <w:t xml:space="preserve"> tumors, </w:t>
      </w:r>
      <w:proofErr w:type="spellStart"/>
      <w:r w:rsidRPr="00390D0D">
        <w:t>medulloepithelioma</w:t>
      </w:r>
      <w:proofErr w:type="spellEnd"/>
      <w:r w:rsidRPr="00390D0D">
        <w:t>, and ependymoblastoma.</w:t>
      </w:r>
      <w:r>
        <w:rPr>
          <w:vertAlign w:val="superscript"/>
        </w:rPr>
        <w:t>9</w:t>
      </w:r>
      <w:r w:rsidRPr="00390D0D">
        <w:t xml:space="preserve">  They accounted for 19.</w:t>
      </w:r>
      <w:r>
        <w:t>7</w:t>
      </w:r>
      <w:r w:rsidRPr="00390D0D">
        <w:t>% of CNS childhood and adolescent cancers diagnosed in Massachusetts</w:t>
      </w:r>
      <w:r>
        <w:t xml:space="preserve"> (n=111)</w:t>
      </w:r>
      <w:r w:rsidRPr="00390D0D">
        <w:t xml:space="preserve"> and 21.8% diagnosed in the US.  There was no significant difference in </w:t>
      </w:r>
      <w:r>
        <w:t xml:space="preserve">the percentage of </w:t>
      </w:r>
      <w:proofErr w:type="spellStart"/>
      <w:r>
        <w:t>embryonal</w:t>
      </w:r>
      <w:proofErr w:type="spellEnd"/>
      <w:r>
        <w:t xml:space="preserve"> tumor</w:t>
      </w:r>
      <w:r w:rsidRPr="00390D0D">
        <w:t xml:space="preserve"> </w:t>
      </w:r>
      <w:r>
        <w:t>cases that were</w:t>
      </w:r>
      <w:r w:rsidRPr="00390D0D">
        <w:t xml:space="preserve"> male</w:t>
      </w:r>
      <w:r>
        <w:t xml:space="preserve"> compared to </w:t>
      </w:r>
      <w:r w:rsidRPr="00390D0D">
        <w:t xml:space="preserve">female (51.4% vs. 48.7%) and 39.6% of the cases were diagnosed before the age of 5 compared to 31.5% from age 10-19.  Figure 22 compares incidence trends for malignant </w:t>
      </w:r>
      <w:proofErr w:type="spellStart"/>
      <w:r w:rsidRPr="00390D0D">
        <w:t>embryonal</w:t>
      </w:r>
      <w:proofErr w:type="spellEnd"/>
      <w:r w:rsidRPr="00390D0D">
        <w:t xml:space="preserve"> tumors from 2000 to 2009 in Massachusetts and the US.  Neither trend was significant (Massachusetts APC= -0.5% and US APC= -0.8%).</w:t>
      </w:r>
      <w:r>
        <w:t xml:space="preserve">  </w:t>
      </w:r>
    </w:p>
    <w:p w:rsidR="004C1E6A" w:rsidRDefault="004C1E6A" w:rsidP="00403100"/>
    <w:p w:rsidR="004C1E6A" w:rsidRDefault="004C1E6A" w:rsidP="00AD31C0"/>
    <w:p w:rsidR="004C1E6A" w:rsidRDefault="003F5DC5" w:rsidP="00AD31C0">
      <w:r>
        <w:rPr>
          <w:noProof/>
        </w:rPr>
        <w:lastRenderedPageBreak/>
        <w:drawing>
          <wp:inline distT="0" distB="0" distL="0" distR="0">
            <wp:extent cx="5743575" cy="3286125"/>
            <wp:effectExtent l="0" t="0" r="0" b="0"/>
            <wp:docPr id="24" name="Objec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C1E6A" w:rsidRPr="00F432B3" w:rsidRDefault="004C1E6A" w:rsidP="00796BFA">
      <w:pPr>
        <w:pStyle w:val="Caption"/>
        <w:rPr>
          <w:b w:val="0"/>
          <w:sz w:val="20"/>
          <w:szCs w:val="20"/>
        </w:rPr>
      </w:pPr>
      <w:r w:rsidRPr="00F432B3">
        <w:rPr>
          <w:b w:val="0"/>
          <w:sz w:val="20"/>
          <w:szCs w:val="20"/>
        </w:rPr>
        <w:t>Sou</w:t>
      </w:r>
      <w:r>
        <w:rPr>
          <w:b w:val="0"/>
          <w:sz w:val="20"/>
          <w:szCs w:val="20"/>
        </w:rPr>
        <w:t>r</w:t>
      </w:r>
      <w:r w:rsidRPr="00F432B3">
        <w:rPr>
          <w:b w:val="0"/>
          <w:sz w:val="20"/>
          <w:szCs w:val="20"/>
        </w:rPr>
        <w:t>ce</w:t>
      </w:r>
      <w:r>
        <w:rPr>
          <w:b w:val="0"/>
          <w:sz w:val="20"/>
          <w:szCs w:val="20"/>
        </w:rPr>
        <w:t>s</w:t>
      </w:r>
      <w:r w:rsidRPr="00F432B3">
        <w:rPr>
          <w:b w:val="0"/>
          <w:sz w:val="20"/>
          <w:szCs w:val="20"/>
        </w:rPr>
        <w:t>: Massachusetts Cancer Registry</w:t>
      </w:r>
      <w:r>
        <w:rPr>
          <w:b w:val="0"/>
          <w:sz w:val="20"/>
          <w:szCs w:val="20"/>
        </w:rPr>
        <w:t xml:space="preserve"> and SEER 18 Registries. * Rates are age-adjusted to the US standard 2000 population for ages 0-19.</w:t>
      </w:r>
    </w:p>
    <w:p w:rsidR="004C1E6A" w:rsidRDefault="004C1E6A" w:rsidP="00D063E7">
      <w:pPr>
        <w:ind w:left="720"/>
      </w:pPr>
    </w:p>
    <w:p w:rsidR="004C1E6A" w:rsidRDefault="004C1E6A" w:rsidP="004E1EBA">
      <w:r w:rsidRPr="00BD2F5A">
        <w:rPr>
          <w:b/>
          <w:u w:val="single"/>
        </w:rPr>
        <w:t xml:space="preserve">Other </w:t>
      </w:r>
      <w:proofErr w:type="spellStart"/>
      <w:r w:rsidRPr="00BD2F5A">
        <w:rPr>
          <w:b/>
          <w:u w:val="single"/>
        </w:rPr>
        <w:t>gliomas</w:t>
      </w:r>
      <w:proofErr w:type="spellEnd"/>
      <w:r>
        <w:t xml:space="preserve">, representing other types of malignant </w:t>
      </w:r>
      <w:proofErr w:type="spellStart"/>
      <w:r>
        <w:t>gliomas</w:t>
      </w:r>
      <w:proofErr w:type="spellEnd"/>
      <w:r>
        <w:t>, accounted for 16.7% of Massachusetts CNS childhood and adolescent cancers (n=94) and 17.6% of US CNS cancers diagnosed among 0-19 year olds from 2000-2009.  There was no significant difference in percentage of diagnoses between males and female cases (58.5% vs. 41.5%).  There also was no predominant age group diagnosed with this cancer.</w:t>
      </w:r>
    </w:p>
    <w:p w:rsidR="004C1E6A" w:rsidRDefault="004C1E6A" w:rsidP="004E1EBA"/>
    <w:p w:rsidR="004C1E6A" w:rsidRDefault="004C1E6A" w:rsidP="004E1EBA">
      <w:r w:rsidRPr="00BD2F5A">
        <w:rPr>
          <w:b/>
          <w:u w:val="single"/>
        </w:rPr>
        <w:t>Other intracranial tumors</w:t>
      </w:r>
      <w:r>
        <w:rPr>
          <w:b/>
        </w:rPr>
        <w:t xml:space="preserve">, </w:t>
      </w:r>
      <w:r>
        <w:t>representing CNS cancers not otherwise categorized, accounted for 4.3% of CNS cancers in Massachusetts (n=24) and 2.9% in the US.</w:t>
      </w:r>
    </w:p>
    <w:p w:rsidR="004C1E6A" w:rsidRDefault="004C1E6A" w:rsidP="004E1EBA"/>
    <w:p w:rsidR="004C1E6A" w:rsidRPr="00BD2F5A" w:rsidRDefault="004C1E6A" w:rsidP="00791623">
      <w:pPr>
        <w:rPr>
          <w:b/>
          <w:u w:val="single"/>
        </w:rPr>
      </w:pPr>
      <w:r w:rsidRPr="00BD2F5A">
        <w:rPr>
          <w:b/>
          <w:u w:val="single"/>
        </w:rPr>
        <w:t>CNS Mortality</w:t>
      </w:r>
      <w:r>
        <w:rPr>
          <w:b/>
          <w:u w:val="single"/>
        </w:rPr>
        <w:t xml:space="preserve"> and Survival</w:t>
      </w:r>
      <w:r w:rsidRPr="00BD2F5A">
        <w:rPr>
          <w:b/>
          <w:u w:val="single"/>
        </w:rPr>
        <w:t>:</w:t>
      </w:r>
    </w:p>
    <w:p w:rsidR="004C1E6A" w:rsidRDefault="004C1E6A" w:rsidP="00791623"/>
    <w:p w:rsidR="004C1E6A" w:rsidRDefault="004C1E6A" w:rsidP="00791623">
      <w:r>
        <w:t xml:space="preserve">In Massachusetts, there were 91 CNS-related deaths among children and adolescents from 2000 to 2009. The annual age-adjusted mortality rate for all CNS cases aged 0-19 at the time of death in Massachusetts and the US were compared from 2000-2009 (Figure 23).  In the US, the deaths decreased with an APC of -1.6%, which was not statistically significant.  The Massachusetts APC increase of 0.4% also was not significant. </w:t>
      </w:r>
    </w:p>
    <w:p w:rsidR="004C1E6A" w:rsidRDefault="004C1E6A" w:rsidP="00791623"/>
    <w:p w:rsidR="004C1E6A" w:rsidRDefault="003F5DC5" w:rsidP="00791623">
      <w:r>
        <w:rPr>
          <w:noProof/>
        </w:rPr>
        <w:lastRenderedPageBreak/>
        <w:drawing>
          <wp:inline distT="0" distB="0" distL="0" distR="0">
            <wp:extent cx="5819775" cy="3190875"/>
            <wp:effectExtent l="0" t="0" r="0" b="0"/>
            <wp:docPr id="25" name="Objec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C1E6A" w:rsidRPr="00F432B3" w:rsidRDefault="004C1E6A" w:rsidP="00791623">
      <w:pPr>
        <w:pStyle w:val="Caption"/>
        <w:rPr>
          <w:b w:val="0"/>
          <w:sz w:val="20"/>
          <w:szCs w:val="20"/>
        </w:rPr>
      </w:pPr>
      <w:r w:rsidRPr="00F432B3">
        <w:rPr>
          <w:b w:val="0"/>
          <w:sz w:val="20"/>
          <w:szCs w:val="20"/>
        </w:rPr>
        <w:t>Sou</w:t>
      </w:r>
      <w:r>
        <w:rPr>
          <w:b w:val="0"/>
          <w:sz w:val="20"/>
          <w:szCs w:val="20"/>
        </w:rPr>
        <w:t>r</w:t>
      </w:r>
      <w:r w:rsidRPr="00F432B3">
        <w:rPr>
          <w:b w:val="0"/>
          <w:sz w:val="20"/>
          <w:szCs w:val="20"/>
        </w:rPr>
        <w:t>ce: Massachusetts Registry</w:t>
      </w:r>
      <w:r>
        <w:rPr>
          <w:b w:val="0"/>
          <w:sz w:val="20"/>
          <w:szCs w:val="20"/>
        </w:rPr>
        <w:t xml:space="preserve"> of Vital Records and Statistics and the National Center for Health Statistics.          * Rates are age-adjusted to the US standard 2000 population for ages 0-19.</w:t>
      </w:r>
    </w:p>
    <w:p w:rsidR="004C1E6A" w:rsidRPr="00B41DBF" w:rsidRDefault="004C1E6A" w:rsidP="003B6466"/>
    <w:p w:rsidR="004C1E6A" w:rsidRPr="00E12AF5" w:rsidRDefault="004C1E6A" w:rsidP="00A42AAB">
      <w:r>
        <w:t>CNS cases diagnosed from 2000 to 2004 were analyzed to determine the five-year cause-specific cumulative survival compared to US SEER survival.</w:t>
      </w:r>
    </w:p>
    <w:p w:rsidR="004C1E6A" w:rsidRDefault="004C1E6A" w:rsidP="003B64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3144"/>
        <w:gridCol w:w="3144"/>
      </w:tblGrid>
      <w:tr w:rsidR="004C1E6A" w:rsidRPr="00F775DA" w:rsidTr="00F775DA">
        <w:tc>
          <w:tcPr>
            <w:tcW w:w="3144" w:type="dxa"/>
          </w:tcPr>
          <w:p w:rsidR="004C1E6A" w:rsidRPr="00F775DA" w:rsidRDefault="004C1E6A" w:rsidP="00A34944">
            <w:pPr>
              <w:rPr>
                <w:b/>
              </w:rPr>
            </w:pPr>
            <w:r w:rsidRPr="00F775DA">
              <w:rPr>
                <w:b/>
              </w:rPr>
              <w:t>Childhood Cancer</w:t>
            </w:r>
          </w:p>
        </w:tc>
        <w:tc>
          <w:tcPr>
            <w:tcW w:w="3144" w:type="dxa"/>
          </w:tcPr>
          <w:p w:rsidR="004C1E6A" w:rsidRPr="00F775DA" w:rsidRDefault="004C1E6A" w:rsidP="00F67A75">
            <w:pPr>
              <w:jc w:val="center"/>
              <w:rPr>
                <w:b/>
              </w:rPr>
            </w:pPr>
            <w:r w:rsidRPr="00F775DA">
              <w:rPr>
                <w:b/>
              </w:rPr>
              <w:t>MA 5</w:t>
            </w:r>
            <w:r>
              <w:rPr>
                <w:b/>
              </w:rPr>
              <w:t>-</w:t>
            </w:r>
            <w:r w:rsidRPr="00F775DA">
              <w:rPr>
                <w:b/>
              </w:rPr>
              <w:t>Year Survival</w:t>
            </w:r>
          </w:p>
        </w:tc>
        <w:tc>
          <w:tcPr>
            <w:tcW w:w="3144" w:type="dxa"/>
          </w:tcPr>
          <w:p w:rsidR="004C1E6A" w:rsidRPr="00F775DA" w:rsidRDefault="004C1E6A" w:rsidP="00F67A75">
            <w:pPr>
              <w:jc w:val="center"/>
              <w:rPr>
                <w:b/>
              </w:rPr>
            </w:pPr>
            <w:r w:rsidRPr="00F775DA">
              <w:rPr>
                <w:b/>
              </w:rPr>
              <w:t>US SEER 5</w:t>
            </w:r>
            <w:r>
              <w:rPr>
                <w:b/>
              </w:rPr>
              <w:t>-</w:t>
            </w:r>
            <w:r w:rsidRPr="00F775DA">
              <w:rPr>
                <w:b/>
              </w:rPr>
              <w:t>Year Survival</w:t>
            </w:r>
          </w:p>
        </w:tc>
      </w:tr>
      <w:tr w:rsidR="004C1E6A" w:rsidRPr="00F775DA" w:rsidTr="00F775DA">
        <w:tc>
          <w:tcPr>
            <w:tcW w:w="3144" w:type="dxa"/>
          </w:tcPr>
          <w:p w:rsidR="004C1E6A" w:rsidRPr="0021264D" w:rsidRDefault="004C1E6A" w:rsidP="00A34944">
            <w:proofErr w:type="spellStart"/>
            <w:r w:rsidRPr="0021264D">
              <w:t>Ependymomas</w:t>
            </w:r>
            <w:proofErr w:type="spellEnd"/>
            <w:r w:rsidRPr="0021264D">
              <w:t xml:space="preserve"> (n=27)</w:t>
            </w:r>
          </w:p>
        </w:tc>
        <w:tc>
          <w:tcPr>
            <w:tcW w:w="3144" w:type="dxa"/>
          </w:tcPr>
          <w:p w:rsidR="004C1E6A" w:rsidRPr="0021264D" w:rsidRDefault="004C1E6A" w:rsidP="00F775DA">
            <w:pPr>
              <w:jc w:val="center"/>
            </w:pPr>
            <w:r w:rsidRPr="0021264D">
              <w:t>81.4%</w:t>
            </w:r>
          </w:p>
        </w:tc>
        <w:tc>
          <w:tcPr>
            <w:tcW w:w="3144" w:type="dxa"/>
          </w:tcPr>
          <w:p w:rsidR="004C1E6A" w:rsidRPr="0021264D" w:rsidRDefault="004C1E6A" w:rsidP="00F775DA">
            <w:pPr>
              <w:jc w:val="center"/>
            </w:pPr>
            <w:r w:rsidRPr="0021264D">
              <w:t>72.2%</w:t>
            </w:r>
          </w:p>
        </w:tc>
      </w:tr>
      <w:tr w:rsidR="004C1E6A" w:rsidRPr="00F775DA" w:rsidTr="00F775DA">
        <w:tc>
          <w:tcPr>
            <w:tcW w:w="3144" w:type="dxa"/>
          </w:tcPr>
          <w:p w:rsidR="004C1E6A" w:rsidRPr="0021264D" w:rsidRDefault="004C1E6A" w:rsidP="00A34944">
            <w:proofErr w:type="spellStart"/>
            <w:r w:rsidRPr="0021264D">
              <w:t>Astrocytomas</w:t>
            </w:r>
            <w:proofErr w:type="spellEnd"/>
            <w:r w:rsidRPr="0021264D">
              <w:t xml:space="preserve"> (n=146)</w:t>
            </w:r>
          </w:p>
        </w:tc>
        <w:tc>
          <w:tcPr>
            <w:tcW w:w="3144" w:type="dxa"/>
          </w:tcPr>
          <w:p w:rsidR="004C1E6A" w:rsidRPr="0021264D" w:rsidRDefault="004C1E6A" w:rsidP="00F775DA">
            <w:pPr>
              <w:jc w:val="center"/>
            </w:pPr>
            <w:r w:rsidRPr="0021264D">
              <w:t>90.3%</w:t>
            </w:r>
          </w:p>
        </w:tc>
        <w:tc>
          <w:tcPr>
            <w:tcW w:w="3144" w:type="dxa"/>
          </w:tcPr>
          <w:p w:rsidR="004C1E6A" w:rsidRPr="0021264D" w:rsidRDefault="004C1E6A" w:rsidP="00F775DA">
            <w:pPr>
              <w:jc w:val="center"/>
            </w:pPr>
            <w:r w:rsidRPr="0021264D">
              <w:t>84.0%</w:t>
            </w:r>
          </w:p>
        </w:tc>
      </w:tr>
      <w:tr w:rsidR="004C1E6A" w:rsidRPr="00F775DA" w:rsidTr="00F775DA">
        <w:tc>
          <w:tcPr>
            <w:tcW w:w="3144" w:type="dxa"/>
          </w:tcPr>
          <w:p w:rsidR="004C1E6A" w:rsidRPr="0021264D" w:rsidRDefault="004C1E6A" w:rsidP="00A34944">
            <w:proofErr w:type="spellStart"/>
            <w:r w:rsidRPr="0021264D">
              <w:t>Embryonal</w:t>
            </w:r>
            <w:proofErr w:type="spellEnd"/>
            <w:r w:rsidRPr="0021264D">
              <w:t xml:space="preserve"> Tumors (n=58)</w:t>
            </w:r>
          </w:p>
        </w:tc>
        <w:tc>
          <w:tcPr>
            <w:tcW w:w="3144" w:type="dxa"/>
          </w:tcPr>
          <w:p w:rsidR="004C1E6A" w:rsidRPr="0021264D" w:rsidRDefault="004C1E6A" w:rsidP="00F775DA">
            <w:pPr>
              <w:jc w:val="center"/>
            </w:pPr>
            <w:r w:rsidRPr="0021264D">
              <w:t>74.0%</w:t>
            </w:r>
          </w:p>
        </w:tc>
        <w:tc>
          <w:tcPr>
            <w:tcW w:w="3144" w:type="dxa"/>
          </w:tcPr>
          <w:p w:rsidR="004C1E6A" w:rsidRPr="0021264D" w:rsidRDefault="004C1E6A" w:rsidP="00F775DA">
            <w:pPr>
              <w:jc w:val="center"/>
            </w:pPr>
            <w:r w:rsidRPr="0021264D">
              <w:t>64.5%</w:t>
            </w:r>
          </w:p>
        </w:tc>
      </w:tr>
      <w:tr w:rsidR="004C1E6A" w:rsidRPr="00F775DA" w:rsidTr="00F775DA">
        <w:tc>
          <w:tcPr>
            <w:tcW w:w="3144" w:type="dxa"/>
          </w:tcPr>
          <w:p w:rsidR="004C1E6A" w:rsidRPr="0021264D" w:rsidRDefault="004C1E6A" w:rsidP="00A34944">
            <w:r w:rsidRPr="0021264D">
              <w:t xml:space="preserve">Other </w:t>
            </w:r>
            <w:proofErr w:type="spellStart"/>
            <w:r w:rsidRPr="0021264D">
              <w:t>Gliomas</w:t>
            </w:r>
            <w:proofErr w:type="spellEnd"/>
            <w:r w:rsidRPr="0021264D">
              <w:t xml:space="preserve"> (n=38)</w:t>
            </w:r>
          </w:p>
        </w:tc>
        <w:tc>
          <w:tcPr>
            <w:tcW w:w="3144" w:type="dxa"/>
          </w:tcPr>
          <w:p w:rsidR="004C1E6A" w:rsidRPr="0021264D" w:rsidRDefault="004C1E6A" w:rsidP="00F775DA">
            <w:pPr>
              <w:jc w:val="center"/>
            </w:pPr>
            <w:r w:rsidRPr="0021264D">
              <w:t>55.2%</w:t>
            </w:r>
          </w:p>
        </w:tc>
        <w:tc>
          <w:tcPr>
            <w:tcW w:w="3144" w:type="dxa"/>
          </w:tcPr>
          <w:p w:rsidR="004C1E6A" w:rsidRPr="0021264D" w:rsidRDefault="004C1E6A" w:rsidP="00F775DA">
            <w:pPr>
              <w:jc w:val="center"/>
            </w:pPr>
            <w:r w:rsidRPr="0021264D">
              <w:t>58.1%</w:t>
            </w:r>
          </w:p>
        </w:tc>
      </w:tr>
    </w:tbl>
    <w:p w:rsidR="004C1E6A" w:rsidRPr="00657754" w:rsidRDefault="004C1E6A" w:rsidP="003B6466">
      <w:pPr>
        <w:rPr>
          <w:b/>
          <w:caps/>
        </w:rPr>
      </w:pPr>
      <w:r>
        <w:br w:type="page"/>
      </w:r>
      <w:r w:rsidRPr="00657754">
        <w:rPr>
          <w:b/>
          <w:caps/>
        </w:rPr>
        <w:lastRenderedPageBreak/>
        <w:t xml:space="preserve">Tumors of Peripheral Nervous System </w:t>
      </w:r>
    </w:p>
    <w:p w:rsidR="004C1E6A" w:rsidRDefault="004C1E6A" w:rsidP="003B6466"/>
    <w:p w:rsidR="004C1E6A" w:rsidRDefault="004C1E6A" w:rsidP="007F0112">
      <w:r>
        <w:t xml:space="preserve">The peripheral nervous system (PNS) consists of the sensory neurons (which send stimulus signals to </w:t>
      </w:r>
      <w:r w:rsidRPr="00BF6C6A">
        <w:t xml:space="preserve">the central nervous system (CNS)) and motor neurons (which send out action signals from the CNS).   The peripheral nervous system is divided into the sensory-somatic nervous system (which controls scent, sight, hearing, taste, facial muscles, swallowing, </w:t>
      </w:r>
      <w:r w:rsidR="005F628A" w:rsidRPr="00BF6C6A">
        <w:t>etc.</w:t>
      </w:r>
      <w:r w:rsidRPr="00BF6C6A">
        <w:t>) and the autonomic nervous system (which controls the heart, lungs, exocrine glands, endocrine glands, and other internal organs, in particular the intestines in an involuntarily manner).</w:t>
      </w:r>
      <w:proofErr w:type="gramStart"/>
      <w:r>
        <w:rPr>
          <w:vertAlign w:val="superscript"/>
        </w:rPr>
        <w:t>10</w:t>
      </w:r>
      <w:r w:rsidRPr="00BF6C6A">
        <w:t xml:space="preserve">  The</w:t>
      </w:r>
      <w:proofErr w:type="gramEnd"/>
      <w:r w:rsidRPr="00BF6C6A">
        <w:t xml:space="preserve"> two types of peripheral nervous system cancers in children are </w:t>
      </w:r>
      <w:proofErr w:type="spellStart"/>
      <w:r w:rsidRPr="00BF6C6A">
        <w:t>neuroblastomas</w:t>
      </w:r>
      <w:proofErr w:type="spellEnd"/>
      <w:r w:rsidRPr="00BF6C6A">
        <w:t xml:space="preserve"> and other peripheral nervous system cancers.  Since 98.8% of the cases were </w:t>
      </w:r>
      <w:proofErr w:type="spellStart"/>
      <w:r w:rsidRPr="00BF6C6A">
        <w:t>neuroblastomas</w:t>
      </w:r>
      <w:proofErr w:type="spellEnd"/>
      <w:r w:rsidRPr="00BF6C6A">
        <w:t xml:space="preserve">, this section will focus on that cancer.  From 2000-2009, </w:t>
      </w:r>
      <w:proofErr w:type="spellStart"/>
      <w:r w:rsidRPr="00BF6C6A">
        <w:t>neuroblastomas</w:t>
      </w:r>
      <w:proofErr w:type="spellEnd"/>
      <w:r w:rsidRPr="00BF6C6A">
        <w:t xml:space="preserve"> accounted for 6.4% of Massachusetts cases </w:t>
      </w:r>
      <w:r>
        <w:t xml:space="preserve">(n=193) </w:t>
      </w:r>
      <w:r w:rsidRPr="00BF6C6A">
        <w:t xml:space="preserve">and 4.5% of US SEER cases (and 98.0% of all US SEER PNS cancers). Figure 24 shows age-adjusted incidence trends for </w:t>
      </w:r>
      <w:proofErr w:type="spellStart"/>
      <w:r w:rsidRPr="00BF6C6A">
        <w:t>neuroblastoma</w:t>
      </w:r>
      <w:proofErr w:type="spellEnd"/>
      <w:r w:rsidRPr="00BF6C6A">
        <w:t xml:space="preserve"> from 2000 to 2009 for Massachusetts and the US, neither of which was statistically significant (Massachusetts APC= -0.7% and US APC=0.1%).  The large drop and rise in the Massachusetts trend line is a reflection of the small number of annual cases (see Appendix</w:t>
      </w:r>
      <w:r>
        <w:t xml:space="preserve"> III</w:t>
      </w:r>
      <w:r w:rsidRPr="00BF6C6A">
        <w:t xml:space="preserve">).  There was no significant difference in </w:t>
      </w:r>
      <w:r>
        <w:t xml:space="preserve">the percentage of </w:t>
      </w:r>
      <w:proofErr w:type="spellStart"/>
      <w:r w:rsidRPr="00BF6C6A">
        <w:t>neuroblastoma</w:t>
      </w:r>
      <w:proofErr w:type="spellEnd"/>
      <w:r w:rsidRPr="00BF6C6A">
        <w:t xml:space="preserve"> </w:t>
      </w:r>
      <w:r>
        <w:t>cases that were</w:t>
      </w:r>
      <w:r w:rsidRPr="00BF6C6A">
        <w:t xml:space="preserve"> male</w:t>
      </w:r>
      <w:r>
        <w:t xml:space="preserve"> compared to </w:t>
      </w:r>
      <w:r w:rsidRPr="00BF6C6A">
        <w:t>female (54.9% vs. 45.1%) and 81.9% of these cases were diagnosed before the age of 5.</w:t>
      </w:r>
      <w:r>
        <w:t xml:space="preserve"> </w:t>
      </w:r>
    </w:p>
    <w:p w:rsidR="004C1E6A" w:rsidRDefault="004C1E6A" w:rsidP="00E83704"/>
    <w:p w:rsidR="004C1E6A" w:rsidRDefault="003F5DC5" w:rsidP="00E83704">
      <w:r>
        <w:rPr>
          <w:noProof/>
        </w:rPr>
        <w:drawing>
          <wp:inline distT="0" distB="0" distL="0" distR="0">
            <wp:extent cx="5734050" cy="3200400"/>
            <wp:effectExtent l="0" t="0" r="0" b="0"/>
            <wp:docPr id="26" name="Objec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C1E6A" w:rsidRPr="00F432B3" w:rsidRDefault="004C1E6A" w:rsidP="00796BFA">
      <w:pPr>
        <w:pStyle w:val="Caption"/>
        <w:rPr>
          <w:b w:val="0"/>
          <w:sz w:val="20"/>
          <w:szCs w:val="20"/>
        </w:rPr>
      </w:pPr>
      <w:r w:rsidRPr="00F432B3">
        <w:rPr>
          <w:b w:val="0"/>
          <w:sz w:val="20"/>
          <w:szCs w:val="20"/>
        </w:rPr>
        <w:t>Sou</w:t>
      </w:r>
      <w:r>
        <w:rPr>
          <w:b w:val="0"/>
          <w:sz w:val="20"/>
          <w:szCs w:val="20"/>
        </w:rPr>
        <w:t>r</w:t>
      </w:r>
      <w:r w:rsidRPr="00F432B3">
        <w:rPr>
          <w:b w:val="0"/>
          <w:sz w:val="20"/>
          <w:szCs w:val="20"/>
        </w:rPr>
        <w:t>ce</w:t>
      </w:r>
      <w:r>
        <w:rPr>
          <w:b w:val="0"/>
          <w:sz w:val="20"/>
          <w:szCs w:val="20"/>
        </w:rPr>
        <w:t>s</w:t>
      </w:r>
      <w:r w:rsidRPr="00F432B3">
        <w:rPr>
          <w:b w:val="0"/>
          <w:sz w:val="20"/>
          <w:szCs w:val="20"/>
        </w:rPr>
        <w:t>: Massachusetts Cancer Registry</w:t>
      </w:r>
      <w:r>
        <w:rPr>
          <w:b w:val="0"/>
          <w:sz w:val="20"/>
          <w:szCs w:val="20"/>
        </w:rPr>
        <w:t xml:space="preserve"> and SEER 18 Registries. * Rates are age-adjusted to the US standard 2000 population for ages 0-19.</w:t>
      </w:r>
    </w:p>
    <w:p w:rsidR="004C1E6A" w:rsidRDefault="004C1E6A" w:rsidP="00E83704"/>
    <w:p w:rsidR="004C1E6A" w:rsidRPr="00B7192C" w:rsidRDefault="004C1E6A" w:rsidP="00496ADA">
      <w:pPr>
        <w:rPr>
          <w:b/>
          <w:u w:val="single"/>
        </w:rPr>
      </w:pPr>
      <w:r w:rsidRPr="00B7192C">
        <w:rPr>
          <w:b/>
          <w:u w:val="single"/>
        </w:rPr>
        <w:t xml:space="preserve">Peripheral </w:t>
      </w:r>
      <w:r>
        <w:rPr>
          <w:b/>
          <w:u w:val="single"/>
        </w:rPr>
        <w:t>Nervous System</w:t>
      </w:r>
      <w:r w:rsidRPr="00B7192C">
        <w:rPr>
          <w:b/>
          <w:u w:val="single"/>
        </w:rPr>
        <w:t xml:space="preserve"> Mortality</w:t>
      </w:r>
      <w:r>
        <w:rPr>
          <w:b/>
          <w:u w:val="single"/>
        </w:rPr>
        <w:t xml:space="preserve"> and Survival</w:t>
      </w:r>
      <w:r w:rsidRPr="00B7192C">
        <w:rPr>
          <w:b/>
          <w:u w:val="single"/>
        </w:rPr>
        <w:t>:</w:t>
      </w:r>
    </w:p>
    <w:p w:rsidR="004C1E6A" w:rsidRDefault="004C1E6A" w:rsidP="00496ADA"/>
    <w:p w:rsidR="004C1E6A" w:rsidRDefault="004C1E6A" w:rsidP="00496ADA">
      <w:r>
        <w:t xml:space="preserve">There were 25 PNS-related deaths among children and adolescents from 2000 to 2009. </w:t>
      </w:r>
    </w:p>
    <w:p w:rsidR="004C1E6A" w:rsidRPr="00E12AF5" w:rsidRDefault="004C1E6A" w:rsidP="00496ADA">
      <w:r>
        <w:t xml:space="preserve">Of the Massachusetts cases diagnosed from 2000 to 2004 diagnosed with </w:t>
      </w:r>
      <w:proofErr w:type="spellStart"/>
      <w:r>
        <w:t>neuroblastoma</w:t>
      </w:r>
      <w:proofErr w:type="spellEnd"/>
      <w:r>
        <w:t>, 75.0% survived at least 5 years post diagnosis compared with 74.6% of US SEER cases.  Over 90% of the Massachusetts deaths listed adrenal gland cancer as the underlying cause of death.</w:t>
      </w:r>
    </w:p>
    <w:p w:rsidR="004C1E6A" w:rsidRPr="00657754" w:rsidRDefault="004C1E6A" w:rsidP="00FA76E2">
      <w:pPr>
        <w:rPr>
          <w:b/>
          <w:caps/>
        </w:rPr>
      </w:pPr>
      <w:r>
        <w:br w:type="page"/>
      </w:r>
      <w:r>
        <w:rPr>
          <w:sz w:val="22"/>
          <w:szCs w:val="22"/>
        </w:rPr>
        <w:lastRenderedPageBreak/>
        <w:t xml:space="preserve"> </w:t>
      </w:r>
      <w:r w:rsidRPr="00657754">
        <w:rPr>
          <w:b/>
          <w:caps/>
          <w:sz w:val="22"/>
          <w:szCs w:val="22"/>
        </w:rPr>
        <w:t>M</w:t>
      </w:r>
      <w:r w:rsidRPr="00657754">
        <w:rPr>
          <w:b/>
          <w:caps/>
        </w:rPr>
        <w:t>alignant Epithelial Tumors</w:t>
      </w:r>
    </w:p>
    <w:p w:rsidR="004C1E6A" w:rsidRPr="00506FCD" w:rsidRDefault="004C1E6A" w:rsidP="00972CE5">
      <w:pPr>
        <w:pStyle w:val="Header"/>
        <w:tabs>
          <w:tab w:val="clear" w:pos="4320"/>
          <w:tab w:val="clear" w:pos="8640"/>
        </w:tabs>
      </w:pPr>
    </w:p>
    <w:p w:rsidR="004C1E6A" w:rsidRDefault="004C1E6A" w:rsidP="00C6285E">
      <w:r w:rsidRPr="00506FCD">
        <w:t xml:space="preserve">Carcinomas are cancers that develop from epithelial cells that form </w:t>
      </w:r>
      <w:r>
        <w:t xml:space="preserve">in </w:t>
      </w:r>
      <w:r w:rsidRPr="00506FCD">
        <w:t>the lining of organs</w:t>
      </w:r>
      <w:r>
        <w:t xml:space="preserve">; these represent many different types of cancer, including organs of the </w:t>
      </w:r>
      <w:r w:rsidRPr="00E12AF5">
        <w:t xml:space="preserve"> respiratory passageways, most organs of the digestive system, kidney tubules, walls of blood vessels, ovaries, urinary tract, </w:t>
      </w:r>
      <w:r>
        <w:t>and others.</w:t>
      </w:r>
      <w:r>
        <w:rPr>
          <w:vertAlign w:val="superscript"/>
        </w:rPr>
        <w:t>11</w:t>
      </w:r>
      <w:r>
        <w:t xml:space="preserve">    Of the epithelial carcinomas, 96.6% were diagnosed after the age of 14.  From 2000-2009, these cancers accounted for 11.1% of Massachusetts cases (n=333) and 9.9% of US SEER cases.   Figure 25 compares age-adjusted incidence trends from 2000 to 2009 for Massachusetts (APC=3.7%, a statistically significant increase) and the US (APC=1.0%, a non-significant increase).</w:t>
      </w:r>
    </w:p>
    <w:p w:rsidR="004C1E6A" w:rsidRDefault="004C1E6A" w:rsidP="00C6285E"/>
    <w:p w:rsidR="004C1E6A" w:rsidRDefault="003F5DC5" w:rsidP="00C6285E">
      <w:r>
        <w:rPr>
          <w:noProof/>
        </w:rPr>
        <w:drawing>
          <wp:inline distT="0" distB="0" distL="0" distR="0">
            <wp:extent cx="5743575" cy="3286125"/>
            <wp:effectExtent l="0" t="0" r="0" b="0"/>
            <wp:docPr id="27" name="Objec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C1E6A" w:rsidRPr="00F432B3" w:rsidRDefault="004C1E6A" w:rsidP="00796BFA">
      <w:pPr>
        <w:pStyle w:val="Caption"/>
        <w:rPr>
          <w:b w:val="0"/>
          <w:sz w:val="20"/>
          <w:szCs w:val="20"/>
        </w:rPr>
      </w:pPr>
      <w:r w:rsidRPr="00F432B3">
        <w:rPr>
          <w:b w:val="0"/>
          <w:sz w:val="20"/>
          <w:szCs w:val="20"/>
        </w:rPr>
        <w:t>Sou</w:t>
      </w:r>
      <w:r>
        <w:rPr>
          <w:b w:val="0"/>
          <w:sz w:val="20"/>
          <w:szCs w:val="20"/>
        </w:rPr>
        <w:t>r</w:t>
      </w:r>
      <w:r w:rsidRPr="00F432B3">
        <w:rPr>
          <w:b w:val="0"/>
          <w:sz w:val="20"/>
          <w:szCs w:val="20"/>
        </w:rPr>
        <w:t>ce</w:t>
      </w:r>
      <w:r>
        <w:rPr>
          <w:b w:val="0"/>
          <w:sz w:val="20"/>
          <w:szCs w:val="20"/>
        </w:rPr>
        <w:t>s</w:t>
      </w:r>
      <w:r w:rsidRPr="00F432B3">
        <w:rPr>
          <w:b w:val="0"/>
          <w:sz w:val="20"/>
          <w:szCs w:val="20"/>
        </w:rPr>
        <w:t>: Massachusetts Cancer Registry</w:t>
      </w:r>
      <w:r>
        <w:rPr>
          <w:b w:val="0"/>
          <w:sz w:val="20"/>
          <w:szCs w:val="20"/>
        </w:rPr>
        <w:t xml:space="preserve"> and SEER 18 Registries. * Rates are age-adjusted to the US standard 2000 population for ages 0-19.</w:t>
      </w:r>
    </w:p>
    <w:p w:rsidR="004C1E6A" w:rsidRPr="00C32C0F" w:rsidRDefault="004C1E6A" w:rsidP="00C6285E"/>
    <w:p w:rsidR="004C1E6A" w:rsidRDefault="004C1E6A" w:rsidP="006C208C">
      <w:pPr>
        <w:rPr>
          <w:b/>
          <w:u w:val="single"/>
        </w:rPr>
      </w:pPr>
      <w:r>
        <w:t xml:space="preserve">There are six types of epithelial tumors usually seen among children and adolescents: </w:t>
      </w:r>
      <w:proofErr w:type="spellStart"/>
      <w:r>
        <w:t>adenocortical</w:t>
      </w:r>
      <w:proofErr w:type="spellEnd"/>
      <w:r>
        <w:t xml:space="preserve"> carcinomas, thyroid cancer, nasopharyngeal carcinoma, melanoma, other skin cancer, and other/unspecified carcinoma.</w:t>
      </w:r>
    </w:p>
    <w:p w:rsidR="004C1E6A" w:rsidRDefault="004C1E6A" w:rsidP="006C208C">
      <w:pPr>
        <w:rPr>
          <w:b/>
          <w:u w:val="single"/>
        </w:rPr>
      </w:pPr>
    </w:p>
    <w:p w:rsidR="004C1E6A" w:rsidRDefault="004C1E6A" w:rsidP="006C208C">
      <w:r w:rsidRPr="00456A39">
        <w:rPr>
          <w:b/>
          <w:u w:val="single"/>
        </w:rPr>
        <w:t>Adrenocortical carcinoma</w:t>
      </w:r>
      <w:r>
        <w:t xml:space="preserve"> is a very rare pediatric tumor that arises from the adrenal gland.  This cancer represented 1.2% of malignant epithelial tumors diagnosed in the US and less than 0.5% diagnosed in Massachusetts from 2000-2009 (n &lt; 5).</w:t>
      </w:r>
    </w:p>
    <w:p w:rsidR="004C1E6A" w:rsidRDefault="004C1E6A" w:rsidP="00CD3BB2">
      <w:pPr>
        <w:ind w:left="720"/>
      </w:pPr>
    </w:p>
    <w:p w:rsidR="004C1E6A" w:rsidRPr="0051527B" w:rsidRDefault="004C1E6A" w:rsidP="004121E3">
      <w:r w:rsidRPr="00456A39">
        <w:rPr>
          <w:b/>
          <w:u w:val="single"/>
        </w:rPr>
        <w:t>Thyroid cancer</w:t>
      </w:r>
      <w:r w:rsidRPr="0051527B">
        <w:rPr>
          <w:b/>
        </w:rPr>
        <w:t xml:space="preserve"> </w:t>
      </w:r>
      <w:r w:rsidRPr="0051527B">
        <w:t>is a carcinoma that develops in the thyroid gland.  There were 146 cases diagnosed from 2000-2009, representing 4</w:t>
      </w:r>
      <w:r>
        <w:t>3.8</w:t>
      </w:r>
      <w:r w:rsidRPr="0051527B">
        <w:t>% of M</w:t>
      </w:r>
      <w:r>
        <w:t>assachusetts</w:t>
      </w:r>
      <w:r w:rsidRPr="0051527B">
        <w:t xml:space="preserve"> epithelial tumors, compared with 36.9% of </w:t>
      </w:r>
      <w:r>
        <w:t>US</w:t>
      </w:r>
      <w:r w:rsidRPr="0051527B">
        <w:t xml:space="preserve"> cases.</w:t>
      </w:r>
      <w:r>
        <w:t xml:space="preserve">  The incidence rates increased significantly in Massachusetts (APC=8.0%) and significantly in the US (APC=4.5%) (Figure 26).  This increase is mirrored in the adult population as well, with significant increases in incidence for both males and female in Massachusetts and the US.</w:t>
      </w:r>
      <w:r>
        <w:rPr>
          <w:vertAlign w:val="superscript"/>
        </w:rPr>
        <w:t>12</w:t>
      </w:r>
      <w:r>
        <w:t xml:space="preserve">  Significantly more thyroid cases were female compared to </w:t>
      </w:r>
      <w:r>
        <w:lastRenderedPageBreak/>
        <w:t>male (76.7% vs. 23.3%).  The majority of thyroid cases occurred in the 15-19 age-group (80.8%) followed by the 10-14 age-group (16.4%).</w:t>
      </w:r>
    </w:p>
    <w:p w:rsidR="004C1E6A" w:rsidRDefault="004C1E6A" w:rsidP="006C208C"/>
    <w:p w:rsidR="004C1E6A" w:rsidRDefault="004C1E6A" w:rsidP="00D429BD">
      <w:pPr>
        <w:pStyle w:val="Header"/>
        <w:tabs>
          <w:tab w:val="clear" w:pos="4320"/>
          <w:tab w:val="clear" w:pos="8640"/>
        </w:tabs>
      </w:pPr>
    </w:p>
    <w:p w:rsidR="004C1E6A" w:rsidRPr="004928A6" w:rsidRDefault="003F5DC5" w:rsidP="004928A6">
      <w:pPr>
        <w:rPr>
          <w:sz w:val="20"/>
          <w:szCs w:val="20"/>
        </w:rPr>
      </w:pPr>
      <w:r>
        <w:rPr>
          <w:noProof/>
        </w:rPr>
        <w:drawing>
          <wp:inline distT="0" distB="0" distL="0" distR="0">
            <wp:extent cx="5857875" cy="3028950"/>
            <wp:effectExtent l="0" t="0" r="0" b="0"/>
            <wp:docPr id="28" name="Objec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4C1E6A" w:rsidRPr="004928A6">
        <w:rPr>
          <w:sz w:val="20"/>
          <w:szCs w:val="20"/>
        </w:rPr>
        <w:t>Sources: Massachusetts Cancer Registry and SEER 18 Registr</w:t>
      </w:r>
      <w:r w:rsidR="00161B87">
        <w:rPr>
          <w:sz w:val="20"/>
          <w:szCs w:val="20"/>
        </w:rPr>
        <w:t>ies</w:t>
      </w:r>
      <w:r w:rsidR="004C1E6A" w:rsidRPr="004928A6">
        <w:rPr>
          <w:sz w:val="20"/>
          <w:szCs w:val="20"/>
        </w:rPr>
        <w:t>. * Rates are age-adjusted to the US standard 2000 population for ages 0-19.</w:t>
      </w:r>
    </w:p>
    <w:p w:rsidR="004C1E6A" w:rsidRDefault="004C1E6A" w:rsidP="006B1268">
      <w:pPr>
        <w:ind w:left="720"/>
      </w:pPr>
    </w:p>
    <w:p w:rsidR="004C1E6A" w:rsidRDefault="004C1E6A" w:rsidP="006C208C">
      <w:r w:rsidRPr="004F60F7">
        <w:rPr>
          <w:b/>
        </w:rPr>
        <w:t>Nasopharyngeal carcinoma</w:t>
      </w:r>
      <w:r>
        <w:t xml:space="preserve"> is a carcinoma that affects the nose and pharynx and is also extremely rare, representing 3.0% of US childhood and adolescent epithelial tumor cases and 2.4% of MA cases (n=8).</w:t>
      </w:r>
    </w:p>
    <w:p w:rsidR="004C1E6A" w:rsidRDefault="004C1E6A" w:rsidP="00CD3BB2">
      <w:pPr>
        <w:ind w:left="720"/>
      </w:pPr>
      <w:r>
        <w:t xml:space="preserve">  </w:t>
      </w:r>
    </w:p>
    <w:p w:rsidR="004C1E6A" w:rsidRDefault="004C1E6A" w:rsidP="007F0112">
      <w:r w:rsidRPr="0051527B">
        <w:rPr>
          <w:b/>
        </w:rPr>
        <w:t xml:space="preserve">Melanoma </w:t>
      </w:r>
      <w:r w:rsidRPr="0051527B">
        <w:t xml:space="preserve">is a carcinoma that </w:t>
      </w:r>
      <w:r>
        <w:t xml:space="preserve">almost always </w:t>
      </w:r>
      <w:r w:rsidRPr="0051527B">
        <w:t>develops in the skin</w:t>
      </w:r>
      <w:r>
        <w:t>, with rare cases developing in the eye or mouth</w:t>
      </w:r>
      <w:r w:rsidRPr="0051527B">
        <w:t xml:space="preserve">.  </w:t>
      </w:r>
      <w:r>
        <w:t>It is caused by changes in cells called melanocytes, which produce a skin pigment called melanin.</w:t>
      </w:r>
      <w:r w:rsidRPr="00910C39">
        <w:rPr>
          <w:vertAlign w:val="superscript"/>
        </w:rPr>
        <w:t>1</w:t>
      </w:r>
      <w:r>
        <w:rPr>
          <w:vertAlign w:val="superscript"/>
        </w:rPr>
        <w:t>3</w:t>
      </w:r>
      <w:r>
        <w:t xml:space="preserve">  </w:t>
      </w:r>
      <w:r w:rsidRPr="0051527B">
        <w:t>There were 107 cases reported from 2000-2009, representing 32</w:t>
      </w:r>
      <w:r>
        <w:t>.1</w:t>
      </w:r>
      <w:r w:rsidRPr="0051527B">
        <w:t>% of M</w:t>
      </w:r>
      <w:r>
        <w:t>assachusetts</w:t>
      </w:r>
      <w:r w:rsidRPr="0051527B">
        <w:t xml:space="preserve"> epithelial tumors</w:t>
      </w:r>
      <w:r>
        <w:t>, compared with 33.1</w:t>
      </w:r>
      <w:r w:rsidRPr="0051527B">
        <w:t xml:space="preserve">% of </w:t>
      </w:r>
      <w:r>
        <w:t>US</w:t>
      </w:r>
      <w:r w:rsidRPr="0051527B">
        <w:t xml:space="preserve"> cases.</w:t>
      </w:r>
      <w:r>
        <w:t xml:space="preserve">  The incidence rates increased non-significantly in Massachusetts (APC=4.3%) and decreased significantly in the US (APC=-3.7%) (Figure 27).  The majority of melanoma cases occurred in the 15-19 age-group (77.6%) and the 10-14 age-group (17.8%).  There was no significant difference in the percentage of male and female cases (42.1% vs. 57.9%).</w:t>
      </w:r>
    </w:p>
    <w:p w:rsidR="004C1E6A" w:rsidRDefault="004C1E6A" w:rsidP="007F0112"/>
    <w:p w:rsidR="004C1E6A" w:rsidRDefault="003F5DC5" w:rsidP="00454947">
      <w:r>
        <w:rPr>
          <w:noProof/>
        </w:rPr>
        <w:lastRenderedPageBreak/>
        <w:drawing>
          <wp:inline distT="0" distB="0" distL="0" distR="0">
            <wp:extent cx="5838825" cy="3048000"/>
            <wp:effectExtent l="0" t="0" r="0" b="0"/>
            <wp:docPr id="29" name="Objec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C1E6A" w:rsidRPr="00F432B3" w:rsidRDefault="004C1E6A" w:rsidP="00796BFA">
      <w:pPr>
        <w:pStyle w:val="Caption"/>
        <w:rPr>
          <w:b w:val="0"/>
          <w:sz w:val="20"/>
          <w:szCs w:val="20"/>
        </w:rPr>
      </w:pPr>
      <w:r w:rsidRPr="00F432B3">
        <w:rPr>
          <w:b w:val="0"/>
          <w:sz w:val="20"/>
          <w:szCs w:val="20"/>
        </w:rPr>
        <w:t>Sou</w:t>
      </w:r>
      <w:r>
        <w:rPr>
          <w:b w:val="0"/>
          <w:sz w:val="20"/>
          <w:szCs w:val="20"/>
        </w:rPr>
        <w:t>r</w:t>
      </w:r>
      <w:r w:rsidRPr="00F432B3">
        <w:rPr>
          <w:b w:val="0"/>
          <w:sz w:val="20"/>
          <w:szCs w:val="20"/>
        </w:rPr>
        <w:t>ce</w:t>
      </w:r>
      <w:r>
        <w:rPr>
          <w:b w:val="0"/>
          <w:sz w:val="20"/>
          <w:szCs w:val="20"/>
        </w:rPr>
        <w:t>s</w:t>
      </w:r>
      <w:r w:rsidRPr="00F432B3">
        <w:rPr>
          <w:b w:val="0"/>
          <w:sz w:val="20"/>
          <w:szCs w:val="20"/>
        </w:rPr>
        <w:t>: Massachusetts Cancer Registry</w:t>
      </w:r>
      <w:r>
        <w:rPr>
          <w:b w:val="0"/>
          <w:sz w:val="20"/>
          <w:szCs w:val="20"/>
        </w:rPr>
        <w:t xml:space="preserve"> and SEER 18 Registries. * Rates are age-adjusted to the US standard 2000 population for ages 0-19.</w:t>
      </w:r>
    </w:p>
    <w:p w:rsidR="004C1E6A" w:rsidRDefault="004C1E6A" w:rsidP="006C208C">
      <w:pPr>
        <w:rPr>
          <w:b/>
        </w:rPr>
      </w:pPr>
    </w:p>
    <w:p w:rsidR="004C1E6A" w:rsidRDefault="004C1E6A" w:rsidP="006C208C">
      <w:r w:rsidRPr="0073753A">
        <w:rPr>
          <w:b/>
        </w:rPr>
        <w:t>Skin carcinoma</w:t>
      </w:r>
      <w:r w:rsidRPr="0073753A">
        <w:t xml:space="preserve"> is a carcinoma of the skin that is not histologically a melanoma</w:t>
      </w:r>
      <w:r>
        <w:t xml:space="preserve"> nor basal or squamous cell carcinomas</w:t>
      </w:r>
      <w:r w:rsidRPr="0073753A">
        <w:t xml:space="preserve">.  </w:t>
      </w:r>
      <w:r>
        <w:t>These cases represented less than 1% of US epithelial carcinomas and MA carcinomas among children and adolescents (n &lt; 5).</w:t>
      </w:r>
    </w:p>
    <w:p w:rsidR="004C1E6A" w:rsidRDefault="004C1E6A" w:rsidP="006B1268">
      <w:pPr>
        <w:ind w:left="720"/>
      </w:pPr>
    </w:p>
    <w:p w:rsidR="004C1E6A" w:rsidRDefault="004C1E6A" w:rsidP="006C208C">
      <w:r w:rsidRPr="00617B6F">
        <w:rPr>
          <w:b/>
        </w:rPr>
        <w:t>O</w:t>
      </w:r>
      <w:r w:rsidRPr="0073753A">
        <w:rPr>
          <w:b/>
        </w:rPr>
        <w:t>ther/unspecified carcinomas</w:t>
      </w:r>
      <w:r>
        <w:t xml:space="preserve"> are carcinomas from other sites or an unknown site.  They accounted for 22.7% of US and 20.7% of MA epithelial tumors (n=69).</w:t>
      </w:r>
    </w:p>
    <w:p w:rsidR="004C1E6A" w:rsidRDefault="004C1E6A" w:rsidP="006B1268">
      <w:pPr>
        <w:ind w:left="720"/>
      </w:pPr>
    </w:p>
    <w:p w:rsidR="004C1E6A" w:rsidRDefault="004C1E6A" w:rsidP="006B1268">
      <w:pPr>
        <w:ind w:left="720"/>
      </w:pPr>
    </w:p>
    <w:p w:rsidR="004C1E6A" w:rsidRPr="001E6032" w:rsidRDefault="004C1E6A" w:rsidP="0073753A">
      <w:pPr>
        <w:rPr>
          <w:b/>
          <w:u w:val="single"/>
        </w:rPr>
      </w:pPr>
      <w:r w:rsidRPr="001E6032">
        <w:rPr>
          <w:b/>
          <w:u w:val="single"/>
        </w:rPr>
        <w:t>Malignant Epithelial Tumor Mortality</w:t>
      </w:r>
      <w:r>
        <w:rPr>
          <w:b/>
          <w:u w:val="single"/>
        </w:rPr>
        <w:t xml:space="preserve"> and Survival</w:t>
      </w:r>
      <w:r w:rsidRPr="001E6032">
        <w:rPr>
          <w:b/>
          <w:u w:val="single"/>
        </w:rPr>
        <w:t>:</w:t>
      </w:r>
    </w:p>
    <w:p w:rsidR="004C1E6A" w:rsidRPr="00BC58B9" w:rsidRDefault="004C1E6A" w:rsidP="0073753A"/>
    <w:p w:rsidR="004C1E6A" w:rsidRPr="00BC58B9" w:rsidRDefault="004C1E6A" w:rsidP="0073753A">
      <w:r w:rsidRPr="00BC58B9">
        <w:t xml:space="preserve">There were fewer than 5 melanoma deaths and no thyroid cancer deaths among </w:t>
      </w:r>
      <w:r>
        <w:t xml:space="preserve">Massachusetts </w:t>
      </w:r>
      <w:r w:rsidRPr="00BC58B9">
        <w:t xml:space="preserve">children and adolescents from 2000 to 2009. </w:t>
      </w:r>
      <w:r>
        <w:t xml:space="preserve">  In addition to these, there were a total of 12 deaths related to the oral cavity, digestive tract, or respiratory tract organs.  As a result of the small incidence numbers for the other epithelial cancers from 2000 to 2004, only melanoma and thyroid cancer cause-specific survival analyses were done for Massachusetts cases.</w:t>
      </w:r>
    </w:p>
    <w:p w:rsidR="004C1E6A" w:rsidRPr="0073753A" w:rsidRDefault="004C1E6A" w:rsidP="0073753A">
      <w:pPr>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3144"/>
        <w:gridCol w:w="3144"/>
      </w:tblGrid>
      <w:tr w:rsidR="004C1E6A" w:rsidRPr="00F775DA" w:rsidTr="00F775DA">
        <w:trPr>
          <w:jc w:val="center"/>
        </w:trPr>
        <w:tc>
          <w:tcPr>
            <w:tcW w:w="3144" w:type="dxa"/>
          </w:tcPr>
          <w:p w:rsidR="004C1E6A" w:rsidRPr="00F775DA" w:rsidRDefault="004C1E6A" w:rsidP="00A34944">
            <w:pPr>
              <w:rPr>
                <w:b/>
              </w:rPr>
            </w:pPr>
            <w:r w:rsidRPr="00F775DA">
              <w:rPr>
                <w:b/>
              </w:rPr>
              <w:t>Childhood Cancer</w:t>
            </w:r>
          </w:p>
        </w:tc>
        <w:tc>
          <w:tcPr>
            <w:tcW w:w="3144" w:type="dxa"/>
          </w:tcPr>
          <w:p w:rsidR="004C1E6A" w:rsidRPr="00F775DA" w:rsidRDefault="004C1E6A" w:rsidP="00F67A75">
            <w:pPr>
              <w:jc w:val="center"/>
              <w:rPr>
                <w:b/>
              </w:rPr>
            </w:pPr>
            <w:r w:rsidRPr="00F775DA">
              <w:rPr>
                <w:b/>
              </w:rPr>
              <w:t>MA 5</w:t>
            </w:r>
            <w:r>
              <w:rPr>
                <w:b/>
              </w:rPr>
              <w:t>-</w:t>
            </w:r>
            <w:r w:rsidRPr="00F775DA">
              <w:rPr>
                <w:b/>
              </w:rPr>
              <w:t>Year Survival</w:t>
            </w:r>
          </w:p>
        </w:tc>
        <w:tc>
          <w:tcPr>
            <w:tcW w:w="3144" w:type="dxa"/>
          </w:tcPr>
          <w:p w:rsidR="004C1E6A" w:rsidRPr="00F775DA" w:rsidRDefault="004C1E6A" w:rsidP="00F67A75">
            <w:pPr>
              <w:jc w:val="center"/>
              <w:rPr>
                <w:b/>
              </w:rPr>
            </w:pPr>
            <w:r w:rsidRPr="00F775DA">
              <w:rPr>
                <w:b/>
              </w:rPr>
              <w:t>US SEER 5</w:t>
            </w:r>
            <w:r>
              <w:rPr>
                <w:b/>
              </w:rPr>
              <w:t>-</w:t>
            </w:r>
            <w:r w:rsidRPr="00F775DA">
              <w:rPr>
                <w:b/>
              </w:rPr>
              <w:t>Year Survival</w:t>
            </w:r>
          </w:p>
        </w:tc>
      </w:tr>
      <w:tr w:rsidR="004C1E6A" w:rsidRPr="00F775DA" w:rsidTr="00F775DA">
        <w:trPr>
          <w:jc w:val="center"/>
        </w:trPr>
        <w:tc>
          <w:tcPr>
            <w:tcW w:w="3144" w:type="dxa"/>
          </w:tcPr>
          <w:p w:rsidR="004C1E6A" w:rsidRPr="008C286C" w:rsidRDefault="004C1E6A" w:rsidP="00A34944">
            <w:r>
              <w:t>Thyroid Cancer (n=53)</w:t>
            </w:r>
          </w:p>
        </w:tc>
        <w:tc>
          <w:tcPr>
            <w:tcW w:w="3144" w:type="dxa"/>
          </w:tcPr>
          <w:p w:rsidR="004C1E6A" w:rsidRDefault="004C1E6A" w:rsidP="00F775DA">
            <w:pPr>
              <w:jc w:val="center"/>
            </w:pPr>
            <w:r>
              <w:t>100%</w:t>
            </w:r>
          </w:p>
        </w:tc>
        <w:tc>
          <w:tcPr>
            <w:tcW w:w="3144" w:type="dxa"/>
          </w:tcPr>
          <w:p w:rsidR="004C1E6A" w:rsidRPr="008C286C" w:rsidRDefault="004C1E6A" w:rsidP="00F775DA">
            <w:pPr>
              <w:jc w:val="center"/>
            </w:pPr>
            <w:r>
              <w:t>99.4%</w:t>
            </w:r>
          </w:p>
        </w:tc>
      </w:tr>
      <w:tr w:rsidR="004C1E6A" w:rsidRPr="00F775DA" w:rsidTr="00F775DA">
        <w:trPr>
          <w:jc w:val="center"/>
        </w:trPr>
        <w:tc>
          <w:tcPr>
            <w:tcW w:w="3144" w:type="dxa"/>
          </w:tcPr>
          <w:p w:rsidR="004C1E6A" w:rsidRPr="008C286C" w:rsidRDefault="004C1E6A" w:rsidP="00A34944">
            <w:r>
              <w:t>Melanoma (n=49)</w:t>
            </w:r>
          </w:p>
        </w:tc>
        <w:tc>
          <w:tcPr>
            <w:tcW w:w="3144" w:type="dxa"/>
          </w:tcPr>
          <w:p w:rsidR="004C1E6A" w:rsidRDefault="004C1E6A" w:rsidP="00F775DA">
            <w:pPr>
              <w:jc w:val="center"/>
            </w:pPr>
            <w:r>
              <w:t>93.8%</w:t>
            </w:r>
          </w:p>
        </w:tc>
        <w:tc>
          <w:tcPr>
            <w:tcW w:w="3144" w:type="dxa"/>
          </w:tcPr>
          <w:p w:rsidR="004C1E6A" w:rsidRPr="008C286C" w:rsidRDefault="004C1E6A" w:rsidP="00F775DA">
            <w:pPr>
              <w:jc w:val="center"/>
            </w:pPr>
            <w:r>
              <w:t>96.3%</w:t>
            </w:r>
          </w:p>
        </w:tc>
      </w:tr>
    </w:tbl>
    <w:p w:rsidR="004C1E6A" w:rsidRPr="00E12AF5" w:rsidRDefault="004C1E6A" w:rsidP="00C6285E"/>
    <w:p w:rsidR="004C1E6A" w:rsidRPr="00657754" w:rsidRDefault="004C1E6A" w:rsidP="009E32B4">
      <w:pPr>
        <w:rPr>
          <w:b/>
          <w:caps/>
        </w:rPr>
      </w:pPr>
      <w:r>
        <w:br w:type="page"/>
      </w:r>
      <w:r w:rsidRPr="00657754">
        <w:rPr>
          <w:b/>
          <w:caps/>
        </w:rPr>
        <w:lastRenderedPageBreak/>
        <w:t>Soft Tissue Sarcomas</w:t>
      </w:r>
    </w:p>
    <w:p w:rsidR="004C1E6A" w:rsidRPr="00F2653D" w:rsidRDefault="004C1E6A" w:rsidP="009E32B4"/>
    <w:p w:rsidR="004C1E6A" w:rsidRDefault="004C1E6A" w:rsidP="00C6285E">
      <w:r w:rsidRPr="00F2653D">
        <w:t xml:space="preserve">Soft tissue sarcomas are cancers that develop in the supporting tissues such as muscle, fat, and blood vessels.  </w:t>
      </w:r>
      <w:r>
        <w:t xml:space="preserve">From 2000-2009, this cancer accounted for 7.1% of MA childhood and adolescent cancer cases (n=212) and 7.3% of US cases.   During this period, the incidence rate increased non-significantly in Massachusetts </w:t>
      </w:r>
      <w:r w:rsidRPr="00EE6A66">
        <w:t>(APC</w:t>
      </w:r>
      <w:r>
        <w:t>=</w:t>
      </w:r>
      <w:r w:rsidRPr="00EE6A66">
        <w:t xml:space="preserve"> </w:t>
      </w:r>
      <w:r>
        <w:t>0.9%</w:t>
      </w:r>
      <w:r w:rsidRPr="00EE6A66">
        <w:t>)</w:t>
      </w:r>
      <w:r>
        <w:t xml:space="preserve"> and in the US SEER Registries (APC=0.4%) (Figure 28).</w:t>
      </w:r>
    </w:p>
    <w:p w:rsidR="004C1E6A" w:rsidRDefault="004C1E6A" w:rsidP="00C6285E"/>
    <w:p w:rsidR="004C1E6A" w:rsidRDefault="003F5DC5" w:rsidP="00C6285E">
      <w:r>
        <w:rPr>
          <w:noProof/>
        </w:rPr>
        <w:drawing>
          <wp:inline distT="0" distB="0" distL="0" distR="0">
            <wp:extent cx="5819775" cy="3276600"/>
            <wp:effectExtent l="0" t="0" r="0" b="0"/>
            <wp:docPr id="30" name="Objec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C1E6A" w:rsidRPr="00F432B3" w:rsidRDefault="004C1E6A" w:rsidP="00796BFA">
      <w:pPr>
        <w:pStyle w:val="Caption"/>
        <w:rPr>
          <w:b w:val="0"/>
          <w:sz w:val="20"/>
          <w:szCs w:val="20"/>
        </w:rPr>
      </w:pPr>
      <w:r w:rsidRPr="00F432B3">
        <w:rPr>
          <w:b w:val="0"/>
          <w:sz w:val="20"/>
          <w:szCs w:val="20"/>
        </w:rPr>
        <w:t>Sou</w:t>
      </w:r>
      <w:r>
        <w:rPr>
          <w:b w:val="0"/>
          <w:sz w:val="20"/>
          <w:szCs w:val="20"/>
        </w:rPr>
        <w:t>r</w:t>
      </w:r>
      <w:r w:rsidRPr="00F432B3">
        <w:rPr>
          <w:b w:val="0"/>
          <w:sz w:val="20"/>
          <w:szCs w:val="20"/>
        </w:rPr>
        <w:t>ce</w:t>
      </w:r>
      <w:r>
        <w:rPr>
          <w:b w:val="0"/>
          <w:sz w:val="20"/>
          <w:szCs w:val="20"/>
        </w:rPr>
        <w:t>s</w:t>
      </w:r>
      <w:r w:rsidRPr="00F432B3">
        <w:rPr>
          <w:b w:val="0"/>
          <w:sz w:val="20"/>
          <w:szCs w:val="20"/>
        </w:rPr>
        <w:t>: Massachusetts Cancer Registry</w:t>
      </w:r>
      <w:r>
        <w:rPr>
          <w:b w:val="0"/>
          <w:sz w:val="20"/>
          <w:szCs w:val="20"/>
        </w:rPr>
        <w:t xml:space="preserve"> and SEER 18 Registries. * Rates are age-adjusted to the US standard 2000 population for ages 0-19.</w:t>
      </w:r>
    </w:p>
    <w:p w:rsidR="004C1E6A" w:rsidRPr="00C32C0F" w:rsidRDefault="004C1E6A" w:rsidP="00C32C0F">
      <w:pPr>
        <w:pStyle w:val="BodyText2"/>
      </w:pPr>
    </w:p>
    <w:p w:rsidR="004C1E6A" w:rsidRDefault="004C1E6A" w:rsidP="00C6285E"/>
    <w:p w:rsidR="004C1E6A" w:rsidRDefault="004C1E6A" w:rsidP="00C6285E">
      <w:r>
        <w:t>There are 4 types of soft tissue sarcomas in children and adolescents.  There were too few cases of any of these subtypes to do any trend analysis.</w:t>
      </w:r>
    </w:p>
    <w:p w:rsidR="004C1E6A" w:rsidRDefault="004C1E6A" w:rsidP="00C6285E"/>
    <w:p w:rsidR="004C1E6A" w:rsidRDefault="004C1E6A" w:rsidP="006C208C">
      <w:pPr>
        <w:pStyle w:val="BodyTextIndent2"/>
        <w:autoSpaceDE/>
        <w:autoSpaceDN/>
        <w:adjustRightInd/>
        <w:ind w:left="0"/>
      </w:pPr>
      <w:proofErr w:type="spellStart"/>
      <w:r w:rsidRPr="00D3331A">
        <w:rPr>
          <w:b/>
          <w:u w:val="single"/>
        </w:rPr>
        <w:t>Rhabdomyosarcoma</w:t>
      </w:r>
      <w:proofErr w:type="spellEnd"/>
      <w:r>
        <w:t xml:space="preserve"> is an aggressive soft tissue tumor that can arise anywhere in the body.</w:t>
      </w:r>
      <w:r>
        <w:rPr>
          <w:vertAlign w:val="superscript"/>
        </w:rPr>
        <w:t>14</w:t>
      </w:r>
      <w:r>
        <w:t xml:space="preserve">  There were 73 cases diagnosed from 2000-2009. </w:t>
      </w:r>
      <w:proofErr w:type="spellStart"/>
      <w:r>
        <w:t>Rhabdomyosarcoma</w:t>
      </w:r>
      <w:proofErr w:type="spellEnd"/>
      <w:r>
        <w:t xml:space="preserve"> was most commonly diagnosed in the youngest and oldest age groups, with 42.5% of the cases diagnosed before the age of five and 24.7% diagnosed between 15 and 19 years.  A significantly larger number of these cases were male compared to female (61.6% vs. 38.4%).  This subtype accounted for 34.4% of soft tissue cancers diagnosed among children and adolescents in Massachusetts compared with 39.2% diagnosed in the US SEER Registries.</w:t>
      </w:r>
    </w:p>
    <w:p w:rsidR="004C1E6A" w:rsidRDefault="004C1E6A" w:rsidP="004507BD">
      <w:pPr>
        <w:pStyle w:val="BodyTextIndent2"/>
        <w:autoSpaceDE/>
        <w:autoSpaceDN/>
        <w:adjustRightInd/>
      </w:pPr>
    </w:p>
    <w:p w:rsidR="004C1E6A" w:rsidRDefault="004C1E6A" w:rsidP="006C208C">
      <w:proofErr w:type="spellStart"/>
      <w:r w:rsidRPr="00D3331A">
        <w:rPr>
          <w:b/>
          <w:u w:val="single"/>
        </w:rPr>
        <w:t>Fibrosarcoma</w:t>
      </w:r>
      <w:proofErr w:type="spellEnd"/>
      <w:r>
        <w:t xml:space="preserve"> is a malignant tumor that originates in the connective tissue found at the ends of bones of the arms or legs and spreads to other surrounding tissue.  There are two types of this cancer – infantile, which affects children under the age of one and adult, which can occur in older children and adolescents.</w:t>
      </w:r>
      <w:r w:rsidRPr="00D429BD">
        <w:rPr>
          <w:vertAlign w:val="superscript"/>
        </w:rPr>
        <w:t>1</w:t>
      </w:r>
      <w:r>
        <w:rPr>
          <w:vertAlign w:val="superscript"/>
        </w:rPr>
        <w:t>5</w:t>
      </w:r>
      <w:r>
        <w:t xml:space="preserve"> There were 21 cases diagnosed from 2000-2009, accounting for 9.9% of Massachusetts childhood and adolescent soft issue sarcomas.  In the US SEER Registries, </w:t>
      </w:r>
      <w:proofErr w:type="spellStart"/>
      <w:r>
        <w:t>fibrosarcoma</w:t>
      </w:r>
      <w:proofErr w:type="spellEnd"/>
      <w:r>
        <w:t xml:space="preserve"> cases accounted for 11.3% of soft tissue sarcomas.  </w:t>
      </w:r>
      <w:proofErr w:type="spellStart"/>
      <w:r>
        <w:t>Fibrosarcoma</w:t>
      </w:r>
      <w:proofErr w:type="spellEnd"/>
      <w:r>
        <w:t xml:space="preserve"> was </w:t>
      </w:r>
      <w:r>
        <w:lastRenderedPageBreak/>
        <w:t xml:space="preserve">most commonly diagnosed in the 15-19 age group, accounting for 61.9% of all child and adolescent </w:t>
      </w:r>
      <w:proofErr w:type="spellStart"/>
      <w:r>
        <w:t>fibrosarcoma</w:t>
      </w:r>
      <w:proofErr w:type="spellEnd"/>
      <w:r>
        <w:t xml:space="preserve"> cases. </w:t>
      </w:r>
    </w:p>
    <w:p w:rsidR="004C1E6A" w:rsidRDefault="004C1E6A" w:rsidP="009078A6">
      <w:pPr>
        <w:ind w:left="720"/>
      </w:pPr>
    </w:p>
    <w:p w:rsidR="004C1E6A" w:rsidRDefault="004C1E6A" w:rsidP="006C208C">
      <w:r w:rsidRPr="006C208C">
        <w:rPr>
          <w:b/>
        </w:rPr>
        <w:t>Kaposi’s sarcoma</w:t>
      </w:r>
      <w:r>
        <w:t xml:space="preserve"> (KS) </w:t>
      </w:r>
      <w:r w:rsidRPr="004507BD">
        <w:t>is a cancer that develops from the cells that line lymph or blood vessels. The abnormal cells of KS form purple, red, or brown blotches or tumors on the skin</w:t>
      </w:r>
      <w:r>
        <w:t>.</w:t>
      </w:r>
      <w:r w:rsidRPr="009833B3">
        <w:rPr>
          <w:vertAlign w:val="superscript"/>
        </w:rPr>
        <w:t>1</w:t>
      </w:r>
      <w:r>
        <w:rPr>
          <w:vertAlign w:val="superscript"/>
        </w:rPr>
        <w:t>6</w:t>
      </w:r>
      <w:r>
        <w:t xml:space="preserve"> This cancer represented less than 1% of US SEER and Massachusetts soft tissue cases (n &lt;5).</w:t>
      </w:r>
    </w:p>
    <w:p w:rsidR="004C1E6A" w:rsidRPr="004507BD" w:rsidRDefault="004C1E6A" w:rsidP="006C208C"/>
    <w:p w:rsidR="004C1E6A" w:rsidRDefault="004C1E6A" w:rsidP="001E6032">
      <w:r w:rsidRPr="006C208C">
        <w:rPr>
          <w:b/>
        </w:rPr>
        <w:t>Other soft tissue sarcoma</w:t>
      </w:r>
      <w:r>
        <w:t>s</w:t>
      </w:r>
      <w:r w:rsidRPr="00A51544">
        <w:t xml:space="preserve"> </w:t>
      </w:r>
      <w:r>
        <w:t xml:space="preserve">includes sarcomas arising from other or unknown sites and accounted for 55.2% of soft tissue cancers diagnosed in Massachusetts (n=117) and 40.5% diagnosed in the US from 2000-2009.  They were most commonly diagnosed in the older age groups, with 18.0%, 20.5%, and 53.0% reported in the 5-9, 10-14, and 15-19 age groups, respectively.  </w:t>
      </w:r>
    </w:p>
    <w:p w:rsidR="004C1E6A" w:rsidRDefault="004C1E6A" w:rsidP="006C208C"/>
    <w:p w:rsidR="004C1E6A" w:rsidRDefault="004C1E6A" w:rsidP="004507BD">
      <w:pPr>
        <w:pStyle w:val="Header"/>
        <w:tabs>
          <w:tab w:val="clear" w:pos="4320"/>
          <w:tab w:val="clear" w:pos="8640"/>
        </w:tabs>
      </w:pPr>
    </w:p>
    <w:p w:rsidR="004C1E6A" w:rsidRPr="001E6032" w:rsidRDefault="004C1E6A" w:rsidP="00791623">
      <w:pPr>
        <w:rPr>
          <w:b/>
          <w:u w:val="single"/>
        </w:rPr>
      </w:pPr>
      <w:r>
        <w:rPr>
          <w:b/>
          <w:u w:val="single"/>
        </w:rPr>
        <w:t>Soft Tissue Sarcoma</w:t>
      </w:r>
      <w:r w:rsidRPr="001E6032">
        <w:rPr>
          <w:b/>
          <w:u w:val="single"/>
        </w:rPr>
        <w:t xml:space="preserve"> Mortality:</w:t>
      </w:r>
    </w:p>
    <w:p w:rsidR="004C1E6A" w:rsidRPr="00BC58B9" w:rsidRDefault="004C1E6A" w:rsidP="00791623"/>
    <w:p w:rsidR="004C1E6A" w:rsidRPr="00BC58B9" w:rsidRDefault="004C1E6A" w:rsidP="00791623">
      <w:r>
        <w:t>In Massachusetts, t</w:t>
      </w:r>
      <w:r w:rsidRPr="00BC58B9">
        <w:t xml:space="preserve">here were </w:t>
      </w:r>
      <w:r>
        <w:t xml:space="preserve">30 soft tissue sarcoma deaths from 2000-2009.  The five year cause-specific cumulative survival percentages for </w:t>
      </w:r>
      <w:proofErr w:type="spellStart"/>
      <w:r>
        <w:t>rhabdomyosarcoma</w:t>
      </w:r>
      <w:proofErr w:type="spellEnd"/>
      <w:r>
        <w:t xml:space="preserve"> and other soft tissue sarcomas diagnosed from 2000 to 2004 were compared with US SEER survival percentages.</w:t>
      </w:r>
    </w:p>
    <w:p w:rsidR="004C1E6A" w:rsidRDefault="004C1E6A" w:rsidP="00FA76E2"/>
    <w:p w:rsidR="004C1E6A" w:rsidRDefault="004C1E6A" w:rsidP="00FA76E2"/>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2732"/>
        <w:gridCol w:w="3120"/>
      </w:tblGrid>
      <w:tr w:rsidR="004C1E6A" w:rsidRPr="00F775DA" w:rsidTr="00F775DA">
        <w:tc>
          <w:tcPr>
            <w:tcW w:w="3616" w:type="dxa"/>
          </w:tcPr>
          <w:p w:rsidR="004C1E6A" w:rsidRPr="00F775DA" w:rsidRDefault="004C1E6A" w:rsidP="00A34944">
            <w:pPr>
              <w:rPr>
                <w:b/>
              </w:rPr>
            </w:pPr>
            <w:r w:rsidRPr="00F775DA">
              <w:rPr>
                <w:b/>
              </w:rPr>
              <w:t>Childhood Cancer</w:t>
            </w:r>
          </w:p>
        </w:tc>
        <w:tc>
          <w:tcPr>
            <w:tcW w:w="2732" w:type="dxa"/>
          </w:tcPr>
          <w:p w:rsidR="004C1E6A" w:rsidRPr="00F775DA" w:rsidRDefault="004C1E6A" w:rsidP="00F67A75">
            <w:pPr>
              <w:jc w:val="center"/>
              <w:rPr>
                <w:b/>
              </w:rPr>
            </w:pPr>
            <w:r w:rsidRPr="00F775DA">
              <w:rPr>
                <w:b/>
              </w:rPr>
              <w:t>MA 5</w:t>
            </w:r>
            <w:r>
              <w:rPr>
                <w:b/>
              </w:rPr>
              <w:t>-</w:t>
            </w:r>
            <w:r w:rsidRPr="00F775DA">
              <w:rPr>
                <w:b/>
              </w:rPr>
              <w:t>Year Survival</w:t>
            </w:r>
          </w:p>
        </w:tc>
        <w:tc>
          <w:tcPr>
            <w:tcW w:w="3120" w:type="dxa"/>
          </w:tcPr>
          <w:p w:rsidR="004C1E6A" w:rsidRPr="00F775DA" w:rsidRDefault="004C1E6A" w:rsidP="00F67A75">
            <w:pPr>
              <w:jc w:val="center"/>
              <w:rPr>
                <w:b/>
              </w:rPr>
            </w:pPr>
            <w:r w:rsidRPr="00F775DA">
              <w:rPr>
                <w:b/>
              </w:rPr>
              <w:t>US SEER 5</w:t>
            </w:r>
            <w:r>
              <w:rPr>
                <w:b/>
              </w:rPr>
              <w:t>-</w:t>
            </w:r>
            <w:r w:rsidRPr="00F775DA">
              <w:rPr>
                <w:b/>
              </w:rPr>
              <w:t>Year Survival</w:t>
            </w:r>
          </w:p>
        </w:tc>
      </w:tr>
      <w:tr w:rsidR="004C1E6A" w:rsidRPr="00F775DA" w:rsidTr="00F775DA">
        <w:tc>
          <w:tcPr>
            <w:tcW w:w="3616" w:type="dxa"/>
          </w:tcPr>
          <w:p w:rsidR="004C1E6A" w:rsidRPr="0021264D" w:rsidRDefault="004C1E6A" w:rsidP="00A34944">
            <w:proofErr w:type="spellStart"/>
            <w:r w:rsidRPr="0021264D">
              <w:t>Rhabdomyosarcoma</w:t>
            </w:r>
            <w:proofErr w:type="spellEnd"/>
            <w:r w:rsidRPr="0021264D">
              <w:t xml:space="preserve"> (n=35)</w:t>
            </w:r>
          </w:p>
        </w:tc>
        <w:tc>
          <w:tcPr>
            <w:tcW w:w="2732" w:type="dxa"/>
          </w:tcPr>
          <w:p w:rsidR="004C1E6A" w:rsidRPr="0021264D" w:rsidRDefault="004C1E6A" w:rsidP="00F775DA">
            <w:pPr>
              <w:jc w:val="center"/>
            </w:pPr>
            <w:r w:rsidRPr="0021264D">
              <w:t>68.4%</w:t>
            </w:r>
          </w:p>
        </w:tc>
        <w:tc>
          <w:tcPr>
            <w:tcW w:w="3120" w:type="dxa"/>
          </w:tcPr>
          <w:p w:rsidR="004C1E6A" w:rsidRPr="0021264D" w:rsidRDefault="004C1E6A" w:rsidP="00F775DA">
            <w:pPr>
              <w:jc w:val="center"/>
            </w:pPr>
            <w:r w:rsidRPr="0021264D">
              <w:t>63.0%</w:t>
            </w:r>
          </w:p>
        </w:tc>
      </w:tr>
      <w:tr w:rsidR="004C1E6A" w:rsidRPr="00F775DA" w:rsidTr="00F775DA">
        <w:tc>
          <w:tcPr>
            <w:tcW w:w="3616" w:type="dxa"/>
          </w:tcPr>
          <w:p w:rsidR="004C1E6A" w:rsidRPr="0021264D" w:rsidRDefault="004C1E6A" w:rsidP="00A34944">
            <w:r w:rsidRPr="0021264D">
              <w:t xml:space="preserve">Other Soft Tissue Sarcoma (n=63) </w:t>
            </w:r>
          </w:p>
        </w:tc>
        <w:tc>
          <w:tcPr>
            <w:tcW w:w="2732" w:type="dxa"/>
          </w:tcPr>
          <w:p w:rsidR="004C1E6A" w:rsidRPr="0021264D" w:rsidRDefault="004C1E6A" w:rsidP="00F775DA">
            <w:pPr>
              <w:jc w:val="center"/>
            </w:pPr>
            <w:r w:rsidRPr="0021264D">
              <w:t>88.8%</w:t>
            </w:r>
          </w:p>
        </w:tc>
        <w:tc>
          <w:tcPr>
            <w:tcW w:w="3120" w:type="dxa"/>
          </w:tcPr>
          <w:p w:rsidR="004C1E6A" w:rsidRPr="008C286C" w:rsidRDefault="004C1E6A" w:rsidP="00F775DA">
            <w:pPr>
              <w:jc w:val="center"/>
            </w:pPr>
            <w:r w:rsidRPr="0021264D">
              <w:t>78.9%</w:t>
            </w:r>
          </w:p>
        </w:tc>
      </w:tr>
    </w:tbl>
    <w:p w:rsidR="004C1E6A" w:rsidRDefault="004C1E6A" w:rsidP="009E32B4"/>
    <w:p w:rsidR="004C1E6A" w:rsidRDefault="004C1E6A" w:rsidP="009E32B4"/>
    <w:p w:rsidR="004C1E6A" w:rsidRDefault="004C1E6A" w:rsidP="009E32B4"/>
    <w:p w:rsidR="004C1E6A" w:rsidRDefault="004C1E6A" w:rsidP="009E32B4"/>
    <w:p w:rsidR="004C1E6A" w:rsidRDefault="004C1E6A" w:rsidP="009E32B4"/>
    <w:p w:rsidR="004C1E6A" w:rsidRDefault="004C1E6A" w:rsidP="009E32B4"/>
    <w:p w:rsidR="004C1E6A" w:rsidRPr="00657754" w:rsidRDefault="004C1E6A" w:rsidP="009E32B4">
      <w:pPr>
        <w:rPr>
          <w:b/>
          <w:caps/>
        </w:rPr>
      </w:pPr>
      <w:r>
        <w:br w:type="page"/>
      </w:r>
      <w:r w:rsidRPr="00657754">
        <w:rPr>
          <w:b/>
          <w:caps/>
        </w:rPr>
        <w:lastRenderedPageBreak/>
        <w:t>Germ Cell Tumors</w:t>
      </w:r>
    </w:p>
    <w:p w:rsidR="004C1E6A" w:rsidRPr="00506FCD" w:rsidRDefault="004C1E6A" w:rsidP="009E32B4"/>
    <w:p w:rsidR="004C1E6A" w:rsidRDefault="004C1E6A" w:rsidP="00EE6A66">
      <w:r w:rsidRPr="00506FCD">
        <w:t>Germ cell (egg or sperm), trophoblastic (cells outside an early embryo)</w:t>
      </w:r>
      <w:r>
        <w:t>,</w:t>
      </w:r>
      <w:r w:rsidRPr="00506FCD">
        <w:t xml:space="preserve"> and other gonadal (ovarian or testicular) neoplasms arise from </w:t>
      </w:r>
      <w:r>
        <w:t xml:space="preserve">the body’s </w:t>
      </w:r>
      <w:r w:rsidRPr="00506FCD">
        <w:t>reproductive cells</w:t>
      </w:r>
      <w:r>
        <w:t>.</w:t>
      </w:r>
      <w:r>
        <w:rPr>
          <w:vertAlign w:val="superscript"/>
        </w:rPr>
        <w:t>4</w:t>
      </w:r>
      <w:r w:rsidRPr="00506FCD">
        <w:t xml:space="preserve">  </w:t>
      </w:r>
      <w:r>
        <w:t>Among children and adolescents in Massachusetts, 66.2% of germ cell tumors were diagnosed after the age of 14.  From 2000-2009, this cancer accounted for 5.8% of Massachusetts childhood and adolescent cancer cases (n=174) and 6.9% of US cases.  Figure 29 compares age-adjusted incidence trends from 2000 to 2009 for Massachusetts (APC=2.8%, non-significant) and the US (APC=0.7%, non-significant).</w:t>
      </w:r>
    </w:p>
    <w:p w:rsidR="004C1E6A" w:rsidRDefault="004C1E6A" w:rsidP="00C6285E"/>
    <w:p w:rsidR="004C1E6A" w:rsidRDefault="003F5DC5" w:rsidP="00C6285E">
      <w:r>
        <w:rPr>
          <w:noProof/>
        </w:rPr>
        <w:drawing>
          <wp:inline distT="0" distB="0" distL="0" distR="0">
            <wp:extent cx="5819775" cy="3267075"/>
            <wp:effectExtent l="0" t="0" r="0" b="0"/>
            <wp:docPr id="31" name="Objec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C1E6A" w:rsidRDefault="004C1E6A" w:rsidP="0048623C">
      <w:pPr>
        <w:pStyle w:val="BodyText2"/>
      </w:pPr>
      <w:r w:rsidRPr="0048623C">
        <w:t>Source</w:t>
      </w:r>
      <w:r>
        <w:t>s</w:t>
      </w:r>
      <w:r w:rsidRPr="0048623C">
        <w:t>: Massachusetts Cancer Registry</w:t>
      </w:r>
      <w:r>
        <w:t xml:space="preserve"> and SEER 18 Registries</w:t>
      </w:r>
      <w:r w:rsidRPr="0048623C">
        <w:t xml:space="preserve">. * </w:t>
      </w:r>
      <w:r>
        <w:t>R</w:t>
      </w:r>
      <w:r w:rsidRPr="0048623C">
        <w:t>ates are age</w:t>
      </w:r>
      <w:r>
        <w:t>-</w:t>
      </w:r>
      <w:r w:rsidRPr="0048623C">
        <w:t xml:space="preserve">adjusted to the US standard 2000 population for ages 0-19 </w:t>
      </w:r>
    </w:p>
    <w:p w:rsidR="004C1E6A" w:rsidRPr="0048623C" w:rsidRDefault="004C1E6A" w:rsidP="00C6285E"/>
    <w:p w:rsidR="004C1E6A" w:rsidRDefault="004C1E6A" w:rsidP="00C6285E">
      <w:r>
        <w:t>There are five types of germ cell tumors in children and adolescents.  There were too few cases a year to perform any trend analysis.</w:t>
      </w:r>
    </w:p>
    <w:p w:rsidR="004C1E6A" w:rsidRDefault="004C1E6A" w:rsidP="00C6285E"/>
    <w:p w:rsidR="004C1E6A" w:rsidRDefault="004C1E6A" w:rsidP="00617B6F">
      <w:r w:rsidRPr="00770CD0">
        <w:rPr>
          <w:b/>
          <w:u w:val="single"/>
        </w:rPr>
        <w:t>Intracranial germ tumor</w:t>
      </w:r>
      <w:r>
        <w:t xml:space="preserve"> – These are tumors of the brain that develop when the sex cells normally found in the ovaries and testes do not migrate down and become trapped in the brain.  They are most frequently found around the pituitary and pineal glands.</w:t>
      </w:r>
      <w:r w:rsidRPr="009833B3">
        <w:rPr>
          <w:vertAlign w:val="superscript"/>
        </w:rPr>
        <w:t>1</w:t>
      </w:r>
      <w:r>
        <w:rPr>
          <w:vertAlign w:val="superscript"/>
        </w:rPr>
        <w:t>6</w:t>
      </w:r>
      <w:r>
        <w:t xml:space="preserve"> They accounted for 12.6% of germ cell tumors diagnosed in Massachusetts from 2000-2009 (n=22) and 15.9% diagnosed in the US.   </w:t>
      </w:r>
    </w:p>
    <w:p w:rsidR="004C1E6A" w:rsidRDefault="004C1E6A" w:rsidP="00617B6F">
      <w:r>
        <w:t xml:space="preserve">   </w:t>
      </w:r>
    </w:p>
    <w:p w:rsidR="004C1E6A" w:rsidRDefault="004C1E6A" w:rsidP="007F0112">
      <w:pPr>
        <w:pStyle w:val="BodyTextIndent2"/>
        <w:autoSpaceDE/>
        <w:autoSpaceDN/>
        <w:adjustRightInd/>
        <w:ind w:left="0"/>
      </w:pPr>
      <w:proofErr w:type="spellStart"/>
      <w:r w:rsidRPr="00770CD0">
        <w:rPr>
          <w:b/>
          <w:u w:val="single"/>
        </w:rPr>
        <w:t>Extracranial</w:t>
      </w:r>
      <w:proofErr w:type="spellEnd"/>
      <w:r w:rsidRPr="00770CD0">
        <w:rPr>
          <w:b/>
          <w:u w:val="single"/>
        </w:rPr>
        <w:t>/Gonadal germ cell</w:t>
      </w:r>
      <w:r>
        <w:t xml:space="preserve"> – These are germ cell tumors located in neither the brain or the testes or ovaries.</w:t>
      </w:r>
      <w:r w:rsidRPr="009833B3">
        <w:rPr>
          <w:vertAlign w:val="superscript"/>
        </w:rPr>
        <w:t>1</w:t>
      </w:r>
      <w:r>
        <w:rPr>
          <w:vertAlign w:val="superscript"/>
        </w:rPr>
        <w:t xml:space="preserve">5 </w:t>
      </w:r>
      <w:r>
        <w:t xml:space="preserve">They accounted for 13.2% of germ cell tumors diagnosed in Massachusetts from 2000-2009 (n=23) and 14.1% diagnosed in the US.  </w:t>
      </w:r>
    </w:p>
    <w:p w:rsidR="004C1E6A" w:rsidRDefault="004C1E6A" w:rsidP="00617B6F">
      <w:pPr>
        <w:rPr>
          <w:b/>
        </w:rPr>
      </w:pPr>
    </w:p>
    <w:p w:rsidR="004C1E6A" w:rsidRDefault="004C1E6A" w:rsidP="00617B6F">
      <w:r w:rsidRPr="00770CD0">
        <w:rPr>
          <w:b/>
          <w:u w:val="single"/>
        </w:rPr>
        <w:t>Gonadal germ cell</w:t>
      </w:r>
      <w:r>
        <w:t xml:space="preserve"> – These are germ cells located in either the testes or ovaries.</w:t>
      </w:r>
      <w:r w:rsidRPr="009833B3">
        <w:rPr>
          <w:vertAlign w:val="superscript"/>
        </w:rPr>
        <w:t>1</w:t>
      </w:r>
      <w:r>
        <w:rPr>
          <w:vertAlign w:val="superscript"/>
        </w:rPr>
        <w:t>5</w:t>
      </w:r>
      <w:r>
        <w:t xml:space="preserve">  They accounted for 64.4% of germ cell tumors diagnosed in Massachusetts from 2000-2009 (n=112) </w:t>
      </w:r>
      <w:r>
        <w:lastRenderedPageBreak/>
        <w:t>and 65.0% of those diagnosed in the US.  In Massachusetts, a significantly larger number of these cases were male compared to female (75.0% vs. 25.0%).</w:t>
      </w:r>
    </w:p>
    <w:p w:rsidR="004C1E6A" w:rsidRDefault="004C1E6A" w:rsidP="00617B6F"/>
    <w:p w:rsidR="004C1E6A" w:rsidRDefault="004C1E6A" w:rsidP="00617B6F">
      <w:r w:rsidRPr="00770CD0">
        <w:rPr>
          <w:b/>
          <w:u w:val="single"/>
        </w:rPr>
        <w:t>Gonadal carcinomas</w:t>
      </w:r>
      <w:r>
        <w:t xml:space="preserve"> accounted for 5.2% of Massachusetts germ cell tumor cases (n=9) and 3.4% of US cases.</w:t>
      </w:r>
    </w:p>
    <w:p w:rsidR="004C1E6A" w:rsidRDefault="004C1E6A" w:rsidP="00617B6F"/>
    <w:p w:rsidR="004C1E6A" w:rsidRDefault="004C1E6A" w:rsidP="009E32B4">
      <w:r w:rsidRPr="00770CD0">
        <w:rPr>
          <w:b/>
          <w:u w:val="single"/>
        </w:rPr>
        <w:t>Other gonadal tumors</w:t>
      </w:r>
      <w:r>
        <w:t xml:space="preserve"> accounted for 4.6% of germ cell tumor cases (n=8) and 1.6% of US cases.</w:t>
      </w:r>
    </w:p>
    <w:p w:rsidR="004C1E6A" w:rsidRDefault="004C1E6A" w:rsidP="009E32B4"/>
    <w:p w:rsidR="004C1E6A" w:rsidRPr="001E6032" w:rsidRDefault="004C1E6A" w:rsidP="00791623">
      <w:pPr>
        <w:rPr>
          <w:b/>
          <w:u w:val="single"/>
        </w:rPr>
      </w:pPr>
      <w:r>
        <w:rPr>
          <w:b/>
          <w:u w:val="single"/>
        </w:rPr>
        <w:t>Germ Cell</w:t>
      </w:r>
      <w:r w:rsidRPr="001E6032">
        <w:rPr>
          <w:b/>
          <w:u w:val="single"/>
        </w:rPr>
        <w:t xml:space="preserve"> Tumor Mortality</w:t>
      </w:r>
      <w:r>
        <w:rPr>
          <w:b/>
          <w:u w:val="single"/>
        </w:rPr>
        <w:t xml:space="preserve"> and Survival</w:t>
      </w:r>
      <w:r w:rsidRPr="001E6032">
        <w:rPr>
          <w:b/>
          <w:u w:val="single"/>
        </w:rPr>
        <w:t>:</w:t>
      </w:r>
    </w:p>
    <w:p w:rsidR="004C1E6A" w:rsidRPr="00BC58B9" w:rsidRDefault="004C1E6A" w:rsidP="00791623"/>
    <w:p w:rsidR="004C1E6A" w:rsidRDefault="004C1E6A" w:rsidP="009E32B4">
      <w:r>
        <w:t xml:space="preserve">Since there were fewer than 10 cases of </w:t>
      </w:r>
      <w:proofErr w:type="spellStart"/>
      <w:r>
        <w:t>extracranial</w:t>
      </w:r>
      <w:proofErr w:type="spellEnd"/>
      <w:r>
        <w:t>/gonadal germ cell tumors diagnosed from 2000 to 2004, cause-specific survival related analyses were performed for only gonadal germ cell tumors in Massachusetts.</w:t>
      </w:r>
    </w:p>
    <w:p w:rsidR="004C1E6A" w:rsidRDefault="004C1E6A" w:rsidP="009E32B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2742"/>
        <w:gridCol w:w="3060"/>
      </w:tblGrid>
      <w:tr w:rsidR="004C1E6A" w:rsidRPr="00F775DA" w:rsidTr="00F775DA">
        <w:trPr>
          <w:jc w:val="center"/>
        </w:trPr>
        <w:tc>
          <w:tcPr>
            <w:tcW w:w="3546" w:type="dxa"/>
          </w:tcPr>
          <w:p w:rsidR="004C1E6A" w:rsidRPr="00F775DA" w:rsidRDefault="004C1E6A" w:rsidP="00A34944">
            <w:pPr>
              <w:rPr>
                <w:b/>
              </w:rPr>
            </w:pPr>
            <w:r w:rsidRPr="00F775DA">
              <w:rPr>
                <w:b/>
              </w:rPr>
              <w:t>Childhood Cancer</w:t>
            </w:r>
          </w:p>
        </w:tc>
        <w:tc>
          <w:tcPr>
            <w:tcW w:w="2742" w:type="dxa"/>
          </w:tcPr>
          <w:p w:rsidR="004C1E6A" w:rsidRPr="00F775DA" w:rsidRDefault="004C1E6A" w:rsidP="00F67A75">
            <w:pPr>
              <w:jc w:val="center"/>
              <w:rPr>
                <w:b/>
              </w:rPr>
            </w:pPr>
            <w:r w:rsidRPr="00F775DA">
              <w:rPr>
                <w:b/>
              </w:rPr>
              <w:t>MA 5</w:t>
            </w:r>
            <w:r>
              <w:rPr>
                <w:b/>
              </w:rPr>
              <w:t>-</w:t>
            </w:r>
            <w:r w:rsidRPr="00F775DA">
              <w:rPr>
                <w:b/>
              </w:rPr>
              <w:t>Year Survival</w:t>
            </w:r>
          </w:p>
        </w:tc>
        <w:tc>
          <w:tcPr>
            <w:tcW w:w="3060" w:type="dxa"/>
          </w:tcPr>
          <w:p w:rsidR="004C1E6A" w:rsidRPr="00F775DA" w:rsidRDefault="004C1E6A" w:rsidP="00F67A75">
            <w:pPr>
              <w:jc w:val="center"/>
              <w:rPr>
                <w:b/>
              </w:rPr>
            </w:pPr>
            <w:r w:rsidRPr="00F775DA">
              <w:rPr>
                <w:b/>
              </w:rPr>
              <w:t>US SEER 5</w:t>
            </w:r>
            <w:r>
              <w:rPr>
                <w:b/>
              </w:rPr>
              <w:t>-</w:t>
            </w:r>
            <w:r w:rsidRPr="00F775DA">
              <w:rPr>
                <w:b/>
              </w:rPr>
              <w:t>Year Survival</w:t>
            </w:r>
          </w:p>
        </w:tc>
      </w:tr>
      <w:tr w:rsidR="004C1E6A" w:rsidRPr="00F775DA" w:rsidTr="00F775DA">
        <w:trPr>
          <w:jc w:val="center"/>
        </w:trPr>
        <w:tc>
          <w:tcPr>
            <w:tcW w:w="3546" w:type="dxa"/>
          </w:tcPr>
          <w:p w:rsidR="004C1E6A" w:rsidRPr="008C286C" w:rsidRDefault="004C1E6A" w:rsidP="00A34944">
            <w:r>
              <w:t>Gonadal Germ Cell Tumor (n=55)</w:t>
            </w:r>
          </w:p>
        </w:tc>
        <w:tc>
          <w:tcPr>
            <w:tcW w:w="2742" w:type="dxa"/>
          </w:tcPr>
          <w:p w:rsidR="004C1E6A" w:rsidRDefault="004C1E6A" w:rsidP="00F775DA">
            <w:pPr>
              <w:jc w:val="center"/>
            </w:pPr>
            <w:r>
              <w:t>98.2%</w:t>
            </w:r>
          </w:p>
        </w:tc>
        <w:tc>
          <w:tcPr>
            <w:tcW w:w="3060" w:type="dxa"/>
          </w:tcPr>
          <w:p w:rsidR="004C1E6A" w:rsidRPr="008C286C" w:rsidRDefault="004C1E6A" w:rsidP="00F775DA">
            <w:pPr>
              <w:jc w:val="center"/>
            </w:pPr>
            <w:r>
              <w:t>78.9%</w:t>
            </w:r>
          </w:p>
        </w:tc>
      </w:tr>
    </w:tbl>
    <w:p w:rsidR="004C1E6A" w:rsidRPr="00657754" w:rsidRDefault="004C1E6A" w:rsidP="009E32B4">
      <w:pPr>
        <w:rPr>
          <w:b/>
          <w:caps/>
        </w:rPr>
      </w:pPr>
      <w:r>
        <w:br w:type="page"/>
      </w:r>
      <w:r w:rsidRPr="00657754">
        <w:rPr>
          <w:b/>
          <w:caps/>
        </w:rPr>
        <w:lastRenderedPageBreak/>
        <w:t>Malignant Bone Tumors</w:t>
      </w:r>
    </w:p>
    <w:p w:rsidR="004C1E6A" w:rsidRDefault="004C1E6A" w:rsidP="009E32B4"/>
    <w:p w:rsidR="004C1E6A" w:rsidRDefault="004C1E6A" w:rsidP="00506C47">
      <w:r>
        <w:t>Cancers that originate in the bones are known as primary bone cancers.  They occur most often in older children and adolescents but can develop at any age.</w:t>
      </w:r>
      <w:r w:rsidRPr="009833B3">
        <w:rPr>
          <w:vertAlign w:val="superscript"/>
        </w:rPr>
        <w:t>1</w:t>
      </w:r>
      <w:r>
        <w:rPr>
          <w:vertAlign w:val="superscript"/>
        </w:rPr>
        <w:t>9</w:t>
      </w:r>
      <w:r>
        <w:t xml:space="preserve">  From 2000-2009, this cancer accounted for 4.1% of Massachusetts childhood and adolescent cancer cases (n=124) and 5.3% of US SEER cases.   Figure 30 compares age-adjusted incidence trends from 2000 to 2009 for Massachusetts (APC=-2.6%, non-significant) and the US (APC=1.2%, non-significant).</w:t>
      </w:r>
    </w:p>
    <w:p w:rsidR="004C1E6A" w:rsidRDefault="004C1E6A" w:rsidP="009E32B4"/>
    <w:p w:rsidR="004C1E6A" w:rsidRDefault="003F5DC5" w:rsidP="009E32B4">
      <w:r>
        <w:rPr>
          <w:noProof/>
        </w:rPr>
        <w:drawing>
          <wp:inline distT="0" distB="0" distL="0" distR="0">
            <wp:extent cx="5819775" cy="3276600"/>
            <wp:effectExtent l="0" t="0" r="0" b="0"/>
            <wp:docPr id="32" name="Objec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C1E6A" w:rsidRPr="00F432B3" w:rsidRDefault="004C1E6A" w:rsidP="00796BFA">
      <w:pPr>
        <w:pStyle w:val="Caption"/>
        <w:rPr>
          <w:b w:val="0"/>
          <w:sz w:val="20"/>
          <w:szCs w:val="20"/>
        </w:rPr>
      </w:pPr>
      <w:r w:rsidRPr="00F432B3">
        <w:rPr>
          <w:b w:val="0"/>
          <w:sz w:val="20"/>
          <w:szCs w:val="20"/>
        </w:rPr>
        <w:t>Sou</w:t>
      </w:r>
      <w:r>
        <w:rPr>
          <w:b w:val="0"/>
          <w:sz w:val="20"/>
          <w:szCs w:val="20"/>
        </w:rPr>
        <w:t>r</w:t>
      </w:r>
      <w:r w:rsidRPr="00F432B3">
        <w:rPr>
          <w:b w:val="0"/>
          <w:sz w:val="20"/>
          <w:szCs w:val="20"/>
        </w:rPr>
        <w:t>ce</w:t>
      </w:r>
      <w:r>
        <w:rPr>
          <w:b w:val="0"/>
          <w:sz w:val="20"/>
          <w:szCs w:val="20"/>
        </w:rPr>
        <w:t>s</w:t>
      </w:r>
      <w:r w:rsidRPr="00F432B3">
        <w:rPr>
          <w:b w:val="0"/>
          <w:sz w:val="20"/>
          <w:szCs w:val="20"/>
        </w:rPr>
        <w:t>: Massachusetts Cancer Registry</w:t>
      </w:r>
      <w:r>
        <w:rPr>
          <w:b w:val="0"/>
          <w:sz w:val="20"/>
          <w:szCs w:val="20"/>
        </w:rPr>
        <w:t xml:space="preserve"> and SEER 18 Registries. * Rates are age-adjusted to the US standard 2000 population for ages 0-19.</w:t>
      </w:r>
    </w:p>
    <w:p w:rsidR="004C1E6A" w:rsidRDefault="004C1E6A" w:rsidP="009E32B4"/>
    <w:p w:rsidR="004C1E6A" w:rsidRDefault="004C1E6A" w:rsidP="009E32B4">
      <w:r>
        <w:t>There are four types of bone cancers seen among children and adolescents.  There were too few cases to perform any trend analysis on the specific types.</w:t>
      </w:r>
    </w:p>
    <w:p w:rsidR="004C1E6A" w:rsidRDefault="004C1E6A" w:rsidP="009E32B4"/>
    <w:p w:rsidR="004C1E6A" w:rsidRDefault="004C1E6A" w:rsidP="00617B6F">
      <w:r w:rsidRPr="00770CD0">
        <w:rPr>
          <w:b/>
          <w:u w:val="single"/>
        </w:rPr>
        <w:t>Osteosarcoma</w:t>
      </w:r>
      <w:r>
        <w:t xml:space="preserve"> is the most common type of bone cancer that develops in areas where the bone is growing quickly, such as near the ends of long bones.  Although osteosarcoma can develop in any bone, the most common sites are the bones around the knee and the shoulder.</w:t>
      </w:r>
      <w:r>
        <w:rPr>
          <w:vertAlign w:val="superscript"/>
        </w:rPr>
        <w:t>20</w:t>
      </w:r>
      <w:r>
        <w:t xml:space="preserve">  It accounted for 58.1% of childhood and adolescent bone cancers diagnosed in Massachusetts from 2000-2009 (n=72) and 58.4% of US SEER cases.  Osteosarcoma was most commonly diagnosed in the 10-14 (44.4% of cases) and the 15-19 (37.5%) age-groups.  There was no significant difference between male and female osteosarcoma cases (55.6% vs. 44.4%).</w:t>
      </w:r>
    </w:p>
    <w:p w:rsidR="004C1E6A" w:rsidRDefault="004C1E6A" w:rsidP="00617B6F"/>
    <w:p w:rsidR="004C1E6A" w:rsidRDefault="004C1E6A" w:rsidP="00617B6F">
      <w:proofErr w:type="spellStart"/>
      <w:r w:rsidRPr="00770CD0">
        <w:rPr>
          <w:b/>
          <w:u w:val="single"/>
        </w:rPr>
        <w:t>Chondrosarcoma</w:t>
      </w:r>
      <w:proofErr w:type="spellEnd"/>
      <w:r>
        <w:t xml:space="preserve"> is a rare bone tumor that accounted for 4.0% of US SEER childhood and adolescent bone cancers and 1.6% of 2000-2009 Massachusetts bone cancers (n &lt; 5).</w:t>
      </w:r>
    </w:p>
    <w:p w:rsidR="004C1E6A" w:rsidRDefault="004C1E6A" w:rsidP="00617B6F"/>
    <w:p w:rsidR="004C1E6A" w:rsidRDefault="004C1E6A" w:rsidP="00617B6F">
      <w:r w:rsidRPr="002207D0">
        <w:rPr>
          <w:b/>
          <w:u w:val="single"/>
        </w:rPr>
        <w:t>Ewing sarcoma</w:t>
      </w:r>
      <w:r>
        <w:t xml:space="preserve"> is another type of bone cancer different from osteosarcomas at the microscopic tissue level.</w:t>
      </w:r>
      <w:r>
        <w:rPr>
          <w:vertAlign w:val="superscript"/>
        </w:rPr>
        <w:t>21</w:t>
      </w:r>
      <w:r>
        <w:t xml:space="preserve"> It accounted for 36.3% of childhood and adolescent bone cancers diagnosed in Massachusetts from 2000-2009 (n=45) and 30.8% of US SEER cases.  As with osteosarcoma, the 10-14 and 15-19 age groups accounted for the majority of the cases, 44.4% </w:t>
      </w:r>
      <w:r>
        <w:lastRenderedPageBreak/>
        <w:t>and 31.1%, respectively. There was no significant difference between males and females diagnosed (62.2% vs. 37.8%).</w:t>
      </w:r>
    </w:p>
    <w:p w:rsidR="004C1E6A" w:rsidRDefault="004C1E6A" w:rsidP="00617B6F"/>
    <w:p w:rsidR="004C1E6A" w:rsidRPr="00201F6F" w:rsidRDefault="004C1E6A" w:rsidP="00617B6F">
      <w:r>
        <w:rPr>
          <w:b/>
        </w:rPr>
        <w:t>O</w:t>
      </w:r>
      <w:r w:rsidRPr="00A51544">
        <w:rPr>
          <w:b/>
        </w:rPr>
        <w:t>ther bone cancers</w:t>
      </w:r>
      <w:r>
        <w:t xml:space="preserve"> accounted for 4.0% of malignant bone tumors diagnosed in Massachusetts from 2000-2009 (n=5) and 4.8% diagnosed in the US SEER Registries.</w:t>
      </w:r>
    </w:p>
    <w:p w:rsidR="004C1E6A" w:rsidRDefault="004C1E6A" w:rsidP="002F29A6">
      <w:pPr>
        <w:rPr>
          <w:rFonts w:ascii="MS Sans Serif" w:hAnsi="MS Sans Serif"/>
          <w:sz w:val="20"/>
          <w:szCs w:val="20"/>
        </w:rPr>
      </w:pPr>
    </w:p>
    <w:p w:rsidR="004C1E6A" w:rsidRPr="001E6032" w:rsidRDefault="004C1E6A" w:rsidP="00791623">
      <w:pPr>
        <w:rPr>
          <w:b/>
          <w:u w:val="single"/>
        </w:rPr>
      </w:pPr>
      <w:r w:rsidRPr="001E6032">
        <w:rPr>
          <w:b/>
          <w:u w:val="single"/>
        </w:rPr>
        <w:t xml:space="preserve">Malignant </w:t>
      </w:r>
      <w:r>
        <w:rPr>
          <w:b/>
          <w:u w:val="single"/>
        </w:rPr>
        <w:t xml:space="preserve">Bone </w:t>
      </w:r>
      <w:r w:rsidRPr="001E6032">
        <w:rPr>
          <w:b/>
          <w:u w:val="single"/>
        </w:rPr>
        <w:t>Tumor Mortality:</w:t>
      </w:r>
    </w:p>
    <w:p w:rsidR="004C1E6A" w:rsidRPr="00BC58B9" w:rsidRDefault="004C1E6A" w:rsidP="00791623"/>
    <w:p w:rsidR="004C1E6A" w:rsidRPr="00BC58B9" w:rsidRDefault="004C1E6A" w:rsidP="00C7250A">
      <w:r>
        <w:t>The five-year cumulative cause-specific survival for osteosarcoma cases diagnosed from 2000 to 2004 were compared for Massachusetts and the US.</w:t>
      </w:r>
    </w:p>
    <w:p w:rsidR="004C1E6A" w:rsidRPr="00BC58B9" w:rsidRDefault="004C1E6A" w:rsidP="00791623"/>
    <w:p w:rsidR="004C1E6A" w:rsidRDefault="004C1E6A" w:rsidP="002F29A6">
      <w:pPr>
        <w:rPr>
          <w:rFonts w:ascii="MS Sans Serif" w:hAnsi="MS Sans Seri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3144"/>
        <w:gridCol w:w="3144"/>
      </w:tblGrid>
      <w:tr w:rsidR="004C1E6A" w:rsidRPr="00F775DA" w:rsidTr="00F775DA">
        <w:tc>
          <w:tcPr>
            <w:tcW w:w="3144" w:type="dxa"/>
          </w:tcPr>
          <w:p w:rsidR="004C1E6A" w:rsidRPr="00F775DA" w:rsidRDefault="004C1E6A" w:rsidP="00A34944">
            <w:pPr>
              <w:rPr>
                <w:b/>
              </w:rPr>
            </w:pPr>
            <w:r w:rsidRPr="00F775DA">
              <w:rPr>
                <w:b/>
              </w:rPr>
              <w:t>Childhood Cancer</w:t>
            </w:r>
          </w:p>
        </w:tc>
        <w:tc>
          <w:tcPr>
            <w:tcW w:w="3144" w:type="dxa"/>
          </w:tcPr>
          <w:p w:rsidR="004C1E6A" w:rsidRPr="00F775DA" w:rsidRDefault="004C1E6A" w:rsidP="00604EEB">
            <w:pPr>
              <w:jc w:val="center"/>
              <w:rPr>
                <w:b/>
              </w:rPr>
            </w:pPr>
            <w:r w:rsidRPr="00F775DA">
              <w:rPr>
                <w:b/>
              </w:rPr>
              <w:t>MA 5</w:t>
            </w:r>
            <w:r>
              <w:rPr>
                <w:b/>
              </w:rPr>
              <w:t>-</w:t>
            </w:r>
            <w:r w:rsidRPr="00F775DA">
              <w:rPr>
                <w:b/>
              </w:rPr>
              <w:t>Year Survival</w:t>
            </w:r>
          </w:p>
        </w:tc>
        <w:tc>
          <w:tcPr>
            <w:tcW w:w="3144" w:type="dxa"/>
          </w:tcPr>
          <w:p w:rsidR="004C1E6A" w:rsidRPr="00F775DA" w:rsidRDefault="004C1E6A" w:rsidP="00604EEB">
            <w:pPr>
              <w:jc w:val="center"/>
              <w:rPr>
                <w:b/>
              </w:rPr>
            </w:pPr>
            <w:r w:rsidRPr="00F775DA">
              <w:rPr>
                <w:b/>
              </w:rPr>
              <w:t>US SEER 5</w:t>
            </w:r>
            <w:r>
              <w:rPr>
                <w:b/>
              </w:rPr>
              <w:t>-</w:t>
            </w:r>
            <w:r w:rsidRPr="00F775DA">
              <w:rPr>
                <w:b/>
              </w:rPr>
              <w:t>Year Survival</w:t>
            </w:r>
          </w:p>
        </w:tc>
      </w:tr>
      <w:tr w:rsidR="004C1E6A" w:rsidRPr="00F775DA" w:rsidTr="00F775DA">
        <w:tc>
          <w:tcPr>
            <w:tcW w:w="3144" w:type="dxa"/>
          </w:tcPr>
          <w:p w:rsidR="004C1E6A" w:rsidRPr="0021264D" w:rsidRDefault="004C1E6A" w:rsidP="00A34944">
            <w:r w:rsidRPr="0021264D">
              <w:t>Osteosarcoma (n=33)</w:t>
            </w:r>
          </w:p>
        </w:tc>
        <w:tc>
          <w:tcPr>
            <w:tcW w:w="3144" w:type="dxa"/>
          </w:tcPr>
          <w:p w:rsidR="004C1E6A" w:rsidRPr="0021264D" w:rsidRDefault="004C1E6A" w:rsidP="00F775DA">
            <w:pPr>
              <w:jc w:val="center"/>
            </w:pPr>
            <w:r w:rsidRPr="0021264D">
              <w:t>63.5%</w:t>
            </w:r>
          </w:p>
        </w:tc>
        <w:tc>
          <w:tcPr>
            <w:tcW w:w="3144" w:type="dxa"/>
          </w:tcPr>
          <w:p w:rsidR="004C1E6A" w:rsidRPr="0021264D" w:rsidRDefault="004C1E6A" w:rsidP="00F775DA">
            <w:pPr>
              <w:jc w:val="center"/>
            </w:pPr>
            <w:r w:rsidRPr="0021264D">
              <w:t>68.3%</w:t>
            </w:r>
          </w:p>
        </w:tc>
      </w:tr>
    </w:tbl>
    <w:p w:rsidR="004C1E6A" w:rsidRPr="00657754" w:rsidRDefault="004C1E6A" w:rsidP="002F29A6">
      <w:pPr>
        <w:rPr>
          <w:b/>
          <w:caps/>
        </w:rPr>
      </w:pPr>
      <w:r>
        <w:rPr>
          <w:rFonts w:ascii="MS Sans Serif" w:hAnsi="MS Sans Serif"/>
          <w:sz w:val="20"/>
          <w:szCs w:val="20"/>
        </w:rPr>
        <w:br w:type="page"/>
      </w:r>
      <w:r w:rsidRPr="00657754">
        <w:rPr>
          <w:b/>
          <w:caps/>
        </w:rPr>
        <w:lastRenderedPageBreak/>
        <w:t>Renal Tumors</w:t>
      </w:r>
    </w:p>
    <w:p w:rsidR="004C1E6A" w:rsidRPr="001B2A6F" w:rsidRDefault="004C1E6A" w:rsidP="002F29A6">
      <w:pPr>
        <w:rPr>
          <w:b/>
        </w:rPr>
      </w:pPr>
    </w:p>
    <w:p w:rsidR="004C1E6A" w:rsidRDefault="004C1E6A" w:rsidP="00E55F5B">
      <w:r>
        <w:t xml:space="preserve">Renal tumors are those cancers that originate in the kidney.  There were 109 renal tumors diagnosed among children and adolescents from 2000 to 2009, representing 3.6% of all childhood and adolescent cancers in Massachusetts compared with 3.8% for the US SEER Registries. </w:t>
      </w:r>
      <w:proofErr w:type="spellStart"/>
      <w:r>
        <w:t>Wilms</w:t>
      </w:r>
      <w:proofErr w:type="spellEnd"/>
      <w:r>
        <w:t xml:space="preserve">’ tumor is the most common type of renal tumor among children and adolescents, accounting for 89.0% of renal tumor cases diagnosed from 2000-2009 (n=97).  The majority of </w:t>
      </w:r>
      <w:proofErr w:type="spellStart"/>
      <w:r>
        <w:t>Wilms</w:t>
      </w:r>
      <w:proofErr w:type="spellEnd"/>
      <w:r>
        <w:t xml:space="preserve">’ tumor cases were diagnosed either before the age of five (66.0%) or from five to nine years (27.8%).  There was no significant difference between male and female renal tumor cases diagnosed from 2000-2009 (48.6% vs. 51.4%).The other types of renal tumors, renal carcinoma and other </w:t>
      </w:r>
      <w:proofErr w:type="spellStart"/>
      <w:r>
        <w:t>nephroblastoma</w:t>
      </w:r>
      <w:proofErr w:type="spellEnd"/>
      <w:r>
        <w:t xml:space="preserve"> accounted for the remaining 11%.  Figure 31 compares age-adjusted incidence trends from 2000 to 2009 for MA (APC=-0.1%, non-significant) and the US (APC=1.4%, non-significant).  The numbers were too small to do further analysis.</w:t>
      </w:r>
    </w:p>
    <w:p w:rsidR="004C1E6A" w:rsidRDefault="004C1E6A" w:rsidP="0048623C"/>
    <w:p w:rsidR="004C1E6A" w:rsidRDefault="003F5DC5" w:rsidP="0048623C">
      <w:r>
        <w:rPr>
          <w:noProof/>
        </w:rPr>
        <w:drawing>
          <wp:inline distT="0" distB="0" distL="0" distR="0">
            <wp:extent cx="5743575" cy="3286125"/>
            <wp:effectExtent l="0" t="0" r="0" b="0"/>
            <wp:docPr id="33" name="Objec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C1E6A" w:rsidRPr="00F432B3" w:rsidRDefault="004C1E6A" w:rsidP="00796BFA">
      <w:pPr>
        <w:pStyle w:val="Caption"/>
        <w:rPr>
          <w:b w:val="0"/>
          <w:sz w:val="20"/>
          <w:szCs w:val="20"/>
        </w:rPr>
      </w:pPr>
      <w:r w:rsidRPr="00F432B3">
        <w:rPr>
          <w:b w:val="0"/>
          <w:sz w:val="20"/>
          <w:szCs w:val="20"/>
        </w:rPr>
        <w:t>Sou</w:t>
      </w:r>
      <w:r>
        <w:rPr>
          <w:b w:val="0"/>
          <w:sz w:val="20"/>
          <w:szCs w:val="20"/>
        </w:rPr>
        <w:t>r</w:t>
      </w:r>
      <w:r w:rsidRPr="00F432B3">
        <w:rPr>
          <w:b w:val="0"/>
          <w:sz w:val="20"/>
          <w:szCs w:val="20"/>
        </w:rPr>
        <w:t>ce</w:t>
      </w:r>
      <w:r>
        <w:rPr>
          <w:b w:val="0"/>
          <w:sz w:val="20"/>
          <w:szCs w:val="20"/>
        </w:rPr>
        <w:t>s</w:t>
      </w:r>
      <w:r w:rsidRPr="00F432B3">
        <w:rPr>
          <w:b w:val="0"/>
          <w:sz w:val="20"/>
          <w:szCs w:val="20"/>
        </w:rPr>
        <w:t>: Massachusetts Cancer Registry</w:t>
      </w:r>
      <w:r>
        <w:rPr>
          <w:b w:val="0"/>
          <w:sz w:val="20"/>
          <w:szCs w:val="20"/>
        </w:rPr>
        <w:t xml:space="preserve"> and SEER 18 Registries. * Rates are age-adjusted to the US standard 2000 population for ages 0-19.</w:t>
      </w:r>
    </w:p>
    <w:p w:rsidR="004C1E6A" w:rsidRDefault="004C1E6A" w:rsidP="002F29A6"/>
    <w:p w:rsidR="004C1E6A" w:rsidRPr="00657754" w:rsidRDefault="004C1E6A" w:rsidP="0066116B">
      <w:pPr>
        <w:rPr>
          <w:b/>
          <w:u w:val="single"/>
        </w:rPr>
      </w:pPr>
      <w:r w:rsidRPr="00657754">
        <w:rPr>
          <w:b/>
          <w:u w:val="single"/>
        </w:rPr>
        <w:t>Malignant Renal Tumor Mortality and Survival:</w:t>
      </w:r>
    </w:p>
    <w:p w:rsidR="004C1E6A" w:rsidRPr="00657754" w:rsidRDefault="004C1E6A" w:rsidP="0066116B"/>
    <w:p w:rsidR="004C1E6A" w:rsidRPr="00657754" w:rsidRDefault="004C1E6A" w:rsidP="002F29A6">
      <w:r w:rsidRPr="00657754">
        <w:t xml:space="preserve">There were 5 malignant renal tumor deaths in Massachusetts from 2000 to 2009.   Of the </w:t>
      </w:r>
      <w:r>
        <w:t xml:space="preserve">53 </w:t>
      </w:r>
      <w:r w:rsidRPr="00657754">
        <w:t xml:space="preserve">Massachusetts cases diagnosed from 2000 to 2004, </w:t>
      </w:r>
      <w:r>
        <w:t>92.2</w:t>
      </w:r>
      <w:r w:rsidRPr="00657754">
        <w:t>% survived at least five years after diagnosis compared to 89.7% of US SEER cases.</w:t>
      </w:r>
      <w:r>
        <w:t xml:space="preserve">  While there were no available SEER data for </w:t>
      </w:r>
      <w:proofErr w:type="spellStart"/>
      <w:r>
        <w:t>Wilms</w:t>
      </w:r>
      <w:proofErr w:type="spellEnd"/>
      <w:r>
        <w:t>’ tumor, 94.1% of the 51 Massachusetts cases diagnosed from 2000 to 2004 survived at least five years.</w:t>
      </w:r>
    </w:p>
    <w:p w:rsidR="004C1E6A" w:rsidRDefault="004C1E6A" w:rsidP="002F29A6">
      <w:pPr>
        <w:rPr>
          <w:b/>
        </w:rPr>
      </w:pPr>
    </w:p>
    <w:p w:rsidR="004C1E6A" w:rsidRDefault="004C1E6A" w:rsidP="002F29A6">
      <w:pPr>
        <w:rPr>
          <w:b/>
        </w:rPr>
      </w:pPr>
    </w:p>
    <w:p w:rsidR="004C1E6A" w:rsidRDefault="004C1E6A" w:rsidP="002F29A6">
      <w:pPr>
        <w:rPr>
          <w:b/>
        </w:rPr>
      </w:pPr>
    </w:p>
    <w:p w:rsidR="004C1E6A" w:rsidRDefault="004C1E6A" w:rsidP="002F29A6">
      <w:pPr>
        <w:rPr>
          <w:b/>
        </w:rPr>
      </w:pPr>
    </w:p>
    <w:p w:rsidR="004C1E6A" w:rsidRDefault="004C1E6A" w:rsidP="002F29A6">
      <w:pPr>
        <w:rPr>
          <w:b/>
        </w:rPr>
      </w:pPr>
    </w:p>
    <w:p w:rsidR="004C1E6A" w:rsidRDefault="004C1E6A" w:rsidP="002F29A6">
      <w:pPr>
        <w:rPr>
          <w:b/>
        </w:rPr>
      </w:pPr>
    </w:p>
    <w:p w:rsidR="004C1E6A" w:rsidRPr="00657754" w:rsidRDefault="004C1E6A" w:rsidP="002F29A6">
      <w:pPr>
        <w:rPr>
          <w:b/>
          <w:caps/>
        </w:rPr>
      </w:pPr>
      <w:r w:rsidRPr="00657754">
        <w:rPr>
          <w:b/>
          <w:caps/>
        </w:rPr>
        <w:t>Retinoblastoma</w:t>
      </w:r>
    </w:p>
    <w:p w:rsidR="004C1E6A" w:rsidRDefault="004C1E6A" w:rsidP="002F29A6"/>
    <w:p w:rsidR="004C1E6A" w:rsidRDefault="004C1E6A" w:rsidP="00335A05">
      <w:r>
        <w:t>Retinoblastoma is a cancer of the eye that occurs among very young children.  About 40% of cases of retinoblastoma are due to inherited mutations (changes) in a retinoblastoma-related gene.  The remaining 60% of cases of retinoblastoma result from sporadic (random) mutations in a gene.</w:t>
      </w:r>
      <w:r w:rsidRPr="002C209F">
        <w:rPr>
          <w:vertAlign w:val="superscript"/>
        </w:rPr>
        <w:t>1</w:t>
      </w:r>
      <w:r>
        <w:rPr>
          <w:vertAlign w:val="superscript"/>
        </w:rPr>
        <w:t>7</w:t>
      </w:r>
      <w:r>
        <w:t xml:space="preserve">  There are no subtypes of retinoblastoma.  There were 42 cases diagnosed from 2000-2009, representing 1.4% of all cancers in children and adolescents compared to 1.9% for the US SEER Registries.  Nearly 100% of these cases were diagnosed before the age of five.  There was no significant difference between males and females diagnosed from 2000-2009 (40.5% vs. 59.5%).</w:t>
      </w:r>
    </w:p>
    <w:p w:rsidR="004C1E6A" w:rsidRDefault="004C1E6A" w:rsidP="00335A05"/>
    <w:p w:rsidR="004C1E6A" w:rsidRPr="00D372AF" w:rsidRDefault="004C1E6A" w:rsidP="00335A05">
      <w:pPr>
        <w:rPr>
          <w:b/>
        </w:rPr>
      </w:pPr>
      <w:r w:rsidRPr="00D372AF">
        <w:rPr>
          <w:b/>
        </w:rPr>
        <w:t>Retinoblastoma Mortality and Survival:</w:t>
      </w:r>
    </w:p>
    <w:p w:rsidR="004C1E6A" w:rsidRDefault="004C1E6A" w:rsidP="00335A05"/>
    <w:p w:rsidR="004C1E6A" w:rsidRDefault="004C1E6A" w:rsidP="00335A05">
      <w:r>
        <w:t>There were fewer than 5 deaths from 2000 to 2009 due to retinoblastoma.  There were too few incident cases in Massachusetts to do any trend or survival analysis.  Of US SEER cases, 98.0%  survived at least five years.</w:t>
      </w:r>
    </w:p>
    <w:p w:rsidR="004C1E6A" w:rsidRDefault="004C1E6A" w:rsidP="00335A05"/>
    <w:p w:rsidR="004C1E6A" w:rsidRDefault="004C1E6A" w:rsidP="002F29A6">
      <w:pPr>
        <w:rPr>
          <w:b/>
        </w:rPr>
      </w:pPr>
    </w:p>
    <w:p w:rsidR="004C1E6A" w:rsidRDefault="004C1E6A" w:rsidP="002F29A6">
      <w:pPr>
        <w:rPr>
          <w:b/>
        </w:rPr>
      </w:pPr>
    </w:p>
    <w:p w:rsidR="004C1E6A" w:rsidRPr="00657754" w:rsidRDefault="004C1E6A" w:rsidP="002F29A6">
      <w:pPr>
        <w:rPr>
          <w:b/>
          <w:caps/>
        </w:rPr>
      </w:pPr>
      <w:r w:rsidRPr="00657754">
        <w:rPr>
          <w:b/>
          <w:caps/>
        </w:rPr>
        <w:t>Hepatic (Liver) Tumors</w:t>
      </w:r>
    </w:p>
    <w:p w:rsidR="004C1E6A" w:rsidRPr="00F2653D" w:rsidRDefault="004C1E6A" w:rsidP="002F29A6"/>
    <w:p w:rsidR="004C1E6A" w:rsidRDefault="004C1E6A" w:rsidP="00C7250A">
      <w:r>
        <w:t xml:space="preserve">Malignant hepatic tumors are cancers that originate in the liver.  The two types of malignant hepatic tumors in children and adolescents are </w:t>
      </w:r>
      <w:proofErr w:type="spellStart"/>
      <w:r>
        <w:t>hepatoblastomas</w:t>
      </w:r>
      <w:proofErr w:type="spellEnd"/>
      <w:r>
        <w:t xml:space="preserve"> and hepatic carcinomas.</w:t>
      </w:r>
      <w:r w:rsidRPr="002C209F">
        <w:rPr>
          <w:vertAlign w:val="superscript"/>
        </w:rPr>
        <w:t>1</w:t>
      </w:r>
      <w:r>
        <w:rPr>
          <w:vertAlign w:val="superscript"/>
        </w:rPr>
        <w:t>7</w:t>
      </w:r>
      <w:r>
        <w:t xml:space="preserve">  There were 33 hepatic tumors diagnosed from 2000 to 2009, representing 1.1% of all cancers in children and adolescents compared with 1.3% for the US SEER Registries. </w:t>
      </w:r>
      <w:proofErr w:type="spellStart"/>
      <w:r>
        <w:t>Hepatoblastomas</w:t>
      </w:r>
      <w:proofErr w:type="spellEnd"/>
      <w:r>
        <w:t xml:space="preserve"> accounted for 84.6% of those Massachusetts cases (n=28).  Of all hepatic tumors, 78.9% and 92.9% of </w:t>
      </w:r>
      <w:proofErr w:type="spellStart"/>
      <w:r>
        <w:t>hepatoblastomas</w:t>
      </w:r>
      <w:proofErr w:type="spellEnd"/>
      <w:r>
        <w:t xml:space="preserve"> were diagnosed before the age of 5.  There was no significant difference between males and females diagnosed with hepatic tumors (60.7% vs. 39.3%). </w:t>
      </w:r>
    </w:p>
    <w:p w:rsidR="004C1E6A" w:rsidRDefault="004C1E6A" w:rsidP="00C7250A"/>
    <w:p w:rsidR="004C1E6A" w:rsidRPr="00D372AF" w:rsidRDefault="004C1E6A" w:rsidP="00C7250A">
      <w:pPr>
        <w:rPr>
          <w:b/>
        </w:rPr>
      </w:pPr>
      <w:r w:rsidRPr="00D372AF">
        <w:rPr>
          <w:b/>
        </w:rPr>
        <w:t>Hepatic Tumor Mortality and Survival:</w:t>
      </w:r>
    </w:p>
    <w:p w:rsidR="004C1E6A" w:rsidRDefault="004C1E6A" w:rsidP="00E55F5B"/>
    <w:p w:rsidR="004C1E6A" w:rsidRDefault="004C1E6A" w:rsidP="00D372AF">
      <w:r>
        <w:t>From 2000-2009, there were 7 deaths from liver cancer.  There were too few incident cases in Massachusetts to do any trend or survival analysis.  Of US SEER cases, 62.8% survived at least five years.</w:t>
      </w:r>
    </w:p>
    <w:p w:rsidR="004C1E6A" w:rsidRDefault="004C1E6A" w:rsidP="002F29A6"/>
    <w:p w:rsidR="004C1E6A" w:rsidRDefault="004C1E6A" w:rsidP="002F29A6"/>
    <w:p w:rsidR="004C1E6A" w:rsidRDefault="004C1E6A" w:rsidP="002F29A6"/>
    <w:p w:rsidR="004C1E6A" w:rsidRDefault="004C1E6A" w:rsidP="002F29A6"/>
    <w:p w:rsidR="004C1E6A" w:rsidRDefault="004C1E6A" w:rsidP="002F29A6"/>
    <w:p w:rsidR="004C1E6A" w:rsidRDefault="004C1E6A" w:rsidP="002F29A6"/>
    <w:p w:rsidR="004C1E6A" w:rsidRDefault="004C1E6A" w:rsidP="002F29A6"/>
    <w:p w:rsidR="004C1E6A" w:rsidRDefault="004C1E6A" w:rsidP="002F29A6"/>
    <w:p w:rsidR="004C1E6A" w:rsidRDefault="004C1E6A" w:rsidP="002F29A6"/>
    <w:p w:rsidR="004C1E6A" w:rsidRDefault="004C1E6A" w:rsidP="002F29A6"/>
    <w:p w:rsidR="004C1E6A" w:rsidRDefault="004C1E6A" w:rsidP="002F29A6"/>
    <w:p w:rsidR="004C1E6A" w:rsidRDefault="004C1E6A" w:rsidP="003B6466">
      <w:pPr>
        <w:rPr>
          <w:b/>
        </w:rPr>
      </w:pPr>
      <w:r w:rsidRPr="000C4F3A">
        <w:rPr>
          <w:b/>
        </w:rPr>
        <w:lastRenderedPageBreak/>
        <w:t>DISCUSSION</w:t>
      </w:r>
    </w:p>
    <w:p w:rsidR="004C1E6A" w:rsidRDefault="004C1E6A" w:rsidP="003B6466">
      <w:pPr>
        <w:rPr>
          <w:b/>
        </w:rPr>
      </w:pPr>
    </w:p>
    <w:p w:rsidR="004C1E6A" w:rsidRDefault="004C1E6A" w:rsidP="0003089F">
      <w:r>
        <w:t xml:space="preserve">From 2000 to 2009, 3001 cases of invasive cancer were diagnosed among children and adolescent residents of Massachusetts.  In the same period, 359,058 cancer cases were diagnosed among the entire Massachusetts population.  While the overall cancer burden among children and adolescents (0.8% of all cancers) was disproportionately much lower compared to their proportion in the total population (25.3% of the Massachusetts population), specific cancers disproportionately affected the 0-19 years age-group compared to cancers in all groups.   </w:t>
      </w:r>
    </w:p>
    <w:p w:rsidR="004C1E6A" w:rsidRDefault="004C1E6A" w:rsidP="0003089F"/>
    <w:p w:rsidR="004C1E6A" w:rsidRPr="003205F2" w:rsidRDefault="004C1E6A" w:rsidP="003205F2">
      <w:pPr>
        <w:numPr>
          <w:ilvl w:val="0"/>
          <w:numId w:val="3"/>
        </w:numPr>
        <w:rPr>
          <w:b/>
        </w:rPr>
      </w:pPr>
      <w:r>
        <w:t xml:space="preserve">8.4% of all leukemia cases, 11.5% of all Hodgkin lymphoma cases, and 11.3% of all CNS cases occurred among children and adolescents, a much larger representation than children’s and adolescents’ proportion of all Massachusetts cancer cases (0.8%).  </w:t>
      </w:r>
    </w:p>
    <w:p w:rsidR="004C1E6A" w:rsidRPr="003205F2" w:rsidRDefault="004C1E6A" w:rsidP="003205F2">
      <w:pPr>
        <w:numPr>
          <w:ilvl w:val="0"/>
          <w:numId w:val="3"/>
        </w:numPr>
        <w:rPr>
          <w:b/>
        </w:rPr>
      </w:pPr>
      <w:r>
        <w:t>Among all Massachusetts cancer cases, 2.7% of male and 2.4% of female cases were leukemia. In contrast, 23.6% of childhood and adolescent male cancer cases and 23.3% of childhood and adolescent female cases were leukemia. Leukemia rates were highest among children aged 0-4.</w:t>
      </w:r>
    </w:p>
    <w:p w:rsidR="004C1E6A" w:rsidRPr="003205F2" w:rsidRDefault="004C1E6A" w:rsidP="003205F2">
      <w:pPr>
        <w:numPr>
          <w:ilvl w:val="0"/>
          <w:numId w:val="3"/>
        </w:numPr>
        <w:rPr>
          <w:b/>
        </w:rPr>
      </w:pPr>
      <w:r>
        <w:t xml:space="preserve">Among all Massachusetts cancer cases, 5.0% of male and 4.2% of female cases were lymphomas. In contrast, 18.7% of childhood and adolescent male cancer cases and 14.2% of childhood and adolescent female cases were lymphomas.  </w:t>
      </w:r>
    </w:p>
    <w:p w:rsidR="004C1E6A" w:rsidRPr="003205F2" w:rsidRDefault="004C1E6A" w:rsidP="003205F2">
      <w:pPr>
        <w:numPr>
          <w:ilvl w:val="0"/>
          <w:numId w:val="3"/>
        </w:numPr>
        <w:rPr>
          <w:b/>
        </w:rPr>
      </w:pPr>
      <w:r>
        <w:t xml:space="preserve">Among all Massachusetts cancer cases, 1.4% of male and 1.3% of female cancer cases were CNS cancers. In contrast, 19.0% of childhood and adolescent male cases and 18.3% of childhood and adolescent female cases were CNS cancers. </w:t>
      </w:r>
    </w:p>
    <w:p w:rsidR="004C1E6A" w:rsidRDefault="004C1E6A" w:rsidP="003205F2">
      <w:r>
        <w:t xml:space="preserve"> </w:t>
      </w:r>
    </w:p>
    <w:p w:rsidR="004C1E6A" w:rsidRDefault="004C1E6A" w:rsidP="003205F2">
      <w:r>
        <w:t xml:space="preserve">The incidence rates of three cancers increased significantly among Massachusetts children and adolescents from 2000 to 2009. </w:t>
      </w:r>
    </w:p>
    <w:p w:rsidR="004C1E6A" w:rsidRDefault="004C1E6A" w:rsidP="003205F2">
      <w:r>
        <w:t xml:space="preserve"> </w:t>
      </w:r>
    </w:p>
    <w:p w:rsidR="004C1E6A" w:rsidRDefault="004C1E6A" w:rsidP="003205F2">
      <w:r>
        <w:t>The incidence rate of leukemia among Massachusetts children and adolescents increased significantly from 2000 to 2009, driven primarily by a significant increase in the incidence of acute lymphocytic leukemia (ALL).  This significant trend was not found among either white non-Hispanics or Hispanics, the two racial/ethnic groups with a sufficient number of cases to perform a trend analysis.  The leukemia increases, while significant, are still relatively small (leukemia increased from 2.8/100,000 to 3.5/100,000 over the ten years and acute lymphocytic leukemia increased from 3.7 to 4.3/100.000).   The significant increase in Massachusetts rates of acute lymphocytic leukemia is consistent with significantly increasing rates at the national level.  The American Cancer Society’s publication on childhood leukemia notes the few known genetic and environmental factors associated with leukemia, emphasizing the fact that that most adults and children with leukemia have no known risk factors.  Lifestyle factors usually take many years to influence cancer risk and are usually not related to childhood and adolescent cancers.</w:t>
      </w:r>
      <w:r w:rsidRPr="007545AB">
        <w:rPr>
          <w:vertAlign w:val="superscript"/>
        </w:rPr>
        <w:t>4</w:t>
      </w:r>
    </w:p>
    <w:p w:rsidR="004C1E6A" w:rsidRDefault="004C1E6A" w:rsidP="003205F2"/>
    <w:p w:rsidR="004C1E6A" w:rsidRPr="007545AB" w:rsidRDefault="004C1E6A" w:rsidP="003205F2">
      <w:r>
        <w:t xml:space="preserve">The incidence rates for lymphoma and Hodgkin lymphoma remained steady from 2000 to 2009, however, the incidence rate for non-Hodgkin lymphoma (NHL) increased significantly.  While the overall trend for NHL was significant, examination of the trend line indicated a decrease in the rate until 2003 (1.2 to 0.6/100,000), followed by an increase from 2003 to 2007 (0.6 to 1.6/100,000), followed by a relative steadying of the trend in 2008 and 2009.  The 2009 rate (1.4 per 100,000) is similar to the 2000 rate (1.2 per 100,000).  National trends which rely </w:t>
      </w:r>
      <w:r>
        <w:lastRenderedPageBreak/>
        <w:t>on larger numbers and more statistical power showed no significant trend in either direction from 2000 to 2009.</w:t>
      </w:r>
    </w:p>
    <w:p w:rsidR="004C1E6A" w:rsidRDefault="004C1E6A" w:rsidP="003205F2"/>
    <w:p w:rsidR="004C1E6A" w:rsidRDefault="004C1E6A" w:rsidP="003205F2">
      <w:r>
        <w:t>Thyroid cancer has been increasing at a significant rate  primarily among adolescents ages 15 to 19.  As noted earlier, , this increase is consistent with the trend among the adult population in Massachusetts.  While other risk factors may also be present, better detection of smaller tumors most likely has played a major role in this increase.</w:t>
      </w:r>
      <w:r w:rsidRPr="00E01482">
        <w:rPr>
          <w:vertAlign w:val="superscript"/>
        </w:rPr>
        <w:t>1</w:t>
      </w:r>
      <w:r>
        <w:rPr>
          <w:vertAlign w:val="superscript"/>
        </w:rPr>
        <w:t>2</w:t>
      </w:r>
    </w:p>
    <w:p w:rsidR="004C1E6A" w:rsidRDefault="004C1E6A" w:rsidP="00E01482">
      <w:pPr>
        <w:pStyle w:val="Header"/>
        <w:tabs>
          <w:tab w:val="clear" w:pos="4320"/>
          <w:tab w:val="clear" w:pos="8640"/>
        </w:tabs>
      </w:pPr>
    </w:p>
    <w:p w:rsidR="004C1E6A" w:rsidRDefault="004C1E6A" w:rsidP="003205F2">
      <w:r>
        <w:t xml:space="preserve">In both Massachusetts and the US, mortality rates for all childhood and adolescent cancers decreased at a non-significant rate  from 2000 to 2009, remaining around 2.5/100,000.  Due to the limited number of deaths in Massachusetts, this report was able to compare mortality trends in Massachusetts with those of the US for only leukemia and CNS cancers.  While the trends for leukemia decreased non-significantly in Massachusetts and significantly in the US, the trends remained stable for CNS cancers.   </w:t>
      </w:r>
    </w:p>
    <w:p w:rsidR="004C1E6A" w:rsidRDefault="004C1E6A" w:rsidP="003205F2"/>
    <w:p w:rsidR="004C1E6A" w:rsidRPr="00643C39" w:rsidRDefault="004C1E6A" w:rsidP="004424BF">
      <w:pPr>
        <w:rPr>
          <w:vertAlign w:val="superscript"/>
        </w:rPr>
      </w:pPr>
      <w:r w:rsidRPr="0021264D">
        <w:t xml:space="preserve"> </w:t>
      </w:r>
      <w:r>
        <w:t xml:space="preserve">Massachusetts </w:t>
      </w:r>
      <w:r w:rsidRPr="0021264D">
        <w:t>cause</w:t>
      </w:r>
      <w:r>
        <w:t>-</w:t>
      </w:r>
      <w:r w:rsidRPr="0021264D">
        <w:t>specific five</w:t>
      </w:r>
      <w:r>
        <w:t>-</w:t>
      </w:r>
      <w:r w:rsidRPr="0021264D">
        <w:t>year survival</w:t>
      </w:r>
      <w:r>
        <w:t xml:space="preserve"> rates were </w:t>
      </w:r>
      <w:r w:rsidRPr="0021264D">
        <w:t xml:space="preserve">comparable to and sometimes better than </w:t>
      </w:r>
      <w:r>
        <w:t xml:space="preserve">national </w:t>
      </w:r>
      <w:r w:rsidRPr="0021264D">
        <w:t>percentages</w:t>
      </w:r>
      <w:r>
        <w:t xml:space="preserve"> released by</w:t>
      </w:r>
      <w:r w:rsidRPr="0021264D">
        <w:t xml:space="preserve"> SEER.  The higher survival </w:t>
      </w:r>
      <w:r>
        <w:t xml:space="preserve">rates in Massachusetts </w:t>
      </w:r>
      <w:r w:rsidRPr="0021264D">
        <w:t>may be due</w:t>
      </w:r>
      <w:r>
        <w:t xml:space="preserve"> in part</w:t>
      </w:r>
      <w:r w:rsidRPr="0021264D">
        <w:t xml:space="preserve"> to the</w:t>
      </w:r>
      <w:r>
        <w:t xml:space="preserve"> higher</w:t>
      </w:r>
      <w:r w:rsidRPr="0021264D">
        <w:t xml:space="preserve"> number of cancer treatment facilities in</w:t>
      </w:r>
      <w:r>
        <w:t xml:space="preserve"> the Commonwealth</w:t>
      </w:r>
      <w:r w:rsidRPr="0021264D">
        <w:t xml:space="preserve">.  </w:t>
      </w:r>
      <w:r>
        <w:t>Important to note is that t</w:t>
      </w:r>
      <w:r w:rsidRPr="0021264D">
        <w:t xml:space="preserve">he survival figures in this report are based on cancer types as a whole and do not </w:t>
      </w:r>
      <w:r>
        <w:t xml:space="preserve">control for </w:t>
      </w:r>
      <w:r w:rsidRPr="0021264D">
        <w:t xml:space="preserve"> co-morbidities, histological subtype</w:t>
      </w:r>
      <w:r>
        <w:t>,</w:t>
      </w:r>
      <w:r w:rsidRPr="0021264D">
        <w:t xml:space="preserve"> </w:t>
      </w:r>
      <w:r>
        <w:t xml:space="preserve">or the </w:t>
      </w:r>
      <w:r w:rsidRPr="0021264D">
        <w:t xml:space="preserve"> grade of cancer.  </w:t>
      </w:r>
      <w:r>
        <w:t xml:space="preserve">A </w:t>
      </w:r>
      <w:r w:rsidRPr="0021264D">
        <w:t>limitation of using cause</w:t>
      </w:r>
      <w:r>
        <w:t>-</w:t>
      </w:r>
      <w:r w:rsidRPr="0021264D">
        <w:t xml:space="preserve">specific data is the </w:t>
      </w:r>
      <w:r>
        <w:t xml:space="preserve">inconsistent </w:t>
      </w:r>
      <w:r w:rsidRPr="0021264D">
        <w:t>attribution of cancer as a cause of death when relying on death certificates and the exclusion of other causes of death possibly related to the cancer treatment.</w:t>
      </w:r>
      <w:r>
        <w:rPr>
          <w:vertAlign w:val="superscript"/>
        </w:rPr>
        <w:t xml:space="preserve"> </w:t>
      </w:r>
      <w:r>
        <w:t xml:space="preserve">The American Cancer Society stresses that survival rates are ‘based on previous outcomes of large numbers of children who had the disease, but they cannot predict what will happen in any </w:t>
      </w:r>
      <w:r w:rsidRPr="00643C39">
        <w:t>particular child’s case’.</w:t>
      </w:r>
      <w:r w:rsidRPr="00643C39">
        <w:rPr>
          <w:vertAlign w:val="superscript"/>
        </w:rPr>
        <w:t xml:space="preserve">5 </w:t>
      </w:r>
      <w:r>
        <w:rPr>
          <w:vertAlign w:val="superscript"/>
        </w:rPr>
        <w:t xml:space="preserve"> </w:t>
      </w:r>
      <w:r>
        <w:t>Th</w:t>
      </w:r>
      <w:r w:rsidRPr="00643C39">
        <w:t>e heterogeneity and low incidence of childhood cancers</w:t>
      </w:r>
      <w:r>
        <w:t xml:space="preserve"> greatly complicates attempts to determine causes for </w:t>
      </w:r>
      <w:r w:rsidRPr="00643C39">
        <w:t>specific childhood cancers</w:t>
      </w:r>
      <w:r w:rsidRPr="00A82975">
        <w:rPr>
          <w:vertAlign w:val="superscript"/>
        </w:rPr>
        <w:t>22</w:t>
      </w:r>
      <w:r w:rsidRPr="00643C39">
        <w:t xml:space="preserve"> </w:t>
      </w:r>
      <w:r>
        <w:t>.</w:t>
      </w:r>
      <w:r w:rsidRPr="00643C39">
        <w:t>The survival times in this report should be interpreted as an overall assessment of past survival and not a specific predictor of individual survival.</w:t>
      </w:r>
      <w:r>
        <w:t xml:space="preserve"> </w:t>
      </w:r>
      <w:r w:rsidRPr="00643C39">
        <w:t> </w:t>
      </w:r>
      <w:r>
        <w:t>T</w:t>
      </w:r>
      <w:r w:rsidRPr="00643C39">
        <w:t>he decreased mortality rate of childhood cancer has been one of the major success stories of medicine in the last 30 years</w:t>
      </w:r>
      <w:r>
        <w:t>.</w:t>
      </w:r>
      <w:r w:rsidRPr="00643C39">
        <w:t xml:space="preserve"> </w:t>
      </w:r>
      <w:r w:rsidRPr="00643C39">
        <w:rPr>
          <w:vertAlign w:val="superscript"/>
        </w:rPr>
        <w:t>2</w:t>
      </w:r>
      <w:r w:rsidRPr="00643C39">
        <w:t xml:space="preserve">  </w:t>
      </w:r>
      <w:r>
        <w:t>Advances in treatment have contributed to t</w:t>
      </w:r>
      <w:r w:rsidRPr="00643C39">
        <w:t>he national five</w:t>
      </w:r>
      <w:r>
        <w:t>-</w:t>
      </w:r>
      <w:r w:rsidRPr="00643C39">
        <w:t xml:space="preserve">year survival rates for all childhood cancers </w:t>
      </w:r>
      <w:r>
        <w:t xml:space="preserve">improving </w:t>
      </w:r>
      <w:r w:rsidRPr="00643C39">
        <w:t xml:space="preserve">from 58.1% in 1975-1977 to 79.6% in 1996-2003 </w:t>
      </w:r>
      <w:r w:rsidRPr="00643C39">
        <w:rPr>
          <w:vertAlign w:val="superscript"/>
        </w:rPr>
        <w:t>23</w:t>
      </w:r>
      <w:r w:rsidRPr="009358D7">
        <w:t xml:space="preserve"> </w:t>
      </w:r>
      <w:r>
        <w:t>with survival rates for</w:t>
      </w:r>
      <w:r w:rsidRPr="00643C39">
        <w:t xml:space="preserve"> </w:t>
      </w:r>
      <w:proofErr w:type="spellStart"/>
      <w:r w:rsidRPr="00643C39">
        <w:t>leukemias</w:t>
      </w:r>
      <w:proofErr w:type="spellEnd"/>
      <w:r w:rsidRPr="00643C39">
        <w:t>, Hodgkin disease, and sarcomas</w:t>
      </w:r>
      <w:r>
        <w:t xml:space="preserve"> achieving notable improvements.   Despite such progress, the Commonwealth must recommit to better understanding the causes of these childhood cancers, and provide improved treatments for those children and adolescents who face cancer at such a young age.</w:t>
      </w:r>
    </w:p>
    <w:p w:rsidR="004C1E6A" w:rsidRPr="00643C39" w:rsidRDefault="004C1E6A" w:rsidP="004424BF"/>
    <w:p w:rsidR="004C1E6A" w:rsidRDefault="004C1E6A" w:rsidP="003B6466"/>
    <w:p w:rsidR="004C1E6A" w:rsidRDefault="004C1E6A" w:rsidP="003B6466"/>
    <w:p w:rsidR="004C1E6A" w:rsidRDefault="004C1E6A" w:rsidP="003B6466"/>
    <w:p w:rsidR="004C1E6A" w:rsidRDefault="004C1E6A" w:rsidP="003B6466"/>
    <w:p w:rsidR="004C1E6A" w:rsidRDefault="004C1E6A" w:rsidP="003B6466"/>
    <w:p w:rsidR="004C1E6A" w:rsidRDefault="004C1E6A" w:rsidP="003B6466"/>
    <w:p w:rsidR="004C1E6A" w:rsidRDefault="004C1E6A" w:rsidP="003B6466"/>
    <w:p w:rsidR="004C1E6A" w:rsidRDefault="004C1E6A" w:rsidP="003B6466"/>
    <w:p w:rsidR="004C1E6A" w:rsidRDefault="004C1E6A" w:rsidP="003B6466"/>
    <w:p w:rsidR="004C1E6A" w:rsidRDefault="004C1E6A" w:rsidP="003B6466"/>
    <w:p w:rsidR="004C1E6A" w:rsidRDefault="004C1E6A" w:rsidP="003B6466"/>
    <w:p w:rsidR="004C1E6A" w:rsidRDefault="004C1E6A" w:rsidP="003B6466"/>
    <w:p w:rsidR="004C1E6A" w:rsidRPr="004A2B63" w:rsidRDefault="004C1E6A" w:rsidP="004A2B63">
      <w:pPr>
        <w:jc w:val="center"/>
        <w:rPr>
          <w:b/>
        </w:rPr>
      </w:pPr>
      <w:r w:rsidRPr="004A2B63">
        <w:rPr>
          <w:b/>
        </w:rPr>
        <w:t>Appendix I</w:t>
      </w:r>
    </w:p>
    <w:p w:rsidR="004C1E6A" w:rsidRDefault="004C1E6A" w:rsidP="002959E8">
      <w:pPr>
        <w:pStyle w:val="Footer"/>
        <w:tabs>
          <w:tab w:val="clear" w:pos="4320"/>
          <w:tab w:val="clear" w:pos="8640"/>
        </w:tabs>
        <w:spacing w:line="280" w:lineRule="exact"/>
        <w:jc w:val="center"/>
        <w:rPr>
          <w:rFonts w:ascii="Times New Roman" w:hAnsi="Times New Roman"/>
          <w:b/>
          <w:sz w:val="24"/>
        </w:rPr>
      </w:pPr>
      <w:r>
        <w:rPr>
          <w:rFonts w:ascii="Times New Roman" w:hAnsi="Times New Roman"/>
          <w:b/>
          <w:sz w:val="24"/>
        </w:rPr>
        <w:t xml:space="preserve">International Classification of Childhood Cancer, Third Edition (ICCC-3) </w:t>
      </w:r>
    </w:p>
    <w:p w:rsidR="004C1E6A" w:rsidRDefault="004C1E6A" w:rsidP="002959E8">
      <w:pPr>
        <w:pStyle w:val="Footer"/>
        <w:tabs>
          <w:tab w:val="clear" w:pos="4320"/>
          <w:tab w:val="clear" w:pos="8640"/>
        </w:tabs>
        <w:spacing w:line="280" w:lineRule="exact"/>
        <w:jc w:val="center"/>
        <w:rPr>
          <w:rFonts w:ascii="Times New Roman" w:hAnsi="Times New Roman"/>
          <w:b/>
          <w:sz w:val="24"/>
        </w:rPr>
      </w:pPr>
      <w:r>
        <w:rPr>
          <w:rFonts w:ascii="Times New Roman" w:hAnsi="Times New Roman"/>
          <w:b/>
          <w:sz w:val="24"/>
        </w:rPr>
        <w:t>Based on ICD-O-3</w:t>
      </w:r>
      <w:r>
        <w:rPr>
          <w:rStyle w:val="FootnoteReference"/>
          <w:rFonts w:ascii="Times New Roman" w:hAnsi="Times New Roman"/>
          <w:b/>
          <w:sz w:val="24"/>
        </w:rPr>
        <w:footnoteReference w:customMarkFollows="1" w:id="2"/>
        <w:t>*</w:t>
      </w:r>
    </w:p>
    <w:tbl>
      <w:tblPr>
        <w:tblW w:w="99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3420"/>
        <w:gridCol w:w="2112"/>
      </w:tblGrid>
      <w:tr w:rsidR="004C1E6A" w:rsidRPr="00FA0867" w:rsidTr="009F29F7">
        <w:trPr>
          <w:cantSplit/>
        </w:trPr>
        <w:tc>
          <w:tcPr>
            <w:tcW w:w="4428" w:type="dxa"/>
            <w:tcBorders>
              <w:top w:val="single" w:sz="4" w:space="0" w:color="808080"/>
              <w:left w:val="single" w:sz="4" w:space="0" w:color="808080"/>
              <w:bottom w:val="nil"/>
              <w:right w:val="nil"/>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b/>
                <w:sz w:val="24"/>
              </w:rPr>
            </w:pPr>
          </w:p>
        </w:tc>
        <w:tc>
          <w:tcPr>
            <w:tcW w:w="5532" w:type="dxa"/>
            <w:gridSpan w:val="2"/>
            <w:tcBorders>
              <w:top w:val="single" w:sz="4" w:space="0" w:color="808080"/>
              <w:left w:val="single" w:sz="4" w:space="0" w:color="808080"/>
              <w:bottom w:val="dashed" w:sz="4" w:space="0" w:color="808080"/>
              <w:right w:val="single" w:sz="4" w:space="0" w:color="808080"/>
            </w:tcBorders>
          </w:tcPr>
          <w:p w:rsidR="004C1E6A" w:rsidRPr="00FA0867" w:rsidRDefault="004C1E6A" w:rsidP="00B22A99">
            <w:pPr>
              <w:pStyle w:val="Footer"/>
              <w:tabs>
                <w:tab w:val="clear" w:pos="4320"/>
                <w:tab w:val="clear" w:pos="8640"/>
              </w:tabs>
              <w:spacing w:line="280" w:lineRule="exact"/>
              <w:jc w:val="center"/>
              <w:rPr>
                <w:rFonts w:ascii="Times New Roman" w:hAnsi="Times New Roman"/>
                <w:b/>
                <w:sz w:val="24"/>
                <w:lang w:val="fr-FR"/>
              </w:rPr>
            </w:pPr>
            <w:r w:rsidRPr="00FA0867">
              <w:rPr>
                <w:rFonts w:ascii="Times New Roman" w:hAnsi="Times New Roman"/>
                <w:b/>
                <w:sz w:val="24"/>
                <w:lang w:val="fr-FR"/>
              </w:rPr>
              <w:t>ICD-O-2/ICD-O-3</w:t>
            </w:r>
            <w:r w:rsidRPr="00FA0867">
              <w:rPr>
                <w:rStyle w:val="FootnoteReference"/>
                <w:rFonts w:ascii="Times New Roman" w:hAnsi="Times New Roman"/>
                <w:b/>
                <w:sz w:val="24"/>
                <w:lang w:val="fr-FR"/>
              </w:rPr>
              <w:footnoteReference w:customMarkFollows="1" w:id="3"/>
              <w:t>**</w:t>
            </w:r>
            <w:r w:rsidRPr="00FA0867">
              <w:rPr>
                <w:rFonts w:ascii="Times New Roman" w:hAnsi="Times New Roman"/>
                <w:b/>
                <w:sz w:val="24"/>
                <w:lang w:val="fr-FR"/>
              </w:rPr>
              <w:t xml:space="preserve"> codes</w:t>
            </w:r>
          </w:p>
        </w:tc>
      </w:tr>
      <w:tr w:rsidR="004C1E6A" w:rsidTr="009F29F7">
        <w:tc>
          <w:tcPr>
            <w:tcW w:w="4428" w:type="dxa"/>
            <w:tcBorders>
              <w:top w:val="nil"/>
              <w:left w:val="single" w:sz="4" w:space="0" w:color="808080"/>
              <w:bottom w:val="doub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b/>
                <w:sz w:val="24"/>
              </w:rPr>
            </w:pPr>
            <w:r>
              <w:rPr>
                <w:rFonts w:ascii="Times New Roman" w:hAnsi="Times New Roman"/>
                <w:b/>
                <w:sz w:val="24"/>
              </w:rPr>
              <w:t>Site Group</w:t>
            </w:r>
          </w:p>
        </w:tc>
        <w:tc>
          <w:tcPr>
            <w:tcW w:w="3420" w:type="dxa"/>
            <w:tcBorders>
              <w:top w:val="nil"/>
              <w:left w:val="single" w:sz="4" w:space="0" w:color="808080"/>
              <w:bottom w:val="doub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b/>
                <w:sz w:val="24"/>
              </w:rPr>
            </w:pPr>
            <w:r>
              <w:rPr>
                <w:rFonts w:ascii="Times New Roman" w:hAnsi="Times New Roman"/>
                <w:b/>
                <w:sz w:val="24"/>
              </w:rPr>
              <w:t xml:space="preserve"> ICD-O-3 Histology (Type)</w:t>
            </w:r>
          </w:p>
        </w:tc>
        <w:tc>
          <w:tcPr>
            <w:tcW w:w="2112" w:type="dxa"/>
            <w:tcBorders>
              <w:top w:val="nil"/>
              <w:left w:val="single" w:sz="4" w:space="0" w:color="808080"/>
              <w:bottom w:val="doub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b/>
                <w:sz w:val="24"/>
              </w:rPr>
            </w:pPr>
            <w:r>
              <w:rPr>
                <w:rFonts w:ascii="Times New Roman" w:hAnsi="Times New Roman"/>
                <w:b/>
                <w:sz w:val="24"/>
              </w:rPr>
              <w:t>ICD-O-2/3 Site</w:t>
            </w:r>
          </w:p>
        </w:tc>
      </w:tr>
      <w:tr w:rsidR="004C1E6A" w:rsidTr="009F29F7">
        <w:tc>
          <w:tcPr>
            <w:tcW w:w="4428" w:type="dxa"/>
            <w:tcBorders>
              <w:top w:val="nil"/>
              <w:left w:val="single" w:sz="4" w:space="0" w:color="808080"/>
              <w:bottom w:val="single" w:sz="4" w:space="0" w:color="808080"/>
              <w:right w:val="single" w:sz="4" w:space="0" w:color="808080"/>
            </w:tcBorders>
          </w:tcPr>
          <w:p w:rsidR="004C1E6A" w:rsidRDefault="004C1E6A" w:rsidP="00BE595D">
            <w:pPr>
              <w:pStyle w:val="Footer"/>
              <w:tabs>
                <w:tab w:val="clear" w:pos="4320"/>
                <w:tab w:val="clear" w:pos="8640"/>
                <w:tab w:val="left" w:pos="492"/>
              </w:tabs>
              <w:spacing w:line="280" w:lineRule="exact"/>
              <w:ind w:left="492" w:hanging="492"/>
              <w:rPr>
                <w:rFonts w:ascii="Times New Roman" w:hAnsi="Times New Roman"/>
                <w:b/>
                <w:sz w:val="24"/>
              </w:rPr>
            </w:pPr>
            <w:r>
              <w:rPr>
                <w:rFonts w:ascii="Times New Roman" w:hAnsi="Times New Roman"/>
                <w:b/>
                <w:sz w:val="24"/>
              </w:rPr>
              <w:t>I.</w:t>
            </w:r>
            <w:r>
              <w:rPr>
                <w:rFonts w:ascii="Times New Roman" w:hAnsi="Times New Roman"/>
                <w:b/>
                <w:sz w:val="24"/>
              </w:rPr>
              <w:tab/>
            </w:r>
            <w:proofErr w:type="spellStart"/>
            <w:r>
              <w:rPr>
                <w:rFonts w:ascii="Times New Roman" w:hAnsi="Times New Roman"/>
                <w:b/>
                <w:sz w:val="24"/>
              </w:rPr>
              <w:t>Leukemias</w:t>
            </w:r>
            <w:proofErr w:type="spellEnd"/>
            <w:r>
              <w:rPr>
                <w:rFonts w:ascii="Times New Roman" w:hAnsi="Times New Roman"/>
                <w:b/>
                <w:sz w:val="24"/>
              </w:rPr>
              <w:t xml:space="preserve">, </w:t>
            </w:r>
            <w:proofErr w:type="spellStart"/>
            <w:r>
              <w:rPr>
                <w:rFonts w:ascii="Times New Roman" w:hAnsi="Times New Roman"/>
                <w:b/>
                <w:sz w:val="24"/>
              </w:rPr>
              <w:t>myeloproliferative</w:t>
            </w:r>
            <w:proofErr w:type="spellEnd"/>
            <w:r>
              <w:rPr>
                <w:rFonts w:ascii="Times New Roman" w:hAnsi="Times New Roman"/>
                <w:b/>
                <w:sz w:val="24"/>
              </w:rPr>
              <w:t xml:space="preserve"> diseases, and </w:t>
            </w:r>
            <w:proofErr w:type="spellStart"/>
            <w:r>
              <w:rPr>
                <w:rFonts w:ascii="Times New Roman" w:hAnsi="Times New Roman"/>
                <w:b/>
                <w:sz w:val="24"/>
              </w:rPr>
              <w:t>myelodysplastic</w:t>
            </w:r>
            <w:proofErr w:type="spellEnd"/>
            <w:r>
              <w:rPr>
                <w:rFonts w:ascii="Times New Roman" w:hAnsi="Times New Roman"/>
                <w:b/>
                <w:sz w:val="24"/>
              </w:rPr>
              <w:t xml:space="preserve"> diseases</w:t>
            </w:r>
          </w:p>
        </w:tc>
        <w:tc>
          <w:tcPr>
            <w:tcW w:w="3420" w:type="dxa"/>
            <w:tcBorders>
              <w:top w:val="nil"/>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nil"/>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a.</w:t>
            </w:r>
            <w:r>
              <w:rPr>
                <w:rFonts w:ascii="Times New Roman" w:hAnsi="Times New Roman"/>
                <w:sz w:val="24"/>
              </w:rPr>
              <w:tab/>
              <w:t xml:space="preserve">Lymphoid </w:t>
            </w:r>
            <w:proofErr w:type="spellStart"/>
            <w:r>
              <w:rPr>
                <w:rFonts w:ascii="Times New Roman" w:hAnsi="Times New Roman"/>
                <w:sz w:val="24"/>
              </w:rPr>
              <w:t>leukemias</w:t>
            </w:r>
            <w:proofErr w:type="spellEnd"/>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 xml:space="preserve">9820, 9823, 9826, 9827, 9831-9837, 9940, 9948 </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Pr="00374DF1"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lang w:val="fr-FR"/>
              </w:rPr>
            </w:pPr>
            <w:r>
              <w:rPr>
                <w:rFonts w:ascii="Times New Roman" w:hAnsi="Times New Roman"/>
                <w:sz w:val="24"/>
                <w:lang w:val="fr-FR"/>
              </w:rPr>
              <w:tab/>
              <w:t>b.</w:t>
            </w:r>
            <w:r>
              <w:rPr>
                <w:rFonts w:ascii="Times New Roman" w:hAnsi="Times New Roman"/>
                <w:sz w:val="24"/>
                <w:lang w:val="fr-FR"/>
              </w:rPr>
              <w:tab/>
              <w:t xml:space="preserve">Acute </w:t>
            </w:r>
            <w:proofErr w:type="spellStart"/>
            <w:r>
              <w:rPr>
                <w:rFonts w:ascii="Times New Roman" w:hAnsi="Times New Roman"/>
                <w:sz w:val="24"/>
                <w:lang w:val="fr-FR"/>
              </w:rPr>
              <w:t>myeloid</w:t>
            </w:r>
            <w:proofErr w:type="spellEnd"/>
            <w:r w:rsidRPr="00374DF1">
              <w:rPr>
                <w:rFonts w:ascii="Times New Roman" w:hAnsi="Times New Roman"/>
                <w:sz w:val="24"/>
                <w:lang w:val="fr-FR"/>
              </w:rPr>
              <w:t xml:space="preserve"> </w:t>
            </w:r>
            <w:proofErr w:type="spellStart"/>
            <w:r w:rsidRPr="00374DF1">
              <w:rPr>
                <w:rFonts w:ascii="Times New Roman" w:hAnsi="Times New Roman"/>
                <w:sz w:val="24"/>
                <w:lang w:val="fr-FR"/>
              </w:rPr>
              <w:t>leukemia</w:t>
            </w:r>
            <w:r>
              <w:rPr>
                <w:rFonts w:ascii="Times New Roman" w:hAnsi="Times New Roman"/>
                <w:sz w:val="24"/>
                <w:lang w:val="fr-FR"/>
              </w:rPr>
              <w:t>s</w:t>
            </w:r>
            <w:proofErr w:type="spellEnd"/>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9840, 9861, 9866, 9867, 9870-9874, 9891, 9895-9897, 9910, 9920, 9931</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c.</w:t>
            </w:r>
            <w:r>
              <w:rPr>
                <w:rFonts w:ascii="Times New Roman" w:hAnsi="Times New Roman"/>
                <w:sz w:val="24"/>
              </w:rPr>
              <w:tab/>
              <w:t xml:space="preserve">Chronic </w:t>
            </w:r>
            <w:proofErr w:type="spellStart"/>
            <w:r>
              <w:rPr>
                <w:rFonts w:ascii="Times New Roman" w:hAnsi="Times New Roman"/>
                <w:sz w:val="24"/>
              </w:rPr>
              <w:t>myeloproliferative</w:t>
            </w:r>
            <w:proofErr w:type="spellEnd"/>
            <w:r>
              <w:rPr>
                <w:rFonts w:ascii="Times New Roman" w:hAnsi="Times New Roman"/>
                <w:sz w:val="24"/>
              </w:rPr>
              <w:t xml:space="preserve"> diseases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9863, 9875, 9876, 9950, 9960-9964</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d.</w:t>
            </w:r>
            <w:r>
              <w:rPr>
                <w:rFonts w:ascii="Times New Roman" w:hAnsi="Times New Roman"/>
                <w:sz w:val="24"/>
              </w:rPr>
              <w:tab/>
            </w:r>
            <w:proofErr w:type="spellStart"/>
            <w:r>
              <w:rPr>
                <w:rFonts w:ascii="Times New Roman" w:hAnsi="Times New Roman"/>
                <w:sz w:val="24"/>
              </w:rPr>
              <w:t>Myelodysplastic</w:t>
            </w:r>
            <w:proofErr w:type="spellEnd"/>
            <w:r>
              <w:rPr>
                <w:rFonts w:ascii="Times New Roman" w:hAnsi="Times New Roman"/>
                <w:sz w:val="24"/>
              </w:rPr>
              <w:t xml:space="preserve"> syndrome and other </w:t>
            </w:r>
            <w:proofErr w:type="spellStart"/>
            <w:r>
              <w:rPr>
                <w:rFonts w:ascii="Times New Roman" w:hAnsi="Times New Roman"/>
                <w:sz w:val="24"/>
              </w:rPr>
              <w:t>myeloproliferative</w:t>
            </w:r>
            <w:proofErr w:type="spellEnd"/>
            <w:r>
              <w:rPr>
                <w:rFonts w:ascii="Times New Roman" w:hAnsi="Times New Roman"/>
                <w:sz w:val="24"/>
              </w:rPr>
              <w:t xml:space="preserve"> diseases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9945, 9946, 9975, 9980, 9982-9987, 9989</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e.</w:t>
            </w:r>
            <w:r>
              <w:rPr>
                <w:rFonts w:ascii="Times New Roman" w:hAnsi="Times New Roman"/>
                <w:sz w:val="24"/>
              </w:rPr>
              <w:tab/>
              <w:t xml:space="preserve">Unspecified and other specified </w:t>
            </w:r>
            <w:proofErr w:type="spellStart"/>
            <w:r>
              <w:rPr>
                <w:rFonts w:ascii="Times New Roman" w:hAnsi="Times New Roman"/>
                <w:sz w:val="24"/>
              </w:rPr>
              <w:t>leukemias</w:t>
            </w:r>
            <w:proofErr w:type="spellEnd"/>
            <w:r>
              <w:rPr>
                <w:rFonts w:ascii="Times New Roman" w:hAnsi="Times New Roman"/>
                <w:sz w:val="24"/>
              </w:rPr>
              <w:t xml:space="preserve"> </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9800, 9801, 9805, 9860, 9930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540" w:hanging="540"/>
              <w:rPr>
                <w:rFonts w:ascii="Times New Roman" w:hAnsi="Times New Roman"/>
                <w:b/>
                <w:sz w:val="24"/>
              </w:rPr>
            </w:pPr>
            <w:r>
              <w:rPr>
                <w:rFonts w:ascii="Times New Roman" w:hAnsi="Times New Roman"/>
                <w:b/>
                <w:sz w:val="24"/>
              </w:rPr>
              <w:t>II.</w:t>
            </w:r>
            <w:r>
              <w:rPr>
                <w:rFonts w:ascii="Times New Roman" w:hAnsi="Times New Roman"/>
                <w:b/>
                <w:sz w:val="24"/>
              </w:rPr>
              <w:tab/>
              <w:t xml:space="preserve">Lymphomas and </w:t>
            </w:r>
            <w:proofErr w:type="spellStart"/>
            <w:r>
              <w:rPr>
                <w:rFonts w:ascii="Times New Roman" w:hAnsi="Times New Roman"/>
                <w:b/>
                <w:sz w:val="24"/>
              </w:rPr>
              <w:t>reticuloendothelial</w:t>
            </w:r>
            <w:proofErr w:type="spellEnd"/>
            <w:r>
              <w:rPr>
                <w:rFonts w:ascii="Times New Roman" w:hAnsi="Times New Roman"/>
                <w:b/>
                <w:sz w:val="24"/>
              </w:rPr>
              <w:t xml:space="preserve"> neoplasms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a.</w:t>
            </w:r>
            <w:r>
              <w:rPr>
                <w:rFonts w:ascii="Times New Roman" w:hAnsi="Times New Roman"/>
                <w:sz w:val="24"/>
              </w:rPr>
              <w:tab/>
              <w:t>Hodgkin lymphomas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9650-9655, 9659, 9661-9665, 9667</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b.</w:t>
            </w:r>
            <w:r>
              <w:rPr>
                <w:rFonts w:ascii="Times New Roman" w:hAnsi="Times New Roman"/>
                <w:sz w:val="24"/>
              </w:rPr>
              <w:tab/>
              <w:t xml:space="preserve">Non-Hodgkin lymphomas (except </w:t>
            </w:r>
            <w:proofErr w:type="spellStart"/>
            <w:r>
              <w:rPr>
                <w:rFonts w:ascii="Times New Roman" w:hAnsi="Times New Roman"/>
                <w:sz w:val="24"/>
              </w:rPr>
              <w:t>Burkitt</w:t>
            </w:r>
            <w:proofErr w:type="spellEnd"/>
            <w:r>
              <w:rPr>
                <w:rFonts w:ascii="Times New Roman" w:hAnsi="Times New Roman"/>
                <w:sz w:val="24"/>
              </w:rPr>
              <w:t xml:space="preserve"> lymphoma)</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9591, 9670, 9671, 9673, 9675, 9678-9680, 9684, 9689-9691,  9695, 9698-9702, 9705, 9708, 9709, 9714, 9716-9719, 9727-9729, 9731-9734, 9760-9762, 9764-9769, 9970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c.</w:t>
            </w:r>
            <w:r>
              <w:rPr>
                <w:rFonts w:ascii="Times New Roman" w:hAnsi="Times New Roman"/>
                <w:sz w:val="24"/>
              </w:rPr>
              <w:tab/>
            </w:r>
            <w:proofErr w:type="spellStart"/>
            <w:r>
              <w:rPr>
                <w:rFonts w:ascii="Times New Roman" w:hAnsi="Times New Roman"/>
                <w:sz w:val="24"/>
              </w:rPr>
              <w:t>Burkitt</w:t>
            </w:r>
            <w:proofErr w:type="spellEnd"/>
            <w:r>
              <w:rPr>
                <w:rFonts w:ascii="Times New Roman" w:hAnsi="Times New Roman"/>
                <w:sz w:val="24"/>
              </w:rPr>
              <w:t xml:space="preserve"> lymphoma</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9687</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d.</w:t>
            </w:r>
            <w:r>
              <w:rPr>
                <w:rFonts w:ascii="Times New Roman" w:hAnsi="Times New Roman"/>
                <w:sz w:val="24"/>
              </w:rPr>
              <w:tab/>
              <w:t xml:space="preserve">Miscellaneous </w:t>
            </w:r>
            <w:proofErr w:type="spellStart"/>
            <w:r>
              <w:rPr>
                <w:rFonts w:ascii="Times New Roman" w:hAnsi="Times New Roman"/>
                <w:sz w:val="24"/>
              </w:rPr>
              <w:t>lymphoreticular</w:t>
            </w:r>
            <w:proofErr w:type="spellEnd"/>
            <w:r>
              <w:rPr>
                <w:rFonts w:ascii="Times New Roman" w:hAnsi="Times New Roman"/>
                <w:sz w:val="24"/>
              </w:rPr>
              <w:t xml:space="preserve"> neoplasms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9740-9742, 9750, 9754-9758</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e.</w:t>
            </w:r>
            <w:r>
              <w:rPr>
                <w:rFonts w:ascii="Times New Roman" w:hAnsi="Times New Roman"/>
                <w:sz w:val="24"/>
              </w:rPr>
              <w:tab/>
              <w:t>Unspecified lymphomas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9590, 9596</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540" w:hanging="540"/>
              <w:rPr>
                <w:rFonts w:ascii="Times New Roman" w:hAnsi="Times New Roman"/>
                <w:b/>
                <w:sz w:val="24"/>
              </w:rPr>
            </w:pPr>
            <w:r>
              <w:rPr>
                <w:rFonts w:ascii="Times New Roman" w:hAnsi="Times New Roman"/>
                <w:b/>
                <w:sz w:val="24"/>
              </w:rPr>
              <w:t>III.</w:t>
            </w:r>
            <w:r>
              <w:rPr>
                <w:rFonts w:ascii="Times New Roman" w:hAnsi="Times New Roman"/>
                <w:b/>
                <w:sz w:val="24"/>
              </w:rPr>
              <w:tab/>
              <w:t xml:space="preserve">Central nervous system and miscellaneous intracranial and </w:t>
            </w:r>
            <w:proofErr w:type="spellStart"/>
            <w:r>
              <w:rPr>
                <w:rFonts w:ascii="Times New Roman" w:hAnsi="Times New Roman"/>
                <w:b/>
                <w:sz w:val="24"/>
              </w:rPr>
              <w:t>intraspinal</w:t>
            </w:r>
            <w:proofErr w:type="spellEnd"/>
            <w:r>
              <w:rPr>
                <w:rFonts w:ascii="Times New Roman" w:hAnsi="Times New Roman"/>
                <w:b/>
                <w:sz w:val="24"/>
              </w:rPr>
              <w:t xml:space="preserve"> neoplasms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a.</w:t>
            </w:r>
            <w:r>
              <w:rPr>
                <w:rFonts w:ascii="Times New Roman" w:hAnsi="Times New Roman"/>
                <w:sz w:val="24"/>
              </w:rPr>
              <w:tab/>
            </w:r>
            <w:proofErr w:type="spellStart"/>
            <w:r>
              <w:rPr>
                <w:rFonts w:ascii="Times New Roman" w:hAnsi="Times New Roman"/>
                <w:sz w:val="24"/>
              </w:rPr>
              <w:t>Ependymomas</w:t>
            </w:r>
            <w:proofErr w:type="spellEnd"/>
            <w:r>
              <w:rPr>
                <w:rFonts w:ascii="Times New Roman" w:hAnsi="Times New Roman"/>
                <w:sz w:val="24"/>
              </w:rPr>
              <w:t xml:space="preserve"> and choroid plexus tumor</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9383, 9390-9394</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b.</w:t>
            </w:r>
            <w:r>
              <w:rPr>
                <w:rFonts w:ascii="Times New Roman" w:hAnsi="Times New Roman"/>
                <w:sz w:val="24"/>
              </w:rPr>
              <w:tab/>
            </w:r>
            <w:proofErr w:type="spellStart"/>
            <w:r>
              <w:rPr>
                <w:rFonts w:ascii="Times New Roman" w:hAnsi="Times New Roman"/>
                <w:sz w:val="24"/>
              </w:rPr>
              <w:t>Astrocytomas</w:t>
            </w:r>
            <w:proofErr w:type="spellEnd"/>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9380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C72.3</w:t>
            </w:r>
          </w:p>
        </w:tc>
      </w:tr>
      <w:tr w:rsidR="004C1E6A" w:rsidTr="009F29F7">
        <w:tc>
          <w:tcPr>
            <w:tcW w:w="4428" w:type="dxa"/>
            <w:tcBorders>
              <w:top w:val="nil"/>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9384, 9400-9441, 9420, 9421-9424, 9440-9442</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lastRenderedPageBreak/>
              <w:tab/>
              <w:t>c.</w:t>
            </w:r>
            <w:r>
              <w:rPr>
                <w:rFonts w:ascii="Times New Roman" w:hAnsi="Times New Roman"/>
                <w:sz w:val="24"/>
              </w:rPr>
              <w:tab/>
              <w:t xml:space="preserve">Intracranial and </w:t>
            </w:r>
            <w:proofErr w:type="spellStart"/>
            <w:r>
              <w:rPr>
                <w:rFonts w:ascii="Times New Roman" w:hAnsi="Times New Roman"/>
                <w:sz w:val="24"/>
              </w:rPr>
              <w:t>intraspinal</w:t>
            </w:r>
            <w:proofErr w:type="spellEnd"/>
            <w:r>
              <w:rPr>
                <w:rFonts w:ascii="Times New Roman" w:hAnsi="Times New Roman"/>
                <w:sz w:val="24"/>
              </w:rPr>
              <w:t xml:space="preserve"> </w:t>
            </w:r>
            <w:proofErr w:type="spellStart"/>
            <w:r>
              <w:rPr>
                <w:rFonts w:ascii="Times New Roman" w:hAnsi="Times New Roman"/>
                <w:sz w:val="24"/>
              </w:rPr>
              <w:t>embryonal</w:t>
            </w:r>
            <w:proofErr w:type="spellEnd"/>
            <w:r>
              <w:rPr>
                <w:rFonts w:ascii="Times New Roman" w:hAnsi="Times New Roman"/>
                <w:sz w:val="24"/>
              </w:rPr>
              <w:t xml:space="preserve">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9470-9474, 9480, 9508</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9501-9504</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C700-C729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d.</w:t>
            </w:r>
            <w:r>
              <w:rPr>
                <w:rFonts w:ascii="Times New Roman" w:hAnsi="Times New Roman"/>
                <w:sz w:val="24"/>
              </w:rPr>
              <w:tab/>
              <w:t xml:space="preserve">Other </w:t>
            </w:r>
            <w:proofErr w:type="spellStart"/>
            <w:r>
              <w:rPr>
                <w:rFonts w:ascii="Times New Roman" w:hAnsi="Times New Roman"/>
                <w:sz w:val="24"/>
              </w:rPr>
              <w:t>gliomas</w:t>
            </w:r>
            <w:proofErr w:type="spellEnd"/>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9380</w:t>
            </w:r>
          </w:p>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C700-C722, C724-C729, C751, C753</w:t>
            </w:r>
          </w:p>
        </w:tc>
      </w:tr>
      <w:tr w:rsidR="004C1E6A" w:rsidTr="009F29F7">
        <w:tc>
          <w:tcPr>
            <w:tcW w:w="4428" w:type="dxa"/>
            <w:tcBorders>
              <w:top w:val="nil"/>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9381, 9382, 9430, 9444, 9450, 9451, 9460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e.</w:t>
            </w:r>
            <w:r>
              <w:rPr>
                <w:rFonts w:ascii="Times New Roman" w:hAnsi="Times New Roman"/>
                <w:sz w:val="24"/>
              </w:rPr>
              <w:tab/>
              <w:t xml:space="preserve">Other specified intracranial and </w:t>
            </w:r>
            <w:proofErr w:type="spellStart"/>
            <w:r>
              <w:rPr>
                <w:rFonts w:ascii="Times New Roman" w:hAnsi="Times New Roman"/>
                <w:sz w:val="24"/>
              </w:rPr>
              <w:t>intraspinal</w:t>
            </w:r>
            <w:proofErr w:type="spellEnd"/>
            <w:r>
              <w:rPr>
                <w:rFonts w:ascii="Times New Roman" w:hAnsi="Times New Roman"/>
                <w:sz w:val="24"/>
              </w:rPr>
              <w:t xml:space="preserve"> neoplasms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8270-8281, 8300, 9350-9352,  9360-9362, 9412, 9413, 9492,  9493, 9505-9507, 9530-9539, 9582</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f.</w:t>
            </w:r>
            <w:r>
              <w:rPr>
                <w:rFonts w:ascii="Times New Roman" w:hAnsi="Times New Roman"/>
                <w:sz w:val="24"/>
              </w:rPr>
              <w:tab/>
              <w:t xml:space="preserve">Unspecified intracranial and </w:t>
            </w:r>
            <w:proofErr w:type="spellStart"/>
            <w:r>
              <w:rPr>
                <w:rFonts w:ascii="Times New Roman" w:hAnsi="Times New Roman"/>
                <w:sz w:val="24"/>
              </w:rPr>
              <w:t>intraspinal</w:t>
            </w:r>
            <w:proofErr w:type="spellEnd"/>
            <w:r>
              <w:rPr>
                <w:rFonts w:ascii="Times New Roman" w:hAnsi="Times New Roman"/>
                <w:sz w:val="24"/>
              </w:rPr>
              <w:t xml:space="preserve"> neoplasms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8000-8005</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C700-C729, C751-C753</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540" w:hanging="540"/>
              <w:rPr>
                <w:rFonts w:ascii="Times New Roman" w:hAnsi="Times New Roman"/>
                <w:b/>
                <w:sz w:val="24"/>
              </w:rPr>
            </w:pPr>
            <w:r>
              <w:rPr>
                <w:rFonts w:ascii="Times New Roman" w:hAnsi="Times New Roman"/>
                <w:b/>
                <w:sz w:val="24"/>
              </w:rPr>
              <w:t>IV.</w:t>
            </w:r>
            <w:r>
              <w:rPr>
                <w:rFonts w:ascii="Times New Roman" w:hAnsi="Times New Roman"/>
                <w:b/>
                <w:sz w:val="24"/>
              </w:rPr>
              <w:tab/>
            </w:r>
            <w:proofErr w:type="spellStart"/>
            <w:r>
              <w:rPr>
                <w:rFonts w:ascii="Times New Roman" w:hAnsi="Times New Roman"/>
                <w:b/>
                <w:sz w:val="24"/>
              </w:rPr>
              <w:t>Neuroblastoma</w:t>
            </w:r>
            <w:proofErr w:type="spellEnd"/>
            <w:r>
              <w:rPr>
                <w:rFonts w:ascii="Times New Roman" w:hAnsi="Times New Roman"/>
                <w:b/>
                <w:sz w:val="24"/>
              </w:rPr>
              <w:t xml:space="preserve"> and other peripheral nervous cell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a.</w:t>
            </w:r>
            <w:r>
              <w:rPr>
                <w:rFonts w:ascii="Times New Roman" w:hAnsi="Times New Roman"/>
                <w:sz w:val="24"/>
              </w:rPr>
              <w:tab/>
            </w:r>
            <w:proofErr w:type="spellStart"/>
            <w:r>
              <w:rPr>
                <w:rFonts w:ascii="Times New Roman" w:hAnsi="Times New Roman"/>
                <w:sz w:val="24"/>
              </w:rPr>
              <w:t>Neuroblastoma</w:t>
            </w:r>
            <w:proofErr w:type="spellEnd"/>
            <w:r>
              <w:rPr>
                <w:rFonts w:ascii="Times New Roman" w:hAnsi="Times New Roman"/>
                <w:sz w:val="24"/>
              </w:rPr>
              <w:t xml:space="preserve"> and </w:t>
            </w:r>
            <w:proofErr w:type="spellStart"/>
            <w:r>
              <w:rPr>
                <w:rFonts w:ascii="Times New Roman" w:hAnsi="Times New Roman"/>
                <w:sz w:val="24"/>
              </w:rPr>
              <w:t>ganglioneuroblastoma</w:t>
            </w:r>
            <w:proofErr w:type="spellEnd"/>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9490, 9500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DE2FB2">
            <w:pPr>
              <w:pStyle w:val="Footer"/>
              <w:tabs>
                <w:tab w:val="clear" w:pos="4320"/>
                <w:tab w:val="clear" w:pos="8640"/>
              </w:tabs>
            </w:pPr>
            <w:r>
              <w:br w:type="page"/>
            </w:r>
            <w:r>
              <w:rPr>
                <w:rFonts w:ascii="Times New Roman" w:hAnsi="Times New Roman"/>
                <w:sz w:val="24"/>
              </w:rPr>
              <w:t>C000-C809</w:t>
            </w:r>
          </w:p>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b.</w:t>
            </w:r>
            <w:r>
              <w:rPr>
                <w:rFonts w:ascii="Times New Roman" w:hAnsi="Times New Roman"/>
                <w:sz w:val="24"/>
              </w:rPr>
              <w:tab/>
              <w:t>Other peripheral nervous cell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8680-8683, 8690-8693, 8700, 9520-9523</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b/>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9501-9504</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C000-C699, C739-C768, 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b/>
                <w:sz w:val="24"/>
              </w:rPr>
            </w:pPr>
            <w:r>
              <w:rPr>
                <w:rFonts w:ascii="Times New Roman" w:hAnsi="Times New Roman"/>
                <w:b/>
                <w:sz w:val="24"/>
              </w:rPr>
              <w:t>V.</w:t>
            </w:r>
            <w:r>
              <w:rPr>
                <w:rFonts w:ascii="Times New Roman" w:hAnsi="Times New Roman"/>
                <w:b/>
                <w:sz w:val="24"/>
              </w:rPr>
              <w:tab/>
              <w:t>Retinoblastoma</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9510-9514</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b/>
                <w:sz w:val="24"/>
              </w:rPr>
            </w:pPr>
            <w:r>
              <w:rPr>
                <w:rFonts w:ascii="Times New Roman" w:hAnsi="Times New Roman"/>
                <w:b/>
                <w:sz w:val="24"/>
              </w:rPr>
              <w:t>VI.</w:t>
            </w:r>
            <w:r>
              <w:rPr>
                <w:rFonts w:ascii="Times New Roman" w:hAnsi="Times New Roman"/>
                <w:b/>
                <w:sz w:val="24"/>
              </w:rPr>
              <w:tab/>
              <w:t>Renal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a.</w:t>
            </w:r>
            <w:r>
              <w:rPr>
                <w:rFonts w:ascii="Times New Roman" w:hAnsi="Times New Roman"/>
                <w:sz w:val="24"/>
              </w:rPr>
              <w:tab/>
            </w:r>
            <w:proofErr w:type="spellStart"/>
            <w:r>
              <w:rPr>
                <w:rFonts w:ascii="Times New Roman" w:hAnsi="Times New Roman"/>
                <w:sz w:val="24"/>
              </w:rPr>
              <w:t>Nephroblastoma</w:t>
            </w:r>
            <w:proofErr w:type="spellEnd"/>
            <w:r>
              <w:rPr>
                <w:rFonts w:ascii="Times New Roman" w:hAnsi="Times New Roman"/>
                <w:sz w:val="24"/>
              </w:rPr>
              <w:t xml:space="preserve"> and other non-epithelial renal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8959, 8964-8967</w:t>
            </w:r>
          </w:p>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nil"/>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8963, 9364</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C649</w:t>
            </w:r>
          </w:p>
        </w:tc>
      </w:tr>
      <w:tr w:rsidR="004C1E6A" w:rsidTr="009F29F7">
        <w:tc>
          <w:tcPr>
            <w:tcW w:w="4428" w:type="dxa"/>
            <w:tcBorders>
              <w:top w:val="nil"/>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 xml:space="preserve">         b. </w:t>
            </w:r>
            <w:proofErr w:type="spellStart"/>
            <w:r>
              <w:rPr>
                <w:rFonts w:ascii="Times New Roman" w:hAnsi="Times New Roman"/>
                <w:sz w:val="24"/>
              </w:rPr>
              <w:t>Wilm’s</w:t>
            </w:r>
            <w:proofErr w:type="spellEnd"/>
            <w:r>
              <w:rPr>
                <w:rFonts w:ascii="Times New Roman" w:hAnsi="Times New Roman"/>
                <w:sz w:val="24"/>
              </w:rPr>
              <w:t xml:space="preserve"> Tumor</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8960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nil"/>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c.</w:t>
            </w:r>
            <w:r>
              <w:rPr>
                <w:rFonts w:ascii="Times New Roman" w:hAnsi="Times New Roman"/>
                <w:sz w:val="24"/>
              </w:rPr>
              <w:tab/>
              <w:t>Renal carcinomas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8010-8041, 8050-8075, 8082, 8120-8122, 8130-8141, 8143, 8155, 8190-8201, 8210, 8211, 8221-8231, 8240, 8241, 8244-8246, 8260-8263, 8290, 8310, 8320, 8323, 8401, 8430, 8440, 8480-8490, 8504, 8510, 8550, 8560-8576</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C649</w:t>
            </w:r>
          </w:p>
        </w:tc>
      </w:tr>
      <w:tr w:rsidR="004C1E6A" w:rsidTr="009F29F7">
        <w:tc>
          <w:tcPr>
            <w:tcW w:w="4428" w:type="dxa"/>
            <w:tcBorders>
              <w:top w:val="nil"/>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8311, 8312, 8316-8319, 8361</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d.</w:t>
            </w:r>
            <w:r>
              <w:rPr>
                <w:rFonts w:ascii="Times New Roman" w:hAnsi="Times New Roman"/>
                <w:sz w:val="24"/>
              </w:rPr>
              <w:tab/>
              <w:t>Unspecified malignant renal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8000-8005</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C649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b/>
                <w:sz w:val="24"/>
              </w:rPr>
            </w:pPr>
            <w:r>
              <w:rPr>
                <w:rFonts w:ascii="Times New Roman" w:hAnsi="Times New Roman"/>
                <w:b/>
                <w:sz w:val="24"/>
              </w:rPr>
              <w:t>VII.</w:t>
            </w:r>
            <w:r>
              <w:rPr>
                <w:rFonts w:ascii="Times New Roman" w:hAnsi="Times New Roman"/>
                <w:b/>
                <w:sz w:val="24"/>
              </w:rPr>
              <w:tab/>
              <w:t>Hepatic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a.</w:t>
            </w:r>
            <w:r>
              <w:rPr>
                <w:rFonts w:ascii="Times New Roman" w:hAnsi="Times New Roman"/>
                <w:sz w:val="24"/>
              </w:rPr>
              <w:tab/>
            </w:r>
            <w:proofErr w:type="spellStart"/>
            <w:r>
              <w:rPr>
                <w:rFonts w:ascii="Times New Roman" w:hAnsi="Times New Roman"/>
                <w:sz w:val="24"/>
              </w:rPr>
              <w:t>Hepatoblastoma</w:t>
            </w:r>
            <w:proofErr w:type="spellEnd"/>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8970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b.</w:t>
            </w:r>
            <w:r>
              <w:rPr>
                <w:rFonts w:ascii="Times New Roman" w:hAnsi="Times New Roman"/>
                <w:sz w:val="24"/>
              </w:rPr>
              <w:tab/>
              <w:t>Hepatic carcinomas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8010-8041, 8050-8075, 8082, 8120-8122, 8140, 8141, 8143, 8155, 8190-8201, 8210, 8211, 8230, 8231, 8240, 8241, 8244-8246, 8260-8264, 8310, 8320, 8323, 8401, 8430, 8440, 8480-</w:t>
            </w:r>
            <w:r>
              <w:rPr>
                <w:rFonts w:ascii="Times New Roman" w:hAnsi="Times New Roman"/>
                <w:sz w:val="24"/>
              </w:rPr>
              <w:lastRenderedPageBreak/>
              <w:t>8490, 8504, 8510, 8550, 8560-8576</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lastRenderedPageBreak/>
              <w:t>C220, C221</w:t>
            </w:r>
          </w:p>
        </w:tc>
      </w:tr>
      <w:tr w:rsidR="004C1E6A" w:rsidTr="009F29F7">
        <w:tc>
          <w:tcPr>
            <w:tcW w:w="4428" w:type="dxa"/>
            <w:tcBorders>
              <w:top w:val="nil"/>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8160-8180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c.</w:t>
            </w:r>
            <w:r>
              <w:rPr>
                <w:rFonts w:ascii="Times New Roman" w:hAnsi="Times New Roman"/>
                <w:sz w:val="24"/>
              </w:rPr>
              <w:tab/>
              <w:t>Unspecified malignant hepatic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8000-8005</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C220, C221</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b/>
                <w:sz w:val="24"/>
              </w:rPr>
            </w:pPr>
            <w:r>
              <w:rPr>
                <w:rFonts w:ascii="Times New Roman" w:hAnsi="Times New Roman"/>
                <w:b/>
                <w:sz w:val="24"/>
              </w:rPr>
              <w:t>VIII.</w:t>
            </w:r>
            <w:r>
              <w:rPr>
                <w:rFonts w:ascii="Times New Roman" w:hAnsi="Times New Roman"/>
                <w:b/>
                <w:sz w:val="24"/>
              </w:rPr>
              <w:tab/>
              <w:t>Malignant Bone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a.</w:t>
            </w:r>
            <w:r>
              <w:rPr>
                <w:rFonts w:ascii="Times New Roman" w:hAnsi="Times New Roman"/>
                <w:sz w:val="24"/>
              </w:rPr>
              <w:tab/>
              <w:t>Osteosarcomas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9180-9187, 9191-9195, 9200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C400-C419, C760-C768, 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b.</w:t>
            </w:r>
            <w:r>
              <w:rPr>
                <w:rFonts w:ascii="Times New Roman" w:hAnsi="Times New Roman"/>
                <w:sz w:val="24"/>
              </w:rPr>
              <w:tab/>
            </w:r>
            <w:proofErr w:type="spellStart"/>
            <w:r>
              <w:rPr>
                <w:rFonts w:ascii="Times New Roman" w:hAnsi="Times New Roman"/>
                <w:sz w:val="24"/>
              </w:rPr>
              <w:t>Chondrosarcomas</w:t>
            </w:r>
            <w:proofErr w:type="spellEnd"/>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9210, 9220, 9240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C400-C419, C760-C768, C809</w:t>
            </w:r>
          </w:p>
        </w:tc>
      </w:tr>
      <w:tr w:rsidR="004C1E6A" w:rsidTr="009F29F7">
        <w:tc>
          <w:tcPr>
            <w:tcW w:w="4428" w:type="dxa"/>
            <w:tcBorders>
              <w:top w:val="nil"/>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9221, 9230, 9241-9243</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c.</w:t>
            </w:r>
            <w:r>
              <w:rPr>
                <w:rFonts w:ascii="Times New Roman" w:hAnsi="Times New Roman"/>
                <w:sz w:val="24"/>
              </w:rPr>
              <w:tab/>
              <w:t>Ewing’s tumors and related sarcomas of the bone</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9260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C400-C419,  C760-C768, C80.9</w:t>
            </w:r>
          </w:p>
        </w:tc>
      </w:tr>
      <w:tr w:rsidR="004C1E6A" w:rsidTr="009F29F7">
        <w:tc>
          <w:tcPr>
            <w:tcW w:w="4428" w:type="dxa"/>
            <w:tcBorders>
              <w:top w:val="nil"/>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9363-9365</w:t>
            </w:r>
          </w:p>
        </w:tc>
        <w:tc>
          <w:tcPr>
            <w:tcW w:w="2112"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C400-C419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d.</w:t>
            </w:r>
            <w:r>
              <w:rPr>
                <w:rFonts w:ascii="Times New Roman" w:hAnsi="Times New Roman"/>
                <w:sz w:val="24"/>
              </w:rPr>
              <w:tab/>
              <w:t>Other specified malignant bone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 xml:space="preserve">8810, 8811, 8823, 8830 </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D51C94">
            <w:pPr>
              <w:pStyle w:val="Footer"/>
              <w:tabs>
                <w:tab w:val="clear" w:pos="4320"/>
                <w:tab w:val="clear" w:pos="8640"/>
              </w:tabs>
              <w:spacing w:line="280" w:lineRule="exact"/>
              <w:rPr>
                <w:rFonts w:ascii="Times New Roman" w:hAnsi="Times New Roman"/>
                <w:sz w:val="24"/>
              </w:rPr>
            </w:pPr>
            <w:r>
              <w:rPr>
                <w:rFonts w:ascii="Times New Roman" w:hAnsi="Times New Roman"/>
                <w:sz w:val="24"/>
              </w:rPr>
              <w:t>C400-C419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8812, 9250, 9261, 9262, 9270-9275, 9280-9282, 9290, 9330-9302, 9310-9312, 9320-9322, 9330, 9340-9342, 9370-9372</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e.</w:t>
            </w:r>
            <w:r>
              <w:rPr>
                <w:rFonts w:ascii="Times New Roman" w:hAnsi="Times New Roman"/>
                <w:sz w:val="24"/>
              </w:rPr>
              <w:tab/>
              <w:t>Unspecified malignant bone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8000-8005, 8800, 8801, 8803-8805</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C400-C419</w:t>
            </w:r>
          </w:p>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E595D">
            <w:pPr>
              <w:pStyle w:val="Footer"/>
              <w:tabs>
                <w:tab w:val="clear" w:pos="4320"/>
                <w:tab w:val="clear" w:pos="8640"/>
                <w:tab w:val="left" w:pos="492"/>
              </w:tabs>
              <w:spacing w:line="280" w:lineRule="exact"/>
              <w:ind w:left="492" w:hanging="492"/>
              <w:rPr>
                <w:rFonts w:ascii="Times New Roman" w:hAnsi="Times New Roman"/>
                <w:b/>
                <w:sz w:val="24"/>
              </w:rPr>
            </w:pPr>
            <w:r w:rsidRPr="00B724CD">
              <w:rPr>
                <w:rFonts w:ascii="Times New Roman" w:hAnsi="Times New Roman"/>
                <w:b/>
                <w:sz w:val="24"/>
              </w:rPr>
              <w:t>IX.</w:t>
            </w:r>
            <w:r w:rsidRPr="00B724CD">
              <w:rPr>
                <w:rFonts w:ascii="Times New Roman" w:hAnsi="Times New Roman"/>
                <w:b/>
                <w:sz w:val="24"/>
              </w:rPr>
              <w:tab/>
              <w:t>Soft</w:t>
            </w:r>
            <w:r>
              <w:rPr>
                <w:rFonts w:ascii="Times New Roman" w:hAnsi="Times New Roman"/>
                <w:b/>
                <w:sz w:val="24"/>
              </w:rPr>
              <w:t xml:space="preserve"> t</w:t>
            </w:r>
            <w:r w:rsidRPr="00B724CD">
              <w:rPr>
                <w:rFonts w:ascii="Times New Roman" w:hAnsi="Times New Roman"/>
                <w:b/>
                <w:sz w:val="24"/>
              </w:rPr>
              <w:t xml:space="preserve">issue </w:t>
            </w:r>
            <w:r>
              <w:rPr>
                <w:rFonts w:ascii="Times New Roman" w:hAnsi="Times New Roman"/>
                <w:b/>
                <w:sz w:val="24"/>
              </w:rPr>
              <w:t xml:space="preserve">and other </w:t>
            </w:r>
            <w:proofErr w:type="spellStart"/>
            <w:r>
              <w:rPr>
                <w:rFonts w:ascii="Times New Roman" w:hAnsi="Times New Roman"/>
                <w:b/>
                <w:sz w:val="24"/>
              </w:rPr>
              <w:t>extraosseous</w:t>
            </w:r>
            <w:proofErr w:type="spellEnd"/>
            <w:r>
              <w:rPr>
                <w:rFonts w:ascii="Times New Roman" w:hAnsi="Times New Roman"/>
                <w:b/>
                <w:sz w:val="24"/>
              </w:rPr>
              <w:t xml:space="preserve"> sarcomas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a.</w:t>
            </w:r>
            <w:r>
              <w:rPr>
                <w:rFonts w:ascii="Times New Roman" w:hAnsi="Times New Roman"/>
                <w:sz w:val="24"/>
              </w:rPr>
              <w:tab/>
            </w:r>
            <w:proofErr w:type="spellStart"/>
            <w:r>
              <w:rPr>
                <w:rFonts w:ascii="Times New Roman" w:hAnsi="Times New Roman"/>
                <w:sz w:val="24"/>
              </w:rPr>
              <w:t>Rhabdomyosarcomas</w:t>
            </w:r>
            <w:proofErr w:type="spellEnd"/>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8900-8905, 8910, 8912, 8920, 8991</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b.</w:t>
            </w:r>
            <w:r>
              <w:rPr>
                <w:rFonts w:ascii="Times New Roman" w:hAnsi="Times New Roman"/>
                <w:sz w:val="24"/>
              </w:rPr>
              <w:tab/>
            </w:r>
            <w:proofErr w:type="spellStart"/>
            <w:r>
              <w:rPr>
                <w:rFonts w:ascii="Times New Roman" w:hAnsi="Times New Roman"/>
                <w:sz w:val="24"/>
              </w:rPr>
              <w:t>Fibrosarcomas</w:t>
            </w:r>
            <w:proofErr w:type="spellEnd"/>
            <w:r>
              <w:rPr>
                <w:rFonts w:ascii="Times New Roman" w:hAnsi="Times New Roman"/>
                <w:sz w:val="24"/>
              </w:rPr>
              <w:t>, peripheral nerve sheath tumors, and other fibrous neoplasms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 xml:space="preserve">8810, 8811, 8813-8815, 8821, 8823, 8834-8835 </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C000-C399, C440-C768, 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8820, 8822, 8824-8827, 9150,  9160, 9491, 9540-9571, 9580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c.</w:t>
            </w:r>
            <w:r>
              <w:rPr>
                <w:rFonts w:ascii="Times New Roman" w:hAnsi="Times New Roman"/>
                <w:sz w:val="24"/>
              </w:rPr>
              <w:tab/>
              <w:t>Kaposi sarcoma</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9140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d.</w:t>
            </w:r>
            <w:r>
              <w:rPr>
                <w:rFonts w:ascii="Times New Roman" w:hAnsi="Times New Roman"/>
                <w:sz w:val="24"/>
              </w:rPr>
              <w:tab/>
              <w:t>Other specified soft-tissue sarcomas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8587, 8710-8713, 8806, 8831-8833, 8836, 8840-8842, 8850-8858, 8860-8862, 8870, 8880, 8881, 8890-8898, 8921, 8982, 8990, 9040-9044, 9120-9125,  9130-9133, 9135, 9136, 9141, 9142, 9161, 9170-9175, 9231, 9251, 9252, 9373, 9581</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nil"/>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8830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C000-C399,</w:t>
            </w:r>
          </w:p>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C440-C768, C809</w:t>
            </w:r>
          </w:p>
        </w:tc>
      </w:tr>
      <w:tr w:rsidR="004C1E6A" w:rsidTr="009F29F7">
        <w:tc>
          <w:tcPr>
            <w:tcW w:w="4428" w:type="dxa"/>
            <w:tcBorders>
              <w:top w:val="nil"/>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8963</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C000-C639,</w:t>
            </w:r>
          </w:p>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C659-C699, C739-C768, C809</w:t>
            </w:r>
          </w:p>
        </w:tc>
      </w:tr>
      <w:tr w:rsidR="004C1E6A" w:rsidTr="009F29F7">
        <w:tc>
          <w:tcPr>
            <w:tcW w:w="4428" w:type="dxa"/>
            <w:tcBorders>
              <w:top w:val="nil"/>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9180, 9210, 9220, 9240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 xml:space="preserve">C490-C499, </w:t>
            </w:r>
          </w:p>
        </w:tc>
      </w:tr>
      <w:tr w:rsidR="004C1E6A" w:rsidTr="009F29F7">
        <w:tc>
          <w:tcPr>
            <w:tcW w:w="4428" w:type="dxa"/>
            <w:tcBorders>
              <w:top w:val="nil"/>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9260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C000-C399, C470-C759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9364</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C000-C399,</w:t>
            </w:r>
          </w:p>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C470-C639,</w:t>
            </w:r>
          </w:p>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C659-C699,</w:t>
            </w:r>
          </w:p>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C739-C768,</w:t>
            </w:r>
          </w:p>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9365</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7010A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C000-C399,</w:t>
            </w:r>
          </w:p>
          <w:p w:rsidR="004C1E6A" w:rsidRDefault="004C1E6A" w:rsidP="007010A9">
            <w:pPr>
              <w:pStyle w:val="Footer"/>
              <w:tabs>
                <w:tab w:val="clear" w:pos="4320"/>
                <w:tab w:val="clear" w:pos="8640"/>
              </w:tabs>
              <w:spacing w:line="280" w:lineRule="exact"/>
              <w:rPr>
                <w:rFonts w:ascii="Times New Roman" w:hAnsi="Times New Roman"/>
                <w:sz w:val="24"/>
              </w:rPr>
            </w:pPr>
            <w:r>
              <w:rPr>
                <w:rFonts w:ascii="Times New Roman" w:hAnsi="Times New Roman"/>
                <w:sz w:val="24"/>
              </w:rPr>
              <w:t>C470-C639,</w:t>
            </w:r>
          </w:p>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C659-C768,</w:t>
            </w:r>
          </w:p>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e.</w:t>
            </w:r>
            <w:r>
              <w:rPr>
                <w:rFonts w:ascii="Times New Roman" w:hAnsi="Times New Roman"/>
                <w:sz w:val="24"/>
              </w:rPr>
              <w:tab/>
              <w:t>Unspecified soft-tissue sarcomas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8800-8805</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C000-C399, C440-C768,</w:t>
            </w:r>
          </w:p>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540" w:hanging="540"/>
              <w:rPr>
                <w:rFonts w:ascii="Times New Roman" w:hAnsi="Times New Roman"/>
                <w:b/>
                <w:sz w:val="24"/>
              </w:rPr>
            </w:pPr>
            <w:r>
              <w:rPr>
                <w:rFonts w:ascii="Times New Roman" w:hAnsi="Times New Roman"/>
                <w:b/>
                <w:sz w:val="24"/>
              </w:rPr>
              <w:t>X.</w:t>
            </w:r>
            <w:r>
              <w:rPr>
                <w:rFonts w:ascii="Times New Roman" w:hAnsi="Times New Roman"/>
                <w:b/>
                <w:sz w:val="24"/>
              </w:rPr>
              <w:tab/>
              <w:t xml:space="preserve">Germ cell tumors, trophoblastic tumors, and neoplasms of gonads </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a.</w:t>
            </w:r>
            <w:r>
              <w:rPr>
                <w:rFonts w:ascii="Times New Roman" w:hAnsi="Times New Roman"/>
                <w:sz w:val="24"/>
              </w:rPr>
              <w:tab/>
              <w:t xml:space="preserve">Intracranial and </w:t>
            </w:r>
            <w:proofErr w:type="spellStart"/>
            <w:r>
              <w:rPr>
                <w:rFonts w:ascii="Times New Roman" w:hAnsi="Times New Roman"/>
                <w:sz w:val="24"/>
              </w:rPr>
              <w:t>intraspinal</w:t>
            </w:r>
            <w:proofErr w:type="spellEnd"/>
            <w:r>
              <w:rPr>
                <w:rFonts w:ascii="Times New Roman" w:hAnsi="Times New Roman"/>
                <w:sz w:val="24"/>
              </w:rPr>
              <w:t xml:space="preserve"> germ cell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9060-9065, 9070-9072, 9080-9085, 9100, 9101</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C700-C729, C751-C753</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b.</w:t>
            </w:r>
            <w:r>
              <w:rPr>
                <w:rFonts w:ascii="Times New Roman" w:hAnsi="Times New Roman"/>
                <w:sz w:val="24"/>
              </w:rPr>
              <w:tab/>
              <w:t xml:space="preserve">Malignant </w:t>
            </w:r>
            <w:proofErr w:type="spellStart"/>
            <w:r>
              <w:rPr>
                <w:rFonts w:ascii="Times New Roman" w:hAnsi="Times New Roman"/>
                <w:sz w:val="24"/>
              </w:rPr>
              <w:t>extracranial</w:t>
            </w:r>
            <w:proofErr w:type="spellEnd"/>
            <w:r>
              <w:rPr>
                <w:rFonts w:ascii="Times New Roman" w:hAnsi="Times New Roman"/>
                <w:sz w:val="24"/>
              </w:rPr>
              <w:t xml:space="preserve"> and </w:t>
            </w:r>
            <w:proofErr w:type="spellStart"/>
            <w:r>
              <w:rPr>
                <w:rFonts w:ascii="Times New Roman" w:hAnsi="Times New Roman"/>
                <w:sz w:val="24"/>
              </w:rPr>
              <w:t>extragonadal</w:t>
            </w:r>
            <w:proofErr w:type="spellEnd"/>
            <w:r>
              <w:rPr>
                <w:rFonts w:ascii="Times New Roman" w:hAnsi="Times New Roman"/>
                <w:sz w:val="24"/>
              </w:rPr>
              <w:t xml:space="preserve"> germ cell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9060-9065, 9070-9072, 9080-9085, 9100-9105</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C000-C559, C570-C619, C630-C699, C739-C750, C754-C768, 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c.</w:t>
            </w:r>
            <w:r>
              <w:rPr>
                <w:rFonts w:ascii="Times New Roman" w:hAnsi="Times New Roman"/>
                <w:sz w:val="24"/>
              </w:rPr>
              <w:tab/>
              <w:t>Malignant gonadal germ cell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9060-9065, 9070-9073, 9080-9085, 9090, 9091, 9100, 9101</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C569, C620-C629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d.</w:t>
            </w:r>
            <w:r>
              <w:rPr>
                <w:rFonts w:ascii="Times New Roman" w:hAnsi="Times New Roman"/>
                <w:sz w:val="24"/>
              </w:rPr>
              <w:tab/>
              <w:t>Gonadal carcinomas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8010-8041, 8050-8075, 8082, 8120-8122, 8130-8141, 8143, 8190-8201, 8210, 8211, 8221-8241, 8244-8246, 8260-8263, 8290, 8310, 8313, 8320, 8323, 8380-8384, 8430, 8440, 8480-8490, 8504, 8510, 8550, 8560-8573, 9000, 9014, 9015</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C569, C620-C629</w:t>
            </w:r>
          </w:p>
        </w:tc>
      </w:tr>
      <w:tr w:rsidR="004C1E6A" w:rsidTr="009F29F7">
        <w:tc>
          <w:tcPr>
            <w:tcW w:w="4428" w:type="dxa"/>
            <w:tcBorders>
              <w:top w:val="nil"/>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8441-8444, 8450, 8451, 8460-8473</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e.</w:t>
            </w:r>
            <w:r>
              <w:rPr>
                <w:rFonts w:ascii="Times New Roman" w:hAnsi="Times New Roman"/>
                <w:sz w:val="24"/>
              </w:rPr>
              <w:tab/>
              <w:t>Other and unspecified malignant gonadal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8590-8671</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nil"/>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8000-8005</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C569, C620-C629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540" w:hanging="540"/>
              <w:rPr>
                <w:rFonts w:ascii="Times New Roman" w:hAnsi="Times New Roman"/>
                <w:b/>
                <w:sz w:val="24"/>
              </w:rPr>
            </w:pPr>
            <w:r>
              <w:rPr>
                <w:rFonts w:ascii="Times New Roman" w:hAnsi="Times New Roman"/>
                <w:b/>
                <w:sz w:val="24"/>
              </w:rPr>
              <w:t>XI.</w:t>
            </w:r>
            <w:r>
              <w:rPr>
                <w:rFonts w:ascii="Times New Roman" w:hAnsi="Times New Roman"/>
                <w:b/>
                <w:sz w:val="24"/>
              </w:rPr>
              <w:tab/>
              <w:t>Other malignant epithelial neoplasms and malignant melanomas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a.</w:t>
            </w:r>
            <w:r>
              <w:rPr>
                <w:rFonts w:ascii="Times New Roman" w:hAnsi="Times New Roman"/>
                <w:sz w:val="24"/>
              </w:rPr>
              <w:tab/>
              <w:t>Adrenocortical carcinomas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8370-8375</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b.</w:t>
            </w:r>
            <w:r>
              <w:rPr>
                <w:rFonts w:ascii="Times New Roman" w:hAnsi="Times New Roman"/>
                <w:sz w:val="24"/>
              </w:rPr>
              <w:tab/>
              <w:t>Thyroid carcinomas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 xml:space="preserve">8010-8041, 8050-8075, 8082, 8120-8122, 8130-8141, 8190, 8200, 8201, 8211, 8230, 8231, 8244-8246, 8260-8263, 8290, 8310, 8320, 8323, 8430, 8440, </w:t>
            </w:r>
            <w:r>
              <w:rPr>
                <w:rFonts w:ascii="Times New Roman" w:hAnsi="Times New Roman"/>
                <w:sz w:val="24"/>
              </w:rPr>
              <w:lastRenderedPageBreak/>
              <w:t>8480, 8481, 8510, 8560-8573</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lastRenderedPageBreak/>
              <w:t>C739</w:t>
            </w:r>
          </w:p>
        </w:tc>
      </w:tr>
      <w:tr w:rsidR="004C1E6A" w:rsidTr="009F29F7">
        <w:tc>
          <w:tcPr>
            <w:tcW w:w="4428" w:type="dxa"/>
            <w:tcBorders>
              <w:top w:val="nil"/>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8330-8337, 8340-8347, 8350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c.</w:t>
            </w:r>
            <w:r>
              <w:rPr>
                <w:rFonts w:ascii="Times New Roman" w:hAnsi="Times New Roman"/>
                <w:sz w:val="24"/>
              </w:rPr>
              <w:tab/>
              <w:t>Nasopharyngeal carcinomas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8010-8041, 8050-8075, 8082,   8083, 8120-8122, 8130-8141, 8190, 8200, 8201, 8211, 8230, 8231, 8244-8246, 8260-8263, 8290, 8310, 8320, 8323, 8430, 8440, 8480, 8481, 8550-8576</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C110-C119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d.</w:t>
            </w:r>
            <w:r>
              <w:rPr>
                <w:rFonts w:ascii="Times New Roman" w:hAnsi="Times New Roman"/>
                <w:sz w:val="24"/>
              </w:rPr>
              <w:tab/>
              <w:t>Malignant melanomas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8720-8780, 8790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e.</w:t>
            </w:r>
            <w:r>
              <w:rPr>
                <w:rFonts w:ascii="Times New Roman" w:hAnsi="Times New Roman"/>
                <w:sz w:val="24"/>
              </w:rPr>
              <w:tab/>
              <w:t>Skin carcinomas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8010-8041, 8050-8075, 8078, 8082, 8090-8110, 8140, 8143, 8147, 8190, 8200, 8240, 8246, 8247, 8260, 8310, 8320, 8323, 8390-8420, 8430, 8480, 8542, 8560, 8570-8573, 8940, 8941</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C440-C449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f.</w:t>
            </w:r>
            <w:r>
              <w:rPr>
                <w:rFonts w:ascii="Times New Roman" w:hAnsi="Times New Roman"/>
                <w:sz w:val="24"/>
              </w:rPr>
              <w:tab/>
              <w:t>Other and unspecified carcinomas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8010-8084, 8120-8157, 8190-8264, 8290, 8310, 8313-8315,  8320-8325, 8360, 8380-8384, 8430-8440, 8452-8454, 8480-8586, 8588-8589, 8940, 8941, 8983, 9000, 9010-9016, 9020, 9030</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C000-C109, C129-C218, C239-C399, C480-C488, C500-C559, C570-C619, C630-C639, C659-C729, C750-C768, 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s>
              <w:spacing w:line="280" w:lineRule="exact"/>
              <w:ind w:left="540" w:hanging="540"/>
              <w:rPr>
                <w:rFonts w:ascii="Times New Roman" w:hAnsi="Times New Roman"/>
                <w:b/>
                <w:sz w:val="24"/>
              </w:rPr>
            </w:pPr>
            <w:r>
              <w:rPr>
                <w:rFonts w:ascii="Times New Roman" w:hAnsi="Times New Roman"/>
                <w:b/>
                <w:sz w:val="24"/>
              </w:rPr>
              <w:t>XII.</w:t>
            </w:r>
            <w:r>
              <w:rPr>
                <w:rFonts w:ascii="Times New Roman" w:hAnsi="Times New Roman"/>
                <w:b/>
                <w:sz w:val="24"/>
              </w:rPr>
              <w:tab/>
              <w:t>Other and unspecified malignant neoplasms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p>
        </w:tc>
      </w:tr>
      <w:tr w:rsidR="004C1E6A" w:rsidTr="009F29F7">
        <w:tc>
          <w:tcPr>
            <w:tcW w:w="4428"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a.</w:t>
            </w:r>
            <w:r>
              <w:rPr>
                <w:rFonts w:ascii="Times New Roman" w:hAnsi="Times New Roman"/>
                <w:sz w:val="24"/>
              </w:rPr>
              <w:tab/>
              <w:t>Other specified malignant tumors</w:t>
            </w:r>
          </w:p>
        </w:tc>
        <w:tc>
          <w:tcPr>
            <w:tcW w:w="3420"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8930-8936, 8950, 8951, 8971-8981, 9050-9055, 9110</w:t>
            </w:r>
          </w:p>
        </w:tc>
        <w:tc>
          <w:tcPr>
            <w:tcW w:w="2112" w:type="dxa"/>
            <w:tcBorders>
              <w:top w:val="single" w:sz="4" w:space="0" w:color="808080"/>
              <w:left w:val="single" w:sz="4" w:space="0" w:color="808080"/>
              <w:bottom w:val="nil"/>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C000-C809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9363</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C000-C399, C470-C759</w:t>
            </w:r>
          </w:p>
        </w:tc>
      </w:tr>
      <w:tr w:rsidR="004C1E6A" w:rsidTr="009F29F7">
        <w:tc>
          <w:tcPr>
            <w:tcW w:w="4428"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 w:val="left" w:pos="540"/>
                <w:tab w:val="left" w:pos="900"/>
              </w:tabs>
              <w:spacing w:line="280" w:lineRule="exact"/>
              <w:ind w:left="900" w:hanging="900"/>
              <w:rPr>
                <w:rFonts w:ascii="Times New Roman" w:hAnsi="Times New Roman"/>
                <w:sz w:val="24"/>
              </w:rPr>
            </w:pPr>
            <w:r>
              <w:rPr>
                <w:rFonts w:ascii="Times New Roman" w:hAnsi="Times New Roman"/>
                <w:sz w:val="24"/>
              </w:rPr>
              <w:tab/>
              <w:t>b.</w:t>
            </w:r>
            <w:r>
              <w:rPr>
                <w:rFonts w:ascii="Times New Roman" w:hAnsi="Times New Roman"/>
                <w:sz w:val="24"/>
              </w:rPr>
              <w:tab/>
              <w:t>Other unspecified malignant tumors</w:t>
            </w:r>
          </w:p>
        </w:tc>
        <w:tc>
          <w:tcPr>
            <w:tcW w:w="3420"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8000-8005</w:t>
            </w:r>
          </w:p>
        </w:tc>
        <w:tc>
          <w:tcPr>
            <w:tcW w:w="2112" w:type="dxa"/>
            <w:tcBorders>
              <w:top w:val="single" w:sz="4" w:space="0" w:color="808080"/>
              <w:left w:val="single" w:sz="4" w:space="0" w:color="808080"/>
              <w:bottom w:val="single" w:sz="4" w:space="0" w:color="808080"/>
              <w:right w:val="single" w:sz="4" w:space="0" w:color="808080"/>
            </w:tcBorders>
          </w:tcPr>
          <w:p w:rsidR="004C1E6A" w:rsidRDefault="004C1E6A" w:rsidP="00B22A99">
            <w:pPr>
              <w:pStyle w:val="Footer"/>
              <w:tabs>
                <w:tab w:val="clear" w:pos="4320"/>
                <w:tab w:val="clear" w:pos="8640"/>
              </w:tabs>
              <w:spacing w:line="280" w:lineRule="exact"/>
              <w:rPr>
                <w:rFonts w:ascii="Times New Roman" w:hAnsi="Times New Roman"/>
                <w:sz w:val="24"/>
              </w:rPr>
            </w:pPr>
            <w:r>
              <w:rPr>
                <w:rFonts w:ascii="Times New Roman" w:hAnsi="Times New Roman"/>
                <w:sz w:val="24"/>
              </w:rPr>
              <w:t>C000-C218, C239-C399, C420-C559, C570-C619, C630-C639, C659-C699, C739-C750, C754-C809</w:t>
            </w:r>
          </w:p>
        </w:tc>
      </w:tr>
    </w:tbl>
    <w:p w:rsidR="004C1E6A" w:rsidRDefault="004C1E6A" w:rsidP="002959E8">
      <w:pPr>
        <w:pStyle w:val="Footer"/>
        <w:tabs>
          <w:tab w:val="clear" w:pos="4320"/>
          <w:tab w:val="clear" w:pos="8640"/>
        </w:tabs>
        <w:spacing w:line="280" w:lineRule="exact"/>
        <w:rPr>
          <w:rFonts w:ascii="Times New Roman" w:hAnsi="Times New Roman"/>
          <w:sz w:val="24"/>
        </w:rPr>
      </w:pPr>
    </w:p>
    <w:p w:rsidR="004C1E6A" w:rsidRDefault="004C1E6A" w:rsidP="002959E8">
      <w:pPr>
        <w:pStyle w:val="Footer"/>
        <w:tabs>
          <w:tab w:val="clear" w:pos="4320"/>
          <w:tab w:val="clear" w:pos="8640"/>
        </w:tabs>
        <w:spacing w:line="280" w:lineRule="exact"/>
        <w:rPr>
          <w:rFonts w:ascii="Times New Roman" w:hAnsi="Times New Roman"/>
          <w:sz w:val="24"/>
        </w:rPr>
      </w:pPr>
    </w:p>
    <w:p w:rsidR="004C1E6A" w:rsidRDefault="004C1E6A" w:rsidP="002959E8">
      <w:pPr>
        <w:pStyle w:val="Footer"/>
        <w:tabs>
          <w:tab w:val="clear" w:pos="4320"/>
          <w:tab w:val="clear" w:pos="8640"/>
        </w:tabs>
        <w:spacing w:line="280" w:lineRule="exact"/>
        <w:jc w:val="cente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Appendix II</w:t>
      </w:r>
    </w:p>
    <w:p w:rsidR="004C1E6A" w:rsidRPr="00716142" w:rsidRDefault="004C1E6A" w:rsidP="002959E8">
      <w:pPr>
        <w:pStyle w:val="Footer"/>
        <w:tabs>
          <w:tab w:val="clear" w:pos="4320"/>
          <w:tab w:val="clear" w:pos="8640"/>
        </w:tabs>
        <w:spacing w:line="280" w:lineRule="exact"/>
        <w:jc w:val="center"/>
        <w:rPr>
          <w:rFonts w:ascii="Times New Roman" w:hAnsi="Times New Roman"/>
          <w:b/>
          <w:sz w:val="24"/>
        </w:rPr>
      </w:pPr>
      <w:r>
        <w:rPr>
          <w:rFonts w:ascii="Times New Roman" w:hAnsi="Times New Roman"/>
          <w:b/>
          <w:sz w:val="24"/>
        </w:rPr>
        <w:t xml:space="preserve">ICD-9 </w:t>
      </w:r>
      <w:r>
        <w:rPr>
          <w:rStyle w:val="FootnoteReference"/>
          <w:rFonts w:ascii="Times New Roman" w:hAnsi="Times New Roman"/>
          <w:sz w:val="24"/>
        </w:rPr>
        <w:footnoteReference w:customMarkFollows="1" w:id="4"/>
        <w:t>*</w:t>
      </w:r>
      <w:r>
        <w:rPr>
          <w:rFonts w:ascii="Times New Roman" w:hAnsi="Times New Roman"/>
          <w:sz w:val="24"/>
        </w:rPr>
        <w:t xml:space="preserve"> </w:t>
      </w:r>
      <w:r w:rsidRPr="00716142">
        <w:rPr>
          <w:rFonts w:ascii="Times New Roman" w:hAnsi="Times New Roman"/>
          <w:b/>
          <w:sz w:val="24"/>
        </w:rPr>
        <w:t>and ICD-10* Codes</w:t>
      </w:r>
    </w:p>
    <w:p w:rsidR="004C1E6A" w:rsidRDefault="004C1E6A" w:rsidP="002959E8">
      <w:pPr>
        <w:pStyle w:val="Footer"/>
        <w:tabs>
          <w:tab w:val="clear" w:pos="4320"/>
          <w:tab w:val="clear" w:pos="8640"/>
        </w:tabs>
        <w:spacing w:line="280" w:lineRule="exact"/>
        <w:rPr>
          <w:rFonts w:ascii="Times New Roman" w:hAnsi="Times New Roman"/>
          <w:sz w:val="24"/>
        </w:rPr>
      </w:pPr>
    </w:p>
    <w:tbl>
      <w:tblPr>
        <w:tblW w:w="9072" w:type="dxa"/>
        <w:tblInd w:w="228" w:type="dxa"/>
        <w:tblLayout w:type="fixed"/>
        <w:tblLook w:val="0000" w:firstRow="0" w:lastRow="0" w:firstColumn="0" w:lastColumn="0" w:noHBand="0" w:noVBand="0"/>
      </w:tblPr>
      <w:tblGrid>
        <w:gridCol w:w="3708"/>
        <w:gridCol w:w="2682"/>
        <w:gridCol w:w="2682"/>
      </w:tblGrid>
      <w:tr w:rsidR="004C1E6A" w:rsidTr="004465B1">
        <w:tc>
          <w:tcPr>
            <w:tcW w:w="3708" w:type="dxa"/>
            <w:tcBorders>
              <w:bottom w:val="dotted" w:sz="4" w:space="0" w:color="auto"/>
            </w:tcBorders>
          </w:tcPr>
          <w:p w:rsidR="004C1E6A" w:rsidRDefault="004C1E6A" w:rsidP="00F0723E">
            <w:pPr>
              <w:pStyle w:val="Footer"/>
              <w:tabs>
                <w:tab w:val="clear" w:pos="4320"/>
                <w:tab w:val="clear" w:pos="8640"/>
              </w:tabs>
              <w:spacing w:line="280" w:lineRule="exact"/>
              <w:rPr>
                <w:rFonts w:ascii="Times New Roman" w:hAnsi="Times New Roman"/>
                <w:b/>
                <w:sz w:val="24"/>
              </w:rPr>
            </w:pPr>
          </w:p>
          <w:p w:rsidR="004C1E6A" w:rsidRDefault="004C1E6A" w:rsidP="00F0723E">
            <w:pPr>
              <w:pStyle w:val="Footer"/>
              <w:tabs>
                <w:tab w:val="clear" w:pos="4320"/>
                <w:tab w:val="clear" w:pos="8640"/>
              </w:tabs>
              <w:spacing w:line="280" w:lineRule="exact"/>
              <w:rPr>
                <w:rFonts w:ascii="Times New Roman" w:hAnsi="Times New Roman"/>
                <w:b/>
                <w:sz w:val="24"/>
              </w:rPr>
            </w:pPr>
            <w:r>
              <w:rPr>
                <w:rFonts w:ascii="Times New Roman" w:hAnsi="Times New Roman"/>
                <w:b/>
                <w:sz w:val="24"/>
              </w:rPr>
              <w:t>Cancer site/type</w:t>
            </w:r>
          </w:p>
          <w:p w:rsidR="004C1E6A" w:rsidRDefault="004C1E6A" w:rsidP="00F0723E">
            <w:pPr>
              <w:pStyle w:val="Footer"/>
              <w:tabs>
                <w:tab w:val="clear" w:pos="4320"/>
                <w:tab w:val="clear" w:pos="8640"/>
              </w:tabs>
              <w:spacing w:line="280" w:lineRule="exact"/>
              <w:rPr>
                <w:rFonts w:ascii="Times New Roman" w:hAnsi="Times New Roman"/>
                <w:b/>
                <w:sz w:val="24"/>
              </w:rPr>
            </w:pPr>
          </w:p>
        </w:tc>
        <w:tc>
          <w:tcPr>
            <w:tcW w:w="2682" w:type="dxa"/>
            <w:tcBorders>
              <w:bottom w:val="dotted" w:sz="4" w:space="0" w:color="auto"/>
            </w:tcBorders>
          </w:tcPr>
          <w:p w:rsidR="004C1E6A" w:rsidRDefault="004C1E6A" w:rsidP="00F0723E">
            <w:pPr>
              <w:pStyle w:val="Footer"/>
              <w:tabs>
                <w:tab w:val="clear" w:pos="4320"/>
                <w:tab w:val="clear" w:pos="8640"/>
              </w:tabs>
              <w:spacing w:line="280" w:lineRule="exact"/>
              <w:rPr>
                <w:rFonts w:ascii="Times New Roman" w:hAnsi="Times New Roman"/>
                <w:b/>
                <w:sz w:val="24"/>
              </w:rPr>
            </w:pPr>
          </w:p>
          <w:p w:rsidR="004C1E6A" w:rsidRDefault="004C1E6A" w:rsidP="00F0723E">
            <w:pPr>
              <w:pStyle w:val="Footer"/>
              <w:tabs>
                <w:tab w:val="clear" w:pos="4320"/>
                <w:tab w:val="clear" w:pos="8640"/>
              </w:tabs>
              <w:spacing w:line="280" w:lineRule="exact"/>
              <w:rPr>
                <w:rFonts w:ascii="Times New Roman" w:hAnsi="Times New Roman"/>
                <w:b/>
                <w:sz w:val="24"/>
              </w:rPr>
            </w:pPr>
            <w:r>
              <w:rPr>
                <w:rFonts w:ascii="Times New Roman" w:hAnsi="Times New Roman"/>
                <w:b/>
                <w:sz w:val="24"/>
              </w:rPr>
              <w:t>ICD-9 code</w:t>
            </w:r>
          </w:p>
        </w:tc>
        <w:tc>
          <w:tcPr>
            <w:tcW w:w="2682" w:type="dxa"/>
            <w:tcBorders>
              <w:bottom w:val="dotted" w:sz="4" w:space="0" w:color="auto"/>
            </w:tcBorders>
          </w:tcPr>
          <w:p w:rsidR="004C1E6A" w:rsidRDefault="004C1E6A" w:rsidP="00F0723E">
            <w:pPr>
              <w:pStyle w:val="Footer"/>
              <w:tabs>
                <w:tab w:val="clear" w:pos="4320"/>
                <w:tab w:val="clear" w:pos="8640"/>
              </w:tabs>
              <w:spacing w:line="280" w:lineRule="exact"/>
              <w:rPr>
                <w:rFonts w:ascii="Times New Roman" w:hAnsi="Times New Roman"/>
                <w:b/>
                <w:sz w:val="24"/>
              </w:rPr>
            </w:pPr>
          </w:p>
          <w:p w:rsidR="004C1E6A" w:rsidRDefault="004C1E6A" w:rsidP="00F0723E">
            <w:pPr>
              <w:pStyle w:val="Footer"/>
              <w:tabs>
                <w:tab w:val="clear" w:pos="4320"/>
                <w:tab w:val="clear" w:pos="8640"/>
              </w:tabs>
              <w:spacing w:line="280" w:lineRule="exact"/>
              <w:rPr>
                <w:rFonts w:ascii="Times New Roman" w:hAnsi="Times New Roman"/>
                <w:b/>
                <w:sz w:val="24"/>
              </w:rPr>
            </w:pPr>
            <w:r>
              <w:rPr>
                <w:rFonts w:ascii="Times New Roman" w:hAnsi="Times New Roman"/>
                <w:b/>
                <w:sz w:val="24"/>
              </w:rPr>
              <w:t>ICD-10 code</w:t>
            </w:r>
          </w:p>
        </w:tc>
      </w:tr>
      <w:tr w:rsidR="004C1E6A" w:rsidTr="004465B1">
        <w:tc>
          <w:tcPr>
            <w:tcW w:w="3708"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Bone</w:t>
            </w:r>
          </w:p>
          <w:p w:rsidR="004C1E6A" w:rsidRDefault="004C1E6A" w:rsidP="00F0723E">
            <w:pPr>
              <w:pStyle w:val="Footer"/>
              <w:tabs>
                <w:tab w:val="clear" w:pos="4320"/>
                <w:tab w:val="clear" w:pos="8640"/>
              </w:tabs>
              <w:spacing w:line="280" w:lineRule="exact"/>
              <w:rPr>
                <w:rFonts w:ascii="Times New Roman" w:hAnsi="Times New Roman"/>
                <w:sz w:val="24"/>
              </w:rPr>
            </w:pP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170</w:t>
            </w: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C40-C41</w:t>
            </w:r>
          </w:p>
        </w:tc>
      </w:tr>
      <w:tr w:rsidR="004C1E6A" w:rsidTr="004465B1">
        <w:tc>
          <w:tcPr>
            <w:tcW w:w="3708"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Brain &amp; Central Nervous System</w:t>
            </w:r>
          </w:p>
          <w:p w:rsidR="004C1E6A" w:rsidRDefault="004C1E6A" w:rsidP="00F0723E">
            <w:pPr>
              <w:pStyle w:val="Footer"/>
              <w:tabs>
                <w:tab w:val="clear" w:pos="4320"/>
                <w:tab w:val="clear" w:pos="8640"/>
              </w:tabs>
              <w:spacing w:line="280" w:lineRule="exact"/>
              <w:rPr>
                <w:rFonts w:ascii="Times New Roman" w:hAnsi="Times New Roman"/>
                <w:sz w:val="24"/>
              </w:rPr>
            </w:pP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191-192</w:t>
            </w: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C70-C72</w:t>
            </w:r>
          </w:p>
        </w:tc>
      </w:tr>
      <w:tr w:rsidR="004C1E6A" w:rsidTr="004465B1">
        <w:tc>
          <w:tcPr>
            <w:tcW w:w="3708"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Kidney</w:t>
            </w:r>
          </w:p>
          <w:p w:rsidR="004C1E6A" w:rsidRDefault="004C1E6A" w:rsidP="00F0723E">
            <w:pPr>
              <w:pStyle w:val="Footer"/>
              <w:tabs>
                <w:tab w:val="clear" w:pos="4320"/>
                <w:tab w:val="clear" w:pos="8640"/>
              </w:tabs>
              <w:spacing w:line="280" w:lineRule="exact"/>
              <w:rPr>
                <w:rFonts w:ascii="Times New Roman" w:hAnsi="Times New Roman"/>
                <w:sz w:val="24"/>
              </w:rPr>
            </w:pP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189.0-189.1</w:t>
            </w: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C64-C65</w:t>
            </w:r>
          </w:p>
        </w:tc>
      </w:tr>
      <w:tr w:rsidR="004C1E6A" w:rsidTr="004465B1">
        <w:tc>
          <w:tcPr>
            <w:tcW w:w="3708"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Leukemia</w:t>
            </w:r>
          </w:p>
          <w:p w:rsidR="004C1E6A" w:rsidRDefault="004C1E6A" w:rsidP="00F0723E">
            <w:pPr>
              <w:pStyle w:val="Footer"/>
              <w:tabs>
                <w:tab w:val="clear" w:pos="4320"/>
                <w:tab w:val="clear" w:pos="8640"/>
              </w:tabs>
              <w:spacing w:line="280" w:lineRule="exact"/>
              <w:rPr>
                <w:rFonts w:ascii="Times New Roman" w:hAnsi="Times New Roman"/>
                <w:sz w:val="24"/>
              </w:rPr>
            </w:pP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204-208</w:t>
            </w: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C91-C95</w:t>
            </w:r>
          </w:p>
        </w:tc>
      </w:tr>
      <w:tr w:rsidR="004C1E6A" w:rsidTr="004465B1">
        <w:tc>
          <w:tcPr>
            <w:tcW w:w="3708"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Liver</w:t>
            </w:r>
          </w:p>
          <w:p w:rsidR="004C1E6A" w:rsidRDefault="004C1E6A" w:rsidP="00F0723E">
            <w:pPr>
              <w:pStyle w:val="Footer"/>
              <w:tabs>
                <w:tab w:val="clear" w:pos="4320"/>
                <w:tab w:val="clear" w:pos="8640"/>
              </w:tabs>
              <w:spacing w:line="280" w:lineRule="exact"/>
              <w:rPr>
                <w:rFonts w:ascii="Times New Roman" w:hAnsi="Times New Roman"/>
                <w:sz w:val="24"/>
              </w:rPr>
            </w:pP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155</w:t>
            </w: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C22.0, C22.2-C22.4, C22.7, C22.9</w:t>
            </w:r>
          </w:p>
          <w:p w:rsidR="004C1E6A" w:rsidRDefault="004C1E6A" w:rsidP="00F0723E">
            <w:pPr>
              <w:pStyle w:val="Footer"/>
              <w:tabs>
                <w:tab w:val="clear" w:pos="4320"/>
                <w:tab w:val="clear" w:pos="8640"/>
              </w:tabs>
              <w:spacing w:line="280" w:lineRule="exact"/>
              <w:rPr>
                <w:rFonts w:ascii="Times New Roman" w:hAnsi="Times New Roman"/>
                <w:sz w:val="24"/>
              </w:rPr>
            </w:pPr>
          </w:p>
        </w:tc>
      </w:tr>
      <w:tr w:rsidR="004C1E6A" w:rsidTr="004465B1">
        <w:tc>
          <w:tcPr>
            <w:tcW w:w="3708"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Lymphoma</w:t>
            </w:r>
          </w:p>
          <w:p w:rsidR="004C1E6A" w:rsidRDefault="004C1E6A" w:rsidP="00F0723E">
            <w:pPr>
              <w:pStyle w:val="Footer"/>
              <w:tabs>
                <w:tab w:val="clear" w:pos="4320"/>
                <w:tab w:val="clear" w:pos="8640"/>
              </w:tabs>
              <w:spacing w:line="280" w:lineRule="exact"/>
              <w:rPr>
                <w:rFonts w:ascii="Times New Roman" w:hAnsi="Times New Roman"/>
                <w:sz w:val="24"/>
              </w:rPr>
            </w:pP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200, 201, 202.0-202.2,</w:t>
            </w: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202.8-202.9</w:t>
            </w:r>
          </w:p>
          <w:p w:rsidR="004C1E6A" w:rsidRDefault="004C1E6A" w:rsidP="00F0723E">
            <w:pPr>
              <w:pStyle w:val="Footer"/>
              <w:tabs>
                <w:tab w:val="clear" w:pos="4320"/>
                <w:tab w:val="clear" w:pos="8640"/>
              </w:tabs>
              <w:spacing w:line="280" w:lineRule="exact"/>
              <w:rPr>
                <w:rFonts w:ascii="Times New Roman" w:hAnsi="Times New Roman"/>
                <w:sz w:val="24"/>
              </w:rPr>
            </w:pP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C81, C82-C85, C96.3</w:t>
            </w:r>
          </w:p>
        </w:tc>
      </w:tr>
      <w:tr w:rsidR="004C1E6A" w:rsidTr="004465B1">
        <w:tc>
          <w:tcPr>
            <w:tcW w:w="3708"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Melanoma/Skin</w:t>
            </w:r>
          </w:p>
          <w:p w:rsidR="004C1E6A" w:rsidRDefault="004C1E6A" w:rsidP="00F0723E">
            <w:pPr>
              <w:pStyle w:val="Footer"/>
              <w:tabs>
                <w:tab w:val="clear" w:pos="4320"/>
                <w:tab w:val="clear" w:pos="8640"/>
              </w:tabs>
              <w:spacing w:line="280" w:lineRule="exact"/>
              <w:rPr>
                <w:rFonts w:ascii="Times New Roman" w:hAnsi="Times New Roman"/>
                <w:sz w:val="24"/>
              </w:rPr>
            </w:pP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172-173</w:t>
            </w: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C43, C44, C46+</w:t>
            </w:r>
          </w:p>
        </w:tc>
      </w:tr>
      <w:tr w:rsidR="004C1E6A" w:rsidTr="004465B1">
        <w:tc>
          <w:tcPr>
            <w:tcW w:w="3708"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Thyroid</w:t>
            </w:r>
          </w:p>
          <w:p w:rsidR="004C1E6A" w:rsidRDefault="004C1E6A" w:rsidP="00F0723E">
            <w:pPr>
              <w:pStyle w:val="Footer"/>
              <w:tabs>
                <w:tab w:val="clear" w:pos="4320"/>
                <w:tab w:val="clear" w:pos="8640"/>
              </w:tabs>
              <w:spacing w:line="280" w:lineRule="exact"/>
              <w:rPr>
                <w:rFonts w:ascii="Times New Roman" w:hAnsi="Times New Roman"/>
                <w:sz w:val="24"/>
              </w:rPr>
            </w:pP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193</w:t>
            </w:r>
          </w:p>
        </w:tc>
        <w:tc>
          <w:tcPr>
            <w:tcW w:w="2682" w:type="dxa"/>
          </w:tcPr>
          <w:p w:rsidR="004C1E6A" w:rsidRDefault="004C1E6A" w:rsidP="00F0723E">
            <w:pPr>
              <w:pStyle w:val="Footer"/>
              <w:tabs>
                <w:tab w:val="clear" w:pos="4320"/>
                <w:tab w:val="clear" w:pos="8640"/>
              </w:tabs>
              <w:spacing w:line="280" w:lineRule="exact"/>
              <w:rPr>
                <w:rFonts w:ascii="Times New Roman" w:hAnsi="Times New Roman"/>
                <w:sz w:val="24"/>
              </w:rPr>
            </w:pPr>
          </w:p>
          <w:p w:rsidR="004C1E6A" w:rsidRDefault="004C1E6A" w:rsidP="00F0723E">
            <w:pPr>
              <w:pStyle w:val="Footer"/>
              <w:tabs>
                <w:tab w:val="clear" w:pos="4320"/>
                <w:tab w:val="clear" w:pos="8640"/>
              </w:tabs>
              <w:spacing w:line="280" w:lineRule="exact"/>
              <w:rPr>
                <w:rFonts w:ascii="Times New Roman" w:hAnsi="Times New Roman"/>
                <w:sz w:val="24"/>
              </w:rPr>
            </w:pPr>
            <w:r>
              <w:rPr>
                <w:rFonts w:ascii="Times New Roman" w:hAnsi="Times New Roman"/>
                <w:sz w:val="24"/>
              </w:rPr>
              <w:t>C73</w:t>
            </w:r>
          </w:p>
        </w:tc>
      </w:tr>
    </w:tbl>
    <w:p w:rsidR="004C1E6A" w:rsidRDefault="004C1E6A" w:rsidP="002959E8">
      <w:pPr>
        <w:pStyle w:val="Footer"/>
        <w:tabs>
          <w:tab w:val="clear" w:pos="4320"/>
          <w:tab w:val="clear" w:pos="8640"/>
        </w:tabs>
        <w:spacing w:line="280" w:lineRule="exact"/>
        <w:rPr>
          <w:rFonts w:ascii="Times New Roman" w:hAnsi="Times New Roman"/>
          <w:sz w:val="24"/>
        </w:rPr>
      </w:pPr>
    </w:p>
    <w:p w:rsidR="004C1E6A" w:rsidRDefault="004C1E6A" w:rsidP="002959E8">
      <w:pPr>
        <w:pStyle w:val="Footer"/>
        <w:tabs>
          <w:tab w:val="clear" w:pos="4320"/>
          <w:tab w:val="clear" w:pos="8640"/>
        </w:tabs>
        <w:spacing w:line="280" w:lineRule="exact"/>
        <w:rPr>
          <w:rFonts w:ascii="Times New Roman" w:hAnsi="Times New Roman"/>
          <w:sz w:val="24"/>
        </w:rPr>
      </w:pPr>
    </w:p>
    <w:p w:rsidR="004C1E6A" w:rsidRDefault="004C1E6A" w:rsidP="002959E8">
      <w:pPr>
        <w:pStyle w:val="Footer"/>
        <w:tabs>
          <w:tab w:val="clear" w:pos="4320"/>
          <w:tab w:val="clear" w:pos="8640"/>
          <w:tab w:val="left" w:pos="360"/>
        </w:tabs>
        <w:spacing w:line="280" w:lineRule="exact"/>
        <w:rPr>
          <w:rFonts w:ascii="Times New Roman" w:hAnsi="Times New Roman"/>
          <w:sz w:val="24"/>
        </w:rPr>
      </w:pPr>
    </w:p>
    <w:p w:rsidR="004C1E6A" w:rsidDel="00B056B2" w:rsidRDefault="004C1E6A" w:rsidP="006707E1">
      <w:pPr>
        <w:rPr>
          <w:b/>
        </w:rPr>
      </w:pPr>
      <w:r>
        <w:br w:type="page"/>
      </w:r>
      <w:r>
        <w:lastRenderedPageBreak/>
        <w:t>Appendix III: Childhood and Adolescent Cancer Counts, 2000-2009</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288"/>
        <w:gridCol w:w="1683"/>
        <w:gridCol w:w="1369"/>
        <w:gridCol w:w="1283"/>
        <w:gridCol w:w="1776"/>
      </w:tblGrid>
      <w:tr w:rsidR="004C1E6A" w:rsidRPr="00F775DA" w:rsidTr="00F775DA">
        <w:tc>
          <w:tcPr>
            <w:tcW w:w="2008" w:type="dxa"/>
          </w:tcPr>
          <w:p w:rsidR="004C1E6A" w:rsidRPr="00F775DA" w:rsidRDefault="004C1E6A" w:rsidP="008877B0">
            <w:pPr>
              <w:rPr>
                <w:b/>
                <w:sz w:val="20"/>
                <w:szCs w:val="20"/>
              </w:rPr>
            </w:pPr>
            <w:r w:rsidRPr="00F775DA">
              <w:rPr>
                <w:b/>
                <w:sz w:val="20"/>
                <w:szCs w:val="20"/>
              </w:rPr>
              <w:t>All Cancers:</w:t>
            </w:r>
          </w:p>
        </w:tc>
        <w:tc>
          <w:tcPr>
            <w:tcW w:w="1288" w:type="dxa"/>
          </w:tcPr>
          <w:p w:rsidR="004C1E6A" w:rsidRPr="00F775DA" w:rsidRDefault="004C1E6A" w:rsidP="008877B0">
            <w:pPr>
              <w:rPr>
                <w:b/>
                <w:sz w:val="20"/>
                <w:szCs w:val="20"/>
              </w:rPr>
            </w:pPr>
            <w:r w:rsidRPr="00F775DA">
              <w:rPr>
                <w:b/>
                <w:sz w:val="20"/>
                <w:szCs w:val="20"/>
              </w:rPr>
              <w:t>Male</w:t>
            </w:r>
          </w:p>
        </w:tc>
        <w:tc>
          <w:tcPr>
            <w:tcW w:w="1683" w:type="dxa"/>
          </w:tcPr>
          <w:p w:rsidR="004C1E6A" w:rsidRPr="00F775DA" w:rsidRDefault="004C1E6A" w:rsidP="008877B0">
            <w:pPr>
              <w:rPr>
                <w:b/>
                <w:sz w:val="20"/>
                <w:szCs w:val="20"/>
              </w:rPr>
            </w:pPr>
            <w:r w:rsidRPr="00F775DA">
              <w:rPr>
                <w:b/>
                <w:sz w:val="20"/>
                <w:szCs w:val="20"/>
              </w:rPr>
              <w:t>Female</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w:t>
            </w:r>
          </w:p>
        </w:tc>
        <w:tc>
          <w:tcPr>
            <w:tcW w:w="1288" w:type="dxa"/>
          </w:tcPr>
          <w:p w:rsidR="004C1E6A" w:rsidRPr="00F775DA" w:rsidRDefault="004C1E6A" w:rsidP="008877B0">
            <w:pPr>
              <w:rPr>
                <w:sz w:val="20"/>
                <w:szCs w:val="20"/>
              </w:rPr>
            </w:pPr>
            <w:r w:rsidRPr="00F775DA">
              <w:rPr>
                <w:sz w:val="20"/>
                <w:szCs w:val="20"/>
              </w:rPr>
              <w:t>157</w:t>
            </w:r>
          </w:p>
        </w:tc>
        <w:tc>
          <w:tcPr>
            <w:tcW w:w="1683" w:type="dxa"/>
          </w:tcPr>
          <w:p w:rsidR="004C1E6A" w:rsidRPr="00F775DA" w:rsidRDefault="004C1E6A" w:rsidP="008877B0">
            <w:pPr>
              <w:rPr>
                <w:sz w:val="20"/>
                <w:szCs w:val="20"/>
              </w:rPr>
            </w:pPr>
            <w:r w:rsidRPr="00F775DA">
              <w:rPr>
                <w:sz w:val="20"/>
                <w:szCs w:val="20"/>
              </w:rPr>
              <w:t>136</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2001</w:t>
            </w:r>
          </w:p>
        </w:tc>
        <w:tc>
          <w:tcPr>
            <w:tcW w:w="1288" w:type="dxa"/>
          </w:tcPr>
          <w:p w:rsidR="004C1E6A" w:rsidRPr="00F775DA" w:rsidRDefault="004C1E6A" w:rsidP="008877B0">
            <w:pPr>
              <w:rPr>
                <w:sz w:val="20"/>
                <w:szCs w:val="20"/>
              </w:rPr>
            </w:pPr>
            <w:r w:rsidRPr="00F775DA">
              <w:rPr>
                <w:sz w:val="20"/>
                <w:szCs w:val="20"/>
              </w:rPr>
              <w:t>137</w:t>
            </w:r>
          </w:p>
        </w:tc>
        <w:tc>
          <w:tcPr>
            <w:tcW w:w="1683" w:type="dxa"/>
          </w:tcPr>
          <w:p w:rsidR="004C1E6A" w:rsidRPr="00F775DA" w:rsidRDefault="004C1E6A" w:rsidP="008877B0">
            <w:pPr>
              <w:rPr>
                <w:sz w:val="20"/>
                <w:szCs w:val="20"/>
              </w:rPr>
            </w:pPr>
            <w:r w:rsidRPr="00F775DA">
              <w:rPr>
                <w:sz w:val="20"/>
                <w:szCs w:val="20"/>
              </w:rPr>
              <w:t>134</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2002</w:t>
            </w:r>
          </w:p>
        </w:tc>
        <w:tc>
          <w:tcPr>
            <w:tcW w:w="1288" w:type="dxa"/>
          </w:tcPr>
          <w:p w:rsidR="004C1E6A" w:rsidRPr="00F775DA" w:rsidRDefault="004C1E6A" w:rsidP="008877B0">
            <w:pPr>
              <w:rPr>
                <w:sz w:val="20"/>
                <w:szCs w:val="20"/>
              </w:rPr>
            </w:pPr>
            <w:r w:rsidRPr="00F775DA">
              <w:rPr>
                <w:sz w:val="20"/>
                <w:szCs w:val="20"/>
              </w:rPr>
              <w:t>149</w:t>
            </w:r>
          </w:p>
        </w:tc>
        <w:tc>
          <w:tcPr>
            <w:tcW w:w="1683" w:type="dxa"/>
          </w:tcPr>
          <w:p w:rsidR="004C1E6A" w:rsidRPr="00F775DA" w:rsidRDefault="004C1E6A" w:rsidP="008877B0">
            <w:pPr>
              <w:rPr>
                <w:sz w:val="20"/>
                <w:szCs w:val="20"/>
              </w:rPr>
            </w:pPr>
            <w:r w:rsidRPr="00F775DA">
              <w:rPr>
                <w:sz w:val="20"/>
                <w:szCs w:val="20"/>
              </w:rPr>
              <w:t>123</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0E3AB7" w:rsidTr="00F775DA">
        <w:tc>
          <w:tcPr>
            <w:tcW w:w="2008" w:type="dxa"/>
          </w:tcPr>
          <w:p w:rsidR="004C1E6A" w:rsidRPr="00F775DA" w:rsidRDefault="004C1E6A" w:rsidP="008877B0">
            <w:pPr>
              <w:rPr>
                <w:sz w:val="20"/>
                <w:szCs w:val="20"/>
              </w:rPr>
            </w:pPr>
            <w:r w:rsidRPr="00F775DA">
              <w:rPr>
                <w:sz w:val="20"/>
                <w:szCs w:val="20"/>
              </w:rPr>
              <w:t>2003</w:t>
            </w:r>
          </w:p>
        </w:tc>
        <w:tc>
          <w:tcPr>
            <w:tcW w:w="1288" w:type="dxa"/>
          </w:tcPr>
          <w:p w:rsidR="004C1E6A" w:rsidRPr="00F775DA" w:rsidRDefault="004C1E6A" w:rsidP="008877B0">
            <w:pPr>
              <w:rPr>
                <w:sz w:val="20"/>
                <w:szCs w:val="20"/>
              </w:rPr>
            </w:pPr>
            <w:r w:rsidRPr="00F775DA">
              <w:rPr>
                <w:sz w:val="20"/>
                <w:szCs w:val="20"/>
              </w:rPr>
              <w:t>140</w:t>
            </w:r>
          </w:p>
        </w:tc>
        <w:tc>
          <w:tcPr>
            <w:tcW w:w="1683" w:type="dxa"/>
          </w:tcPr>
          <w:p w:rsidR="004C1E6A" w:rsidRPr="00F775DA" w:rsidRDefault="004C1E6A" w:rsidP="008877B0">
            <w:pPr>
              <w:rPr>
                <w:sz w:val="20"/>
                <w:szCs w:val="20"/>
              </w:rPr>
            </w:pPr>
            <w:r w:rsidRPr="00F775DA">
              <w:rPr>
                <w:sz w:val="20"/>
                <w:szCs w:val="20"/>
              </w:rPr>
              <w:t>155</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2004</w:t>
            </w:r>
          </w:p>
        </w:tc>
        <w:tc>
          <w:tcPr>
            <w:tcW w:w="1288" w:type="dxa"/>
          </w:tcPr>
          <w:p w:rsidR="004C1E6A" w:rsidRPr="00F775DA" w:rsidRDefault="004C1E6A" w:rsidP="008877B0">
            <w:pPr>
              <w:rPr>
                <w:sz w:val="20"/>
                <w:szCs w:val="20"/>
              </w:rPr>
            </w:pPr>
            <w:r w:rsidRPr="00F775DA">
              <w:rPr>
                <w:sz w:val="20"/>
                <w:szCs w:val="20"/>
              </w:rPr>
              <w:t>173</w:t>
            </w:r>
          </w:p>
        </w:tc>
        <w:tc>
          <w:tcPr>
            <w:tcW w:w="1683" w:type="dxa"/>
          </w:tcPr>
          <w:p w:rsidR="004C1E6A" w:rsidRPr="00F775DA" w:rsidRDefault="004C1E6A" w:rsidP="008877B0">
            <w:pPr>
              <w:rPr>
                <w:sz w:val="20"/>
                <w:szCs w:val="20"/>
              </w:rPr>
            </w:pPr>
            <w:r w:rsidRPr="00F775DA">
              <w:rPr>
                <w:sz w:val="20"/>
                <w:szCs w:val="20"/>
              </w:rPr>
              <w:t>122</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2005</w:t>
            </w:r>
          </w:p>
        </w:tc>
        <w:tc>
          <w:tcPr>
            <w:tcW w:w="1288" w:type="dxa"/>
          </w:tcPr>
          <w:p w:rsidR="004C1E6A" w:rsidRPr="00F775DA" w:rsidRDefault="004C1E6A" w:rsidP="008877B0">
            <w:pPr>
              <w:rPr>
                <w:sz w:val="20"/>
                <w:szCs w:val="20"/>
              </w:rPr>
            </w:pPr>
            <w:r w:rsidRPr="00F775DA">
              <w:rPr>
                <w:sz w:val="20"/>
                <w:szCs w:val="20"/>
              </w:rPr>
              <w:t>158</w:t>
            </w:r>
          </w:p>
        </w:tc>
        <w:tc>
          <w:tcPr>
            <w:tcW w:w="1683" w:type="dxa"/>
          </w:tcPr>
          <w:p w:rsidR="004C1E6A" w:rsidRPr="00F775DA" w:rsidRDefault="004C1E6A" w:rsidP="008877B0">
            <w:pPr>
              <w:rPr>
                <w:sz w:val="20"/>
                <w:szCs w:val="20"/>
              </w:rPr>
            </w:pPr>
            <w:r w:rsidRPr="00F775DA">
              <w:rPr>
                <w:sz w:val="20"/>
                <w:szCs w:val="20"/>
              </w:rPr>
              <w:t>142</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2006</w:t>
            </w:r>
          </w:p>
        </w:tc>
        <w:tc>
          <w:tcPr>
            <w:tcW w:w="1288" w:type="dxa"/>
          </w:tcPr>
          <w:p w:rsidR="004C1E6A" w:rsidRPr="00F775DA" w:rsidRDefault="004C1E6A" w:rsidP="008877B0">
            <w:pPr>
              <w:rPr>
                <w:sz w:val="20"/>
                <w:szCs w:val="20"/>
              </w:rPr>
            </w:pPr>
            <w:r w:rsidRPr="00F775DA">
              <w:rPr>
                <w:sz w:val="20"/>
                <w:szCs w:val="20"/>
              </w:rPr>
              <w:t>185</w:t>
            </w:r>
          </w:p>
        </w:tc>
        <w:tc>
          <w:tcPr>
            <w:tcW w:w="1683" w:type="dxa"/>
          </w:tcPr>
          <w:p w:rsidR="004C1E6A" w:rsidRPr="00F775DA" w:rsidRDefault="004C1E6A" w:rsidP="008877B0">
            <w:pPr>
              <w:rPr>
                <w:sz w:val="20"/>
                <w:szCs w:val="20"/>
              </w:rPr>
            </w:pPr>
            <w:r w:rsidRPr="00F775DA">
              <w:rPr>
                <w:sz w:val="20"/>
                <w:szCs w:val="20"/>
              </w:rPr>
              <w:t>165</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2007</w:t>
            </w:r>
          </w:p>
        </w:tc>
        <w:tc>
          <w:tcPr>
            <w:tcW w:w="1288" w:type="dxa"/>
          </w:tcPr>
          <w:p w:rsidR="004C1E6A" w:rsidRPr="00F775DA" w:rsidRDefault="004C1E6A" w:rsidP="008877B0">
            <w:pPr>
              <w:rPr>
                <w:sz w:val="20"/>
                <w:szCs w:val="20"/>
              </w:rPr>
            </w:pPr>
            <w:r w:rsidRPr="00F775DA">
              <w:rPr>
                <w:sz w:val="20"/>
                <w:szCs w:val="20"/>
              </w:rPr>
              <w:t>162</w:t>
            </w:r>
          </w:p>
        </w:tc>
        <w:tc>
          <w:tcPr>
            <w:tcW w:w="1683" w:type="dxa"/>
          </w:tcPr>
          <w:p w:rsidR="004C1E6A" w:rsidRPr="00F775DA" w:rsidRDefault="004C1E6A" w:rsidP="008877B0">
            <w:pPr>
              <w:rPr>
                <w:sz w:val="20"/>
                <w:szCs w:val="20"/>
              </w:rPr>
            </w:pPr>
            <w:r w:rsidRPr="00F775DA">
              <w:rPr>
                <w:sz w:val="20"/>
                <w:szCs w:val="20"/>
              </w:rPr>
              <w:t>133</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2008</w:t>
            </w:r>
          </w:p>
        </w:tc>
        <w:tc>
          <w:tcPr>
            <w:tcW w:w="1288" w:type="dxa"/>
          </w:tcPr>
          <w:p w:rsidR="004C1E6A" w:rsidRPr="00F775DA" w:rsidRDefault="004C1E6A" w:rsidP="008877B0">
            <w:pPr>
              <w:rPr>
                <w:sz w:val="20"/>
                <w:szCs w:val="20"/>
              </w:rPr>
            </w:pPr>
            <w:r w:rsidRPr="00F775DA">
              <w:rPr>
                <w:sz w:val="20"/>
                <w:szCs w:val="20"/>
              </w:rPr>
              <w:t>154</w:t>
            </w:r>
          </w:p>
        </w:tc>
        <w:tc>
          <w:tcPr>
            <w:tcW w:w="1683" w:type="dxa"/>
          </w:tcPr>
          <w:p w:rsidR="004C1E6A" w:rsidRPr="00F775DA" w:rsidRDefault="004C1E6A" w:rsidP="008877B0">
            <w:pPr>
              <w:rPr>
                <w:sz w:val="20"/>
                <w:szCs w:val="20"/>
              </w:rPr>
            </w:pPr>
            <w:r w:rsidRPr="00F775DA">
              <w:rPr>
                <w:sz w:val="20"/>
                <w:szCs w:val="20"/>
              </w:rPr>
              <w:t>153</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2009</w:t>
            </w:r>
          </w:p>
        </w:tc>
        <w:tc>
          <w:tcPr>
            <w:tcW w:w="1288" w:type="dxa"/>
          </w:tcPr>
          <w:p w:rsidR="004C1E6A" w:rsidRPr="00F775DA" w:rsidRDefault="004C1E6A" w:rsidP="008877B0">
            <w:pPr>
              <w:rPr>
                <w:sz w:val="20"/>
                <w:szCs w:val="20"/>
              </w:rPr>
            </w:pPr>
            <w:r w:rsidRPr="00F775DA">
              <w:rPr>
                <w:sz w:val="20"/>
                <w:szCs w:val="20"/>
              </w:rPr>
              <w:t>188</w:t>
            </w:r>
          </w:p>
        </w:tc>
        <w:tc>
          <w:tcPr>
            <w:tcW w:w="1683" w:type="dxa"/>
          </w:tcPr>
          <w:p w:rsidR="004C1E6A" w:rsidRPr="00F775DA" w:rsidRDefault="004C1E6A" w:rsidP="008877B0">
            <w:pPr>
              <w:rPr>
                <w:sz w:val="20"/>
                <w:szCs w:val="20"/>
              </w:rPr>
            </w:pPr>
            <w:r w:rsidRPr="00F775DA">
              <w:rPr>
                <w:sz w:val="20"/>
                <w:szCs w:val="20"/>
              </w:rPr>
              <w:t>135</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2000-2009</w:t>
            </w: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1603</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1398</w:t>
            </w:r>
            <w:r w:rsidRPr="00F775DA">
              <w:rPr>
                <w:sz w:val="20"/>
                <w:szCs w:val="20"/>
              </w:rPr>
              <w:fldChar w:fldCharType="end"/>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p>
        </w:tc>
        <w:tc>
          <w:tcPr>
            <w:tcW w:w="1288" w:type="dxa"/>
          </w:tcPr>
          <w:p w:rsidR="004C1E6A" w:rsidRPr="00F775DA" w:rsidRDefault="004C1E6A" w:rsidP="008877B0">
            <w:pPr>
              <w:rPr>
                <w:b/>
                <w:sz w:val="20"/>
                <w:szCs w:val="20"/>
              </w:rPr>
            </w:pPr>
          </w:p>
        </w:tc>
        <w:tc>
          <w:tcPr>
            <w:tcW w:w="1683" w:type="dxa"/>
          </w:tcPr>
          <w:p w:rsidR="004C1E6A" w:rsidRPr="00F775DA" w:rsidRDefault="004C1E6A" w:rsidP="008877B0">
            <w:pPr>
              <w:rPr>
                <w:b/>
                <w:sz w:val="20"/>
                <w:szCs w:val="20"/>
              </w:rPr>
            </w:pPr>
          </w:p>
        </w:tc>
        <w:tc>
          <w:tcPr>
            <w:tcW w:w="1369" w:type="dxa"/>
          </w:tcPr>
          <w:p w:rsidR="004C1E6A" w:rsidRPr="00F775DA" w:rsidRDefault="004C1E6A" w:rsidP="008877B0">
            <w:pPr>
              <w:rPr>
                <w:b/>
                <w:sz w:val="20"/>
                <w:szCs w:val="20"/>
              </w:rPr>
            </w:pPr>
          </w:p>
        </w:tc>
        <w:tc>
          <w:tcPr>
            <w:tcW w:w="1283" w:type="dxa"/>
          </w:tcPr>
          <w:p w:rsidR="004C1E6A" w:rsidRPr="00F775DA" w:rsidRDefault="004C1E6A" w:rsidP="008877B0">
            <w:pPr>
              <w:rPr>
                <w:b/>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r w:rsidRPr="00F775DA">
              <w:rPr>
                <w:b/>
                <w:sz w:val="20"/>
                <w:szCs w:val="20"/>
              </w:rPr>
              <w:t>All Cancers:</w:t>
            </w:r>
          </w:p>
        </w:tc>
        <w:tc>
          <w:tcPr>
            <w:tcW w:w="1288" w:type="dxa"/>
          </w:tcPr>
          <w:p w:rsidR="004C1E6A" w:rsidRPr="00F775DA" w:rsidRDefault="004C1E6A" w:rsidP="008877B0">
            <w:pPr>
              <w:rPr>
                <w:b/>
                <w:sz w:val="20"/>
                <w:szCs w:val="20"/>
              </w:rPr>
            </w:pPr>
            <w:r w:rsidRPr="00F775DA">
              <w:rPr>
                <w:b/>
                <w:sz w:val="20"/>
                <w:szCs w:val="20"/>
              </w:rPr>
              <w:t>0-4</w:t>
            </w:r>
          </w:p>
        </w:tc>
        <w:tc>
          <w:tcPr>
            <w:tcW w:w="1683" w:type="dxa"/>
          </w:tcPr>
          <w:p w:rsidR="004C1E6A" w:rsidRPr="00F775DA" w:rsidRDefault="004C1E6A" w:rsidP="008877B0">
            <w:pPr>
              <w:rPr>
                <w:b/>
                <w:sz w:val="20"/>
                <w:szCs w:val="20"/>
              </w:rPr>
            </w:pPr>
            <w:r w:rsidRPr="00F775DA">
              <w:rPr>
                <w:b/>
                <w:sz w:val="20"/>
                <w:szCs w:val="20"/>
              </w:rPr>
              <w:t>5-9</w:t>
            </w:r>
          </w:p>
        </w:tc>
        <w:tc>
          <w:tcPr>
            <w:tcW w:w="1369" w:type="dxa"/>
          </w:tcPr>
          <w:p w:rsidR="004C1E6A" w:rsidRPr="00F775DA" w:rsidRDefault="004C1E6A" w:rsidP="008877B0">
            <w:pPr>
              <w:rPr>
                <w:b/>
                <w:sz w:val="20"/>
                <w:szCs w:val="20"/>
              </w:rPr>
            </w:pPr>
            <w:r w:rsidRPr="00F775DA">
              <w:rPr>
                <w:b/>
                <w:sz w:val="20"/>
                <w:szCs w:val="20"/>
              </w:rPr>
              <w:t>10-14</w:t>
            </w:r>
          </w:p>
        </w:tc>
        <w:tc>
          <w:tcPr>
            <w:tcW w:w="1283" w:type="dxa"/>
          </w:tcPr>
          <w:p w:rsidR="004C1E6A" w:rsidRPr="00F775DA" w:rsidRDefault="004C1E6A" w:rsidP="008877B0">
            <w:pPr>
              <w:rPr>
                <w:b/>
                <w:sz w:val="20"/>
                <w:szCs w:val="20"/>
              </w:rPr>
            </w:pPr>
            <w:r w:rsidRPr="00F775DA">
              <w:rPr>
                <w:b/>
                <w:sz w:val="20"/>
                <w:szCs w:val="20"/>
              </w:rPr>
              <w:t>15-19</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w:t>
            </w:r>
          </w:p>
        </w:tc>
        <w:tc>
          <w:tcPr>
            <w:tcW w:w="1288" w:type="dxa"/>
          </w:tcPr>
          <w:p w:rsidR="004C1E6A" w:rsidRPr="00F775DA" w:rsidRDefault="004C1E6A" w:rsidP="008877B0">
            <w:pPr>
              <w:rPr>
                <w:sz w:val="20"/>
                <w:szCs w:val="20"/>
              </w:rPr>
            </w:pPr>
            <w:r w:rsidRPr="00F775DA">
              <w:rPr>
                <w:sz w:val="20"/>
                <w:szCs w:val="20"/>
              </w:rPr>
              <w:t>91</w:t>
            </w:r>
          </w:p>
        </w:tc>
        <w:tc>
          <w:tcPr>
            <w:tcW w:w="1683" w:type="dxa"/>
          </w:tcPr>
          <w:p w:rsidR="004C1E6A" w:rsidRPr="00F775DA" w:rsidRDefault="004C1E6A" w:rsidP="008877B0">
            <w:pPr>
              <w:rPr>
                <w:sz w:val="20"/>
                <w:szCs w:val="20"/>
              </w:rPr>
            </w:pPr>
            <w:r w:rsidRPr="00F775DA">
              <w:rPr>
                <w:sz w:val="20"/>
                <w:szCs w:val="20"/>
              </w:rPr>
              <w:t>50</w:t>
            </w:r>
          </w:p>
        </w:tc>
        <w:tc>
          <w:tcPr>
            <w:tcW w:w="1369" w:type="dxa"/>
          </w:tcPr>
          <w:p w:rsidR="004C1E6A" w:rsidRPr="00F775DA" w:rsidRDefault="004C1E6A" w:rsidP="008877B0">
            <w:pPr>
              <w:rPr>
                <w:sz w:val="20"/>
                <w:szCs w:val="20"/>
              </w:rPr>
            </w:pPr>
            <w:r w:rsidRPr="00F775DA">
              <w:rPr>
                <w:sz w:val="20"/>
                <w:szCs w:val="20"/>
              </w:rPr>
              <w:t>58</w:t>
            </w:r>
          </w:p>
        </w:tc>
        <w:tc>
          <w:tcPr>
            <w:tcW w:w="1283" w:type="dxa"/>
          </w:tcPr>
          <w:p w:rsidR="004C1E6A" w:rsidRPr="00F775DA" w:rsidRDefault="004C1E6A" w:rsidP="008877B0">
            <w:pPr>
              <w:rPr>
                <w:sz w:val="20"/>
                <w:szCs w:val="20"/>
              </w:rPr>
            </w:pPr>
            <w:r w:rsidRPr="00F775DA">
              <w:rPr>
                <w:sz w:val="20"/>
                <w:szCs w:val="20"/>
              </w:rPr>
              <w:t>94</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2001</w:t>
            </w:r>
          </w:p>
        </w:tc>
        <w:tc>
          <w:tcPr>
            <w:tcW w:w="1288" w:type="dxa"/>
          </w:tcPr>
          <w:p w:rsidR="004C1E6A" w:rsidRPr="00F775DA" w:rsidRDefault="004C1E6A" w:rsidP="008877B0">
            <w:pPr>
              <w:rPr>
                <w:sz w:val="20"/>
                <w:szCs w:val="20"/>
              </w:rPr>
            </w:pPr>
            <w:r w:rsidRPr="00F775DA">
              <w:rPr>
                <w:sz w:val="20"/>
                <w:szCs w:val="20"/>
              </w:rPr>
              <w:t>88</w:t>
            </w:r>
          </w:p>
        </w:tc>
        <w:tc>
          <w:tcPr>
            <w:tcW w:w="1683" w:type="dxa"/>
          </w:tcPr>
          <w:p w:rsidR="004C1E6A" w:rsidRPr="00F775DA" w:rsidRDefault="004C1E6A" w:rsidP="008877B0">
            <w:pPr>
              <w:rPr>
                <w:sz w:val="20"/>
                <w:szCs w:val="20"/>
              </w:rPr>
            </w:pPr>
            <w:r w:rsidRPr="00F775DA">
              <w:rPr>
                <w:sz w:val="20"/>
                <w:szCs w:val="20"/>
              </w:rPr>
              <w:t>45</w:t>
            </w:r>
          </w:p>
        </w:tc>
        <w:tc>
          <w:tcPr>
            <w:tcW w:w="1369" w:type="dxa"/>
          </w:tcPr>
          <w:p w:rsidR="004C1E6A" w:rsidRPr="00F775DA" w:rsidRDefault="004C1E6A" w:rsidP="008877B0">
            <w:pPr>
              <w:rPr>
                <w:sz w:val="20"/>
                <w:szCs w:val="20"/>
              </w:rPr>
            </w:pPr>
            <w:r w:rsidRPr="00F775DA">
              <w:rPr>
                <w:sz w:val="20"/>
                <w:szCs w:val="20"/>
              </w:rPr>
              <w:t>56</w:t>
            </w:r>
          </w:p>
        </w:tc>
        <w:tc>
          <w:tcPr>
            <w:tcW w:w="1283" w:type="dxa"/>
          </w:tcPr>
          <w:p w:rsidR="004C1E6A" w:rsidRPr="00F775DA" w:rsidRDefault="004C1E6A" w:rsidP="008877B0">
            <w:pPr>
              <w:rPr>
                <w:sz w:val="20"/>
                <w:szCs w:val="20"/>
              </w:rPr>
            </w:pPr>
            <w:r w:rsidRPr="00F775DA">
              <w:rPr>
                <w:sz w:val="20"/>
                <w:szCs w:val="20"/>
              </w:rPr>
              <w:t>82</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2002</w:t>
            </w:r>
          </w:p>
        </w:tc>
        <w:tc>
          <w:tcPr>
            <w:tcW w:w="1288" w:type="dxa"/>
          </w:tcPr>
          <w:p w:rsidR="004C1E6A" w:rsidRPr="00F775DA" w:rsidRDefault="004C1E6A" w:rsidP="008877B0">
            <w:pPr>
              <w:rPr>
                <w:sz w:val="20"/>
                <w:szCs w:val="20"/>
              </w:rPr>
            </w:pPr>
            <w:r w:rsidRPr="00F775DA">
              <w:rPr>
                <w:sz w:val="20"/>
                <w:szCs w:val="20"/>
              </w:rPr>
              <w:t>68</w:t>
            </w:r>
          </w:p>
        </w:tc>
        <w:tc>
          <w:tcPr>
            <w:tcW w:w="1683" w:type="dxa"/>
          </w:tcPr>
          <w:p w:rsidR="004C1E6A" w:rsidRPr="00F775DA" w:rsidRDefault="004C1E6A" w:rsidP="008877B0">
            <w:pPr>
              <w:rPr>
                <w:sz w:val="20"/>
                <w:szCs w:val="20"/>
              </w:rPr>
            </w:pPr>
            <w:r w:rsidRPr="00F775DA">
              <w:rPr>
                <w:sz w:val="20"/>
                <w:szCs w:val="20"/>
              </w:rPr>
              <w:t>54</w:t>
            </w:r>
          </w:p>
        </w:tc>
        <w:tc>
          <w:tcPr>
            <w:tcW w:w="1369" w:type="dxa"/>
          </w:tcPr>
          <w:p w:rsidR="004C1E6A" w:rsidRPr="00F775DA" w:rsidRDefault="004C1E6A" w:rsidP="008877B0">
            <w:pPr>
              <w:rPr>
                <w:sz w:val="20"/>
                <w:szCs w:val="20"/>
              </w:rPr>
            </w:pPr>
            <w:r w:rsidRPr="00F775DA">
              <w:rPr>
                <w:sz w:val="20"/>
                <w:szCs w:val="20"/>
              </w:rPr>
              <w:t>57</w:t>
            </w:r>
          </w:p>
        </w:tc>
        <w:tc>
          <w:tcPr>
            <w:tcW w:w="1283" w:type="dxa"/>
          </w:tcPr>
          <w:p w:rsidR="004C1E6A" w:rsidRPr="00F775DA" w:rsidRDefault="004C1E6A" w:rsidP="008877B0">
            <w:pPr>
              <w:rPr>
                <w:sz w:val="20"/>
                <w:szCs w:val="20"/>
              </w:rPr>
            </w:pPr>
            <w:r w:rsidRPr="00F775DA">
              <w:rPr>
                <w:sz w:val="20"/>
                <w:szCs w:val="20"/>
              </w:rPr>
              <w:t>93</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2003</w:t>
            </w:r>
          </w:p>
        </w:tc>
        <w:tc>
          <w:tcPr>
            <w:tcW w:w="1288" w:type="dxa"/>
          </w:tcPr>
          <w:p w:rsidR="004C1E6A" w:rsidRPr="00F775DA" w:rsidRDefault="004C1E6A" w:rsidP="008877B0">
            <w:pPr>
              <w:rPr>
                <w:sz w:val="20"/>
                <w:szCs w:val="20"/>
              </w:rPr>
            </w:pPr>
            <w:r w:rsidRPr="00F775DA">
              <w:rPr>
                <w:sz w:val="20"/>
                <w:szCs w:val="20"/>
              </w:rPr>
              <w:t>99</w:t>
            </w:r>
          </w:p>
        </w:tc>
        <w:tc>
          <w:tcPr>
            <w:tcW w:w="1683" w:type="dxa"/>
          </w:tcPr>
          <w:p w:rsidR="004C1E6A" w:rsidRPr="00F775DA" w:rsidRDefault="004C1E6A" w:rsidP="008877B0">
            <w:pPr>
              <w:rPr>
                <w:sz w:val="20"/>
                <w:szCs w:val="20"/>
              </w:rPr>
            </w:pPr>
            <w:r w:rsidRPr="00F775DA">
              <w:rPr>
                <w:sz w:val="20"/>
                <w:szCs w:val="20"/>
              </w:rPr>
              <w:t>55</w:t>
            </w:r>
          </w:p>
        </w:tc>
        <w:tc>
          <w:tcPr>
            <w:tcW w:w="1369" w:type="dxa"/>
          </w:tcPr>
          <w:p w:rsidR="004C1E6A" w:rsidRPr="00F775DA" w:rsidRDefault="004C1E6A" w:rsidP="008877B0">
            <w:pPr>
              <w:rPr>
                <w:sz w:val="20"/>
                <w:szCs w:val="20"/>
              </w:rPr>
            </w:pPr>
            <w:r w:rsidRPr="00F775DA">
              <w:rPr>
                <w:sz w:val="20"/>
                <w:szCs w:val="20"/>
              </w:rPr>
              <w:t>50</w:t>
            </w:r>
          </w:p>
        </w:tc>
        <w:tc>
          <w:tcPr>
            <w:tcW w:w="1283" w:type="dxa"/>
          </w:tcPr>
          <w:p w:rsidR="004C1E6A" w:rsidRPr="00F775DA" w:rsidRDefault="004C1E6A" w:rsidP="008877B0">
            <w:pPr>
              <w:rPr>
                <w:sz w:val="20"/>
                <w:szCs w:val="20"/>
              </w:rPr>
            </w:pPr>
            <w:r w:rsidRPr="00F775DA">
              <w:rPr>
                <w:sz w:val="20"/>
                <w:szCs w:val="20"/>
              </w:rPr>
              <w:t>91</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2004</w:t>
            </w:r>
          </w:p>
        </w:tc>
        <w:tc>
          <w:tcPr>
            <w:tcW w:w="1288" w:type="dxa"/>
          </w:tcPr>
          <w:p w:rsidR="004C1E6A" w:rsidRPr="00F775DA" w:rsidRDefault="004C1E6A" w:rsidP="008877B0">
            <w:pPr>
              <w:rPr>
                <w:sz w:val="20"/>
                <w:szCs w:val="20"/>
              </w:rPr>
            </w:pPr>
            <w:r w:rsidRPr="00F775DA">
              <w:rPr>
                <w:sz w:val="20"/>
                <w:szCs w:val="20"/>
              </w:rPr>
              <w:t>100</w:t>
            </w:r>
          </w:p>
        </w:tc>
        <w:tc>
          <w:tcPr>
            <w:tcW w:w="1683" w:type="dxa"/>
          </w:tcPr>
          <w:p w:rsidR="004C1E6A" w:rsidRPr="00F775DA" w:rsidRDefault="004C1E6A" w:rsidP="008877B0">
            <w:pPr>
              <w:rPr>
                <w:sz w:val="20"/>
                <w:szCs w:val="20"/>
              </w:rPr>
            </w:pPr>
            <w:r w:rsidRPr="00F775DA">
              <w:rPr>
                <w:sz w:val="20"/>
                <w:szCs w:val="20"/>
              </w:rPr>
              <w:t>43</w:t>
            </w:r>
          </w:p>
        </w:tc>
        <w:tc>
          <w:tcPr>
            <w:tcW w:w="1369" w:type="dxa"/>
          </w:tcPr>
          <w:p w:rsidR="004C1E6A" w:rsidRPr="00F775DA" w:rsidRDefault="004C1E6A" w:rsidP="008877B0">
            <w:pPr>
              <w:rPr>
                <w:sz w:val="20"/>
                <w:szCs w:val="20"/>
              </w:rPr>
            </w:pPr>
            <w:r w:rsidRPr="00F775DA">
              <w:rPr>
                <w:sz w:val="20"/>
                <w:szCs w:val="20"/>
              </w:rPr>
              <w:t>58</w:t>
            </w:r>
          </w:p>
        </w:tc>
        <w:tc>
          <w:tcPr>
            <w:tcW w:w="1283" w:type="dxa"/>
          </w:tcPr>
          <w:p w:rsidR="004C1E6A" w:rsidRPr="00F775DA" w:rsidRDefault="004C1E6A" w:rsidP="008877B0">
            <w:pPr>
              <w:rPr>
                <w:sz w:val="20"/>
                <w:szCs w:val="20"/>
              </w:rPr>
            </w:pPr>
            <w:r w:rsidRPr="00F775DA">
              <w:rPr>
                <w:sz w:val="20"/>
                <w:szCs w:val="20"/>
              </w:rPr>
              <w:t>94</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2005</w:t>
            </w:r>
          </w:p>
        </w:tc>
        <w:tc>
          <w:tcPr>
            <w:tcW w:w="1288" w:type="dxa"/>
          </w:tcPr>
          <w:p w:rsidR="004C1E6A" w:rsidRPr="00F775DA" w:rsidRDefault="004C1E6A" w:rsidP="008877B0">
            <w:pPr>
              <w:rPr>
                <w:sz w:val="20"/>
                <w:szCs w:val="20"/>
              </w:rPr>
            </w:pPr>
            <w:r w:rsidRPr="00F775DA">
              <w:rPr>
                <w:sz w:val="20"/>
                <w:szCs w:val="20"/>
              </w:rPr>
              <w:t>84</w:t>
            </w:r>
          </w:p>
        </w:tc>
        <w:tc>
          <w:tcPr>
            <w:tcW w:w="1683" w:type="dxa"/>
          </w:tcPr>
          <w:p w:rsidR="004C1E6A" w:rsidRPr="00F775DA" w:rsidRDefault="004C1E6A" w:rsidP="008877B0">
            <w:pPr>
              <w:rPr>
                <w:sz w:val="20"/>
                <w:szCs w:val="20"/>
              </w:rPr>
            </w:pPr>
            <w:r w:rsidRPr="00F775DA">
              <w:rPr>
                <w:sz w:val="20"/>
                <w:szCs w:val="20"/>
              </w:rPr>
              <w:t>36</w:t>
            </w:r>
          </w:p>
        </w:tc>
        <w:tc>
          <w:tcPr>
            <w:tcW w:w="1369" w:type="dxa"/>
          </w:tcPr>
          <w:p w:rsidR="004C1E6A" w:rsidRPr="00F775DA" w:rsidRDefault="004C1E6A" w:rsidP="008877B0">
            <w:pPr>
              <w:rPr>
                <w:sz w:val="20"/>
                <w:szCs w:val="20"/>
              </w:rPr>
            </w:pPr>
            <w:r w:rsidRPr="00F775DA">
              <w:rPr>
                <w:sz w:val="20"/>
                <w:szCs w:val="20"/>
              </w:rPr>
              <w:t>64</w:t>
            </w:r>
          </w:p>
        </w:tc>
        <w:tc>
          <w:tcPr>
            <w:tcW w:w="1283" w:type="dxa"/>
          </w:tcPr>
          <w:p w:rsidR="004C1E6A" w:rsidRPr="00F775DA" w:rsidRDefault="004C1E6A" w:rsidP="008877B0">
            <w:pPr>
              <w:rPr>
                <w:sz w:val="20"/>
                <w:szCs w:val="20"/>
              </w:rPr>
            </w:pPr>
            <w:r w:rsidRPr="00F775DA">
              <w:rPr>
                <w:sz w:val="20"/>
                <w:szCs w:val="20"/>
              </w:rPr>
              <w:t>116</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2006</w:t>
            </w:r>
          </w:p>
        </w:tc>
        <w:tc>
          <w:tcPr>
            <w:tcW w:w="1288" w:type="dxa"/>
          </w:tcPr>
          <w:p w:rsidR="004C1E6A" w:rsidRPr="00F775DA" w:rsidRDefault="004C1E6A" w:rsidP="008877B0">
            <w:pPr>
              <w:rPr>
                <w:sz w:val="20"/>
                <w:szCs w:val="20"/>
              </w:rPr>
            </w:pPr>
            <w:r w:rsidRPr="00F775DA">
              <w:rPr>
                <w:sz w:val="20"/>
                <w:szCs w:val="20"/>
              </w:rPr>
              <w:t>108</w:t>
            </w:r>
          </w:p>
        </w:tc>
        <w:tc>
          <w:tcPr>
            <w:tcW w:w="1683" w:type="dxa"/>
          </w:tcPr>
          <w:p w:rsidR="004C1E6A" w:rsidRPr="00F775DA" w:rsidRDefault="004C1E6A" w:rsidP="008877B0">
            <w:pPr>
              <w:rPr>
                <w:sz w:val="20"/>
                <w:szCs w:val="20"/>
              </w:rPr>
            </w:pPr>
            <w:r w:rsidRPr="00F775DA">
              <w:rPr>
                <w:sz w:val="20"/>
                <w:szCs w:val="20"/>
              </w:rPr>
              <w:t>60</w:t>
            </w:r>
          </w:p>
        </w:tc>
        <w:tc>
          <w:tcPr>
            <w:tcW w:w="1369" w:type="dxa"/>
          </w:tcPr>
          <w:p w:rsidR="004C1E6A" w:rsidRPr="00F775DA" w:rsidRDefault="004C1E6A" w:rsidP="008877B0">
            <w:pPr>
              <w:rPr>
                <w:sz w:val="20"/>
                <w:szCs w:val="20"/>
              </w:rPr>
            </w:pPr>
            <w:r w:rsidRPr="00F775DA">
              <w:rPr>
                <w:sz w:val="20"/>
                <w:szCs w:val="20"/>
              </w:rPr>
              <w:t>62</w:t>
            </w:r>
          </w:p>
        </w:tc>
        <w:tc>
          <w:tcPr>
            <w:tcW w:w="1283" w:type="dxa"/>
          </w:tcPr>
          <w:p w:rsidR="004C1E6A" w:rsidRPr="00F775DA" w:rsidRDefault="004C1E6A" w:rsidP="008877B0">
            <w:pPr>
              <w:rPr>
                <w:sz w:val="20"/>
                <w:szCs w:val="20"/>
              </w:rPr>
            </w:pPr>
            <w:r w:rsidRPr="00F775DA">
              <w:rPr>
                <w:sz w:val="20"/>
                <w:szCs w:val="20"/>
              </w:rPr>
              <w:t>120</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2007</w:t>
            </w:r>
          </w:p>
        </w:tc>
        <w:tc>
          <w:tcPr>
            <w:tcW w:w="1288" w:type="dxa"/>
          </w:tcPr>
          <w:p w:rsidR="004C1E6A" w:rsidRPr="00F775DA" w:rsidRDefault="004C1E6A" w:rsidP="008877B0">
            <w:pPr>
              <w:rPr>
                <w:sz w:val="20"/>
                <w:szCs w:val="20"/>
              </w:rPr>
            </w:pPr>
            <w:r w:rsidRPr="00F775DA">
              <w:rPr>
                <w:sz w:val="20"/>
                <w:szCs w:val="20"/>
              </w:rPr>
              <w:t>83</w:t>
            </w:r>
          </w:p>
        </w:tc>
        <w:tc>
          <w:tcPr>
            <w:tcW w:w="1683" w:type="dxa"/>
          </w:tcPr>
          <w:p w:rsidR="004C1E6A" w:rsidRPr="00F775DA" w:rsidRDefault="004C1E6A" w:rsidP="008877B0">
            <w:pPr>
              <w:rPr>
                <w:sz w:val="20"/>
                <w:szCs w:val="20"/>
              </w:rPr>
            </w:pPr>
            <w:r w:rsidRPr="00F775DA">
              <w:rPr>
                <w:sz w:val="20"/>
                <w:szCs w:val="20"/>
              </w:rPr>
              <w:t>52</w:t>
            </w:r>
          </w:p>
        </w:tc>
        <w:tc>
          <w:tcPr>
            <w:tcW w:w="1369" w:type="dxa"/>
          </w:tcPr>
          <w:p w:rsidR="004C1E6A" w:rsidRPr="00F775DA" w:rsidRDefault="004C1E6A" w:rsidP="008877B0">
            <w:pPr>
              <w:rPr>
                <w:sz w:val="20"/>
                <w:szCs w:val="20"/>
              </w:rPr>
            </w:pPr>
            <w:r w:rsidRPr="00F775DA">
              <w:rPr>
                <w:sz w:val="20"/>
                <w:szCs w:val="20"/>
              </w:rPr>
              <w:t>60</w:t>
            </w:r>
          </w:p>
        </w:tc>
        <w:tc>
          <w:tcPr>
            <w:tcW w:w="1283" w:type="dxa"/>
          </w:tcPr>
          <w:p w:rsidR="004C1E6A" w:rsidRPr="00F775DA" w:rsidRDefault="004C1E6A" w:rsidP="008877B0">
            <w:pPr>
              <w:rPr>
                <w:sz w:val="20"/>
                <w:szCs w:val="20"/>
              </w:rPr>
            </w:pPr>
            <w:r w:rsidRPr="00F775DA">
              <w:rPr>
                <w:sz w:val="20"/>
                <w:szCs w:val="20"/>
              </w:rPr>
              <w:t>100</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2008</w:t>
            </w:r>
          </w:p>
        </w:tc>
        <w:tc>
          <w:tcPr>
            <w:tcW w:w="1288" w:type="dxa"/>
          </w:tcPr>
          <w:p w:rsidR="004C1E6A" w:rsidRPr="00F775DA" w:rsidRDefault="004C1E6A" w:rsidP="008877B0">
            <w:pPr>
              <w:rPr>
                <w:sz w:val="20"/>
                <w:szCs w:val="20"/>
              </w:rPr>
            </w:pPr>
            <w:r w:rsidRPr="00F775DA">
              <w:rPr>
                <w:sz w:val="20"/>
                <w:szCs w:val="20"/>
              </w:rPr>
              <w:t>92</w:t>
            </w:r>
          </w:p>
        </w:tc>
        <w:tc>
          <w:tcPr>
            <w:tcW w:w="1683" w:type="dxa"/>
          </w:tcPr>
          <w:p w:rsidR="004C1E6A" w:rsidRPr="00F775DA" w:rsidRDefault="004C1E6A" w:rsidP="008877B0">
            <w:pPr>
              <w:rPr>
                <w:sz w:val="20"/>
                <w:szCs w:val="20"/>
              </w:rPr>
            </w:pPr>
            <w:r w:rsidRPr="00F775DA">
              <w:rPr>
                <w:sz w:val="20"/>
                <w:szCs w:val="20"/>
              </w:rPr>
              <w:t>46</w:t>
            </w:r>
          </w:p>
        </w:tc>
        <w:tc>
          <w:tcPr>
            <w:tcW w:w="1369" w:type="dxa"/>
          </w:tcPr>
          <w:p w:rsidR="004C1E6A" w:rsidRPr="00F775DA" w:rsidRDefault="004C1E6A" w:rsidP="008877B0">
            <w:pPr>
              <w:rPr>
                <w:sz w:val="20"/>
                <w:szCs w:val="20"/>
              </w:rPr>
            </w:pPr>
            <w:r w:rsidRPr="00F775DA">
              <w:rPr>
                <w:sz w:val="20"/>
                <w:szCs w:val="20"/>
              </w:rPr>
              <w:t>52</w:t>
            </w:r>
          </w:p>
        </w:tc>
        <w:tc>
          <w:tcPr>
            <w:tcW w:w="1283" w:type="dxa"/>
          </w:tcPr>
          <w:p w:rsidR="004C1E6A" w:rsidRPr="00F775DA" w:rsidRDefault="004C1E6A" w:rsidP="008877B0">
            <w:pPr>
              <w:rPr>
                <w:sz w:val="20"/>
                <w:szCs w:val="20"/>
              </w:rPr>
            </w:pPr>
            <w:r w:rsidRPr="00F775DA">
              <w:rPr>
                <w:sz w:val="20"/>
                <w:szCs w:val="20"/>
              </w:rPr>
              <w:t>117</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2009</w:t>
            </w:r>
          </w:p>
        </w:tc>
        <w:tc>
          <w:tcPr>
            <w:tcW w:w="1288" w:type="dxa"/>
          </w:tcPr>
          <w:p w:rsidR="004C1E6A" w:rsidRPr="00F775DA" w:rsidRDefault="004C1E6A" w:rsidP="008877B0">
            <w:pPr>
              <w:rPr>
                <w:sz w:val="20"/>
                <w:szCs w:val="20"/>
              </w:rPr>
            </w:pPr>
            <w:r w:rsidRPr="00F775DA">
              <w:rPr>
                <w:sz w:val="20"/>
                <w:szCs w:val="20"/>
              </w:rPr>
              <w:t>101</w:t>
            </w:r>
          </w:p>
        </w:tc>
        <w:tc>
          <w:tcPr>
            <w:tcW w:w="1683" w:type="dxa"/>
          </w:tcPr>
          <w:p w:rsidR="004C1E6A" w:rsidRPr="00F775DA" w:rsidRDefault="004C1E6A" w:rsidP="008877B0">
            <w:pPr>
              <w:rPr>
                <w:sz w:val="20"/>
                <w:szCs w:val="20"/>
              </w:rPr>
            </w:pPr>
            <w:r w:rsidRPr="00F775DA">
              <w:rPr>
                <w:sz w:val="20"/>
                <w:szCs w:val="20"/>
              </w:rPr>
              <w:t>49</w:t>
            </w:r>
          </w:p>
        </w:tc>
        <w:tc>
          <w:tcPr>
            <w:tcW w:w="1369" w:type="dxa"/>
          </w:tcPr>
          <w:p w:rsidR="004C1E6A" w:rsidRPr="00F775DA" w:rsidRDefault="004C1E6A" w:rsidP="008877B0">
            <w:pPr>
              <w:rPr>
                <w:sz w:val="20"/>
                <w:szCs w:val="20"/>
              </w:rPr>
            </w:pPr>
            <w:r w:rsidRPr="00F775DA">
              <w:rPr>
                <w:sz w:val="20"/>
                <w:szCs w:val="20"/>
              </w:rPr>
              <w:t>48</w:t>
            </w:r>
          </w:p>
        </w:tc>
        <w:tc>
          <w:tcPr>
            <w:tcW w:w="1283" w:type="dxa"/>
          </w:tcPr>
          <w:p w:rsidR="004C1E6A" w:rsidRPr="00F775DA" w:rsidRDefault="004C1E6A" w:rsidP="008877B0">
            <w:pPr>
              <w:rPr>
                <w:sz w:val="20"/>
                <w:szCs w:val="20"/>
              </w:rPr>
            </w:pPr>
            <w:r w:rsidRPr="00F775DA">
              <w:rPr>
                <w:sz w:val="20"/>
                <w:szCs w:val="20"/>
              </w:rPr>
              <w:t>125</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2000-2009</w:t>
            </w: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914</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490</w:t>
            </w:r>
            <w:r w:rsidRPr="00F775DA">
              <w:rPr>
                <w:sz w:val="20"/>
                <w:szCs w:val="20"/>
              </w:rPr>
              <w:fldChar w:fldCharType="end"/>
            </w:r>
          </w:p>
        </w:tc>
        <w:tc>
          <w:tcPr>
            <w:tcW w:w="1369"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565</w:t>
            </w:r>
            <w:r w:rsidRPr="00F775DA">
              <w:rPr>
                <w:sz w:val="20"/>
                <w:szCs w:val="20"/>
              </w:rPr>
              <w:fldChar w:fldCharType="end"/>
            </w:r>
          </w:p>
        </w:tc>
        <w:tc>
          <w:tcPr>
            <w:tcW w:w="12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1032</w:t>
            </w:r>
            <w:r w:rsidRPr="00F775DA">
              <w:rPr>
                <w:sz w:val="20"/>
                <w:szCs w:val="20"/>
              </w:rPr>
              <w:fldChar w:fldCharType="end"/>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p>
        </w:tc>
        <w:tc>
          <w:tcPr>
            <w:tcW w:w="1288" w:type="dxa"/>
          </w:tcPr>
          <w:p w:rsidR="004C1E6A" w:rsidRPr="00F775DA" w:rsidRDefault="004C1E6A" w:rsidP="008877B0">
            <w:pPr>
              <w:rPr>
                <w:b/>
                <w:sz w:val="20"/>
                <w:szCs w:val="20"/>
              </w:rPr>
            </w:pPr>
          </w:p>
        </w:tc>
        <w:tc>
          <w:tcPr>
            <w:tcW w:w="1683" w:type="dxa"/>
          </w:tcPr>
          <w:p w:rsidR="004C1E6A" w:rsidRPr="00F775DA" w:rsidRDefault="004C1E6A" w:rsidP="008877B0">
            <w:pPr>
              <w:rPr>
                <w:b/>
                <w:sz w:val="20"/>
                <w:szCs w:val="20"/>
              </w:rPr>
            </w:pPr>
          </w:p>
        </w:tc>
        <w:tc>
          <w:tcPr>
            <w:tcW w:w="1369" w:type="dxa"/>
          </w:tcPr>
          <w:p w:rsidR="004C1E6A" w:rsidRPr="00F775DA" w:rsidRDefault="004C1E6A" w:rsidP="008877B0">
            <w:pPr>
              <w:rPr>
                <w:b/>
                <w:sz w:val="20"/>
                <w:szCs w:val="20"/>
              </w:rPr>
            </w:pPr>
          </w:p>
        </w:tc>
        <w:tc>
          <w:tcPr>
            <w:tcW w:w="1283" w:type="dxa"/>
          </w:tcPr>
          <w:p w:rsidR="004C1E6A" w:rsidRPr="00F775DA" w:rsidRDefault="004C1E6A" w:rsidP="008877B0">
            <w:pPr>
              <w:rPr>
                <w:b/>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r w:rsidRPr="00F775DA">
              <w:rPr>
                <w:b/>
                <w:sz w:val="20"/>
                <w:szCs w:val="20"/>
              </w:rPr>
              <w:t>All Cancers:</w:t>
            </w:r>
          </w:p>
        </w:tc>
        <w:tc>
          <w:tcPr>
            <w:tcW w:w="1288" w:type="dxa"/>
          </w:tcPr>
          <w:p w:rsidR="004C1E6A" w:rsidRPr="00F775DA" w:rsidRDefault="004C1E6A" w:rsidP="008877B0">
            <w:pPr>
              <w:rPr>
                <w:b/>
                <w:sz w:val="20"/>
                <w:szCs w:val="20"/>
              </w:rPr>
            </w:pPr>
            <w:r w:rsidRPr="00F775DA">
              <w:rPr>
                <w:b/>
                <w:sz w:val="20"/>
                <w:szCs w:val="20"/>
              </w:rPr>
              <w:t>White, NH</w:t>
            </w:r>
          </w:p>
        </w:tc>
        <w:tc>
          <w:tcPr>
            <w:tcW w:w="1683" w:type="dxa"/>
          </w:tcPr>
          <w:p w:rsidR="004C1E6A" w:rsidRPr="00F775DA" w:rsidRDefault="004C1E6A" w:rsidP="008877B0">
            <w:pPr>
              <w:rPr>
                <w:b/>
                <w:sz w:val="20"/>
                <w:szCs w:val="20"/>
              </w:rPr>
            </w:pPr>
            <w:r w:rsidRPr="00F775DA">
              <w:rPr>
                <w:b/>
                <w:sz w:val="20"/>
                <w:szCs w:val="20"/>
              </w:rPr>
              <w:t>Black, NH</w:t>
            </w:r>
          </w:p>
        </w:tc>
        <w:tc>
          <w:tcPr>
            <w:tcW w:w="1369" w:type="dxa"/>
          </w:tcPr>
          <w:p w:rsidR="004C1E6A" w:rsidRPr="00F775DA" w:rsidRDefault="004C1E6A" w:rsidP="008877B0">
            <w:pPr>
              <w:rPr>
                <w:b/>
                <w:sz w:val="20"/>
                <w:szCs w:val="20"/>
              </w:rPr>
            </w:pPr>
            <w:r w:rsidRPr="00F775DA">
              <w:rPr>
                <w:b/>
                <w:sz w:val="20"/>
                <w:szCs w:val="20"/>
              </w:rPr>
              <w:t>Asian, NH</w:t>
            </w:r>
          </w:p>
        </w:tc>
        <w:tc>
          <w:tcPr>
            <w:tcW w:w="1283" w:type="dxa"/>
          </w:tcPr>
          <w:p w:rsidR="004C1E6A" w:rsidRPr="00F775DA" w:rsidRDefault="004C1E6A" w:rsidP="008877B0">
            <w:pPr>
              <w:rPr>
                <w:b/>
                <w:sz w:val="20"/>
                <w:szCs w:val="20"/>
              </w:rPr>
            </w:pPr>
            <w:r w:rsidRPr="00F775DA">
              <w:rPr>
                <w:b/>
                <w:sz w:val="20"/>
                <w:szCs w:val="20"/>
              </w:rPr>
              <w:t>Hispanic</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w:t>
            </w:r>
          </w:p>
        </w:tc>
        <w:tc>
          <w:tcPr>
            <w:tcW w:w="1288" w:type="dxa"/>
          </w:tcPr>
          <w:p w:rsidR="004C1E6A" w:rsidRPr="00F775DA" w:rsidRDefault="004C1E6A" w:rsidP="008877B0">
            <w:pPr>
              <w:rPr>
                <w:sz w:val="20"/>
                <w:szCs w:val="20"/>
              </w:rPr>
            </w:pPr>
            <w:r w:rsidRPr="00F775DA">
              <w:rPr>
                <w:sz w:val="20"/>
                <w:szCs w:val="20"/>
              </w:rPr>
              <w:t>237</w:t>
            </w:r>
          </w:p>
        </w:tc>
        <w:tc>
          <w:tcPr>
            <w:tcW w:w="1683" w:type="dxa"/>
          </w:tcPr>
          <w:p w:rsidR="004C1E6A" w:rsidRPr="00F775DA" w:rsidRDefault="004C1E6A" w:rsidP="008877B0">
            <w:pPr>
              <w:rPr>
                <w:sz w:val="20"/>
                <w:szCs w:val="20"/>
              </w:rPr>
            </w:pPr>
            <w:r w:rsidRPr="00F775DA">
              <w:rPr>
                <w:sz w:val="20"/>
                <w:szCs w:val="20"/>
              </w:rPr>
              <w:t>21</w:t>
            </w:r>
          </w:p>
        </w:tc>
        <w:tc>
          <w:tcPr>
            <w:tcW w:w="1369" w:type="dxa"/>
          </w:tcPr>
          <w:p w:rsidR="004C1E6A" w:rsidRPr="00F775DA" w:rsidRDefault="004C1E6A" w:rsidP="008877B0">
            <w:pPr>
              <w:rPr>
                <w:sz w:val="20"/>
                <w:szCs w:val="20"/>
              </w:rPr>
            </w:pPr>
            <w:r w:rsidRPr="00F775DA">
              <w:rPr>
                <w:sz w:val="20"/>
                <w:szCs w:val="20"/>
              </w:rPr>
              <w:t>9</w:t>
            </w:r>
          </w:p>
        </w:tc>
        <w:tc>
          <w:tcPr>
            <w:tcW w:w="1283" w:type="dxa"/>
          </w:tcPr>
          <w:p w:rsidR="004C1E6A" w:rsidRPr="00F775DA" w:rsidRDefault="004C1E6A" w:rsidP="008877B0">
            <w:pPr>
              <w:rPr>
                <w:sz w:val="20"/>
                <w:szCs w:val="20"/>
              </w:rPr>
            </w:pPr>
            <w:r w:rsidRPr="00F775DA">
              <w:rPr>
                <w:sz w:val="20"/>
                <w:szCs w:val="20"/>
              </w:rPr>
              <w:t>17</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2001</w:t>
            </w:r>
          </w:p>
        </w:tc>
        <w:tc>
          <w:tcPr>
            <w:tcW w:w="1288" w:type="dxa"/>
          </w:tcPr>
          <w:p w:rsidR="004C1E6A" w:rsidRPr="00F775DA" w:rsidRDefault="004C1E6A" w:rsidP="008877B0">
            <w:pPr>
              <w:rPr>
                <w:sz w:val="20"/>
                <w:szCs w:val="20"/>
              </w:rPr>
            </w:pPr>
            <w:r w:rsidRPr="00F775DA">
              <w:rPr>
                <w:sz w:val="20"/>
                <w:szCs w:val="20"/>
              </w:rPr>
              <w:t>220</w:t>
            </w:r>
          </w:p>
        </w:tc>
        <w:tc>
          <w:tcPr>
            <w:tcW w:w="1683" w:type="dxa"/>
          </w:tcPr>
          <w:p w:rsidR="004C1E6A" w:rsidRPr="00F775DA" w:rsidRDefault="004C1E6A" w:rsidP="008877B0">
            <w:pPr>
              <w:rPr>
                <w:sz w:val="20"/>
                <w:szCs w:val="20"/>
              </w:rPr>
            </w:pPr>
            <w:r w:rsidRPr="00F775DA">
              <w:rPr>
                <w:sz w:val="20"/>
                <w:szCs w:val="20"/>
              </w:rPr>
              <w:t>18</w:t>
            </w:r>
          </w:p>
        </w:tc>
        <w:tc>
          <w:tcPr>
            <w:tcW w:w="1369" w:type="dxa"/>
          </w:tcPr>
          <w:p w:rsidR="004C1E6A" w:rsidRPr="00F775DA" w:rsidRDefault="004C1E6A" w:rsidP="008877B0">
            <w:pPr>
              <w:rPr>
                <w:sz w:val="20"/>
                <w:szCs w:val="20"/>
              </w:rPr>
            </w:pPr>
            <w:r w:rsidRPr="00F775DA">
              <w:rPr>
                <w:sz w:val="20"/>
                <w:szCs w:val="20"/>
              </w:rPr>
              <w:t>7</w:t>
            </w:r>
          </w:p>
        </w:tc>
        <w:tc>
          <w:tcPr>
            <w:tcW w:w="1283" w:type="dxa"/>
          </w:tcPr>
          <w:p w:rsidR="004C1E6A" w:rsidRPr="00F775DA" w:rsidRDefault="004C1E6A" w:rsidP="008877B0">
            <w:pPr>
              <w:rPr>
                <w:sz w:val="20"/>
                <w:szCs w:val="20"/>
              </w:rPr>
            </w:pPr>
            <w:r w:rsidRPr="00F775DA">
              <w:rPr>
                <w:sz w:val="20"/>
                <w:szCs w:val="20"/>
              </w:rPr>
              <w:t>20</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2002</w:t>
            </w:r>
          </w:p>
        </w:tc>
        <w:tc>
          <w:tcPr>
            <w:tcW w:w="1288" w:type="dxa"/>
          </w:tcPr>
          <w:p w:rsidR="004C1E6A" w:rsidRPr="00F775DA" w:rsidRDefault="004C1E6A" w:rsidP="008877B0">
            <w:pPr>
              <w:rPr>
                <w:sz w:val="20"/>
                <w:szCs w:val="20"/>
              </w:rPr>
            </w:pPr>
            <w:r w:rsidRPr="00F775DA">
              <w:rPr>
                <w:sz w:val="20"/>
                <w:szCs w:val="20"/>
              </w:rPr>
              <w:t>225</w:t>
            </w:r>
          </w:p>
        </w:tc>
        <w:tc>
          <w:tcPr>
            <w:tcW w:w="1683" w:type="dxa"/>
          </w:tcPr>
          <w:p w:rsidR="004C1E6A" w:rsidRPr="00F775DA" w:rsidRDefault="004C1E6A" w:rsidP="008877B0">
            <w:pPr>
              <w:rPr>
                <w:sz w:val="20"/>
                <w:szCs w:val="20"/>
              </w:rPr>
            </w:pPr>
            <w:r w:rsidRPr="00F775DA">
              <w:rPr>
                <w:sz w:val="20"/>
                <w:szCs w:val="20"/>
              </w:rPr>
              <w:t>16</w:t>
            </w:r>
          </w:p>
        </w:tc>
        <w:tc>
          <w:tcPr>
            <w:tcW w:w="1369" w:type="dxa"/>
          </w:tcPr>
          <w:p w:rsidR="004C1E6A" w:rsidRPr="00F775DA" w:rsidRDefault="004C1E6A" w:rsidP="008877B0">
            <w:pPr>
              <w:rPr>
                <w:sz w:val="20"/>
                <w:szCs w:val="20"/>
              </w:rPr>
            </w:pPr>
            <w:r w:rsidRPr="00F775DA">
              <w:rPr>
                <w:sz w:val="20"/>
                <w:szCs w:val="20"/>
              </w:rPr>
              <w:t>7</w:t>
            </w:r>
          </w:p>
        </w:tc>
        <w:tc>
          <w:tcPr>
            <w:tcW w:w="1283" w:type="dxa"/>
          </w:tcPr>
          <w:p w:rsidR="004C1E6A" w:rsidRPr="00F775DA" w:rsidRDefault="004C1E6A" w:rsidP="008877B0">
            <w:pPr>
              <w:rPr>
                <w:sz w:val="20"/>
                <w:szCs w:val="20"/>
              </w:rPr>
            </w:pPr>
            <w:r w:rsidRPr="00F775DA">
              <w:rPr>
                <w:sz w:val="20"/>
                <w:szCs w:val="20"/>
              </w:rPr>
              <w:t>21</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2003</w:t>
            </w:r>
          </w:p>
        </w:tc>
        <w:tc>
          <w:tcPr>
            <w:tcW w:w="1288" w:type="dxa"/>
          </w:tcPr>
          <w:p w:rsidR="004C1E6A" w:rsidRPr="00F775DA" w:rsidRDefault="004C1E6A" w:rsidP="008877B0">
            <w:pPr>
              <w:rPr>
                <w:sz w:val="20"/>
                <w:szCs w:val="20"/>
              </w:rPr>
            </w:pPr>
            <w:r w:rsidRPr="00F775DA">
              <w:rPr>
                <w:sz w:val="20"/>
                <w:szCs w:val="20"/>
              </w:rPr>
              <w:t>243</w:t>
            </w:r>
          </w:p>
        </w:tc>
        <w:tc>
          <w:tcPr>
            <w:tcW w:w="1683" w:type="dxa"/>
          </w:tcPr>
          <w:p w:rsidR="004C1E6A" w:rsidRPr="00F775DA" w:rsidRDefault="004C1E6A" w:rsidP="008877B0">
            <w:pPr>
              <w:rPr>
                <w:sz w:val="20"/>
                <w:szCs w:val="20"/>
              </w:rPr>
            </w:pPr>
            <w:r w:rsidRPr="00F775DA">
              <w:rPr>
                <w:sz w:val="20"/>
                <w:szCs w:val="20"/>
              </w:rPr>
              <w:t>14</w:t>
            </w:r>
          </w:p>
        </w:tc>
        <w:tc>
          <w:tcPr>
            <w:tcW w:w="1369" w:type="dxa"/>
          </w:tcPr>
          <w:p w:rsidR="004C1E6A" w:rsidRPr="00F775DA" w:rsidRDefault="004C1E6A" w:rsidP="008877B0">
            <w:pPr>
              <w:rPr>
                <w:sz w:val="20"/>
                <w:szCs w:val="20"/>
              </w:rPr>
            </w:pPr>
            <w:r w:rsidRPr="00F775DA">
              <w:rPr>
                <w:sz w:val="20"/>
                <w:szCs w:val="20"/>
              </w:rPr>
              <w:t>5</w:t>
            </w:r>
          </w:p>
        </w:tc>
        <w:tc>
          <w:tcPr>
            <w:tcW w:w="1283" w:type="dxa"/>
          </w:tcPr>
          <w:p w:rsidR="004C1E6A" w:rsidRPr="00F775DA" w:rsidRDefault="004C1E6A" w:rsidP="008877B0">
            <w:pPr>
              <w:rPr>
                <w:sz w:val="20"/>
                <w:szCs w:val="20"/>
              </w:rPr>
            </w:pPr>
            <w:r w:rsidRPr="00F775DA">
              <w:rPr>
                <w:sz w:val="20"/>
                <w:szCs w:val="20"/>
              </w:rPr>
              <w:t>28</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2004</w:t>
            </w:r>
          </w:p>
        </w:tc>
        <w:tc>
          <w:tcPr>
            <w:tcW w:w="1288" w:type="dxa"/>
          </w:tcPr>
          <w:p w:rsidR="004C1E6A" w:rsidRPr="00F775DA" w:rsidRDefault="004C1E6A" w:rsidP="008877B0">
            <w:pPr>
              <w:rPr>
                <w:sz w:val="20"/>
                <w:szCs w:val="20"/>
              </w:rPr>
            </w:pPr>
            <w:r w:rsidRPr="00F775DA">
              <w:rPr>
                <w:sz w:val="20"/>
                <w:szCs w:val="20"/>
              </w:rPr>
              <w:t>236</w:t>
            </w:r>
          </w:p>
        </w:tc>
        <w:tc>
          <w:tcPr>
            <w:tcW w:w="1683" w:type="dxa"/>
          </w:tcPr>
          <w:p w:rsidR="004C1E6A" w:rsidRPr="00F775DA" w:rsidRDefault="004C1E6A" w:rsidP="008877B0">
            <w:pPr>
              <w:rPr>
                <w:sz w:val="20"/>
                <w:szCs w:val="20"/>
              </w:rPr>
            </w:pPr>
            <w:r w:rsidRPr="00F775DA">
              <w:rPr>
                <w:sz w:val="20"/>
                <w:szCs w:val="20"/>
              </w:rPr>
              <w:t>14</w:t>
            </w:r>
          </w:p>
        </w:tc>
        <w:tc>
          <w:tcPr>
            <w:tcW w:w="1369" w:type="dxa"/>
          </w:tcPr>
          <w:p w:rsidR="004C1E6A" w:rsidRPr="00F775DA" w:rsidRDefault="004C1E6A" w:rsidP="008877B0">
            <w:pPr>
              <w:rPr>
                <w:sz w:val="20"/>
                <w:szCs w:val="20"/>
              </w:rPr>
            </w:pPr>
            <w:r w:rsidRPr="00F775DA">
              <w:rPr>
                <w:sz w:val="20"/>
                <w:szCs w:val="20"/>
              </w:rPr>
              <w:t>5</w:t>
            </w:r>
          </w:p>
        </w:tc>
        <w:tc>
          <w:tcPr>
            <w:tcW w:w="1283" w:type="dxa"/>
          </w:tcPr>
          <w:p w:rsidR="004C1E6A" w:rsidRPr="00F775DA" w:rsidRDefault="004C1E6A" w:rsidP="008877B0">
            <w:pPr>
              <w:rPr>
                <w:sz w:val="20"/>
                <w:szCs w:val="20"/>
              </w:rPr>
            </w:pPr>
            <w:r w:rsidRPr="00F775DA">
              <w:rPr>
                <w:sz w:val="20"/>
                <w:szCs w:val="20"/>
              </w:rPr>
              <w:t>32</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2005</w:t>
            </w:r>
          </w:p>
        </w:tc>
        <w:tc>
          <w:tcPr>
            <w:tcW w:w="1288" w:type="dxa"/>
          </w:tcPr>
          <w:p w:rsidR="004C1E6A" w:rsidRPr="00F775DA" w:rsidRDefault="004C1E6A" w:rsidP="008877B0">
            <w:pPr>
              <w:rPr>
                <w:sz w:val="20"/>
                <w:szCs w:val="20"/>
              </w:rPr>
            </w:pPr>
            <w:r w:rsidRPr="00F775DA">
              <w:rPr>
                <w:sz w:val="20"/>
                <w:szCs w:val="20"/>
              </w:rPr>
              <w:t>240</w:t>
            </w:r>
          </w:p>
        </w:tc>
        <w:tc>
          <w:tcPr>
            <w:tcW w:w="1683" w:type="dxa"/>
          </w:tcPr>
          <w:p w:rsidR="004C1E6A" w:rsidRPr="00F775DA" w:rsidRDefault="004C1E6A" w:rsidP="008877B0">
            <w:pPr>
              <w:rPr>
                <w:sz w:val="20"/>
                <w:szCs w:val="20"/>
              </w:rPr>
            </w:pPr>
            <w:r w:rsidRPr="00F775DA">
              <w:rPr>
                <w:sz w:val="20"/>
                <w:szCs w:val="20"/>
              </w:rPr>
              <w:t>15</w:t>
            </w:r>
          </w:p>
        </w:tc>
        <w:tc>
          <w:tcPr>
            <w:tcW w:w="1369" w:type="dxa"/>
          </w:tcPr>
          <w:p w:rsidR="004C1E6A" w:rsidRPr="00F775DA" w:rsidRDefault="004C1E6A" w:rsidP="008877B0">
            <w:pPr>
              <w:rPr>
                <w:sz w:val="20"/>
                <w:szCs w:val="20"/>
              </w:rPr>
            </w:pPr>
            <w:r w:rsidRPr="00F775DA">
              <w:rPr>
                <w:sz w:val="20"/>
                <w:szCs w:val="20"/>
              </w:rPr>
              <w:t>18</w:t>
            </w:r>
          </w:p>
        </w:tc>
        <w:tc>
          <w:tcPr>
            <w:tcW w:w="1283" w:type="dxa"/>
          </w:tcPr>
          <w:p w:rsidR="004C1E6A" w:rsidRPr="00F775DA" w:rsidRDefault="004C1E6A" w:rsidP="008877B0">
            <w:pPr>
              <w:rPr>
                <w:sz w:val="20"/>
                <w:szCs w:val="20"/>
              </w:rPr>
            </w:pPr>
            <w:r w:rsidRPr="00F775DA">
              <w:rPr>
                <w:sz w:val="20"/>
                <w:szCs w:val="20"/>
              </w:rPr>
              <w:t>20</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2006</w:t>
            </w:r>
          </w:p>
        </w:tc>
        <w:tc>
          <w:tcPr>
            <w:tcW w:w="1288" w:type="dxa"/>
          </w:tcPr>
          <w:p w:rsidR="004C1E6A" w:rsidRPr="00F775DA" w:rsidRDefault="004C1E6A" w:rsidP="008877B0">
            <w:pPr>
              <w:rPr>
                <w:sz w:val="20"/>
                <w:szCs w:val="20"/>
              </w:rPr>
            </w:pPr>
            <w:r w:rsidRPr="00F775DA">
              <w:rPr>
                <w:sz w:val="20"/>
                <w:szCs w:val="20"/>
              </w:rPr>
              <w:t>279</w:t>
            </w:r>
          </w:p>
        </w:tc>
        <w:tc>
          <w:tcPr>
            <w:tcW w:w="1683" w:type="dxa"/>
          </w:tcPr>
          <w:p w:rsidR="004C1E6A" w:rsidRPr="00F775DA" w:rsidRDefault="004C1E6A" w:rsidP="008877B0">
            <w:pPr>
              <w:rPr>
                <w:sz w:val="20"/>
                <w:szCs w:val="20"/>
              </w:rPr>
            </w:pPr>
            <w:r w:rsidRPr="00F775DA">
              <w:rPr>
                <w:sz w:val="20"/>
                <w:szCs w:val="20"/>
              </w:rPr>
              <w:t>19</w:t>
            </w:r>
          </w:p>
        </w:tc>
        <w:tc>
          <w:tcPr>
            <w:tcW w:w="1369" w:type="dxa"/>
          </w:tcPr>
          <w:p w:rsidR="004C1E6A" w:rsidRPr="00F775DA" w:rsidRDefault="004C1E6A" w:rsidP="008877B0">
            <w:pPr>
              <w:rPr>
                <w:sz w:val="20"/>
                <w:szCs w:val="20"/>
              </w:rPr>
            </w:pPr>
            <w:r w:rsidRPr="00F775DA">
              <w:rPr>
                <w:sz w:val="20"/>
                <w:szCs w:val="20"/>
              </w:rPr>
              <w:t>13</w:t>
            </w:r>
          </w:p>
        </w:tc>
        <w:tc>
          <w:tcPr>
            <w:tcW w:w="1283" w:type="dxa"/>
          </w:tcPr>
          <w:p w:rsidR="004C1E6A" w:rsidRPr="00F775DA" w:rsidRDefault="004C1E6A" w:rsidP="008877B0">
            <w:pPr>
              <w:rPr>
                <w:sz w:val="20"/>
                <w:szCs w:val="20"/>
              </w:rPr>
            </w:pPr>
            <w:r w:rsidRPr="00F775DA">
              <w:rPr>
                <w:sz w:val="20"/>
                <w:szCs w:val="20"/>
              </w:rPr>
              <w:t>34</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2007</w:t>
            </w:r>
          </w:p>
        </w:tc>
        <w:tc>
          <w:tcPr>
            <w:tcW w:w="1288" w:type="dxa"/>
          </w:tcPr>
          <w:p w:rsidR="004C1E6A" w:rsidRPr="00F775DA" w:rsidRDefault="004C1E6A" w:rsidP="008877B0">
            <w:pPr>
              <w:rPr>
                <w:sz w:val="20"/>
                <w:szCs w:val="20"/>
              </w:rPr>
            </w:pPr>
            <w:r w:rsidRPr="00F775DA">
              <w:rPr>
                <w:sz w:val="20"/>
                <w:szCs w:val="20"/>
              </w:rPr>
              <w:t>229</w:t>
            </w:r>
          </w:p>
        </w:tc>
        <w:tc>
          <w:tcPr>
            <w:tcW w:w="1683" w:type="dxa"/>
          </w:tcPr>
          <w:p w:rsidR="004C1E6A" w:rsidRPr="00F775DA" w:rsidRDefault="004C1E6A" w:rsidP="008877B0">
            <w:pPr>
              <w:rPr>
                <w:sz w:val="20"/>
                <w:szCs w:val="20"/>
              </w:rPr>
            </w:pPr>
            <w:r w:rsidRPr="00F775DA">
              <w:rPr>
                <w:sz w:val="20"/>
                <w:szCs w:val="20"/>
              </w:rPr>
              <w:t>17</w:t>
            </w:r>
          </w:p>
        </w:tc>
        <w:tc>
          <w:tcPr>
            <w:tcW w:w="1369" w:type="dxa"/>
          </w:tcPr>
          <w:p w:rsidR="004C1E6A" w:rsidRPr="00F775DA" w:rsidRDefault="004C1E6A" w:rsidP="008877B0">
            <w:pPr>
              <w:rPr>
                <w:sz w:val="20"/>
                <w:szCs w:val="20"/>
              </w:rPr>
            </w:pPr>
            <w:r w:rsidRPr="00F775DA">
              <w:rPr>
                <w:sz w:val="20"/>
                <w:szCs w:val="20"/>
              </w:rPr>
              <w:t>13</w:t>
            </w:r>
          </w:p>
        </w:tc>
        <w:tc>
          <w:tcPr>
            <w:tcW w:w="1283" w:type="dxa"/>
          </w:tcPr>
          <w:p w:rsidR="004C1E6A" w:rsidRPr="00F775DA" w:rsidRDefault="004C1E6A" w:rsidP="008877B0">
            <w:pPr>
              <w:rPr>
                <w:sz w:val="20"/>
                <w:szCs w:val="20"/>
              </w:rPr>
            </w:pPr>
            <w:r w:rsidRPr="00F775DA">
              <w:rPr>
                <w:sz w:val="20"/>
                <w:szCs w:val="20"/>
              </w:rPr>
              <w:t>29</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2008</w:t>
            </w:r>
          </w:p>
        </w:tc>
        <w:tc>
          <w:tcPr>
            <w:tcW w:w="1288" w:type="dxa"/>
          </w:tcPr>
          <w:p w:rsidR="004C1E6A" w:rsidRPr="00F775DA" w:rsidRDefault="004C1E6A" w:rsidP="008877B0">
            <w:pPr>
              <w:rPr>
                <w:sz w:val="20"/>
                <w:szCs w:val="20"/>
              </w:rPr>
            </w:pPr>
            <w:r w:rsidRPr="00F775DA">
              <w:rPr>
                <w:sz w:val="20"/>
                <w:szCs w:val="20"/>
              </w:rPr>
              <w:t>239</w:t>
            </w:r>
          </w:p>
        </w:tc>
        <w:tc>
          <w:tcPr>
            <w:tcW w:w="1683" w:type="dxa"/>
          </w:tcPr>
          <w:p w:rsidR="004C1E6A" w:rsidRPr="00F775DA" w:rsidRDefault="004C1E6A" w:rsidP="008877B0">
            <w:pPr>
              <w:rPr>
                <w:sz w:val="20"/>
                <w:szCs w:val="20"/>
              </w:rPr>
            </w:pPr>
            <w:r w:rsidRPr="00F775DA">
              <w:rPr>
                <w:sz w:val="20"/>
                <w:szCs w:val="20"/>
              </w:rPr>
              <w:t>18</w:t>
            </w:r>
          </w:p>
        </w:tc>
        <w:tc>
          <w:tcPr>
            <w:tcW w:w="1369" w:type="dxa"/>
          </w:tcPr>
          <w:p w:rsidR="004C1E6A" w:rsidRPr="00F775DA" w:rsidRDefault="004C1E6A" w:rsidP="008877B0">
            <w:pPr>
              <w:rPr>
                <w:sz w:val="20"/>
                <w:szCs w:val="20"/>
              </w:rPr>
            </w:pPr>
            <w:r w:rsidRPr="00F775DA">
              <w:rPr>
                <w:sz w:val="20"/>
                <w:szCs w:val="20"/>
              </w:rPr>
              <w:t>8</w:t>
            </w:r>
          </w:p>
        </w:tc>
        <w:tc>
          <w:tcPr>
            <w:tcW w:w="1283" w:type="dxa"/>
          </w:tcPr>
          <w:p w:rsidR="004C1E6A" w:rsidRPr="00F775DA" w:rsidRDefault="004C1E6A" w:rsidP="008877B0">
            <w:pPr>
              <w:rPr>
                <w:sz w:val="20"/>
                <w:szCs w:val="20"/>
              </w:rPr>
            </w:pPr>
            <w:r w:rsidRPr="00F775DA">
              <w:rPr>
                <w:sz w:val="20"/>
                <w:szCs w:val="20"/>
              </w:rPr>
              <w:t>37</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2009</w:t>
            </w:r>
          </w:p>
        </w:tc>
        <w:tc>
          <w:tcPr>
            <w:tcW w:w="1288" w:type="dxa"/>
          </w:tcPr>
          <w:p w:rsidR="004C1E6A" w:rsidRPr="00F775DA" w:rsidRDefault="004C1E6A" w:rsidP="008877B0">
            <w:pPr>
              <w:rPr>
                <w:sz w:val="20"/>
                <w:szCs w:val="20"/>
              </w:rPr>
            </w:pPr>
            <w:r w:rsidRPr="00F775DA">
              <w:rPr>
                <w:sz w:val="20"/>
                <w:szCs w:val="20"/>
              </w:rPr>
              <w:t>239</w:t>
            </w:r>
          </w:p>
        </w:tc>
        <w:tc>
          <w:tcPr>
            <w:tcW w:w="1683" w:type="dxa"/>
          </w:tcPr>
          <w:p w:rsidR="004C1E6A" w:rsidRPr="00F775DA" w:rsidRDefault="004C1E6A" w:rsidP="008877B0">
            <w:pPr>
              <w:rPr>
                <w:sz w:val="20"/>
                <w:szCs w:val="20"/>
              </w:rPr>
            </w:pPr>
            <w:r w:rsidRPr="00F775DA">
              <w:rPr>
                <w:sz w:val="20"/>
                <w:szCs w:val="20"/>
              </w:rPr>
              <w:t>23</w:t>
            </w:r>
          </w:p>
        </w:tc>
        <w:tc>
          <w:tcPr>
            <w:tcW w:w="1369" w:type="dxa"/>
          </w:tcPr>
          <w:p w:rsidR="004C1E6A" w:rsidRPr="00F775DA" w:rsidRDefault="004C1E6A" w:rsidP="008877B0">
            <w:pPr>
              <w:rPr>
                <w:sz w:val="20"/>
                <w:szCs w:val="20"/>
              </w:rPr>
            </w:pPr>
            <w:r w:rsidRPr="00F775DA">
              <w:rPr>
                <w:sz w:val="20"/>
                <w:szCs w:val="20"/>
              </w:rPr>
              <w:t>23</w:t>
            </w:r>
          </w:p>
        </w:tc>
        <w:tc>
          <w:tcPr>
            <w:tcW w:w="1283" w:type="dxa"/>
          </w:tcPr>
          <w:p w:rsidR="004C1E6A" w:rsidRPr="00F775DA" w:rsidRDefault="004C1E6A" w:rsidP="008877B0">
            <w:pPr>
              <w:rPr>
                <w:sz w:val="20"/>
                <w:szCs w:val="20"/>
              </w:rPr>
            </w:pPr>
            <w:r w:rsidRPr="00F775DA">
              <w:rPr>
                <w:sz w:val="20"/>
                <w:szCs w:val="20"/>
              </w:rPr>
              <w:t>34</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2000-2009</w:t>
            </w: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2387</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175</w:t>
            </w:r>
            <w:r w:rsidRPr="00F775DA">
              <w:rPr>
                <w:sz w:val="20"/>
                <w:szCs w:val="20"/>
              </w:rPr>
              <w:fldChar w:fldCharType="end"/>
            </w:r>
          </w:p>
        </w:tc>
        <w:tc>
          <w:tcPr>
            <w:tcW w:w="1369"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108</w:t>
            </w:r>
            <w:r w:rsidRPr="00F775DA">
              <w:rPr>
                <w:sz w:val="20"/>
                <w:szCs w:val="20"/>
              </w:rPr>
              <w:fldChar w:fldCharType="end"/>
            </w:r>
          </w:p>
        </w:tc>
        <w:tc>
          <w:tcPr>
            <w:tcW w:w="12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272</w:t>
            </w:r>
            <w:r w:rsidRPr="00F775DA">
              <w:rPr>
                <w:sz w:val="20"/>
                <w:szCs w:val="20"/>
              </w:rPr>
              <w:fldChar w:fldCharType="end"/>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p>
        </w:tc>
        <w:tc>
          <w:tcPr>
            <w:tcW w:w="1288" w:type="dxa"/>
          </w:tcPr>
          <w:p w:rsidR="004C1E6A" w:rsidRPr="00F775DA" w:rsidRDefault="004C1E6A" w:rsidP="008877B0">
            <w:pPr>
              <w:rPr>
                <w:b/>
                <w:sz w:val="20"/>
                <w:szCs w:val="20"/>
              </w:rPr>
            </w:pPr>
          </w:p>
        </w:tc>
        <w:tc>
          <w:tcPr>
            <w:tcW w:w="1683" w:type="dxa"/>
          </w:tcPr>
          <w:p w:rsidR="004C1E6A" w:rsidRPr="00F775DA" w:rsidRDefault="004C1E6A" w:rsidP="008877B0">
            <w:pPr>
              <w:rPr>
                <w:b/>
                <w:sz w:val="20"/>
                <w:szCs w:val="20"/>
              </w:rPr>
            </w:pPr>
          </w:p>
        </w:tc>
        <w:tc>
          <w:tcPr>
            <w:tcW w:w="1369" w:type="dxa"/>
          </w:tcPr>
          <w:p w:rsidR="004C1E6A" w:rsidRPr="00F775DA" w:rsidRDefault="004C1E6A" w:rsidP="008877B0">
            <w:pPr>
              <w:rPr>
                <w:b/>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r w:rsidRPr="00F775DA">
              <w:rPr>
                <w:b/>
                <w:sz w:val="20"/>
                <w:szCs w:val="20"/>
              </w:rPr>
              <w:t>Leukemia:</w:t>
            </w:r>
          </w:p>
        </w:tc>
        <w:tc>
          <w:tcPr>
            <w:tcW w:w="1288" w:type="dxa"/>
          </w:tcPr>
          <w:p w:rsidR="004C1E6A" w:rsidRPr="00F775DA" w:rsidRDefault="004C1E6A" w:rsidP="008877B0">
            <w:pPr>
              <w:rPr>
                <w:b/>
                <w:sz w:val="20"/>
                <w:szCs w:val="20"/>
              </w:rPr>
            </w:pPr>
            <w:r w:rsidRPr="00F775DA">
              <w:rPr>
                <w:b/>
                <w:sz w:val="20"/>
                <w:szCs w:val="20"/>
              </w:rPr>
              <w:t>Total</w:t>
            </w:r>
          </w:p>
        </w:tc>
        <w:tc>
          <w:tcPr>
            <w:tcW w:w="1683" w:type="dxa"/>
          </w:tcPr>
          <w:p w:rsidR="004C1E6A" w:rsidRPr="00F775DA" w:rsidRDefault="004C1E6A" w:rsidP="008877B0">
            <w:pPr>
              <w:rPr>
                <w:b/>
                <w:sz w:val="20"/>
                <w:szCs w:val="20"/>
              </w:rPr>
            </w:pPr>
            <w:r w:rsidRPr="00F775DA">
              <w:rPr>
                <w:b/>
                <w:sz w:val="20"/>
                <w:szCs w:val="20"/>
              </w:rPr>
              <w:t>ALL</w:t>
            </w:r>
          </w:p>
        </w:tc>
        <w:tc>
          <w:tcPr>
            <w:tcW w:w="1369" w:type="dxa"/>
          </w:tcPr>
          <w:p w:rsidR="004C1E6A" w:rsidRPr="00F775DA" w:rsidRDefault="004C1E6A" w:rsidP="008877B0">
            <w:pPr>
              <w:rPr>
                <w:b/>
                <w:sz w:val="20"/>
                <w:szCs w:val="20"/>
              </w:rPr>
            </w:pPr>
            <w:r w:rsidRPr="00F775DA">
              <w:rPr>
                <w:b/>
                <w:sz w:val="20"/>
                <w:szCs w:val="20"/>
              </w:rPr>
              <w:t>AML</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w:t>
            </w:r>
          </w:p>
        </w:tc>
        <w:tc>
          <w:tcPr>
            <w:tcW w:w="1288" w:type="dxa"/>
          </w:tcPr>
          <w:p w:rsidR="004C1E6A" w:rsidRPr="00F775DA" w:rsidRDefault="004C1E6A" w:rsidP="008877B0">
            <w:pPr>
              <w:rPr>
                <w:sz w:val="20"/>
                <w:szCs w:val="20"/>
              </w:rPr>
            </w:pPr>
            <w:r w:rsidRPr="00F775DA">
              <w:rPr>
                <w:sz w:val="20"/>
                <w:szCs w:val="20"/>
              </w:rPr>
              <w:t>62</w:t>
            </w:r>
          </w:p>
        </w:tc>
        <w:tc>
          <w:tcPr>
            <w:tcW w:w="1683" w:type="dxa"/>
          </w:tcPr>
          <w:p w:rsidR="004C1E6A" w:rsidRPr="00F775DA" w:rsidRDefault="004C1E6A" w:rsidP="008877B0">
            <w:pPr>
              <w:rPr>
                <w:sz w:val="20"/>
                <w:szCs w:val="20"/>
              </w:rPr>
            </w:pPr>
            <w:r w:rsidRPr="00F775DA">
              <w:rPr>
                <w:sz w:val="20"/>
                <w:szCs w:val="20"/>
              </w:rPr>
              <w:t>46</w:t>
            </w:r>
          </w:p>
        </w:tc>
        <w:tc>
          <w:tcPr>
            <w:tcW w:w="1369" w:type="dxa"/>
          </w:tcPr>
          <w:p w:rsidR="004C1E6A" w:rsidRPr="00F775DA" w:rsidRDefault="004C1E6A" w:rsidP="008877B0">
            <w:pPr>
              <w:rPr>
                <w:sz w:val="20"/>
                <w:szCs w:val="20"/>
              </w:rPr>
            </w:pPr>
            <w:r w:rsidRPr="00F775DA">
              <w:rPr>
                <w:sz w:val="20"/>
                <w:szCs w:val="20"/>
              </w:rPr>
              <w:t>13</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2001</w:t>
            </w:r>
          </w:p>
        </w:tc>
        <w:tc>
          <w:tcPr>
            <w:tcW w:w="1288" w:type="dxa"/>
          </w:tcPr>
          <w:p w:rsidR="004C1E6A" w:rsidRPr="00F775DA" w:rsidRDefault="004C1E6A" w:rsidP="008877B0">
            <w:pPr>
              <w:rPr>
                <w:sz w:val="20"/>
                <w:szCs w:val="20"/>
              </w:rPr>
            </w:pPr>
            <w:r w:rsidRPr="00F775DA">
              <w:rPr>
                <w:sz w:val="20"/>
                <w:szCs w:val="20"/>
              </w:rPr>
              <w:t>59</w:t>
            </w:r>
          </w:p>
        </w:tc>
        <w:tc>
          <w:tcPr>
            <w:tcW w:w="1683" w:type="dxa"/>
          </w:tcPr>
          <w:p w:rsidR="004C1E6A" w:rsidRPr="00F775DA" w:rsidRDefault="004C1E6A" w:rsidP="008877B0">
            <w:pPr>
              <w:rPr>
                <w:sz w:val="20"/>
                <w:szCs w:val="20"/>
              </w:rPr>
            </w:pPr>
            <w:r w:rsidRPr="00F775DA">
              <w:rPr>
                <w:sz w:val="20"/>
                <w:szCs w:val="20"/>
              </w:rPr>
              <w:t>45</w:t>
            </w:r>
          </w:p>
        </w:tc>
        <w:tc>
          <w:tcPr>
            <w:tcW w:w="1369" w:type="dxa"/>
          </w:tcPr>
          <w:p w:rsidR="004C1E6A" w:rsidRPr="00F775DA" w:rsidRDefault="004C1E6A" w:rsidP="008877B0">
            <w:pPr>
              <w:rPr>
                <w:sz w:val="20"/>
                <w:szCs w:val="20"/>
              </w:rPr>
            </w:pPr>
            <w:r w:rsidRPr="00F775DA">
              <w:rPr>
                <w:sz w:val="20"/>
                <w:szCs w:val="20"/>
              </w:rPr>
              <w:t>8</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2002</w:t>
            </w:r>
          </w:p>
        </w:tc>
        <w:tc>
          <w:tcPr>
            <w:tcW w:w="1288" w:type="dxa"/>
          </w:tcPr>
          <w:p w:rsidR="004C1E6A" w:rsidRPr="00F775DA" w:rsidRDefault="004C1E6A" w:rsidP="008877B0">
            <w:pPr>
              <w:rPr>
                <w:sz w:val="20"/>
                <w:szCs w:val="20"/>
              </w:rPr>
            </w:pPr>
            <w:r w:rsidRPr="00F775DA">
              <w:rPr>
                <w:sz w:val="20"/>
                <w:szCs w:val="20"/>
              </w:rPr>
              <w:t>73</w:t>
            </w:r>
          </w:p>
        </w:tc>
        <w:tc>
          <w:tcPr>
            <w:tcW w:w="1683" w:type="dxa"/>
          </w:tcPr>
          <w:p w:rsidR="004C1E6A" w:rsidRPr="00F775DA" w:rsidRDefault="004C1E6A" w:rsidP="008877B0">
            <w:pPr>
              <w:rPr>
                <w:sz w:val="20"/>
                <w:szCs w:val="20"/>
              </w:rPr>
            </w:pPr>
            <w:r w:rsidRPr="00F775DA">
              <w:rPr>
                <w:sz w:val="20"/>
                <w:szCs w:val="20"/>
              </w:rPr>
              <w:t>53</w:t>
            </w:r>
          </w:p>
        </w:tc>
        <w:tc>
          <w:tcPr>
            <w:tcW w:w="1369" w:type="dxa"/>
          </w:tcPr>
          <w:p w:rsidR="004C1E6A" w:rsidRPr="00F775DA" w:rsidRDefault="004C1E6A" w:rsidP="008877B0">
            <w:pPr>
              <w:rPr>
                <w:sz w:val="20"/>
                <w:szCs w:val="20"/>
              </w:rPr>
            </w:pPr>
            <w:r w:rsidRPr="00F775DA">
              <w:rPr>
                <w:sz w:val="20"/>
                <w:szCs w:val="20"/>
              </w:rPr>
              <w:t>14</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2003</w:t>
            </w:r>
          </w:p>
        </w:tc>
        <w:tc>
          <w:tcPr>
            <w:tcW w:w="1288" w:type="dxa"/>
          </w:tcPr>
          <w:p w:rsidR="004C1E6A" w:rsidRPr="00F775DA" w:rsidRDefault="004C1E6A" w:rsidP="008877B0">
            <w:pPr>
              <w:rPr>
                <w:sz w:val="20"/>
                <w:szCs w:val="20"/>
              </w:rPr>
            </w:pPr>
            <w:r w:rsidRPr="00F775DA">
              <w:rPr>
                <w:sz w:val="20"/>
                <w:szCs w:val="20"/>
              </w:rPr>
              <w:t>68</w:t>
            </w:r>
          </w:p>
        </w:tc>
        <w:tc>
          <w:tcPr>
            <w:tcW w:w="1683" w:type="dxa"/>
          </w:tcPr>
          <w:p w:rsidR="004C1E6A" w:rsidRPr="00F775DA" w:rsidRDefault="004C1E6A" w:rsidP="008877B0">
            <w:pPr>
              <w:rPr>
                <w:sz w:val="20"/>
                <w:szCs w:val="20"/>
              </w:rPr>
            </w:pPr>
            <w:r w:rsidRPr="00F775DA">
              <w:rPr>
                <w:sz w:val="20"/>
                <w:szCs w:val="20"/>
              </w:rPr>
              <w:t>55</w:t>
            </w:r>
          </w:p>
        </w:tc>
        <w:tc>
          <w:tcPr>
            <w:tcW w:w="1369" w:type="dxa"/>
          </w:tcPr>
          <w:p w:rsidR="004C1E6A" w:rsidRPr="00F775DA" w:rsidRDefault="004C1E6A" w:rsidP="008877B0">
            <w:pPr>
              <w:rPr>
                <w:sz w:val="20"/>
                <w:szCs w:val="20"/>
              </w:rPr>
            </w:pPr>
            <w:r w:rsidRPr="00F775DA">
              <w:rPr>
                <w:sz w:val="20"/>
                <w:szCs w:val="20"/>
              </w:rPr>
              <w:t>9</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2004</w:t>
            </w:r>
          </w:p>
        </w:tc>
        <w:tc>
          <w:tcPr>
            <w:tcW w:w="1288" w:type="dxa"/>
          </w:tcPr>
          <w:p w:rsidR="004C1E6A" w:rsidRPr="00F775DA" w:rsidRDefault="004C1E6A" w:rsidP="008877B0">
            <w:pPr>
              <w:rPr>
                <w:sz w:val="20"/>
                <w:szCs w:val="20"/>
              </w:rPr>
            </w:pPr>
            <w:r w:rsidRPr="00F775DA">
              <w:rPr>
                <w:sz w:val="20"/>
                <w:szCs w:val="20"/>
              </w:rPr>
              <w:t>74</w:t>
            </w:r>
          </w:p>
        </w:tc>
        <w:tc>
          <w:tcPr>
            <w:tcW w:w="1683" w:type="dxa"/>
          </w:tcPr>
          <w:p w:rsidR="004C1E6A" w:rsidRPr="00F775DA" w:rsidRDefault="004C1E6A" w:rsidP="008877B0">
            <w:pPr>
              <w:rPr>
                <w:sz w:val="20"/>
                <w:szCs w:val="20"/>
              </w:rPr>
            </w:pPr>
            <w:r w:rsidRPr="00F775DA">
              <w:rPr>
                <w:sz w:val="20"/>
                <w:szCs w:val="20"/>
              </w:rPr>
              <w:t>54</w:t>
            </w:r>
          </w:p>
        </w:tc>
        <w:tc>
          <w:tcPr>
            <w:tcW w:w="1369" w:type="dxa"/>
          </w:tcPr>
          <w:p w:rsidR="004C1E6A" w:rsidRPr="00F775DA" w:rsidRDefault="004C1E6A" w:rsidP="008877B0">
            <w:pPr>
              <w:rPr>
                <w:sz w:val="20"/>
                <w:szCs w:val="20"/>
              </w:rPr>
            </w:pPr>
            <w:r w:rsidRPr="00F775DA">
              <w:rPr>
                <w:sz w:val="20"/>
                <w:szCs w:val="20"/>
              </w:rPr>
              <w:t>15</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2005</w:t>
            </w:r>
          </w:p>
        </w:tc>
        <w:tc>
          <w:tcPr>
            <w:tcW w:w="1288" w:type="dxa"/>
          </w:tcPr>
          <w:p w:rsidR="004C1E6A" w:rsidRPr="00F775DA" w:rsidRDefault="004C1E6A" w:rsidP="008877B0">
            <w:pPr>
              <w:rPr>
                <w:sz w:val="20"/>
                <w:szCs w:val="20"/>
              </w:rPr>
            </w:pPr>
            <w:r w:rsidRPr="00F775DA">
              <w:rPr>
                <w:sz w:val="20"/>
                <w:szCs w:val="20"/>
              </w:rPr>
              <w:t>73</w:t>
            </w:r>
          </w:p>
        </w:tc>
        <w:tc>
          <w:tcPr>
            <w:tcW w:w="1683" w:type="dxa"/>
          </w:tcPr>
          <w:p w:rsidR="004C1E6A" w:rsidRPr="00F775DA" w:rsidRDefault="004C1E6A" w:rsidP="008877B0">
            <w:pPr>
              <w:rPr>
                <w:sz w:val="20"/>
                <w:szCs w:val="20"/>
              </w:rPr>
            </w:pPr>
            <w:r w:rsidRPr="00F775DA">
              <w:rPr>
                <w:sz w:val="20"/>
                <w:szCs w:val="20"/>
              </w:rPr>
              <w:t>60</w:t>
            </w:r>
          </w:p>
        </w:tc>
        <w:tc>
          <w:tcPr>
            <w:tcW w:w="1369" w:type="dxa"/>
          </w:tcPr>
          <w:p w:rsidR="004C1E6A" w:rsidRPr="00F775DA" w:rsidRDefault="004C1E6A" w:rsidP="008877B0">
            <w:pPr>
              <w:rPr>
                <w:sz w:val="20"/>
                <w:szCs w:val="20"/>
              </w:rPr>
            </w:pPr>
            <w:r w:rsidRPr="00F775DA">
              <w:rPr>
                <w:sz w:val="20"/>
                <w:szCs w:val="20"/>
              </w:rPr>
              <w:t>11</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2006</w:t>
            </w:r>
          </w:p>
        </w:tc>
        <w:tc>
          <w:tcPr>
            <w:tcW w:w="1288" w:type="dxa"/>
          </w:tcPr>
          <w:p w:rsidR="004C1E6A" w:rsidRPr="00F775DA" w:rsidRDefault="004C1E6A" w:rsidP="008877B0">
            <w:pPr>
              <w:rPr>
                <w:sz w:val="20"/>
                <w:szCs w:val="20"/>
              </w:rPr>
            </w:pPr>
            <w:r w:rsidRPr="00F775DA">
              <w:rPr>
                <w:sz w:val="20"/>
                <w:szCs w:val="20"/>
              </w:rPr>
              <w:t>76</w:t>
            </w:r>
          </w:p>
        </w:tc>
        <w:tc>
          <w:tcPr>
            <w:tcW w:w="1683" w:type="dxa"/>
          </w:tcPr>
          <w:p w:rsidR="004C1E6A" w:rsidRPr="00F775DA" w:rsidRDefault="004C1E6A" w:rsidP="008877B0">
            <w:pPr>
              <w:rPr>
                <w:sz w:val="20"/>
                <w:szCs w:val="20"/>
              </w:rPr>
            </w:pPr>
            <w:r w:rsidRPr="00F775DA">
              <w:rPr>
                <w:sz w:val="20"/>
                <w:szCs w:val="20"/>
              </w:rPr>
              <w:t>58</w:t>
            </w:r>
          </w:p>
        </w:tc>
        <w:tc>
          <w:tcPr>
            <w:tcW w:w="1369" w:type="dxa"/>
          </w:tcPr>
          <w:p w:rsidR="004C1E6A" w:rsidRPr="00F775DA" w:rsidRDefault="004C1E6A" w:rsidP="008877B0">
            <w:pPr>
              <w:rPr>
                <w:sz w:val="20"/>
                <w:szCs w:val="20"/>
              </w:rPr>
            </w:pPr>
            <w:r w:rsidRPr="00F775DA">
              <w:rPr>
                <w:sz w:val="20"/>
                <w:szCs w:val="20"/>
              </w:rPr>
              <w:t>10</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2007</w:t>
            </w:r>
          </w:p>
        </w:tc>
        <w:tc>
          <w:tcPr>
            <w:tcW w:w="1288" w:type="dxa"/>
          </w:tcPr>
          <w:p w:rsidR="004C1E6A" w:rsidRPr="00F775DA" w:rsidRDefault="004C1E6A" w:rsidP="008877B0">
            <w:pPr>
              <w:rPr>
                <w:sz w:val="20"/>
                <w:szCs w:val="20"/>
              </w:rPr>
            </w:pPr>
            <w:r w:rsidRPr="00F775DA">
              <w:rPr>
                <w:sz w:val="20"/>
                <w:szCs w:val="20"/>
              </w:rPr>
              <w:t>69</w:t>
            </w:r>
          </w:p>
        </w:tc>
        <w:tc>
          <w:tcPr>
            <w:tcW w:w="1683" w:type="dxa"/>
          </w:tcPr>
          <w:p w:rsidR="004C1E6A" w:rsidRPr="00F775DA" w:rsidRDefault="004C1E6A" w:rsidP="008877B0">
            <w:pPr>
              <w:rPr>
                <w:sz w:val="20"/>
                <w:szCs w:val="20"/>
              </w:rPr>
            </w:pPr>
            <w:r w:rsidRPr="00F775DA">
              <w:rPr>
                <w:sz w:val="20"/>
                <w:szCs w:val="20"/>
              </w:rPr>
              <w:t>54</w:t>
            </w:r>
          </w:p>
        </w:tc>
        <w:tc>
          <w:tcPr>
            <w:tcW w:w="1369" w:type="dxa"/>
          </w:tcPr>
          <w:p w:rsidR="004C1E6A" w:rsidRPr="00F775DA" w:rsidRDefault="004C1E6A" w:rsidP="008877B0">
            <w:pPr>
              <w:rPr>
                <w:sz w:val="20"/>
                <w:szCs w:val="20"/>
              </w:rPr>
            </w:pPr>
            <w:r w:rsidRPr="00F775DA">
              <w:rPr>
                <w:sz w:val="20"/>
                <w:szCs w:val="20"/>
              </w:rPr>
              <w:t>12</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2008</w:t>
            </w:r>
          </w:p>
        </w:tc>
        <w:tc>
          <w:tcPr>
            <w:tcW w:w="1288" w:type="dxa"/>
          </w:tcPr>
          <w:p w:rsidR="004C1E6A" w:rsidRPr="00F775DA" w:rsidRDefault="004C1E6A" w:rsidP="008877B0">
            <w:pPr>
              <w:rPr>
                <w:sz w:val="20"/>
                <w:szCs w:val="20"/>
              </w:rPr>
            </w:pPr>
            <w:r w:rsidRPr="00F775DA">
              <w:rPr>
                <w:sz w:val="20"/>
                <w:szCs w:val="20"/>
              </w:rPr>
              <w:t>82</w:t>
            </w:r>
          </w:p>
        </w:tc>
        <w:tc>
          <w:tcPr>
            <w:tcW w:w="1683" w:type="dxa"/>
          </w:tcPr>
          <w:p w:rsidR="004C1E6A" w:rsidRPr="00F775DA" w:rsidRDefault="004C1E6A" w:rsidP="008877B0">
            <w:pPr>
              <w:rPr>
                <w:sz w:val="20"/>
                <w:szCs w:val="20"/>
              </w:rPr>
            </w:pPr>
            <w:r w:rsidRPr="00F775DA">
              <w:rPr>
                <w:sz w:val="20"/>
                <w:szCs w:val="20"/>
              </w:rPr>
              <w:t>66</w:t>
            </w:r>
          </w:p>
        </w:tc>
        <w:tc>
          <w:tcPr>
            <w:tcW w:w="1369" w:type="dxa"/>
          </w:tcPr>
          <w:p w:rsidR="004C1E6A" w:rsidRPr="00F775DA" w:rsidRDefault="004C1E6A" w:rsidP="008877B0">
            <w:pPr>
              <w:rPr>
                <w:sz w:val="20"/>
                <w:szCs w:val="20"/>
              </w:rPr>
            </w:pPr>
            <w:r w:rsidRPr="00F775DA">
              <w:rPr>
                <w:sz w:val="20"/>
                <w:szCs w:val="20"/>
              </w:rPr>
              <w:t>14</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2009</w:t>
            </w:r>
          </w:p>
        </w:tc>
        <w:tc>
          <w:tcPr>
            <w:tcW w:w="1288" w:type="dxa"/>
          </w:tcPr>
          <w:p w:rsidR="004C1E6A" w:rsidRPr="00F775DA" w:rsidRDefault="004C1E6A" w:rsidP="008877B0">
            <w:pPr>
              <w:rPr>
                <w:sz w:val="20"/>
                <w:szCs w:val="20"/>
              </w:rPr>
            </w:pPr>
            <w:r w:rsidRPr="00F775DA">
              <w:rPr>
                <w:sz w:val="20"/>
                <w:szCs w:val="20"/>
              </w:rPr>
              <w:t>69</w:t>
            </w:r>
          </w:p>
        </w:tc>
        <w:tc>
          <w:tcPr>
            <w:tcW w:w="1683" w:type="dxa"/>
          </w:tcPr>
          <w:p w:rsidR="004C1E6A" w:rsidRPr="00F775DA" w:rsidRDefault="004C1E6A" w:rsidP="008877B0">
            <w:pPr>
              <w:rPr>
                <w:sz w:val="20"/>
                <w:szCs w:val="20"/>
              </w:rPr>
            </w:pPr>
            <w:r w:rsidRPr="00F775DA">
              <w:rPr>
                <w:sz w:val="20"/>
                <w:szCs w:val="20"/>
              </w:rPr>
              <w:t>57</w:t>
            </w:r>
          </w:p>
        </w:tc>
        <w:tc>
          <w:tcPr>
            <w:tcW w:w="1369" w:type="dxa"/>
          </w:tcPr>
          <w:p w:rsidR="004C1E6A" w:rsidRPr="00F775DA" w:rsidRDefault="004C1E6A" w:rsidP="008877B0">
            <w:pPr>
              <w:rPr>
                <w:sz w:val="20"/>
                <w:szCs w:val="20"/>
              </w:rPr>
            </w:pPr>
            <w:r w:rsidRPr="00F775DA">
              <w:rPr>
                <w:sz w:val="20"/>
                <w:szCs w:val="20"/>
              </w:rPr>
              <w:t>9</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2000-2009</w:t>
            </w: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705</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548</w:t>
            </w:r>
            <w:r w:rsidRPr="00F775DA">
              <w:rPr>
                <w:sz w:val="20"/>
                <w:szCs w:val="20"/>
              </w:rPr>
              <w:fldChar w:fldCharType="end"/>
            </w:r>
          </w:p>
        </w:tc>
        <w:tc>
          <w:tcPr>
            <w:tcW w:w="1369"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115</w:t>
            </w:r>
            <w:r w:rsidRPr="00F775DA">
              <w:rPr>
                <w:sz w:val="20"/>
                <w:szCs w:val="20"/>
              </w:rPr>
              <w:fldChar w:fldCharType="end"/>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p>
        </w:tc>
        <w:tc>
          <w:tcPr>
            <w:tcW w:w="1288" w:type="dxa"/>
          </w:tcPr>
          <w:p w:rsidR="004C1E6A" w:rsidRPr="00F775DA" w:rsidRDefault="004C1E6A" w:rsidP="008877B0">
            <w:pPr>
              <w:rPr>
                <w:b/>
                <w:sz w:val="20"/>
                <w:szCs w:val="20"/>
              </w:rPr>
            </w:pPr>
          </w:p>
        </w:tc>
        <w:tc>
          <w:tcPr>
            <w:tcW w:w="1683" w:type="dxa"/>
          </w:tcPr>
          <w:p w:rsidR="004C1E6A" w:rsidRPr="00F775DA" w:rsidRDefault="004C1E6A" w:rsidP="008877B0">
            <w:pPr>
              <w:rPr>
                <w:b/>
                <w:sz w:val="20"/>
                <w:szCs w:val="20"/>
              </w:rPr>
            </w:pPr>
          </w:p>
        </w:tc>
        <w:tc>
          <w:tcPr>
            <w:tcW w:w="1369" w:type="dxa"/>
          </w:tcPr>
          <w:p w:rsidR="004C1E6A" w:rsidRPr="00F775DA" w:rsidRDefault="004C1E6A" w:rsidP="008877B0">
            <w:pPr>
              <w:rPr>
                <w:b/>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p>
        </w:tc>
        <w:tc>
          <w:tcPr>
            <w:tcW w:w="1288" w:type="dxa"/>
          </w:tcPr>
          <w:p w:rsidR="004C1E6A" w:rsidRPr="00F775DA" w:rsidRDefault="004C1E6A" w:rsidP="008877B0">
            <w:pPr>
              <w:rPr>
                <w:b/>
                <w:sz w:val="20"/>
                <w:szCs w:val="20"/>
              </w:rPr>
            </w:pPr>
          </w:p>
        </w:tc>
        <w:tc>
          <w:tcPr>
            <w:tcW w:w="1683" w:type="dxa"/>
          </w:tcPr>
          <w:p w:rsidR="004C1E6A" w:rsidRPr="00F775DA" w:rsidRDefault="004C1E6A" w:rsidP="008877B0">
            <w:pPr>
              <w:rPr>
                <w:b/>
                <w:sz w:val="20"/>
                <w:szCs w:val="20"/>
              </w:rPr>
            </w:pPr>
          </w:p>
        </w:tc>
        <w:tc>
          <w:tcPr>
            <w:tcW w:w="1369" w:type="dxa"/>
          </w:tcPr>
          <w:p w:rsidR="004C1E6A" w:rsidRPr="00F775DA" w:rsidRDefault="004C1E6A" w:rsidP="008877B0">
            <w:pPr>
              <w:rPr>
                <w:b/>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r w:rsidRPr="00F775DA">
              <w:rPr>
                <w:b/>
                <w:sz w:val="20"/>
                <w:szCs w:val="20"/>
              </w:rPr>
              <w:lastRenderedPageBreak/>
              <w:t>Lymphoma:</w:t>
            </w:r>
          </w:p>
        </w:tc>
        <w:tc>
          <w:tcPr>
            <w:tcW w:w="1288" w:type="dxa"/>
          </w:tcPr>
          <w:p w:rsidR="004C1E6A" w:rsidRPr="00F775DA" w:rsidRDefault="004C1E6A" w:rsidP="008877B0">
            <w:pPr>
              <w:rPr>
                <w:b/>
                <w:sz w:val="20"/>
                <w:szCs w:val="20"/>
              </w:rPr>
            </w:pPr>
            <w:r w:rsidRPr="00F775DA">
              <w:rPr>
                <w:b/>
                <w:sz w:val="20"/>
                <w:szCs w:val="20"/>
              </w:rPr>
              <w:t>Total</w:t>
            </w:r>
          </w:p>
        </w:tc>
        <w:tc>
          <w:tcPr>
            <w:tcW w:w="1683" w:type="dxa"/>
          </w:tcPr>
          <w:p w:rsidR="004C1E6A" w:rsidRPr="00F775DA" w:rsidRDefault="004C1E6A" w:rsidP="008877B0">
            <w:pPr>
              <w:rPr>
                <w:b/>
                <w:sz w:val="20"/>
                <w:szCs w:val="20"/>
              </w:rPr>
            </w:pPr>
            <w:r w:rsidRPr="00F775DA">
              <w:rPr>
                <w:b/>
                <w:sz w:val="20"/>
                <w:szCs w:val="20"/>
              </w:rPr>
              <w:t>HL</w:t>
            </w:r>
          </w:p>
        </w:tc>
        <w:tc>
          <w:tcPr>
            <w:tcW w:w="1369" w:type="dxa"/>
          </w:tcPr>
          <w:p w:rsidR="004C1E6A" w:rsidRPr="00F775DA" w:rsidRDefault="004C1E6A" w:rsidP="008877B0">
            <w:pPr>
              <w:rPr>
                <w:b/>
                <w:sz w:val="20"/>
                <w:szCs w:val="20"/>
              </w:rPr>
            </w:pPr>
            <w:r w:rsidRPr="00F775DA">
              <w:rPr>
                <w:b/>
                <w:sz w:val="20"/>
                <w:szCs w:val="20"/>
              </w:rPr>
              <w:t>NHL</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w:t>
            </w:r>
          </w:p>
        </w:tc>
        <w:tc>
          <w:tcPr>
            <w:tcW w:w="1288" w:type="dxa"/>
          </w:tcPr>
          <w:p w:rsidR="004C1E6A" w:rsidRPr="00F775DA" w:rsidRDefault="004C1E6A" w:rsidP="008877B0">
            <w:pPr>
              <w:rPr>
                <w:sz w:val="20"/>
                <w:szCs w:val="20"/>
              </w:rPr>
            </w:pPr>
            <w:r w:rsidRPr="00F775DA">
              <w:rPr>
                <w:sz w:val="20"/>
                <w:szCs w:val="20"/>
              </w:rPr>
              <w:t>50</w:t>
            </w:r>
          </w:p>
        </w:tc>
        <w:tc>
          <w:tcPr>
            <w:tcW w:w="1683" w:type="dxa"/>
          </w:tcPr>
          <w:p w:rsidR="004C1E6A" w:rsidRPr="00F775DA" w:rsidRDefault="004C1E6A" w:rsidP="008877B0">
            <w:pPr>
              <w:rPr>
                <w:sz w:val="20"/>
                <w:szCs w:val="20"/>
              </w:rPr>
            </w:pPr>
            <w:r w:rsidRPr="00F775DA">
              <w:rPr>
                <w:sz w:val="20"/>
                <w:szCs w:val="20"/>
              </w:rPr>
              <w:t>27</w:t>
            </w:r>
          </w:p>
        </w:tc>
        <w:tc>
          <w:tcPr>
            <w:tcW w:w="1369" w:type="dxa"/>
          </w:tcPr>
          <w:p w:rsidR="004C1E6A" w:rsidRPr="00F775DA" w:rsidRDefault="004C1E6A" w:rsidP="008877B0">
            <w:pPr>
              <w:rPr>
                <w:sz w:val="20"/>
                <w:szCs w:val="20"/>
              </w:rPr>
            </w:pPr>
            <w:r w:rsidRPr="00F775DA">
              <w:rPr>
                <w:sz w:val="20"/>
                <w:szCs w:val="20"/>
              </w:rPr>
              <w:t>20</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2001</w:t>
            </w:r>
          </w:p>
        </w:tc>
        <w:tc>
          <w:tcPr>
            <w:tcW w:w="1288" w:type="dxa"/>
          </w:tcPr>
          <w:p w:rsidR="004C1E6A" w:rsidRPr="00F775DA" w:rsidRDefault="004C1E6A" w:rsidP="008877B0">
            <w:pPr>
              <w:rPr>
                <w:sz w:val="20"/>
                <w:szCs w:val="20"/>
              </w:rPr>
            </w:pPr>
            <w:r w:rsidRPr="00F775DA">
              <w:rPr>
                <w:sz w:val="20"/>
                <w:szCs w:val="20"/>
              </w:rPr>
              <w:t>43</w:t>
            </w:r>
          </w:p>
        </w:tc>
        <w:tc>
          <w:tcPr>
            <w:tcW w:w="1683" w:type="dxa"/>
          </w:tcPr>
          <w:p w:rsidR="004C1E6A" w:rsidRPr="00F775DA" w:rsidRDefault="004C1E6A" w:rsidP="008877B0">
            <w:pPr>
              <w:rPr>
                <w:sz w:val="20"/>
                <w:szCs w:val="20"/>
              </w:rPr>
            </w:pPr>
            <w:r w:rsidRPr="00F775DA">
              <w:rPr>
                <w:sz w:val="20"/>
                <w:szCs w:val="20"/>
              </w:rPr>
              <w:t>23</w:t>
            </w:r>
          </w:p>
        </w:tc>
        <w:tc>
          <w:tcPr>
            <w:tcW w:w="1369" w:type="dxa"/>
          </w:tcPr>
          <w:p w:rsidR="004C1E6A" w:rsidRPr="00F775DA" w:rsidRDefault="004C1E6A" w:rsidP="008877B0">
            <w:pPr>
              <w:rPr>
                <w:sz w:val="20"/>
                <w:szCs w:val="20"/>
              </w:rPr>
            </w:pPr>
            <w:r w:rsidRPr="00F775DA">
              <w:rPr>
                <w:sz w:val="20"/>
                <w:szCs w:val="20"/>
              </w:rPr>
              <w:t>14</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2002</w:t>
            </w:r>
          </w:p>
        </w:tc>
        <w:tc>
          <w:tcPr>
            <w:tcW w:w="1288" w:type="dxa"/>
          </w:tcPr>
          <w:p w:rsidR="004C1E6A" w:rsidRPr="00F775DA" w:rsidRDefault="004C1E6A" w:rsidP="008877B0">
            <w:pPr>
              <w:rPr>
                <w:sz w:val="20"/>
                <w:szCs w:val="20"/>
              </w:rPr>
            </w:pPr>
            <w:r w:rsidRPr="00F775DA">
              <w:rPr>
                <w:sz w:val="20"/>
                <w:szCs w:val="20"/>
              </w:rPr>
              <w:t>37</w:t>
            </w:r>
          </w:p>
        </w:tc>
        <w:tc>
          <w:tcPr>
            <w:tcW w:w="1683" w:type="dxa"/>
          </w:tcPr>
          <w:p w:rsidR="004C1E6A" w:rsidRPr="00F775DA" w:rsidRDefault="004C1E6A" w:rsidP="008877B0">
            <w:pPr>
              <w:rPr>
                <w:sz w:val="20"/>
                <w:szCs w:val="20"/>
              </w:rPr>
            </w:pPr>
            <w:r w:rsidRPr="00F775DA">
              <w:rPr>
                <w:sz w:val="20"/>
                <w:szCs w:val="20"/>
              </w:rPr>
              <w:t>18</w:t>
            </w:r>
          </w:p>
        </w:tc>
        <w:tc>
          <w:tcPr>
            <w:tcW w:w="1369" w:type="dxa"/>
          </w:tcPr>
          <w:p w:rsidR="004C1E6A" w:rsidRPr="00F775DA" w:rsidRDefault="004C1E6A" w:rsidP="008877B0">
            <w:pPr>
              <w:rPr>
                <w:sz w:val="20"/>
                <w:szCs w:val="20"/>
              </w:rPr>
            </w:pPr>
            <w:r w:rsidRPr="00F775DA">
              <w:rPr>
                <w:sz w:val="20"/>
                <w:szCs w:val="20"/>
              </w:rPr>
              <w:t>14</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2003</w:t>
            </w:r>
          </w:p>
        </w:tc>
        <w:tc>
          <w:tcPr>
            <w:tcW w:w="1288" w:type="dxa"/>
          </w:tcPr>
          <w:p w:rsidR="004C1E6A" w:rsidRPr="00F775DA" w:rsidRDefault="004C1E6A" w:rsidP="008877B0">
            <w:pPr>
              <w:rPr>
                <w:sz w:val="20"/>
                <w:szCs w:val="20"/>
              </w:rPr>
            </w:pPr>
            <w:r w:rsidRPr="00F775DA">
              <w:rPr>
                <w:sz w:val="20"/>
                <w:szCs w:val="20"/>
              </w:rPr>
              <w:t>44</w:t>
            </w:r>
          </w:p>
        </w:tc>
        <w:tc>
          <w:tcPr>
            <w:tcW w:w="1683" w:type="dxa"/>
          </w:tcPr>
          <w:p w:rsidR="004C1E6A" w:rsidRPr="00F775DA" w:rsidRDefault="004C1E6A" w:rsidP="008877B0">
            <w:pPr>
              <w:rPr>
                <w:sz w:val="20"/>
                <w:szCs w:val="20"/>
              </w:rPr>
            </w:pPr>
            <w:r w:rsidRPr="00F775DA">
              <w:rPr>
                <w:sz w:val="20"/>
                <w:szCs w:val="20"/>
              </w:rPr>
              <w:t>29</w:t>
            </w:r>
          </w:p>
        </w:tc>
        <w:tc>
          <w:tcPr>
            <w:tcW w:w="1369" w:type="dxa"/>
          </w:tcPr>
          <w:p w:rsidR="004C1E6A" w:rsidRPr="00F775DA" w:rsidRDefault="004C1E6A" w:rsidP="008877B0">
            <w:pPr>
              <w:rPr>
                <w:sz w:val="20"/>
                <w:szCs w:val="20"/>
              </w:rPr>
            </w:pPr>
            <w:r w:rsidRPr="00F775DA">
              <w:rPr>
                <w:sz w:val="20"/>
                <w:szCs w:val="20"/>
              </w:rPr>
              <w:t>9</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2004</w:t>
            </w:r>
          </w:p>
        </w:tc>
        <w:tc>
          <w:tcPr>
            <w:tcW w:w="1288" w:type="dxa"/>
          </w:tcPr>
          <w:p w:rsidR="004C1E6A" w:rsidRPr="00F775DA" w:rsidRDefault="004C1E6A" w:rsidP="008877B0">
            <w:pPr>
              <w:rPr>
                <w:sz w:val="20"/>
                <w:szCs w:val="20"/>
              </w:rPr>
            </w:pPr>
            <w:r w:rsidRPr="00F775DA">
              <w:rPr>
                <w:sz w:val="20"/>
                <w:szCs w:val="20"/>
              </w:rPr>
              <w:t>45</w:t>
            </w:r>
          </w:p>
        </w:tc>
        <w:tc>
          <w:tcPr>
            <w:tcW w:w="1683" w:type="dxa"/>
          </w:tcPr>
          <w:p w:rsidR="004C1E6A" w:rsidRPr="00F775DA" w:rsidRDefault="004C1E6A" w:rsidP="008877B0">
            <w:pPr>
              <w:rPr>
                <w:sz w:val="20"/>
                <w:szCs w:val="20"/>
              </w:rPr>
            </w:pPr>
            <w:r w:rsidRPr="00F775DA">
              <w:rPr>
                <w:sz w:val="20"/>
                <w:szCs w:val="20"/>
              </w:rPr>
              <w:t>25</w:t>
            </w:r>
          </w:p>
        </w:tc>
        <w:tc>
          <w:tcPr>
            <w:tcW w:w="1369" w:type="dxa"/>
          </w:tcPr>
          <w:p w:rsidR="004C1E6A" w:rsidRPr="00F775DA" w:rsidRDefault="004C1E6A" w:rsidP="008877B0">
            <w:pPr>
              <w:rPr>
                <w:sz w:val="20"/>
                <w:szCs w:val="20"/>
              </w:rPr>
            </w:pPr>
            <w:r w:rsidRPr="00F775DA">
              <w:rPr>
                <w:sz w:val="20"/>
                <w:szCs w:val="20"/>
              </w:rPr>
              <w:t>16</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2005</w:t>
            </w:r>
          </w:p>
        </w:tc>
        <w:tc>
          <w:tcPr>
            <w:tcW w:w="1288" w:type="dxa"/>
          </w:tcPr>
          <w:p w:rsidR="004C1E6A" w:rsidRPr="00F775DA" w:rsidRDefault="004C1E6A" w:rsidP="008877B0">
            <w:pPr>
              <w:rPr>
                <w:sz w:val="20"/>
                <w:szCs w:val="20"/>
              </w:rPr>
            </w:pPr>
            <w:r w:rsidRPr="00F775DA">
              <w:rPr>
                <w:sz w:val="20"/>
                <w:szCs w:val="20"/>
              </w:rPr>
              <w:t>61</w:t>
            </w:r>
          </w:p>
        </w:tc>
        <w:tc>
          <w:tcPr>
            <w:tcW w:w="1683" w:type="dxa"/>
          </w:tcPr>
          <w:p w:rsidR="004C1E6A" w:rsidRPr="00F775DA" w:rsidRDefault="004C1E6A" w:rsidP="008877B0">
            <w:pPr>
              <w:rPr>
                <w:sz w:val="20"/>
                <w:szCs w:val="20"/>
              </w:rPr>
            </w:pPr>
            <w:r w:rsidRPr="00F775DA">
              <w:rPr>
                <w:sz w:val="20"/>
                <w:szCs w:val="20"/>
              </w:rPr>
              <w:t>32</w:t>
            </w:r>
          </w:p>
        </w:tc>
        <w:tc>
          <w:tcPr>
            <w:tcW w:w="1369" w:type="dxa"/>
          </w:tcPr>
          <w:p w:rsidR="004C1E6A" w:rsidRPr="00F775DA" w:rsidRDefault="004C1E6A" w:rsidP="008877B0">
            <w:pPr>
              <w:rPr>
                <w:sz w:val="20"/>
                <w:szCs w:val="20"/>
              </w:rPr>
            </w:pPr>
            <w:r w:rsidRPr="00F775DA">
              <w:rPr>
                <w:sz w:val="20"/>
                <w:szCs w:val="20"/>
              </w:rPr>
              <w:t>18</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2006</w:t>
            </w:r>
          </w:p>
        </w:tc>
        <w:tc>
          <w:tcPr>
            <w:tcW w:w="1288" w:type="dxa"/>
          </w:tcPr>
          <w:p w:rsidR="004C1E6A" w:rsidRPr="00F775DA" w:rsidRDefault="004C1E6A" w:rsidP="008877B0">
            <w:pPr>
              <w:rPr>
                <w:sz w:val="20"/>
                <w:szCs w:val="20"/>
              </w:rPr>
            </w:pPr>
            <w:r w:rsidRPr="00F775DA">
              <w:rPr>
                <w:sz w:val="20"/>
                <w:szCs w:val="20"/>
              </w:rPr>
              <w:t>64</w:t>
            </w:r>
          </w:p>
        </w:tc>
        <w:tc>
          <w:tcPr>
            <w:tcW w:w="1683" w:type="dxa"/>
          </w:tcPr>
          <w:p w:rsidR="004C1E6A" w:rsidRPr="00F775DA" w:rsidRDefault="004C1E6A" w:rsidP="008877B0">
            <w:pPr>
              <w:rPr>
                <w:sz w:val="20"/>
                <w:szCs w:val="20"/>
              </w:rPr>
            </w:pPr>
            <w:r w:rsidRPr="00F775DA">
              <w:rPr>
                <w:sz w:val="20"/>
                <w:szCs w:val="20"/>
              </w:rPr>
              <w:t>34</w:t>
            </w:r>
          </w:p>
        </w:tc>
        <w:tc>
          <w:tcPr>
            <w:tcW w:w="1369" w:type="dxa"/>
          </w:tcPr>
          <w:p w:rsidR="004C1E6A" w:rsidRPr="00F775DA" w:rsidRDefault="004C1E6A" w:rsidP="008877B0">
            <w:pPr>
              <w:rPr>
                <w:sz w:val="20"/>
                <w:szCs w:val="20"/>
              </w:rPr>
            </w:pPr>
            <w:r w:rsidRPr="00F775DA">
              <w:rPr>
                <w:sz w:val="20"/>
                <w:szCs w:val="20"/>
              </w:rPr>
              <w:t>19</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2007</w:t>
            </w:r>
          </w:p>
        </w:tc>
        <w:tc>
          <w:tcPr>
            <w:tcW w:w="1288" w:type="dxa"/>
          </w:tcPr>
          <w:p w:rsidR="004C1E6A" w:rsidRPr="00F775DA" w:rsidRDefault="004C1E6A" w:rsidP="008877B0">
            <w:pPr>
              <w:rPr>
                <w:sz w:val="20"/>
                <w:szCs w:val="20"/>
              </w:rPr>
            </w:pPr>
            <w:r w:rsidRPr="00F775DA">
              <w:rPr>
                <w:sz w:val="20"/>
                <w:szCs w:val="20"/>
              </w:rPr>
              <w:t>49</w:t>
            </w:r>
          </w:p>
        </w:tc>
        <w:tc>
          <w:tcPr>
            <w:tcW w:w="1683" w:type="dxa"/>
          </w:tcPr>
          <w:p w:rsidR="004C1E6A" w:rsidRPr="00F775DA" w:rsidRDefault="004C1E6A" w:rsidP="008877B0">
            <w:pPr>
              <w:rPr>
                <w:sz w:val="20"/>
                <w:szCs w:val="20"/>
              </w:rPr>
            </w:pPr>
            <w:r w:rsidRPr="00F775DA">
              <w:rPr>
                <w:sz w:val="20"/>
                <w:szCs w:val="20"/>
              </w:rPr>
              <w:t>17</w:t>
            </w:r>
          </w:p>
        </w:tc>
        <w:tc>
          <w:tcPr>
            <w:tcW w:w="1369" w:type="dxa"/>
          </w:tcPr>
          <w:p w:rsidR="004C1E6A" w:rsidRPr="00F775DA" w:rsidRDefault="004C1E6A" w:rsidP="008877B0">
            <w:pPr>
              <w:rPr>
                <w:sz w:val="20"/>
                <w:szCs w:val="20"/>
              </w:rPr>
            </w:pPr>
            <w:r w:rsidRPr="00F775DA">
              <w:rPr>
                <w:sz w:val="20"/>
                <w:szCs w:val="20"/>
              </w:rPr>
              <w:t>27</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2008</w:t>
            </w:r>
          </w:p>
        </w:tc>
        <w:tc>
          <w:tcPr>
            <w:tcW w:w="1288" w:type="dxa"/>
          </w:tcPr>
          <w:p w:rsidR="004C1E6A" w:rsidRPr="00F775DA" w:rsidRDefault="004C1E6A" w:rsidP="008877B0">
            <w:pPr>
              <w:rPr>
                <w:sz w:val="20"/>
                <w:szCs w:val="20"/>
              </w:rPr>
            </w:pPr>
            <w:r w:rsidRPr="00F775DA">
              <w:rPr>
                <w:sz w:val="20"/>
                <w:szCs w:val="20"/>
              </w:rPr>
              <w:t>49</w:t>
            </w:r>
          </w:p>
        </w:tc>
        <w:tc>
          <w:tcPr>
            <w:tcW w:w="1683" w:type="dxa"/>
          </w:tcPr>
          <w:p w:rsidR="004C1E6A" w:rsidRPr="00F775DA" w:rsidRDefault="004C1E6A" w:rsidP="008877B0">
            <w:pPr>
              <w:rPr>
                <w:sz w:val="20"/>
                <w:szCs w:val="20"/>
              </w:rPr>
            </w:pPr>
            <w:r w:rsidRPr="00F775DA">
              <w:rPr>
                <w:sz w:val="20"/>
                <w:szCs w:val="20"/>
              </w:rPr>
              <w:t>21</w:t>
            </w:r>
          </w:p>
        </w:tc>
        <w:tc>
          <w:tcPr>
            <w:tcW w:w="1369" w:type="dxa"/>
          </w:tcPr>
          <w:p w:rsidR="004C1E6A" w:rsidRPr="00F775DA" w:rsidRDefault="004C1E6A" w:rsidP="008877B0">
            <w:pPr>
              <w:rPr>
                <w:sz w:val="20"/>
                <w:szCs w:val="20"/>
              </w:rPr>
            </w:pPr>
            <w:r w:rsidRPr="00F775DA">
              <w:rPr>
                <w:sz w:val="20"/>
                <w:szCs w:val="20"/>
              </w:rPr>
              <w:t>22</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2009</w:t>
            </w:r>
          </w:p>
        </w:tc>
        <w:tc>
          <w:tcPr>
            <w:tcW w:w="1288" w:type="dxa"/>
          </w:tcPr>
          <w:p w:rsidR="004C1E6A" w:rsidRPr="00F775DA" w:rsidRDefault="004C1E6A" w:rsidP="008877B0">
            <w:pPr>
              <w:rPr>
                <w:sz w:val="20"/>
                <w:szCs w:val="20"/>
              </w:rPr>
            </w:pPr>
            <w:r w:rsidRPr="00F775DA">
              <w:rPr>
                <w:sz w:val="20"/>
                <w:szCs w:val="20"/>
              </w:rPr>
              <w:t>57</w:t>
            </w:r>
          </w:p>
        </w:tc>
        <w:tc>
          <w:tcPr>
            <w:tcW w:w="1683" w:type="dxa"/>
          </w:tcPr>
          <w:p w:rsidR="004C1E6A" w:rsidRPr="00F775DA" w:rsidRDefault="004C1E6A" w:rsidP="008877B0">
            <w:pPr>
              <w:rPr>
                <w:sz w:val="20"/>
                <w:szCs w:val="20"/>
              </w:rPr>
            </w:pPr>
            <w:r w:rsidRPr="00F775DA">
              <w:rPr>
                <w:sz w:val="20"/>
                <w:szCs w:val="20"/>
              </w:rPr>
              <w:t>26</w:t>
            </w:r>
          </w:p>
        </w:tc>
        <w:tc>
          <w:tcPr>
            <w:tcW w:w="1369" w:type="dxa"/>
          </w:tcPr>
          <w:p w:rsidR="004C1E6A" w:rsidRPr="00F775DA" w:rsidRDefault="004C1E6A" w:rsidP="008877B0">
            <w:pPr>
              <w:rPr>
                <w:sz w:val="20"/>
                <w:szCs w:val="20"/>
              </w:rPr>
            </w:pPr>
            <w:r w:rsidRPr="00F775DA">
              <w:rPr>
                <w:sz w:val="20"/>
                <w:szCs w:val="20"/>
              </w:rPr>
              <w:t>23</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2000-2009</w:t>
            </w: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499</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252</w:t>
            </w:r>
            <w:r w:rsidRPr="00F775DA">
              <w:rPr>
                <w:sz w:val="20"/>
                <w:szCs w:val="20"/>
              </w:rPr>
              <w:fldChar w:fldCharType="end"/>
            </w:r>
          </w:p>
        </w:tc>
        <w:tc>
          <w:tcPr>
            <w:tcW w:w="1369"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182</w:t>
            </w:r>
            <w:r w:rsidRPr="00F775DA">
              <w:rPr>
                <w:sz w:val="20"/>
                <w:szCs w:val="20"/>
              </w:rPr>
              <w:fldChar w:fldCharType="end"/>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p>
        </w:tc>
        <w:tc>
          <w:tcPr>
            <w:tcW w:w="1288" w:type="dxa"/>
          </w:tcPr>
          <w:p w:rsidR="004C1E6A" w:rsidRPr="00F775DA" w:rsidRDefault="004C1E6A" w:rsidP="008877B0">
            <w:pPr>
              <w:rPr>
                <w:b/>
                <w:sz w:val="20"/>
                <w:szCs w:val="20"/>
              </w:rPr>
            </w:pPr>
          </w:p>
        </w:tc>
        <w:tc>
          <w:tcPr>
            <w:tcW w:w="1683" w:type="dxa"/>
          </w:tcPr>
          <w:p w:rsidR="004C1E6A" w:rsidRPr="00F775DA" w:rsidRDefault="004C1E6A" w:rsidP="008877B0">
            <w:pPr>
              <w:rPr>
                <w:b/>
                <w:sz w:val="20"/>
                <w:szCs w:val="20"/>
              </w:rPr>
            </w:pPr>
          </w:p>
        </w:tc>
        <w:tc>
          <w:tcPr>
            <w:tcW w:w="1369" w:type="dxa"/>
          </w:tcPr>
          <w:p w:rsidR="004C1E6A" w:rsidRPr="00F775DA" w:rsidRDefault="004C1E6A" w:rsidP="008877B0">
            <w:pPr>
              <w:rPr>
                <w:b/>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r w:rsidRPr="00F775DA">
              <w:rPr>
                <w:b/>
                <w:sz w:val="20"/>
                <w:szCs w:val="20"/>
              </w:rPr>
              <w:t>CNS:</w:t>
            </w:r>
          </w:p>
        </w:tc>
        <w:tc>
          <w:tcPr>
            <w:tcW w:w="1288" w:type="dxa"/>
          </w:tcPr>
          <w:p w:rsidR="004C1E6A" w:rsidRPr="00F775DA" w:rsidRDefault="004C1E6A" w:rsidP="008877B0">
            <w:pPr>
              <w:rPr>
                <w:b/>
                <w:sz w:val="20"/>
                <w:szCs w:val="20"/>
              </w:rPr>
            </w:pPr>
            <w:r w:rsidRPr="00F775DA">
              <w:rPr>
                <w:b/>
                <w:sz w:val="20"/>
                <w:szCs w:val="20"/>
              </w:rPr>
              <w:t>Total</w:t>
            </w:r>
          </w:p>
        </w:tc>
        <w:tc>
          <w:tcPr>
            <w:tcW w:w="1683" w:type="dxa"/>
          </w:tcPr>
          <w:p w:rsidR="004C1E6A" w:rsidRPr="00F775DA" w:rsidRDefault="004C1E6A" w:rsidP="008877B0">
            <w:pPr>
              <w:rPr>
                <w:b/>
                <w:sz w:val="20"/>
                <w:szCs w:val="20"/>
              </w:rPr>
            </w:pPr>
            <w:r w:rsidRPr="00F775DA">
              <w:rPr>
                <w:b/>
                <w:sz w:val="20"/>
                <w:szCs w:val="20"/>
              </w:rPr>
              <w:t>Astrocytoma</w:t>
            </w:r>
          </w:p>
        </w:tc>
        <w:tc>
          <w:tcPr>
            <w:tcW w:w="1369" w:type="dxa"/>
          </w:tcPr>
          <w:p w:rsidR="004C1E6A" w:rsidRPr="00F775DA" w:rsidRDefault="004C1E6A" w:rsidP="008877B0">
            <w:pPr>
              <w:rPr>
                <w:b/>
                <w:sz w:val="20"/>
                <w:szCs w:val="20"/>
              </w:rPr>
            </w:pPr>
            <w:proofErr w:type="spellStart"/>
            <w:r w:rsidRPr="00F775DA">
              <w:rPr>
                <w:b/>
                <w:sz w:val="20"/>
                <w:szCs w:val="20"/>
              </w:rPr>
              <w:t>Embryonal</w:t>
            </w:r>
            <w:proofErr w:type="spellEnd"/>
          </w:p>
        </w:tc>
        <w:tc>
          <w:tcPr>
            <w:tcW w:w="1283" w:type="dxa"/>
          </w:tcPr>
          <w:p w:rsidR="004C1E6A" w:rsidRPr="00F775DA" w:rsidRDefault="004C1E6A" w:rsidP="008877B0">
            <w:pPr>
              <w:rPr>
                <w:sz w:val="20"/>
                <w:szCs w:val="20"/>
              </w:rPr>
            </w:pPr>
            <w:r w:rsidRPr="00F775DA">
              <w:rPr>
                <w:sz w:val="20"/>
                <w:szCs w:val="20"/>
              </w:rPr>
              <w:t xml:space="preserve"> </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w:t>
            </w:r>
          </w:p>
        </w:tc>
        <w:tc>
          <w:tcPr>
            <w:tcW w:w="1288" w:type="dxa"/>
          </w:tcPr>
          <w:p w:rsidR="004C1E6A" w:rsidRPr="00F775DA" w:rsidRDefault="004C1E6A" w:rsidP="008877B0">
            <w:pPr>
              <w:rPr>
                <w:sz w:val="20"/>
                <w:szCs w:val="20"/>
              </w:rPr>
            </w:pPr>
            <w:r w:rsidRPr="00F775DA">
              <w:rPr>
                <w:sz w:val="20"/>
                <w:szCs w:val="20"/>
              </w:rPr>
              <w:t>59</w:t>
            </w:r>
          </w:p>
        </w:tc>
        <w:tc>
          <w:tcPr>
            <w:tcW w:w="1683" w:type="dxa"/>
          </w:tcPr>
          <w:p w:rsidR="004C1E6A" w:rsidRPr="00F775DA" w:rsidRDefault="004C1E6A" w:rsidP="008877B0">
            <w:pPr>
              <w:rPr>
                <w:sz w:val="20"/>
                <w:szCs w:val="20"/>
              </w:rPr>
            </w:pPr>
            <w:r w:rsidRPr="00F775DA">
              <w:rPr>
                <w:sz w:val="20"/>
                <w:szCs w:val="20"/>
              </w:rPr>
              <w:t>29</w:t>
            </w:r>
          </w:p>
        </w:tc>
        <w:tc>
          <w:tcPr>
            <w:tcW w:w="1369" w:type="dxa"/>
          </w:tcPr>
          <w:p w:rsidR="004C1E6A" w:rsidRPr="00F775DA" w:rsidRDefault="004C1E6A" w:rsidP="008877B0">
            <w:pPr>
              <w:rPr>
                <w:sz w:val="20"/>
                <w:szCs w:val="20"/>
              </w:rPr>
            </w:pPr>
            <w:r w:rsidRPr="00F775DA">
              <w:rPr>
                <w:sz w:val="20"/>
                <w:szCs w:val="20"/>
              </w:rPr>
              <w:t>13</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2001</w:t>
            </w:r>
          </w:p>
        </w:tc>
        <w:tc>
          <w:tcPr>
            <w:tcW w:w="1288" w:type="dxa"/>
          </w:tcPr>
          <w:p w:rsidR="004C1E6A" w:rsidRPr="00F775DA" w:rsidRDefault="004C1E6A" w:rsidP="008877B0">
            <w:pPr>
              <w:rPr>
                <w:sz w:val="20"/>
                <w:szCs w:val="20"/>
              </w:rPr>
            </w:pPr>
            <w:r w:rsidRPr="00F775DA">
              <w:rPr>
                <w:sz w:val="20"/>
                <w:szCs w:val="20"/>
              </w:rPr>
              <w:t>60</w:t>
            </w:r>
          </w:p>
        </w:tc>
        <w:tc>
          <w:tcPr>
            <w:tcW w:w="1683" w:type="dxa"/>
          </w:tcPr>
          <w:p w:rsidR="004C1E6A" w:rsidRPr="00F775DA" w:rsidRDefault="004C1E6A" w:rsidP="008877B0">
            <w:pPr>
              <w:rPr>
                <w:sz w:val="20"/>
                <w:szCs w:val="20"/>
              </w:rPr>
            </w:pPr>
            <w:r w:rsidRPr="00F775DA">
              <w:rPr>
                <w:sz w:val="20"/>
                <w:szCs w:val="20"/>
              </w:rPr>
              <w:t>31</w:t>
            </w:r>
          </w:p>
        </w:tc>
        <w:tc>
          <w:tcPr>
            <w:tcW w:w="1369" w:type="dxa"/>
          </w:tcPr>
          <w:p w:rsidR="004C1E6A" w:rsidRPr="00F775DA" w:rsidRDefault="004C1E6A" w:rsidP="008877B0">
            <w:pPr>
              <w:rPr>
                <w:sz w:val="20"/>
                <w:szCs w:val="20"/>
              </w:rPr>
            </w:pPr>
            <w:r w:rsidRPr="00F775DA">
              <w:rPr>
                <w:sz w:val="20"/>
                <w:szCs w:val="20"/>
              </w:rPr>
              <w:t>13</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2002</w:t>
            </w:r>
          </w:p>
        </w:tc>
        <w:tc>
          <w:tcPr>
            <w:tcW w:w="1288" w:type="dxa"/>
          </w:tcPr>
          <w:p w:rsidR="004C1E6A" w:rsidRPr="00F775DA" w:rsidRDefault="004C1E6A" w:rsidP="008877B0">
            <w:pPr>
              <w:rPr>
                <w:sz w:val="20"/>
                <w:szCs w:val="20"/>
              </w:rPr>
            </w:pPr>
            <w:r w:rsidRPr="00F775DA">
              <w:rPr>
                <w:sz w:val="20"/>
                <w:szCs w:val="20"/>
              </w:rPr>
              <w:t>45</w:t>
            </w:r>
          </w:p>
        </w:tc>
        <w:tc>
          <w:tcPr>
            <w:tcW w:w="1683" w:type="dxa"/>
          </w:tcPr>
          <w:p w:rsidR="004C1E6A" w:rsidRPr="00F775DA" w:rsidRDefault="004C1E6A" w:rsidP="008877B0">
            <w:pPr>
              <w:rPr>
                <w:sz w:val="20"/>
                <w:szCs w:val="20"/>
              </w:rPr>
            </w:pPr>
            <w:r w:rsidRPr="00F775DA">
              <w:rPr>
                <w:sz w:val="20"/>
                <w:szCs w:val="20"/>
              </w:rPr>
              <w:t>22</w:t>
            </w:r>
          </w:p>
        </w:tc>
        <w:tc>
          <w:tcPr>
            <w:tcW w:w="1369" w:type="dxa"/>
          </w:tcPr>
          <w:p w:rsidR="004C1E6A" w:rsidRPr="00F775DA" w:rsidRDefault="004C1E6A" w:rsidP="008877B0">
            <w:pPr>
              <w:rPr>
                <w:sz w:val="20"/>
                <w:szCs w:val="20"/>
              </w:rPr>
            </w:pPr>
            <w:r w:rsidRPr="00F775DA">
              <w:rPr>
                <w:sz w:val="20"/>
                <w:szCs w:val="20"/>
              </w:rPr>
              <w:t>8</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2003</w:t>
            </w:r>
          </w:p>
        </w:tc>
        <w:tc>
          <w:tcPr>
            <w:tcW w:w="1288" w:type="dxa"/>
          </w:tcPr>
          <w:p w:rsidR="004C1E6A" w:rsidRPr="00F775DA" w:rsidRDefault="004C1E6A" w:rsidP="008877B0">
            <w:pPr>
              <w:rPr>
                <w:sz w:val="20"/>
                <w:szCs w:val="20"/>
              </w:rPr>
            </w:pPr>
            <w:r w:rsidRPr="00F775DA">
              <w:rPr>
                <w:sz w:val="20"/>
                <w:szCs w:val="20"/>
              </w:rPr>
              <w:t>55</w:t>
            </w:r>
          </w:p>
        </w:tc>
        <w:tc>
          <w:tcPr>
            <w:tcW w:w="1683" w:type="dxa"/>
          </w:tcPr>
          <w:p w:rsidR="004C1E6A" w:rsidRPr="00F775DA" w:rsidRDefault="004C1E6A" w:rsidP="008877B0">
            <w:pPr>
              <w:rPr>
                <w:sz w:val="20"/>
                <w:szCs w:val="20"/>
              </w:rPr>
            </w:pPr>
            <w:r w:rsidRPr="00F775DA">
              <w:rPr>
                <w:sz w:val="20"/>
                <w:szCs w:val="20"/>
              </w:rPr>
              <w:t>33</w:t>
            </w:r>
          </w:p>
        </w:tc>
        <w:tc>
          <w:tcPr>
            <w:tcW w:w="1369" w:type="dxa"/>
          </w:tcPr>
          <w:p w:rsidR="004C1E6A" w:rsidRPr="00F775DA" w:rsidRDefault="004C1E6A" w:rsidP="008877B0">
            <w:pPr>
              <w:rPr>
                <w:sz w:val="20"/>
                <w:szCs w:val="20"/>
              </w:rPr>
            </w:pPr>
            <w:r w:rsidRPr="00F775DA">
              <w:rPr>
                <w:sz w:val="20"/>
                <w:szCs w:val="20"/>
              </w:rPr>
              <w:t>10</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2004</w:t>
            </w:r>
          </w:p>
        </w:tc>
        <w:tc>
          <w:tcPr>
            <w:tcW w:w="1288" w:type="dxa"/>
          </w:tcPr>
          <w:p w:rsidR="004C1E6A" w:rsidRPr="00F775DA" w:rsidRDefault="004C1E6A" w:rsidP="008877B0">
            <w:pPr>
              <w:rPr>
                <w:sz w:val="20"/>
                <w:szCs w:val="20"/>
              </w:rPr>
            </w:pPr>
            <w:r w:rsidRPr="00F775DA">
              <w:rPr>
                <w:sz w:val="20"/>
                <w:szCs w:val="20"/>
              </w:rPr>
              <w:t>67</w:t>
            </w:r>
          </w:p>
        </w:tc>
        <w:tc>
          <w:tcPr>
            <w:tcW w:w="1683" w:type="dxa"/>
          </w:tcPr>
          <w:p w:rsidR="004C1E6A" w:rsidRPr="00F775DA" w:rsidRDefault="004C1E6A" w:rsidP="008877B0">
            <w:pPr>
              <w:rPr>
                <w:sz w:val="20"/>
                <w:szCs w:val="20"/>
              </w:rPr>
            </w:pPr>
            <w:r w:rsidRPr="00F775DA">
              <w:rPr>
                <w:sz w:val="20"/>
                <w:szCs w:val="20"/>
              </w:rPr>
              <w:t>33</w:t>
            </w:r>
          </w:p>
        </w:tc>
        <w:tc>
          <w:tcPr>
            <w:tcW w:w="1369" w:type="dxa"/>
          </w:tcPr>
          <w:p w:rsidR="004C1E6A" w:rsidRPr="00F775DA" w:rsidRDefault="004C1E6A" w:rsidP="008877B0">
            <w:pPr>
              <w:rPr>
                <w:sz w:val="20"/>
                <w:szCs w:val="20"/>
              </w:rPr>
            </w:pPr>
            <w:r w:rsidRPr="00F775DA">
              <w:rPr>
                <w:sz w:val="20"/>
                <w:szCs w:val="20"/>
              </w:rPr>
              <w:t>15</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2005</w:t>
            </w:r>
          </w:p>
        </w:tc>
        <w:tc>
          <w:tcPr>
            <w:tcW w:w="1288" w:type="dxa"/>
          </w:tcPr>
          <w:p w:rsidR="004C1E6A" w:rsidRPr="00F775DA" w:rsidRDefault="004C1E6A" w:rsidP="008877B0">
            <w:pPr>
              <w:rPr>
                <w:sz w:val="20"/>
                <w:szCs w:val="20"/>
              </w:rPr>
            </w:pPr>
            <w:r w:rsidRPr="00F775DA">
              <w:rPr>
                <w:sz w:val="20"/>
                <w:szCs w:val="20"/>
              </w:rPr>
              <w:t>55</w:t>
            </w:r>
          </w:p>
        </w:tc>
        <w:tc>
          <w:tcPr>
            <w:tcW w:w="1683" w:type="dxa"/>
          </w:tcPr>
          <w:p w:rsidR="004C1E6A" w:rsidRPr="00F775DA" w:rsidRDefault="004C1E6A" w:rsidP="008877B0">
            <w:pPr>
              <w:rPr>
                <w:sz w:val="20"/>
                <w:szCs w:val="20"/>
              </w:rPr>
            </w:pPr>
            <w:r w:rsidRPr="00F775DA">
              <w:rPr>
                <w:sz w:val="20"/>
                <w:szCs w:val="20"/>
              </w:rPr>
              <w:t>30</w:t>
            </w:r>
          </w:p>
        </w:tc>
        <w:tc>
          <w:tcPr>
            <w:tcW w:w="1369" w:type="dxa"/>
          </w:tcPr>
          <w:p w:rsidR="004C1E6A" w:rsidRPr="00F775DA" w:rsidRDefault="004C1E6A" w:rsidP="008877B0">
            <w:pPr>
              <w:rPr>
                <w:sz w:val="20"/>
                <w:szCs w:val="20"/>
              </w:rPr>
            </w:pPr>
            <w:r w:rsidRPr="00F775DA">
              <w:rPr>
                <w:sz w:val="20"/>
                <w:szCs w:val="20"/>
              </w:rPr>
              <w:t>9</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2006</w:t>
            </w:r>
          </w:p>
        </w:tc>
        <w:tc>
          <w:tcPr>
            <w:tcW w:w="1288" w:type="dxa"/>
          </w:tcPr>
          <w:p w:rsidR="004C1E6A" w:rsidRPr="00F775DA" w:rsidRDefault="004C1E6A" w:rsidP="008877B0">
            <w:pPr>
              <w:rPr>
                <w:sz w:val="20"/>
                <w:szCs w:val="20"/>
              </w:rPr>
            </w:pPr>
            <w:r w:rsidRPr="00F775DA">
              <w:rPr>
                <w:sz w:val="20"/>
                <w:szCs w:val="20"/>
              </w:rPr>
              <w:t>61</w:t>
            </w:r>
          </w:p>
        </w:tc>
        <w:tc>
          <w:tcPr>
            <w:tcW w:w="1683" w:type="dxa"/>
          </w:tcPr>
          <w:p w:rsidR="004C1E6A" w:rsidRPr="00F775DA" w:rsidRDefault="004C1E6A" w:rsidP="008877B0">
            <w:pPr>
              <w:rPr>
                <w:sz w:val="20"/>
                <w:szCs w:val="20"/>
              </w:rPr>
            </w:pPr>
            <w:r w:rsidRPr="00F775DA">
              <w:rPr>
                <w:sz w:val="20"/>
                <w:szCs w:val="20"/>
              </w:rPr>
              <w:t>30</w:t>
            </w:r>
          </w:p>
        </w:tc>
        <w:tc>
          <w:tcPr>
            <w:tcW w:w="1369" w:type="dxa"/>
          </w:tcPr>
          <w:p w:rsidR="004C1E6A" w:rsidRPr="00F775DA" w:rsidRDefault="004C1E6A" w:rsidP="008877B0">
            <w:pPr>
              <w:rPr>
                <w:sz w:val="20"/>
                <w:szCs w:val="20"/>
              </w:rPr>
            </w:pPr>
            <w:r w:rsidRPr="00F775DA">
              <w:rPr>
                <w:sz w:val="20"/>
                <w:szCs w:val="20"/>
              </w:rPr>
              <w:t>11</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2007</w:t>
            </w:r>
          </w:p>
        </w:tc>
        <w:tc>
          <w:tcPr>
            <w:tcW w:w="1288" w:type="dxa"/>
          </w:tcPr>
          <w:p w:rsidR="004C1E6A" w:rsidRPr="00F775DA" w:rsidRDefault="004C1E6A" w:rsidP="008877B0">
            <w:pPr>
              <w:rPr>
                <w:sz w:val="20"/>
                <w:szCs w:val="20"/>
              </w:rPr>
            </w:pPr>
            <w:r w:rsidRPr="00F775DA">
              <w:rPr>
                <w:sz w:val="20"/>
                <w:szCs w:val="20"/>
              </w:rPr>
              <w:t>55</w:t>
            </w:r>
          </w:p>
        </w:tc>
        <w:tc>
          <w:tcPr>
            <w:tcW w:w="1683" w:type="dxa"/>
          </w:tcPr>
          <w:p w:rsidR="004C1E6A" w:rsidRPr="00F775DA" w:rsidRDefault="004C1E6A" w:rsidP="008877B0">
            <w:pPr>
              <w:rPr>
                <w:sz w:val="20"/>
                <w:szCs w:val="20"/>
              </w:rPr>
            </w:pPr>
            <w:r w:rsidRPr="00F775DA">
              <w:rPr>
                <w:sz w:val="20"/>
                <w:szCs w:val="20"/>
              </w:rPr>
              <w:t>29</w:t>
            </w:r>
          </w:p>
        </w:tc>
        <w:tc>
          <w:tcPr>
            <w:tcW w:w="1369" w:type="dxa"/>
          </w:tcPr>
          <w:p w:rsidR="004C1E6A" w:rsidRPr="00F775DA" w:rsidRDefault="004C1E6A" w:rsidP="008877B0">
            <w:pPr>
              <w:rPr>
                <w:sz w:val="20"/>
                <w:szCs w:val="20"/>
              </w:rPr>
            </w:pPr>
            <w:r w:rsidRPr="00F775DA">
              <w:rPr>
                <w:sz w:val="20"/>
                <w:szCs w:val="20"/>
              </w:rPr>
              <w:t>9</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2008</w:t>
            </w:r>
          </w:p>
        </w:tc>
        <w:tc>
          <w:tcPr>
            <w:tcW w:w="1288" w:type="dxa"/>
          </w:tcPr>
          <w:p w:rsidR="004C1E6A" w:rsidRPr="00F775DA" w:rsidRDefault="004C1E6A" w:rsidP="008877B0">
            <w:pPr>
              <w:rPr>
                <w:sz w:val="20"/>
                <w:szCs w:val="20"/>
              </w:rPr>
            </w:pPr>
            <w:r w:rsidRPr="00F775DA">
              <w:rPr>
                <w:sz w:val="20"/>
                <w:szCs w:val="20"/>
              </w:rPr>
              <w:t>49</w:t>
            </w:r>
          </w:p>
        </w:tc>
        <w:tc>
          <w:tcPr>
            <w:tcW w:w="1683" w:type="dxa"/>
          </w:tcPr>
          <w:p w:rsidR="004C1E6A" w:rsidRPr="00F775DA" w:rsidRDefault="004C1E6A" w:rsidP="008877B0">
            <w:pPr>
              <w:rPr>
                <w:sz w:val="20"/>
                <w:szCs w:val="20"/>
              </w:rPr>
            </w:pPr>
            <w:r w:rsidRPr="00F775DA">
              <w:rPr>
                <w:sz w:val="20"/>
                <w:szCs w:val="20"/>
              </w:rPr>
              <w:t>19</w:t>
            </w:r>
          </w:p>
        </w:tc>
        <w:tc>
          <w:tcPr>
            <w:tcW w:w="1369" w:type="dxa"/>
          </w:tcPr>
          <w:p w:rsidR="004C1E6A" w:rsidRPr="00F775DA" w:rsidRDefault="004C1E6A" w:rsidP="008877B0">
            <w:pPr>
              <w:rPr>
                <w:sz w:val="20"/>
                <w:szCs w:val="20"/>
              </w:rPr>
            </w:pPr>
            <w:r w:rsidRPr="00F775DA">
              <w:rPr>
                <w:sz w:val="20"/>
                <w:szCs w:val="20"/>
              </w:rPr>
              <w:t>14</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2009</w:t>
            </w:r>
          </w:p>
        </w:tc>
        <w:tc>
          <w:tcPr>
            <w:tcW w:w="1288" w:type="dxa"/>
          </w:tcPr>
          <w:p w:rsidR="004C1E6A" w:rsidRPr="00F775DA" w:rsidRDefault="004C1E6A" w:rsidP="008877B0">
            <w:pPr>
              <w:rPr>
                <w:sz w:val="20"/>
                <w:szCs w:val="20"/>
              </w:rPr>
            </w:pPr>
            <w:r w:rsidRPr="00F775DA">
              <w:rPr>
                <w:sz w:val="20"/>
                <w:szCs w:val="20"/>
              </w:rPr>
              <w:t>57</w:t>
            </w:r>
          </w:p>
        </w:tc>
        <w:tc>
          <w:tcPr>
            <w:tcW w:w="1683" w:type="dxa"/>
          </w:tcPr>
          <w:p w:rsidR="004C1E6A" w:rsidRPr="00F775DA" w:rsidRDefault="004C1E6A" w:rsidP="008877B0">
            <w:pPr>
              <w:rPr>
                <w:sz w:val="20"/>
                <w:szCs w:val="20"/>
              </w:rPr>
            </w:pPr>
            <w:r w:rsidRPr="00F775DA">
              <w:rPr>
                <w:sz w:val="20"/>
                <w:szCs w:val="20"/>
              </w:rPr>
              <w:t>24</w:t>
            </w:r>
          </w:p>
        </w:tc>
        <w:tc>
          <w:tcPr>
            <w:tcW w:w="1369" w:type="dxa"/>
          </w:tcPr>
          <w:p w:rsidR="004C1E6A" w:rsidRPr="00F775DA" w:rsidRDefault="004C1E6A" w:rsidP="008877B0">
            <w:pPr>
              <w:rPr>
                <w:sz w:val="20"/>
                <w:szCs w:val="20"/>
              </w:rPr>
            </w:pPr>
            <w:r w:rsidRPr="00F775DA">
              <w:rPr>
                <w:sz w:val="20"/>
                <w:szCs w:val="20"/>
              </w:rPr>
              <w:t>9</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2000-2009</w:t>
            </w: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563</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280</w:t>
            </w:r>
            <w:r w:rsidRPr="00F775DA">
              <w:rPr>
                <w:sz w:val="20"/>
                <w:szCs w:val="20"/>
              </w:rPr>
              <w:fldChar w:fldCharType="end"/>
            </w:r>
          </w:p>
        </w:tc>
        <w:tc>
          <w:tcPr>
            <w:tcW w:w="1369"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111</w:t>
            </w:r>
            <w:r w:rsidRPr="00F775DA">
              <w:rPr>
                <w:sz w:val="20"/>
                <w:szCs w:val="20"/>
              </w:rPr>
              <w:fldChar w:fldCharType="end"/>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p>
        </w:tc>
        <w:tc>
          <w:tcPr>
            <w:tcW w:w="1288" w:type="dxa"/>
          </w:tcPr>
          <w:p w:rsidR="004C1E6A" w:rsidRPr="00F775DA" w:rsidRDefault="004C1E6A" w:rsidP="008877B0">
            <w:pPr>
              <w:rPr>
                <w:b/>
                <w:sz w:val="20"/>
                <w:szCs w:val="20"/>
              </w:rPr>
            </w:pPr>
          </w:p>
        </w:tc>
        <w:tc>
          <w:tcPr>
            <w:tcW w:w="1683" w:type="dxa"/>
          </w:tcPr>
          <w:p w:rsidR="004C1E6A" w:rsidRPr="00F775DA" w:rsidRDefault="004C1E6A" w:rsidP="008877B0">
            <w:pPr>
              <w:rPr>
                <w:b/>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r w:rsidRPr="00F775DA">
              <w:rPr>
                <w:b/>
                <w:sz w:val="20"/>
                <w:szCs w:val="20"/>
              </w:rPr>
              <w:t>Peripheral NC:</w:t>
            </w:r>
          </w:p>
        </w:tc>
        <w:tc>
          <w:tcPr>
            <w:tcW w:w="1288" w:type="dxa"/>
          </w:tcPr>
          <w:p w:rsidR="004C1E6A" w:rsidRPr="00F775DA" w:rsidRDefault="004C1E6A" w:rsidP="008877B0">
            <w:pPr>
              <w:rPr>
                <w:b/>
                <w:sz w:val="20"/>
                <w:szCs w:val="20"/>
              </w:rPr>
            </w:pPr>
            <w:r w:rsidRPr="00F775DA">
              <w:rPr>
                <w:b/>
                <w:sz w:val="20"/>
                <w:szCs w:val="20"/>
              </w:rPr>
              <w:t>Total</w:t>
            </w:r>
          </w:p>
        </w:tc>
        <w:tc>
          <w:tcPr>
            <w:tcW w:w="1683" w:type="dxa"/>
          </w:tcPr>
          <w:p w:rsidR="004C1E6A" w:rsidRPr="00F775DA" w:rsidRDefault="004C1E6A" w:rsidP="008877B0">
            <w:pPr>
              <w:rPr>
                <w:b/>
                <w:sz w:val="20"/>
                <w:szCs w:val="20"/>
              </w:rPr>
            </w:pPr>
            <w:proofErr w:type="spellStart"/>
            <w:r w:rsidRPr="00F775DA">
              <w:rPr>
                <w:b/>
                <w:sz w:val="20"/>
                <w:szCs w:val="20"/>
              </w:rPr>
              <w:t>Neuroblastoma</w:t>
            </w:r>
            <w:proofErr w:type="spellEnd"/>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w:t>
            </w:r>
          </w:p>
        </w:tc>
        <w:tc>
          <w:tcPr>
            <w:tcW w:w="1288" w:type="dxa"/>
          </w:tcPr>
          <w:p w:rsidR="004C1E6A" w:rsidRPr="00F775DA" w:rsidRDefault="004C1E6A" w:rsidP="008877B0">
            <w:pPr>
              <w:rPr>
                <w:sz w:val="20"/>
                <w:szCs w:val="20"/>
              </w:rPr>
            </w:pPr>
            <w:r w:rsidRPr="00F775DA">
              <w:rPr>
                <w:sz w:val="20"/>
                <w:szCs w:val="20"/>
              </w:rPr>
              <w:t>23</w:t>
            </w:r>
          </w:p>
        </w:tc>
        <w:tc>
          <w:tcPr>
            <w:tcW w:w="1683" w:type="dxa"/>
          </w:tcPr>
          <w:p w:rsidR="004C1E6A" w:rsidRPr="00F775DA" w:rsidRDefault="004C1E6A" w:rsidP="008877B0">
            <w:pPr>
              <w:rPr>
                <w:sz w:val="20"/>
                <w:szCs w:val="20"/>
              </w:rPr>
            </w:pPr>
            <w:r w:rsidRPr="00F775DA">
              <w:rPr>
                <w:sz w:val="20"/>
                <w:szCs w:val="20"/>
              </w:rPr>
              <w:t>23</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2001</w:t>
            </w:r>
          </w:p>
        </w:tc>
        <w:tc>
          <w:tcPr>
            <w:tcW w:w="1288" w:type="dxa"/>
          </w:tcPr>
          <w:p w:rsidR="004C1E6A" w:rsidRPr="00F775DA" w:rsidRDefault="004C1E6A" w:rsidP="008877B0">
            <w:pPr>
              <w:rPr>
                <w:sz w:val="20"/>
                <w:szCs w:val="20"/>
              </w:rPr>
            </w:pPr>
            <w:r w:rsidRPr="00F775DA">
              <w:rPr>
                <w:sz w:val="20"/>
                <w:szCs w:val="20"/>
              </w:rPr>
              <w:t>23</w:t>
            </w:r>
          </w:p>
        </w:tc>
        <w:tc>
          <w:tcPr>
            <w:tcW w:w="1683" w:type="dxa"/>
          </w:tcPr>
          <w:p w:rsidR="004C1E6A" w:rsidRPr="00F775DA" w:rsidRDefault="004C1E6A" w:rsidP="008877B0">
            <w:pPr>
              <w:rPr>
                <w:sz w:val="20"/>
                <w:szCs w:val="20"/>
              </w:rPr>
            </w:pPr>
            <w:r w:rsidRPr="00F775DA">
              <w:rPr>
                <w:sz w:val="20"/>
                <w:szCs w:val="20"/>
              </w:rPr>
              <w:t>22</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2002</w:t>
            </w:r>
          </w:p>
        </w:tc>
        <w:tc>
          <w:tcPr>
            <w:tcW w:w="1288" w:type="dxa"/>
          </w:tcPr>
          <w:p w:rsidR="004C1E6A" w:rsidRPr="00F775DA" w:rsidRDefault="004C1E6A" w:rsidP="008877B0">
            <w:pPr>
              <w:rPr>
                <w:sz w:val="20"/>
                <w:szCs w:val="20"/>
              </w:rPr>
            </w:pPr>
            <w:r w:rsidRPr="00F775DA">
              <w:rPr>
                <w:sz w:val="20"/>
                <w:szCs w:val="20"/>
              </w:rPr>
              <w:t>20</w:t>
            </w:r>
          </w:p>
        </w:tc>
        <w:tc>
          <w:tcPr>
            <w:tcW w:w="1683" w:type="dxa"/>
          </w:tcPr>
          <w:p w:rsidR="004C1E6A" w:rsidRPr="00F775DA" w:rsidRDefault="004C1E6A" w:rsidP="008877B0">
            <w:pPr>
              <w:rPr>
                <w:sz w:val="20"/>
                <w:szCs w:val="20"/>
              </w:rPr>
            </w:pPr>
            <w:r w:rsidRPr="00F775DA">
              <w:rPr>
                <w:sz w:val="20"/>
                <w:szCs w:val="20"/>
              </w:rPr>
              <w:t>20</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2003</w:t>
            </w:r>
          </w:p>
        </w:tc>
        <w:tc>
          <w:tcPr>
            <w:tcW w:w="1288" w:type="dxa"/>
          </w:tcPr>
          <w:p w:rsidR="004C1E6A" w:rsidRPr="00F775DA" w:rsidRDefault="004C1E6A" w:rsidP="008877B0">
            <w:pPr>
              <w:rPr>
                <w:sz w:val="20"/>
                <w:szCs w:val="20"/>
              </w:rPr>
            </w:pPr>
            <w:r w:rsidRPr="00F775DA">
              <w:rPr>
                <w:sz w:val="20"/>
                <w:szCs w:val="20"/>
              </w:rPr>
              <w:t>19</w:t>
            </w:r>
          </w:p>
        </w:tc>
        <w:tc>
          <w:tcPr>
            <w:tcW w:w="1683" w:type="dxa"/>
          </w:tcPr>
          <w:p w:rsidR="004C1E6A" w:rsidRPr="00F775DA" w:rsidRDefault="004C1E6A" w:rsidP="008877B0">
            <w:pPr>
              <w:rPr>
                <w:sz w:val="20"/>
                <w:szCs w:val="20"/>
              </w:rPr>
            </w:pPr>
            <w:r w:rsidRPr="00F775DA">
              <w:rPr>
                <w:sz w:val="20"/>
                <w:szCs w:val="20"/>
              </w:rPr>
              <w:t>19</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2004</w:t>
            </w:r>
          </w:p>
        </w:tc>
        <w:tc>
          <w:tcPr>
            <w:tcW w:w="1288" w:type="dxa"/>
          </w:tcPr>
          <w:p w:rsidR="004C1E6A" w:rsidRPr="00F775DA" w:rsidRDefault="004C1E6A" w:rsidP="008877B0">
            <w:pPr>
              <w:rPr>
                <w:sz w:val="20"/>
                <w:szCs w:val="20"/>
              </w:rPr>
            </w:pPr>
            <w:r w:rsidRPr="00F775DA">
              <w:rPr>
                <w:sz w:val="20"/>
                <w:szCs w:val="20"/>
              </w:rPr>
              <w:t>15</w:t>
            </w:r>
          </w:p>
        </w:tc>
        <w:tc>
          <w:tcPr>
            <w:tcW w:w="1683" w:type="dxa"/>
          </w:tcPr>
          <w:p w:rsidR="004C1E6A" w:rsidRPr="00F775DA" w:rsidRDefault="004C1E6A" w:rsidP="008877B0">
            <w:pPr>
              <w:rPr>
                <w:sz w:val="20"/>
                <w:szCs w:val="20"/>
              </w:rPr>
            </w:pPr>
            <w:r w:rsidRPr="00F775DA">
              <w:rPr>
                <w:sz w:val="20"/>
                <w:szCs w:val="20"/>
              </w:rPr>
              <w:t>15</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2005</w:t>
            </w:r>
          </w:p>
        </w:tc>
        <w:tc>
          <w:tcPr>
            <w:tcW w:w="1288" w:type="dxa"/>
          </w:tcPr>
          <w:p w:rsidR="004C1E6A" w:rsidRPr="00F775DA" w:rsidRDefault="004C1E6A" w:rsidP="008877B0">
            <w:pPr>
              <w:rPr>
                <w:sz w:val="20"/>
                <w:szCs w:val="20"/>
              </w:rPr>
            </w:pPr>
            <w:r w:rsidRPr="00F775DA">
              <w:rPr>
                <w:sz w:val="20"/>
                <w:szCs w:val="20"/>
              </w:rPr>
              <w:t>9</w:t>
            </w:r>
          </w:p>
        </w:tc>
        <w:tc>
          <w:tcPr>
            <w:tcW w:w="1683" w:type="dxa"/>
          </w:tcPr>
          <w:p w:rsidR="004C1E6A" w:rsidRPr="00F775DA" w:rsidRDefault="004C1E6A" w:rsidP="008877B0">
            <w:pPr>
              <w:rPr>
                <w:sz w:val="20"/>
                <w:szCs w:val="20"/>
              </w:rPr>
            </w:pPr>
            <w:r w:rsidRPr="00F775DA">
              <w:rPr>
                <w:sz w:val="20"/>
                <w:szCs w:val="20"/>
              </w:rPr>
              <w:t>8</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2006</w:t>
            </w:r>
          </w:p>
        </w:tc>
        <w:tc>
          <w:tcPr>
            <w:tcW w:w="1288" w:type="dxa"/>
          </w:tcPr>
          <w:p w:rsidR="004C1E6A" w:rsidRPr="00F775DA" w:rsidRDefault="004C1E6A" w:rsidP="008877B0">
            <w:pPr>
              <w:rPr>
                <w:sz w:val="20"/>
                <w:szCs w:val="20"/>
              </w:rPr>
            </w:pPr>
            <w:r w:rsidRPr="00F775DA">
              <w:rPr>
                <w:sz w:val="20"/>
                <w:szCs w:val="20"/>
              </w:rPr>
              <w:t>20</w:t>
            </w:r>
          </w:p>
        </w:tc>
        <w:tc>
          <w:tcPr>
            <w:tcW w:w="1683" w:type="dxa"/>
          </w:tcPr>
          <w:p w:rsidR="004C1E6A" w:rsidRPr="00F775DA" w:rsidRDefault="004C1E6A" w:rsidP="008877B0">
            <w:pPr>
              <w:rPr>
                <w:sz w:val="20"/>
                <w:szCs w:val="20"/>
              </w:rPr>
            </w:pPr>
            <w:r w:rsidRPr="00F775DA">
              <w:rPr>
                <w:sz w:val="20"/>
                <w:szCs w:val="20"/>
              </w:rPr>
              <w:t>20</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2007</w:t>
            </w:r>
          </w:p>
        </w:tc>
        <w:tc>
          <w:tcPr>
            <w:tcW w:w="1288" w:type="dxa"/>
          </w:tcPr>
          <w:p w:rsidR="004C1E6A" w:rsidRPr="00F775DA" w:rsidRDefault="004C1E6A" w:rsidP="008877B0">
            <w:pPr>
              <w:rPr>
                <w:sz w:val="20"/>
                <w:szCs w:val="20"/>
              </w:rPr>
            </w:pPr>
            <w:r w:rsidRPr="00F775DA">
              <w:rPr>
                <w:sz w:val="20"/>
                <w:szCs w:val="20"/>
              </w:rPr>
              <w:t>27</w:t>
            </w:r>
          </w:p>
        </w:tc>
        <w:tc>
          <w:tcPr>
            <w:tcW w:w="1683" w:type="dxa"/>
          </w:tcPr>
          <w:p w:rsidR="004C1E6A" w:rsidRPr="00F775DA" w:rsidRDefault="004C1E6A" w:rsidP="008877B0">
            <w:pPr>
              <w:rPr>
                <w:sz w:val="20"/>
                <w:szCs w:val="20"/>
              </w:rPr>
            </w:pPr>
            <w:r w:rsidRPr="00F775DA">
              <w:rPr>
                <w:sz w:val="20"/>
                <w:szCs w:val="20"/>
              </w:rPr>
              <w:t>27</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2008</w:t>
            </w:r>
          </w:p>
        </w:tc>
        <w:tc>
          <w:tcPr>
            <w:tcW w:w="1288" w:type="dxa"/>
          </w:tcPr>
          <w:p w:rsidR="004C1E6A" w:rsidRPr="00F775DA" w:rsidRDefault="004C1E6A" w:rsidP="008877B0">
            <w:pPr>
              <w:rPr>
                <w:sz w:val="20"/>
                <w:szCs w:val="20"/>
              </w:rPr>
            </w:pPr>
            <w:r w:rsidRPr="00F775DA">
              <w:rPr>
                <w:sz w:val="20"/>
                <w:szCs w:val="20"/>
              </w:rPr>
              <w:t>19</w:t>
            </w:r>
          </w:p>
        </w:tc>
        <w:tc>
          <w:tcPr>
            <w:tcW w:w="1683" w:type="dxa"/>
          </w:tcPr>
          <w:p w:rsidR="004C1E6A" w:rsidRPr="00F775DA" w:rsidRDefault="004C1E6A" w:rsidP="008877B0">
            <w:pPr>
              <w:rPr>
                <w:sz w:val="20"/>
                <w:szCs w:val="20"/>
              </w:rPr>
            </w:pPr>
            <w:r w:rsidRPr="00F775DA">
              <w:rPr>
                <w:sz w:val="20"/>
                <w:szCs w:val="20"/>
              </w:rPr>
              <w:t>19</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2009</w:t>
            </w:r>
          </w:p>
        </w:tc>
        <w:tc>
          <w:tcPr>
            <w:tcW w:w="1288" w:type="dxa"/>
          </w:tcPr>
          <w:p w:rsidR="004C1E6A" w:rsidRPr="00F775DA" w:rsidRDefault="004C1E6A" w:rsidP="008877B0">
            <w:pPr>
              <w:rPr>
                <w:sz w:val="20"/>
                <w:szCs w:val="20"/>
              </w:rPr>
            </w:pPr>
            <w:r w:rsidRPr="00F775DA">
              <w:rPr>
                <w:sz w:val="20"/>
                <w:szCs w:val="20"/>
              </w:rPr>
              <w:t>20</w:t>
            </w:r>
          </w:p>
        </w:tc>
        <w:tc>
          <w:tcPr>
            <w:tcW w:w="1683" w:type="dxa"/>
          </w:tcPr>
          <w:p w:rsidR="004C1E6A" w:rsidRPr="00F775DA" w:rsidRDefault="004C1E6A" w:rsidP="008877B0">
            <w:pPr>
              <w:rPr>
                <w:sz w:val="20"/>
                <w:szCs w:val="20"/>
              </w:rPr>
            </w:pPr>
            <w:r w:rsidRPr="00F775DA">
              <w:rPr>
                <w:sz w:val="20"/>
                <w:szCs w:val="20"/>
              </w:rPr>
              <w:t>20</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2000-2009</w:t>
            </w: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195</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193</w:t>
            </w:r>
            <w:r w:rsidRPr="00F775DA">
              <w:rPr>
                <w:sz w:val="20"/>
                <w:szCs w:val="20"/>
              </w:rPr>
              <w:fldChar w:fldCharType="end"/>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p>
        </w:tc>
        <w:tc>
          <w:tcPr>
            <w:tcW w:w="1288" w:type="dxa"/>
          </w:tcPr>
          <w:p w:rsidR="004C1E6A" w:rsidRPr="00F775DA" w:rsidRDefault="004C1E6A" w:rsidP="008877B0">
            <w:pPr>
              <w:rPr>
                <w:b/>
                <w:sz w:val="20"/>
                <w:szCs w:val="20"/>
              </w:rPr>
            </w:pP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r w:rsidRPr="00F775DA">
              <w:rPr>
                <w:b/>
                <w:sz w:val="20"/>
                <w:szCs w:val="20"/>
              </w:rPr>
              <w:t>Renal Tumors:</w:t>
            </w:r>
          </w:p>
        </w:tc>
        <w:tc>
          <w:tcPr>
            <w:tcW w:w="1288" w:type="dxa"/>
          </w:tcPr>
          <w:p w:rsidR="004C1E6A" w:rsidRPr="00F775DA" w:rsidRDefault="004C1E6A" w:rsidP="008877B0">
            <w:pPr>
              <w:rPr>
                <w:b/>
                <w:sz w:val="20"/>
                <w:szCs w:val="20"/>
              </w:rPr>
            </w:pPr>
          </w:p>
        </w:tc>
        <w:tc>
          <w:tcPr>
            <w:tcW w:w="1683" w:type="dxa"/>
          </w:tcPr>
          <w:p w:rsidR="004C1E6A" w:rsidRPr="00F775DA" w:rsidRDefault="004C1E6A" w:rsidP="00A34944">
            <w:pPr>
              <w:rPr>
                <w:b/>
                <w:sz w:val="20"/>
                <w:szCs w:val="20"/>
              </w:rPr>
            </w:pPr>
            <w:r w:rsidRPr="00F775DA">
              <w:rPr>
                <w:b/>
                <w:sz w:val="20"/>
                <w:szCs w:val="20"/>
              </w:rPr>
              <w:t>Bone Tumors:</w:t>
            </w:r>
          </w:p>
        </w:tc>
        <w:tc>
          <w:tcPr>
            <w:tcW w:w="1369" w:type="dxa"/>
          </w:tcPr>
          <w:p w:rsidR="004C1E6A" w:rsidRPr="00F775DA" w:rsidRDefault="004C1E6A" w:rsidP="00A34944">
            <w:pPr>
              <w:rPr>
                <w:sz w:val="20"/>
                <w:szCs w:val="20"/>
              </w:rPr>
            </w:pPr>
          </w:p>
        </w:tc>
        <w:tc>
          <w:tcPr>
            <w:tcW w:w="1283" w:type="dxa"/>
          </w:tcPr>
          <w:p w:rsidR="004C1E6A" w:rsidRPr="00F775DA" w:rsidRDefault="004C1E6A" w:rsidP="00A34944">
            <w:pPr>
              <w:rPr>
                <w:b/>
                <w:sz w:val="20"/>
                <w:szCs w:val="20"/>
              </w:rPr>
            </w:pPr>
            <w:r w:rsidRPr="00F775DA">
              <w:rPr>
                <w:b/>
                <w:sz w:val="20"/>
                <w:szCs w:val="20"/>
              </w:rPr>
              <w:t>Soft Tissue:</w:t>
            </w:r>
          </w:p>
        </w:tc>
        <w:tc>
          <w:tcPr>
            <w:tcW w:w="1776" w:type="dxa"/>
          </w:tcPr>
          <w:p w:rsidR="004C1E6A" w:rsidRPr="00F775DA" w:rsidRDefault="004C1E6A" w:rsidP="00A34944">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w:t>
            </w:r>
          </w:p>
        </w:tc>
        <w:tc>
          <w:tcPr>
            <w:tcW w:w="1288" w:type="dxa"/>
          </w:tcPr>
          <w:p w:rsidR="004C1E6A" w:rsidRPr="00F775DA" w:rsidRDefault="004C1E6A" w:rsidP="008877B0">
            <w:pPr>
              <w:rPr>
                <w:sz w:val="20"/>
                <w:szCs w:val="20"/>
              </w:rPr>
            </w:pPr>
            <w:r w:rsidRPr="00F775DA">
              <w:rPr>
                <w:sz w:val="20"/>
                <w:szCs w:val="20"/>
              </w:rPr>
              <w:t>14</w:t>
            </w:r>
          </w:p>
        </w:tc>
        <w:tc>
          <w:tcPr>
            <w:tcW w:w="1683" w:type="dxa"/>
          </w:tcPr>
          <w:p w:rsidR="004C1E6A" w:rsidRPr="00F775DA" w:rsidRDefault="004C1E6A" w:rsidP="00A34944">
            <w:pPr>
              <w:rPr>
                <w:sz w:val="20"/>
                <w:szCs w:val="20"/>
              </w:rPr>
            </w:pPr>
            <w:r w:rsidRPr="00F775DA">
              <w:rPr>
                <w:sz w:val="20"/>
                <w:szCs w:val="20"/>
              </w:rPr>
              <w:t>2000</w:t>
            </w:r>
          </w:p>
        </w:tc>
        <w:tc>
          <w:tcPr>
            <w:tcW w:w="1369" w:type="dxa"/>
          </w:tcPr>
          <w:p w:rsidR="004C1E6A" w:rsidRPr="00F775DA" w:rsidRDefault="004C1E6A" w:rsidP="00A34944">
            <w:pPr>
              <w:rPr>
                <w:sz w:val="20"/>
                <w:szCs w:val="20"/>
              </w:rPr>
            </w:pPr>
            <w:r w:rsidRPr="00F775DA">
              <w:rPr>
                <w:sz w:val="20"/>
                <w:szCs w:val="20"/>
              </w:rPr>
              <w:t>15</w:t>
            </w:r>
          </w:p>
        </w:tc>
        <w:tc>
          <w:tcPr>
            <w:tcW w:w="1283" w:type="dxa"/>
          </w:tcPr>
          <w:p w:rsidR="004C1E6A" w:rsidRPr="00F775DA" w:rsidRDefault="004C1E6A" w:rsidP="00A34944">
            <w:pPr>
              <w:rPr>
                <w:sz w:val="20"/>
                <w:szCs w:val="20"/>
              </w:rPr>
            </w:pPr>
            <w:r w:rsidRPr="00F775DA">
              <w:rPr>
                <w:sz w:val="20"/>
                <w:szCs w:val="20"/>
              </w:rPr>
              <w:t>2000</w:t>
            </w:r>
          </w:p>
        </w:tc>
        <w:tc>
          <w:tcPr>
            <w:tcW w:w="1776" w:type="dxa"/>
          </w:tcPr>
          <w:p w:rsidR="004C1E6A" w:rsidRPr="00F775DA" w:rsidRDefault="004C1E6A" w:rsidP="00A34944">
            <w:pPr>
              <w:rPr>
                <w:sz w:val="20"/>
                <w:szCs w:val="20"/>
              </w:rPr>
            </w:pPr>
            <w:r w:rsidRPr="00F775DA">
              <w:rPr>
                <w:sz w:val="20"/>
                <w:szCs w:val="20"/>
              </w:rPr>
              <w:t>22</w:t>
            </w:r>
          </w:p>
        </w:tc>
      </w:tr>
      <w:tr w:rsidR="004C1E6A" w:rsidRPr="00F775DA" w:rsidTr="00F775DA">
        <w:tc>
          <w:tcPr>
            <w:tcW w:w="2008" w:type="dxa"/>
          </w:tcPr>
          <w:p w:rsidR="004C1E6A" w:rsidRPr="00F775DA" w:rsidRDefault="004C1E6A" w:rsidP="008877B0">
            <w:pPr>
              <w:rPr>
                <w:sz w:val="20"/>
                <w:szCs w:val="20"/>
              </w:rPr>
            </w:pPr>
            <w:r w:rsidRPr="00F775DA">
              <w:rPr>
                <w:sz w:val="20"/>
                <w:szCs w:val="20"/>
              </w:rPr>
              <w:t>2001</w:t>
            </w:r>
          </w:p>
        </w:tc>
        <w:tc>
          <w:tcPr>
            <w:tcW w:w="1288" w:type="dxa"/>
          </w:tcPr>
          <w:p w:rsidR="004C1E6A" w:rsidRPr="00F775DA" w:rsidRDefault="004C1E6A" w:rsidP="008877B0">
            <w:pPr>
              <w:rPr>
                <w:sz w:val="20"/>
                <w:szCs w:val="20"/>
              </w:rPr>
            </w:pPr>
            <w:r w:rsidRPr="00F775DA">
              <w:rPr>
                <w:sz w:val="20"/>
                <w:szCs w:val="20"/>
              </w:rPr>
              <w:t>10</w:t>
            </w:r>
          </w:p>
        </w:tc>
        <w:tc>
          <w:tcPr>
            <w:tcW w:w="1683" w:type="dxa"/>
          </w:tcPr>
          <w:p w:rsidR="004C1E6A" w:rsidRPr="00F775DA" w:rsidRDefault="004C1E6A" w:rsidP="00A34944">
            <w:pPr>
              <w:rPr>
                <w:sz w:val="20"/>
                <w:szCs w:val="20"/>
              </w:rPr>
            </w:pPr>
            <w:r w:rsidRPr="00F775DA">
              <w:rPr>
                <w:sz w:val="20"/>
                <w:szCs w:val="20"/>
              </w:rPr>
              <w:t>2001</w:t>
            </w:r>
          </w:p>
        </w:tc>
        <w:tc>
          <w:tcPr>
            <w:tcW w:w="1369" w:type="dxa"/>
          </w:tcPr>
          <w:p w:rsidR="004C1E6A" w:rsidRPr="00F775DA" w:rsidRDefault="004C1E6A" w:rsidP="00A34944">
            <w:pPr>
              <w:rPr>
                <w:sz w:val="20"/>
                <w:szCs w:val="20"/>
              </w:rPr>
            </w:pPr>
            <w:r w:rsidRPr="00F775DA">
              <w:rPr>
                <w:sz w:val="20"/>
                <w:szCs w:val="20"/>
              </w:rPr>
              <w:t>8</w:t>
            </w:r>
          </w:p>
        </w:tc>
        <w:tc>
          <w:tcPr>
            <w:tcW w:w="1283" w:type="dxa"/>
          </w:tcPr>
          <w:p w:rsidR="004C1E6A" w:rsidRPr="00F775DA" w:rsidRDefault="004C1E6A" w:rsidP="00A34944">
            <w:pPr>
              <w:rPr>
                <w:sz w:val="20"/>
                <w:szCs w:val="20"/>
              </w:rPr>
            </w:pPr>
            <w:r w:rsidRPr="00F775DA">
              <w:rPr>
                <w:sz w:val="20"/>
                <w:szCs w:val="20"/>
              </w:rPr>
              <w:t>2001</w:t>
            </w:r>
          </w:p>
        </w:tc>
        <w:tc>
          <w:tcPr>
            <w:tcW w:w="1776" w:type="dxa"/>
          </w:tcPr>
          <w:p w:rsidR="004C1E6A" w:rsidRPr="00F775DA" w:rsidRDefault="004C1E6A" w:rsidP="00A34944">
            <w:pPr>
              <w:rPr>
                <w:sz w:val="20"/>
                <w:szCs w:val="20"/>
              </w:rPr>
            </w:pPr>
            <w:r w:rsidRPr="00F775DA">
              <w:rPr>
                <w:sz w:val="20"/>
                <w:szCs w:val="20"/>
              </w:rPr>
              <w:t>21</w:t>
            </w:r>
          </w:p>
        </w:tc>
      </w:tr>
      <w:tr w:rsidR="004C1E6A" w:rsidRPr="00F775DA" w:rsidTr="00F775DA">
        <w:tc>
          <w:tcPr>
            <w:tcW w:w="2008" w:type="dxa"/>
          </w:tcPr>
          <w:p w:rsidR="004C1E6A" w:rsidRPr="00F775DA" w:rsidRDefault="004C1E6A" w:rsidP="008877B0">
            <w:pPr>
              <w:rPr>
                <w:sz w:val="20"/>
                <w:szCs w:val="20"/>
              </w:rPr>
            </w:pPr>
            <w:r w:rsidRPr="00F775DA">
              <w:rPr>
                <w:sz w:val="20"/>
                <w:szCs w:val="20"/>
              </w:rPr>
              <w:t>2002</w:t>
            </w:r>
          </w:p>
        </w:tc>
        <w:tc>
          <w:tcPr>
            <w:tcW w:w="1288" w:type="dxa"/>
          </w:tcPr>
          <w:p w:rsidR="004C1E6A" w:rsidRPr="00F775DA" w:rsidRDefault="004C1E6A" w:rsidP="008877B0">
            <w:pPr>
              <w:rPr>
                <w:sz w:val="20"/>
                <w:szCs w:val="20"/>
              </w:rPr>
            </w:pPr>
            <w:r w:rsidRPr="00F775DA">
              <w:rPr>
                <w:sz w:val="20"/>
                <w:szCs w:val="20"/>
              </w:rPr>
              <w:t>10</w:t>
            </w:r>
          </w:p>
        </w:tc>
        <w:tc>
          <w:tcPr>
            <w:tcW w:w="1683" w:type="dxa"/>
          </w:tcPr>
          <w:p w:rsidR="004C1E6A" w:rsidRPr="00F775DA" w:rsidRDefault="004C1E6A" w:rsidP="00A34944">
            <w:pPr>
              <w:rPr>
                <w:sz w:val="20"/>
                <w:szCs w:val="20"/>
              </w:rPr>
            </w:pPr>
            <w:r w:rsidRPr="00F775DA">
              <w:rPr>
                <w:sz w:val="20"/>
                <w:szCs w:val="20"/>
              </w:rPr>
              <w:t>2002</w:t>
            </w:r>
          </w:p>
        </w:tc>
        <w:tc>
          <w:tcPr>
            <w:tcW w:w="1369" w:type="dxa"/>
          </w:tcPr>
          <w:p w:rsidR="004C1E6A" w:rsidRPr="00F775DA" w:rsidRDefault="004C1E6A" w:rsidP="00A34944">
            <w:pPr>
              <w:rPr>
                <w:sz w:val="20"/>
                <w:szCs w:val="20"/>
              </w:rPr>
            </w:pPr>
            <w:r w:rsidRPr="00F775DA">
              <w:rPr>
                <w:sz w:val="20"/>
                <w:szCs w:val="20"/>
              </w:rPr>
              <w:t>11</w:t>
            </w:r>
          </w:p>
        </w:tc>
        <w:tc>
          <w:tcPr>
            <w:tcW w:w="1283" w:type="dxa"/>
          </w:tcPr>
          <w:p w:rsidR="004C1E6A" w:rsidRPr="00F775DA" w:rsidRDefault="004C1E6A" w:rsidP="00A34944">
            <w:pPr>
              <w:rPr>
                <w:sz w:val="20"/>
                <w:szCs w:val="20"/>
              </w:rPr>
            </w:pPr>
            <w:r w:rsidRPr="00F775DA">
              <w:rPr>
                <w:sz w:val="20"/>
                <w:szCs w:val="20"/>
              </w:rPr>
              <w:t>2002</w:t>
            </w:r>
          </w:p>
        </w:tc>
        <w:tc>
          <w:tcPr>
            <w:tcW w:w="1776" w:type="dxa"/>
          </w:tcPr>
          <w:p w:rsidR="004C1E6A" w:rsidRPr="00F775DA" w:rsidRDefault="004C1E6A" w:rsidP="00A34944">
            <w:pPr>
              <w:rPr>
                <w:sz w:val="20"/>
                <w:szCs w:val="20"/>
              </w:rPr>
            </w:pPr>
            <w:r w:rsidRPr="00F775DA">
              <w:rPr>
                <w:sz w:val="20"/>
                <w:szCs w:val="20"/>
              </w:rPr>
              <w:t>19</w:t>
            </w:r>
          </w:p>
        </w:tc>
      </w:tr>
      <w:tr w:rsidR="004C1E6A" w:rsidRPr="00F775DA" w:rsidTr="00F775DA">
        <w:tc>
          <w:tcPr>
            <w:tcW w:w="2008" w:type="dxa"/>
          </w:tcPr>
          <w:p w:rsidR="004C1E6A" w:rsidRPr="00F775DA" w:rsidRDefault="004C1E6A" w:rsidP="008877B0">
            <w:pPr>
              <w:rPr>
                <w:sz w:val="20"/>
                <w:szCs w:val="20"/>
              </w:rPr>
            </w:pPr>
            <w:r w:rsidRPr="00F775DA">
              <w:rPr>
                <w:sz w:val="20"/>
                <w:szCs w:val="20"/>
              </w:rPr>
              <w:t>2003</w:t>
            </w:r>
          </w:p>
        </w:tc>
        <w:tc>
          <w:tcPr>
            <w:tcW w:w="1288" w:type="dxa"/>
          </w:tcPr>
          <w:p w:rsidR="004C1E6A" w:rsidRPr="00F775DA" w:rsidRDefault="004C1E6A" w:rsidP="008877B0">
            <w:pPr>
              <w:rPr>
                <w:sz w:val="20"/>
                <w:szCs w:val="20"/>
              </w:rPr>
            </w:pPr>
            <w:r w:rsidRPr="00F775DA">
              <w:rPr>
                <w:sz w:val="20"/>
                <w:szCs w:val="20"/>
              </w:rPr>
              <w:t>16</w:t>
            </w:r>
          </w:p>
        </w:tc>
        <w:tc>
          <w:tcPr>
            <w:tcW w:w="1683" w:type="dxa"/>
          </w:tcPr>
          <w:p w:rsidR="004C1E6A" w:rsidRPr="00F775DA" w:rsidRDefault="004C1E6A" w:rsidP="00A34944">
            <w:pPr>
              <w:rPr>
                <w:sz w:val="20"/>
                <w:szCs w:val="20"/>
              </w:rPr>
            </w:pPr>
            <w:r w:rsidRPr="00F775DA">
              <w:rPr>
                <w:sz w:val="20"/>
                <w:szCs w:val="20"/>
              </w:rPr>
              <w:t>2003</w:t>
            </w:r>
          </w:p>
        </w:tc>
        <w:tc>
          <w:tcPr>
            <w:tcW w:w="1369" w:type="dxa"/>
          </w:tcPr>
          <w:p w:rsidR="004C1E6A" w:rsidRPr="00F775DA" w:rsidRDefault="004C1E6A" w:rsidP="00A34944">
            <w:pPr>
              <w:rPr>
                <w:sz w:val="20"/>
                <w:szCs w:val="20"/>
              </w:rPr>
            </w:pPr>
            <w:r w:rsidRPr="00F775DA">
              <w:rPr>
                <w:sz w:val="20"/>
                <w:szCs w:val="20"/>
              </w:rPr>
              <w:t>15</w:t>
            </w:r>
          </w:p>
        </w:tc>
        <w:tc>
          <w:tcPr>
            <w:tcW w:w="1283" w:type="dxa"/>
          </w:tcPr>
          <w:p w:rsidR="004C1E6A" w:rsidRPr="00F775DA" w:rsidRDefault="004C1E6A" w:rsidP="00A34944">
            <w:pPr>
              <w:rPr>
                <w:sz w:val="20"/>
                <w:szCs w:val="20"/>
              </w:rPr>
            </w:pPr>
            <w:r w:rsidRPr="00F775DA">
              <w:rPr>
                <w:sz w:val="20"/>
                <w:szCs w:val="20"/>
              </w:rPr>
              <w:t>2003</w:t>
            </w:r>
          </w:p>
        </w:tc>
        <w:tc>
          <w:tcPr>
            <w:tcW w:w="1776" w:type="dxa"/>
          </w:tcPr>
          <w:p w:rsidR="004C1E6A" w:rsidRPr="00F775DA" w:rsidRDefault="004C1E6A" w:rsidP="00A34944">
            <w:pPr>
              <w:rPr>
                <w:sz w:val="20"/>
                <w:szCs w:val="20"/>
              </w:rPr>
            </w:pPr>
            <w:r w:rsidRPr="00F775DA">
              <w:rPr>
                <w:sz w:val="20"/>
                <w:szCs w:val="20"/>
              </w:rPr>
              <w:t>30</w:t>
            </w:r>
          </w:p>
        </w:tc>
      </w:tr>
      <w:tr w:rsidR="004C1E6A" w:rsidRPr="00F775DA" w:rsidTr="00F775DA">
        <w:tc>
          <w:tcPr>
            <w:tcW w:w="2008" w:type="dxa"/>
          </w:tcPr>
          <w:p w:rsidR="004C1E6A" w:rsidRPr="00F775DA" w:rsidRDefault="004C1E6A" w:rsidP="008877B0">
            <w:pPr>
              <w:rPr>
                <w:sz w:val="20"/>
                <w:szCs w:val="20"/>
              </w:rPr>
            </w:pPr>
            <w:r w:rsidRPr="00F775DA">
              <w:rPr>
                <w:sz w:val="20"/>
                <w:szCs w:val="20"/>
              </w:rPr>
              <w:t>2004</w:t>
            </w:r>
          </w:p>
        </w:tc>
        <w:tc>
          <w:tcPr>
            <w:tcW w:w="1288" w:type="dxa"/>
          </w:tcPr>
          <w:p w:rsidR="004C1E6A" w:rsidRPr="00F775DA" w:rsidRDefault="004C1E6A" w:rsidP="008877B0">
            <w:pPr>
              <w:rPr>
                <w:sz w:val="20"/>
                <w:szCs w:val="20"/>
              </w:rPr>
            </w:pPr>
            <w:r w:rsidRPr="00F775DA">
              <w:rPr>
                <w:sz w:val="20"/>
                <w:szCs w:val="20"/>
              </w:rPr>
              <w:t>8</w:t>
            </w:r>
          </w:p>
        </w:tc>
        <w:tc>
          <w:tcPr>
            <w:tcW w:w="1683" w:type="dxa"/>
          </w:tcPr>
          <w:p w:rsidR="004C1E6A" w:rsidRPr="00F775DA" w:rsidRDefault="004C1E6A" w:rsidP="00A34944">
            <w:pPr>
              <w:rPr>
                <w:sz w:val="20"/>
                <w:szCs w:val="20"/>
              </w:rPr>
            </w:pPr>
            <w:r w:rsidRPr="00F775DA">
              <w:rPr>
                <w:sz w:val="20"/>
                <w:szCs w:val="20"/>
              </w:rPr>
              <w:t>2004</w:t>
            </w:r>
          </w:p>
        </w:tc>
        <w:tc>
          <w:tcPr>
            <w:tcW w:w="1369" w:type="dxa"/>
          </w:tcPr>
          <w:p w:rsidR="004C1E6A" w:rsidRPr="00F775DA" w:rsidRDefault="004C1E6A" w:rsidP="00A34944">
            <w:pPr>
              <w:rPr>
                <w:sz w:val="20"/>
                <w:szCs w:val="20"/>
              </w:rPr>
            </w:pPr>
            <w:r w:rsidRPr="00F775DA">
              <w:rPr>
                <w:sz w:val="20"/>
                <w:szCs w:val="20"/>
              </w:rPr>
              <w:t>9</w:t>
            </w:r>
          </w:p>
        </w:tc>
        <w:tc>
          <w:tcPr>
            <w:tcW w:w="1283" w:type="dxa"/>
          </w:tcPr>
          <w:p w:rsidR="004C1E6A" w:rsidRPr="00F775DA" w:rsidRDefault="004C1E6A" w:rsidP="00A34944">
            <w:pPr>
              <w:rPr>
                <w:sz w:val="20"/>
                <w:szCs w:val="20"/>
              </w:rPr>
            </w:pPr>
            <w:r w:rsidRPr="00F775DA">
              <w:rPr>
                <w:sz w:val="20"/>
                <w:szCs w:val="20"/>
              </w:rPr>
              <w:t>2004</w:t>
            </w:r>
          </w:p>
        </w:tc>
        <w:tc>
          <w:tcPr>
            <w:tcW w:w="1776" w:type="dxa"/>
          </w:tcPr>
          <w:p w:rsidR="004C1E6A" w:rsidRPr="00F775DA" w:rsidRDefault="004C1E6A" w:rsidP="00A34944">
            <w:pPr>
              <w:rPr>
                <w:sz w:val="20"/>
                <w:szCs w:val="20"/>
              </w:rPr>
            </w:pPr>
            <w:r w:rsidRPr="00F775DA">
              <w:rPr>
                <w:sz w:val="20"/>
                <w:szCs w:val="20"/>
              </w:rPr>
              <w:t>16</w:t>
            </w:r>
          </w:p>
        </w:tc>
      </w:tr>
      <w:tr w:rsidR="004C1E6A" w:rsidRPr="00F775DA" w:rsidTr="00F775DA">
        <w:tc>
          <w:tcPr>
            <w:tcW w:w="2008" w:type="dxa"/>
          </w:tcPr>
          <w:p w:rsidR="004C1E6A" w:rsidRPr="00F775DA" w:rsidRDefault="004C1E6A" w:rsidP="008877B0">
            <w:pPr>
              <w:rPr>
                <w:sz w:val="20"/>
                <w:szCs w:val="20"/>
              </w:rPr>
            </w:pPr>
            <w:r w:rsidRPr="00F775DA">
              <w:rPr>
                <w:sz w:val="20"/>
                <w:szCs w:val="20"/>
              </w:rPr>
              <w:t>2005</w:t>
            </w:r>
          </w:p>
        </w:tc>
        <w:tc>
          <w:tcPr>
            <w:tcW w:w="1288" w:type="dxa"/>
          </w:tcPr>
          <w:p w:rsidR="004C1E6A" w:rsidRPr="00F775DA" w:rsidRDefault="004C1E6A" w:rsidP="008877B0">
            <w:pPr>
              <w:rPr>
                <w:sz w:val="20"/>
                <w:szCs w:val="20"/>
              </w:rPr>
            </w:pPr>
            <w:r w:rsidRPr="00F775DA">
              <w:rPr>
                <w:sz w:val="20"/>
                <w:szCs w:val="20"/>
              </w:rPr>
              <w:t>6</w:t>
            </w:r>
          </w:p>
        </w:tc>
        <w:tc>
          <w:tcPr>
            <w:tcW w:w="1683" w:type="dxa"/>
          </w:tcPr>
          <w:p w:rsidR="004C1E6A" w:rsidRPr="00F775DA" w:rsidRDefault="004C1E6A" w:rsidP="00A34944">
            <w:pPr>
              <w:rPr>
                <w:sz w:val="20"/>
                <w:szCs w:val="20"/>
              </w:rPr>
            </w:pPr>
            <w:r w:rsidRPr="00F775DA">
              <w:rPr>
                <w:sz w:val="20"/>
                <w:szCs w:val="20"/>
              </w:rPr>
              <w:t>2005</w:t>
            </w:r>
          </w:p>
        </w:tc>
        <w:tc>
          <w:tcPr>
            <w:tcW w:w="1369" w:type="dxa"/>
          </w:tcPr>
          <w:p w:rsidR="004C1E6A" w:rsidRPr="00F775DA" w:rsidRDefault="004C1E6A" w:rsidP="00A34944">
            <w:pPr>
              <w:rPr>
                <w:sz w:val="20"/>
                <w:szCs w:val="20"/>
              </w:rPr>
            </w:pPr>
            <w:r w:rsidRPr="00F775DA">
              <w:rPr>
                <w:sz w:val="20"/>
                <w:szCs w:val="20"/>
              </w:rPr>
              <w:t>16</w:t>
            </w:r>
          </w:p>
        </w:tc>
        <w:tc>
          <w:tcPr>
            <w:tcW w:w="1283" w:type="dxa"/>
          </w:tcPr>
          <w:p w:rsidR="004C1E6A" w:rsidRPr="00F775DA" w:rsidRDefault="004C1E6A" w:rsidP="00A34944">
            <w:pPr>
              <w:rPr>
                <w:sz w:val="20"/>
                <w:szCs w:val="20"/>
              </w:rPr>
            </w:pPr>
            <w:r w:rsidRPr="00F775DA">
              <w:rPr>
                <w:sz w:val="20"/>
                <w:szCs w:val="20"/>
              </w:rPr>
              <w:t>2005</w:t>
            </w:r>
          </w:p>
        </w:tc>
        <w:tc>
          <w:tcPr>
            <w:tcW w:w="1776" w:type="dxa"/>
          </w:tcPr>
          <w:p w:rsidR="004C1E6A" w:rsidRPr="00F775DA" w:rsidRDefault="004C1E6A" w:rsidP="00A34944">
            <w:pPr>
              <w:rPr>
                <w:sz w:val="20"/>
                <w:szCs w:val="20"/>
              </w:rPr>
            </w:pPr>
            <w:r w:rsidRPr="00F775DA">
              <w:rPr>
                <w:sz w:val="20"/>
                <w:szCs w:val="20"/>
              </w:rPr>
              <w:t>20</w:t>
            </w:r>
          </w:p>
        </w:tc>
      </w:tr>
      <w:tr w:rsidR="004C1E6A" w:rsidRPr="00F775DA" w:rsidTr="00F775DA">
        <w:tc>
          <w:tcPr>
            <w:tcW w:w="2008" w:type="dxa"/>
          </w:tcPr>
          <w:p w:rsidR="004C1E6A" w:rsidRPr="00F775DA" w:rsidRDefault="004C1E6A" w:rsidP="008877B0">
            <w:pPr>
              <w:rPr>
                <w:sz w:val="20"/>
                <w:szCs w:val="20"/>
              </w:rPr>
            </w:pPr>
            <w:r w:rsidRPr="00F775DA">
              <w:rPr>
                <w:sz w:val="20"/>
                <w:szCs w:val="20"/>
              </w:rPr>
              <w:t>2006</w:t>
            </w:r>
          </w:p>
        </w:tc>
        <w:tc>
          <w:tcPr>
            <w:tcW w:w="1288" w:type="dxa"/>
          </w:tcPr>
          <w:p w:rsidR="004C1E6A" w:rsidRPr="00F775DA" w:rsidRDefault="004C1E6A" w:rsidP="008877B0">
            <w:pPr>
              <w:rPr>
                <w:sz w:val="20"/>
                <w:szCs w:val="20"/>
              </w:rPr>
            </w:pPr>
            <w:r w:rsidRPr="00F775DA">
              <w:rPr>
                <w:sz w:val="20"/>
                <w:szCs w:val="20"/>
              </w:rPr>
              <w:t>8</w:t>
            </w:r>
          </w:p>
        </w:tc>
        <w:tc>
          <w:tcPr>
            <w:tcW w:w="1683" w:type="dxa"/>
          </w:tcPr>
          <w:p w:rsidR="004C1E6A" w:rsidRPr="00F775DA" w:rsidRDefault="004C1E6A" w:rsidP="00A34944">
            <w:pPr>
              <w:rPr>
                <w:sz w:val="20"/>
                <w:szCs w:val="20"/>
              </w:rPr>
            </w:pPr>
            <w:r w:rsidRPr="00F775DA">
              <w:rPr>
                <w:sz w:val="20"/>
                <w:szCs w:val="20"/>
              </w:rPr>
              <w:t>2006</w:t>
            </w:r>
          </w:p>
        </w:tc>
        <w:tc>
          <w:tcPr>
            <w:tcW w:w="1369" w:type="dxa"/>
          </w:tcPr>
          <w:p w:rsidR="004C1E6A" w:rsidRPr="00F775DA" w:rsidRDefault="004C1E6A" w:rsidP="00A34944">
            <w:pPr>
              <w:rPr>
                <w:sz w:val="20"/>
                <w:szCs w:val="20"/>
              </w:rPr>
            </w:pPr>
            <w:r w:rsidRPr="00F775DA">
              <w:rPr>
                <w:sz w:val="20"/>
                <w:szCs w:val="20"/>
              </w:rPr>
              <w:t>22</w:t>
            </w:r>
          </w:p>
        </w:tc>
        <w:tc>
          <w:tcPr>
            <w:tcW w:w="1283" w:type="dxa"/>
          </w:tcPr>
          <w:p w:rsidR="004C1E6A" w:rsidRPr="00F775DA" w:rsidRDefault="004C1E6A" w:rsidP="00A34944">
            <w:pPr>
              <w:rPr>
                <w:sz w:val="20"/>
                <w:szCs w:val="20"/>
              </w:rPr>
            </w:pPr>
            <w:r w:rsidRPr="00F775DA">
              <w:rPr>
                <w:sz w:val="20"/>
                <w:szCs w:val="20"/>
              </w:rPr>
              <w:t>2006</w:t>
            </w:r>
          </w:p>
        </w:tc>
        <w:tc>
          <w:tcPr>
            <w:tcW w:w="1776" w:type="dxa"/>
          </w:tcPr>
          <w:p w:rsidR="004C1E6A" w:rsidRPr="00F775DA" w:rsidRDefault="004C1E6A" w:rsidP="00A34944">
            <w:pPr>
              <w:rPr>
                <w:sz w:val="20"/>
                <w:szCs w:val="20"/>
              </w:rPr>
            </w:pPr>
            <w:r w:rsidRPr="00F775DA">
              <w:rPr>
                <w:sz w:val="20"/>
                <w:szCs w:val="20"/>
              </w:rPr>
              <w:t>23</w:t>
            </w:r>
          </w:p>
        </w:tc>
      </w:tr>
      <w:tr w:rsidR="004C1E6A" w:rsidRPr="00F775DA" w:rsidTr="00F775DA">
        <w:tc>
          <w:tcPr>
            <w:tcW w:w="2008" w:type="dxa"/>
          </w:tcPr>
          <w:p w:rsidR="004C1E6A" w:rsidRPr="00F775DA" w:rsidRDefault="004C1E6A" w:rsidP="008877B0">
            <w:pPr>
              <w:rPr>
                <w:sz w:val="20"/>
                <w:szCs w:val="20"/>
              </w:rPr>
            </w:pPr>
            <w:r w:rsidRPr="00F775DA">
              <w:rPr>
                <w:sz w:val="20"/>
                <w:szCs w:val="20"/>
              </w:rPr>
              <w:t>2007</w:t>
            </w:r>
          </w:p>
        </w:tc>
        <w:tc>
          <w:tcPr>
            <w:tcW w:w="1288" w:type="dxa"/>
          </w:tcPr>
          <w:p w:rsidR="004C1E6A" w:rsidRPr="00F775DA" w:rsidRDefault="004C1E6A" w:rsidP="008877B0">
            <w:pPr>
              <w:rPr>
                <w:sz w:val="20"/>
                <w:szCs w:val="20"/>
              </w:rPr>
            </w:pPr>
            <w:r w:rsidRPr="00F775DA">
              <w:rPr>
                <w:sz w:val="20"/>
                <w:szCs w:val="20"/>
              </w:rPr>
              <w:t>5</w:t>
            </w:r>
          </w:p>
        </w:tc>
        <w:tc>
          <w:tcPr>
            <w:tcW w:w="1683" w:type="dxa"/>
          </w:tcPr>
          <w:p w:rsidR="004C1E6A" w:rsidRPr="00F775DA" w:rsidRDefault="004C1E6A" w:rsidP="00A34944">
            <w:pPr>
              <w:rPr>
                <w:sz w:val="20"/>
                <w:szCs w:val="20"/>
              </w:rPr>
            </w:pPr>
            <w:r w:rsidRPr="00F775DA">
              <w:rPr>
                <w:sz w:val="20"/>
                <w:szCs w:val="20"/>
              </w:rPr>
              <w:t>2007</w:t>
            </w:r>
          </w:p>
        </w:tc>
        <w:tc>
          <w:tcPr>
            <w:tcW w:w="1369" w:type="dxa"/>
          </w:tcPr>
          <w:p w:rsidR="004C1E6A" w:rsidRPr="00F775DA" w:rsidRDefault="004C1E6A" w:rsidP="00A34944">
            <w:pPr>
              <w:rPr>
                <w:sz w:val="20"/>
                <w:szCs w:val="20"/>
              </w:rPr>
            </w:pPr>
            <w:r w:rsidRPr="00F775DA">
              <w:rPr>
                <w:sz w:val="20"/>
                <w:szCs w:val="20"/>
              </w:rPr>
              <w:t>11</w:t>
            </w:r>
          </w:p>
        </w:tc>
        <w:tc>
          <w:tcPr>
            <w:tcW w:w="1283" w:type="dxa"/>
          </w:tcPr>
          <w:p w:rsidR="004C1E6A" w:rsidRPr="00F775DA" w:rsidRDefault="004C1E6A" w:rsidP="00A34944">
            <w:pPr>
              <w:rPr>
                <w:sz w:val="20"/>
                <w:szCs w:val="20"/>
              </w:rPr>
            </w:pPr>
            <w:r w:rsidRPr="00F775DA">
              <w:rPr>
                <w:sz w:val="20"/>
                <w:szCs w:val="20"/>
              </w:rPr>
              <w:t>2007</w:t>
            </w:r>
          </w:p>
        </w:tc>
        <w:tc>
          <w:tcPr>
            <w:tcW w:w="1776" w:type="dxa"/>
          </w:tcPr>
          <w:p w:rsidR="004C1E6A" w:rsidRPr="00F775DA" w:rsidRDefault="004C1E6A" w:rsidP="00A34944">
            <w:pPr>
              <w:rPr>
                <w:sz w:val="20"/>
                <w:szCs w:val="20"/>
              </w:rPr>
            </w:pPr>
            <w:r w:rsidRPr="00F775DA">
              <w:rPr>
                <w:sz w:val="20"/>
                <w:szCs w:val="20"/>
              </w:rPr>
              <w:t>24</w:t>
            </w:r>
          </w:p>
        </w:tc>
      </w:tr>
      <w:tr w:rsidR="004C1E6A" w:rsidRPr="00F775DA" w:rsidTr="00F775DA">
        <w:tc>
          <w:tcPr>
            <w:tcW w:w="2008" w:type="dxa"/>
          </w:tcPr>
          <w:p w:rsidR="004C1E6A" w:rsidRPr="00F775DA" w:rsidRDefault="004C1E6A" w:rsidP="008877B0">
            <w:pPr>
              <w:rPr>
                <w:sz w:val="20"/>
                <w:szCs w:val="20"/>
              </w:rPr>
            </w:pPr>
            <w:r w:rsidRPr="00F775DA">
              <w:rPr>
                <w:sz w:val="20"/>
                <w:szCs w:val="20"/>
              </w:rPr>
              <w:t>2008</w:t>
            </w:r>
          </w:p>
        </w:tc>
        <w:tc>
          <w:tcPr>
            <w:tcW w:w="1288" w:type="dxa"/>
          </w:tcPr>
          <w:p w:rsidR="004C1E6A" w:rsidRPr="00F775DA" w:rsidRDefault="004C1E6A" w:rsidP="008877B0">
            <w:pPr>
              <w:rPr>
                <w:sz w:val="20"/>
                <w:szCs w:val="20"/>
              </w:rPr>
            </w:pPr>
            <w:r w:rsidRPr="00F775DA">
              <w:rPr>
                <w:sz w:val="20"/>
                <w:szCs w:val="20"/>
              </w:rPr>
              <w:t>13</w:t>
            </w:r>
          </w:p>
        </w:tc>
        <w:tc>
          <w:tcPr>
            <w:tcW w:w="1683" w:type="dxa"/>
          </w:tcPr>
          <w:p w:rsidR="004C1E6A" w:rsidRPr="00F775DA" w:rsidRDefault="004C1E6A" w:rsidP="00A34944">
            <w:pPr>
              <w:rPr>
                <w:sz w:val="20"/>
                <w:szCs w:val="20"/>
              </w:rPr>
            </w:pPr>
            <w:r w:rsidRPr="00F775DA">
              <w:rPr>
                <w:sz w:val="20"/>
                <w:szCs w:val="20"/>
              </w:rPr>
              <w:t>2008</w:t>
            </w:r>
          </w:p>
        </w:tc>
        <w:tc>
          <w:tcPr>
            <w:tcW w:w="1369" w:type="dxa"/>
          </w:tcPr>
          <w:p w:rsidR="004C1E6A" w:rsidRPr="00F775DA" w:rsidRDefault="004C1E6A" w:rsidP="00A34944">
            <w:pPr>
              <w:rPr>
                <w:sz w:val="20"/>
                <w:szCs w:val="20"/>
              </w:rPr>
            </w:pPr>
            <w:r w:rsidRPr="00F775DA">
              <w:rPr>
                <w:sz w:val="20"/>
                <w:szCs w:val="20"/>
              </w:rPr>
              <w:t>8</w:t>
            </w:r>
          </w:p>
        </w:tc>
        <w:tc>
          <w:tcPr>
            <w:tcW w:w="1283" w:type="dxa"/>
          </w:tcPr>
          <w:p w:rsidR="004C1E6A" w:rsidRPr="00F775DA" w:rsidRDefault="004C1E6A" w:rsidP="00A34944">
            <w:pPr>
              <w:rPr>
                <w:sz w:val="20"/>
                <w:szCs w:val="20"/>
              </w:rPr>
            </w:pPr>
            <w:r w:rsidRPr="00F775DA">
              <w:rPr>
                <w:sz w:val="20"/>
                <w:szCs w:val="20"/>
              </w:rPr>
              <w:t>2008</w:t>
            </w:r>
          </w:p>
        </w:tc>
        <w:tc>
          <w:tcPr>
            <w:tcW w:w="1776" w:type="dxa"/>
          </w:tcPr>
          <w:p w:rsidR="004C1E6A" w:rsidRPr="00F775DA" w:rsidRDefault="004C1E6A" w:rsidP="00A34944">
            <w:pPr>
              <w:rPr>
                <w:sz w:val="20"/>
                <w:szCs w:val="20"/>
              </w:rPr>
            </w:pPr>
            <w:r w:rsidRPr="00F775DA">
              <w:rPr>
                <w:sz w:val="20"/>
                <w:szCs w:val="20"/>
              </w:rPr>
              <w:t>21</w:t>
            </w:r>
          </w:p>
        </w:tc>
      </w:tr>
      <w:tr w:rsidR="004C1E6A" w:rsidRPr="00F775DA" w:rsidTr="00F775DA">
        <w:tc>
          <w:tcPr>
            <w:tcW w:w="2008" w:type="dxa"/>
          </w:tcPr>
          <w:p w:rsidR="004C1E6A" w:rsidRPr="00F775DA" w:rsidRDefault="004C1E6A" w:rsidP="008877B0">
            <w:pPr>
              <w:rPr>
                <w:sz w:val="20"/>
                <w:szCs w:val="20"/>
              </w:rPr>
            </w:pPr>
            <w:r w:rsidRPr="00F775DA">
              <w:rPr>
                <w:sz w:val="20"/>
                <w:szCs w:val="20"/>
              </w:rPr>
              <w:t>2009</w:t>
            </w:r>
          </w:p>
        </w:tc>
        <w:tc>
          <w:tcPr>
            <w:tcW w:w="1288" w:type="dxa"/>
          </w:tcPr>
          <w:p w:rsidR="004C1E6A" w:rsidRPr="00F775DA" w:rsidRDefault="004C1E6A" w:rsidP="008877B0">
            <w:pPr>
              <w:rPr>
                <w:sz w:val="20"/>
                <w:szCs w:val="20"/>
              </w:rPr>
            </w:pPr>
            <w:r w:rsidRPr="00F775DA">
              <w:rPr>
                <w:sz w:val="20"/>
                <w:szCs w:val="20"/>
              </w:rPr>
              <w:t>19</w:t>
            </w:r>
          </w:p>
        </w:tc>
        <w:tc>
          <w:tcPr>
            <w:tcW w:w="1683" w:type="dxa"/>
          </w:tcPr>
          <w:p w:rsidR="004C1E6A" w:rsidRPr="00F775DA" w:rsidRDefault="004C1E6A" w:rsidP="00A34944">
            <w:pPr>
              <w:rPr>
                <w:sz w:val="20"/>
                <w:szCs w:val="20"/>
              </w:rPr>
            </w:pPr>
            <w:r w:rsidRPr="00F775DA">
              <w:rPr>
                <w:sz w:val="20"/>
                <w:szCs w:val="20"/>
              </w:rPr>
              <w:t>2009</w:t>
            </w:r>
          </w:p>
        </w:tc>
        <w:tc>
          <w:tcPr>
            <w:tcW w:w="1369" w:type="dxa"/>
          </w:tcPr>
          <w:p w:rsidR="004C1E6A" w:rsidRPr="00F775DA" w:rsidRDefault="004C1E6A" w:rsidP="00A34944">
            <w:pPr>
              <w:rPr>
                <w:sz w:val="20"/>
                <w:szCs w:val="20"/>
              </w:rPr>
            </w:pPr>
            <w:r w:rsidRPr="00F775DA">
              <w:rPr>
                <w:sz w:val="20"/>
                <w:szCs w:val="20"/>
              </w:rPr>
              <w:t>9</w:t>
            </w:r>
          </w:p>
        </w:tc>
        <w:tc>
          <w:tcPr>
            <w:tcW w:w="1283" w:type="dxa"/>
          </w:tcPr>
          <w:p w:rsidR="004C1E6A" w:rsidRPr="00F775DA" w:rsidRDefault="004C1E6A" w:rsidP="00A34944">
            <w:pPr>
              <w:rPr>
                <w:sz w:val="20"/>
                <w:szCs w:val="20"/>
              </w:rPr>
            </w:pPr>
            <w:r w:rsidRPr="00F775DA">
              <w:rPr>
                <w:sz w:val="20"/>
                <w:szCs w:val="20"/>
              </w:rPr>
              <w:t>2009</w:t>
            </w:r>
          </w:p>
        </w:tc>
        <w:tc>
          <w:tcPr>
            <w:tcW w:w="1776" w:type="dxa"/>
          </w:tcPr>
          <w:p w:rsidR="004C1E6A" w:rsidRPr="00F775DA" w:rsidRDefault="004C1E6A" w:rsidP="00A34944">
            <w:pPr>
              <w:rPr>
                <w:sz w:val="20"/>
                <w:szCs w:val="20"/>
              </w:rPr>
            </w:pPr>
            <w:r w:rsidRPr="00F775DA">
              <w:rPr>
                <w:sz w:val="20"/>
                <w:szCs w:val="20"/>
              </w:rPr>
              <w:t>16</w:t>
            </w:r>
          </w:p>
        </w:tc>
      </w:tr>
      <w:tr w:rsidR="004C1E6A" w:rsidRPr="00F775DA" w:rsidTr="00F775DA">
        <w:tc>
          <w:tcPr>
            <w:tcW w:w="2008" w:type="dxa"/>
          </w:tcPr>
          <w:p w:rsidR="004C1E6A" w:rsidRPr="00F775DA" w:rsidRDefault="004C1E6A" w:rsidP="008877B0">
            <w:pPr>
              <w:rPr>
                <w:sz w:val="20"/>
                <w:szCs w:val="20"/>
              </w:rPr>
            </w:pPr>
            <w:r w:rsidRPr="00F775DA">
              <w:rPr>
                <w:sz w:val="20"/>
                <w:szCs w:val="20"/>
              </w:rPr>
              <w:t>2000-2009</w:t>
            </w: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109</w:t>
            </w:r>
            <w:r w:rsidRPr="00F775DA">
              <w:rPr>
                <w:sz w:val="20"/>
                <w:szCs w:val="20"/>
              </w:rPr>
              <w:fldChar w:fldCharType="end"/>
            </w:r>
          </w:p>
        </w:tc>
        <w:tc>
          <w:tcPr>
            <w:tcW w:w="1683" w:type="dxa"/>
          </w:tcPr>
          <w:p w:rsidR="004C1E6A" w:rsidRPr="00F775DA" w:rsidRDefault="004C1E6A" w:rsidP="00A34944">
            <w:pPr>
              <w:rPr>
                <w:sz w:val="20"/>
                <w:szCs w:val="20"/>
              </w:rPr>
            </w:pPr>
            <w:r w:rsidRPr="00F775DA">
              <w:rPr>
                <w:sz w:val="20"/>
                <w:szCs w:val="20"/>
              </w:rPr>
              <w:t>2000-2009</w:t>
            </w:r>
          </w:p>
        </w:tc>
        <w:tc>
          <w:tcPr>
            <w:tcW w:w="1369" w:type="dxa"/>
          </w:tcPr>
          <w:p w:rsidR="004C1E6A" w:rsidRPr="00F775DA" w:rsidRDefault="004C1E6A" w:rsidP="00A34944">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124</w:t>
            </w:r>
            <w:r w:rsidRPr="00F775DA">
              <w:rPr>
                <w:sz w:val="20"/>
                <w:szCs w:val="20"/>
              </w:rPr>
              <w:fldChar w:fldCharType="end"/>
            </w:r>
          </w:p>
        </w:tc>
        <w:tc>
          <w:tcPr>
            <w:tcW w:w="1283" w:type="dxa"/>
          </w:tcPr>
          <w:p w:rsidR="004C1E6A" w:rsidRPr="00F775DA" w:rsidRDefault="004C1E6A" w:rsidP="00A34944">
            <w:pPr>
              <w:rPr>
                <w:sz w:val="20"/>
                <w:szCs w:val="20"/>
              </w:rPr>
            </w:pPr>
            <w:r w:rsidRPr="00F775DA">
              <w:rPr>
                <w:sz w:val="20"/>
                <w:szCs w:val="20"/>
              </w:rPr>
              <w:t>2000-2009</w:t>
            </w:r>
          </w:p>
        </w:tc>
        <w:tc>
          <w:tcPr>
            <w:tcW w:w="1776" w:type="dxa"/>
          </w:tcPr>
          <w:p w:rsidR="004C1E6A" w:rsidRPr="00F775DA" w:rsidRDefault="004C1E6A" w:rsidP="00A34944">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212</w:t>
            </w:r>
            <w:r w:rsidRPr="00F775DA">
              <w:rPr>
                <w:sz w:val="20"/>
                <w:szCs w:val="20"/>
              </w:rPr>
              <w:fldChar w:fldCharType="end"/>
            </w:r>
          </w:p>
        </w:tc>
      </w:tr>
      <w:tr w:rsidR="004C1E6A" w:rsidRPr="00F775DA" w:rsidTr="00F775DA">
        <w:tc>
          <w:tcPr>
            <w:tcW w:w="2008" w:type="dxa"/>
          </w:tcPr>
          <w:p w:rsidR="004C1E6A" w:rsidRPr="00F775DA" w:rsidRDefault="004C1E6A" w:rsidP="008877B0">
            <w:pPr>
              <w:rPr>
                <w:sz w:val="20"/>
                <w:szCs w:val="20"/>
              </w:rPr>
            </w:pPr>
          </w:p>
        </w:tc>
        <w:tc>
          <w:tcPr>
            <w:tcW w:w="1288" w:type="dxa"/>
          </w:tcPr>
          <w:p w:rsidR="004C1E6A" w:rsidRPr="00F775DA" w:rsidRDefault="004C1E6A" w:rsidP="008877B0">
            <w:pPr>
              <w:rPr>
                <w:sz w:val="20"/>
                <w:szCs w:val="20"/>
              </w:rPr>
            </w:pP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p>
        </w:tc>
        <w:tc>
          <w:tcPr>
            <w:tcW w:w="1288" w:type="dxa"/>
          </w:tcPr>
          <w:p w:rsidR="004C1E6A" w:rsidRPr="00F775DA" w:rsidRDefault="004C1E6A" w:rsidP="008877B0">
            <w:pPr>
              <w:rPr>
                <w:sz w:val="20"/>
                <w:szCs w:val="20"/>
              </w:rPr>
            </w:pP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p>
        </w:tc>
        <w:tc>
          <w:tcPr>
            <w:tcW w:w="1288" w:type="dxa"/>
          </w:tcPr>
          <w:p w:rsidR="004C1E6A" w:rsidRPr="00F775DA" w:rsidRDefault="004C1E6A" w:rsidP="008877B0">
            <w:pPr>
              <w:rPr>
                <w:sz w:val="20"/>
                <w:szCs w:val="20"/>
              </w:rPr>
            </w:pP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b/>
                <w:sz w:val="20"/>
                <w:szCs w:val="20"/>
              </w:rPr>
            </w:pPr>
            <w:r w:rsidRPr="00F775DA">
              <w:rPr>
                <w:b/>
                <w:sz w:val="20"/>
                <w:szCs w:val="20"/>
              </w:rPr>
              <w:lastRenderedPageBreak/>
              <w:t>Germ Cell Tumor:</w:t>
            </w:r>
          </w:p>
        </w:tc>
        <w:tc>
          <w:tcPr>
            <w:tcW w:w="1288" w:type="dxa"/>
          </w:tcPr>
          <w:p w:rsidR="004C1E6A" w:rsidRPr="00F775DA" w:rsidRDefault="004C1E6A" w:rsidP="00A34944">
            <w:pPr>
              <w:rPr>
                <w:sz w:val="20"/>
                <w:szCs w:val="20"/>
              </w:rPr>
            </w:pP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sz w:val="20"/>
                <w:szCs w:val="20"/>
              </w:rPr>
            </w:pPr>
            <w:r w:rsidRPr="00F775DA">
              <w:rPr>
                <w:sz w:val="20"/>
                <w:szCs w:val="20"/>
              </w:rPr>
              <w:t>2000</w:t>
            </w:r>
          </w:p>
        </w:tc>
        <w:tc>
          <w:tcPr>
            <w:tcW w:w="1288" w:type="dxa"/>
          </w:tcPr>
          <w:p w:rsidR="004C1E6A" w:rsidRPr="00F775DA" w:rsidRDefault="004C1E6A" w:rsidP="00A34944">
            <w:pPr>
              <w:rPr>
                <w:sz w:val="20"/>
                <w:szCs w:val="20"/>
              </w:rPr>
            </w:pPr>
            <w:r w:rsidRPr="00F775DA">
              <w:rPr>
                <w:sz w:val="20"/>
                <w:szCs w:val="20"/>
              </w:rPr>
              <w:t>15</w:t>
            </w: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sz w:val="20"/>
                <w:szCs w:val="20"/>
              </w:rPr>
            </w:pPr>
            <w:r w:rsidRPr="00F775DA">
              <w:rPr>
                <w:sz w:val="20"/>
                <w:szCs w:val="20"/>
              </w:rPr>
              <w:t>2001</w:t>
            </w:r>
          </w:p>
        </w:tc>
        <w:tc>
          <w:tcPr>
            <w:tcW w:w="1288" w:type="dxa"/>
          </w:tcPr>
          <w:p w:rsidR="004C1E6A" w:rsidRPr="00F775DA" w:rsidRDefault="004C1E6A" w:rsidP="00A34944">
            <w:pPr>
              <w:rPr>
                <w:sz w:val="20"/>
                <w:szCs w:val="20"/>
              </w:rPr>
            </w:pPr>
            <w:r w:rsidRPr="00F775DA">
              <w:rPr>
                <w:sz w:val="20"/>
                <w:szCs w:val="20"/>
              </w:rPr>
              <w:t>13</w:t>
            </w: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sz w:val="20"/>
                <w:szCs w:val="20"/>
              </w:rPr>
            </w:pPr>
            <w:r w:rsidRPr="00F775DA">
              <w:rPr>
                <w:sz w:val="20"/>
                <w:szCs w:val="20"/>
              </w:rPr>
              <w:t>2002</w:t>
            </w:r>
          </w:p>
        </w:tc>
        <w:tc>
          <w:tcPr>
            <w:tcW w:w="1288" w:type="dxa"/>
          </w:tcPr>
          <w:p w:rsidR="004C1E6A" w:rsidRPr="00F775DA" w:rsidRDefault="004C1E6A" w:rsidP="00A34944">
            <w:pPr>
              <w:rPr>
                <w:sz w:val="20"/>
                <w:szCs w:val="20"/>
              </w:rPr>
            </w:pPr>
            <w:r w:rsidRPr="00F775DA">
              <w:rPr>
                <w:sz w:val="20"/>
                <w:szCs w:val="20"/>
              </w:rPr>
              <w:t>22</w:t>
            </w: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sz w:val="20"/>
                <w:szCs w:val="20"/>
              </w:rPr>
            </w:pPr>
            <w:r w:rsidRPr="00F775DA">
              <w:rPr>
                <w:sz w:val="20"/>
                <w:szCs w:val="20"/>
              </w:rPr>
              <w:t>2003</w:t>
            </w:r>
          </w:p>
        </w:tc>
        <w:tc>
          <w:tcPr>
            <w:tcW w:w="1288" w:type="dxa"/>
          </w:tcPr>
          <w:p w:rsidR="004C1E6A" w:rsidRPr="00F775DA" w:rsidRDefault="004C1E6A" w:rsidP="00A34944">
            <w:pPr>
              <w:rPr>
                <w:sz w:val="20"/>
                <w:szCs w:val="20"/>
              </w:rPr>
            </w:pPr>
            <w:r w:rsidRPr="00F775DA">
              <w:rPr>
                <w:sz w:val="20"/>
                <w:szCs w:val="20"/>
              </w:rPr>
              <w:t>12</w:t>
            </w: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sz w:val="20"/>
                <w:szCs w:val="20"/>
              </w:rPr>
            </w:pPr>
            <w:r w:rsidRPr="00F775DA">
              <w:rPr>
                <w:sz w:val="20"/>
                <w:szCs w:val="20"/>
              </w:rPr>
              <w:t>2004</w:t>
            </w:r>
          </w:p>
        </w:tc>
        <w:tc>
          <w:tcPr>
            <w:tcW w:w="1288" w:type="dxa"/>
          </w:tcPr>
          <w:p w:rsidR="004C1E6A" w:rsidRPr="00F775DA" w:rsidRDefault="004C1E6A" w:rsidP="00A34944">
            <w:pPr>
              <w:rPr>
                <w:sz w:val="20"/>
                <w:szCs w:val="20"/>
              </w:rPr>
            </w:pPr>
            <w:r w:rsidRPr="00F775DA">
              <w:rPr>
                <w:sz w:val="20"/>
                <w:szCs w:val="20"/>
              </w:rPr>
              <w:t>20</w:t>
            </w: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sz w:val="20"/>
                <w:szCs w:val="20"/>
              </w:rPr>
            </w:pPr>
            <w:r w:rsidRPr="00F775DA">
              <w:rPr>
                <w:sz w:val="20"/>
                <w:szCs w:val="20"/>
              </w:rPr>
              <w:t>2005</w:t>
            </w:r>
          </w:p>
        </w:tc>
        <w:tc>
          <w:tcPr>
            <w:tcW w:w="1288" w:type="dxa"/>
          </w:tcPr>
          <w:p w:rsidR="004C1E6A" w:rsidRPr="00F775DA" w:rsidRDefault="004C1E6A" w:rsidP="00A34944">
            <w:pPr>
              <w:rPr>
                <w:sz w:val="20"/>
                <w:szCs w:val="20"/>
              </w:rPr>
            </w:pPr>
            <w:r w:rsidRPr="00F775DA">
              <w:rPr>
                <w:sz w:val="20"/>
                <w:szCs w:val="20"/>
              </w:rPr>
              <w:t>12</w:t>
            </w: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sz w:val="20"/>
                <w:szCs w:val="20"/>
              </w:rPr>
            </w:pPr>
            <w:r w:rsidRPr="00F775DA">
              <w:rPr>
                <w:sz w:val="20"/>
                <w:szCs w:val="20"/>
              </w:rPr>
              <w:t>2006</w:t>
            </w:r>
          </w:p>
        </w:tc>
        <w:tc>
          <w:tcPr>
            <w:tcW w:w="1288" w:type="dxa"/>
          </w:tcPr>
          <w:p w:rsidR="004C1E6A" w:rsidRPr="00F775DA" w:rsidRDefault="004C1E6A" w:rsidP="00A34944">
            <w:pPr>
              <w:rPr>
                <w:sz w:val="20"/>
                <w:szCs w:val="20"/>
              </w:rPr>
            </w:pPr>
            <w:r w:rsidRPr="00F775DA">
              <w:rPr>
                <w:sz w:val="20"/>
                <w:szCs w:val="20"/>
              </w:rPr>
              <w:t>19</w:t>
            </w: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sz w:val="20"/>
                <w:szCs w:val="20"/>
              </w:rPr>
            </w:pPr>
            <w:r w:rsidRPr="00F775DA">
              <w:rPr>
                <w:sz w:val="20"/>
                <w:szCs w:val="20"/>
              </w:rPr>
              <w:t>2007</w:t>
            </w:r>
          </w:p>
        </w:tc>
        <w:tc>
          <w:tcPr>
            <w:tcW w:w="1288" w:type="dxa"/>
          </w:tcPr>
          <w:p w:rsidR="004C1E6A" w:rsidRPr="00F775DA" w:rsidRDefault="004C1E6A" w:rsidP="00A34944">
            <w:pPr>
              <w:rPr>
                <w:sz w:val="20"/>
                <w:szCs w:val="20"/>
              </w:rPr>
            </w:pPr>
            <w:r w:rsidRPr="00F775DA">
              <w:rPr>
                <w:sz w:val="20"/>
                <w:szCs w:val="20"/>
              </w:rPr>
              <w:t>13</w:t>
            </w: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sz w:val="20"/>
                <w:szCs w:val="20"/>
              </w:rPr>
            </w:pPr>
            <w:r w:rsidRPr="00F775DA">
              <w:rPr>
                <w:sz w:val="20"/>
                <w:szCs w:val="20"/>
              </w:rPr>
              <w:t>2008</w:t>
            </w:r>
          </w:p>
        </w:tc>
        <w:tc>
          <w:tcPr>
            <w:tcW w:w="1288" w:type="dxa"/>
          </w:tcPr>
          <w:p w:rsidR="004C1E6A" w:rsidRPr="00F775DA" w:rsidRDefault="004C1E6A" w:rsidP="00A34944">
            <w:pPr>
              <w:rPr>
                <w:sz w:val="20"/>
                <w:szCs w:val="20"/>
              </w:rPr>
            </w:pPr>
            <w:r w:rsidRPr="00F775DA">
              <w:rPr>
                <w:sz w:val="20"/>
                <w:szCs w:val="20"/>
              </w:rPr>
              <w:t>22</w:t>
            </w: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sz w:val="20"/>
                <w:szCs w:val="20"/>
              </w:rPr>
            </w:pPr>
            <w:r w:rsidRPr="00F775DA">
              <w:rPr>
                <w:sz w:val="20"/>
                <w:szCs w:val="20"/>
              </w:rPr>
              <w:t>2009</w:t>
            </w:r>
          </w:p>
        </w:tc>
        <w:tc>
          <w:tcPr>
            <w:tcW w:w="1288" w:type="dxa"/>
          </w:tcPr>
          <w:p w:rsidR="004C1E6A" w:rsidRPr="00F775DA" w:rsidRDefault="004C1E6A" w:rsidP="00A34944">
            <w:pPr>
              <w:rPr>
                <w:sz w:val="20"/>
                <w:szCs w:val="20"/>
              </w:rPr>
            </w:pPr>
            <w:r w:rsidRPr="00F775DA">
              <w:rPr>
                <w:sz w:val="20"/>
                <w:szCs w:val="20"/>
              </w:rPr>
              <w:t>26</w:t>
            </w: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A34944">
            <w:pPr>
              <w:rPr>
                <w:sz w:val="20"/>
                <w:szCs w:val="20"/>
              </w:rPr>
            </w:pPr>
            <w:r w:rsidRPr="00F775DA">
              <w:rPr>
                <w:sz w:val="20"/>
                <w:szCs w:val="20"/>
              </w:rPr>
              <w:t>2000-2009</w:t>
            </w:r>
          </w:p>
        </w:tc>
        <w:tc>
          <w:tcPr>
            <w:tcW w:w="1288" w:type="dxa"/>
          </w:tcPr>
          <w:p w:rsidR="004C1E6A" w:rsidRPr="00F775DA" w:rsidRDefault="004C1E6A" w:rsidP="00A34944">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174</w:t>
            </w:r>
            <w:r w:rsidRPr="00F775DA">
              <w:rPr>
                <w:sz w:val="20"/>
                <w:szCs w:val="20"/>
              </w:rPr>
              <w:fldChar w:fldCharType="end"/>
            </w: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p>
        </w:tc>
        <w:tc>
          <w:tcPr>
            <w:tcW w:w="1288" w:type="dxa"/>
          </w:tcPr>
          <w:p w:rsidR="004C1E6A" w:rsidRPr="00F775DA" w:rsidRDefault="004C1E6A" w:rsidP="008877B0">
            <w:pPr>
              <w:rPr>
                <w:b/>
                <w:sz w:val="20"/>
                <w:szCs w:val="20"/>
              </w:rPr>
            </w:pPr>
          </w:p>
        </w:tc>
        <w:tc>
          <w:tcPr>
            <w:tcW w:w="1683" w:type="dxa"/>
          </w:tcPr>
          <w:p w:rsidR="004C1E6A" w:rsidRPr="00F775DA" w:rsidRDefault="004C1E6A" w:rsidP="008877B0">
            <w:pPr>
              <w:rPr>
                <w:b/>
                <w:sz w:val="20"/>
                <w:szCs w:val="20"/>
              </w:rPr>
            </w:pPr>
          </w:p>
        </w:tc>
        <w:tc>
          <w:tcPr>
            <w:tcW w:w="1369" w:type="dxa"/>
          </w:tcPr>
          <w:p w:rsidR="004C1E6A" w:rsidRPr="00F775DA" w:rsidRDefault="004C1E6A" w:rsidP="008877B0">
            <w:pPr>
              <w:rPr>
                <w:b/>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b/>
                <w:sz w:val="20"/>
                <w:szCs w:val="20"/>
              </w:rPr>
            </w:pPr>
            <w:r w:rsidRPr="00F775DA">
              <w:rPr>
                <w:b/>
                <w:sz w:val="20"/>
                <w:szCs w:val="20"/>
              </w:rPr>
              <w:t>Epithelial Tumor:</w:t>
            </w:r>
          </w:p>
        </w:tc>
        <w:tc>
          <w:tcPr>
            <w:tcW w:w="1288" w:type="dxa"/>
          </w:tcPr>
          <w:p w:rsidR="004C1E6A" w:rsidRPr="00F775DA" w:rsidRDefault="004C1E6A" w:rsidP="008877B0">
            <w:pPr>
              <w:rPr>
                <w:b/>
                <w:sz w:val="20"/>
                <w:szCs w:val="20"/>
              </w:rPr>
            </w:pPr>
            <w:r w:rsidRPr="00F775DA">
              <w:rPr>
                <w:b/>
                <w:sz w:val="20"/>
                <w:szCs w:val="20"/>
              </w:rPr>
              <w:t>Total</w:t>
            </w:r>
          </w:p>
        </w:tc>
        <w:tc>
          <w:tcPr>
            <w:tcW w:w="1683" w:type="dxa"/>
          </w:tcPr>
          <w:p w:rsidR="004C1E6A" w:rsidRPr="00F775DA" w:rsidRDefault="004C1E6A" w:rsidP="008877B0">
            <w:pPr>
              <w:rPr>
                <w:b/>
                <w:sz w:val="20"/>
                <w:szCs w:val="20"/>
              </w:rPr>
            </w:pPr>
            <w:r w:rsidRPr="00F775DA">
              <w:rPr>
                <w:b/>
                <w:sz w:val="20"/>
                <w:szCs w:val="20"/>
              </w:rPr>
              <w:t>Melanoma</w:t>
            </w:r>
          </w:p>
        </w:tc>
        <w:tc>
          <w:tcPr>
            <w:tcW w:w="1369" w:type="dxa"/>
          </w:tcPr>
          <w:p w:rsidR="004C1E6A" w:rsidRPr="00F775DA" w:rsidRDefault="004C1E6A" w:rsidP="008877B0">
            <w:pPr>
              <w:rPr>
                <w:b/>
                <w:sz w:val="20"/>
                <w:szCs w:val="20"/>
              </w:rPr>
            </w:pPr>
            <w:r w:rsidRPr="00F775DA">
              <w:rPr>
                <w:b/>
                <w:sz w:val="20"/>
                <w:szCs w:val="20"/>
              </w:rPr>
              <w:t>Thyroid</w:t>
            </w:r>
          </w:p>
        </w:tc>
        <w:tc>
          <w:tcPr>
            <w:tcW w:w="1283" w:type="dxa"/>
          </w:tcPr>
          <w:p w:rsidR="004C1E6A" w:rsidRPr="00F775DA" w:rsidRDefault="004C1E6A" w:rsidP="008877B0">
            <w:pPr>
              <w:rPr>
                <w:sz w:val="20"/>
                <w:szCs w:val="20"/>
              </w:rPr>
            </w:pPr>
            <w:r w:rsidRPr="00F775DA">
              <w:rPr>
                <w:sz w:val="20"/>
                <w:szCs w:val="20"/>
              </w:rPr>
              <w:t xml:space="preserve"> </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w:t>
            </w:r>
          </w:p>
        </w:tc>
        <w:tc>
          <w:tcPr>
            <w:tcW w:w="1288" w:type="dxa"/>
          </w:tcPr>
          <w:p w:rsidR="004C1E6A" w:rsidRPr="00F775DA" w:rsidRDefault="004C1E6A" w:rsidP="008877B0">
            <w:pPr>
              <w:rPr>
                <w:sz w:val="20"/>
                <w:szCs w:val="20"/>
              </w:rPr>
            </w:pPr>
            <w:r w:rsidRPr="00F775DA">
              <w:rPr>
                <w:sz w:val="20"/>
                <w:szCs w:val="20"/>
              </w:rPr>
              <w:t>25</w:t>
            </w:r>
          </w:p>
        </w:tc>
        <w:tc>
          <w:tcPr>
            <w:tcW w:w="1683" w:type="dxa"/>
          </w:tcPr>
          <w:p w:rsidR="004C1E6A" w:rsidRPr="00F775DA" w:rsidRDefault="004C1E6A" w:rsidP="008877B0">
            <w:pPr>
              <w:rPr>
                <w:sz w:val="20"/>
                <w:szCs w:val="20"/>
              </w:rPr>
            </w:pPr>
            <w:r w:rsidRPr="00F775DA">
              <w:rPr>
                <w:sz w:val="20"/>
                <w:szCs w:val="20"/>
              </w:rPr>
              <w:t>7</w:t>
            </w:r>
          </w:p>
        </w:tc>
        <w:tc>
          <w:tcPr>
            <w:tcW w:w="1369" w:type="dxa"/>
          </w:tcPr>
          <w:p w:rsidR="004C1E6A" w:rsidRPr="00F775DA" w:rsidRDefault="004C1E6A" w:rsidP="008877B0">
            <w:pPr>
              <w:rPr>
                <w:sz w:val="20"/>
                <w:szCs w:val="20"/>
              </w:rPr>
            </w:pPr>
            <w:r w:rsidRPr="00F775DA">
              <w:rPr>
                <w:sz w:val="20"/>
                <w:szCs w:val="20"/>
              </w:rPr>
              <w:t>9</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2001</w:t>
            </w:r>
          </w:p>
        </w:tc>
        <w:tc>
          <w:tcPr>
            <w:tcW w:w="1288" w:type="dxa"/>
          </w:tcPr>
          <w:p w:rsidR="004C1E6A" w:rsidRPr="00F775DA" w:rsidRDefault="004C1E6A" w:rsidP="008877B0">
            <w:pPr>
              <w:rPr>
                <w:sz w:val="20"/>
                <w:szCs w:val="20"/>
              </w:rPr>
            </w:pPr>
            <w:r w:rsidRPr="00F775DA">
              <w:rPr>
                <w:sz w:val="20"/>
                <w:szCs w:val="20"/>
              </w:rPr>
              <w:t>26</w:t>
            </w:r>
          </w:p>
        </w:tc>
        <w:tc>
          <w:tcPr>
            <w:tcW w:w="1683" w:type="dxa"/>
          </w:tcPr>
          <w:p w:rsidR="004C1E6A" w:rsidRPr="00F775DA" w:rsidRDefault="004C1E6A" w:rsidP="008877B0">
            <w:pPr>
              <w:rPr>
                <w:sz w:val="20"/>
                <w:szCs w:val="20"/>
              </w:rPr>
            </w:pPr>
            <w:r w:rsidRPr="00F775DA">
              <w:rPr>
                <w:sz w:val="20"/>
                <w:szCs w:val="20"/>
              </w:rPr>
              <w:t>8</w:t>
            </w:r>
          </w:p>
        </w:tc>
        <w:tc>
          <w:tcPr>
            <w:tcW w:w="1369" w:type="dxa"/>
          </w:tcPr>
          <w:p w:rsidR="004C1E6A" w:rsidRPr="00F775DA" w:rsidRDefault="004C1E6A" w:rsidP="008877B0">
            <w:pPr>
              <w:rPr>
                <w:sz w:val="20"/>
                <w:szCs w:val="20"/>
              </w:rPr>
            </w:pPr>
            <w:r w:rsidRPr="00F775DA">
              <w:rPr>
                <w:sz w:val="20"/>
                <w:szCs w:val="20"/>
              </w:rPr>
              <w:t>10</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2002</w:t>
            </w:r>
          </w:p>
        </w:tc>
        <w:tc>
          <w:tcPr>
            <w:tcW w:w="1288" w:type="dxa"/>
          </w:tcPr>
          <w:p w:rsidR="004C1E6A" w:rsidRPr="00F775DA" w:rsidRDefault="004C1E6A" w:rsidP="008877B0">
            <w:pPr>
              <w:rPr>
                <w:sz w:val="20"/>
                <w:szCs w:val="20"/>
              </w:rPr>
            </w:pPr>
            <w:r w:rsidRPr="00F775DA">
              <w:rPr>
                <w:sz w:val="20"/>
                <w:szCs w:val="20"/>
              </w:rPr>
              <w:t>33</w:t>
            </w:r>
          </w:p>
        </w:tc>
        <w:tc>
          <w:tcPr>
            <w:tcW w:w="1683" w:type="dxa"/>
          </w:tcPr>
          <w:p w:rsidR="004C1E6A" w:rsidRPr="00F775DA" w:rsidRDefault="004C1E6A" w:rsidP="008877B0">
            <w:pPr>
              <w:rPr>
                <w:sz w:val="20"/>
                <w:szCs w:val="20"/>
              </w:rPr>
            </w:pPr>
            <w:r w:rsidRPr="00F775DA">
              <w:rPr>
                <w:sz w:val="20"/>
                <w:szCs w:val="20"/>
              </w:rPr>
              <w:t>12</w:t>
            </w:r>
          </w:p>
        </w:tc>
        <w:tc>
          <w:tcPr>
            <w:tcW w:w="1369" w:type="dxa"/>
          </w:tcPr>
          <w:p w:rsidR="004C1E6A" w:rsidRPr="00F775DA" w:rsidRDefault="004C1E6A" w:rsidP="008877B0">
            <w:pPr>
              <w:rPr>
                <w:sz w:val="20"/>
                <w:szCs w:val="20"/>
              </w:rPr>
            </w:pPr>
            <w:r w:rsidRPr="00F775DA">
              <w:rPr>
                <w:sz w:val="20"/>
                <w:szCs w:val="20"/>
              </w:rPr>
              <w:t>15</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2003</w:t>
            </w:r>
          </w:p>
        </w:tc>
        <w:tc>
          <w:tcPr>
            <w:tcW w:w="1288" w:type="dxa"/>
          </w:tcPr>
          <w:p w:rsidR="004C1E6A" w:rsidRPr="00F775DA" w:rsidRDefault="004C1E6A" w:rsidP="008877B0">
            <w:pPr>
              <w:rPr>
                <w:sz w:val="20"/>
                <w:szCs w:val="20"/>
              </w:rPr>
            </w:pPr>
            <w:r w:rsidRPr="00F775DA">
              <w:rPr>
                <w:sz w:val="20"/>
                <w:szCs w:val="20"/>
              </w:rPr>
              <w:t>28</w:t>
            </w:r>
          </w:p>
        </w:tc>
        <w:tc>
          <w:tcPr>
            <w:tcW w:w="1683" w:type="dxa"/>
          </w:tcPr>
          <w:p w:rsidR="004C1E6A" w:rsidRPr="00F775DA" w:rsidRDefault="004C1E6A" w:rsidP="008877B0">
            <w:pPr>
              <w:rPr>
                <w:sz w:val="20"/>
                <w:szCs w:val="20"/>
              </w:rPr>
            </w:pPr>
            <w:r w:rsidRPr="00F775DA">
              <w:rPr>
                <w:sz w:val="20"/>
                <w:szCs w:val="20"/>
              </w:rPr>
              <w:t>10</w:t>
            </w:r>
          </w:p>
        </w:tc>
        <w:tc>
          <w:tcPr>
            <w:tcW w:w="1369" w:type="dxa"/>
          </w:tcPr>
          <w:p w:rsidR="004C1E6A" w:rsidRPr="00F775DA" w:rsidRDefault="004C1E6A" w:rsidP="008877B0">
            <w:pPr>
              <w:rPr>
                <w:sz w:val="20"/>
                <w:szCs w:val="20"/>
              </w:rPr>
            </w:pPr>
            <w:r w:rsidRPr="00F775DA">
              <w:rPr>
                <w:sz w:val="20"/>
                <w:szCs w:val="20"/>
              </w:rPr>
              <w:t>8</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2004</w:t>
            </w:r>
          </w:p>
        </w:tc>
        <w:tc>
          <w:tcPr>
            <w:tcW w:w="1288" w:type="dxa"/>
          </w:tcPr>
          <w:p w:rsidR="004C1E6A" w:rsidRPr="00F775DA" w:rsidRDefault="004C1E6A" w:rsidP="008877B0">
            <w:pPr>
              <w:rPr>
                <w:sz w:val="20"/>
                <w:szCs w:val="20"/>
              </w:rPr>
            </w:pPr>
            <w:r w:rsidRPr="00F775DA">
              <w:rPr>
                <w:sz w:val="20"/>
                <w:szCs w:val="20"/>
              </w:rPr>
              <w:t>31</w:t>
            </w:r>
          </w:p>
        </w:tc>
        <w:tc>
          <w:tcPr>
            <w:tcW w:w="1683" w:type="dxa"/>
          </w:tcPr>
          <w:p w:rsidR="004C1E6A" w:rsidRPr="00F775DA" w:rsidRDefault="004C1E6A" w:rsidP="008877B0">
            <w:pPr>
              <w:rPr>
                <w:sz w:val="20"/>
                <w:szCs w:val="20"/>
              </w:rPr>
            </w:pPr>
            <w:r w:rsidRPr="00F775DA">
              <w:rPr>
                <w:sz w:val="20"/>
                <w:szCs w:val="20"/>
              </w:rPr>
              <w:t>13</w:t>
            </w:r>
          </w:p>
        </w:tc>
        <w:tc>
          <w:tcPr>
            <w:tcW w:w="1369" w:type="dxa"/>
          </w:tcPr>
          <w:p w:rsidR="004C1E6A" w:rsidRPr="00F775DA" w:rsidRDefault="004C1E6A" w:rsidP="008877B0">
            <w:pPr>
              <w:rPr>
                <w:sz w:val="20"/>
                <w:szCs w:val="20"/>
              </w:rPr>
            </w:pPr>
            <w:r w:rsidRPr="00F775DA">
              <w:rPr>
                <w:sz w:val="20"/>
                <w:szCs w:val="20"/>
              </w:rPr>
              <w:t>12</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2005</w:t>
            </w:r>
          </w:p>
        </w:tc>
        <w:tc>
          <w:tcPr>
            <w:tcW w:w="1288" w:type="dxa"/>
          </w:tcPr>
          <w:p w:rsidR="004C1E6A" w:rsidRPr="00F775DA" w:rsidRDefault="004C1E6A" w:rsidP="008877B0">
            <w:pPr>
              <w:rPr>
                <w:sz w:val="20"/>
                <w:szCs w:val="20"/>
              </w:rPr>
            </w:pPr>
            <w:r w:rsidRPr="00F775DA">
              <w:rPr>
                <w:sz w:val="20"/>
                <w:szCs w:val="20"/>
              </w:rPr>
              <w:t>35</w:t>
            </w:r>
          </w:p>
        </w:tc>
        <w:tc>
          <w:tcPr>
            <w:tcW w:w="1683" w:type="dxa"/>
          </w:tcPr>
          <w:p w:rsidR="004C1E6A" w:rsidRPr="00F775DA" w:rsidRDefault="004C1E6A" w:rsidP="008877B0">
            <w:pPr>
              <w:rPr>
                <w:sz w:val="20"/>
                <w:szCs w:val="20"/>
              </w:rPr>
            </w:pPr>
            <w:r w:rsidRPr="00F775DA">
              <w:rPr>
                <w:sz w:val="20"/>
                <w:szCs w:val="20"/>
              </w:rPr>
              <w:t>8</w:t>
            </w:r>
          </w:p>
        </w:tc>
        <w:tc>
          <w:tcPr>
            <w:tcW w:w="1369" w:type="dxa"/>
          </w:tcPr>
          <w:p w:rsidR="004C1E6A" w:rsidRPr="00F775DA" w:rsidRDefault="004C1E6A" w:rsidP="008877B0">
            <w:pPr>
              <w:rPr>
                <w:sz w:val="20"/>
                <w:szCs w:val="20"/>
              </w:rPr>
            </w:pPr>
            <w:r w:rsidRPr="00F775DA">
              <w:rPr>
                <w:sz w:val="20"/>
                <w:szCs w:val="20"/>
              </w:rPr>
              <w:t>21</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2006</w:t>
            </w:r>
          </w:p>
        </w:tc>
        <w:tc>
          <w:tcPr>
            <w:tcW w:w="1288" w:type="dxa"/>
          </w:tcPr>
          <w:p w:rsidR="004C1E6A" w:rsidRPr="00F775DA" w:rsidRDefault="004C1E6A" w:rsidP="008877B0">
            <w:pPr>
              <w:rPr>
                <w:sz w:val="20"/>
                <w:szCs w:val="20"/>
              </w:rPr>
            </w:pPr>
            <w:r w:rsidRPr="00F775DA">
              <w:rPr>
                <w:sz w:val="20"/>
                <w:szCs w:val="20"/>
              </w:rPr>
              <w:t>42</w:t>
            </w:r>
          </w:p>
        </w:tc>
        <w:tc>
          <w:tcPr>
            <w:tcW w:w="1683" w:type="dxa"/>
          </w:tcPr>
          <w:p w:rsidR="004C1E6A" w:rsidRPr="00F775DA" w:rsidRDefault="004C1E6A" w:rsidP="008877B0">
            <w:pPr>
              <w:rPr>
                <w:sz w:val="20"/>
                <w:szCs w:val="20"/>
              </w:rPr>
            </w:pPr>
            <w:r w:rsidRPr="00F775DA">
              <w:rPr>
                <w:sz w:val="20"/>
                <w:szCs w:val="20"/>
              </w:rPr>
              <w:t>12</w:t>
            </w:r>
          </w:p>
        </w:tc>
        <w:tc>
          <w:tcPr>
            <w:tcW w:w="1369" w:type="dxa"/>
          </w:tcPr>
          <w:p w:rsidR="004C1E6A" w:rsidRPr="00F775DA" w:rsidRDefault="004C1E6A" w:rsidP="008877B0">
            <w:pPr>
              <w:rPr>
                <w:sz w:val="20"/>
                <w:szCs w:val="20"/>
              </w:rPr>
            </w:pPr>
            <w:r w:rsidRPr="00F775DA">
              <w:rPr>
                <w:sz w:val="20"/>
                <w:szCs w:val="20"/>
              </w:rPr>
              <w:t>17</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2007</w:t>
            </w:r>
          </w:p>
        </w:tc>
        <w:tc>
          <w:tcPr>
            <w:tcW w:w="1288" w:type="dxa"/>
          </w:tcPr>
          <w:p w:rsidR="004C1E6A" w:rsidRPr="00F775DA" w:rsidRDefault="004C1E6A" w:rsidP="008877B0">
            <w:pPr>
              <w:rPr>
                <w:sz w:val="20"/>
                <w:szCs w:val="20"/>
              </w:rPr>
            </w:pPr>
            <w:r w:rsidRPr="00F775DA">
              <w:rPr>
                <w:sz w:val="20"/>
                <w:szCs w:val="20"/>
              </w:rPr>
              <w:t>37</w:t>
            </w:r>
          </w:p>
        </w:tc>
        <w:tc>
          <w:tcPr>
            <w:tcW w:w="1683" w:type="dxa"/>
          </w:tcPr>
          <w:p w:rsidR="004C1E6A" w:rsidRPr="00F775DA" w:rsidRDefault="004C1E6A" w:rsidP="008877B0">
            <w:pPr>
              <w:rPr>
                <w:sz w:val="20"/>
                <w:szCs w:val="20"/>
              </w:rPr>
            </w:pPr>
            <w:r w:rsidRPr="00F775DA">
              <w:rPr>
                <w:sz w:val="20"/>
                <w:szCs w:val="20"/>
              </w:rPr>
              <w:t>14</w:t>
            </w:r>
          </w:p>
        </w:tc>
        <w:tc>
          <w:tcPr>
            <w:tcW w:w="1369" w:type="dxa"/>
          </w:tcPr>
          <w:p w:rsidR="004C1E6A" w:rsidRPr="00F775DA" w:rsidRDefault="004C1E6A" w:rsidP="008877B0">
            <w:pPr>
              <w:rPr>
                <w:sz w:val="20"/>
                <w:szCs w:val="20"/>
              </w:rPr>
            </w:pPr>
            <w:r w:rsidRPr="00F775DA">
              <w:rPr>
                <w:sz w:val="20"/>
                <w:szCs w:val="20"/>
              </w:rPr>
              <w:t>14</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2008</w:t>
            </w:r>
          </w:p>
        </w:tc>
        <w:tc>
          <w:tcPr>
            <w:tcW w:w="1288" w:type="dxa"/>
          </w:tcPr>
          <w:p w:rsidR="004C1E6A" w:rsidRPr="00F775DA" w:rsidRDefault="004C1E6A" w:rsidP="008877B0">
            <w:pPr>
              <w:rPr>
                <w:sz w:val="20"/>
                <w:szCs w:val="20"/>
              </w:rPr>
            </w:pPr>
            <w:r w:rsidRPr="00F775DA">
              <w:rPr>
                <w:sz w:val="20"/>
                <w:szCs w:val="20"/>
              </w:rPr>
              <w:t>38</w:t>
            </w:r>
          </w:p>
        </w:tc>
        <w:tc>
          <w:tcPr>
            <w:tcW w:w="1683" w:type="dxa"/>
          </w:tcPr>
          <w:p w:rsidR="004C1E6A" w:rsidRPr="00F775DA" w:rsidRDefault="004C1E6A" w:rsidP="008877B0">
            <w:pPr>
              <w:rPr>
                <w:sz w:val="20"/>
                <w:szCs w:val="20"/>
              </w:rPr>
            </w:pPr>
            <w:r w:rsidRPr="00F775DA">
              <w:rPr>
                <w:sz w:val="20"/>
                <w:szCs w:val="20"/>
              </w:rPr>
              <w:t>10</w:t>
            </w:r>
          </w:p>
        </w:tc>
        <w:tc>
          <w:tcPr>
            <w:tcW w:w="1369" w:type="dxa"/>
          </w:tcPr>
          <w:p w:rsidR="004C1E6A" w:rsidRPr="00F775DA" w:rsidRDefault="004C1E6A" w:rsidP="008877B0">
            <w:pPr>
              <w:rPr>
                <w:sz w:val="20"/>
                <w:szCs w:val="20"/>
              </w:rPr>
            </w:pPr>
            <w:r w:rsidRPr="00F775DA">
              <w:rPr>
                <w:sz w:val="20"/>
                <w:szCs w:val="20"/>
              </w:rPr>
              <w:t>24</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2009</w:t>
            </w:r>
          </w:p>
        </w:tc>
        <w:tc>
          <w:tcPr>
            <w:tcW w:w="1288" w:type="dxa"/>
          </w:tcPr>
          <w:p w:rsidR="004C1E6A" w:rsidRPr="00F775DA" w:rsidRDefault="004C1E6A" w:rsidP="008877B0">
            <w:pPr>
              <w:rPr>
                <w:sz w:val="20"/>
                <w:szCs w:val="20"/>
              </w:rPr>
            </w:pPr>
            <w:r w:rsidRPr="00F775DA">
              <w:rPr>
                <w:sz w:val="20"/>
                <w:szCs w:val="20"/>
              </w:rPr>
              <w:t>38</w:t>
            </w:r>
          </w:p>
        </w:tc>
        <w:tc>
          <w:tcPr>
            <w:tcW w:w="1683" w:type="dxa"/>
          </w:tcPr>
          <w:p w:rsidR="004C1E6A" w:rsidRPr="00F775DA" w:rsidRDefault="004C1E6A" w:rsidP="008877B0">
            <w:pPr>
              <w:rPr>
                <w:sz w:val="20"/>
                <w:szCs w:val="20"/>
              </w:rPr>
            </w:pPr>
            <w:r w:rsidRPr="00F775DA">
              <w:rPr>
                <w:sz w:val="20"/>
                <w:szCs w:val="20"/>
              </w:rPr>
              <w:t>13</w:t>
            </w:r>
          </w:p>
        </w:tc>
        <w:tc>
          <w:tcPr>
            <w:tcW w:w="1369" w:type="dxa"/>
          </w:tcPr>
          <w:p w:rsidR="004C1E6A" w:rsidRPr="00F775DA" w:rsidRDefault="004C1E6A" w:rsidP="008877B0">
            <w:pPr>
              <w:rPr>
                <w:sz w:val="20"/>
                <w:szCs w:val="20"/>
              </w:rPr>
            </w:pPr>
            <w:r w:rsidRPr="00F775DA">
              <w:rPr>
                <w:sz w:val="20"/>
                <w:szCs w:val="20"/>
              </w:rPr>
              <w:t>16</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2000-2009</w:t>
            </w: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333</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107</w:t>
            </w:r>
            <w:r w:rsidRPr="00F775DA">
              <w:rPr>
                <w:sz w:val="20"/>
                <w:szCs w:val="20"/>
              </w:rPr>
              <w:fldChar w:fldCharType="end"/>
            </w:r>
          </w:p>
        </w:tc>
        <w:tc>
          <w:tcPr>
            <w:tcW w:w="1369"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146</w:t>
            </w:r>
            <w:r w:rsidRPr="00F775DA">
              <w:rPr>
                <w:sz w:val="20"/>
                <w:szCs w:val="20"/>
              </w:rPr>
              <w:fldChar w:fldCharType="end"/>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p>
        </w:tc>
        <w:tc>
          <w:tcPr>
            <w:tcW w:w="1288" w:type="dxa"/>
          </w:tcPr>
          <w:p w:rsidR="004C1E6A" w:rsidRPr="00F775DA" w:rsidRDefault="004C1E6A" w:rsidP="008877B0">
            <w:pPr>
              <w:rPr>
                <w:sz w:val="20"/>
                <w:szCs w:val="20"/>
              </w:rPr>
            </w:pPr>
          </w:p>
        </w:tc>
        <w:tc>
          <w:tcPr>
            <w:tcW w:w="1683" w:type="dxa"/>
          </w:tcPr>
          <w:p w:rsidR="004C1E6A" w:rsidRPr="00F775DA" w:rsidRDefault="004C1E6A" w:rsidP="008877B0">
            <w:pPr>
              <w:rPr>
                <w:sz w:val="20"/>
                <w:szCs w:val="20"/>
              </w:rPr>
            </w:pP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b/>
                <w:sz w:val="20"/>
                <w:szCs w:val="20"/>
              </w:rPr>
            </w:pPr>
            <w:r w:rsidRPr="00F775DA">
              <w:rPr>
                <w:b/>
                <w:sz w:val="20"/>
                <w:szCs w:val="20"/>
              </w:rPr>
              <w:t>2000-2009 Cases:</w:t>
            </w:r>
          </w:p>
        </w:tc>
        <w:tc>
          <w:tcPr>
            <w:tcW w:w="1288" w:type="dxa"/>
          </w:tcPr>
          <w:p w:rsidR="004C1E6A" w:rsidRPr="00F775DA" w:rsidRDefault="004C1E6A" w:rsidP="008877B0">
            <w:pPr>
              <w:rPr>
                <w:b/>
                <w:sz w:val="20"/>
                <w:szCs w:val="20"/>
              </w:rPr>
            </w:pPr>
            <w:r w:rsidRPr="00F775DA">
              <w:rPr>
                <w:b/>
                <w:sz w:val="20"/>
                <w:szCs w:val="20"/>
              </w:rPr>
              <w:t>Male</w:t>
            </w:r>
          </w:p>
        </w:tc>
        <w:tc>
          <w:tcPr>
            <w:tcW w:w="1683" w:type="dxa"/>
          </w:tcPr>
          <w:p w:rsidR="004C1E6A" w:rsidRPr="00F775DA" w:rsidRDefault="004C1E6A" w:rsidP="008877B0">
            <w:pPr>
              <w:rPr>
                <w:b/>
                <w:sz w:val="20"/>
                <w:szCs w:val="20"/>
              </w:rPr>
            </w:pPr>
            <w:r w:rsidRPr="00F775DA">
              <w:rPr>
                <w:b/>
                <w:sz w:val="20"/>
                <w:szCs w:val="20"/>
              </w:rPr>
              <w:t>Female</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Leukemia</w:t>
            </w:r>
          </w:p>
        </w:tc>
        <w:tc>
          <w:tcPr>
            <w:tcW w:w="1288" w:type="dxa"/>
          </w:tcPr>
          <w:p w:rsidR="004C1E6A" w:rsidRPr="00F775DA" w:rsidRDefault="004C1E6A" w:rsidP="008877B0">
            <w:pPr>
              <w:rPr>
                <w:sz w:val="20"/>
                <w:szCs w:val="20"/>
              </w:rPr>
            </w:pPr>
            <w:r w:rsidRPr="00F775DA">
              <w:rPr>
                <w:sz w:val="20"/>
                <w:szCs w:val="20"/>
              </w:rPr>
              <w:t>379</w:t>
            </w:r>
          </w:p>
        </w:tc>
        <w:tc>
          <w:tcPr>
            <w:tcW w:w="1683" w:type="dxa"/>
          </w:tcPr>
          <w:p w:rsidR="004C1E6A" w:rsidRPr="00F775DA" w:rsidRDefault="004C1E6A" w:rsidP="008877B0">
            <w:pPr>
              <w:rPr>
                <w:sz w:val="20"/>
                <w:szCs w:val="20"/>
              </w:rPr>
            </w:pPr>
            <w:r w:rsidRPr="00F775DA">
              <w:rPr>
                <w:sz w:val="20"/>
                <w:szCs w:val="20"/>
              </w:rPr>
              <w:t>326</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Lymphoma</w:t>
            </w:r>
          </w:p>
        </w:tc>
        <w:tc>
          <w:tcPr>
            <w:tcW w:w="1288" w:type="dxa"/>
          </w:tcPr>
          <w:p w:rsidR="004C1E6A" w:rsidRPr="00F775DA" w:rsidRDefault="004C1E6A" w:rsidP="008877B0">
            <w:pPr>
              <w:rPr>
                <w:sz w:val="20"/>
                <w:szCs w:val="20"/>
              </w:rPr>
            </w:pPr>
            <w:r w:rsidRPr="00F775DA">
              <w:rPr>
                <w:sz w:val="20"/>
                <w:szCs w:val="20"/>
              </w:rPr>
              <w:t>300</w:t>
            </w:r>
          </w:p>
        </w:tc>
        <w:tc>
          <w:tcPr>
            <w:tcW w:w="1683" w:type="dxa"/>
          </w:tcPr>
          <w:p w:rsidR="004C1E6A" w:rsidRPr="00F775DA" w:rsidRDefault="004C1E6A" w:rsidP="008877B0">
            <w:pPr>
              <w:rPr>
                <w:sz w:val="20"/>
                <w:szCs w:val="20"/>
              </w:rPr>
            </w:pPr>
            <w:r w:rsidRPr="00F775DA">
              <w:rPr>
                <w:sz w:val="20"/>
                <w:szCs w:val="20"/>
              </w:rPr>
              <w:t>199</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CNS</w:t>
            </w:r>
          </w:p>
        </w:tc>
        <w:tc>
          <w:tcPr>
            <w:tcW w:w="1288" w:type="dxa"/>
          </w:tcPr>
          <w:p w:rsidR="004C1E6A" w:rsidRPr="00F775DA" w:rsidRDefault="004C1E6A" w:rsidP="008877B0">
            <w:pPr>
              <w:rPr>
                <w:sz w:val="20"/>
                <w:szCs w:val="20"/>
              </w:rPr>
            </w:pPr>
            <w:r w:rsidRPr="00F775DA">
              <w:rPr>
                <w:sz w:val="20"/>
                <w:szCs w:val="20"/>
              </w:rPr>
              <w:t>304</w:t>
            </w:r>
          </w:p>
        </w:tc>
        <w:tc>
          <w:tcPr>
            <w:tcW w:w="1683" w:type="dxa"/>
          </w:tcPr>
          <w:p w:rsidR="004C1E6A" w:rsidRPr="00F775DA" w:rsidRDefault="004C1E6A" w:rsidP="008877B0">
            <w:pPr>
              <w:rPr>
                <w:sz w:val="20"/>
                <w:szCs w:val="20"/>
              </w:rPr>
            </w:pPr>
            <w:r w:rsidRPr="00F775DA">
              <w:rPr>
                <w:sz w:val="20"/>
                <w:szCs w:val="20"/>
              </w:rPr>
              <w:t>256</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PNC</w:t>
            </w:r>
          </w:p>
        </w:tc>
        <w:tc>
          <w:tcPr>
            <w:tcW w:w="1288" w:type="dxa"/>
          </w:tcPr>
          <w:p w:rsidR="004C1E6A" w:rsidRPr="00F775DA" w:rsidRDefault="004C1E6A" w:rsidP="008877B0">
            <w:pPr>
              <w:rPr>
                <w:sz w:val="20"/>
                <w:szCs w:val="20"/>
              </w:rPr>
            </w:pPr>
            <w:r w:rsidRPr="00F775DA">
              <w:rPr>
                <w:sz w:val="20"/>
                <w:szCs w:val="20"/>
              </w:rPr>
              <w:t>107</w:t>
            </w:r>
          </w:p>
        </w:tc>
        <w:tc>
          <w:tcPr>
            <w:tcW w:w="1683" w:type="dxa"/>
          </w:tcPr>
          <w:p w:rsidR="004C1E6A" w:rsidRPr="00F775DA" w:rsidRDefault="004C1E6A" w:rsidP="008877B0">
            <w:pPr>
              <w:rPr>
                <w:sz w:val="20"/>
                <w:szCs w:val="20"/>
              </w:rPr>
            </w:pPr>
            <w:r w:rsidRPr="00F775DA">
              <w:rPr>
                <w:sz w:val="20"/>
                <w:szCs w:val="20"/>
              </w:rPr>
              <w:t>88</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Retinoblastoma</w:t>
            </w:r>
          </w:p>
        </w:tc>
        <w:tc>
          <w:tcPr>
            <w:tcW w:w="1288" w:type="dxa"/>
          </w:tcPr>
          <w:p w:rsidR="004C1E6A" w:rsidRPr="00F775DA" w:rsidRDefault="004C1E6A" w:rsidP="008877B0">
            <w:pPr>
              <w:rPr>
                <w:sz w:val="20"/>
                <w:szCs w:val="20"/>
              </w:rPr>
            </w:pPr>
            <w:r w:rsidRPr="00F775DA">
              <w:rPr>
                <w:sz w:val="20"/>
                <w:szCs w:val="20"/>
              </w:rPr>
              <w:t>17</w:t>
            </w:r>
          </w:p>
        </w:tc>
        <w:tc>
          <w:tcPr>
            <w:tcW w:w="1683" w:type="dxa"/>
          </w:tcPr>
          <w:p w:rsidR="004C1E6A" w:rsidRPr="00F775DA" w:rsidRDefault="004C1E6A" w:rsidP="008877B0">
            <w:pPr>
              <w:rPr>
                <w:sz w:val="20"/>
                <w:szCs w:val="20"/>
              </w:rPr>
            </w:pPr>
            <w:r w:rsidRPr="00F775DA">
              <w:rPr>
                <w:sz w:val="20"/>
                <w:szCs w:val="20"/>
              </w:rPr>
              <w:t>25</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Renal Tumors</w:t>
            </w:r>
          </w:p>
        </w:tc>
        <w:tc>
          <w:tcPr>
            <w:tcW w:w="1288" w:type="dxa"/>
          </w:tcPr>
          <w:p w:rsidR="004C1E6A" w:rsidRPr="00F775DA" w:rsidRDefault="004C1E6A" w:rsidP="008877B0">
            <w:pPr>
              <w:rPr>
                <w:sz w:val="20"/>
                <w:szCs w:val="20"/>
              </w:rPr>
            </w:pPr>
            <w:r w:rsidRPr="00F775DA">
              <w:rPr>
                <w:sz w:val="20"/>
                <w:szCs w:val="20"/>
              </w:rPr>
              <w:t>53</w:t>
            </w:r>
          </w:p>
        </w:tc>
        <w:tc>
          <w:tcPr>
            <w:tcW w:w="1683" w:type="dxa"/>
          </w:tcPr>
          <w:p w:rsidR="004C1E6A" w:rsidRPr="00F775DA" w:rsidRDefault="004C1E6A" w:rsidP="008877B0">
            <w:pPr>
              <w:rPr>
                <w:sz w:val="20"/>
                <w:szCs w:val="20"/>
              </w:rPr>
            </w:pPr>
            <w:r w:rsidRPr="00F775DA">
              <w:rPr>
                <w:sz w:val="20"/>
                <w:szCs w:val="20"/>
              </w:rPr>
              <w:t>56</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Hepatic Tumors</w:t>
            </w:r>
          </w:p>
        </w:tc>
        <w:tc>
          <w:tcPr>
            <w:tcW w:w="1288" w:type="dxa"/>
          </w:tcPr>
          <w:p w:rsidR="004C1E6A" w:rsidRPr="00F775DA" w:rsidRDefault="004C1E6A" w:rsidP="008877B0">
            <w:pPr>
              <w:rPr>
                <w:sz w:val="20"/>
                <w:szCs w:val="20"/>
              </w:rPr>
            </w:pPr>
            <w:r w:rsidRPr="00F775DA">
              <w:rPr>
                <w:sz w:val="20"/>
                <w:szCs w:val="20"/>
              </w:rPr>
              <w:t>18</w:t>
            </w:r>
          </w:p>
        </w:tc>
        <w:tc>
          <w:tcPr>
            <w:tcW w:w="1683" w:type="dxa"/>
          </w:tcPr>
          <w:p w:rsidR="004C1E6A" w:rsidRPr="00F775DA" w:rsidRDefault="004C1E6A" w:rsidP="008877B0">
            <w:pPr>
              <w:rPr>
                <w:sz w:val="20"/>
                <w:szCs w:val="20"/>
              </w:rPr>
            </w:pPr>
            <w:r w:rsidRPr="00F775DA">
              <w:rPr>
                <w:sz w:val="20"/>
                <w:szCs w:val="20"/>
              </w:rPr>
              <w:t>15</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Bone Tumors</w:t>
            </w:r>
          </w:p>
        </w:tc>
        <w:tc>
          <w:tcPr>
            <w:tcW w:w="1288" w:type="dxa"/>
          </w:tcPr>
          <w:p w:rsidR="004C1E6A" w:rsidRPr="00F775DA" w:rsidRDefault="004C1E6A" w:rsidP="008877B0">
            <w:pPr>
              <w:rPr>
                <w:sz w:val="20"/>
                <w:szCs w:val="20"/>
              </w:rPr>
            </w:pPr>
            <w:r w:rsidRPr="00F775DA">
              <w:rPr>
                <w:sz w:val="20"/>
                <w:szCs w:val="20"/>
              </w:rPr>
              <w:t>72</w:t>
            </w:r>
          </w:p>
        </w:tc>
        <w:tc>
          <w:tcPr>
            <w:tcW w:w="1683" w:type="dxa"/>
          </w:tcPr>
          <w:p w:rsidR="004C1E6A" w:rsidRPr="00F775DA" w:rsidRDefault="004C1E6A" w:rsidP="008877B0">
            <w:pPr>
              <w:rPr>
                <w:sz w:val="20"/>
                <w:szCs w:val="20"/>
              </w:rPr>
            </w:pPr>
            <w:r w:rsidRPr="00F775DA">
              <w:rPr>
                <w:sz w:val="20"/>
                <w:szCs w:val="20"/>
              </w:rPr>
              <w:t>52</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Soft Tissue</w:t>
            </w:r>
          </w:p>
        </w:tc>
        <w:tc>
          <w:tcPr>
            <w:tcW w:w="1288" w:type="dxa"/>
          </w:tcPr>
          <w:p w:rsidR="004C1E6A" w:rsidRPr="00F775DA" w:rsidRDefault="004C1E6A" w:rsidP="008877B0">
            <w:pPr>
              <w:rPr>
                <w:sz w:val="20"/>
                <w:szCs w:val="20"/>
              </w:rPr>
            </w:pPr>
            <w:r w:rsidRPr="00F775DA">
              <w:rPr>
                <w:sz w:val="20"/>
                <w:szCs w:val="20"/>
              </w:rPr>
              <w:t>119</w:t>
            </w:r>
          </w:p>
        </w:tc>
        <w:tc>
          <w:tcPr>
            <w:tcW w:w="1683" w:type="dxa"/>
          </w:tcPr>
          <w:p w:rsidR="004C1E6A" w:rsidRPr="00F775DA" w:rsidRDefault="004C1E6A" w:rsidP="008877B0">
            <w:pPr>
              <w:rPr>
                <w:sz w:val="20"/>
                <w:szCs w:val="20"/>
              </w:rPr>
            </w:pPr>
            <w:r w:rsidRPr="00F775DA">
              <w:rPr>
                <w:sz w:val="20"/>
                <w:szCs w:val="20"/>
              </w:rPr>
              <w:t>93</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Germ Cell</w:t>
            </w:r>
          </w:p>
        </w:tc>
        <w:tc>
          <w:tcPr>
            <w:tcW w:w="1288" w:type="dxa"/>
          </w:tcPr>
          <w:p w:rsidR="004C1E6A" w:rsidRPr="00F775DA" w:rsidRDefault="004C1E6A" w:rsidP="008877B0">
            <w:pPr>
              <w:rPr>
                <w:sz w:val="20"/>
                <w:szCs w:val="20"/>
              </w:rPr>
            </w:pPr>
            <w:r w:rsidRPr="00F775DA">
              <w:rPr>
                <w:sz w:val="20"/>
                <w:szCs w:val="20"/>
              </w:rPr>
              <w:t>108</w:t>
            </w:r>
          </w:p>
        </w:tc>
        <w:tc>
          <w:tcPr>
            <w:tcW w:w="1683" w:type="dxa"/>
          </w:tcPr>
          <w:p w:rsidR="004C1E6A" w:rsidRPr="00F775DA" w:rsidRDefault="004C1E6A" w:rsidP="008877B0">
            <w:pPr>
              <w:rPr>
                <w:sz w:val="20"/>
                <w:szCs w:val="20"/>
              </w:rPr>
            </w:pPr>
            <w:r w:rsidRPr="00F775DA">
              <w:rPr>
                <w:sz w:val="20"/>
                <w:szCs w:val="20"/>
              </w:rPr>
              <w:t>66</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Epithelial Tumor</w:t>
            </w:r>
          </w:p>
        </w:tc>
        <w:tc>
          <w:tcPr>
            <w:tcW w:w="1288" w:type="dxa"/>
          </w:tcPr>
          <w:p w:rsidR="004C1E6A" w:rsidRPr="00F775DA" w:rsidRDefault="004C1E6A" w:rsidP="008877B0">
            <w:pPr>
              <w:rPr>
                <w:sz w:val="20"/>
                <w:szCs w:val="20"/>
              </w:rPr>
            </w:pPr>
            <w:r w:rsidRPr="00F775DA">
              <w:rPr>
                <w:sz w:val="20"/>
                <w:szCs w:val="20"/>
              </w:rPr>
              <w:t>120</w:t>
            </w:r>
          </w:p>
        </w:tc>
        <w:tc>
          <w:tcPr>
            <w:tcW w:w="1683" w:type="dxa"/>
          </w:tcPr>
          <w:p w:rsidR="004C1E6A" w:rsidRPr="00F775DA" w:rsidRDefault="004C1E6A" w:rsidP="008877B0">
            <w:pPr>
              <w:rPr>
                <w:sz w:val="20"/>
                <w:szCs w:val="20"/>
              </w:rPr>
            </w:pPr>
            <w:r w:rsidRPr="00F775DA">
              <w:rPr>
                <w:sz w:val="20"/>
                <w:szCs w:val="20"/>
              </w:rPr>
              <w:t>213</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Other</w:t>
            </w:r>
          </w:p>
        </w:tc>
        <w:tc>
          <w:tcPr>
            <w:tcW w:w="1288" w:type="dxa"/>
          </w:tcPr>
          <w:p w:rsidR="004C1E6A" w:rsidRPr="00F775DA" w:rsidRDefault="004C1E6A" w:rsidP="008877B0">
            <w:pPr>
              <w:rPr>
                <w:sz w:val="20"/>
                <w:szCs w:val="20"/>
              </w:rPr>
            </w:pPr>
            <w:r w:rsidRPr="00F775DA">
              <w:rPr>
                <w:sz w:val="20"/>
                <w:szCs w:val="20"/>
              </w:rPr>
              <w:t>6</w:t>
            </w:r>
          </w:p>
        </w:tc>
        <w:tc>
          <w:tcPr>
            <w:tcW w:w="1683" w:type="dxa"/>
          </w:tcPr>
          <w:p w:rsidR="004C1E6A" w:rsidRPr="00F775DA" w:rsidRDefault="004C1E6A" w:rsidP="008877B0">
            <w:pPr>
              <w:rPr>
                <w:sz w:val="20"/>
                <w:szCs w:val="20"/>
              </w:rPr>
            </w:pPr>
            <w:r w:rsidRPr="00F775DA">
              <w:rPr>
                <w:sz w:val="20"/>
                <w:szCs w:val="20"/>
              </w:rPr>
              <w:t>9</w:t>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All Cancers</w:t>
            </w: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1603</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1398</w:t>
            </w:r>
            <w:r w:rsidRPr="00F775DA">
              <w:rPr>
                <w:sz w:val="20"/>
                <w:szCs w:val="20"/>
              </w:rPr>
              <w:fldChar w:fldCharType="end"/>
            </w:r>
          </w:p>
        </w:tc>
        <w:tc>
          <w:tcPr>
            <w:tcW w:w="1369" w:type="dxa"/>
          </w:tcPr>
          <w:p w:rsidR="004C1E6A" w:rsidRPr="00F775DA" w:rsidRDefault="004C1E6A" w:rsidP="008877B0">
            <w:pPr>
              <w:rPr>
                <w:sz w:val="20"/>
                <w:szCs w:val="20"/>
              </w:rPr>
            </w:pP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b/>
                <w:sz w:val="20"/>
                <w:szCs w:val="20"/>
              </w:rPr>
            </w:pPr>
            <w:r w:rsidRPr="00F775DA">
              <w:rPr>
                <w:b/>
                <w:sz w:val="20"/>
                <w:szCs w:val="20"/>
              </w:rPr>
              <w:t>2000-2009 Cases:</w:t>
            </w:r>
          </w:p>
        </w:tc>
        <w:tc>
          <w:tcPr>
            <w:tcW w:w="1288" w:type="dxa"/>
          </w:tcPr>
          <w:p w:rsidR="004C1E6A" w:rsidRPr="00F775DA" w:rsidRDefault="004C1E6A" w:rsidP="008877B0">
            <w:pPr>
              <w:rPr>
                <w:b/>
                <w:sz w:val="20"/>
                <w:szCs w:val="20"/>
              </w:rPr>
            </w:pPr>
            <w:r w:rsidRPr="00F775DA">
              <w:rPr>
                <w:b/>
                <w:sz w:val="20"/>
                <w:szCs w:val="20"/>
              </w:rPr>
              <w:t>0-4</w:t>
            </w:r>
          </w:p>
        </w:tc>
        <w:tc>
          <w:tcPr>
            <w:tcW w:w="1683" w:type="dxa"/>
          </w:tcPr>
          <w:p w:rsidR="004C1E6A" w:rsidRPr="00F775DA" w:rsidRDefault="004C1E6A" w:rsidP="008877B0">
            <w:pPr>
              <w:rPr>
                <w:b/>
                <w:sz w:val="20"/>
                <w:szCs w:val="20"/>
              </w:rPr>
            </w:pPr>
            <w:r w:rsidRPr="00F775DA">
              <w:rPr>
                <w:b/>
                <w:sz w:val="20"/>
                <w:szCs w:val="20"/>
              </w:rPr>
              <w:t>5-9</w:t>
            </w:r>
          </w:p>
        </w:tc>
        <w:tc>
          <w:tcPr>
            <w:tcW w:w="1369" w:type="dxa"/>
          </w:tcPr>
          <w:p w:rsidR="004C1E6A" w:rsidRPr="00F775DA" w:rsidRDefault="004C1E6A" w:rsidP="008877B0">
            <w:pPr>
              <w:rPr>
                <w:b/>
                <w:sz w:val="20"/>
                <w:szCs w:val="20"/>
              </w:rPr>
            </w:pPr>
            <w:r w:rsidRPr="00F775DA">
              <w:rPr>
                <w:b/>
                <w:sz w:val="20"/>
                <w:szCs w:val="20"/>
              </w:rPr>
              <w:t>10-14</w:t>
            </w:r>
          </w:p>
        </w:tc>
        <w:tc>
          <w:tcPr>
            <w:tcW w:w="1283" w:type="dxa"/>
          </w:tcPr>
          <w:p w:rsidR="004C1E6A" w:rsidRPr="00F775DA" w:rsidRDefault="004C1E6A" w:rsidP="008877B0">
            <w:pPr>
              <w:rPr>
                <w:b/>
                <w:sz w:val="20"/>
                <w:szCs w:val="20"/>
              </w:rPr>
            </w:pPr>
            <w:r w:rsidRPr="00F775DA">
              <w:rPr>
                <w:b/>
                <w:sz w:val="20"/>
                <w:szCs w:val="20"/>
              </w:rPr>
              <w:t>15-19</w:t>
            </w: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Leukemia</w:t>
            </w:r>
          </w:p>
        </w:tc>
        <w:tc>
          <w:tcPr>
            <w:tcW w:w="1288" w:type="dxa"/>
          </w:tcPr>
          <w:p w:rsidR="004C1E6A" w:rsidRPr="00F775DA" w:rsidRDefault="004C1E6A" w:rsidP="008877B0">
            <w:pPr>
              <w:rPr>
                <w:sz w:val="20"/>
                <w:szCs w:val="20"/>
              </w:rPr>
            </w:pPr>
            <w:r w:rsidRPr="00F775DA">
              <w:rPr>
                <w:sz w:val="20"/>
                <w:szCs w:val="20"/>
              </w:rPr>
              <w:t>330</w:t>
            </w:r>
          </w:p>
        </w:tc>
        <w:tc>
          <w:tcPr>
            <w:tcW w:w="1683" w:type="dxa"/>
          </w:tcPr>
          <w:p w:rsidR="004C1E6A" w:rsidRPr="00F775DA" w:rsidRDefault="004C1E6A" w:rsidP="008877B0">
            <w:pPr>
              <w:rPr>
                <w:sz w:val="20"/>
                <w:szCs w:val="20"/>
              </w:rPr>
            </w:pPr>
            <w:r w:rsidRPr="00F775DA">
              <w:rPr>
                <w:sz w:val="20"/>
                <w:szCs w:val="20"/>
              </w:rPr>
              <w:t>131</w:t>
            </w:r>
          </w:p>
        </w:tc>
        <w:tc>
          <w:tcPr>
            <w:tcW w:w="1369" w:type="dxa"/>
          </w:tcPr>
          <w:p w:rsidR="004C1E6A" w:rsidRPr="00F775DA" w:rsidRDefault="004C1E6A" w:rsidP="008877B0">
            <w:pPr>
              <w:rPr>
                <w:sz w:val="20"/>
                <w:szCs w:val="20"/>
              </w:rPr>
            </w:pPr>
            <w:r w:rsidRPr="00F775DA">
              <w:rPr>
                <w:sz w:val="20"/>
                <w:szCs w:val="20"/>
              </w:rPr>
              <w:t>115</w:t>
            </w:r>
          </w:p>
        </w:tc>
        <w:tc>
          <w:tcPr>
            <w:tcW w:w="1283" w:type="dxa"/>
          </w:tcPr>
          <w:p w:rsidR="004C1E6A" w:rsidRPr="00F775DA" w:rsidRDefault="004C1E6A" w:rsidP="008877B0">
            <w:pPr>
              <w:rPr>
                <w:sz w:val="20"/>
                <w:szCs w:val="20"/>
              </w:rPr>
            </w:pPr>
            <w:r w:rsidRPr="00F775DA">
              <w:rPr>
                <w:sz w:val="20"/>
                <w:szCs w:val="20"/>
              </w:rPr>
              <w:t>129</w:t>
            </w: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Lymphoma</w:t>
            </w:r>
          </w:p>
        </w:tc>
        <w:tc>
          <w:tcPr>
            <w:tcW w:w="1288" w:type="dxa"/>
          </w:tcPr>
          <w:p w:rsidR="004C1E6A" w:rsidRPr="00F775DA" w:rsidRDefault="004C1E6A" w:rsidP="008877B0">
            <w:pPr>
              <w:rPr>
                <w:sz w:val="20"/>
                <w:szCs w:val="20"/>
              </w:rPr>
            </w:pPr>
            <w:r w:rsidRPr="00F775DA">
              <w:rPr>
                <w:sz w:val="20"/>
                <w:szCs w:val="20"/>
              </w:rPr>
              <w:t>26</w:t>
            </w:r>
          </w:p>
        </w:tc>
        <w:tc>
          <w:tcPr>
            <w:tcW w:w="1683" w:type="dxa"/>
          </w:tcPr>
          <w:p w:rsidR="004C1E6A" w:rsidRPr="00F775DA" w:rsidRDefault="004C1E6A" w:rsidP="008877B0">
            <w:pPr>
              <w:rPr>
                <w:sz w:val="20"/>
                <w:szCs w:val="20"/>
              </w:rPr>
            </w:pPr>
            <w:r w:rsidRPr="00F775DA">
              <w:rPr>
                <w:sz w:val="20"/>
                <w:szCs w:val="20"/>
              </w:rPr>
              <w:t>62</w:t>
            </w:r>
          </w:p>
        </w:tc>
        <w:tc>
          <w:tcPr>
            <w:tcW w:w="1369" w:type="dxa"/>
          </w:tcPr>
          <w:p w:rsidR="004C1E6A" w:rsidRPr="00F775DA" w:rsidRDefault="004C1E6A" w:rsidP="008877B0">
            <w:pPr>
              <w:rPr>
                <w:sz w:val="20"/>
                <w:szCs w:val="20"/>
              </w:rPr>
            </w:pPr>
            <w:r w:rsidRPr="00F775DA">
              <w:rPr>
                <w:sz w:val="20"/>
                <w:szCs w:val="20"/>
              </w:rPr>
              <w:t>141</w:t>
            </w:r>
          </w:p>
        </w:tc>
        <w:tc>
          <w:tcPr>
            <w:tcW w:w="1283" w:type="dxa"/>
          </w:tcPr>
          <w:p w:rsidR="004C1E6A" w:rsidRPr="00F775DA" w:rsidRDefault="004C1E6A" w:rsidP="008877B0">
            <w:pPr>
              <w:rPr>
                <w:sz w:val="20"/>
                <w:szCs w:val="20"/>
              </w:rPr>
            </w:pPr>
            <w:r w:rsidRPr="00F775DA">
              <w:rPr>
                <w:sz w:val="20"/>
                <w:szCs w:val="20"/>
              </w:rPr>
              <w:t>270</w:t>
            </w: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CNS</w:t>
            </w:r>
          </w:p>
        </w:tc>
        <w:tc>
          <w:tcPr>
            <w:tcW w:w="1288" w:type="dxa"/>
          </w:tcPr>
          <w:p w:rsidR="004C1E6A" w:rsidRPr="00F775DA" w:rsidRDefault="004C1E6A" w:rsidP="008877B0">
            <w:pPr>
              <w:rPr>
                <w:sz w:val="20"/>
                <w:szCs w:val="20"/>
              </w:rPr>
            </w:pPr>
            <w:r w:rsidRPr="00F775DA">
              <w:rPr>
                <w:sz w:val="20"/>
                <w:szCs w:val="20"/>
              </w:rPr>
              <w:t>180</w:t>
            </w:r>
          </w:p>
        </w:tc>
        <w:tc>
          <w:tcPr>
            <w:tcW w:w="1683" w:type="dxa"/>
          </w:tcPr>
          <w:p w:rsidR="004C1E6A" w:rsidRPr="00F775DA" w:rsidRDefault="004C1E6A" w:rsidP="008877B0">
            <w:pPr>
              <w:rPr>
                <w:sz w:val="20"/>
                <w:szCs w:val="20"/>
              </w:rPr>
            </w:pPr>
            <w:r w:rsidRPr="00F775DA">
              <w:rPr>
                <w:sz w:val="20"/>
                <w:szCs w:val="20"/>
              </w:rPr>
              <w:t>162</w:t>
            </w:r>
          </w:p>
        </w:tc>
        <w:tc>
          <w:tcPr>
            <w:tcW w:w="1369" w:type="dxa"/>
          </w:tcPr>
          <w:p w:rsidR="004C1E6A" w:rsidRPr="00F775DA" w:rsidRDefault="004C1E6A" w:rsidP="008877B0">
            <w:pPr>
              <w:rPr>
                <w:sz w:val="20"/>
                <w:szCs w:val="20"/>
              </w:rPr>
            </w:pPr>
            <w:r w:rsidRPr="00F775DA">
              <w:rPr>
                <w:sz w:val="20"/>
                <w:szCs w:val="20"/>
              </w:rPr>
              <w:t>111</w:t>
            </w:r>
          </w:p>
        </w:tc>
        <w:tc>
          <w:tcPr>
            <w:tcW w:w="1283" w:type="dxa"/>
          </w:tcPr>
          <w:p w:rsidR="004C1E6A" w:rsidRPr="00F775DA" w:rsidRDefault="004C1E6A" w:rsidP="008877B0">
            <w:pPr>
              <w:rPr>
                <w:sz w:val="20"/>
                <w:szCs w:val="20"/>
              </w:rPr>
            </w:pPr>
            <w:r w:rsidRPr="00F775DA">
              <w:rPr>
                <w:sz w:val="20"/>
                <w:szCs w:val="20"/>
              </w:rPr>
              <w:t>107</w:t>
            </w: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PNC</w:t>
            </w:r>
          </w:p>
        </w:tc>
        <w:tc>
          <w:tcPr>
            <w:tcW w:w="1288" w:type="dxa"/>
          </w:tcPr>
          <w:p w:rsidR="004C1E6A" w:rsidRPr="00F775DA" w:rsidRDefault="004C1E6A" w:rsidP="008877B0">
            <w:pPr>
              <w:rPr>
                <w:sz w:val="20"/>
                <w:szCs w:val="20"/>
              </w:rPr>
            </w:pPr>
            <w:r w:rsidRPr="00F775DA">
              <w:rPr>
                <w:sz w:val="20"/>
                <w:szCs w:val="20"/>
              </w:rPr>
              <w:t>158</w:t>
            </w:r>
          </w:p>
        </w:tc>
        <w:tc>
          <w:tcPr>
            <w:tcW w:w="1683" w:type="dxa"/>
          </w:tcPr>
          <w:p w:rsidR="004C1E6A" w:rsidRPr="00F775DA" w:rsidRDefault="004C1E6A" w:rsidP="008877B0">
            <w:pPr>
              <w:rPr>
                <w:sz w:val="20"/>
                <w:szCs w:val="20"/>
              </w:rPr>
            </w:pPr>
            <w:r w:rsidRPr="00F775DA">
              <w:rPr>
                <w:sz w:val="20"/>
                <w:szCs w:val="20"/>
              </w:rPr>
              <w:t>22</w:t>
            </w:r>
          </w:p>
        </w:tc>
        <w:tc>
          <w:tcPr>
            <w:tcW w:w="1369" w:type="dxa"/>
          </w:tcPr>
          <w:p w:rsidR="004C1E6A" w:rsidRPr="00F775DA" w:rsidRDefault="004C1E6A" w:rsidP="008877B0">
            <w:pPr>
              <w:rPr>
                <w:sz w:val="20"/>
                <w:szCs w:val="20"/>
              </w:rPr>
            </w:pPr>
            <w:r w:rsidRPr="00F775DA">
              <w:rPr>
                <w:sz w:val="20"/>
                <w:szCs w:val="20"/>
              </w:rPr>
              <w:t>10</w:t>
            </w:r>
          </w:p>
        </w:tc>
        <w:tc>
          <w:tcPr>
            <w:tcW w:w="1283" w:type="dxa"/>
          </w:tcPr>
          <w:p w:rsidR="004C1E6A" w:rsidRPr="00F775DA" w:rsidRDefault="004C1E6A" w:rsidP="008877B0">
            <w:pPr>
              <w:rPr>
                <w:sz w:val="20"/>
                <w:szCs w:val="20"/>
              </w:rPr>
            </w:pPr>
            <w:r w:rsidRPr="00F775DA">
              <w:rPr>
                <w:sz w:val="20"/>
                <w:szCs w:val="20"/>
              </w:rPr>
              <w:t>5</w:t>
            </w: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Retinoblastoma</w:t>
            </w:r>
          </w:p>
        </w:tc>
        <w:tc>
          <w:tcPr>
            <w:tcW w:w="1288" w:type="dxa"/>
          </w:tcPr>
          <w:p w:rsidR="004C1E6A" w:rsidRPr="00F775DA" w:rsidRDefault="004C1E6A" w:rsidP="008877B0">
            <w:pPr>
              <w:rPr>
                <w:sz w:val="20"/>
                <w:szCs w:val="20"/>
              </w:rPr>
            </w:pPr>
            <w:r w:rsidRPr="00F775DA">
              <w:rPr>
                <w:sz w:val="20"/>
                <w:szCs w:val="20"/>
              </w:rPr>
              <w:t>41</w:t>
            </w:r>
          </w:p>
        </w:tc>
        <w:tc>
          <w:tcPr>
            <w:tcW w:w="1683" w:type="dxa"/>
          </w:tcPr>
          <w:p w:rsidR="004C1E6A" w:rsidRPr="00F775DA" w:rsidRDefault="004C1E6A" w:rsidP="008877B0">
            <w:pPr>
              <w:rPr>
                <w:sz w:val="20"/>
                <w:szCs w:val="20"/>
              </w:rPr>
            </w:pPr>
            <w:r w:rsidRPr="00F775DA">
              <w:rPr>
                <w:sz w:val="20"/>
                <w:szCs w:val="20"/>
              </w:rPr>
              <w:t>0</w:t>
            </w:r>
          </w:p>
        </w:tc>
        <w:tc>
          <w:tcPr>
            <w:tcW w:w="1369" w:type="dxa"/>
          </w:tcPr>
          <w:p w:rsidR="004C1E6A" w:rsidRPr="00F775DA" w:rsidRDefault="004C1E6A" w:rsidP="008877B0">
            <w:pPr>
              <w:rPr>
                <w:sz w:val="20"/>
                <w:szCs w:val="20"/>
              </w:rPr>
            </w:pPr>
            <w:r w:rsidRPr="00F775DA">
              <w:rPr>
                <w:sz w:val="20"/>
                <w:szCs w:val="20"/>
              </w:rPr>
              <w:t>&lt;5</w:t>
            </w:r>
          </w:p>
        </w:tc>
        <w:tc>
          <w:tcPr>
            <w:tcW w:w="1283" w:type="dxa"/>
          </w:tcPr>
          <w:p w:rsidR="004C1E6A" w:rsidRPr="00F775DA" w:rsidRDefault="004C1E6A" w:rsidP="008877B0">
            <w:pPr>
              <w:rPr>
                <w:sz w:val="20"/>
                <w:szCs w:val="20"/>
              </w:rPr>
            </w:pPr>
            <w:r w:rsidRPr="00F775DA">
              <w:rPr>
                <w:sz w:val="20"/>
                <w:szCs w:val="20"/>
              </w:rPr>
              <w:t>0</w:t>
            </w: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Renal Tumors</w:t>
            </w:r>
          </w:p>
        </w:tc>
        <w:tc>
          <w:tcPr>
            <w:tcW w:w="1288" w:type="dxa"/>
          </w:tcPr>
          <w:p w:rsidR="004C1E6A" w:rsidRPr="00F775DA" w:rsidRDefault="004C1E6A" w:rsidP="008877B0">
            <w:pPr>
              <w:rPr>
                <w:sz w:val="20"/>
                <w:szCs w:val="20"/>
              </w:rPr>
            </w:pPr>
            <w:r w:rsidRPr="00F775DA">
              <w:rPr>
                <w:sz w:val="20"/>
                <w:szCs w:val="20"/>
              </w:rPr>
              <w:t>68</w:t>
            </w:r>
          </w:p>
        </w:tc>
        <w:tc>
          <w:tcPr>
            <w:tcW w:w="1683" w:type="dxa"/>
          </w:tcPr>
          <w:p w:rsidR="004C1E6A" w:rsidRPr="00F775DA" w:rsidRDefault="004C1E6A" w:rsidP="008877B0">
            <w:pPr>
              <w:rPr>
                <w:sz w:val="20"/>
                <w:szCs w:val="20"/>
              </w:rPr>
            </w:pPr>
            <w:r w:rsidRPr="00F775DA">
              <w:rPr>
                <w:sz w:val="20"/>
                <w:szCs w:val="20"/>
              </w:rPr>
              <w:t>30</w:t>
            </w:r>
          </w:p>
        </w:tc>
        <w:tc>
          <w:tcPr>
            <w:tcW w:w="1369" w:type="dxa"/>
          </w:tcPr>
          <w:p w:rsidR="004C1E6A" w:rsidRPr="00F775DA" w:rsidRDefault="004C1E6A" w:rsidP="008877B0">
            <w:pPr>
              <w:rPr>
                <w:sz w:val="20"/>
                <w:szCs w:val="20"/>
              </w:rPr>
            </w:pPr>
            <w:r w:rsidRPr="00F775DA">
              <w:rPr>
                <w:sz w:val="20"/>
                <w:szCs w:val="20"/>
              </w:rPr>
              <w:t>7</w:t>
            </w:r>
          </w:p>
        </w:tc>
        <w:tc>
          <w:tcPr>
            <w:tcW w:w="1283" w:type="dxa"/>
          </w:tcPr>
          <w:p w:rsidR="004C1E6A" w:rsidRPr="00F775DA" w:rsidRDefault="004C1E6A" w:rsidP="008877B0">
            <w:pPr>
              <w:rPr>
                <w:sz w:val="20"/>
                <w:szCs w:val="20"/>
              </w:rPr>
            </w:pPr>
            <w:r w:rsidRPr="00F775DA">
              <w:rPr>
                <w:sz w:val="20"/>
                <w:szCs w:val="20"/>
              </w:rPr>
              <w:t>&lt;5</w:t>
            </w: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Hepatic Tumors</w:t>
            </w:r>
          </w:p>
        </w:tc>
        <w:tc>
          <w:tcPr>
            <w:tcW w:w="1288" w:type="dxa"/>
          </w:tcPr>
          <w:p w:rsidR="004C1E6A" w:rsidRPr="00F775DA" w:rsidRDefault="004C1E6A" w:rsidP="008877B0">
            <w:pPr>
              <w:rPr>
                <w:sz w:val="20"/>
                <w:szCs w:val="20"/>
              </w:rPr>
            </w:pPr>
            <w:r w:rsidRPr="00F775DA">
              <w:rPr>
                <w:sz w:val="20"/>
                <w:szCs w:val="20"/>
              </w:rPr>
              <w:t>26</w:t>
            </w:r>
          </w:p>
        </w:tc>
        <w:tc>
          <w:tcPr>
            <w:tcW w:w="1683" w:type="dxa"/>
          </w:tcPr>
          <w:p w:rsidR="004C1E6A" w:rsidRPr="00F775DA" w:rsidRDefault="004C1E6A" w:rsidP="008877B0">
            <w:pPr>
              <w:rPr>
                <w:sz w:val="20"/>
                <w:szCs w:val="20"/>
              </w:rPr>
            </w:pPr>
            <w:r w:rsidRPr="00F775DA">
              <w:rPr>
                <w:sz w:val="20"/>
                <w:szCs w:val="20"/>
              </w:rPr>
              <w:t>&lt;5</w:t>
            </w:r>
          </w:p>
        </w:tc>
        <w:tc>
          <w:tcPr>
            <w:tcW w:w="1369" w:type="dxa"/>
          </w:tcPr>
          <w:p w:rsidR="004C1E6A" w:rsidRPr="00F775DA" w:rsidRDefault="004C1E6A" w:rsidP="008877B0">
            <w:pPr>
              <w:rPr>
                <w:sz w:val="20"/>
                <w:szCs w:val="20"/>
              </w:rPr>
            </w:pPr>
            <w:r w:rsidRPr="00F775DA">
              <w:rPr>
                <w:sz w:val="20"/>
                <w:szCs w:val="20"/>
              </w:rPr>
              <w:t>&lt;5</w:t>
            </w:r>
          </w:p>
        </w:tc>
        <w:tc>
          <w:tcPr>
            <w:tcW w:w="1283" w:type="dxa"/>
          </w:tcPr>
          <w:p w:rsidR="004C1E6A" w:rsidRPr="00F775DA" w:rsidRDefault="004C1E6A" w:rsidP="008877B0">
            <w:pPr>
              <w:rPr>
                <w:sz w:val="20"/>
                <w:szCs w:val="20"/>
              </w:rPr>
            </w:pPr>
            <w:r w:rsidRPr="00F775DA">
              <w:rPr>
                <w:sz w:val="20"/>
                <w:szCs w:val="20"/>
              </w:rPr>
              <w:t>&lt;5</w:t>
            </w: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Bone Tumors</w:t>
            </w:r>
          </w:p>
        </w:tc>
        <w:tc>
          <w:tcPr>
            <w:tcW w:w="1288" w:type="dxa"/>
          </w:tcPr>
          <w:p w:rsidR="004C1E6A" w:rsidRPr="00F775DA" w:rsidRDefault="004C1E6A" w:rsidP="008877B0">
            <w:pPr>
              <w:rPr>
                <w:sz w:val="20"/>
                <w:szCs w:val="20"/>
              </w:rPr>
            </w:pPr>
            <w:r w:rsidRPr="00F775DA">
              <w:rPr>
                <w:sz w:val="20"/>
                <w:szCs w:val="20"/>
              </w:rPr>
              <w:t>5</w:t>
            </w:r>
          </w:p>
        </w:tc>
        <w:tc>
          <w:tcPr>
            <w:tcW w:w="1683" w:type="dxa"/>
          </w:tcPr>
          <w:p w:rsidR="004C1E6A" w:rsidRPr="00F775DA" w:rsidRDefault="004C1E6A" w:rsidP="008877B0">
            <w:pPr>
              <w:rPr>
                <w:sz w:val="20"/>
                <w:szCs w:val="20"/>
              </w:rPr>
            </w:pPr>
            <w:r w:rsidRPr="00F775DA">
              <w:rPr>
                <w:sz w:val="20"/>
                <w:szCs w:val="20"/>
              </w:rPr>
              <w:t>20</w:t>
            </w:r>
          </w:p>
        </w:tc>
        <w:tc>
          <w:tcPr>
            <w:tcW w:w="1369" w:type="dxa"/>
          </w:tcPr>
          <w:p w:rsidR="004C1E6A" w:rsidRPr="00F775DA" w:rsidRDefault="004C1E6A" w:rsidP="008877B0">
            <w:pPr>
              <w:rPr>
                <w:sz w:val="20"/>
                <w:szCs w:val="20"/>
              </w:rPr>
            </w:pPr>
            <w:r w:rsidRPr="00F775DA">
              <w:rPr>
                <w:sz w:val="20"/>
                <w:szCs w:val="20"/>
              </w:rPr>
              <w:t>55</w:t>
            </w:r>
          </w:p>
        </w:tc>
        <w:tc>
          <w:tcPr>
            <w:tcW w:w="1283" w:type="dxa"/>
          </w:tcPr>
          <w:p w:rsidR="004C1E6A" w:rsidRPr="00F775DA" w:rsidRDefault="004C1E6A" w:rsidP="008877B0">
            <w:pPr>
              <w:rPr>
                <w:sz w:val="20"/>
                <w:szCs w:val="20"/>
              </w:rPr>
            </w:pPr>
            <w:r w:rsidRPr="00F775DA">
              <w:rPr>
                <w:sz w:val="20"/>
                <w:szCs w:val="20"/>
              </w:rPr>
              <w:t>44</w:t>
            </w: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Soft Tissue</w:t>
            </w:r>
          </w:p>
        </w:tc>
        <w:tc>
          <w:tcPr>
            <w:tcW w:w="1288" w:type="dxa"/>
          </w:tcPr>
          <w:p w:rsidR="004C1E6A" w:rsidRPr="00F775DA" w:rsidRDefault="004C1E6A" w:rsidP="008877B0">
            <w:pPr>
              <w:rPr>
                <w:sz w:val="20"/>
                <w:szCs w:val="20"/>
              </w:rPr>
            </w:pPr>
            <w:r w:rsidRPr="00F775DA">
              <w:rPr>
                <w:sz w:val="20"/>
                <w:szCs w:val="20"/>
              </w:rPr>
              <w:t>46</w:t>
            </w:r>
          </w:p>
        </w:tc>
        <w:tc>
          <w:tcPr>
            <w:tcW w:w="1683" w:type="dxa"/>
          </w:tcPr>
          <w:p w:rsidR="004C1E6A" w:rsidRPr="00F775DA" w:rsidRDefault="004C1E6A" w:rsidP="008877B0">
            <w:pPr>
              <w:rPr>
                <w:sz w:val="20"/>
                <w:szCs w:val="20"/>
              </w:rPr>
            </w:pPr>
            <w:r w:rsidRPr="00F775DA">
              <w:rPr>
                <w:sz w:val="20"/>
                <w:szCs w:val="20"/>
              </w:rPr>
              <w:t>38</w:t>
            </w:r>
          </w:p>
        </w:tc>
        <w:tc>
          <w:tcPr>
            <w:tcW w:w="1369" w:type="dxa"/>
          </w:tcPr>
          <w:p w:rsidR="004C1E6A" w:rsidRPr="00F775DA" w:rsidRDefault="004C1E6A" w:rsidP="008877B0">
            <w:pPr>
              <w:rPr>
                <w:sz w:val="20"/>
                <w:szCs w:val="20"/>
              </w:rPr>
            </w:pPr>
            <w:r w:rsidRPr="00F775DA">
              <w:rPr>
                <w:sz w:val="20"/>
                <w:szCs w:val="20"/>
              </w:rPr>
              <w:t>35</w:t>
            </w:r>
          </w:p>
        </w:tc>
        <w:tc>
          <w:tcPr>
            <w:tcW w:w="1283" w:type="dxa"/>
          </w:tcPr>
          <w:p w:rsidR="004C1E6A" w:rsidRPr="00F775DA" w:rsidRDefault="004C1E6A" w:rsidP="008877B0">
            <w:pPr>
              <w:rPr>
                <w:sz w:val="20"/>
                <w:szCs w:val="20"/>
              </w:rPr>
            </w:pPr>
            <w:r w:rsidRPr="00F775DA">
              <w:rPr>
                <w:sz w:val="20"/>
                <w:szCs w:val="20"/>
              </w:rPr>
              <w:t>93</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Germ Cell</w:t>
            </w:r>
          </w:p>
        </w:tc>
        <w:tc>
          <w:tcPr>
            <w:tcW w:w="1288" w:type="dxa"/>
          </w:tcPr>
          <w:p w:rsidR="004C1E6A" w:rsidRPr="00F775DA" w:rsidRDefault="004C1E6A" w:rsidP="008877B0">
            <w:pPr>
              <w:rPr>
                <w:sz w:val="20"/>
                <w:szCs w:val="20"/>
              </w:rPr>
            </w:pPr>
            <w:r w:rsidRPr="00F775DA">
              <w:rPr>
                <w:sz w:val="20"/>
                <w:szCs w:val="20"/>
              </w:rPr>
              <w:t>27</w:t>
            </w:r>
          </w:p>
        </w:tc>
        <w:tc>
          <w:tcPr>
            <w:tcW w:w="1683" w:type="dxa"/>
          </w:tcPr>
          <w:p w:rsidR="004C1E6A" w:rsidRPr="00F775DA" w:rsidRDefault="004C1E6A" w:rsidP="008877B0">
            <w:pPr>
              <w:rPr>
                <w:sz w:val="20"/>
                <w:szCs w:val="20"/>
              </w:rPr>
            </w:pPr>
            <w:r w:rsidRPr="00F775DA">
              <w:rPr>
                <w:sz w:val="20"/>
                <w:szCs w:val="20"/>
              </w:rPr>
              <w:t>12</w:t>
            </w:r>
          </w:p>
        </w:tc>
        <w:tc>
          <w:tcPr>
            <w:tcW w:w="1369" w:type="dxa"/>
          </w:tcPr>
          <w:p w:rsidR="004C1E6A" w:rsidRPr="00F775DA" w:rsidRDefault="004C1E6A" w:rsidP="008877B0">
            <w:pPr>
              <w:rPr>
                <w:sz w:val="20"/>
                <w:szCs w:val="20"/>
              </w:rPr>
            </w:pPr>
            <w:r w:rsidRPr="00F775DA">
              <w:rPr>
                <w:sz w:val="20"/>
                <w:szCs w:val="20"/>
              </w:rPr>
              <w:t>20</w:t>
            </w:r>
          </w:p>
        </w:tc>
        <w:tc>
          <w:tcPr>
            <w:tcW w:w="1283" w:type="dxa"/>
          </w:tcPr>
          <w:p w:rsidR="004C1E6A" w:rsidRPr="00F775DA" w:rsidRDefault="004C1E6A" w:rsidP="008877B0">
            <w:pPr>
              <w:rPr>
                <w:sz w:val="20"/>
                <w:szCs w:val="20"/>
              </w:rPr>
            </w:pPr>
            <w:r w:rsidRPr="00F775DA">
              <w:rPr>
                <w:sz w:val="20"/>
                <w:szCs w:val="20"/>
              </w:rPr>
              <w:t>115</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Epithelial Tumor</w:t>
            </w:r>
          </w:p>
        </w:tc>
        <w:tc>
          <w:tcPr>
            <w:tcW w:w="1288" w:type="dxa"/>
          </w:tcPr>
          <w:p w:rsidR="004C1E6A" w:rsidRPr="00F775DA" w:rsidRDefault="004C1E6A" w:rsidP="008877B0">
            <w:pPr>
              <w:rPr>
                <w:sz w:val="20"/>
                <w:szCs w:val="20"/>
              </w:rPr>
            </w:pPr>
            <w:r w:rsidRPr="00F775DA">
              <w:rPr>
                <w:sz w:val="20"/>
                <w:szCs w:val="20"/>
              </w:rPr>
              <w:t>&lt;5</w:t>
            </w:r>
          </w:p>
        </w:tc>
        <w:tc>
          <w:tcPr>
            <w:tcW w:w="1683" w:type="dxa"/>
          </w:tcPr>
          <w:p w:rsidR="004C1E6A" w:rsidRPr="00F775DA" w:rsidRDefault="004C1E6A" w:rsidP="008877B0">
            <w:pPr>
              <w:rPr>
                <w:sz w:val="20"/>
                <w:szCs w:val="20"/>
              </w:rPr>
            </w:pPr>
            <w:r w:rsidRPr="00F775DA">
              <w:rPr>
                <w:sz w:val="20"/>
                <w:szCs w:val="20"/>
              </w:rPr>
              <w:t>10</w:t>
            </w:r>
          </w:p>
        </w:tc>
        <w:tc>
          <w:tcPr>
            <w:tcW w:w="1369" w:type="dxa"/>
          </w:tcPr>
          <w:p w:rsidR="004C1E6A" w:rsidRPr="00F775DA" w:rsidRDefault="004C1E6A" w:rsidP="008877B0">
            <w:pPr>
              <w:rPr>
                <w:sz w:val="20"/>
                <w:szCs w:val="20"/>
              </w:rPr>
            </w:pPr>
            <w:r w:rsidRPr="00F775DA">
              <w:rPr>
                <w:sz w:val="20"/>
                <w:szCs w:val="20"/>
              </w:rPr>
              <w:t>66</w:t>
            </w:r>
          </w:p>
        </w:tc>
        <w:tc>
          <w:tcPr>
            <w:tcW w:w="1283" w:type="dxa"/>
          </w:tcPr>
          <w:p w:rsidR="004C1E6A" w:rsidRPr="00F775DA" w:rsidRDefault="004C1E6A" w:rsidP="008877B0">
            <w:pPr>
              <w:rPr>
                <w:sz w:val="20"/>
                <w:szCs w:val="20"/>
              </w:rPr>
            </w:pPr>
            <w:r w:rsidRPr="00F775DA">
              <w:rPr>
                <w:sz w:val="20"/>
                <w:szCs w:val="20"/>
              </w:rPr>
              <w:t>256</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Other</w:t>
            </w:r>
          </w:p>
        </w:tc>
        <w:tc>
          <w:tcPr>
            <w:tcW w:w="1288" w:type="dxa"/>
          </w:tcPr>
          <w:p w:rsidR="004C1E6A" w:rsidRPr="00F775DA" w:rsidRDefault="004C1E6A" w:rsidP="008877B0">
            <w:pPr>
              <w:rPr>
                <w:sz w:val="20"/>
                <w:szCs w:val="20"/>
              </w:rPr>
            </w:pPr>
            <w:r w:rsidRPr="00F775DA">
              <w:rPr>
                <w:sz w:val="20"/>
                <w:szCs w:val="20"/>
              </w:rPr>
              <w:t>6</w:t>
            </w:r>
          </w:p>
        </w:tc>
        <w:tc>
          <w:tcPr>
            <w:tcW w:w="1683" w:type="dxa"/>
          </w:tcPr>
          <w:p w:rsidR="004C1E6A" w:rsidRPr="00F775DA" w:rsidRDefault="004C1E6A" w:rsidP="008877B0">
            <w:pPr>
              <w:rPr>
                <w:sz w:val="20"/>
                <w:szCs w:val="20"/>
              </w:rPr>
            </w:pPr>
            <w:r w:rsidRPr="00F775DA">
              <w:rPr>
                <w:sz w:val="20"/>
                <w:szCs w:val="20"/>
              </w:rPr>
              <w:t>&lt;5</w:t>
            </w:r>
          </w:p>
        </w:tc>
        <w:tc>
          <w:tcPr>
            <w:tcW w:w="1369" w:type="dxa"/>
          </w:tcPr>
          <w:p w:rsidR="004C1E6A" w:rsidRPr="00F775DA" w:rsidRDefault="004C1E6A" w:rsidP="008877B0">
            <w:pPr>
              <w:rPr>
                <w:sz w:val="20"/>
                <w:szCs w:val="20"/>
              </w:rPr>
            </w:pPr>
            <w:r w:rsidRPr="00F775DA">
              <w:rPr>
                <w:sz w:val="20"/>
                <w:szCs w:val="20"/>
              </w:rPr>
              <w:t>&lt;5</w:t>
            </w:r>
          </w:p>
        </w:tc>
        <w:tc>
          <w:tcPr>
            <w:tcW w:w="1283" w:type="dxa"/>
          </w:tcPr>
          <w:p w:rsidR="004C1E6A" w:rsidRPr="00F775DA" w:rsidRDefault="004C1E6A" w:rsidP="008877B0">
            <w:pPr>
              <w:rPr>
                <w:sz w:val="20"/>
                <w:szCs w:val="20"/>
              </w:rPr>
            </w:pPr>
            <w:r w:rsidRPr="00F775DA">
              <w:rPr>
                <w:sz w:val="20"/>
                <w:szCs w:val="20"/>
              </w:rPr>
              <w:t>6</w:t>
            </w: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914</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490</w:t>
            </w:r>
            <w:r w:rsidRPr="00F775DA">
              <w:rPr>
                <w:sz w:val="20"/>
                <w:szCs w:val="20"/>
              </w:rPr>
              <w:fldChar w:fldCharType="end"/>
            </w:r>
          </w:p>
        </w:tc>
        <w:tc>
          <w:tcPr>
            <w:tcW w:w="1369"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565</w:t>
            </w:r>
            <w:r w:rsidRPr="00F775DA">
              <w:rPr>
                <w:sz w:val="20"/>
                <w:szCs w:val="20"/>
              </w:rPr>
              <w:fldChar w:fldCharType="end"/>
            </w:r>
          </w:p>
        </w:tc>
        <w:tc>
          <w:tcPr>
            <w:tcW w:w="12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1032</w:t>
            </w:r>
            <w:r w:rsidRPr="00F775DA">
              <w:rPr>
                <w:sz w:val="20"/>
                <w:szCs w:val="20"/>
              </w:rPr>
              <w:fldChar w:fldCharType="end"/>
            </w:r>
          </w:p>
        </w:tc>
        <w:tc>
          <w:tcPr>
            <w:tcW w:w="1776" w:type="dxa"/>
          </w:tcPr>
          <w:p w:rsidR="004C1E6A" w:rsidRPr="00F775DA" w:rsidRDefault="004C1E6A" w:rsidP="008877B0">
            <w:pPr>
              <w:rPr>
                <w:sz w:val="20"/>
                <w:szCs w:val="20"/>
              </w:rPr>
            </w:pPr>
          </w:p>
        </w:tc>
      </w:tr>
      <w:tr w:rsidR="004C1E6A" w:rsidRPr="00F775DA" w:rsidTr="00F775DA">
        <w:tc>
          <w:tcPr>
            <w:tcW w:w="2008" w:type="dxa"/>
            <w:vAlign w:val="bottom"/>
          </w:tcPr>
          <w:p w:rsidR="004C1E6A" w:rsidRPr="00F775DA" w:rsidRDefault="004C1E6A" w:rsidP="008877B0">
            <w:pPr>
              <w:rPr>
                <w:b/>
                <w:sz w:val="20"/>
                <w:szCs w:val="20"/>
              </w:rPr>
            </w:pPr>
            <w:r w:rsidRPr="00F775DA">
              <w:rPr>
                <w:b/>
                <w:sz w:val="20"/>
                <w:szCs w:val="20"/>
              </w:rPr>
              <w:lastRenderedPageBreak/>
              <w:t>2000-2009 Cases:</w:t>
            </w:r>
          </w:p>
        </w:tc>
        <w:tc>
          <w:tcPr>
            <w:tcW w:w="1288" w:type="dxa"/>
          </w:tcPr>
          <w:p w:rsidR="004C1E6A" w:rsidRPr="00F775DA" w:rsidRDefault="004C1E6A" w:rsidP="008877B0">
            <w:pPr>
              <w:rPr>
                <w:b/>
                <w:sz w:val="20"/>
                <w:szCs w:val="20"/>
              </w:rPr>
            </w:pPr>
            <w:r w:rsidRPr="00F775DA">
              <w:rPr>
                <w:b/>
                <w:sz w:val="20"/>
                <w:szCs w:val="20"/>
              </w:rPr>
              <w:t>White, NH</w:t>
            </w:r>
          </w:p>
        </w:tc>
        <w:tc>
          <w:tcPr>
            <w:tcW w:w="1683" w:type="dxa"/>
          </w:tcPr>
          <w:p w:rsidR="004C1E6A" w:rsidRPr="00F775DA" w:rsidRDefault="004C1E6A" w:rsidP="008877B0">
            <w:pPr>
              <w:rPr>
                <w:b/>
                <w:sz w:val="20"/>
                <w:szCs w:val="20"/>
              </w:rPr>
            </w:pPr>
            <w:r w:rsidRPr="00F775DA">
              <w:rPr>
                <w:b/>
                <w:sz w:val="20"/>
                <w:szCs w:val="20"/>
              </w:rPr>
              <w:t>Black, NH</w:t>
            </w:r>
          </w:p>
        </w:tc>
        <w:tc>
          <w:tcPr>
            <w:tcW w:w="1369" w:type="dxa"/>
          </w:tcPr>
          <w:p w:rsidR="004C1E6A" w:rsidRPr="00F775DA" w:rsidRDefault="004C1E6A" w:rsidP="008877B0">
            <w:pPr>
              <w:rPr>
                <w:b/>
                <w:sz w:val="20"/>
                <w:szCs w:val="20"/>
              </w:rPr>
            </w:pPr>
            <w:r w:rsidRPr="00F775DA">
              <w:rPr>
                <w:b/>
                <w:sz w:val="20"/>
                <w:szCs w:val="20"/>
              </w:rPr>
              <w:t>Asian, NH</w:t>
            </w:r>
          </w:p>
        </w:tc>
        <w:tc>
          <w:tcPr>
            <w:tcW w:w="1283" w:type="dxa"/>
          </w:tcPr>
          <w:p w:rsidR="004C1E6A" w:rsidRPr="00F775DA" w:rsidRDefault="004C1E6A" w:rsidP="008877B0">
            <w:pPr>
              <w:rPr>
                <w:b/>
                <w:sz w:val="20"/>
                <w:szCs w:val="20"/>
              </w:rPr>
            </w:pPr>
            <w:r w:rsidRPr="00F775DA">
              <w:rPr>
                <w:b/>
                <w:sz w:val="20"/>
                <w:szCs w:val="20"/>
              </w:rPr>
              <w:t>Hispanic</w:t>
            </w:r>
          </w:p>
        </w:tc>
        <w:tc>
          <w:tcPr>
            <w:tcW w:w="1776" w:type="dxa"/>
          </w:tcPr>
          <w:p w:rsidR="004C1E6A" w:rsidRPr="00F775DA" w:rsidRDefault="004C1E6A" w:rsidP="008877B0">
            <w:pPr>
              <w:rPr>
                <w:b/>
                <w:sz w:val="20"/>
                <w:szCs w:val="20"/>
              </w:rPr>
            </w:pPr>
            <w:r w:rsidRPr="00F775DA">
              <w:rPr>
                <w:b/>
                <w:sz w:val="20"/>
                <w:szCs w:val="20"/>
              </w:rPr>
              <w:t>Other/Unknown</w:t>
            </w: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Leukemia</w:t>
            </w:r>
          </w:p>
        </w:tc>
        <w:tc>
          <w:tcPr>
            <w:tcW w:w="1288" w:type="dxa"/>
          </w:tcPr>
          <w:p w:rsidR="004C1E6A" w:rsidRPr="00F775DA" w:rsidRDefault="004C1E6A" w:rsidP="008877B0">
            <w:pPr>
              <w:rPr>
                <w:sz w:val="20"/>
                <w:szCs w:val="20"/>
              </w:rPr>
            </w:pPr>
            <w:r w:rsidRPr="00F775DA">
              <w:rPr>
                <w:sz w:val="20"/>
                <w:szCs w:val="20"/>
              </w:rPr>
              <w:t>551</w:t>
            </w:r>
          </w:p>
        </w:tc>
        <w:tc>
          <w:tcPr>
            <w:tcW w:w="1683" w:type="dxa"/>
          </w:tcPr>
          <w:p w:rsidR="004C1E6A" w:rsidRPr="00F775DA" w:rsidRDefault="004C1E6A" w:rsidP="008877B0">
            <w:pPr>
              <w:rPr>
                <w:sz w:val="20"/>
                <w:szCs w:val="20"/>
              </w:rPr>
            </w:pPr>
            <w:r w:rsidRPr="00F775DA">
              <w:rPr>
                <w:sz w:val="20"/>
                <w:szCs w:val="20"/>
              </w:rPr>
              <w:t>33</w:t>
            </w:r>
          </w:p>
        </w:tc>
        <w:tc>
          <w:tcPr>
            <w:tcW w:w="1369" w:type="dxa"/>
          </w:tcPr>
          <w:p w:rsidR="004C1E6A" w:rsidRPr="00F775DA" w:rsidRDefault="004C1E6A" w:rsidP="008877B0">
            <w:pPr>
              <w:rPr>
                <w:sz w:val="20"/>
                <w:szCs w:val="20"/>
              </w:rPr>
            </w:pPr>
            <w:r w:rsidRPr="00F775DA">
              <w:rPr>
                <w:sz w:val="20"/>
                <w:szCs w:val="20"/>
              </w:rPr>
              <w:t>31</w:t>
            </w:r>
          </w:p>
        </w:tc>
        <w:tc>
          <w:tcPr>
            <w:tcW w:w="1283" w:type="dxa"/>
          </w:tcPr>
          <w:p w:rsidR="004C1E6A" w:rsidRPr="00F775DA" w:rsidRDefault="004C1E6A" w:rsidP="008877B0">
            <w:pPr>
              <w:rPr>
                <w:sz w:val="20"/>
                <w:szCs w:val="20"/>
              </w:rPr>
            </w:pPr>
            <w:r w:rsidRPr="00F775DA">
              <w:rPr>
                <w:sz w:val="20"/>
                <w:szCs w:val="20"/>
              </w:rPr>
              <w:t>82</w:t>
            </w:r>
          </w:p>
        </w:tc>
        <w:tc>
          <w:tcPr>
            <w:tcW w:w="1776" w:type="dxa"/>
          </w:tcPr>
          <w:p w:rsidR="004C1E6A" w:rsidRPr="00F775DA" w:rsidRDefault="004C1E6A" w:rsidP="008877B0">
            <w:pPr>
              <w:rPr>
                <w:sz w:val="20"/>
                <w:szCs w:val="20"/>
              </w:rPr>
            </w:pPr>
            <w:r w:rsidRPr="00F775DA">
              <w:rPr>
                <w:sz w:val="20"/>
                <w:szCs w:val="20"/>
              </w:rPr>
              <w:t>8</w:t>
            </w: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Lymphoma</w:t>
            </w:r>
          </w:p>
        </w:tc>
        <w:tc>
          <w:tcPr>
            <w:tcW w:w="1288" w:type="dxa"/>
          </w:tcPr>
          <w:p w:rsidR="004C1E6A" w:rsidRPr="00F775DA" w:rsidRDefault="004C1E6A" w:rsidP="008877B0">
            <w:pPr>
              <w:rPr>
                <w:sz w:val="20"/>
                <w:szCs w:val="20"/>
              </w:rPr>
            </w:pPr>
            <w:r w:rsidRPr="00F775DA">
              <w:rPr>
                <w:sz w:val="20"/>
                <w:szCs w:val="20"/>
              </w:rPr>
              <w:t>398</w:t>
            </w:r>
          </w:p>
        </w:tc>
        <w:tc>
          <w:tcPr>
            <w:tcW w:w="1683" w:type="dxa"/>
          </w:tcPr>
          <w:p w:rsidR="004C1E6A" w:rsidRPr="00F775DA" w:rsidRDefault="004C1E6A" w:rsidP="008877B0">
            <w:pPr>
              <w:rPr>
                <w:sz w:val="20"/>
                <w:szCs w:val="20"/>
              </w:rPr>
            </w:pPr>
            <w:r w:rsidRPr="00F775DA">
              <w:rPr>
                <w:sz w:val="20"/>
                <w:szCs w:val="20"/>
              </w:rPr>
              <w:t>35</w:t>
            </w:r>
          </w:p>
        </w:tc>
        <w:tc>
          <w:tcPr>
            <w:tcW w:w="1369" w:type="dxa"/>
          </w:tcPr>
          <w:p w:rsidR="004C1E6A" w:rsidRPr="00F775DA" w:rsidRDefault="004C1E6A" w:rsidP="008877B0">
            <w:pPr>
              <w:rPr>
                <w:sz w:val="20"/>
                <w:szCs w:val="20"/>
              </w:rPr>
            </w:pPr>
            <w:r w:rsidRPr="00F775DA">
              <w:rPr>
                <w:sz w:val="20"/>
                <w:szCs w:val="20"/>
              </w:rPr>
              <w:t>19</w:t>
            </w:r>
          </w:p>
        </w:tc>
        <w:tc>
          <w:tcPr>
            <w:tcW w:w="1283" w:type="dxa"/>
          </w:tcPr>
          <w:p w:rsidR="004C1E6A" w:rsidRPr="00F775DA" w:rsidRDefault="004C1E6A" w:rsidP="008877B0">
            <w:pPr>
              <w:rPr>
                <w:sz w:val="20"/>
                <w:szCs w:val="20"/>
              </w:rPr>
            </w:pPr>
            <w:r w:rsidRPr="00F775DA">
              <w:rPr>
                <w:sz w:val="20"/>
                <w:szCs w:val="20"/>
              </w:rPr>
              <w:t>43</w:t>
            </w:r>
          </w:p>
        </w:tc>
        <w:tc>
          <w:tcPr>
            <w:tcW w:w="1776" w:type="dxa"/>
          </w:tcPr>
          <w:p w:rsidR="004C1E6A" w:rsidRPr="00F775DA" w:rsidRDefault="004C1E6A" w:rsidP="008877B0">
            <w:pPr>
              <w:rPr>
                <w:sz w:val="20"/>
                <w:szCs w:val="20"/>
              </w:rPr>
            </w:pPr>
            <w:r w:rsidRPr="00F775DA">
              <w:rPr>
                <w:sz w:val="20"/>
                <w:szCs w:val="20"/>
              </w:rPr>
              <w:t>&lt;5</w:t>
            </w: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CNS</w:t>
            </w:r>
          </w:p>
        </w:tc>
        <w:tc>
          <w:tcPr>
            <w:tcW w:w="1288" w:type="dxa"/>
          </w:tcPr>
          <w:p w:rsidR="004C1E6A" w:rsidRPr="00F775DA" w:rsidRDefault="004C1E6A" w:rsidP="008877B0">
            <w:pPr>
              <w:rPr>
                <w:sz w:val="20"/>
                <w:szCs w:val="20"/>
              </w:rPr>
            </w:pPr>
            <w:r w:rsidRPr="00F775DA">
              <w:rPr>
                <w:sz w:val="20"/>
                <w:szCs w:val="20"/>
              </w:rPr>
              <w:t>463</w:t>
            </w:r>
          </w:p>
        </w:tc>
        <w:tc>
          <w:tcPr>
            <w:tcW w:w="1683" w:type="dxa"/>
          </w:tcPr>
          <w:p w:rsidR="004C1E6A" w:rsidRPr="00F775DA" w:rsidRDefault="004C1E6A" w:rsidP="008877B0">
            <w:pPr>
              <w:rPr>
                <w:sz w:val="20"/>
                <w:szCs w:val="20"/>
              </w:rPr>
            </w:pPr>
            <w:r w:rsidRPr="00F775DA">
              <w:rPr>
                <w:sz w:val="20"/>
                <w:szCs w:val="20"/>
              </w:rPr>
              <w:t>23</w:t>
            </w:r>
          </w:p>
        </w:tc>
        <w:tc>
          <w:tcPr>
            <w:tcW w:w="1369" w:type="dxa"/>
          </w:tcPr>
          <w:p w:rsidR="004C1E6A" w:rsidRPr="00F775DA" w:rsidRDefault="004C1E6A" w:rsidP="008877B0">
            <w:pPr>
              <w:rPr>
                <w:sz w:val="20"/>
                <w:szCs w:val="20"/>
              </w:rPr>
            </w:pPr>
            <w:r w:rsidRPr="00F775DA">
              <w:rPr>
                <w:sz w:val="20"/>
                <w:szCs w:val="20"/>
              </w:rPr>
              <w:t>19</w:t>
            </w:r>
          </w:p>
        </w:tc>
        <w:tc>
          <w:tcPr>
            <w:tcW w:w="1283" w:type="dxa"/>
          </w:tcPr>
          <w:p w:rsidR="004C1E6A" w:rsidRPr="00F775DA" w:rsidRDefault="004C1E6A" w:rsidP="008877B0">
            <w:pPr>
              <w:rPr>
                <w:sz w:val="20"/>
                <w:szCs w:val="20"/>
              </w:rPr>
            </w:pPr>
            <w:r w:rsidRPr="00F775DA">
              <w:rPr>
                <w:sz w:val="20"/>
                <w:szCs w:val="20"/>
              </w:rPr>
              <w:t>46</w:t>
            </w:r>
          </w:p>
        </w:tc>
        <w:tc>
          <w:tcPr>
            <w:tcW w:w="1776" w:type="dxa"/>
          </w:tcPr>
          <w:p w:rsidR="004C1E6A" w:rsidRPr="00F775DA" w:rsidRDefault="004C1E6A" w:rsidP="008877B0">
            <w:pPr>
              <w:rPr>
                <w:sz w:val="20"/>
                <w:szCs w:val="20"/>
              </w:rPr>
            </w:pPr>
            <w:r w:rsidRPr="00F775DA">
              <w:rPr>
                <w:sz w:val="20"/>
                <w:szCs w:val="20"/>
              </w:rPr>
              <w:t>9</w:t>
            </w: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PNC</w:t>
            </w:r>
          </w:p>
        </w:tc>
        <w:tc>
          <w:tcPr>
            <w:tcW w:w="1288" w:type="dxa"/>
          </w:tcPr>
          <w:p w:rsidR="004C1E6A" w:rsidRPr="00F775DA" w:rsidRDefault="004C1E6A" w:rsidP="008877B0">
            <w:pPr>
              <w:rPr>
                <w:sz w:val="20"/>
                <w:szCs w:val="20"/>
              </w:rPr>
            </w:pPr>
            <w:r w:rsidRPr="00F775DA">
              <w:rPr>
                <w:sz w:val="20"/>
                <w:szCs w:val="20"/>
              </w:rPr>
              <w:t>162</w:t>
            </w:r>
          </w:p>
        </w:tc>
        <w:tc>
          <w:tcPr>
            <w:tcW w:w="1683" w:type="dxa"/>
          </w:tcPr>
          <w:p w:rsidR="004C1E6A" w:rsidRPr="00F775DA" w:rsidRDefault="004C1E6A" w:rsidP="008877B0">
            <w:pPr>
              <w:rPr>
                <w:sz w:val="20"/>
                <w:szCs w:val="20"/>
              </w:rPr>
            </w:pPr>
            <w:r w:rsidRPr="00F775DA">
              <w:rPr>
                <w:sz w:val="20"/>
                <w:szCs w:val="20"/>
              </w:rPr>
              <w:t>10</w:t>
            </w:r>
          </w:p>
        </w:tc>
        <w:tc>
          <w:tcPr>
            <w:tcW w:w="1369" w:type="dxa"/>
          </w:tcPr>
          <w:p w:rsidR="004C1E6A" w:rsidRPr="00F775DA" w:rsidRDefault="004C1E6A" w:rsidP="008877B0">
            <w:pPr>
              <w:rPr>
                <w:sz w:val="20"/>
                <w:szCs w:val="20"/>
              </w:rPr>
            </w:pPr>
            <w:r w:rsidRPr="00F775DA">
              <w:rPr>
                <w:sz w:val="20"/>
                <w:szCs w:val="20"/>
              </w:rPr>
              <w:t>6</w:t>
            </w:r>
          </w:p>
        </w:tc>
        <w:tc>
          <w:tcPr>
            <w:tcW w:w="1283" w:type="dxa"/>
          </w:tcPr>
          <w:p w:rsidR="004C1E6A" w:rsidRPr="00F775DA" w:rsidRDefault="004C1E6A" w:rsidP="008877B0">
            <w:pPr>
              <w:rPr>
                <w:sz w:val="20"/>
                <w:szCs w:val="20"/>
              </w:rPr>
            </w:pPr>
            <w:r w:rsidRPr="00F775DA">
              <w:rPr>
                <w:sz w:val="20"/>
                <w:szCs w:val="20"/>
              </w:rPr>
              <w:t>15</w:t>
            </w:r>
          </w:p>
        </w:tc>
        <w:tc>
          <w:tcPr>
            <w:tcW w:w="1776" w:type="dxa"/>
          </w:tcPr>
          <w:p w:rsidR="004C1E6A" w:rsidRPr="00F775DA" w:rsidRDefault="004C1E6A" w:rsidP="008877B0">
            <w:pPr>
              <w:rPr>
                <w:sz w:val="20"/>
                <w:szCs w:val="20"/>
              </w:rPr>
            </w:pPr>
            <w:r w:rsidRPr="00F775DA">
              <w:rPr>
                <w:sz w:val="20"/>
                <w:szCs w:val="20"/>
              </w:rPr>
              <w:t>&lt;5</w:t>
            </w: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Retinoblastoma</w:t>
            </w:r>
          </w:p>
        </w:tc>
        <w:tc>
          <w:tcPr>
            <w:tcW w:w="1288" w:type="dxa"/>
          </w:tcPr>
          <w:p w:rsidR="004C1E6A" w:rsidRPr="00F775DA" w:rsidRDefault="004C1E6A" w:rsidP="008877B0">
            <w:pPr>
              <w:rPr>
                <w:sz w:val="20"/>
                <w:szCs w:val="20"/>
              </w:rPr>
            </w:pPr>
            <w:r w:rsidRPr="00F775DA">
              <w:rPr>
                <w:sz w:val="20"/>
                <w:szCs w:val="20"/>
              </w:rPr>
              <w:t>30</w:t>
            </w:r>
          </w:p>
        </w:tc>
        <w:tc>
          <w:tcPr>
            <w:tcW w:w="1683" w:type="dxa"/>
          </w:tcPr>
          <w:p w:rsidR="004C1E6A" w:rsidRPr="00F775DA" w:rsidRDefault="004C1E6A" w:rsidP="008877B0">
            <w:pPr>
              <w:rPr>
                <w:sz w:val="20"/>
                <w:szCs w:val="20"/>
              </w:rPr>
            </w:pPr>
            <w:r w:rsidRPr="00F775DA">
              <w:rPr>
                <w:sz w:val="20"/>
                <w:szCs w:val="20"/>
              </w:rPr>
              <w:t>&lt;5</w:t>
            </w:r>
          </w:p>
        </w:tc>
        <w:tc>
          <w:tcPr>
            <w:tcW w:w="1369" w:type="dxa"/>
          </w:tcPr>
          <w:p w:rsidR="004C1E6A" w:rsidRPr="00F775DA" w:rsidRDefault="004C1E6A" w:rsidP="008877B0">
            <w:pPr>
              <w:rPr>
                <w:sz w:val="20"/>
                <w:szCs w:val="20"/>
              </w:rPr>
            </w:pPr>
            <w:r w:rsidRPr="00F775DA">
              <w:rPr>
                <w:sz w:val="20"/>
                <w:szCs w:val="20"/>
              </w:rPr>
              <w:t>0</w:t>
            </w:r>
          </w:p>
        </w:tc>
        <w:tc>
          <w:tcPr>
            <w:tcW w:w="1283" w:type="dxa"/>
          </w:tcPr>
          <w:p w:rsidR="004C1E6A" w:rsidRPr="00F775DA" w:rsidRDefault="004C1E6A" w:rsidP="008877B0">
            <w:pPr>
              <w:rPr>
                <w:sz w:val="20"/>
                <w:szCs w:val="20"/>
              </w:rPr>
            </w:pPr>
            <w:r w:rsidRPr="00F775DA">
              <w:rPr>
                <w:sz w:val="20"/>
                <w:szCs w:val="20"/>
              </w:rPr>
              <w:t>5</w:t>
            </w:r>
          </w:p>
        </w:tc>
        <w:tc>
          <w:tcPr>
            <w:tcW w:w="1776" w:type="dxa"/>
          </w:tcPr>
          <w:p w:rsidR="004C1E6A" w:rsidRPr="00F775DA" w:rsidRDefault="004C1E6A" w:rsidP="008877B0">
            <w:pPr>
              <w:rPr>
                <w:sz w:val="20"/>
                <w:szCs w:val="20"/>
              </w:rPr>
            </w:pPr>
            <w:r w:rsidRPr="00F775DA">
              <w:rPr>
                <w:sz w:val="20"/>
                <w:szCs w:val="20"/>
              </w:rPr>
              <w:t>&lt;5</w:t>
            </w: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Renal Tumors</w:t>
            </w:r>
          </w:p>
        </w:tc>
        <w:tc>
          <w:tcPr>
            <w:tcW w:w="1288" w:type="dxa"/>
          </w:tcPr>
          <w:p w:rsidR="004C1E6A" w:rsidRPr="00F775DA" w:rsidRDefault="004C1E6A" w:rsidP="008877B0">
            <w:pPr>
              <w:rPr>
                <w:sz w:val="20"/>
                <w:szCs w:val="20"/>
              </w:rPr>
            </w:pPr>
            <w:r w:rsidRPr="00F775DA">
              <w:rPr>
                <w:sz w:val="20"/>
                <w:szCs w:val="20"/>
              </w:rPr>
              <w:t>89</w:t>
            </w:r>
          </w:p>
        </w:tc>
        <w:tc>
          <w:tcPr>
            <w:tcW w:w="1683" w:type="dxa"/>
          </w:tcPr>
          <w:p w:rsidR="004C1E6A" w:rsidRPr="00F775DA" w:rsidRDefault="004C1E6A" w:rsidP="008877B0">
            <w:pPr>
              <w:rPr>
                <w:sz w:val="20"/>
                <w:szCs w:val="20"/>
              </w:rPr>
            </w:pPr>
            <w:r w:rsidRPr="00F775DA">
              <w:rPr>
                <w:sz w:val="20"/>
                <w:szCs w:val="20"/>
              </w:rPr>
              <w:t>12</w:t>
            </w:r>
          </w:p>
        </w:tc>
        <w:tc>
          <w:tcPr>
            <w:tcW w:w="1369" w:type="dxa"/>
          </w:tcPr>
          <w:p w:rsidR="004C1E6A" w:rsidRPr="00F775DA" w:rsidRDefault="004C1E6A" w:rsidP="008877B0">
            <w:pPr>
              <w:rPr>
                <w:sz w:val="20"/>
                <w:szCs w:val="20"/>
              </w:rPr>
            </w:pPr>
            <w:r w:rsidRPr="00F775DA">
              <w:rPr>
                <w:sz w:val="20"/>
                <w:szCs w:val="20"/>
              </w:rPr>
              <w:t>&lt;5</w:t>
            </w:r>
          </w:p>
        </w:tc>
        <w:tc>
          <w:tcPr>
            <w:tcW w:w="1283" w:type="dxa"/>
          </w:tcPr>
          <w:p w:rsidR="004C1E6A" w:rsidRPr="00F775DA" w:rsidRDefault="004C1E6A" w:rsidP="008877B0">
            <w:pPr>
              <w:rPr>
                <w:sz w:val="20"/>
                <w:szCs w:val="20"/>
              </w:rPr>
            </w:pPr>
            <w:r w:rsidRPr="00F775DA">
              <w:rPr>
                <w:sz w:val="20"/>
                <w:szCs w:val="20"/>
              </w:rPr>
              <w:t>6</w:t>
            </w:r>
          </w:p>
        </w:tc>
        <w:tc>
          <w:tcPr>
            <w:tcW w:w="1776" w:type="dxa"/>
          </w:tcPr>
          <w:p w:rsidR="004C1E6A" w:rsidRPr="00F775DA" w:rsidRDefault="004C1E6A" w:rsidP="008877B0">
            <w:pPr>
              <w:rPr>
                <w:sz w:val="20"/>
                <w:szCs w:val="20"/>
              </w:rPr>
            </w:pPr>
            <w:r w:rsidRPr="00F775DA">
              <w:rPr>
                <w:sz w:val="20"/>
                <w:szCs w:val="20"/>
              </w:rPr>
              <w:t>&lt;5</w:t>
            </w: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Hepatic Tumors</w:t>
            </w:r>
          </w:p>
        </w:tc>
        <w:tc>
          <w:tcPr>
            <w:tcW w:w="1288" w:type="dxa"/>
          </w:tcPr>
          <w:p w:rsidR="004C1E6A" w:rsidRPr="00F775DA" w:rsidRDefault="004C1E6A" w:rsidP="008877B0">
            <w:pPr>
              <w:rPr>
                <w:sz w:val="20"/>
                <w:szCs w:val="20"/>
              </w:rPr>
            </w:pPr>
            <w:r w:rsidRPr="00F775DA">
              <w:rPr>
                <w:sz w:val="20"/>
                <w:szCs w:val="20"/>
              </w:rPr>
              <w:t>19</w:t>
            </w:r>
          </w:p>
        </w:tc>
        <w:tc>
          <w:tcPr>
            <w:tcW w:w="1683" w:type="dxa"/>
          </w:tcPr>
          <w:p w:rsidR="004C1E6A" w:rsidRPr="00F775DA" w:rsidRDefault="004C1E6A" w:rsidP="008877B0">
            <w:pPr>
              <w:rPr>
                <w:sz w:val="20"/>
                <w:szCs w:val="20"/>
              </w:rPr>
            </w:pPr>
            <w:r w:rsidRPr="00F775DA">
              <w:rPr>
                <w:sz w:val="20"/>
                <w:szCs w:val="20"/>
              </w:rPr>
              <w:t>&lt;5</w:t>
            </w:r>
          </w:p>
        </w:tc>
        <w:tc>
          <w:tcPr>
            <w:tcW w:w="1369" w:type="dxa"/>
          </w:tcPr>
          <w:p w:rsidR="004C1E6A" w:rsidRPr="00F775DA" w:rsidRDefault="004C1E6A" w:rsidP="008877B0">
            <w:pPr>
              <w:rPr>
                <w:sz w:val="20"/>
                <w:szCs w:val="20"/>
              </w:rPr>
            </w:pPr>
            <w:r w:rsidRPr="00F775DA">
              <w:rPr>
                <w:sz w:val="20"/>
                <w:szCs w:val="20"/>
              </w:rPr>
              <w:t>&lt;5</w:t>
            </w:r>
          </w:p>
        </w:tc>
        <w:tc>
          <w:tcPr>
            <w:tcW w:w="1283" w:type="dxa"/>
          </w:tcPr>
          <w:p w:rsidR="004C1E6A" w:rsidRPr="00F775DA" w:rsidRDefault="004C1E6A" w:rsidP="008877B0">
            <w:pPr>
              <w:rPr>
                <w:sz w:val="20"/>
                <w:szCs w:val="20"/>
              </w:rPr>
            </w:pPr>
            <w:r w:rsidRPr="00F775DA">
              <w:rPr>
                <w:sz w:val="20"/>
                <w:szCs w:val="20"/>
              </w:rPr>
              <w:t>7</w:t>
            </w:r>
          </w:p>
        </w:tc>
        <w:tc>
          <w:tcPr>
            <w:tcW w:w="1776" w:type="dxa"/>
          </w:tcPr>
          <w:p w:rsidR="004C1E6A" w:rsidRPr="00F775DA" w:rsidRDefault="004C1E6A" w:rsidP="008877B0">
            <w:pPr>
              <w:rPr>
                <w:sz w:val="20"/>
                <w:szCs w:val="20"/>
              </w:rPr>
            </w:pPr>
            <w:r w:rsidRPr="00F775DA">
              <w:rPr>
                <w:sz w:val="20"/>
                <w:szCs w:val="20"/>
              </w:rPr>
              <w:t>0</w:t>
            </w: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Bone Tumors</w:t>
            </w:r>
          </w:p>
        </w:tc>
        <w:tc>
          <w:tcPr>
            <w:tcW w:w="1288" w:type="dxa"/>
          </w:tcPr>
          <w:p w:rsidR="004C1E6A" w:rsidRPr="00F775DA" w:rsidRDefault="004C1E6A" w:rsidP="008877B0">
            <w:pPr>
              <w:rPr>
                <w:sz w:val="20"/>
                <w:szCs w:val="20"/>
              </w:rPr>
            </w:pPr>
            <w:r w:rsidRPr="00F775DA">
              <w:rPr>
                <w:sz w:val="20"/>
                <w:szCs w:val="20"/>
              </w:rPr>
              <w:t>99</w:t>
            </w:r>
          </w:p>
        </w:tc>
        <w:tc>
          <w:tcPr>
            <w:tcW w:w="1683" w:type="dxa"/>
          </w:tcPr>
          <w:p w:rsidR="004C1E6A" w:rsidRPr="00F775DA" w:rsidRDefault="004C1E6A" w:rsidP="008877B0">
            <w:pPr>
              <w:rPr>
                <w:sz w:val="20"/>
                <w:szCs w:val="20"/>
              </w:rPr>
            </w:pPr>
            <w:r w:rsidRPr="00F775DA">
              <w:rPr>
                <w:sz w:val="20"/>
                <w:szCs w:val="20"/>
              </w:rPr>
              <w:t>10</w:t>
            </w:r>
          </w:p>
        </w:tc>
        <w:tc>
          <w:tcPr>
            <w:tcW w:w="1369" w:type="dxa"/>
          </w:tcPr>
          <w:p w:rsidR="004C1E6A" w:rsidRPr="00F775DA" w:rsidRDefault="004C1E6A" w:rsidP="008877B0">
            <w:pPr>
              <w:rPr>
                <w:sz w:val="20"/>
                <w:szCs w:val="20"/>
              </w:rPr>
            </w:pPr>
            <w:r w:rsidRPr="00F775DA">
              <w:rPr>
                <w:sz w:val="20"/>
                <w:szCs w:val="20"/>
              </w:rPr>
              <w:t>5</w:t>
            </w:r>
          </w:p>
        </w:tc>
        <w:tc>
          <w:tcPr>
            <w:tcW w:w="1283" w:type="dxa"/>
          </w:tcPr>
          <w:p w:rsidR="004C1E6A" w:rsidRPr="00F775DA" w:rsidRDefault="004C1E6A" w:rsidP="008877B0">
            <w:pPr>
              <w:rPr>
                <w:sz w:val="20"/>
                <w:szCs w:val="20"/>
              </w:rPr>
            </w:pPr>
            <w:r w:rsidRPr="00F775DA">
              <w:rPr>
                <w:sz w:val="20"/>
                <w:szCs w:val="20"/>
              </w:rPr>
              <w:t>9</w:t>
            </w:r>
          </w:p>
        </w:tc>
        <w:tc>
          <w:tcPr>
            <w:tcW w:w="1776" w:type="dxa"/>
          </w:tcPr>
          <w:p w:rsidR="004C1E6A" w:rsidRPr="00F775DA" w:rsidRDefault="004C1E6A" w:rsidP="008877B0">
            <w:pPr>
              <w:rPr>
                <w:sz w:val="20"/>
                <w:szCs w:val="20"/>
              </w:rPr>
            </w:pPr>
            <w:r w:rsidRPr="00F775DA">
              <w:rPr>
                <w:sz w:val="20"/>
                <w:szCs w:val="20"/>
              </w:rPr>
              <w:t>&lt;5</w:t>
            </w:r>
          </w:p>
        </w:tc>
      </w:tr>
      <w:tr w:rsidR="004C1E6A" w:rsidRPr="00F775DA" w:rsidTr="00F775DA">
        <w:tc>
          <w:tcPr>
            <w:tcW w:w="2008" w:type="dxa"/>
            <w:vAlign w:val="bottom"/>
          </w:tcPr>
          <w:p w:rsidR="004C1E6A" w:rsidRPr="00F775DA" w:rsidRDefault="004C1E6A" w:rsidP="008877B0">
            <w:pPr>
              <w:rPr>
                <w:sz w:val="20"/>
                <w:szCs w:val="20"/>
              </w:rPr>
            </w:pPr>
            <w:r w:rsidRPr="00F775DA">
              <w:rPr>
                <w:sz w:val="20"/>
                <w:szCs w:val="20"/>
              </w:rPr>
              <w:t>Soft Tissue</w:t>
            </w:r>
          </w:p>
        </w:tc>
        <w:tc>
          <w:tcPr>
            <w:tcW w:w="1288" w:type="dxa"/>
          </w:tcPr>
          <w:p w:rsidR="004C1E6A" w:rsidRPr="00F775DA" w:rsidRDefault="004C1E6A" w:rsidP="008877B0">
            <w:pPr>
              <w:rPr>
                <w:sz w:val="20"/>
                <w:szCs w:val="20"/>
              </w:rPr>
            </w:pPr>
            <w:r w:rsidRPr="00F775DA">
              <w:rPr>
                <w:sz w:val="20"/>
                <w:szCs w:val="20"/>
              </w:rPr>
              <w:t>155</w:t>
            </w:r>
          </w:p>
        </w:tc>
        <w:tc>
          <w:tcPr>
            <w:tcW w:w="1683" w:type="dxa"/>
          </w:tcPr>
          <w:p w:rsidR="004C1E6A" w:rsidRPr="00F775DA" w:rsidRDefault="004C1E6A" w:rsidP="008877B0">
            <w:pPr>
              <w:rPr>
                <w:sz w:val="20"/>
                <w:szCs w:val="20"/>
              </w:rPr>
            </w:pPr>
            <w:r w:rsidRPr="00F775DA">
              <w:rPr>
                <w:sz w:val="20"/>
                <w:szCs w:val="20"/>
              </w:rPr>
              <w:t>23</w:t>
            </w:r>
          </w:p>
        </w:tc>
        <w:tc>
          <w:tcPr>
            <w:tcW w:w="1369" w:type="dxa"/>
          </w:tcPr>
          <w:p w:rsidR="004C1E6A" w:rsidRPr="00F775DA" w:rsidRDefault="004C1E6A" w:rsidP="008877B0">
            <w:pPr>
              <w:rPr>
                <w:sz w:val="20"/>
                <w:szCs w:val="20"/>
              </w:rPr>
            </w:pPr>
            <w:r w:rsidRPr="00F775DA">
              <w:rPr>
                <w:sz w:val="20"/>
                <w:szCs w:val="20"/>
              </w:rPr>
              <w:t>8</w:t>
            </w:r>
          </w:p>
        </w:tc>
        <w:tc>
          <w:tcPr>
            <w:tcW w:w="1283" w:type="dxa"/>
          </w:tcPr>
          <w:p w:rsidR="004C1E6A" w:rsidRPr="00F775DA" w:rsidRDefault="004C1E6A" w:rsidP="008877B0">
            <w:pPr>
              <w:rPr>
                <w:sz w:val="20"/>
                <w:szCs w:val="20"/>
              </w:rPr>
            </w:pPr>
            <w:r w:rsidRPr="00F775DA">
              <w:rPr>
                <w:sz w:val="20"/>
                <w:szCs w:val="20"/>
              </w:rPr>
              <w:t>21</w:t>
            </w:r>
          </w:p>
        </w:tc>
        <w:tc>
          <w:tcPr>
            <w:tcW w:w="1776" w:type="dxa"/>
          </w:tcPr>
          <w:p w:rsidR="004C1E6A" w:rsidRPr="00F775DA" w:rsidRDefault="004C1E6A" w:rsidP="008877B0">
            <w:pPr>
              <w:rPr>
                <w:sz w:val="20"/>
                <w:szCs w:val="20"/>
              </w:rPr>
            </w:pPr>
            <w:r w:rsidRPr="00F775DA">
              <w:rPr>
                <w:sz w:val="20"/>
                <w:szCs w:val="20"/>
              </w:rPr>
              <w:t>5</w:t>
            </w:r>
          </w:p>
        </w:tc>
      </w:tr>
      <w:tr w:rsidR="004C1E6A" w:rsidRPr="00F775DA" w:rsidTr="00F775DA">
        <w:tc>
          <w:tcPr>
            <w:tcW w:w="2008" w:type="dxa"/>
          </w:tcPr>
          <w:p w:rsidR="004C1E6A" w:rsidRPr="00F775DA" w:rsidRDefault="004C1E6A" w:rsidP="008877B0">
            <w:pPr>
              <w:rPr>
                <w:sz w:val="20"/>
                <w:szCs w:val="20"/>
              </w:rPr>
            </w:pPr>
            <w:r w:rsidRPr="00F775DA">
              <w:rPr>
                <w:sz w:val="20"/>
                <w:szCs w:val="20"/>
              </w:rPr>
              <w:t>Germ Cell</w:t>
            </w:r>
          </w:p>
        </w:tc>
        <w:tc>
          <w:tcPr>
            <w:tcW w:w="1288" w:type="dxa"/>
          </w:tcPr>
          <w:p w:rsidR="004C1E6A" w:rsidRPr="00F775DA" w:rsidRDefault="004C1E6A" w:rsidP="008877B0">
            <w:pPr>
              <w:rPr>
                <w:sz w:val="20"/>
                <w:szCs w:val="20"/>
              </w:rPr>
            </w:pPr>
            <w:r w:rsidRPr="00F775DA">
              <w:rPr>
                <w:sz w:val="20"/>
                <w:szCs w:val="20"/>
              </w:rPr>
              <w:t>146</w:t>
            </w:r>
          </w:p>
        </w:tc>
        <w:tc>
          <w:tcPr>
            <w:tcW w:w="1683" w:type="dxa"/>
          </w:tcPr>
          <w:p w:rsidR="004C1E6A" w:rsidRPr="00F775DA" w:rsidRDefault="004C1E6A" w:rsidP="008877B0">
            <w:pPr>
              <w:rPr>
                <w:sz w:val="20"/>
                <w:szCs w:val="20"/>
              </w:rPr>
            </w:pPr>
            <w:r w:rsidRPr="00F775DA">
              <w:rPr>
                <w:sz w:val="20"/>
                <w:szCs w:val="20"/>
              </w:rPr>
              <w:t>5</w:t>
            </w:r>
          </w:p>
        </w:tc>
        <w:tc>
          <w:tcPr>
            <w:tcW w:w="1369" w:type="dxa"/>
          </w:tcPr>
          <w:p w:rsidR="004C1E6A" w:rsidRPr="00F775DA" w:rsidRDefault="004C1E6A" w:rsidP="008877B0">
            <w:pPr>
              <w:rPr>
                <w:sz w:val="20"/>
                <w:szCs w:val="20"/>
              </w:rPr>
            </w:pPr>
            <w:r w:rsidRPr="00F775DA">
              <w:rPr>
                <w:sz w:val="20"/>
                <w:szCs w:val="20"/>
              </w:rPr>
              <w:t>7</w:t>
            </w:r>
          </w:p>
        </w:tc>
        <w:tc>
          <w:tcPr>
            <w:tcW w:w="1283" w:type="dxa"/>
          </w:tcPr>
          <w:p w:rsidR="004C1E6A" w:rsidRPr="00F775DA" w:rsidRDefault="004C1E6A" w:rsidP="008877B0">
            <w:pPr>
              <w:rPr>
                <w:sz w:val="20"/>
                <w:szCs w:val="20"/>
              </w:rPr>
            </w:pPr>
            <w:r w:rsidRPr="00F775DA">
              <w:rPr>
                <w:sz w:val="20"/>
                <w:szCs w:val="20"/>
              </w:rPr>
              <w:t>12</w:t>
            </w:r>
          </w:p>
        </w:tc>
        <w:tc>
          <w:tcPr>
            <w:tcW w:w="1776" w:type="dxa"/>
          </w:tcPr>
          <w:p w:rsidR="004C1E6A" w:rsidRPr="00F775DA" w:rsidRDefault="004C1E6A" w:rsidP="008877B0">
            <w:pPr>
              <w:rPr>
                <w:sz w:val="20"/>
                <w:szCs w:val="20"/>
              </w:rPr>
            </w:pPr>
            <w:r w:rsidRPr="00F775DA">
              <w:rPr>
                <w:sz w:val="20"/>
                <w:szCs w:val="20"/>
              </w:rPr>
              <w:t>&lt;5</w:t>
            </w:r>
          </w:p>
        </w:tc>
      </w:tr>
      <w:tr w:rsidR="004C1E6A" w:rsidRPr="00F775DA" w:rsidTr="00F775DA">
        <w:tc>
          <w:tcPr>
            <w:tcW w:w="2008" w:type="dxa"/>
          </w:tcPr>
          <w:p w:rsidR="004C1E6A" w:rsidRPr="00F775DA" w:rsidRDefault="004C1E6A" w:rsidP="008877B0">
            <w:pPr>
              <w:rPr>
                <w:sz w:val="20"/>
                <w:szCs w:val="20"/>
              </w:rPr>
            </w:pPr>
            <w:r w:rsidRPr="00F775DA">
              <w:rPr>
                <w:sz w:val="20"/>
                <w:szCs w:val="20"/>
              </w:rPr>
              <w:t>Epithelial Tumor</w:t>
            </w:r>
          </w:p>
        </w:tc>
        <w:tc>
          <w:tcPr>
            <w:tcW w:w="1288" w:type="dxa"/>
          </w:tcPr>
          <w:p w:rsidR="004C1E6A" w:rsidRPr="00F775DA" w:rsidRDefault="004C1E6A" w:rsidP="008877B0">
            <w:pPr>
              <w:rPr>
                <w:sz w:val="20"/>
                <w:szCs w:val="20"/>
              </w:rPr>
            </w:pPr>
            <w:r w:rsidRPr="00F775DA">
              <w:rPr>
                <w:sz w:val="20"/>
                <w:szCs w:val="20"/>
              </w:rPr>
              <w:t>265</w:t>
            </w:r>
          </w:p>
        </w:tc>
        <w:tc>
          <w:tcPr>
            <w:tcW w:w="1683" w:type="dxa"/>
          </w:tcPr>
          <w:p w:rsidR="004C1E6A" w:rsidRPr="00F775DA" w:rsidRDefault="004C1E6A" w:rsidP="008877B0">
            <w:pPr>
              <w:rPr>
                <w:sz w:val="20"/>
                <w:szCs w:val="20"/>
              </w:rPr>
            </w:pPr>
            <w:r w:rsidRPr="00F775DA">
              <w:rPr>
                <w:sz w:val="20"/>
                <w:szCs w:val="20"/>
              </w:rPr>
              <w:t>14</w:t>
            </w:r>
          </w:p>
        </w:tc>
        <w:tc>
          <w:tcPr>
            <w:tcW w:w="1369" w:type="dxa"/>
          </w:tcPr>
          <w:p w:rsidR="004C1E6A" w:rsidRPr="00F775DA" w:rsidRDefault="004C1E6A" w:rsidP="008877B0">
            <w:pPr>
              <w:rPr>
                <w:sz w:val="20"/>
                <w:szCs w:val="20"/>
              </w:rPr>
            </w:pPr>
            <w:r w:rsidRPr="00F775DA">
              <w:rPr>
                <w:sz w:val="20"/>
                <w:szCs w:val="20"/>
              </w:rPr>
              <w:t>7</w:t>
            </w:r>
          </w:p>
        </w:tc>
        <w:tc>
          <w:tcPr>
            <w:tcW w:w="1283" w:type="dxa"/>
          </w:tcPr>
          <w:p w:rsidR="004C1E6A" w:rsidRPr="00F775DA" w:rsidRDefault="004C1E6A" w:rsidP="008877B0">
            <w:pPr>
              <w:rPr>
                <w:sz w:val="20"/>
                <w:szCs w:val="20"/>
              </w:rPr>
            </w:pPr>
            <w:r w:rsidRPr="00F775DA">
              <w:rPr>
                <w:sz w:val="20"/>
                <w:szCs w:val="20"/>
              </w:rPr>
              <w:t>25</w:t>
            </w:r>
          </w:p>
        </w:tc>
        <w:tc>
          <w:tcPr>
            <w:tcW w:w="1776" w:type="dxa"/>
          </w:tcPr>
          <w:p w:rsidR="004C1E6A" w:rsidRPr="00F775DA" w:rsidRDefault="004C1E6A" w:rsidP="008877B0">
            <w:pPr>
              <w:rPr>
                <w:sz w:val="20"/>
                <w:szCs w:val="20"/>
              </w:rPr>
            </w:pPr>
            <w:r w:rsidRPr="00F775DA">
              <w:rPr>
                <w:sz w:val="20"/>
                <w:szCs w:val="20"/>
              </w:rPr>
              <w:t>22</w:t>
            </w:r>
          </w:p>
        </w:tc>
      </w:tr>
      <w:tr w:rsidR="004C1E6A" w:rsidRPr="00F775DA" w:rsidTr="00F775DA">
        <w:tc>
          <w:tcPr>
            <w:tcW w:w="2008" w:type="dxa"/>
          </w:tcPr>
          <w:p w:rsidR="004C1E6A" w:rsidRPr="00F775DA" w:rsidRDefault="004C1E6A" w:rsidP="008877B0">
            <w:pPr>
              <w:rPr>
                <w:sz w:val="20"/>
                <w:szCs w:val="20"/>
              </w:rPr>
            </w:pPr>
            <w:r w:rsidRPr="00F775DA">
              <w:rPr>
                <w:sz w:val="20"/>
                <w:szCs w:val="20"/>
              </w:rPr>
              <w:t>Other</w:t>
            </w:r>
          </w:p>
        </w:tc>
        <w:tc>
          <w:tcPr>
            <w:tcW w:w="1288" w:type="dxa"/>
          </w:tcPr>
          <w:p w:rsidR="004C1E6A" w:rsidRPr="00F775DA" w:rsidRDefault="004C1E6A" w:rsidP="008877B0">
            <w:pPr>
              <w:rPr>
                <w:sz w:val="20"/>
                <w:szCs w:val="20"/>
              </w:rPr>
            </w:pPr>
            <w:r w:rsidRPr="00F775DA">
              <w:rPr>
                <w:sz w:val="20"/>
                <w:szCs w:val="20"/>
              </w:rPr>
              <w:t>10</w:t>
            </w:r>
          </w:p>
        </w:tc>
        <w:tc>
          <w:tcPr>
            <w:tcW w:w="1683" w:type="dxa"/>
          </w:tcPr>
          <w:p w:rsidR="004C1E6A" w:rsidRPr="00F775DA" w:rsidRDefault="004C1E6A" w:rsidP="008877B0">
            <w:pPr>
              <w:rPr>
                <w:sz w:val="20"/>
                <w:szCs w:val="20"/>
              </w:rPr>
            </w:pPr>
            <w:r w:rsidRPr="00F775DA">
              <w:rPr>
                <w:sz w:val="20"/>
                <w:szCs w:val="20"/>
              </w:rPr>
              <w:t>&lt;5</w:t>
            </w:r>
          </w:p>
        </w:tc>
        <w:tc>
          <w:tcPr>
            <w:tcW w:w="1369" w:type="dxa"/>
          </w:tcPr>
          <w:p w:rsidR="004C1E6A" w:rsidRPr="00F775DA" w:rsidRDefault="004C1E6A" w:rsidP="008877B0">
            <w:pPr>
              <w:rPr>
                <w:sz w:val="20"/>
                <w:szCs w:val="20"/>
              </w:rPr>
            </w:pPr>
            <w:r w:rsidRPr="00F775DA">
              <w:rPr>
                <w:sz w:val="20"/>
                <w:szCs w:val="20"/>
              </w:rPr>
              <w:t>&lt;5</w:t>
            </w:r>
          </w:p>
        </w:tc>
        <w:tc>
          <w:tcPr>
            <w:tcW w:w="1283" w:type="dxa"/>
          </w:tcPr>
          <w:p w:rsidR="004C1E6A" w:rsidRPr="00F775DA" w:rsidRDefault="004C1E6A" w:rsidP="008877B0">
            <w:pPr>
              <w:rPr>
                <w:sz w:val="20"/>
                <w:szCs w:val="20"/>
              </w:rPr>
            </w:pPr>
            <w:r w:rsidRPr="00F775DA">
              <w:rPr>
                <w:sz w:val="20"/>
                <w:szCs w:val="20"/>
              </w:rPr>
              <w:t>&lt;5</w:t>
            </w:r>
          </w:p>
        </w:tc>
        <w:tc>
          <w:tcPr>
            <w:tcW w:w="1776" w:type="dxa"/>
          </w:tcPr>
          <w:p w:rsidR="004C1E6A" w:rsidRPr="00F775DA" w:rsidRDefault="004C1E6A" w:rsidP="008877B0">
            <w:pPr>
              <w:rPr>
                <w:sz w:val="20"/>
                <w:szCs w:val="20"/>
              </w:rPr>
            </w:pPr>
            <w:r w:rsidRPr="00F775DA">
              <w:rPr>
                <w:sz w:val="20"/>
                <w:szCs w:val="20"/>
              </w:rPr>
              <w:t>0</w:t>
            </w:r>
          </w:p>
        </w:tc>
      </w:tr>
      <w:tr w:rsidR="004C1E6A" w:rsidRPr="00F775DA" w:rsidTr="00F775DA">
        <w:tc>
          <w:tcPr>
            <w:tcW w:w="2008" w:type="dxa"/>
          </w:tcPr>
          <w:p w:rsidR="004C1E6A" w:rsidRPr="00F775DA" w:rsidRDefault="004C1E6A" w:rsidP="008877B0">
            <w:pPr>
              <w:rPr>
                <w:sz w:val="20"/>
                <w:szCs w:val="20"/>
              </w:rPr>
            </w:pP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2387</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175</w:t>
            </w:r>
            <w:r w:rsidRPr="00F775DA">
              <w:rPr>
                <w:sz w:val="20"/>
                <w:szCs w:val="20"/>
              </w:rPr>
              <w:fldChar w:fldCharType="end"/>
            </w:r>
          </w:p>
        </w:tc>
        <w:tc>
          <w:tcPr>
            <w:tcW w:w="1369"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108</w:t>
            </w:r>
            <w:r w:rsidRPr="00F775DA">
              <w:rPr>
                <w:sz w:val="20"/>
                <w:szCs w:val="20"/>
              </w:rPr>
              <w:fldChar w:fldCharType="end"/>
            </w:r>
          </w:p>
        </w:tc>
        <w:tc>
          <w:tcPr>
            <w:tcW w:w="12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272</w:t>
            </w:r>
            <w:r w:rsidRPr="00F775DA">
              <w:rPr>
                <w:sz w:val="20"/>
                <w:szCs w:val="20"/>
              </w:rPr>
              <w:fldChar w:fldCharType="end"/>
            </w:r>
          </w:p>
        </w:tc>
        <w:tc>
          <w:tcPr>
            <w:tcW w:w="1776"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59</w:t>
            </w:r>
            <w:r w:rsidRPr="00F775DA">
              <w:rPr>
                <w:sz w:val="20"/>
                <w:szCs w:val="20"/>
              </w:rPr>
              <w:fldChar w:fldCharType="end"/>
            </w:r>
          </w:p>
        </w:tc>
      </w:tr>
      <w:tr w:rsidR="004C1E6A" w:rsidRPr="00F775DA" w:rsidTr="00F775DA">
        <w:tc>
          <w:tcPr>
            <w:tcW w:w="2008" w:type="dxa"/>
          </w:tcPr>
          <w:p w:rsidR="004C1E6A" w:rsidRPr="00F775DA" w:rsidRDefault="004C1E6A" w:rsidP="008877B0">
            <w:pPr>
              <w:rPr>
                <w:b/>
                <w:sz w:val="20"/>
                <w:szCs w:val="20"/>
              </w:rPr>
            </w:pPr>
            <w:r w:rsidRPr="00F775DA">
              <w:rPr>
                <w:b/>
                <w:sz w:val="20"/>
                <w:szCs w:val="20"/>
              </w:rPr>
              <w:t>Cancer Deaths:</w:t>
            </w:r>
          </w:p>
        </w:tc>
        <w:tc>
          <w:tcPr>
            <w:tcW w:w="1288" w:type="dxa"/>
          </w:tcPr>
          <w:p w:rsidR="004C1E6A" w:rsidRPr="00F775DA" w:rsidRDefault="004C1E6A" w:rsidP="008877B0">
            <w:pPr>
              <w:rPr>
                <w:b/>
                <w:sz w:val="20"/>
                <w:szCs w:val="20"/>
              </w:rPr>
            </w:pPr>
            <w:r w:rsidRPr="00F775DA">
              <w:rPr>
                <w:b/>
                <w:sz w:val="20"/>
                <w:szCs w:val="20"/>
              </w:rPr>
              <w:t>Total</w:t>
            </w:r>
          </w:p>
        </w:tc>
        <w:tc>
          <w:tcPr>
            <w:tcW w:w="1683" w:type="dxa"/>
          </w:tcPr>
          <w:p w:rsidR="004C1E6A" w:rsidRPr="00F775DA" w:rsidRDefault="004C1E6A" w:rsidP="008877B0">
            <w:pPr>
              <w:rPr>
                <w:b/>
                <w:sz w:val="20"/>
                <w:szCs w:val="20"/>
              </w:rPr>
            </w:pPr>
            <w:r w:rsidRPr="00F775DA">
              <w:rPr>
                <w:b/>
                <w:sz w:val="20"/>
                <w:szCs w:val="20"/>
              </w:rPr>
              <w:t>Leukemia</w:t>
            </w:r>
          </w:p>
        </w:tc>
        <w:tc>
          <w:tcPr>
            <w:tcW w:w="1369" w:type="dxa"/>
          </w:tcPr>
          <w:p w:rsidR="004C1E6A" w:rsidRPr="00F775DA" w:rsidRDefault="004C1E6A" w:rsidP="008877B0">
            <w:pPr>
              <w:rPr>
                <w:b/>
                <w:sz w:val="20"/>
                <w:szCs w:val="20"/>
              </w:rPr>
            </w:pPr>
            <w:r w:rsidRPr="00F775DA">
              <w:rPr>
                <w:b/>
                <w:sz w:val="20"/>
                <w:szCs w:val="20"/>
              </w:rPr>
              <w:t>CNS</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w:t>
            </w:r>
          </w:p>
        </w:tc>
        <w:tc>
          <w:tcPr>
            <w:tcW w:w="1288" w:type="dxa"/>
          </w:tcPr>
          <w:p w:rsidR="004C1E6A" w:rsidRPr="00F775DA" w:rsidRDefault="004C1E6A" w:rsidP="008877B0">
            <w:pPr>
              <w:rPr>
                <w:sz w:val="20"/>
                <w:szCs w:val="20"/>
              </w:rPr>
            </w:pPr>
            <w:r w:rsidRPr="00F775DA">
              <w:rPr>
                <w:sz w:val="20"/>
                <w:szCs w:val="20"/>
              </w:rPr>
              <w:t>49</w:t>
            </w:r>
          </w:p>
        </w:tc>
        <w:tc>
          <w:tcPr>
            <w:tcW w:w="1683" w:type="dxa"/>
          </w:tcPr>
          <w:p w:rsidR="004C1E6A" w:rsidRPr="00F775DA" w:rsidRDefault="004C1E6A" w:rsidP="008877B0">
            <w:pPr>
              <w:rPr>
                <w:sz w:val="20"/>
                <w:szCs w:val="20"/>
              </w:rPr>
            </w:pPr>
            <w:r w:rsidRPr="00F775DA">
              <w:rPr>
                <w:sz w:val="20"/>
                <w:szCs w:val="20"/>
              </w:rPr>
              <w:t>15</w:t>
            </w:r>
          </w:p>
        </w:tc>
        <w:tc>
          <w:tcPr>
            <w:tcW w:w="1369" w:type="dxa"/>
          </w:tcPr>
          <w:p w:rsidR="004C1E6A" w:rsidRPr="00F775DA" w:rsidRDefault="004C1E6A" w:rsidP="008877B0">
            <w:pPr>
              <w:rPr>
                <w:sz w:val="20"/>
                <w:szCs w:val="20"/>
              </w:rPr>
            </w:pPr>
            <w:r w:rsidRPr="00F775DA">
              <w:rPr>
                <w:sz w:val="20"/>
                <w:szCs w:val="20"/>
              </w:rPr>
              <w:t>15</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2001</w:t>
            </w:r>
          </w:p>
        </w:tc>
        <w:tc>
          <w:tcPr>
            <w:tcW w:w="1288" w:type="dxa"/>
          </w:tcPr>
          <w:p w:rsidR="004C1E6A" w:rsidRPr="00F775DA" w:rsidRDefault="004C1E6A" w:rsidP="008877B0">
            <w:pPr>
              <w:rPr>
                <w:sz w:val="20"/>
                <w:szCs w:val="20"/>
              </w:rPr>
            </w:pPr>
            <w:r w:rsidRPr="00F775DA">
              <w:rPr>
                <w:sz w:val="20"/>
                <w:szCs w:val="20"/>
              </w:rPr>
              <w:t>38</w:t>
            </w:r>
          </w:p>
        </w:tc>
        <w:tc>
          <w:tcPr>
            <w:tcW w:w="1683" w:type="dxa"/>
          </w:tcPr>
          <w:p w:rsidR="004C1E6A" w:rsidRPr="00F775DA" w:rsidRDefault="004C1E6A" w:rsidP="008877B0">
            <w:pPr>
              <w:rPr>
                <w:sz w:val="20"/>
                <w:szCs w:val="20"/>
              </w:rPr>
            </w:pPr>
            <w:r w:rsidRPr="00F775DA">
              <w:rPr>
                <w:sz w:val="20"/>
                <w:szCs w:val="20"/>
              </w:rPr>
              <w:t>7</w:t>
            </w:r>
          </w:p>
        </w:tc>
        <w:tc>
          <w:tcPr>
            <w:tcW w:w="1369" w:type="dxa"/>
          </w:tcPr>
          <w:p w:rsidR="004C1E6A" w:rsidRPr="00F775DA" w:rsidRDefault="004C1E6A" w:rsidP="008877B0">
            <w:pPr>
              <w:rPr>
                <w:sz w:val="20"/>
                <w:szCs w:val="20"/>
              </w:rPr>
            </w:pPr>
            <w:r w:rsidRPr="00F775DA">
              <w:rPr>
                <w:sz w:val="20"/>
                <w:szCs w:val="20"/>
              </w:rPr>
              <w:t>7</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2002</w:t>
            </w:r>
          </w:p>
        </w:tc>
        <w:tc>
          <w:tcPr>
            <w:tcW w:w="1288" w:type="dxa"/>
          </w:tcPr>
          <w:p w:rsidR="004C1E6A" w:rsidRPr="00F775DA" w:rsidRDefault="004C1E6A" w:rsidP="008877B0">
            <w:pPr>
              <w:rPr>
                <w:sz w:val="20"/>
                <w:szCs w:val="20"/>
              </w:rPr>
            </w:pPr>
            <w:r w:rsidRPr="00F775DA">
              <w:rPr>
                <w:sz w:val="20"/>
                <w:szCs w:val="20"/>
              </w:rPr>
              <w:t>37</w:t>
            </w:r>
          </w:p>
        </w:tc>
        <w:tc>
          <w:tcPr>
            <w:tcW w:w="1683" w:type="dxa"/>
          </w:tcPr>
          <w:p w:rsidR="004C1E6A" w:rsidRPr="00F775DA" w:rsidRDefault="004C1E6A" w:rsidP="008877B0">
            <w:pPr>
              <w:rPr>
                <w:sz w:val="20"/>
                <w:szCs w:val="20"/>
              </w:rPr>
            </w:pPr>
            <w:r w:rsidRPr="00F775DA">
              <w:rPr>
                <w:sz w:val="20"/>
                <w:szCs w:val="20"/>
              </w:rPr>
              <w:t>8</w:t>
            </w:r>
          </w:p>
        </w:tc>
        <w:tc>
          <w:tcPr>
            <w:tcW w:w="1369" w:type="dxa"/>
          </w:tcPr>
          <w:p w:rsidR="004C1E6A" w:rsidRPr="00F775DA" w:rsidRDefault="004C1E6A" w:rsidP="008877B0">
            <w:pPr>
              <w:rPr>
                <w:sz w:val="20"/>
                <w:szCs w:val="20"/>
              </w:rPr>
            </w:pPr>
            <w:r w:rsidRPr="00F775DA">
              <w:rPr>
                <w:sz w:val="20"/>
                <w:szCs w:val="20"/>
              </w:rPr>
              <w:t>9</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2003</w:t>
            </w:r>
          </w:p>
        </w:tc>
        <w:tc>
          <w:tcPr>
            <w:tcW w:w="1288" w:type="dxa"/>
          </w:tcPr>
          <w:p w:rsidR="004C1E6A" w:rsidRPr="00F775DA" w:rsidRDefault="004C1E6A" w:rsidP="008877B0">
            <w:pPr>
              <w:rPr>
                <w:sz w:val="20"/>
                <w:szCs w:val="20"/>
              </w:rPr>
            </w:pPr>
            <w:r w:rsidRPr="00F775DA">
              <w:rPr>
                <w:sz w:val="20"/>
                <w:szCs w:val="20"/>
              </w:rPr>
              <w:t>43</w:t>
            </w:r>
          </w:p>
        </w:tc>
        <w:tc>
          <w:tcPr>
            <w:tcW w:w="1683" w:type="dxa"/>
          </w:tcPr>
          <w:p w:rsidR="004C1E6A" w:rsidRPr="00F775DA" w:rsidRDefault="004C1E6A" w:rsidP="008877B0">
            <w:pPr>
              <w:rPr>
                <w:sz w:val="20"/>
                <w:szCs w:val="20"/>
              </w:rPr>
            </w:pPr>
            <w:r w:rsidRPr="00F775DA">
              <w:rPr>
                <w:sz w:val="20"/>
                <w:szCs w:val="20"/>
              </w:rPr>
              <w:t>13</w:t>
            </w:r>
          </w:p>
        </w:tc>
        <w:tc>
          <w:tcPr>
            <w:tcW w:w="1369" w:type="dxa"/>
          </w:tcPr>
          <w:p w:rsidR="004C1E6A" w:rsidRPr="00F775DA" w:rsidRDefault="004C1E6A" w:rsidP="008877B0">
            <w:pPr>
              <w:rPr>
                <w:sz w:val="20"/>
                <w:szCs w:val="20"/>
              </w:rPr>
            </w:pPr>
            <w:r w:rsidRPr="00F775DA">
              <w:rPr>
                <w:sz w:val="20"/>
                <w:szCs w:val="20"/>
              </w:rPr>
              <w:t>8</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2004</w:t>
            </w:r>
          </w:p>
        </w:tc>
        <w:tc>
          <w:tcPr>
            <w:tcW w:w="1288" w:type="dxa"/>
          </w:tcPr>
          <w:p w:rsidR="004C1E6A" w:rsidRPr="00F775DA" w:rsidRDefault="004C1E6A" w:rsidP="008877B0">
            <w:pPr>
              <w:rPr>
                <w:sz w:val="20"/>
                <w:szCs w:val="20"/>
              </w:rPr>
            </w:pPr>
            <w:r w:rsidRPr="00F775DA">
              <w:rPr>
                <w:sz w:val="20"/>
                <w:szCs w:val="20"/>
              </w:rPr>
              <w:t>36</w:t>
            </w:r>
          </w:p>
        </w:tc>
        <w:tc>
          <w:tcPr>
            <w:tcW w:w="1683" w:type="dxa"/>
          </w:tcPr>
          <w:p w:rsidR="004C1E6A" w:rsidRPr="00F775DA" w:rsidRDefault="004C1E6A" w:rsidP="008877B0">
            <w:pPr>
              <w:rPr>
                <w:sz w:val="20"/>
                <w:szCs w:val="20"/>
              </w:rPr>
            </w:pPr>
            <w:r w:rsidRPr="00F775DA">
              <w:rPr>
                <w:sz w:val="20"/>
                <w:szCs w:val="20"/>
              </w:rPr>
              <w:t>11</w:t>
            </w:r>
          </w:p>
        </w:tc>
        <w:tc>
          <w:tcPr>
            <w:tcW w:w="1369" w:type="dxa"/>
          </w:tcPr>
          <w:p w:rsidR="004C1E6A" w:rsidRPr="00F775DA" w:rsidRDefault="004C1E6A" w:rsidP="008877B0">
            <w:pPr>
              <w:rPr>
                <w:sz w:val="20"/>
                <w:szCs w:val="20"/>
              </w:rPr>
            </w:pPr>
            <w:r w:rsidRPr="00F775DA">
              <w:rPr>
                <w:sz w:val="20"/>
                <w:szCs w:val="20"/>
              </w:rPr>
              <w:t>8</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2005</w:t>
            </w:r>
          </w:p>
        </w:tc>
        <w:tc>
          <w:tcPr>
            <w:tcW w:w="1288" w:type="dxa"/>
          </w:tcPr>
          <w:p w:rsidR="004C1E6A" w:rsidRPr="00F775DA" w:rsidRDefault="004C1E6A" w:rsidP="008877B0">
            <w:pPr>
              <w:rPr>
                <w:sz w:val="20"/>
                <w:szCs w:val="20"/>
              </w:rPr>
            </w:pPr>
            <w:r w:rsidRPr="00F775DA">
              <w:rPr>
                <w:sz w:val="20"/>
                <w:szCs w:val="20"/>
              </w:rPr>
              <w:t>36</w:t>
            </w:r>
          </w:p>
        </w:tc>
        <w:tc>
          <w:tcPr>
            <w:tcW w:w="1683" w:type="dxa"/>
          </w:tcPr>
          <w:p w:rsidR="004C1E6A" w:rsidRPr="00F775DA" w:rsidRDefault="004C1E6A" w:rsidP="008877B0">
            <w:pPr>
              <w:rPr>
                <w:sz w:val="20"/>
                <w:szCs w:val="20"/>
              </w:rPr>
            </w:pPr>
            <w:r w:rsidRPr="00F775DA">
              <w:rPr>
                <w:sz w:val="20"/>
                <w:szCs w:val="20"/>
              </w:rPr>
              <w:t>10</w:t>
            </w:r>
          </w:p>
        </w:tc>
        <w:tc>
          <w:tcPr>
            <w:tcW w:w="1369" w:type="dxa"/>
          </w:tcPr>
          <w:p w:rsidR="004C1E6A" w:rsidRPr="00F775DA" w:rsidRDefault="004C1E6A" w:rsidP="008877B0">
            <w:pPr>
              <w:rPr>
                <w:sz w:val="20"/>
                <w:szCs w:val="20"/>
              </w:rPr>
            </w:pPr>
            <w:r w:rsidRPr="00F775DA">
              <w:rPr>
                <w:sz w:val="20"/>
                <w:szCs w:val="20"/>
              </w:rPr>
              <w:t>6</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2006</w:t>
            </w:r>
          </w:p>
        </w:tc>
        <w:tc>
          <w:tcPr>
            <w:tcW w:w="1288" w:type="dxa"/>
          </w:tcPr>
          <w:p w:rsidR="004C1E6A" w:rsidRPr="00F775DA" w:rsidRDefault="004C1E6A" w:rsidP="008877B0">
            <w:pPr>
              <w:rPr>
                <w:sz w:val="20"/>
                <w:szCs w:val="20"/>
              </w:rPr>
            </w:pPr>
            <w:r w:rsidRPr="00F775DA">
              <w:rPr>
                <w:sz w:val="20"/>
                <w:szCs w:val="20"/>
              </w:rPr>
              <w:t>33</w:t>
            </w:r>
          </w:p>
        </w:tc>
        <w:tc>
          <w:tcPr>
            <w:tcW w:w="1683" w:type="dxa"/>
          </w:tcPr>
          <w:p w:rsidR="004C1E6A" w:rsidRPr="00F775DA" w:rsidRDefault="004C1E6A" w:rsidP="008877B0">
            <w:pPr>
              <w:rPr>
                <w:sz w:val="20"/>
                <w:szCs w:val="20"/>
              </w:rPr>
            </w:pPr>
            <w:r w:rsidRPr="00F775DA">
              <w:rPr>
                <w:sz w:val="20"/>
                <w:szCs w:val="20"/>
              </w:rPr>
              <w:t>10</w:t>
            </w:r>
          </w:p>
        </w:tc>
        <w:tc>
          <w:tcPr>
            <w:tcW w:w="1369" w:type="dxa"/>
          </w:tcPr>
          <w:p w:rsidR="004C1E6A" w:rsidRPr="00F775DA" w:rsidRDefault="004C1E6A" w:rsidP="008877B0">
            <w:pPr>
              <w:rPr>
                <w:sz w:val="20"/>
                <w:szCs w:val="20"/>
              </w:rPr>
            </w:pPr>
            <w:r w:rsidRPr="00F775DA">
              <w:rPr>
                <w:sz w:val="20"/>
                <w:szCs w:val="20"/>
              </w:rPr>
              <w:t>8</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2007</w:t>
            </w:r>
          </w:p>
        </w:tc>
        <w:tc>
          <w:tcPr>
            <w:tcW w:w="1288" w:type="dxa"/>
          </w:tcPr>
          <w:p w:rsidR="004C1E6A" w:rsidRPr="00F775DA" w:rsidRDefault="004C1E6A" w:rsidP="008877B0">
            <w:pPr>
              <w:rPr>
                <w:sz w:val="20"/>
                <w:szCs w:val="20"/>
              </w:rPr>
            </w:pPr>
            <w:r w:rsidRPr="00F775DA">
              <w:rPr>
                <w:sz w:val="20"/>
                <w:szCs w:val="20"/>
              </w:rPr>
              <w:t>40</w:t>
            </w:r>
          </w:p>
        </w:tc>
        <w:tc>
          <w:tcPr>
            <w:tcW w:w="1683" w:type="dxa"/>
          </w:tcPr>
          <w:p w:rsidR="004C1E6A" w:rsidRPr="00F775DA" w:rsidRDefault="004C1E6A" w:rsidP="008877B0">
            <w:pPr>
              <w:rPr>
                <w:sz w:val="20"/>
                <w:szCs w:val="20"/>
              </w:rPr>
            </w:pPr>
            <w:r w:rsidRPr="00F775DA">
              <w:rPr>
                <w:sz w:val="20"/>
                <w:szCs w:val="20"/>
              </w:rPr>
              <w:t>13</w:t>
            </w:r>
          </w:p>
        </w:tc>
        <w:tc>
          <w:tcPr>
            <w:tcW w:w="1369" w:type="dxa"/>
          </w:tcPr>
          <w:p w:rsidR="004C1E6A" w:rsidRPr="00F775DA" w:rsidRDefault="004C1E6A" w:rsidP="008877B0">
            <w:pPr>
              <w:rPr>
                <w:sz w:val="20"/>
                <w:szCs w:val="20"/>
              </w:rPr>
            </w:pPr>
            <w:r w:rsidRPr="00F775DA">
              <w:rPr>
                <w:sz w:val="20"/>
                <w:szCs w:val="20"/>
              </w:rPr>
              <w:t>11</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2008</w:t>
            </w:r>
          </w:p>
        </w:tc>
        <w:tc>
          <w:tcPr>
            <w:tcW w:w="1288" w:type="dxa"/>
          </w:tcPr>
          <w:p w:rsidR="004C1E6A" w:rsidRPr="00F775DA" w:rsidRDefault="004C1E6A" w:rsidP="008877B0">
            <w:pPr>
              <w:rPr>
                <w:sz w:val="20"/>
                <w:szCs w:val="20"/>
              </w:rPr>
            </w:pPr>
            <w:r w:rsidRPr="00F775DA">
              <w:rPr>
                <w:sz w:val="20"/>
                <w:szCs w:val="20"/>
              </w:rPr>
              <w:t>42</w:t>
            </w:r>
          </w:p>
        </w:tc>
        <w:tc>
          <w:tcPr>
            <w:tcW w:w="1683" w:type="dxa"/>
          </w:tcPr>
          <w:p w:rsidR="004C1E6A" w:rsidRPr="00F775DA" w:rsidRDefault="004C1E6A" w:rsidP="008877B0">
            <w:pPr>
              <w:rPr>
                <w:sz w:val="20"/>
                <w:szCs w:val="20"/>
              </w:rPr>
            </w:pPr>
            <w:r w:rsidRPr="00F775DA">
              <w:rPr>
                <w:sz w:val="20"/>
                <w:szCs w:val="20"/>
              </w:rPr>
              <w:t>11</w:t>
            </w:r>
          </w:p>
        </w:tc>
        <w:tc>
          <w:tcPr>
            <w:tcW w:w="1369" w:type="dxa"/>
          </w:tcPr>
          <w:p w:rsidR="004C1E6A" w:rsidRPr="00F775DA" w:rsidRDefault="004C1E6A" w:rsidP="008877B0">
            <w:pPr>
              <w:rPr>
                <w:sz w:val="20"/>
                <w:szCs w:val="20"/>
              </w:rPr>
            </w:pPr>
            <w:r w:rsidRPr="00F775DA">
              <w:rPr>
                <w:sz w:val="20"/>
                <w:szCs w:val="20"/>
              </w:rPr>
              <w:t>9</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2009</w:t>
            </w:r>
          </w:p>
        </w:tc>
        <w:tc>
          <w:tcPr>
            <w:tcW w:w="1288" w:type="dxa"/>
          </w:tcPr>
          <w:p w:rsidR="004C1E6A" w:rsidRPr="00F775DA" w:rsidRDefault="004C1E6A" w:rsidP="008877B0">
            <w:pPr>
              <w:rPr>
                <w:sz w:val="20"/>
                <w:szCs w:val="20"/>
              </w:rPr>
            </w:pPr>
            <w:r w:rsidRPr="00F775DA">
              <w:rPr>
                <w:sz w:val="20"/>
                <w:szCs w:val="20"/>
              </w:rPr>
              <w:t>32</w:t>
            </w:r>
          </w:p>
        </w:tc>
        <w:tc>
          <w:tcPr>
            <w:tcW w:w="1683" w:type="dxa"/>
          </w:tcPr>
          <w:p w:rsidR="004C1E6A" w:rsidRPr="00F775DA" w:rsidRDefault="004C1E6A" w:rsidP="008877B0">
            <w:pPr>
              <w:rPr>
                <w:sz w:val="20"/>
                <w:szCs w:val="20"/>
              </w:rPr>
            </w:pPr>
            <w:r w:rsidRPr="00F775DA">
              <w:rPr>
                <w:sz w:val="20"/>
                <w:szCs w:val="20"/>
              </w:rPr>
              <w:t>9</w:t>
            </w:r>
          </w:p>
        </w:tc>
        <w:tc>
          <w:tcPr>
            <w:tcW w:w="1369" w:type="dxa"/>
          </w:tcPr>
          <w:p w:rsidR="004C1E6A" w:rsidRPr="00F775DA" w:rsidRDefault="004C1E6A" w:rsidP="008877B0">
            <w:pPr>
              <w:rPr>
                <w:sz w:val="20"/>
                <w:szCs w:val="20"/>
              </w:rPr>
            </w:pPr>
            <w:r w:rsidRPr="00F775DA">
              <w:rPr>
                <w:sz w:val="20"/>
                <w:szCs w:val="20"/>
              </w:rPr>
              <w:t>10</w:t>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r w:rsidR="004C1E6A" w:rsidRPr="00F775DA" w:rsidTr="00F775DA">
        <w:tc>
          <w:tcPr>
            <w:tcW w:w="2008" w:type="dxa"/>
          </w:tcPr>
          <w:p w:rsidR="004C1E6A" w:rsidRPr="00F775DA" w:rsidRDefault="004C1E6A" w:rsidP="008877B0">
            <w:pPr>
              <w:rPr>
                <w:sz w:val="20"/>
                <w:szCs w:val="20"/>
              </w:rPr>
            </w:pPr>
            <w:r w:rsidRPr="00F775DA">
              <w:rPr>
                <w:sz w:val="20"/>
                <w:szCs w:val="20"/>
              </w:rPr>
              <w:t>2000-2009</w:t>
            </w:r>
          </w:p>
        </w:tc>
        <w:tc>
          <w:tcPr>
            <w:tcW w:w="1288"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386</w:t>
            </w:r>
            <w:r w:rsidRPr="00F775DA">
              <w:rPr>
                <w:sz w:val="20"/>
                <w:szCs w:val="20"/>
              </w:rPr>
              <w:fldChar w:fldCharType="end"/>
            </w:r>
          </w:p>
        </w:tc>
        <w:tc>
          <w:tcPr>
            <w:tcW w:w="1683"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107</w:t>
            </w:r>
            <w:r w:rsidRPr="00F775DA">
              <w:rPr>
                <w:sz w:val="20"/>
                <w:szCs w:val="20"/>
              </w:rPr>
              <w:fldChar w:fldCharType="end"/>
            </w:r>
          </w:p>
        </w:tc>
        <w:tc>
          <w:tcPr>
            <w:tcW w:w="1369" w:type="dxa"/>
          </w:tcPr>
          <w:p w:rsidR="004C1E6A" w:rsidRPr="00F775DA" w:rsidRDefault="004C1E6A" w:rsidP="008877B0">
            <w:pPr>
              <w:rPr>
                <w:sz w:val="20"/>
                <w:szCs w:val="20"/>
              </w:rPr>
            </w:pPr>
            <w:r w:rsidRPr="00F775DA">
              <w:rPr>
                <w:sz w:val="20"/>
                <w:szCs w:val="20"/>
              </w:rPr>
              <w:fldChar w:fldCharType="begin"/>
            </w:r>
            <w:r w:rsidRPr="00F775DA">
              <w:rPr>
                <w:sz w:val="20"/>
                <w:szCs w:val="20"/>
              </w:rPr>
              <w:instrText xml:space="preserve"> =SUM(ABOVE) </w:instrText>
            </w:r>
            <w:r w:rsidRPr="00F775DA">
              <w:rPr>
                <w:sz w:val="20"/>
                <w:szCs w:val="20"/>
              </w:rPr>
              <w:fldChar w:fldCharType="separate"/>
            </w:r>
            <w:r w:rsidRPr="00F775DA">
              <w:rPr>
                <w:noProof/>
                <w:sz w:val="20"/>
                <w:szCs w:val="20"/>
              </w:rPr>
              <w:t>91</w:t>
            </w:r>
            <w:r w:rsidRPr="00F775DA">
              <w:rPr>
                <w:sz w:val="20"/>
                <w:szCs w:val="20"/>
              </w:rPr>
              <w:fldChar w:fldCharType="end"/>
            </w:r>
          </w:p>
        </w:tc>
        <w:tc>
          <w:tcPr>
            <w:tcW w:w="1283" w:type="dxa"/>
          </w:tcPr>
          <w:p w:rsidR="004C1E6A" w:rsidRPr="00F775DA" w:rsidRDefault="004C1E6A" w:rsidP="008877B0">
            <w:pPr>
              <w:rPr>
                <w:sz w:val="20"/>
                <w:szCs w:val="20"/>
              </w:rPr>
            </w:pPr>
          </w:p>
        </w:tc>
        <w:tc>
          <w:tcPr>
            <w:tcW w:w="1776" w:type="dxa"/>
          </w:tcPr>
          <w:p w:rsidR="004C1E6A" w:rsidRPr="00F775DA" w:rsidRDefault="004C1E6A" w:rsidP="008877B0">
            <w:pPr>
              <w:rPr>
                <w:sz w:val="20"/>
                <w:szCs w:val="20"/>
              </w:rPr>
            </w:pPr>
          </w:p>
        </w:tc>
      </w:tr>
    </w:tbl>
    <w:p w:rsidR="004C1E6A" w:rsidRDefault="004C1E6A" w:rsidP="006707E1">
      <w:r w:rsidDel="00B056B2">
        <w:rPr>
          <w:b/>
        </w:rPr>
        <w:t xml:space="preserve"> </w:t>
      </w:r>
    </w:p>
    <w:p w:rsidR="004C1E6A" w:rsidRDefault="004C1E6A" w:rsidP="006707E1"/>
    <w:p w:rsidR="004C1E6A" w:rsidRDefault="004C1E6A" w:rsidP="006707E1"/>
    <w:p w:rsidR="004C1E6A" w:rsidRDefault="004C1E6A" w:rsidP="006707E1"/>
    <w:p w:rsidR="004C1E6A" w:rsidRDefault="004C1E6A" w:rsidP="006707E1"/>
    <w:p w:rsidR="004C1E6A" w:rsidRDefault="004C1E6A" w:rsidP="006707E1"/>
    <w:p w:rsidR="004C1E6A" w:rsidRDefault="004C1E6A" w:rsidP="006707E1"/>
    <w:p w:rsidR="004C1E6A" w:rsidRDefault="004C1E6A" w:rsidP="006707E1"/>
    <w:p w:rsidR="004C1E6A" w:rsidRDefault="004C1E6A" w:rsidP="006707E1"/>
    <w:p w:rsidR="004C1E6A" w:rsidRDefault="004C1E6A" w:rsidP="006707E1"/>
    <w:p w:rsidR="004C1E6A" w:rsidRDefault="004C1E6A" w:rsidP="006707E1"/>
    <w:p w:rsidR="004C1E6A" w:rsidRDefault="004C1E6A" w:rsidP="006707E1"/>
    <w:p w:rsidR="004C1E6A" w:rsidRDefault="004C1E6A" w:rsidP="004A2B63">
      <w:pPr>
        <w:jc w:val="center"/>
        <w:rPr>
          <w:b/>
        </w:rPr>
      </w:pPr>
      <w:r>
        <w:br w:type="page"/>
      </w:r>
      <w:r w:rsidRPr="002F325B">
        <w:rPr>
          <w:b/>
        </w:rPr>
        <w:lastRenderedPageBreak/>
        <w:t>REFERENCES</w:t>
      </w:r>
      <w:r>
        <w:rPr>
          <w:b/>
        </w:rPr>
        <w:t xml:space="preserve"> </w:t>
      </w:r>
    </w:p>
    <w:p w:rsidR="004C1E6A" w:rsidRDefault="004C1E6A" w:rsidP="002F325B">
      <w:pPr>
        <w:jc w:val="center"/>
        <w:rPr>
          <w:b/>
        </w:rPr>
      </w:pPr>
    </w:p>
    <w:p w:rsidR="004C1E6A" w:rsidRDefault="004C1E6A" w:rsidP="00126ADF">
      <w:pPr>
        <w:pStyle w:val="FootnoteText"/>
        <w:numPr>
          <w:ilvl w:val="0"/>
          <w:numId w:val="2"/>
        </w:numPr>
        <w:rPr>
          <w:rFonts w:ascii="Times New Roman" w:hAnsi="Times New Roman"/>
          <w:sz w:val="22"/>
          <w:szCs w:val="22"/>
        </w:rPr>
      </w:pPr>
      <w:proofErr w:type="spellStart"/>
      <w:r w:rsidRPr="00126ADF">
        <w:rPr>
          <w:rFonts w:ascii="Times New Roman" w:hAnsi="Times New Roman"/>
          <w:sz w:val="22"/>
          <w:szCs w:val="22"/>
        </w:rPr>
        <w:t>Steliarova-Foucher</w:t>
      </w:r>
      <w:proofErr w:type="spellEnd"/>
      <w:r w:rsidRPr="00126ADF">
        <w:rPr>
          <w:rFonts w:ascii="Times New Roman" w:hAnsi="Times New Roman"/>
          <w:sz w:val="22"/>
          <w:szCs w:val="22"/>
        </w:rPr>
        <w:t xml:space="preserve"> E, Stiller C, </w:t>
      </w:r>
      <w:proofErr w:type="spellStart"/>
      <w:r w:rsidRPr="00126ADF">
        <w:rPr>
          <w:rFonts w:ascii="Times New Roman" w:hAnsi="Times New Roman"/>
          <w:sz w:val="22"/>
          <w:szCs w:val="22"/>
        </w:rPr>
        <w:t>Lacour</w:t>
      </w:r>
      <w:proofErr w:type="spellEnd"/>
      <w:r w:rsidRPr="00126ADF">
        <w:rPr>
          <w:rFonts w:ascii="Times New Roman" w:hAnsi="Times New Roman"/>
          <w:sz w:val="22"/>
          <w:szCs w:val="22"/>
        </w:rPr>
        <w:t xml:space="preserve"> B, </w:t>
      </w:r>
      <w:proofErr w:type="spellStart"/>
      <w:r w:rsidRPr="00126ADF">
        <w:rPr>
          <w:rFonts w:ascii="Times New Roman" w:hAnsi="Times New Roman"/>
          <w:sz w:val="22"/>
          <w:szCs w:val="22"/>
        </w:rPr>
        <w:t>Kaatsch</w:t>
      </w:r>
      <w:proofErr w:type="spellEnd"/>
      <w:r w:rsidRPr="00126ADF">
        <w:rPr>
          <w:rFonts w:ascii="Times New Roman" w:hAnsi="Times New Roman"/>
          <w:sz w:val="22"/>
          <w:szCs w:val="22"/>
        </w:rPr>
        <w:t xml:space="preserve"> P. International Classification of Childhood Cancer, 3</w:t>
      </w:r>
      <w:r w:rsidRPr="00126ADF">
        <w:rPr>
          <w:rFonts w:ascii="Times New Roman" w:hAnsi="Times New Roman"/>
          <w:sz w:val="22"/>
          <w:szCs w:val="22"/>
          <w:vertAlign w:val="superscript"/>
        </w:rPr>
        <w:t>rd</w:t>
      </w:r>
      <w:r w:rsidRPr="00126ADF">
        <w:rPr>
          <w:rFonts w:ascii="Times New Roman" w:hAnsi="Times New Roman"/>
          <w:sz w:val="22"/>
          <w:szCs w:val="22"/>
        </w:rPr>
        <w:t xml:space="preserve"> Edition. </w:t>
      </w:r>
      <w:r w:rsidRPr="00C4250C">
        <w:rPr>
          <w:rFonts w:ascii="Times New Roman" w:hAnsi="Times New Roman"/>
          <w:i/>
          <w:sz w:val="22"/>
          <w:szCs w:val="22"/>
        </w:rPr>
        <w:t>Cancer</w:t>
      </w:r>
      <w:r w:rsidRPr="00126ADF">
        <w:rPr>
          <w:rFonts w:ascii="Times New Roman" w:hAnsi="Times New Roman"/>
          <w:sz w:val="22"/>
          <w:szCs w:val="22"/>
        </w:rPr>
        <w:t>. 2005;103:1457-67.</w:t>
      </w:r>
    </w:p>
    <w:p w:rsidR="004C1E6A" w:rsidRPr="00126ADF" w:rsidRDefault="004C1E6A" w:rsidP="003A3246">
      <w:pPr>
        <w:pStyle w:val="FootnoteText"/>
        <w:ind w:left="360"/>
        <w:rPr>
          <w:rFonts w:ascii="Times New Roman" w:hAnsi="Times New Roman"/>
          <w:sz w:val="22"/>
          <w:szCs w:val="22"/>
        </w:rPr>
      </w:pPr>
    </w:p>
    <w:p w:rsidR="004C1E6A" w:rsidRDefault="004C1E6A" w:rsidP="00374159">
      <w:pPr>
        <w:numPr>
          <w:ilvl w:val="0"/>
          <w:numId w:val="2"/>
        </w:numPr>
        <w:rPr>
          <w:sz w:val="22"/>
          <w:szCs w:val="22"/>
        </w:rPr>
      </w:pPr>
      <w:r w:rsidRPr="00374159">
        <w:rPr>
          <w:sz w:val="22"/>
          <w:szCs w:val="22"/>
        </w:rPr>
        <w:t xml:space="preserve">Surveillance, Epidemiology, and End Results (SEER) Program (www.seer.cancer.gov) SEER*Stat Database: Incidence - SEER </w:t>
      </w:r>
      <w:r>
        <w:rPr>
          <w:sz w:val="22"/>
          <w:szCs w:val="22"/>
        </w:rPr>
        <w:t>18</w:t>
      </w:r>
      <w:r w:rsidRPr="00374159">
        <w:rPr>
          <w:sz w:val="22"/>
          <w:szCs w:val="22"/>
        </w:rPr>
        <w:t xml:space="preserve"> </w:t>
      </w:r>
      <w:proofErr w:type="spellStart"/>
      <w:r w:rsidRPr="00374159">
        <w:rPr>
          <w:sz w:val="22"/>
          <w:szCs w:val="22"/>
        </w:rPr>
        <w:t>Regs</w:t>
      </w:r>
      <w:proofErr w:type="spellEnd"/>
      <w:r w:rsidRPr="00374159">
        <w:rPr>
          <w:sz w:val="22"/>
          <w:szCs w:val="22"/>
        </w:rPr>
        <w:t xml:space="preserve"> Limited-Use, Nov 20</w:t>
      </w:r>
      <w:r>
        <w:rPr>
          <w:sz w:val="22"/>
          <w:szCs w:val="22"/>
        </w:rPr>
        <w:t>11, 2009 Pops</w:t>
      </w:r>
      <w:r w:rsidRPr="00374159">
        <w:rPr>
          <w:sz w:val="22"/>
          <w:szCs w:val="22"/>
        </w:rPr>
        <w:t>(</w:t>
      </w:r>
      <w:r>
        <w:rPr>
          <w:sz w:val="22"/>
          <w:szCs w:val="22"/>
        </w:rPr>
        <w:t>2000-2009</w:t>
      </w:r>
      <w:r w:rsidRPr="00374159">
        <w:rPr>
          <w:sz w:val="22"/>
          <w:szCs w:val="22"/>
        </w:rPr>
        <w:t>) &lt;Katrina/Rita Population Adjustment&gt; - Linked To County Attributes - Total U.S., 1969-20</w:t>
      </w:r>
      <w:r>
        <w:rPr>
          <w:sz w:val="22"/>
          <w:szCs w:val="22"/>
        </w:rPr>
        <w:t>10</w:t>
      </w:r>
      <w:r w:rsidRPr="00374159">
        <w:rPr>
          <w:sz w:val="22"/>
          <w:szCs w:val="22"/>
        </w:rPr>
        <w:t xml:space="preserve"> Counties, National Cancer Institute, DCCPS, Surveillance Research Program, Cancer Statistics Branch, released April 20</w:t>
      </w:r>
      <w:r>
        <w:rPr>
          <w:sz w:val="22"/>
          <w:szCs w:val="22"/>
        </w:rPr>
        <w:t>12</w:t>
      </w:r>
      <w:r w:rsidRPr="00374159">
        <w:rPr>
          <w:sz w:val="22"/>
          <w:szCs w:val="22"/>
        </w:rPr>
        <w:t>, based on the November 20</w:t>
      </w:r>
      <w:r>
        <w:rPr>
          <w:sz w:val="22"/>
          <w:szCs w:val="22"/>
        </w:rPr>
        <w:t>11</w:t>
      </w:r>
      <w:r w:rsidRPr="00374159">
        <w:rPr>
          <w:sz w:val="22"/>
          <w:szCs w:val="22"/>
        </w:rPr>
        <w:t xml:space="preserve"> submission.</w:t>
      </w:r>
    </w:p>
    <w:p w:rsidR="004C1E6A" w:rsidRDefault="004C1E6A" w:rsidP="003A3246">
      <w:pPr>
        <w:ind w:left="360"/>
        <w:rPr>
          <w:sz w:val="22"/>
          <w:szCs w:val="22"/>
        </w:rPr>
      </w:pPr>
    </w:p>
    <w:p w:rsidR="004C1E6A" w:rsidRDefault="004C1E6A" w:rsidP="00865EEA">
      <w:pPr>
        <w:pStyle w:val="EndnoteText"/>
        <w:numPr>
          <w:ilvl w:val="0"/>
          <w:numId w:val="2"/>
        </w:numPr>
        <w:rPr>
          <w:sz w:val="22"/>
          <w:szCs w:val="22"/>
        </w:rPr>
      </w:pPr>
      <w:proofErr w:type="spellStart"/>
      <w:r w:rsidRPr="00865EEA">
        <w:rPr>
          <w:sz w:val="22"/>
          <w:szCs w:val="22"/>
        </w:rPr>
        <w:t>Joinpoint</w:t>
      </w:r>
      <w:proofErr w:type="spellEnd"/>
      <w:r w:rsidRPr="00865EEA">
        <w:rPr>
          <w:sz w:val="22"/>
          <w:szCs w:val="22"/>
        </w:rPr>
        <w:t xml:space="preserve"> Regression Program [computer program].  Version 3.0.  Bethesda, MD:  National Cancer Institute; April 2005.  Available at:  </w:t>
      </w:r>
      <w:hyperlink r:id="rId48" w:history="1">
        <w:r w:rsidRPr="00865EEA">
          <w:rPr>
            <w:rStyle w:val="Hyperlink"/>
            <w:sz w:val="22"/>
            <w:szCs w:val="22"/>
          </w:rPr>
          <w:t>http://srab.cancer.gov/joinpoint/</w:t>
        </w:r>
      </w:hyperlink>
      <w:r w:rsidRPr="00865EEA">
        <w:rPr>
          <w:sz w:val="22"/>
          <w:szCs w:val="22"/>
        </w:rPr>
        <w:t>.  Accessed November 26, 2008.</w:t>
      </w:r>
    </w:p>
    <w:p w:rsidR="004C1E6A" w:rsidRDefault="004C1E6A" w:rsidP="00602830">
      <w:pPr>
        <w:pStyle w:val="EndnoteText"/>
        <w:rPr>
          <w:sz w:val="22"/>
          <w:szCs w:val="22"/>
        </w:rPr>
      </w:pPr>
    </w:p>
    <w:p w:rsidR="004C1E6A" w:rsidRDefault="004C1E6A" w:rsidP="00865EEA">
      <w:pPr>
        <w:pStyle w:val="EndnoteText"/>
        <w:numPr>
          <w:ilvl w:val="0"/>
          <w:numId w:val="2"/>
        </w:numPr>
        <w:rPr>
          <w:sz w:val="22"/>
          <w:szCs w:val="22"/>
        </w:rPr>
      </w:pPr>
      <w:proofErr w:type="spellStart"/>
      <w:r w:rsidRPr="000700F8">
        <w:rPr>
          <w:sz w:val="22"/>
          <w:szCs w:val="22"/>
        </w:rPr>
        <w:t>Howlader</w:t>
      </w:r>
      <w:proofErr w:type="spellEnd"/>
      <w:r w:rsidRPr="000700F8">
        <w:rPr>
          <w:sz w:val="22"/>
          <w:szCs w:val="22"/>
        </w:rPr>
        <w:t xml:space="preserve"> N, </w:t>
      </w:r>
      <w:proofErr w:type="spellStart"/>
      <w:r w:rsidRPr="000700F8">
        <w:rPr>
          <w:sz w:val="22"/>
          <w:szCs w:val="22"/>
        </w:rPr>
        <w:t>Ries</w:t>
      </w:r>
      <w:proofErr w:type="spellEnd"/>
      <w:r w:rsidRPr="000700F8">
        <w:rPr>
          <w:sz w:val="22"/>
          <w:szCs w:val="22"/>
        </w:rPr>
        <w:t xml:space="preserve"> LA, </w:t>
      </w:r>
      <w:proofErr w:type="spellStart"/>
      <w:r w:rsidRPr="000700F8">
        <w:rPr>
          <w:sz w:val="22"/>
          <w:szCs w:val="22"/>
        </w:rPr>
        <w:t>Mariotto</w:t>
      </w:r>
      <w:proofErr w:type="spellEnd"/>
      <w:r w:rsidRPr="000700F8">
        <w:rPr>
          <w:sz w:val="22"/>
          <w:szCs w:val="22"/>
        </w:rPr>
        <w:t xml:space="preserve"> AB,</w:t>
      </w:r>
      <w:r w:rsidRPr="000700F8">
        <w:rPr>
          <w:rFonts w:ascii="Arial" w:hAnsi="Arial" w:cs="Arial"/>
        </w:rPr>
        <w:t xml:space="preserve"> </w:t>
      </w:r>
      <w:r w:rsidRPr="000700F8">
        <w:rPr>
          <w:sz w:val="22"/>
          <w:szCs w:val="22"/>
        </w:rPr>
        <w:t>et al.</w:t>
      </w:r>
      <w:r>
        <w:rPr>
          <w:sz w:val="22"/>
          <w:szCs w:val="22"/>
        </w:rPr>
        <w:t xml:space="preserve">  ‘Improved Estimates of Cancer-Specific Survival Rates from Population-Based Data’.  </w:t>
      </w:r>
      <w:r w:rsidRPr="00602830">
        <w:rPr>
          <w:sz w:val="22"/>
          <w:szCs w:val="22"/>
          <w:u w:val="single"/>
        </w:rPr>
        <w:t>Journal of the National Cancer Institute</w:t>
      </w:r>
      <w:r>
        <w:rPr>
          <w:sz w:val="22"/>
          <w:szCs w:val="22"/>
        </w:rPr>
        <w:t>. Vol. 102, Issue 20, p. 1584-1597. October 20, 2010.</w:t>
      </w:r>
    </w:p>
    <w:p w:rsidR="004C1E6A" w:rsidRDefault="004C1E6A" w:rsidP="003A3246">
      <w:pPr>
        <w:pStyle w:val="EndnoteText"/>
        <w:ind w:left="360"/>
        <w:rPr>
          <w:sz w:val="22"/>
          <w:szCs w:val="22"/>
        </w:rPr>
      </w:pPr>
    </w:p>
    <w:p w:rsidR="004C1E6A" w:rsidRDefault="004C1E6A" w:rsidP="00865EEA">
      <w:pPr>
        <w:pStyle w:val="EndnoteText"/>
        <w:numPr>
          <w:ilvl w:val="0"/>
          <w:numId w:val="2"/>
        </w:numPr>
        <w:rPr>
          <w:sz w:val="22"/>
          <w:szCs w:val="22"/>
        </w:rPr>
      </w:pPr>
      <w:r>
        <w:rPr>
          <w:sz w:val="22"/>
          <w:szCs w:val="22"/>
        </w:rPr>
        <w:t xml:space="preserve">American Cancer Society. Childhood Leukemia.  Available at: </w:t>
      </w:r>
      <w:hyperlink r:id="rId49" w:history="1">
        <w:r w:rsidRPr="00E60C4C">
          <w:rPr>
            <w:rStyle w:val="Hyperlink"/>
            <w:sz w:val="22"/>
            <w:szCs w:val="22"/>
          </w:rPr>
          <w:t>http://www.cancer.org/acs/groups/cid/documents/webcontent/003095-pdf.pdf</w:t>
        </w:r>
      </w:hyperlink>
      <w:r>
        <w:rPr>
          <w:sz w:val="22"/>
          <w:szCs w:val="22"/>
        </w:rPr>
        <w:t xml:space="preserve">  Accessed April 19, 2013.</w:t>
      </w:r>
    </w:p>
    <w:p w:rsidR="004C1E6A" w:rsidRDefault="004C1E6A" w:rsidP="003A3246">
      <w:pPr>
        <w:pStyle w:val="EndnoteText"/>
        <w:ind w:left="360"/>
        <w:rPr>
          <w:sz w:val="22"/>
          <w:szCs w:val="22"/>
        </w:rPr>
      </w:pPr>
    </w:p>
    <w:p w:rsidR="004C1E6A" w:rsidRDefault="004C1E6A" w:rsidP="00865EEA">
      <w:pPr>
        <w:pStyle w:val="EndnoteText"/>
        <w:numPr>
          <w:ilvl w:val="0"/>
          <w:numId w:val="2"/>
        </w:numPr>
        <w:rPr>
          <w:sz w:val="22"/>
          <w:szCs w:val="22"/>
        </w:rPr>
      </w:pPr>
      <w:r>
        <w:rPr>
          <w:sz w:val="22"/>
          <w:szCs w:val="22"/>
        </w:rPr>
        <w:t xml:space="preserve">Matthew, P, </w:t>
      </w:r>
      <w:proofErr w:type="spellStart"/>
      <w:r>
        <w:rPr>
          <w:sz w:val="22"/>
          <w:szCs w:val="22"/>
        </w:rPr>
        <w:t>Arceri</w:t>
      </w:r>
      <w:proofErr w:type="spellEnd"/>
      <w:r>
        <w:rPr>
          <w:sz w:val="22"/>
          <w:szCs w:val="22"/>
        </w:rPr>
        <w:t xml:space="preserve">, R, Smith, F, </w:t>
      </w:r>
      <w:proofErr w:type="spellStart"/>
      <w:r>
        <w:rPr>
          <w:sz w:val="22"/>
          <w:szCs w:val="22"/>
        </w:rPr>
        <w:t>Grawe</w:t>
      </w:r>
      <w:proofErr w:type="spellEnd"/>
      <w:r>
        <w:rPr>
          <w:sz w:val="22"/>
          <w:szCs w:val="22"/>
        </w:rPr>
        <w:t xml:space="preserve">, G, </w:t>
      </w:r>
      <w:proofErr w:type="spellStart"/>
      <w:r>
        <w:rPr>
          <w:sz w:val="22"/>
          <w:szCs w:val="22"/>
        </w:rPr>
        <w:t>Cripe</w:t>
      </w:r>
      <w:proofErr w:type="spellEnd"/>
      <w:r>
        <w:rPr>
          <w:sz w:val="22"/>
          <w:szCs w:val="22"/>
        </w:rPr>
        <w:t xml:space="preserve">, T, Sakamoto, K, </w:t>
      </w:r>
      <w:proofErr w:type="spellStart"/>
      <w:r>
        <w:rPr>
          <w:sz w:val="22"/>
          <w:szCs w:val="22"/>
        </w:rPr>
        <w:t>Windle</w:t>
      </w:r>
      <w:proofErr w:type="spellEnd"/>
      <w:r>
        <w:rPr>
          <w:sz w:val="22"/>
          <w:szCs w:val="22"/>
        </w:rPr>
        <w:t xml:space="preserve">, M. Pediatric </w:t>
      </w:r>
      <w:proofErr w:type="spellStart"/>
      <w:r>
        <w:rPr>
          <w:sz w:val="22"/>
          <w:szCs w:val="22"/>
        </w:rPr>
        <w:t>Myelodysplastic</w:t>
      </w:r>
      <w:proofErr w:type="spellEnd"/>
      <w:r>
        <w:rPr>
          <w:sz w:val="22"/>
          <w:szCs w:val="22"/>
        </w:rPr>
        <w:t xml:space="preserve"> </w:t>
      </w:r>
      <w:proofErr w:type="spellStart"/>
      <w:r>
        <w:rPr>
          <w:sz w:val="22"/>
          <w:szCs w:val="22"/>
        </w:rPr>
        <w:t>Sydrome</w:t>
      </w:r>
      <w:proofErr w:type="spellEnd"/>
      <w:r>
        <w:rPr>
          <w:sz w:val="22"/>
          <w:szCs w:val="22"/>
        </w:rPr>
        <w:t xml:space="preserve">.  Medscape Reference.  Available at: </w:t>
      </w:r>
      <w:hyperlink r:id="rId50" w:history="1">
        <w:r w:rsidRPr="00E60C4C">
          <w:rPr>
            <w:rStyle w:val="Hyperlink"/>
            <w:sz w:val="22"/>
            <w:szCs w:val="22"/>
          </w:rPr>
          <w:t>http://emedicine.medscpae.com/article/988024-overview</w:t>
        </w:r>
      </w:hyperlink>
      <w:r>
        <w:rPr>
          <w:sz w:val="22"/>
          <w:szCs w:val="22"/>
        </w:rPr>
        <w:t xml:space="preserve">   Accessed April 19, 2013.</w:t>
      </w:r>
    </w:p>
    <w:p w:rsidR="004C1E6A" w:rsidRDefault="004C1E6A" w:rsidP="003A3246">
      <w:pPr>
        <w:pStyle w:val="EndnoteText"/>
        <w:ind w:left="360"/>
        <w:rPr>
          <w:sz w:val="22"/>
          <w:szCs w:val="22"/>
        </w:rPr>
      </w:pPr>
    </w:p>
    <w:p w:rsidR="004C1E6A" w:rsidRDefault="004C1E6A" w:rsidP="00865EEA">
      <w:pPr>
        <w:pStyle w:val="EndnoteText"/>
        <w:numPr>
          <w:ilvl w:val="0"/>
          <w:numId w:val="2"/>
        </w:numPr>
        <w:rPr>
          <w:sz w:val="22"/>
          <w:szCs w:val="22"/>
        </w:rPr>
      </w:pPr>
      <w:r>
        <w:rPr>
          <w:sz w:val="22"/>
          <w:szCs w:val="22"/>
        </w:rPr>
        <w:t xml:space="preserve">American Cancer Society.  Non-Hodgkin Lymphoma in Children.  Available at:   </w:t>
      </w:r>
      <w:hyperlink r:id="rId51" w:history="1">
        <w:r w:rsidRPr="00E60C4C">
          <w:rPr>
            <w:rStyle w:val="Hyperlink"/>
            <w:sz w:val="22"/>
            <w:szCs w:val="22"/>
          </w:rPr>
          <w:t>http://www.cancer.org/acs/groups/cid/documents/webcontent/003127-pdf.pdf</w:t>
        </w:r>
      </w:hyperlink>
      <w:r>
        <w:rPr>
          <w:sz w:val="22"/>
          <w:szCs w:val="22"/>
        </w:rPr>
        <w:t xml:space="preserve">  Accessed April 19, 2013.</w:t>
      </w:r>
    </w:p>
    <w:p w:rsidR="004C1E6A" w:rsidRDefault="004C1E6A" w:rsidP="003A3246">
      <w:pPr>
        <w:pStyle w:val="EndnoteText"/>
        <w:ind w:left="360"/>
        <w:rPr>
          <w:sz w:val="22"/>
          <w:szCs w:val="22"/>
        </w:rPr>
      </w:pPr>
    </w:p>
    <w:p w:rsidR="004C1E6A" w:rsidRDefault="004C1E6A" w:rsidP="00865EEA">
      <w:pPr>
        <w:pStyle w:val="EndnoteText"/>
        <w:numPr>
          <w:ilvl w:val="0"/>
          <w:numId w:val="2"/>
        </w:numPr>
        <w:rPr>
          <w:sz w:val="22"/>
          <w:szCs w:val="22"/>
        </w:rPr>
      </w:pPr>
      <w:r>
        <w:rPr>
          <w:sz w:val="22"/>
          <w:szCs w:val="22"/>
        </w:rPr>
        <w:t xml:space="preserve">Lymphoma Research Foundation.  About Lymphoma.  Available at: </w:t>
      </w:r>
      <w:hyperlink r:id="rId52" w:history="1">
        <w:r w:rsidRPr="00E60C4C">
          <w:rPr>
            <w:rStyle w:val="Hyperlink"/>
            <w:sz w:val="22"/>
            <w:szCs w:val="22"/>
          </w:rPr>
          <w:t>http://www.lymphoma.org/site/pp.asp?c=bkLTKaOQLmK8E&amp;b=6299689</w:t>
        </w:r>
      </w:hyperlink>
      <w:r>
        <w:rPr>
          <w:sz w:val="22"/>
          <w:szCs w:val="22"/>
        </w:rPr>
        <w:t xml:space="preserve">  Accessed April 19, 2013.</w:t>
      </w:r>
    </w:p>
    <w:p w:rsidR="004C1E6A" w:rsidRDefault="004C1E6A" w:rsidP="003A3246">
      <w:pPr>
        <w:pStyle w:val="EndnoteText"/>
        <w:ind w:left="360"/>
        <w:rPr>
          <w:sz w:val="22"/>
          <w:szCs w:val="22"/>
        </w:rPr>
      </w:pPr>
    </w:p>
    <w:p w:rsidR="004C1E6A" w:rsidRPr="003A3246" w:rsidRDefault="004C1E6A" w:rsidP="00E66AFF">
      <w:pPr>
        <w:pStyle w:val="EndnoteText"/>
        <w:numPr>
          <w:ilvl w:val="0"/>
          <w:numId w:val="2"/>
        </w:numPr>
        <w:rPr>
          <w:sz w:val="22"/>
          <w:szCs w:val="22"/>
        </w:rPr>
      </w:pPr>
      <w:r>
        <w:rPr>
          <w:sz w:val="22"/>
          <w:szCs w:val="22"/>
        </w:rPr>
        <w:t xml:space="preserve">American Cancer Society.  Brain and Spinal Cord Tumors in Children.  Available at: </w:t>
      </w:r>
      <w:hyperlink r:id="rId53" w:history="1">
        <w:r w:rsidRPr="00E60C4C">
          <w:rPr>
            <w:rStyle w:val="Hyperlink"/>
            <w:sz w:val="22"/>
            <w:szCs w:val="22"/>
          </w:rPr>
          <w:t>http://www.cancer.org/acs/groups/cid/documents/webcontent/003089-pdf.pdf</w:t>
        </w:r>
      </w:hyperlink>
      <w:r>
        <w:rPr>
          <w:sz w:val="22"/>
          <w:szCs w:val="22"/>
        </w:rPr>
        <w:t xml:space="preserve">   Accessed April 19, 2013.</w:t>
      </w:r>
      <w:r>
        <w:rPr>
          <w:rFonts w:ascii="Arial" w:hAnsi="Arial" w:cs="Arial"/>
          <w:color w:val="454B54"/>
        </w:rPr>
        <w:t xml:space="preserve"> </w:t>
      </w:r>
    </w:p>
    <w:p w:rsidR="004C1E6A" w:rsidRDefault="004C1E6A" w:rsidP="003A3246">
      <w:pPr>
        <w:pStyle w:val="EndnoteText"/>
        <w:ind w:left="360"/>
        <w:rPr>
          <w:sz w:val="22"/>
          <w:szCs w:val="22"/>
        </w:rPr>
      </w:pPr>
    </w:p>
    <w:p w:rsidR="004C1E6A" w:rsidRDefault="004C1E6A" w:rsidP="004152D8">
      <w:pPr>
        <w:numPr>
          <w:ilvl w:val="0"/>
          <w:numId w:val="2"/>
        </w:numPr>
        <w:rPr>
          <w:sz w:val="22"/>
          <w:szCs w:val="22"/>
        </w:rPr>
      </w:pPr>
      <w:r w:rsidRPr="004152D8">
        <w:rPr>
          <w:sz w:val="22"/>
          <w:szCs w:val="22"/>
        </w:rPr>
        <w:t xml:space="preserve">Kimball’s Biology Pages </w:t>
      </w:r>
      <w:r>
        <w:rPr>
          <w:sz w:val="22"/>
          <w:szCs w:val="22"/>
        </w:rPr>
        <w:t xml:space="preserve">from Biology by John W. Kimball.  </w:t>
      </w:r>
      <w:r w:rsidRPr="004152D8">
        <w:rPr>
          <w:sz w:val="22"/>
          <w:szCs w:val="22"/>
        </w:rPr>
        <w:t>Organization of the Nervous System updated on October 21, 2007</w:t>
      </w:r>
      <w:r>
        <w:rPr>
          <w:sz w:val="22"/>
          <w:szCs w:val="22"/>
        </w:rPr>
        <w:t>. A</w:t>
      </w:r>
      <w:r w:rsidRPr="004152D8">
        <w:rPr>
          <w:sz w:val="22"/>
          <w:szCs w:val="22"/>
        </w:rPr>
        <w:t xml:space="preserve">vailable at: </w:t>
      </w:r>
      <w:hyperlink r:id="rId54" w:history="1">
        <w:r w:rsidRPr="00237627">
          <w:rPr>
            <w:rStyle w:val="Hyperlink"/>
            <w:sz w:val="22"/>
            <w:szCs w:val="22"/>
          </w:rPr>
          <w:t xml:space="preserve">http://users.rcn.com/jkimball.ma.ultranet/ </w:t>
        </w:r>
        <w:proofErr w:type="spellStart"/>
        <w:r w:rsidRPr="00237627">
          <w:rPr>
            <w:rStyle w:val="Hyperlink"/>
            <w:sz w:val="22"/>
            <w:szCs w:val="22"/>
          </w:rPr>
          <w:t>BiologyPages</w:t>
        </w:r>
        <w:proofErr w:type="spellEnd"/>
        <w:r w:rsidRPr="00237627">
          <w:rPr>
            <w:rStyle w:val="Hyperlink"/>
            <w:sz w:val="22"/>
            <w:szCs w:val="22"/>
          </w:rPr>
          <w:t>/P/PNS.html</w:t>
        </w:r>
      </w:hyperlink>
      <w:r>
        <w:rPr>
          <w:sz w:val="22"/>
          <w:szCs w:val="22"/>
        </w:rPr>
        <w:t xml:space="preserve">  Accessed October 2009.</w:t>
      </w:r>
    </w:p>
    <w:p w:rsidR="004C1E6A" w:rsidRDefault="004C1E6A" w:rsidP="003A3246">
      <w:pPr>
        <w:ind w:left="360"/>
        <w:rPr>
          <w:sz w:val="22"/>
          <w:szCs w:val="22"/>
        </w:rPr>
      </w:pPr>
    </w:p>
    <w:p w:rsidR="004C1E6A" w:rsidRDefault="004C1E6A" w:rsidP="003F6974">
      <w:pPr>
        <w:numPr>
          <w:ilvl w:val="0"/>
          <w:numId w:val="2"/>
        </w:numPr>
        <w:rPr>
          <w:sz w:val="22"/>
          <w:szCs w:val="22"/>
        </w:rPr>
      </w:pPr>
      <w:r w:rsidRPr="00A74C53">
        <w:rPr>
          <w:sz w:val="22"/>
          <w:szCs w:val="22"/>
        </w:rPr>
        <w:t xml:space="preserve">The Biology Corner. Anatomy &amp; Physiology Chapter 5 Histology.  Epithelial Tissues  [Webpage] Available at: </w:t>
      </w:r>
      <w:hyperlink r:id="rId55" w:history="1">
        <w:r w:rsidRPr="00A74C53">
          <w:rPr>
            <w:rStyle w:val="Hyperlink"/>
            <w:sz w:val="22"/>
            <w:szCs w:val="22"/>
          </w:rPr>
          <w:t>http://www.biologycorner.com/anatomy/histology/index.html</w:t>
        </w:r>
      </w:hyperlink>
      <w:r w:rsidRPr="00A74C53">
        <w:rPr>
          <w:sz w:val="22"/>
          <w:szCs w:val="22"/>
        </w:rPr>
        <w:t xml:space="preserve">.  Accessed May 2010. </w:t>
      </w:r>
    </w:p>
    <w:p w:rsidR="004C1E6A" w:rsidRDefault="004C1E6A" w:rsidP="003A3246">
      <w:pPr>
        <w:ind w:left="360"/>
        <w:rPr>
          <w:sz w:val="22"/>
          <w:szCs w:val="22"/>
        </w:rPr>
      </w:pPr>
    </w:p>
    <w:p w:rsidR="004C1E6A" w:rsidRDefault="004C1E6A" w:rsidP="009673F4">
      <w:pPr>
        <w:numPr>
          <w:ilvl w:val="0"/>
          <w:numId w:val="2"/>
        </w:numPr>
        <w:rPr>
          <w:sz w:val="22"/>
          <w:szCs w:val="22"/>
        </w:rPr>
      </w:pPr>
      <w:r>
        <w:rPr>
          <w:sz w:val="22"/>
          <w:szCs w:val="22"/>
        </w:rPr>
        <w:t xml:space="preserve">Massachusetts Cancer Registry. </w:t>
      </w:r>
      <w:r w:rsidRPr="00801267">
        <w:rPr>
          <w:i/>
          <w:sz w:val="22"/>
          <w:szCs w:val="22"/>
        </w:rPr>
        <w:t>Data Report: Thyroid Cancer in Massachusetts</w:t>
      </w:r>
      <w:r>
        <w:rPr>
          <w:sz w:val="22"/>
          <w:szCs w:val="22"/>
        </w:rPr>
        <w:t xml:space="preserve">.  Boston, MA:  Massachusetts Department of Public Health, 2011.  Available at </w:t>
      </w:r>
      <w:hyperlink r:id="rId56" w:history="1">
        <w:r w:rsidRPr="00166BAA">
          <w:rPr>
            <w:rStyle w:val="Hyperlink"/>
            <w:sz w:val="22"/>
            <w:szCs w:val="22"/>
          </w:rPr>
          <w:t>http://www.mass.gov/Eeohhs2/docs/dph/cancer/thryod_cancer.pdf</w:t>
        </w:r>
      </w:hyperlink>
      <w:r>
        <w:rPr>
          <w:sz w:val="22"/>
          <w:szCs w:val="22"/>
        </w:rPr>
        <w:t>.  Accessed April 19, 2013.</w:t>
      </w:r>
    </w:p>
    <w:p w:rsidR="004C1E6A" w:rsidRDefault="004C1E6A" w:rsidP="00910C39">
      <w:pPr>
        <w:ind w:left="360"/>
        <w:rPr>
          <w:sz w:val="22"/>
          <w:szCs w:val="22"/>
        </w:rPr>
      </w:pPr>
    </w:p>
    <w:p w:rsidR="004C1E6A" w:rsidRDefault="004C1E6A" w:rsidP="009673F4">
      <w:pPr>
        <w:numPr>
          <w:ilvl w:val="0"/>
          <w:numId w:val="2"/>
        </w:numPr>
        <w:rPr>
          <w:sz w:val="22"/>
          <w:szCs w:val="22"/>
        </w:rPr>
      </w:pPr>
      <w:r>
        <w:rPr>
          <w:sz w:val="22"/>
          <w:szCs w:val="22"/>
        </w:rPr>
        <w:lastRenderedPageBreak/>
        <w:t xml:space="preserve">American Cancer Society. Melanoma Skin Cancer.  Available at: </w:t>
      </w:r>
      <w:hyperlink r:id="rId57" w:history="1">
        <w:r w:rsidRPr="003818FA">
          <w:rPr>
            <w:rStyle w:val="Hyperlink"/>
            <w:sz w:val="22"/>
            <w:szCs w:val="22"/>
          </w:rPr>
          <w:t>http://www.cancer.org/cancer/skincancer-melanoma/detailedguide/index</w:t>
        </w:r>
      </w:hyperlink>
      <w:r>
        <w:rPr>
          <w:sz w:val="22"/>
          <w:szCs w:val="22"/>
        </w:rPr>
        <w:t xml:space="preserve">  Accessed April 19, 2013.</w:t>
      </w:r>
    </w:p>
    <w:p w:rsidR="004C1E6A" w:rsidRDefault="004C1E6A" w:rsidP="00910C39">
      <w:pPr>
        <w:rPr>
          <w:sz w:val="22"/>
          <w:szCs w:val="22"/>
        </w:rPr>
      </w:pPr>
    </w:p>
    <w:p w:rsidR="004C1E6A" w:rsidRDefault="004C1E6A" w:rsidP="003F6974">
      <w:pPr>
        <w:numPr>
          <w:ilvl w:val="0"/>
          <w:numId w:val="2"/>
        </w:numPr>
        <w:rPr>
          <w:sz w:val="22"/>
          <w:szCs w:val="22"/>
        </w:rPr>
      </w:pPr>
      <w:r>
        <w:rPr>
          <w:sz w:val="22"/>
          <w:szCs w:val="22"/>
        </w:rPr>
        <w:t xml:space="preserve">St. Jude’s Children Research Hospital.  Solid Tumor: </w:t>
      </w:r>
      <w:proofErr w:type="spellStart"/>
      <w:r>
        <w:rPr>
          <w:sz w:val="22"/>
          <w:szCs w:val="22"/>
        </w:rPr>
        <w:t>Rhabdomyosarcoma</w:t>
      </w:r>
      <w:proofErr w:type="spellEnd"/>
      <w:r>
        <w:rPr>
          <w:sz w:val="22"/>
          <w:szCs w:val="22"/>
        </w:rPr>
        <w:t xml:space="preserve">.  Available at: </w:t>
      </w:r>
      <w:hyperlink r:id="rId58" w:history="1">
        <w:r w:rsidRPr="00E60C4C">
          <w:rPr>
            <w:rStyle w:val="Hyperlink"/>
            <w:sz w:val="22"/>
            <w:szCs w:val="22"/>
          </w:rPr>
          <w:t>http://www.stjude.org/stjude/v/index.jsp?vgnextoid=64fb061585f70110VgnVCM1000001e0215acRCRD</w:t>
        </w:r>
      </w:hyperlink>
      <w:r>
        <w:rPr>
          <w:sz w:val="22"/>
          <w:szCs w:val="22"/>
        </w:rPr>
        <w:t xml:space="preserve">   Accessed April 19, 2013.</w:t>
      </w:r>
    </w:p>
    <w:p w:rsidR="004C1E6A" w:rsidRDefault="004C1E6A" w:rsidP="00374472">
      <w:pPr>
        <w:ind w:left="360"/>
        <w:rPr>
          <w:sz w:val="22"/>
          <w:szCs w:val="22"/>
        </w:rPr>
      </w:pPr>
    </w:p>
    <w:p w:rsidR="004C1E6A" w:rsidRDefault="004C1E6A" w:rsidP="003F6974">
      <w:pPr>
        <w:numPr>
          <w:ilvl w:val="0"/>
          <w:numId w:val="2"/>
        </w:numPr>
        <w:rPr>
          <w:sz w:val="22"/>
          <w:szCs w:val="22"/>
        </w:rPr>
      </w:pPr>
      <w:r>
        <w:rPr>
          <w:sz w:val="22"/>
          <w:szCs w:val="22"/>
        </w:rPr>
        <w:t xml:space="preserve">Dana Farber Cancer Institute.  Childhood </w:t>
      </w:r>
      <w:proofErr w:type="spellStart"/>
      <w:r>
        <w:rPr>
          <w:sz w:val="22"/>
          <w:szCs w:val="22"/>
        </w:rPr>
        <w:t>Fibrosarcoma</w:t>
      </w:r>
      <w:proofErr w:type="spellEnd"/>
      <w:r>
        <w:rPr>
          <w:sz w:val="22"/>
          <w:szCs w:val="22"/>
        </w:rPr>
        <w:t xml:space="preserve">.  Available at: </w:t>
      </w:r>
      <w:hyperlink r:id="rId59" w:history="1">
        <w:r w:rsidRPr="00E60C4C">
          <w:rPr>
            <w:rStyle w:val="Hyperlink"/>
            <w:sz w:val="22"/>
            <w:szCs w:val="22"/>
          </w:rPr>
          <w:t>http://www.dana-farber.org/Health-Library/Childhood-Fibrosarcoma.aspx</w:t>
        </w:r>
      </w:hyperlink>
      <w:r>
        <w:rPr>
          <w:sz w:val="22"/>
          <w:szCs w:val="22"/>
        </w:rPr>
        <w:t xml:space="preserve">  Accessed April 19, 2013.</w:t>
      </w:r>
    </w:p>
    <w:p w:rsidR="004C1E6A" w:rsidRDefault="004C1E6A" w:rsidP="003A3246">
      <w:pPr>
        <w:ind w:left="360"/>
        <w:rPr>
          <w:sz w:val="22"/>
          <w:szCs w:val="22"/>
        </w:rPr>
      </w:pPr>
    </w:p>
    <w:p w:rsidR="004C1E6A" w:rsidRDefault="004C1E6A" w:rsidP="003F6974">
      <w:pPr>
        <w:numPr>
          <w:ilvl w:val="0"/>
          <w:numId w:val="2"/>
        </w:numPr>
        <w:rPr>
          <w:sz w:val="22"/>
          <w:szCs w:val="22"/>
        </w:rPr>
      </w:pPr>
      <w:r>
        <w:rPr>
          <w:sz w:val="22"/>
          <w:szCs w:val="22"/>
        </w:rPr>
        <w:t xml:space="preserve">American Cancer Society, Kaposi Sarcoma. Available at: </w:t>
      </w:r>
      <w:hyperlink r:id="rId60" w:history="1">
        <w:r w:rsidRPr="00BE5AE7">
          <w:rPr>
            <w:rStyle w:val="Hyperlink"/>
            <w:sz w:val="22"/>
            <w:szCs w:val="22"/>
          </w:rPr>
          <w:t>http://www.cancer.org/acs/groups/cid/documents/webcontent/003106-pdf.pdf</w:t>
        </w:r>
      </w:hyperlink>
      <w:r>
        <w:rPr>
          <w:sz w:val="22"/>
          <w:szCs w:val="22"/>
        </w:rPr>
        <w:t xml:space="preserve">  Accessed April 23, 2013.</w:t>
      </w:r>
    </w:p>
    <w:p w:rsidR="004C1E6A" w:rsidRDefault="004C1E6A" w:rsidP="003A3246">
      <w:pPr>
        <w:ind w:left="360"/>
        <w:rPr>
          <w:sz w:val="22"/>
          <w:szCs w:val="22"/>
        </w:rPr>
      </w:pPr>
    </w:p>
    <w:p w:rsidR="004C1E6A" w:rsidRDefault="004C1E6A" w:rsidP="003F6974">
      <w:pPr>
        <w:numPr>
          <w:ilvl w:val="0"/>
          <w:numId w:val="2"/>
        </w:numPr>
        <w:rPr>
          <w:sz w:val="22"/>
          <w:szCs w:val="22"/>
        </w:rPr>
      </w:pPr>
      <w:r>
        <w:rPr>
          <w:sz w:val="22"/>
          <w:szCs w:val="22"/>
        </w:rPr>
        <w:t xml:space="preserve">Ross, J, Spector, L.  Cancers in Children. In </w:t>
      </w:r>
      <w:r w:rsidRPr="00DA3A64">
        <w:rPr>
          <w:sz w:val="22"/>
          <w:szCs w:val="22"/>
          <w:u w:val="single"/>
        </w:rPr>
        <w:t>Cancer Epidemiology and Prevention</w:t>
      </w:r>
      <w:r>
        <w:rPr>
          <w:sz w:val="22"/>
          <w:szCs w:val="22"/>
          <w:u w:val="single"/>
        </w:rPr>
        <w:t>,</w:t>
      </w:r>
      <w:r>
        <w:rPr>
          <w:sz w:val="22"/>
          <w:szCs w:val="22"/>
        </w:rPr>
        <w:t xml:space="preserve"> </w:t>
      </w:r>
      <w:proofErr w:type="spellStart"/>
      <w:r>
        <w:rPr>
          <w:sz w:val="22"/>
          <w:szCs w:val="22"/>
        </w:rPr>
        <w:t>Schottenfled</w:t>
      </w:r>
      <w:proofErr w:type="spellEnd"/>
      <w:r>
        <w:rPr>
          <w:sz w:val="22"/>
          <w:szCs w:val="22"/>
        </w:rPr>
        <w:t xml:space="preserve">, D, </w:t>
      </w:r>
      <w:proofErr w:type="spellStart"/>
      <w:r>
        <w:rPr>
          <w:sz w:val="22"/>
          <w:szCs w:val="22"/>
        </w:rPr>
        <w:t>Fraumeni</w:t>
      </w:r>
      <w:proofErr w:type="spellEnd"/>
      <w:r>
        <w:rPr>
          <w:sz w:val="22"/>
          <w:szCs w:val="22"/>
        </w:rPr>
        <w:t>, J (editors).  Oxford University Press USA, August 2006.</w:t>
      </w:r>
    </w:p>
    <w:p w:rsidR="004C1E6A" w:rsidRDefault="004C1E6A" w:rsidP="003A3246">
      <w:pPr>
        <w:ind w:left="360"/>
        <w:rPr>
          <w:sz w:val="22"/>
          <w:szCs w:val="22"/>
        </w:rPr>
      </w:pPr>
    </w:p>
    <w:p w:rsidR="004C1E6A" w:rsidRDefault="004C1E6A" w:rsidP="003F6974">
      <w:pPr>
        <w:numPr>
          <w:ilvl w:val="0"/>
          <w:numId w:val="2"/>
        </w:numPr>
        <w:rPr>
          <w:sz w:val="22"/>
          <w:szCs w:val="22"/>
        </w:rPr>
      </w:pPr>
      <w:r>
        <w:rPr>
          <w:sz w:val="22"/>
          <w:szCs w:val="22"/>
        </w:rPr>
        <w:t xml:space="preserve">Germ Cell Tumors of the Brain.  Children’s Hospital.  Available at: </w:t>
      </w:r>
      <w:hyperlink r:id="rId61" w:history="1">
        <w:r w:rsidRPr="00E60C4C">
          <w:rPr>
            <w:rStyle w:val="Hyperlink"/>
            <w:sz w:val="22"/>
            <w:szCs w:val="22"/>
          </w:rPr>
          <w:t>http://www.childrenshospital.org/az/Site954/mainpageS954P0.html</w:t>
        </w:r>
      </w:hyperlink>
      <w:r>
        <w:rPr>
          <w:sz w:val="22"/>
          <w:szCs w:val="22"/>
        </w:rPr>
        <w:t xml:space="preserve">  Accessed April 19, 2013.</w:t>
      </w:r>
    </w:p>
    <w:p w:rsidR="004C1E6A" w:rsidRDefault="004C1E6A" w:rsidP="003A3246">
      <w:pPr>
        <w:ind w:left="360"/>
        <w:rPr>
          <w:sz w:val="22"/>
          <w:szCs w:val="22"/>
        </w:rPr>
      </w:pPr>
    </w:p>
    <w:p w:rsidR="004C1E6A" w:rsidRDefault="004C1E6A" w:rsidP="003F6974">
      <w:pPr>
        <w:numPr>
          <w:ilvl w:val="0"/>
          <w:numId w:val="2"/>
        </w:numPr>
        <w:rPr>
          <w:sz w:val="22"/>
          <w:szCs w:val="22"/>
        </w:rPr>
      </w:pPr>
      <w:r>
        <w:rPr>
          <w:sz w:val="22"/>
          <w:szCs w:val="22"/>
        </w:rPr>
        <w:t xml:space="preserve">American Cancer Society.  Cancer in Children.  Available at:  </w:t>
      </w:r>
      <w:hyperlink r:id="rId62" w:history="1">
        <w:r w:rsidRPr="00E60C4C">
          <w:rPr>
            <w:rStyle w:val="Hyperlink"/>
            <w:sz w:val="22"/>
            <w:szCs w:val="22"/>
          </w:rPr>
          <w:t>http://www.cancer.org/acs/groups/cid/documents/webcontent/002287-pdf.pdf</w:t>
        </w:r>
      </w:hyperlink>
      <w:r>
        <w:rPr>
          <w:sz w:val="22"/>
          <w:szCs w:val="22"/>
        </w:rPr>
        <w:t xml:space="preserve">  Accessed April 19, 2013.</w:t>
      </w:r>
    </w:p>
    <w:p w:rsidR="004C1E6A" w:rsidRDefault="004C1E6A" w:rsidP="003A3246">
      <w:pPr>
        <w:ind w:left="360"/>
        <w:rPr>
          <w:sz w:val="22"/>
          <w:szCs w:val="22"/>
        </w:rPr>
      </w:pPr>
    </w:p>
    <w:p w:rsidR="004C1E6A" w:rsidRDefault="004C1E6A" w:rsidP="003F6974">
      <w:pPr>
        <w:numPr>
          <w:ilvl w:val="0"/>
          <w:numId w:val="2"/>
        </w:numPr>
        <w:rPr>
          <w:sz w:val="22"/>
          <w:szCs w:val="22"/>
        </w:rPr>
      </w:pPr>
      <w:r>
        <w:rPr>
          <w:sz w:val="22"/>
          <w:szCs w:val="22"/>
        </w:rPr>
        <w:t xml:space="preserve">American Cancer Society.  What is osteosarcoma?  Available at: </w:t>
      </w:r>
      <w:hyperlink r:id="rId63" w:history="1">
        <w:r w:rsidRPr="00E60C4C">
          <w:rPr>
            <w:rStyle w:val="Hyperlink"/>
            <w:sz w:val="22"/>
            <w:szCs w:val="22"/>
          </w:rPr>
          <w:t>http://www.cancer.org/cancer/osteosarcoma/index</w:t>
        </w:r>
      </w:hyperlink>
      <w:r>
        <w:rPr>
          <w:sz w:val="22"/>
          <w:szCs w:val="22"/>
        </w:rPr>
        <w:t xml:space="preserve">  Accessed April 19, 2013.</w:t>
      </w:r>
    </w:p>
    <w:p w:rsidR="004C1E6A" w:rsidRDefault="004C1E6A" w:rsidP="003A3246">
      <w:pPr>
        <w:ind w:left="360"/>
        <w:rPr>
          <w:sz w:val="22"/>
          <w:szCs w:val="22"/>
        </w:rPr>
      </w:pPr>
    </w:p>
    <w:p w:rsidR="004C1E6A" w:rsidRPr="004424BF" w:rsidRDefault="004C1E6A" w:rsidP="004424BF">
      <w:pPr>
        <w:numPr>
          <w:ilvl w:val="0"/>
          <w:numId w:val="2"/>
        </w:numPr>
      </w:pPr>
      <w:r>
        <w:rPr>
          <w:sz w:val="22"/>
          <w:szCs w:val="22"/>
        </w:rPr>
        <w:t xml:space="preserve">American Cancer Society.  Ewing Family of Tumors.  Available at: </w:t>
      </w:r>
      <w:hyperlink r:id="rId64" w:history="1">
        <w:r w:rsidRPr="00E60C4C">
          <w:rPr>
            <w:rStyle w:val="Hyperlink"/>
            <w:sz w:val="22"/>
            <w:szCs w:val="22"/>
          </w:rPr>
          <w:t>http://www.cancer.org/cancer/ewingfamilyoftumors/detailedguide/index</w:t>
        </w:r>
      </w:hyperlink>
      <w:r>
        <w:rPr>
          <w:sz w:val="22"/>
          <w:szCs w:val="22"/>
        </w:rPr>
        <w:t xml:space="preserve">  Accessed April 19, 2013.</w:t>
      </w:r>
    </w:p>
    <w:p w:rsidR="004C1E6A" w:rsidRDefault="004C1E6A" w:rsidP="004424BF"/>
    <w:p w:rsidR="004C1E6A" w:rsidRDefault="004C1E6A" w:rsidP="003F6974">
      <w:pPr>
        <w:numPr>
          <w:ilvl w:val="0"/>
          <w:numId w:val="2"/>
        </w:numPr>
      </w:pPr>
      <w:proofErr w:type="spellStart"/>
      <w:r>
        <w:t>Kupfer</w:t>
      </w:r>
      <w:proofErr w:type="spellEnd"/>
      <w:r>
        <w:t xml:space="preserve">, Gary, </w:t>
      </w:r>
      <w:proofErr w:type="spellStart"/>
      <w:r>
        <w:t>Areci</w:t>
      </w:r>
      <w:proofErr w:type="spellEnd"/>
      <w:r>
        <w:t xml:space="preserve">, Robert, Gross, Samuel et al.  Childhood Cancer Epidemiology.  Available at: </w:t>
      </w:r>
      <w:hyperlink r:id="rId65" w:tooltip="http://emedicine.medscape.com/article/989841-overview?src=emailthis" w:history="1">
        <w:r>
          <w:rPr>
            <w:rStyle w:val="Hyperlink"/>
          </w:rPr>
          <w:t>http://emedicine.medscape.com/article/989841-overview?src=emailthis</w:t>
        </w:r>
      </w:hyperlink>
      <w:r>
        <w:t xml:space="preserve">  Accessed March 20, 2014.</w:t>
      </w:r>
    </w:p>
    <w:p w:rsidR="004C1E6A" w:rsidRDefault="004C1E6A" w:rsidP="004424BF"/>
    <w:p w:rsidR="004C1E6A" w:rsidRDefault="004C1E6A" w:rsidP="003F6974">
      <w:pPr>
        <w:numPr>
          <w:ilvl w:val="0"/>
          <w:numId w:val="2"/>
        </w:numPr>
      </w:pPr>
      <w:r>
        <w:t xml:space="preserve">National Cancer Institute. Childhood Cancers.  Available at: </w:t>
      </w:r>
      <w:hyperlink r:id="rId66" w:history="1">
        <w:r w:rsidRPr="00311CC4">
          <w:rPr>
            <w:rStyle w:val="Hyperlink"/>
          </w:rPr>
          <w:t>http://www.cancer.gov/cancertopics/factsheet/Sites-Types/childhood/print</w:t>
        </w:r>
      </w:hyperlink>
      <w:r>
        <w:t xml:space="preserve">  Accessed February 16, 2011</w:t>
      </w:r>
    </w:p>
    <w:p w:rsidR="004C1E6A" w:rsidRDefault="004C1E6A" w:rsidP="004B57EF"/>
    <w:p w:rsidR="004C1E6A" w:rsidRDefault="004C1E6A" w:rsidP="004424BF"/>
    <w:p w:rsidR="004C1E6A" w:rsidRDefault="004C1E6A" w:rsidP="004424BF"/>
    <w:p w:rsidR="004C1E6A" w:rsidRDefault="004C1E6A" w:rsidP="007C6890">
      <w:pPr>
        <w:ind w:left="360"/>
      </w:pPr>
    </w:p>
    <w:p w:rsidR="004C1E6A" w:rsidRDefault="004C1E6A" w:rsidP="007C6890">
      <w:pPr>
        <w:ind w:left="360"/>
      </w:pPr>
    </w:p>
    <w:p w:rsidR="004C1E6A" w:rsidRDefault="004C1E6A" w:rsidP="007C6890">
      <w:pPr>
        <w:ind w:left="360"/>
      </w:pPr>
    </w:p>
    <w:p w:rsidR="004C1E6A" w:rsidRDefault="004C1E6A" w:rsidP="000E3AB7">
      <w:pPr>
        <w:ind w:left="360"/>
      </w:pPr>
    </w:p>
    <w:sectPr w:rsidR="004C1E6A" w:rsidSect="00291A84">
      <w:headerReference w:type="even" r:id="rId67"/>
      <w:headerReference w:type="default" r:id="rId68"/>
      <w:footerReference w:type="default" r:id="rId69"/>
      <w:headerReference w:type="first" r:id="rId70"/>
      <w:pgSz w:w="12240" w:h="15840" w:code="1"/>
      <w:pgMar w:top="1440" w:right="1440" w:bottom="1260" w:left="1440" w:header="720" w:footer="720" w:gutter="144"/>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B87" w:rsidRDefault="00161B87">
      <w:r>
        <w:separator/>
      </w:r>
    </w:p>
  </w:endnote>
  <w:endnote w:type="continuationSeparator" w:id="0">
    <w:p w:rsidR="00161B87" w:rsidRDefault="0016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B87" w:rsidRDefault="00161B87" w:rsidP="004E1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1B87" w:rsidRDefault="00161B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B87" w:rsidRDefault="00161B87" w:rsidP="00B96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73CE">
      <w:rPr>
        <w:rStyle w:val="PageNumber"/>
        <w:noProof/>
      </w:rPr>
      <w:t>4</w:t>
    </w:r>
    <w:r>
      <w:rPr>
        <w:rStyle w:val="PageNumber"/>
      </w:rPr>
      <w:fldChar w:fldCharType="end"/>
    </w:r>
  </w:p>
  <w:p w:rsidR="00161B87" w:rsidRPr="00145D33" w:rsidRDefault="00161B87" w:rsidP="00145D33">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B87" w:rsidRDefault="00161B87">
      <w:r>
        <w:separator/>
      </w:r>
    </w:p>
  </w:footnote>
  <w:footnote w:type="continuationSeparator" w:id="0">
    <w:p w:rsidR="00161B87" w:rsidRDefault="00161B87">
      <w:r>
        <w:continuationSeparator/>
      </w:r>
    </w:p>
  </w:footnote>
  <w:footnote w:id="1">
    <w:p w:rsidR="00161B87" w:rsidRDefault="00161B87" w:rsidP="00142D46">
      <w:pPr>
        <w:pStyle w:val="FootnoteText"/>
        <w:rPr>
          <w:rFonts w:ascii="CG Times (W1)" w:hAnsi="CG Times (W1)"/>
          <w:position w:val="4"/>
          <w:sz w:val="18"/>
        </w:rPr>
      </w:pPr>
      <w:r>
        <w:rPr>
          <w:rFonts w:ascii="Times New Roman" w:hAnsi="Times New Roman"/>
          <w:i/>
          <w:position w:val="4"/>
        </w:rPr>
        <w:t>* International Classification of Diseases, Ninth Revision, Clinical Modification</w:t>
      </w:r>
      <w:r>
        <w:rPr>
          <w:rFonts w:ascii="CG Times (W1)" w:hAnsi="CG Times (W1)"/>
          <w:position w:val="4"/>
          <w:sz w:val="18"/>
        </w:rPr>
        <w:t xml:space="preserve"> </w:t>
      </w:r>
    </w:p>
    <w:p w:rsidR="00161B87" w:rsidRDefault="00161B87" w:rsidP="00142D46">
      <w:pPr>
        <w:pStyle w:val="FootnoteText"/>
      </w:pPr>
      <w:r>
        <w:t xml:space="preserve">* </w:t>
      </w:r>
      <w:r w:rsidRPr="00716142">
        <w:rPr>
          <w:rFonts w:ascii="Times New Roman" w:hAnsi="Times New Roman"/>
          <w:i/>
        </w:rPr>
        <w:t>International Classification of Diseases, Tenth Revision, Clinical Modification</w:t>
      </w:r>
    </w:p>
  </w:footnote>
  <w:footnote w:id="2">
    <w:p w:rsidR="00161B87" w:rsidRDefault="00161B87" w:rsidP="002959E8">
      <w:pPr>
        <w:pStyle w:val="FootnoteText"/>
      </w:pPr>
      <w:r>
        <w:rPr>
          <w:rStyle w:val="FootnoteReference"/>
          <w:rFonts w:ascii="Times New Roman" w:hAnsi="Times New Roman"/>
          <w:sz w:val="24"/>
        </w:rPr>
        <w:t>*</w:t>
      </w:r>
      <w:r>
        <w:rPr>
          <w:rFonts w:ascii="Times New Roman" w:hAnsi="Times New Roman"/>
        </w:rPr>
        <w:t xml:space="preserve"> Chart from:</w:t>
      </w:r>
      <w:r>
        <w:t xml:space="preserve"> </w:t>
      </w:r>
      <w:proofErr w:type="spellStart"/>
      <w:r>
        <w:rPr>
          <w:rFonts w:ascii="Times New Roman" w:hAnsi="Times New Roman"/>
        </w:rPr>
        <w:t>Steliarova-Foucher</w:t>
      </w:r>
      <w:proofErr w:type="spellEnd"/>
      <w:r>
        <w:rPr>
          <w:rFonts w:ascii="Times New Roman" w:hAnsi="Times New Roman"/>
        </w:rPr>
        <w:t xml:space="preserve"> E, Stiller C, </w:t>
      </w:r>
      <w:proofErr w:type="spellStart"/>
      <w:r>
        <w:rPr>
          <w:rFonts w:ascii="Times New Roman" w:hAnsi="Times New Roman"/>
        </w:rPr>
        <w:t>Lacour</w:t>
      </w:r>
      <w:proofErr w:type="spellEnd"/>
      <w:r>
        <w:rPr>
          <w:rFonts w:ascii="Times New Roman" w:hAnsi="Times New Roman"/>
        </w:rPr>
        <w:t xml:space="preserve"> B, </w:t>
      </w:r>
      <w:proofErr w:type="spellStart"/>
      <w:r>
        <w:rPr>
          <w:rFonts w:ascii="Times New Roman" w:hAnsi="Times New Roman"/>
        </w:rPr>
        <w:t>Kaatsch</w:t>
      </w:r>
      <w:proofErr w:type="spellEnd"/>
      <w:r>
        <w:rPr>
          <w:rFonts w:ascii="Times New Roman" w:hAnsi="Times New Roman"/>
        </w:rPr>
        <w:t xml:space="preserve"> P. International Classification of Childhood Cancer, 3</w:t>
      </w:r>
      <w:r w:rsidRPr="006658AA">
        <w:rPr>
          <w:rFonts w:ascii="Times New Roman" w:hAnsi="Times New Roman"/>
          <w:vertAlign w:val="superscript"/>
        </w:rPr>
        <w:t>rd</w:t>
      </w:r>
      <w:r>
        <w:rPr>
          <w:rFonts w:ascii="Times New Roman" w:hAnsi="Times New Roman"/>
        </w:rPr>
        <w:t xml:space="preserve"> Edition. </w:t>
      </w:r>
      <w:r w:rsidRPr="00BE595D">
        <w:rPr>
          <w:rFonts w:ascii="Times New Roman" w:hAnsi="Times New Roman"/>
          <w:i/>
        </w:rPr>
        <w:t>Cancer</w:t>
      </w:r>
      <w:r>
        <w:rPr>
          <w:rFonts w:ascii="Times New Roman" w:hAnsi="Times New Roman"/>
        </w:rPr>
        <w:t xml:space="preserve"> 2005</w:t>
      </w:r>
      <w:proofErr w:type="gramStart"/>
      <w:r>
        <w:rPr>
          <w:rFonts w:ascii="Times New Roman" w:hAnsi="Times New Roman"/>
        </w:rPr>
        <w:t>;103:1457</w:t>
      </w:r>
      <w:proofErr w:type="gramEnd"/>
      <w:r>
        <w:rPr>
          <w:rFonts w:ascii="Times New Roman" w:hAnsi="Times New Roman"/>
        </w:rPr>
        <w:t>-67.</w:t>
      </w:r>
    </w:p>
  </w:footnote>
  <w:footnote w:id="3">
    <w:p w:rsidR="00161B87" w:rsidRDefault="00161B87" w:rsidP="002959E8">
      <w:pPr>
        <w:pStyle w:val="FootnoteText"/>
      </w:pPr>
      <w:r>
        <w:rPr>
          <w:rStyle w:val="FootnoteReference"/>
          <w:rFonts w:ascii="Times New Roman" w:hAnsi="Times New Roman"/>
          <w:sz w:val="24"/>
        </w:rPr>
        <w:t>**</w:t>
      </w:r>
      <w:r>
        <w:rPr>
          <w:rFonts w:ascii="Times New Roman" w:hAnsi="Times New Roman"/>
          <w:sz w:val="24"/>
        </w:rPr>
        <w:t xml:space="preserve"> </w:t>
      </w:r>
      <w:r>
        <w:rPr>
          <w:rFonts w:ascii="Times New Roman" w:hAnsi="Times New Roman"/>
          <w:i/>
          <w:position w:val="4"/>
        </w:rPr>
        <w:t>International Classification of Diseases for Oncology, 2</w:t>
      </w:r>
      <w:r w:rsidRPr="008F571A">
        <w:rPr>
          <w:rFonts w:ascii="Times New Roman" w:hAnsi="Times New Roman"/>
          <w:i/>
          <w:position w:val="4"/>
          <w:vertAlign w:val="superscript"/>
        </w:rPr>
        <w:t>nd</w:t>
      </w:r>
      <w:r>
        <w:rPr>
          <w:rFonts w:ascii="Times New Roman" w:hAnsi="Times New Roman"/>
          <w:i/>
          <w:position w:val="4"/>
        </w:rPr>
        <w:t>/3</w:t>
      </w:r>
      <w:r w:rsidRPr="008F571A">
        <w:rPr>
          <w:rFonts w:ascii="Times New Roman" w:hAnsi="Times New Roman"/>
          <w:i/>
          <w:position w:val="4"/>
          <w:vertAlign w:val="superscript"/>
        </w:rPr>
        <w:t>rd</w:t>
      </w:r>
      <w:r>
        <w:rPr>
          <w:rFonts w:ascii="Times New Roman" w:hAnsi="Times New Roman"/>
          <w:i/>
          <w:position w:val="4"/>
        </w:rPr>
        <w:t xml:space="preserve"> Ed.</w:t>
      </w:r>
      <w:r>
        <w:rPr>
          <w:rFonts w:ascii="CG Times (W1)" w:hAnsi="CG Times (W1)"/>
          <w:position w:val="4"/>
          <w:sz w:val="18"/>
        </w:rPr>
        <w:t xml:space="preserve"> </w:t>
      </w:r>
    </w:p>
  </w:footnote>
  <w:footnote w:id="4">
    <w:p w:rsidR="00161B87" w:rsidRDefault="00161B87" w:rsidP="00716142">
      <w:pPr>
        <w:pStyle w:val="FootnoteText"/>
        <w:rPr>
          <w:rFonts w:ascii="CG Times (W1)" w:hAnsi="CG Times (W1)"/>
          <w:position w:val="4"/>
          <w:sz w:val="18"/>
        </w:rPr>
      </w:pPr>
      <w:r>
        <w:rPr>
          <w:rFonts w:ascii="Times New Roman" w:hAnsi="Times New Roman"/>
          <w:i/>
          <w:position w:val="4"/>
        </w:rPr>
        <w:t>* International Classification of Diseases, Ninth Revision, Clinical Modification</w:t>
      </w:r>
      <w:r>
        <w:rPr>
          <w:rFonts w:ascii="CG Times (W1)" w:hAnsi="CG Times (W1)"/>
          <w:position w:val="4"/>
          <w:sz w:val="18"/>
        </w:rPr>
        <w:t xml:space="preserve"> </w:t>
      </w:r>
    </w:p>
    <w:p w:rsidR="00161B87" w:rsidRDefault="00161B87" w:rsidP="00716142">
      <w:pPr>
        <w:pStyle w:val="FootnoteText"/>
      </w:pPr>
      <w:r>
        <w:t xml:space="preserve">* </w:t>
      </w:r>
      <w:r w:rsidRPr="00716142">
        <w:rPr>
          <w:rFonts w:ascii="Times New Roman" w:hAnsi="Times New Roman"/>
          <w:i/>
        </w:rPr>
        <w:t>International Classification of Diseases, Tenth Revision, Clinical Modification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B87" w:rsidRDefault="00161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B87" w:rsidRPr="001073CE" w:rsidRDefault="00161B87" w:rsidP="001073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B87" w:rsidRDefault="00161B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067E7"/>
    <w:multiLevelType w:val="hybridMultilevel"/>
    <w:tmpl w:val="87E60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712E04"/>
    <w:multiLevelType w:val="hybridMultilevel"/>
    <w:tmpl w:val="1B6EB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5B07CF"/>
    <w:multiLevelType w:val="hybridMultilevel"/>
    <w:tmpl w:val="E10A004C"/>
    <w:lvl w:ilvl="0" w:tplc="B27CC4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BC92287"/>
    <w:multiLevelType w:val="hybridMultilevel"/>
    <w:tmpl w:val="B54A7242"/>
    <w:lvl w:ilvl="0" w:tplc="D48CB9CC">
      <w:start w:val="1"/>
      <w:numFmt w:val="decimal"/>
      <w:lvlText w:val="%1."/>
      <w:lvlJc w:val="left"/>
      <w:pPr>
        <w:tabs>
          <w:tab w:val="num" w:pos="720"/>
        </w:tabs>
        <w:ind w:left="720" w:hanging="360"/>
      </w:pPr>
      <w:rPr>
        <w:rFonts w:cs="Times New Roman"/>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66"/>
    <w:rsid w:val="00000A56"/>
    <w:rsid w:val="00001AA5"/>
    <w:rsid w:val="00003E9B"/>
    <w:rsid w:val="00004C61"/>
    <w:rsid w:val="000052DF"/>
    <w:rsid w:val="00005B3F"/>
    <w:rsid w:val="00006BF3"/>
    <w:rsid w:val="00010AAB"/>
    <w:rsid w:val="000114A7"/>
    <w:rsid w:val="00011F4C"/>
    <w:rsid w:val="000125C6"/>
    <w:rsid w:val="00012C25"/>
    <w:rsid w:val="00014C9C"/>
    <w:rsid w:val="000154FF"/>
    <w:rsid w:val="00021CD0"/>
    <w:rsid w:val="0002294B"/>
    <w:rsid w:val="00022A2B"/>
    <w:rsid w:val="00022EB2"/>
    <w:rsid w:val="00022FDE"/>
    <w:rsid w:val="000241FE"/>
    <w:rsid w:val="00025738"/>
    <w:rsid w:val="0002584B"/>
    <w:rsid w:val="000265FA"/>
    <w:rsid w:val="000270B4"/>
    <w:rsid w:val="0003089F"/>
    <w:rsid w:val="00031D10"/>
    <w:rsid w:val="0003349E"/>
    <w:rsid w:val="000335A8"/>
    <w:rsid w:val="0003634D"/>
    <w:rsid w:val="0003720E"/>
    <w:rsid w:val="000372A0"/>
    <w:rsid w:val="000378DD"/>
    <w:rsid w:val="00040749"/>
    <w:rsid w:val="000416BC"/>
    <w:rsid w:val="0004324B"/>
    <w:rsid w:val="000432F1"/>
    <w:rsid w:val="00044B82"/>
    <w:rsid w:val="00044D2C"/>
    <w:rsid w:val="000450FF"/>
    <w:rsid w:val="00045B2C"/>
    <w:rsid w:val="00045ED2"/>
    <w:rsid w:val="00046C79"/>
    <w:rsid w:val="00047900"/>
    <w:rsid w:val="00050959"/>
    <w:rsid w:val="00051024"/>
    <w:rsid w:val="00051270"/>
    <w:rsid w:val="00052AE5"/>
    <w:rsid w:val="00055D7E"/>
    <w:rsid w:val="00056CF2"/>
    <w:rsid w:val="0006226F"/>
    <w:rsid w:val="00062FFE"/>
    <w:rsid w:val="00066675"/>
    <w:rsid w:val="000678D3"/>
    <w:rsid w:val="00067F04"/>
    <w:rsid w:val="000700F8"/>
    <w:rsid w:val="00070384"/>
    <w:rsid w:val="00070A83"/>
    <w:rsid w:val="00072FC9"/>
    <w:rsid w:val="00073A58"/>
    <w:rsid w:val="00074966"/>
    <w:rsid w:val="0007496E"/>
    <w:rsid w:val="00074F37"/>
    <w:rsid w:val="00077CC1"/>
    <w:rsid w:val="00077E95"/>
    <w:rsid w:val="00080548"/>
    <w:rsid w:val="00080C5E"/>
    <w:rsid w:val="00081374"/>
    <w:rsid w:val="00081461"/>
    <w:rsid w:val="000821A5"/>
    <w:rsid w:val="00082461"/>
    <w:rsid w:val="00082B3E"/>
    <w:rsid w:val="00082B88"/>
    <w:rsid w:val="00083ABD"/>
    <w:rsid w:val="00090BFF"/>
    <w:rsid w:val="00092198"/>
    <w:rsid w:val="000973B4"/>
    <w:rsid w:val="000A10BA"/>
    <w:rsid w:val="000A10BD"/>
    <w:rsid w:val="000A17E6"/>
    <w:rsid w:val="000A233A"/>
    <w:rsid w:val="000A2A79"/>
    <w:rsid w:val="000A33CB"/>
    <w:rsid w:val="000A4CFC"/>
    <w:rsid w:val="000A4F5C"/>
    <w:rsid w:val="000A4FB7"/>
    <w:rsid w:val="000A539D"/>
    <w:rsid w:val="000A5D68"/>
    <w:rsid w:val="000A5E3D"/>
    <w:rsid w:val="000A6D85"/>
    <w:rsid w:val="000B249F"/>
    <w:rsid w:val="000B2C9D"/>
    <w:rsid w:val="000B2ECE"/>
    <w:rsid w:val="000B5345"/>
    <w:rsid w:val="000B5B02"/>
    <w:rsid w:val="000B5EDE"/>
    <w:rsid w:val="000B7260"/>
    <w:rsid w:val="000C0843"/>
    <w:rsid w:val="000C15BD"/>
    <w:rsid w:val="000C178E"/>
    <w:rsid w:val="000C2419"/>
    <w:rsid w:val="000C27CF"/>
    <w:rsid w:val="000C2840"/>
    <w:rsid w:val="000C3156"/>
    <w:rsid w:val="000C4F3A"/>
    <w:rsid w:val="000C6119"/>
    <w:rsid w:val="000D0227"/>
    <w:rsid w:val="000D051B"/>
    <w:rsid w:val="000D09A8"/>
    <w:rsid w:val="000D1B85"/>
    <w:rsid w:val="000D35D8"/>
    <w:rsid w:val="000D42BD"/>
    <w:rsid w:val="000D476B"/>
    <w:rsid w:val="000D47E2"/>
    <w:rsid w:val="000D4E51"/>
    <w:rsid w:val="000D50C8"/>
    <w:rsid w:val="000D51DD"/>
    <w:rsid w:val="000D638D"/>
    <w:rsid w:val="000D79CD"/>
    <w:rsid w:val="000D7C08"/>
    <w:rsid w:val="000D7D9A"/>
    <w:rsid w:val="000E36DE"/>
    <w:rsid w:val="000E3AB7"/>
    <w:rsid w:val="000E3C7A"/>
    <w:rsid w:val="000E45CA"/>
    <w:rsid w:val="000E5D7A"/>
    <w:rsid w:val="000E6902"/>
    <w:rsid w:val="000E6C26"/>
    <w:rsid w:val="000E6D56"/>
    <w:rsid w:val="000F1AD6"/>
    <w:rsid w:val="000F2DB3"/>
    <w:rsid w:val="000F4DB6"/>
    <w:rsid w:val="000F5EDF"/>
    <w:rsid w:val="000F6615"/>
    <w:rsid w:val="000F6847"/>
    <w:rsid w:val="000F6B90"/>
    <w:rsid w:val="000F773A"/>
    <w:rsid w:val="000F7769"/>
    <w:rsid w:val="000F7F0C"/>
    <w:rsid w:val="00101351"/>
    <w:rsid w:val="00102432"/>
    <w:rsid w:val="001028EE"/>
    <w:rsid w:val="00103A4B"/>
    <w:rsid w:val="00103DE3"/>
    <w:rsid w:val="00106A03"/>
    <w:rsid w:val="001073CE"/>
    <w:rsid w:val="00110560"/>
    <w:rsid w:val="001116EF"/>
    <w:rsid w:val="00111C21"/>
    <w:rsid w:val="0011563E"/>
    <w:rsid w:val="0011602E"/>
    <w:rsid w:val="00116E16"/>
    <w:rsid w:val="001179DD"/>
    <w:rsid w:val="00117A31"/>
    <w:rsid w:val="00117F20"/>
    <w:rsid w:val="00120C20"/>
    <w:rsid w:val="00120C8F"/>
    <w:rsid w:val="001225A5"/>
    <w:rsid w:val="001245E7"/>
    <w:rsid w:val="00124737"/>
    <w:rsid w:val="00125601"/>
    <w:rsid w:val="0012611E"/>
    <w:rsid w:val="00126969"/>
    <w:rsid w:val="00126ADF"/>
    <w:rsid w:val="00126B22"/>
    <w:rsid w:val="00132F8A"/>
    <w:rsid w:val="001367EC"/>
    <w:rsid w:val="00136ABD"/>
    <w:rsid w:val="001412B9"/>
    <w:rsid w:val="0014139F"/>
    <w:rsid w:val="0014278E"/>
    <w:rsid w:val="00142966"/>
    <w:rsid w:val="00142D46"/>
    <w:rsid w:val="001441C2"/>
    <w:rsid w:val="001441EE"/>
    <w:rsid w:val="001442FC"/>
    <w:rsid w:val="00144D9C"/>
    <w:rsid w:val="001458E3"/>
    <w:rsid w:val="00145D33"/>
    <w:rsid w:val="00151D6B"/>
    <w:rsid w:val="001532A0"/>
    <w:rsid w:val="00154DF9"/>
    <w:rsid w:val="001612E0"/>
    <w:rsid w:val="00161B87"/>
    <w:rsid w:val="00161F0C"/>
    <w:rsid w:val="001639D2"/>
    <w:rsid w:val="00165D65"/>
    <w:rsid w:val="00166BAA"/>
    <w:rsid w:val="00171240"/>
    <w:rsid w:val="00171A3E"/>
    <w:rsid w:val="001727EA"/>
    <w:rsid w:val="0017348D"/>
    <w:rsid w:val="00173D66"/>
    <w:rsid w:val="00174D70"/>
    <w:rsid w:val="0017741E"/>
    <w:rsid w:val="001777C2"/>
    <w:rsid w:val="00177B7F"/>
    <w:rsid w:val="00177FC9"/>
    <w:rsid w:val="00180A79"/>
    <w:rsid w:val="00181DD1"/>
    <w:rsid w:val="001834E3"/>
    <w:rsid w:val="00184133"/>
    <w:rsid w:val="00184C6F"/>
    <w:rsid w:val="001855DB"/>
    <w:rsid w:val="00185752"/>
    <w:rsid w:val="00185C42"/>
    <w:rsid w:val="00186800"/>
    <w:rsid w:val="00187F53"/>
    <w:rsid w:val="001908BA"/>
    <w:rsid w:val="00190EE8"/>
    <w:rsid w:val="00192D86"/>
    <w:rsid w:val="00193045"/>
    <w:rsid w:val="0019491A"/>
    <w:rsid w:val="001956C3"/>
    <w:rsid w:val="001961AC"/>
    <w:rsid w:val="00196615"/>
    <w:rsid w:val="0019794F"/>
    <w:rsid w:val="001A0E03"/>
    <w:rsid w:val="001A1189"/>
    <w:rsid w:val="001A28FF"/>
    <w:rsid w:val="001A2966"/>
    <w:rsid w:val="001A2A8D"/>
    <w:rsid w:val="001A3142"/>
    <w:rsid w:val="001A4ECA"/>
    <w:rsid w:val="001A55CD"/>
    <w:rsid w:val="001A5F88"/>
    <w:rsid w:val="001A635B"/>
    <w:rsid w:val="001A6DA5"/>
    <w:rsid w:val="001B148B"/>
    <w:rsid w:val="001B2A6F"/>
    <w:rsid w:val="001B2CE8"/>
    <w:rsid w:val="001B398E"/>
    <w:rsid w:val="001B3AD8"/>
    <w:rsid w:val="001B3B5D"/>
    <w:rsid w:val="001B3BBA"/>
    <w:rsid w:val="001B45E9"/>
    <w:rsid w:val="001B6317"/>
    <w:rsid w:val="001B7BE7"/>
    <w:rsid w:val="001C011D"/>
    <w:rsid w:val="001C0A57"/>
    <w:rsid w:val="001C1CCE"/>
    <w:rsid w:val="001C1D68"/>
    <w:rsid w:val="001C3067"/>
    <w:rsid w:val="001C31BF"/>
    <w:rsid w:val="001C4221"/>
    <w:rsid w:val="001C56D6"/>
    <w:rsid w:val="001D0607"/>
    <w:rsid w:val="001D1D77"/>
    <w:rsid w:val="001D2E64"/>
    <w:rsid w:val="001D6E5E"/>
    <w:rsid w:val="001D7214"/>
    <w:rsid w:val="001D7736"/>
    <w:rsid w:val="001E013A"/>
    <w:rsid w:val="001E08AC"/>
    <w:rsid w:val="001E0BBA"/>
    <w:rsid w:val="001E16B5"/>
    <w:rsid w:val="001E21E2"/>
    <w:rsid w:val="001E4FCC"/>
    <w:rsid w:val="001E6032"/>
    <w:rsid w:val="001E676C"/>
    <w:rsid w:val="001F032B"/>
    <w:rsid w:val="001F038C"/>
    <w:rsid w:val="001F1DA8"/>
    <w:rsid w:val="001F1F27"/>
    <w:rsid w:val="001F236F"/>
    <w:rsid w:val="001F266F"/>
    <w:rsid w:val="001F287E"/>
    <w:rsid w:val="001F3E93"/>
    <w:rsid w:val="001F528C"/>
    <w:rsid w:val="001F6713"/>
    <w:rsid w:val="001F6BE8"/>
    <w:rsid w:val="00200048"/>
    <w:rsid w:val="002000AA"/>
    <w:rsid w:val="00201038"/>
    <w:rsid w:val="002012B3"/>
    <w:rsid w:val="00201C6A"/>
    <w:rsid w:val="00201F6F"/>
    <w:rsid w:val="00203802"/>
    <w:rsid w:val="002040E2"/>
    <w:rsid w:val="0020540E"/>
    <w:rsid w:val="00206DB1"/>
    <w:rsid w:val="00206DE9"/>
    <w:rsid w:val="00211A7B"/>
    <w:rsid w:val="00211CC7"/>
    <w:rsid w:val="0021264D"/>
    <w:rsid w:val="002162A7"/>
    <w:rsid w:val="0021694B"/>
    <w:rsid w:val="002176E2"/>
    <w:rsid w:val="002207D0"/>
    <w:rsid w:val="00220F76"/>
    <w:rsid w:val="00221BB4"/>
    <w:rsid w:val="0022213E"/>
    <w:rsid w:val="00224019"/>
    <w:rsid w:val="00224AA1"/>
    <w:rsid w:val="00224C22"/>
    <w:rsid w:val="00225783"/>
    <w:rsid w:val="002260A7"/>
    <w:rsid w:val="002260B7"/>
    <w:rsid w:val="00227A9A"/>
    <w:rsid w:val="00227D2C"/>
    <w:rsid w:val="00230A28"/>
    <w:rsid w:val="00232254"/>
    <w:rsid w:val="00233EA2"/>
    <w:rsid w:val="00234878"/>
    <w:rsid w:val="00235428"/>
    <w:rsid w:val="002357A7"/>
    <w:rsid w:val="00237627"/>
    <w:rsid w:val="00237D94"/>
    <w:rsid w:val="00240048"/>
    <w:rsid w:val="00240D26"/>
    <w:rsid w:val="00241F53"/>
    <w:rsid w:val="002441E6"/>
    <w:rsid w:val="0024487F"/>
    <w:rsid w:val="00245366"/>
    <w:rsid w:val="00246307"/>
    <w:rsid w:val="002514DC"/>
    <w:rsid w:val="00251987"/>
    <w:rsid w:val="00251B4C"/>
    <w:rsid w:val="00251B94"/>
    <w:rsid w:val="00253454"/>
    <w:rsid w:val="00257CD1"/>
    <w:rsid w:val="00263ABE"/>
    <w:rsid w:val="00263D1C"/>
    <w:rsid w:val="002649BF"/>
    <w:rsid w:val="00264A97"/>
    <w:rsid w:val="00271078"/>
    <w:rsid w:val="0027256F"/>
    <w:rsid w:val="0027268B"/>
    <w:rsid w:val="00274B15"/>
    <w:rsid w:val="00275961"/>
    <w:rsid w:val="00276E44"/>
    <w:rsid w:val="0028048C"/>
    <w:rsid w:val="00280D72"/>
    <w:rsid w:val="00281395"/>
    <w:rsid w:val="002815FB"/>
    <w:rsid w:val="00281F53"/>
    <w:rsid w:val="00282F78"/>
    <w:rsid w:val="002833E4"/>
    <w:rsid w:val="0028643B"/>
    <w:rsid w:val="00287431"/>
    <w:rsid w:val="0028787E"/>
    <w:rsid w:val="00290B38"/>
    <w:rsid w:val="00291475"/>
    <w:rsid w:val="00291A84"/>
    <w:rsid w:val="00291C95"/>
    <w:rsid w:val="00291F53"/>
    <w:rsid w:val="00292A7E"/>
    <w:rsid w:val="002936D3"/>
    <w:rsid w:val="00293B91"/>
    <w:rsid w:val="002959E8"/>
    <w:rsid w:val="002A2EAC"/>
    <w:rsid w:val="002A3E2B"/>
    <w:rsid w:val="002A66AA"/>
    <w:rsid w:val="002A6A99"/>
    <w:rsid w:val="002B0884"/>
    <w:rsid w:val="002B2A51"/>
    <w:rsid w:val="002B2CC6"/>
    <w:rsid w:val="002B34DC"/>
    <w:rsid w:val="002B40EF"/>
    <w:rsid w:val="002B6525"/>
    <w:rsid w:val="002B7CFD"/>
    <w:rsid w:val="002C209F"/>
    <w:rsid w:val="002C6521"/>
    <w:rsid w:val="002C6BD4"/>
    <w:rsid w:val="002C76FE"/>
    <w:rsid w:val="002D2A17"/>
    <w:rsid w:val="002D46C5"/>
    <w:rsid w:val="002D5601"/>
    <w:rsid w:val="002D7945"/>
    <w:rsid w:val="002E0054"/>
    <w:rsid w:val="002E1C66"/>
    <w:rsid w:val="002E2F09"/>
    <w:rsid w:val="002E5C77"/>
    <w:rsid w:val="002E7484"/>
    <w:rsid w:val="002F29A6"/>
    <w:rsid w:val="002F325B"/>
    <w:rsid w:val="0030040E"/>
    <w:rsid w:val="00302BAA"/>
    <w:rsid w:val="0030492C"/>
    <w:rsid w:val="00306CD0"/>
    <w:rsid w:val="0030761A"/>
    <w:rsid w:val="00311CC4"/>
    <w:rsid w:val="00315622"/>
    <w:rsid w:val="003177BE"/>
    <w:rsid w:val="003205F2"/>
    <w:rsid w:val="00320FA4"/>
    <w:rsid w:val="003219BE"/>
    <w:rsid w:val="003225FA"/>
    <w:rsid w:val="0032307B"/>
    <w:rsid w:val="00323EDF"/>
    <w:rsid w:val="00325658"/>
    <w:rsid w:val="00325974"/>
    <w:rsid w:val="00325A6A"/>
    <w:rsid w:val="00325EE9"/>
    <w:rsid w:val="00326871"/>
    <w:rsid w:val="00326916"/>
    <w:rsid w:val="00331BA6"/>
    <w:rsid w:val="00331CEA"/>
    <w:rsid w:val="00333B19"/>
    <w:rsid w:val="00334764"/>
    <w:rsid w:val="00335A05"/>
    <w:rsid w:val="00337AEB"/>
    <w:rsid w:val="003406E9"/>
    <w:rsid w:val="003409E2"/>
    <w:rsid w:val="00342EAC"/>
    <w:rsid w:val="00344DEE"/>
    <w:rsid w:val="003453C4"/>
    <w:rsid w:val="00345762"/>
    <w:rsid w:val="003479B6"/>
    <w:rsid w:val="0035117D"/>
    <w:rsid w:val="00351C55"/>
    <w:rsid w:val="00353411"/>
    <w:rsid w:val="003538DC"/>
    <w:rsid w:val="00355E8E"/>
    <w:rsid w:val="0035617E"/>
    <w:rsid w:val="0035790A"/>
    <w:rsid w:val="00357BAC"/>
    <w:rsid w:val="003604C5"/>
    <w:rsid w:val="00362264"/>
    <w:rsid w:val="0036237A"/>
    <w:rsid w:val="00362C1C"/>
    <w:rsid w:val="00363A02"/>
    <w:rsid w:val="003641AC"/>
    <w:rsid w:val="003646BC"/>
    <w:rsid w:val="00365FF7"/>
    <w:rsid w:val="003661E2"/>
    <w:rsid w:val="00370A23"/>
    <w:rsid w:val="00372CCE"/>
    <w:rsid w:val="00373522"/>
    <w:rsid w:val="00373CD7"/>
    <w:rsid w:val="00374159"/>
    <w:rsid w:val="00374472"/>
    <w:rsid w:val="00374DF1"/>
    <w:rsid w:val="00375BFC"/>
    <w:rsid w:val="00377398"/>
    <w:rsid w:val="00377562"/>
    <w:rsid w:val="003818FA"/>
    <w:rsid w:val="00383E90"/>
    <w:rsid w:val="00384E40"/>
    <w:rsid w:val="00385F1B"/>
    <w:rsid w:val="00390A1B"/>
    <w:rsid w:val="00390D0D"/>
    <w:rsid w:val="003910DC"/>
    <w:rsid w:val="003914D9"/>
    <w:rsid w:val="00391961"/>
    <w:rsid w:val="00391B68"/>
    <w:rsid w:val="00393687"/>
    <w:rsid w:val="00394480"/>
    <w:rsid w:val="003947A9"/>
    <w:rsid w:val="0039572F"/>
    <w:rsid w:val="00395F64"/>
    <w:rsid w:val="003977A0"/>
    <w:rsid w:val="003A0273"/>
    <w:rsid w:val="003A04A8"/>
    <w:rsid w:val="003A0CCB"/>
    <w:rsid w:val="003A2850"/>
    <w:rsid w:val="003A3246"/>
    <w:rsid w:val="003A3431"/>
    <w:rsid w:val="003A4A8C"/>
    <w:rsid w:val="003A4DCC"/>
    <w:rsid w:val="003A6171"/>
    <w:rsid w:val="003A7E2E"/>
    <w:rsid w:val="003B1280"/>
    <w:rsid w:val="003B1421"/>
    <w:rsid w:val="003B17A9"/>
    <w:rsid w:val="003B4C7B"/>
    <w:rsid w:val="003B5114"/>
    <w:rsid w:val="003B5121"/>
    <w:rsid w:val="003B547C"/>
    <w:rsid w:val="003B6466"/>
    <w:rsid w:val="003B7B16"/>
    <w:rsid w:val="003C1A04"/>
    <w:rsid w:val="003C1F4F"/>
    <w:rsid w:val="003C2848"/>
    <w:rsid w:val="003C31B0"/>
    <w:rsid w:val="003C54B3"/>
    <w:rsid w:val="003C5946"/>
    <w:rsid w:val="003C5ADF"/>
    <w:rsid w:val="003C6973"/>
    <w:rsid w:val="003C77CF"/>
    <w:rsid w:val="003C7E19"/>
    <w:rsid w:val="003D1707"/>
    <w:rsid w:val="003D21A6"/>
    <w:rsid w:val="003D285C"/>
    <w:rsid w:val="003D31A7"/>
    <w:rsid w:val="003D3CD3"/>
    <w:rsid w:val="003D454E"/>
    <w:rsid w:val="003D4CAC"/>
    <w:rsid w:val="003D5E96"/>
    <w:rsid w:val="003D6A0A"/>
    <w:rsid w:val="003D73B9"/>
    <w:rsid w:val="003D7B24"/>
    <w:rsid w:val="003D7BB3"/>
    <w:rsid w:val="003E1134"/>
    <w:rsid w:val="003E14AB"/>
    <w:rsid w:val="003E1BF2"/>
    <w:rsid w:val="003E2506"/>
    <w:rsid w:val="003E4449"/>
    <w:rsid w:val="003E4A0C"/>
    <w:rsid w:val="003E4D81"/>
    <w:rsid w:val="003E7F49"/>
    <w:rsid w:val="003F0197"/>
    <w:rsid w:val="003F27A5"/>
    <w:rsid w:val="003F3816"/>
    <w:rsid w:val="003F4C8F"/>
    <w:rsid w:val="003F55AE"/>
    <w:rsid w:val="003F5DC5"/>
    <w:rsid w:val="003F6974"/>
    <w:rsid w:val="00403100"/>
    <w:rsid w:val="00404B88"/>
    <w:rsid w:val="00405B24"/>
    <w:rsid w:val="00407FBB"/>
    <w:rsid w:val="00411D5C"/>
    <w:rsid w:val="004121E3"/>
    <w:rsid w:val="00412D09"/>
    <w:rsid w:val="0041366A"/>
    <w:rsid w:val="00414F8C"/>
    <w:rsid w:val="004152D8"/>
    <w:rsid w:val="00416786"/>
    <w:rsid w:val="00417135"/>
    <w:rsid w:val="004207C1"/>
    <w:rsid w:val="00420849"/>
    <w:rsid w:val="00423BA3"/>
    <w:rsid w:val="00425514"/>
    <w:rsid w:val="004255DB"/>
    <w:rsid w:val="00426350"/>
    <w:rsid w:val="00426B09"/>
    <w:rsid w:val="004308BF"/>
    <w:rsid w:val="00431319"/>
    <w:rsid w:val="004319AE"/>
    <w:rsid w:val="00433D53"/>
    <w:rsid w:val="004343CF"/>
    <w:rsid w:val="00435CD4"/>
    <w:rsid w:val="00436509"/>
    <w:rsid w:val="00436D65"/>
    <w:rsid w:val="00442162"/>
    <w:rsid w:val="004424BF"/>
    <w:rsid w:val="0044265D"/>
    <w:rsid w:val="00442BF3"/>
    <w:rsid w:val="00442D67"/>
    <w:rsid w:val="004431FE"/>
    <w:rsid w:val="004444CE"/>
    <w:rsid w:val="004465B1"/>
    <w:rsid w:val="0044662D"/>
    <w:rsid w:val="004466C2"/>
    <w:rsid w:val="00447C13"/>
    <w:rsid w:val="004507BD"/>
    <w:rsid w:val="004520CE"/>
    <w:rsid w:val="00452411"/>
    <w:rsid w:val="00454390"/>
    <w:rsid w:val="00454947"/>
    <w:rsid w:val="00456A39"/>
    <w:rsid w:val="004575A8"/>
    <w:rsid w:val="004604C9"/>
    <w:rsid w:val="00460A92"/>
    <w:rsid w:val="00460D95"/>
    <w:rsid w:val="0046201A"/>
    <w:rsid w:val="0046262B"/>
    <w:rsid w:val="00462FF6"/>
    <w:rsid w:val="00463DAC"/>
    <w:rsid w:val="00464463"/>
    <w:rsid w:val="00464686"/>
    <w:rsid w:val="00467414"/>
    <w:rsid w:val="00470D2B"/>
    <w:rsid w:val="00471199"/>
    <w:rsid w:val="004718D3"/>
    <w:rsid w:val="0047251F"/>
    <w:rsid w:val="00476294"/>
    <w:rsid w:val="00476D1C"/>
    <w:rsid w:val="0048623C"/>
    <w:rsid w:val="0049075D"/>
    <w:rsid w:val="0049179D"/>
    <w:rsid w:val="004928A6"/>
    <w:rsid w:val="0049296A"/>
    <w:rsid w:val="00492CA2"/>
    <w:rsid w:val="00494971"/>
    <w:rsid w:val="00495A54"/>
    <w:rsid w:val="004964FD"/>
    <w:rsid w:val="00496ADA"/>
    <w:rsid w:val="00497A26"/>
    <w:rsid w:val="004A141D"/>
    <w:rsid w:val="004A18CD"/>
    <w:rsid w:val="004A2B63"/>
    <w:rsid w:val="004A2D5C"/>
    <w:rsid w:val="004A3874"/>
    <w:rsid w:val="004A3BA4"/>
    <w:rsid w:val="004A45B5"/>
    <w:rsid w:val="004A5CDF"/>
    <w:rsid w:val="004A79D3"/>
    <w:rsid w:val="004B07F9"/>
    <w:rsid w:val="004B1451"/>
    <w:rsid w:val="004B34FC"/>
    <w:rsid w:val="004B462C"/>
    <w:rsid w:val="004B57EF"/>
    <w:rsid w:val="004B5CC2"/>
    <w:rsid w:val="004B5CF0"/>
    <w:rsid w:val="004C03D4"/>
    <w:rsid w:val="004C05C6"/>
    <w:rsid w:val="004C081F"/>
    <w:rsid w:val="004C1E6A"/>
    <w:rsid w:val="004C3EBA"/>
    <w:rsid w:val="004D01E3"/>
    <w:rsid w:val="004D2D98"/>
    <w:rsid w:val="004D52D2"/>
    <w:rsid w:val="004D6881"/>
    <w:rsid w:val="004D7508"/>
    <w:rsid w:val="004E16D6"/>
    <w:rsid w:val="004E1B0E"/>
    <w:rsid w:val="004E1B69"/>
    <w:rsid w:val="004E1EBA"/>
    <w:rsid w:val="004E283F"/>
    <w:rsid w:val="004E2DA1"/>
    <w:rsid w:val="004E2F9A"/>
    <w:rsid w:val="004E4931"/>
    <w:rsid w:val="004E6165"/>
    <w:rsid w:val="004F0A35"/>
    <w:rsid w:val="004F1537"/>
    <w:rsid w:val="004F16EE"/>
    <w:rsid w:val="004F43A6"/>
    <w:rsid w:val="004F43C5"/>
    <w:rsid w:val="004F476C"/>
    <w:rsid w:val="004F48C4"/>
    <w:rsid w:val="004F5419"/>
    <w:rsid w:val="004F60F7"/>
    <w:rsid w:val="004F735E"/>
    <w:rsid w:val="005005CD"/>
    <w:rsid w:val="00500A86"/>
    <w:rsid w:val="00501385"/>
    <w:rsid w:val="00501FF8"/>
    <w:rsid w:val="005020C0"/>
    <w:rsid w:val="00502765"/>
    <w:rsid w:val="005061E0"/>
    <w:rsid w:val="00506C47"/>
    <w:rsid w:val="00506FCD"/>
    <w:rsid w:val="005079D3"/>
    <w:rsid w:val="00513C9B"/>
    <w:rsid w:val="0051527B"/>
    <w:rsid w:val="0051531C"/>
    <w:rsid w:val="005155A5"/>
    <w:rsid w:val="00520340"/>
    <w:rsid w:val="0052162A"/>
    <w:rsid w:val="00522675"/>
    <w:rsid w:val="0052423D"/>
    <w:rsid w:val="00525CD4"/>
    <w:rsid w:val="00525E35"/>
    <w:rsid w:val="005278E0"/>
    <w:rsid w:val="00530B21"/>
    <w:rsid w:val="00532BA2"/>
    <w:rsid w:val="00533517"/>
    <w:rsid w:val="00533C1F"/>
    <w:rsid w:val="005340B9"/>
    <w:rsid w:val="00537092"/>
    <w:rsid w:val="00542A6D"/>
    <w:rsid w:val="0054769F"/>
    <w:rsid w:val="00551BC2"/>
    <w:rsid w:val="00551F98"/>
    <w:rsid w:val="00552387"/>
    <w:rsid w:val="0055263F"/>
    <w:rsid w:val="00552FD7"/>
    <w:rsid w:val="005546A7"/>
    <w:rsid w:val="00554E27"/>
    <w:rsid w:val="00556541"/>
    <w:rsid w:val="00557A6B"/>
    <w:rsid w:val="00560DB2"/>
    <w:rsid w:val="00563552"/>
    <w:rsid w:val="00564549"/>
    <w:rsid w:val="005677AA"/>
    <w:rsid w:val="00567E45"/>
    <w:rsid w:val="00573891"/>
    <w:rsid w:val="00575198"/>
    <w:rsid w:val="00580590"/>
    <w:rsid w:val="00582219"/>
    <w:rsid w:val="00582FCC"/>
    <w:rsid w:val="00583708"/>
    <w:rsid w:val="005839A6"/>
    <w:rsid w:val="0058597D"/>
    <w:rsid w:val="00592526"/>
    <w:rsid w:val="0059265C"/>
    <w:rsid w:val="00593B99"/>
    <w:rsid w:val="00596E18"/>
    <w:rsid w:val="005A0EC9"/>
    <w:rsid w:val="005A3751"/>
    <w:rsid w:val="005A4BB0"/>
    <w:rsid w:val="005A4DFD"/>
    <w:rsid w:val="005B04BB"/>
    <w:rsid w:val="005B21B0"/>
    <w:rsid w:val="005B22E2"/>
    <w:rsid w:val="005B2D04"/>
    <w:rsid w:val="005B2E94"/>
    <w:rsid w:val="005B39E5"/>
    <w:rsid w:val="005B3A93"/>
    <w:rsid w:val="005B3C8D"/>
    <w:rsid w:val="005B4146"/>
    <w:rsid w:val="005B53D6"/>
    <w:rsid w:val="005B6307"/>
    <w:rsid w:val="005B643E"/>
    <w:rsid w:val="005B6CCA"/>
    <w:rsid w:val="005B79E8"/>
    <w:rsid w:val="005C084D"/>
    <w:rsid w:val="005C0ABF"/>
    <w:rsid w:val="005C1FC2"/>
    <w:rsid w:val="005C204C"/>
    <w:rsid w:val="005C2584"/>
    <w:rsid w:val="005C518A"/>
    <w:rsid w:val="005C7166"/>
    <w:rsid w:val="005D0E0F"/>
    <w:rsid w:val="005D19F3"/>
    <w:rsid w:val="005D1E9B"/>
    <w:rsid w:val="005D4A0C"/>
    <w:rsid w:val="005D51AC"/>
    <w:rsid w:val="005D6DE1"/>
    <w:rsid w:val="005D763E"/>
    <w:rsid w:val="005E6782"/>
    <w:rsid w:val="005E7EE2"/>
    <w:rsid w:val="005F25EB"/>
    <w:rsid w:val="005F5593"/>
    <w:rsid w:val="005F60A2"/>
    <w:rsid w:val="005F628A"/>
    <w:rsid w:val="005F6C3D"/>
    <w:rsid w:val="005F7223"/>
    <w:rsid w:val="00600CA4"/>
    <w:rsid w:val="006015EB"/>
    <w:rsid w:val="00601799"/>
    <w:rsid w:val="0060196C"/>
    <w:rsid w:val="00601F9F"/>
    <w:rsid w:val="00602830"/>
    <w:rsid w:val="00603B41"/>
    <w:rsid w:val="00603BDA"/>
    <w:rsid w:val="00604EEB"/>
    <w:rsid w:val="006050A3"/>
    <w:rsid w:val="0061569B"/>
    <w:rsid w:val="00615E8B"/>
    <w:rsid w:val="0061683B"/>
    <w:rsid w:val="00617109"/>
    <w:rsid w:val="00617B6F"/>
    <w:rsid w:val="006232F6"/>
    <w:rsid w:val="006234A9"/>
    <w:rsid w:val="0062388E"/>
    <w:rsid w:val="00623E78"/>
    <w:rsid w:val="00625CB5"/>
    <w:rsid w:val="00627808"/>
    <w:rsid w:val="00630FC8"/>
    <w:rsid w:val="006329CF"/>
    <w:rsid w:val="00635642"/>
    <w:rsid w:val="0063584C"/>
    <w:rsid w:val="00636BE6"/>
    <w:rsid w:val="0064018A"/>
    <w:rsid w:val="0064098E"/>
    <w:rsid w:val="006410CF"/>
    <w:rsid w:val="00641314"/>
    <w:rsid w:val="00642780"/>
    <w:rsid w:val="00642E8E"/>
    <w:rsid w:val="00643C39"/>
    <w:rsid w:val="00644BFC"/>
    <w:rsid w:val="00645434"/>
    <w:rsid w:val="00646654"/>
    <w:rsid w:val="00650A75"/>
    <w:rsid w:val="00651378"/>
    <w:rsid w:val="006514DE"/>
    <w:rsid w:val="00651666"/>
    <w:rsid w:val="0065321A"/>
    <w:rsid w:val="006547B2"/>
    <w:rsid w:val="006547E8"/>
    <w:rsid w:val="0065517F"/>
    <w:rsid w:val="00655BC5"/>
    <w:rsid w:val="006570E3"/>
    <w:rsid w:val="00657754"/>
    <w:rsid w:val="0066116B"/>
    <w:rsid w:val="00661232"/>
    <w:rsid w:val="00662FB6"/>
    <w:rsid w:val="00663CB9"/>
    <w:rsid w:val="006644A4"/>
    <w:rsid w:val="00664903"/>
    <w:rsid w:val="00664FB5"/>
    <w:rsid w:val="006655F9"/>
    <w:rsid w:val="006658AA"/>
    <w:rsid w:val="00667200"/>
    <w:rsid w:val="00667C50"/>
    <w:rsid w:val="006707E1"/>
    <w:rsid w:val="0067105F"/>
    <w:rsid w:val="00671C7D"/>
    <w:rsid w:val="00672888"/>
    <w:rsid w:val="00674C52"/>
    <w:rsid w:val="006769EA"/>
    <w:rsid w:val="0068133E"/>
    <w:rsid w:val="00681BE4"/>
    <w:rsid w:val="00682953"/>
    <w:rsid w:val="00683C0D"/>
    <w:rsid w:val="006845CC"/>
    <w:rsid w:val="006869B8"/>
    <w:rsid w:val="0068714C"/>
    <w:rsid w:val="00687A38"/>
    <w:rsid w:val="00692B2A"/>
    <w:rsid w:val="00693F8B"/>
    <w:rsid w:val="0069745F"/>
    <w:rsid w:val="006A1854"/>
    <w:rsid w:val="006A25CF"/>
    <w:rsid w:val="006A2D9E"/>
    <w:rsid w:val="006A50FC"/>
    <w:rsid w:val="006A5D81"/>
    <w:rsid w:val="006A6581"/>
    <w:rsid w:val="006A6C85"/>
    <w:rsid w:val="006A7C30"/>
    <w:rsid w:val="006B1268"/>
    <w:rsid w:val="006B1A3B"/>
    <w:rsid w:val="006B2084"/>
    <w:rsid w:val="006B21E0"/>
    <w:rsid w:val="006B2E8A"/>
    <w:rsid w:val="006B3618"/>
    <w:rsid w:val="006B49AD"/>
    <w:rsid w:val="006C208C"/>
    <w:rsid w:val="006C3189"/>
    <w:rsid w:val="006C344A"/>
    <w:rsid w:val="006C3C14"/>
    <w:rsid w:val="006C54E2"/>
    <w:rsid w:val="006C5EB4"/>
    <w:rsid w:val="006D00BF"/>
    <w:rsid w:val="006D1149"/>
    <w:rsid w:val="006D130F"/>
    <w:rsid w:val="006D2E4D"/>
    <w:rsid w:val="006D3405"/>
    <w:rsid w:val="006D5CC1"/>
    <w:rsid w:val="006D60C5"/>
    <w:rsid w:val="006D64DE"/>
    <w:rsid w:val="006D6938"/>
    <w:rsid w:val="006E0338"/>
    <w:rsid w:val="006E0813"/>
    <w:rsid w:val="006E19DB"/>
    <w:rsid w:val="006E1AB1"/>
    <w:rsid w:val="006E2199"/>
    <w:rsid w:val="006E354C"/>
    <w:rsid w:val="006E3E64"/>
    <w:rsid w:val="006E4769"/>
    <w:rsid w:val="006E5A30"/>
    <w:rsid w:val="006E6B65"/>
    <w:rsid w:val="006E7C58"/>
    <w:rsid w:val="006F0B7B"/>
    <w:rsid w:val="006F3467"/>
    <w:rsid w:val="006F3987"/>
    <w:rsid w:val="006F4258"/>
    <w:rsid w:val="006F47F5"/>
    <w:rsid w:val="007002FE"/>
    <w:rsid w:val="00700611"/>
    <w:rsid w:val="00700815"/>
    <w:rsid w:val="007010A9"/>
    <w:rsid w:val="00703A71"/>
    <w:rsid w:val="00703B09"/>
    <w:rsid w:val="007040BB"/>
    <w:rsid w:val="00704259"/>
    <w:rsid w:val="007057B6"/>
    <w:rsid w:val="00706E11"/>
    <w:rsid w:val="00707241"/>
    <w:rsid w:val="00707913"/>
    <w:rsid w:val="00711382"/>
    <w:rsid w:val="00711747"/>
    <w:rsid w:val="00713E1C"/>
    <w:rsid w:val="00714D48"/>
    <w:rsid w:val="00715230"/>
    <w:rsid w:val="00716142"/>
    <w:rsid w:val="00716AF9"/>
    <w:rsid w:val="00716D26"/>
    <w:rsid w:val="00717E79"/>
    <w:rsid w:val="00717FAB"/>
    <w:rsid w:val="007205AE"/>
    <w:rsid w:val="00720764"/>
    <w:rsid w:val="007208F2"/>
    <w:rsid w:val="007277FE"/>
    <w:rsid w:val="0073031C"/>
    <w:rsid w:val="00730A6F"/>
    <w:rsid w:val="00732CA7"/>
    <w:rsid w:val="00736165"/>
    <w:rsid w:val="00737310"/>
    <w:rsid w:val="0073753A"/>
    <w:rsid w:val="0073781B"/>
    <w:rsid w:val="00737827"/>
    <w:rsid w:val="00740A2A"/>
    <w:rsid w:val="00740E30"/>
    <w:rsid w:val="00741644"/>
    <w:rsid w:val="00742C4C"/>
    <w:rsid w:val="0074348F"/>
    <w:rsid w:val="00743CCE"/>
    <w:rsid w:val="00744484"/>
    <w:rsid w:val="00744E87"/>
    <w:rsid w:val="0074622B"/>
    <w:rsid w:val="007477FF"/>
    <w:rsid w:val="007503B7"/>
    <w:rsid w:val="007507F8"/>
    <w:rsid w:val="00752A0C"/>
    <w:rsid w:val="00753901"/>
    <w:rsid w:val="007545AB"/>
    <w:rsid w:val="00754D4B"/>
    <w:rsid w:val="00754EF2"/>
    <w:rsid w:val="00755EF1"/>
    <w:rsid w:val="007574CF"/>
    <w:rsid w:val="007579E1"/>
    <w:rsid w:val="00757C2D"/>
    <w:rsid w:val="00757F17"/>
    <w:rsid w:val="0076310B"/>
    <w:rsid w:val="00763548"/>
    <w:rsid w:val="007667B4"/>
    <w:rsid w:val="007671A0"/>
    <w:rsid w:val="00770964"/>
    <w:rsid w:val="00770CD0"/>
    <w:rsid w:val="007717FF"/>
    <w:rsid w:val="0077205B"/>
    <w:rsid w:val="00772794"/>
    <w:rsid w:val="007744A9"/>
    <w:rsid w:val="00774CA2"/>
    <w:rsid w:val="00774CC3"/>
    <w:rsid w:val="0077664A"/>
    <w:rsid w:val="00776846"/>
    <w:rsid w:val="00777FDD"/>
    <w:rsid w:val="0078167F"/>
    <w:rsid w:val="00781846"/>
    <w:rsid w:val="00782F20"/>
    <w:rsid w:val="00783B3C"/>
    <w:rsid w:val="00784331"/>
    <w:rsid w:val="007848E3"/>
    <w:rsid w:val="007853E9"/>
    <w:rsid w:val="0078640B"/>
    <w:rsid w:val="00787391"/>
    <w:rsid w:val="00787BC9"/>
    <w:rsid w:val="00791623"/>
    <w:rsid w:val="00793EA4"/>
    <w:rsid w:val="00794174"/>
    <w:rsid w:val="00796BFA"/>
    <w:rsid w:val="0079700F"/>
    <w:rsid w:val="0079753C"/>
    <w:rsid w:val="00797885"/>
    <w:rsid w:val="007A1B38"/>
    <w:rsid w:val="007A1FFC"/>
    <w:rsid w:val="007A3F70"/>
    <w:rsid w:val="007A535C"/>
    <w:rsid w:val="007A7146"/>
    <w:rsid w:val="007A7268"/>
    <w:rsid w:val="007A74C0"/>
    <w:rsid w:val="007B05D9"/>
    <w:rsid w:val="007B0E94"/>
    <w:rsid w:val="007B29B5"/>
    <w:rsid w:val="007B3583"/>
    <w:rsid w:val="007B4D3C"/>
    <w:rsid w:val="007B4E4E"/>
    <w:rsid w:val="007B5062"/>
    <w:rsid w:val="007B6967"/>
    <w:rsid w:val="007C00D3"/>
    <w:rsid w:val="007C0355"/>
    <w:rsid w:val="007C044E"/>
    <w:rsid w:val="007C6890"/>
    <w:rsid w:val="007D01CB"/>
    <w:rsid w:val="007D06AB"/>
    <w:rsid w:val="007D2AF6"/>
    <w:rsid w:val="007D31CF"/>
    <w:rsid w:val="007D341D"/>
    <w:rsid w:val="007D796A"/>
    <w:rsid w:val="007E08DC"/>
    <w:rsid w:val="007E22A1"/>
    <w:rsid w:val="007E2C38"/>
    <w:rsid w:val="007E5016"/>
    <w:rsid w:val="007E5431"/>
    <w:rsid w:val="007E5845"/>
    <w:rsid w:val="007E6968"/>
    <w:rsid w:val="007E6FEB"/>
    <w:rsid w:val="007F0112"/>
    <w:rsid w:val="007F078A"/>
    <w:rsid w:val="007F318C"/>
    <w:rsid w:val="007F32F4"/>
    <w:rsid w:val="007F4450"/>
    <w:rsid w:val="007F4A80"/>
    <w:rsid w:val="007F65C7"/>
    <w:rsid w:val="007F668C"/>
    <w:rsid w:val="00801267"/>
    <w:rsid w:val="008012DB"/>
    <w:rsid w:val="0080210C"/>
    <w:rsid w:val="00802617"/>
    <w:rsid w:val="00802942"/>
    <w:rsid w:val="0080332B"/>
    <w:rsid w:val="00805D96"/>
    <w:rsid w:val="00806BC3"/>
    <w:rsid w:val="0081157A"/>
    <w:rsid w:val="00813A73"/>
    <w:rsid w:val="00814CEF"/>
    <w:rsid w:val="00816D3E"/>
    <w:rsid w:val="00822656"/>
    <w:rsid w:val="0082388D"/>
    <w:rsid w:val="008242AC"/>
    <w:rsid w:val="00825971"/>
    <w:rsid w:val="00826500"/>
    <w:rsid w:val="00827F98"/>
    <w:rsid w:val="0083054A"/>
    <w:rsid w:val="0083172C"/>
    <w:rsid w:val="00832015"/>
    <w:rsid w:val="008349CF"/>
    <w:rsid w:val="00835235"/>
    <w:rsid w:val="00840582"/>
    <w:rsid w:val="00840BDB"/>
    <w:rsid w:val="00840C01"/>
    <w:rsid w:val="00842DBF"/>
    <w:rsid w:val="008432FB"/>
    <w:rsid w:val="008443CA"/>
    <w:rsid w:val="00844510"/>
    <w:rsid w:val="008460F7"/>
    <w:rsid w:val="00847022"/>
    <w:rsid w:val="008537D7"/>
    <w:rsid w:val="00857E7F"/>
    <w:rsid w:val="00863146"/>
    <w:rsid w:val="00863218"/>
    <w:rsid w:val="00863567"/>
    <w:rsid w:val="00865EEA"/>
    <w:rsid w:val="008675C8"/>
    <w:rsid w:val="00871727"/>
    <w:rsid w:val="008757B5"/>
    <w:rsid w:val="00875E07"/>
    <w:rsid w:val="008764B6"/>
    <w:rsid w:val="00876C53"/>
    <w:rsid w:val="00877159"/>
    <w:rsid w:val="008775AD"/>
    <w:rsid w:val="00877F56"/>
    <w:rsid w:val="0088037F"/>
    <w:rsid w:val="00881F24"/>
    <w:rsid w:val="00883480"/>
    <w:rsid w:val="00883CD4"/>
    <w:rsid w:val="0088450C"/>
    <w:rsid w:val="00885867"/>
    <w:rsid w:val="00885A6E"/>
    <w:rsid w:val="008877B0"/>
    <w:rsid w:val="00890187"/>
    <w:rsid w:val="008916F9"/>
    <w:rsid w:val="008924CA"/>
    <w:rsid w:val="00892CC1"/>
    <w:rsid w:val="00893D8C"/>
    <w:rsid w:val="00896D88"/>
    <w:rsid w:val="00896EC5"/>
    <w:rsid w:val="008A0691"/>
    <w:rsid w:val="008A1916"/>
    <w:rsid w:val="008A1FC0"/>
    <w:rsid w:val="008A2254"/>
    <w:rsid w:val="008A271A"/>
    <w:rsid w:val="008A2D8A"/>
    <w:rsid w:val="008A7CD3"/>
    <w:rsid w:val="008B06F0"/>
    <w:rsid w:val="008B1612"/>
    <w:rsid w:val="008B3A2D"/>
    <w:rsid w:val="008B4325"/>
    <w:rsid w:val="008B5173"/>
    <w:rsid w:val="008B589D"/>
    <w:rsid w:val="008B61F5"/>
    <w:rsid w:val="008B6C8A"/>
    <w:rsid w:val="008B73CD"/>
    <w:rsid w:val="008C286C"/>
    <w:rsid w:val="008C2C0B"/>
    <w:rsid w:val="008C3F41"/>
    <w:rsid w:val="008C4E37"/>
    <w:rsid w:val="008C5E94"/>
    <w:rsid w:val="008C7BA9"/>
    <w:rsid w:val="008D069B"/>
    <w:rsid w:val="008D10E4"/>
    <w:rsid w:val="008D3C40"/>
    <w:rsid w:val="008D42C4"/>
    <w:rsid w:val="008D4ADE"/>
    <w:rsid w:val="008D7455"/>
    <w:rsid w:val="008E00B4"/>
    <w:rsid w:val="008E24DB"/>
    <w:rsid w:val="008E327F"/>
    <w:rsid w:val="008E5760"/>
    <w:rsid w:val="008E71C9"/>
    <w:rsid w:val="008F0957"/>
    <w:rsid w:val="008F0AF4"/>
    <w:rsid w:val="008F144E"/>
    <w:rsid w:val="008F22AD"/>
    <w:rsid w:val="008F2DF9"/>
    <w:rsid w:val="008F3C89"/>
    <w:rsid w:val="008F571A"/>
    <w:rsid w:val="008F6848"/>
    <w:rsid w:val="008F6F54"/>
    <w:rsid w:val="009016AC"/>
    <w:rsid w:val="009016DF"/>
    <w:rsid w:val="00902225"/>
    <w:rsid w:val="009047E9"/>
    <w:rsid w:val="009052B1"/>
    <w:rsid w:val="00905429"/>
    <w:rsid w:val="009078A6"/>
    <w:rsid w:val="009104DC"/>
    <w:rsid w:val="00910C1C"/>
    <w:rsid w:val="00910C39"/>
    <w:rsid w:val="00910D0B"/>
    <w:rsid w:val="00912814"/>
    <w:rsid w:val="00913739"/>
    <w:rsid w:val="0091383E"/>
    <w:rsid w:val="0091482F"/>
    <w:rsid w:val="00915A72"/>
    <w:rsid w:val="0091618D"/>
    <w:rsid w:val="00916433"/>
    <w:rsid w:val="00917A7C"/>
    <w:rsid w:val="00920DD8"/>
    <w:rsid w:val="00925CBE"/>
    <w:rsid w:val="0092638C"/>
    <w:rsid w:val="00930E7E"/>
    <w:rsid w:val="00932D75"/>
    <w:rsid w:val="009332FA"/>
    <w:rsid w:val="00934398"/>
    <w:rsid w:val="00934A0E"/>
    <w:rsid w:val="0093519B"/>
    <w:rsid w:val="009358D7"/>
    <w:rsid w:val="0093594F"/>
    <w:rsid w:val="009432D3"/>
    <w:rsid w:val="00945C87"/>
    <w:rsid w:val="00946EEC"/>
    <w:rsid w:val="00947420"/>
    <w:rsid w:val="00947FF4"/>
    <w:rsid w:val="00950772"/>
    <w:rsid w:val="009510C1"/>
    <w:rsid w:val="009555BF"/>
    <w:rsid w:val="00955D6E"/>
    <w:rsid w:val="00956718"/>
    <w:rsid w:val="00956E20"/>
    <w:rsid w:val="009608E9"/>
    <w:rsid w:val="0096358A"/>
    <w:rsid w:val="00963946"/>
    <w:rsid w:val="00964CD8"/>
    <w:rsid w:val="00965DD4"/>
    <w:rsid w:val="0096615B"/>
    <w:rsid w:val="009673F4"/>
    <w:rsid w:val="009676BD"/>
    <w:rsid w:val="009704E5"/>
    <w:rsid w:val="00972CE5"/>
    <w:rsid w:val="00975885"/>
    <w:rsid w:val="009769B0"/>
    <w:rsid w:val="00977D36"/>
    <w:rsid w:val="00977F31"/>
    <w:rsid w:val="009803BC"/>
    <w:rsid w:val="009815B0"/>
    <w:rsid w:val="00981B8A"/>
    <w:rsid w:val="00981E7F"/>
    <w:rsid w:val="00982AAA"/>
    <w:rsid w:val="009833B3"/>
    <w:rsid w:val="00986786"/>
    <w:rsid w:val="00987881"/>
    <w:rsid w:val="00987B13"/>
    <w:rsid w:val="00987C2D"/>
    <w:rsid w:val="00990D64"/>
    <w:rsid w:val="00991688"/>
    <w:rsid w:val="00991856"/>
    <w:rsid w:val="00991D7A"/>
    <w:rsid w:val="0099280E"/>
    <w:rsid w:val="00992C51"/>
    <w:rsid w:val="00992D98"/>
    <w:rsid w:val="009930DB"/>
    <w:rsid w:val="0099388E"/>
    <w:rsid w:val="00993F47"/>
    <w:rsid w:val="0099414A"/>
    <w:rsid w:val="00996931"/>
    <w:rsid w:val="009972FE"/>
    <w:rsid w:val="009A0039"/>
    <w:rsid w:val="009A07E8"/>
    <w:rsid w:val="009A4B31"/>
    <w:rsid w:val="009B03C4"/>
    <w:rsid w:val="009B184B"/>
    <w:rsid w:val="009B1FBC"/>
    <w:rsid w:val="009B4BD9"/>
    <w:rsid w:val="009B5249"/>
    <w:rsid w:val="009B6807"/>
    <w:rsid w:val="009B7037"/>
    <w:rsid w:val="009C10B2"/>
    <w:rsid w:val="009C23CD"/>
    <w:rsid w:val="009C360C"/>
    <w:rsid w:val="009C6E53"/>
    <w:rsid w:val="009C6F7C"/>
    <w:rsid w:val="009C7231"/>
    <w:rsid w:val="009D0EC3"/>
    <w:rsid w:val="009D1934"/>
    <w:rsid w:val="009D2715"/>
    <w:rsid w:val="009D357C"/>
    <w:rsid w:val="009D481A"/>
    <w:rsid w:val="009D5D20"/>
    <w:rsid w:val="009D78CE"/>
    <w:rsid w:val="009E066D"/>
    <w:rsid w:val="009E1C70"/>
    <w:rsid w:val="009E32B4"/>
    <w:rsid w:val="009E34AE"/>
    <w:rsid w:val="009E3872"/>
    <w:rsid w:val="009E61A1"/>
    <w:rsid w:val="009E70E3"/>
    <w:rsid w:val="009E739C"/>
    <w:rsid w:val="009F0853"/>
    <w:rsid w:val="009F29F7"/>
    <w:rsid w:val="009F324A"/>
    <w:rsid w:val="009F65EE"/>
    <w:rsid w:val="00A00254"/>
    <w:rsid w:val="00A00A6D"/>
    <w:rsid w:val="00A0274E"/>
    <w:rsid w:val="00A039F4"/>
    <w:rsid w:val="00A053A4"/>
    <w:rsid w:val="00A05E37"/>
    <w:rsid w:val="00A05FFF"/>
    <w:rsid w:val="00A06248"/>
    <w:rsid w:val="00A12FA2"/>
    <w:rsid w:val="00A13ABD"/>
    <w:rsid w:val="00A14AB4"/>
    <w:rsid w:val="00A15523"/>
    <w:rsid w:val="00A16652"/>
    <w:rsid w:val="00A1722F"/>
    <w:rsid w:val="00A2133B"/>
    <w:rsid w:val="00A2242B"/>
    <w:rsid w:val="00A23F32"/>
    <w:rsid w:val="00A25C70"/>
    <w:rsid w:val="00A25C94"/>
    <w:rsid w:val="00A26070"/>
    <w:rsid w:val="00A26F00"/>
    <w:rsid w:val="00A2713E"/>
    <w:rsid w:val="00A308E3"/>
    <w:rsid w:val="00A31B39"/>
    <w:rsid w:val="00A32007"/>
    <w:rsid w:val="00A33EE3"/>
    <w:rsid w:val="00A34944"/>
    <w:rsid w:val="00A3613C"/>
    <w:rsid w:val="00A361B9"/>
    <w:rsid w:val="00A40F20"/>
    <w:rsid w:val="00A42AAB"/>
    <w:rsid w:val="00A4424F"/>
    <w:rsid w:val="00A44B24"/>
    <w:rsid w:val="00A4677C"/>
    <w:rsid w:val="00A51544"/>
    <w:rsid w:val="00A5295B"/>
    <w:rsid w:val="00A52A9B"/>
    <w:rsid w:val="00A530E5"/>
    <w:rsid w:val="00A540A6"/>
    <w:rsid w:val="00A550A8"/>
    <w:rsid w:val="00A57001"/>
    <w:rsid w:val="00A602B7"/>
    <w:rsid w:val="00A61730"/>
    <w:rsid w:val="00A6331E"/>
    <w:rsid w:val="00A648D7"/>
    <w:rsid w:val="00A652B3"/>
    <w:rsid w:val="00A704FE"/>
    <w:rsid w:val="00A70562"/>
    <w:rsid w:val="00A70C0B"/>
    <w:rsid w:val="00A71663"/>
    <w:rsid w:val="00A71EE3"/>
    <w:rsid w:val="00A72DE6"/>
    <w:rsid w:val="00A7322A"/>
    <w:rsid w:val="00A74C53"/>
    <w:rsid w:val="00A75B45"/>
    <w:rsid w:val="00A77B16"/>
    <w:rsid w:val="00A80DB9"/>
    <w:rsid w:val="00A816AF"/>
    <w:rsid w:val="00A81928"/>
    <w:rsid w:val="00A81A53"/>
    <w:rsid w:val="00A81E3E"/>
    <w:rsid w:val="00A825A4"/>
    <w:rsid w:val="00A82975"/>
    <w:rsid w:val="00A82B10"/>
    <w:rsid w:val="00A84C57"/>
    <w:rsid w:val="00A85F96"/>
    <w:rsid w:val="00A87652"/>
    <w:rsid w:val="00A90303"/>
    <w:rsid w:val="00A90B51"/>
    <w:rsid w:val="00A90F18"/>
    <w:rsid w:val="00A92296"/>
    <w:rsid w:val="00A95851"/>
    <w:rsid w:val="00A95BA5"/>
    <w:rsid w:val="00A95F7B"/>
    <w:rsid w:val="00A96615"/>
    <w:rsid w:val="00A975F3"/>
    <w:rsid w:val="00A97AF7"/>
    <w:rsid w:val="00A97E0E"/>
    <w:rsid w:val="00AA1E17"/>
    <w:rsid w:val="00AA1F34"/>
    <w:rsid w:val="00AA2516"/>
    <w:rsid w:val="00AA5087"/>
    <w:rsid w:val="00AA5C20"/>
    <w:rsid w:val="00AA6CA5"/>
    <w:rsid w:val="00AA6EA3"/>
    <w:rsid w:val="00AA742E"/>
    <w:rsid w:val="00AB0150"/>
    <w:rsid w:val="00AB018F"/>
    <w:rsid w:val="00AB09F3"/>
    <w:rsid w:val="00AB1B0A"/>
    <w:rsid w:val="00AB21FA"/>
    <w:rsid w:val="00AB46E3"/>
    <w:rsid w:val="00AB5614"/>
    <w:rsid w:val="00AB5DB5"/>
    <w:rsid w:val="00AB5F19"/>
    <w:rsid w:val="00AC13D0"/>
    <w:rsid w:val="00AC18B6"/>
    <w:rsid w:val="00AC448D"/>
    <w:rsid w:val="00AC5571"/>
    <w:rsid w:val="00AC56E1"/>
    <w:rsid w:val="00AC5D5C"/>
    <w:rsid w:val="00AC6727"/>
    <w:rsid w:val="00AC684D"/>
    <w:rsid w:val="00AD31C0"/>
    <w:rsid w:val="00AD3A0D"/>
    <w:rsid w:val="00AD4689"/>
    <w:rsid w:val="00AD52BF"/>
    <w:rsid w:val="00AD5485"/>
    <w:rsid w:val="00AD5C8E"/>
    <w:rsid w:val="00AE10A1"/>
    <w:rsid w:val="00AE276B"/>
    <w:rsid w:val="00AE4474"/>
    <w:rsid w:val="00AE54E7"/>
    <w:rsid w:val="00AE737B"/>
    <w:rsid w:val="00AE789E"/>
    <w:rsid w:val="00AF073F"/>
    <w:rsid w:val="00AF16BC"/>
    <w:rsid w:val="00AF2FC7"/>
    <w:rsid w:val="00AF3647"/>
    <w:rsid w:val="00AF55E3"/>
    <w:rsid w:val="00AF5C73"/>
    <w:rsid w:val="00AF6804"/>
    <w:rsid w:val="00AF6A04"/>
    <w:rsid w:val="00AF786D"/>
    <w:rsid w:val="00B01A17"/>
    <w:rsid w:val="00B01A6C"/>
    <w:rsid w:val="00B030BF"/>
    <w:rsid w:val="00B04CDE"/>
    <w:rsid w:val="00B04E93"/>
    <w:rsid w:val="00B056B2"/>
    <w:rsid w:val="00B06053"/>
    <w:rsid w:val="00B10DA0"/>
    <w:rsid w:val="00B119B2"/>
    <w:rsid w:val="00B123C9"/>
    <w:rsid w:val="00B130D3"/>
    <w:rsid w:val="00B14A05"/>
    <w:rsid w:val="00B177C4"/>
    <w:rsid w:val="00B17FEB"/>
    <w:rsid w:val="00B21B70"/>
    <w:rsid w:val="00B22141"/>
    <w:rsid w:val="00B22828"/>
    <w:rsid w:val="00B22A99"/>
    <w:rsid w:val="00B22B95"/>
    <w:rsid w:val="00B22FAF"/>
    <w:rsid w:val="00B239B1"/>
    <w:rsid w:val="00B24AB4"/>
    <w:rsid w:val="00B2505E"/>
    <w:rsid w:val="00B26212"/>
    <w:rsid w:val="00B26B89"/>
    <w:rsid w:val="00B33AB9"/>
    <w:rsid w:val="00B33D32"/>
    <w:rsid w:val="00B34CD8"/>
    <w:rsid w:val="00B34F5C"/>
    <w:rsid w:val="00B35049"/>
    <w:rsid w:val="00B3596A"/>
    <w:rsid w:val="00B35E05"/>
    <w:rsid w:val="00B36852"/>
    <w:rsid w:val="00B3710D"/>
    <w:rsid w:val="00B37C89"/>
    <w:rsid w:val="00B37E72"/>
    <w:rsid w:val="00B41DBF"/>
    <w:rsid w:val="00B445FA"/>
    <w:rsid w:val="00B449D9"/>
    <w:rsid w:val="00B44E04"/>
    <w:rsid w:val="00B4550D"/>
    <w:rsid w:val="00B45892"/>
    <w:rsid w:val="00B45BB4"/>
    <w:rsid w:val="00B475EF"/>
    <w:rsid w:val="00B56279"/>
    <w:rsid w:val="00B565F3"/>
    <w:rsid w:val="00B605F5"/>
    <w:rsid w:val="00B60A72"/>
    <w:rsid w:val="00B61130"/>
    <w:rsid w:val="00B61E6B"/>
    <w:rsid w:val="00B62609"/>
    <w:rsid w:val="00B637E3"/>
    <w:rsid w:val="00B64ED7"/>
    <w:rsid w:val="00B662C7"/>
    <w:rsid w:val="00B71399"/>
    <w:rsid w:val="00B7192C"/>
    <w:rsid w:val="00B724CD"/>
    <w:rsid w:val="00B7660A"/>
    <w:rsid w:val="00B77690"/>
    <w:rsid w:val="00B80170"/>
    <w:rsid w:val="00B8114C"/>
    <w:rsid w:val="00B832CA"/>
    <w:rsid w:val="00B83B6E"/>
    <w:rsid w:val="00B83EE1"/>
    <w:rsid w:val="00B86792"/>
    <w:rsid w:val="00B91144"/>
    <w:rsid w:val="00B91B61"/>
    <w:rsid w:val="00B958A5"/>
    <w:rsid w:val="00B963DA"/>
    <w:rsid w:val="00B96405"/>
    <w:rsid w:val="00BA1C47"/>
    <w:rsid w:val="00BA1C6C"/>
    <w:rsid w:val="00BA22F7"/>
    <w:rsid w:val="00BA34B4"/>
    <w:rsid w:val="00BA39C9"/>
    <w:rsid w:val="00BA403C"/>
    <w:rsid w:val="00BA504F"/>
    <w:rsid w:val="00BA55FA"/>
    <w:rsid w:val="00BB08E0"/>
    <w:rsid w:val="00BB3F69"/>
    <w:rsid w:val="00BB4679"/>
    <w:rsid w:val="00BC2F47"/>
    <w:rsid w:val="00BC323A"/>
    <w:rsid w:val="00BC46C0"/>
    <w:rsid w:val="00BC4DCE"/>
    <w:rsid w:val="00BC58B9"/>
    <w:rsid w:val="00BC7E1E"/>
    <w:rsid w:val="00BD0CEB"/>
    <w:rsid w:val="00BD10B1"/>
    <w:rsid w:val="00BD19F7"/>
    <w:rsid w:val="00BD24AB"/>
    <w:rsid w:val="00BD27B1"/>
    <w:rsid w:val="00BD2F5A"/>
    <w:rsid w:val="00BD3CF0"/>
    <w:rsid w:val="00BD3DFC"/>
    <w:rsid w:val="00BD48A4"/>
    <w:rsid w:val="00BD5AD6"/>
    <w:rsid w:val="00BD656D"/>
    <w:rsid w:val="00BD7261"/>
    <w:rsid w:val="00BD750A"/>
    <w:rsid w:val="00BD793A"/>
    <w:rsid w:val="00BD7DDF"/>
    <w:rsid w:val="00BE06F3"/>
    <w:rsid w:val="00BE4411"/>
    <w:rsid w:val="00BE4870"/>
    <w:rsid w:val="00BE595D"/>
    <w:rsid w:val="00BE5AE7"/>
    <w:rsid w:val="00BE5CC3"/>
    <w:rsid w:val="00BE62E8"/>
    <w:rsid w:val="00BF05E4"/>
    <w:rsid w:val="00BF06DF"/>
    <w:rsid w:val="00BF1051"/>
    <w:rsid w:val="00BF1823"/>
    <w:rsid w:val="00BF2787"/>
    <w:rsid w:val="00BF2A5A"/>
    <w:rsid w:val="00BF3726"/>
    <w:rsid w:val="00BF3B76"/>
    <w:rsid w:val="00BF3BCD"/>
    <w:rsid w:val="00BF63FF"/>
    <w:rsid w:val="00BF6B3C"/>
    <w:rsid w:val="00BF6C6A"/>
    <w:rsid w:val="00BF7C01"/>
    <w:rsid w:val="00C0024B"/>
    <w:rsid w:val="00C01D66"/>
    <w:rsid w:val="00C02471"/>
    <w:rsid w:val="00C029B8"/>
    <w:rsid w:val="00C03412"/>
    <w:rsid w:val="00C0389B"/>
    <w:rsid w:val="00C03D3F"/>
    <w:rsid w:val="00C04C5A"/>
    <w:rsid w:val="00C060F4"/>
    <w:rsid w:val="00C103C0"/>
    <w:rsid w:val="00C1063F"/>
    <w:rsid w:val="00C140CA"/>
    <w:rsid w:val="00C20F43"/>
    <w:rsid w:val="00C2136A"/>
    <w:rsid w:val="00C21FB0"/>
    <w:rsid w:val="00C2268D"/>
    <w:rsid w:val="00C2317C"/>
    <w:rsid w:val="00C276C0"/>
    <w:rsid w:val="00C27AE1"/>
    <w:rsid w:val="00C30D4E"/>
    <w:rsid w:val="00C313C3"/>
    <w:rsid w:val="00C32814"/>
    <w:rsid w:val="00C32C0F"/>
    <w:rsid w:val="00C33F49"/>
    <w:rsid w:val="00C37524"/>
    <w:rsid w:val="00C37814"/>
    <w:rsid w:val="00C4250C"/>
    <w:rsid w:val="00C51F4D"/>
    <w:rsid w:val="00C54111"/>
    <w:rsid w:val="00C548A3"/>
    <w:rsid w:val="00C56E19"/>
    <w:rsid w:val="00C574A5"/>
    <w:rsid w:val="00C613F0"/>
    <w:rsid w:val="00C617F2"/>
    <w:rsid w:val="00C6285E"/>
    <w:rsid w:val="00C640D1"/>
    <w:rsid w:val="00C64BCA"/>
    <w:rsid w:val="00C650E0"/>
    <w:rsid w:val="00C651DA"/>
    <w:rsid w:val="00C66B8C"/>
    <w:rsid w:val="00C679E8"/>
    <w:rsid w:val="00C7015C"/>
    <w:rsid w:val="00C70A1F"/>
    <w:rsid w:val="00C7250A"/>
    <w:rsid w:val="00C72796"/>
    <w:rsid w:val="00C72A75"/>
    <w:rsid w:val="00C73047"/>
    <w:rsid w:val="00C73244"/>
    <w:rsid w:val="00C738CB"/>
    <w:rsid w:val="00C76DC6"/>
    <w:rsid w:val="00C7756E"/>
    <w:rsid w:val="00C81ABC"/>
    <w:rsid w:val="00C81BB0"/>
    <w:rsid w:val="00C829EB"/>
    <w:rsid w:val="00C82B18"/>
    <w:rsid w:val="00C84C87"/>
    <w:rsid w:val="00C84FE7"/>
    <w:rsid w:val="00C90AE6"/>
    <w:rsid w:val="00C9149E"/>
    <w:rsid w:val="00C93461"/>
    <w:rsid w:val="00C93841"/>
    <w:rsid w:val="00C93FB4"/>
    <w:rsid w:val="00C94A4E"/>
    <w:rsid w:val="00C961AC"/>
    <w:rsid w:val="00C968F4"/>
    <w:rsid w:val="00CA1C02"/>
    <w:rsid w:val="00CA2CB0"/>
    <w:rsid w:val="00CA3D11"/>
    <w:rsid w:val="00CA40CF"/>
    <w:rsid w:val="00CA4B65"/>
    <w:rsid w:val="00CA5383"/>
    <w:rsid w:val="00CA6B6D"/>
    <w:rsid w:val="00CB0362"/>
    <w:rsid w:val="00CB0BA8"/>
    <w:rsid w:val="00CB1E12"/>
    <w:rsid w:val="00CB277F"/>
    <w:rsid w:val="00CB3F4D"/>
    <w:rsid w:val="00CB4DB6"/>
    <w:rsid w:val="00CB4F60"/>
    <w:rsid w:val="00CB538D"/>
    <w:rsid w:val="00CB68F5"/>
    <w:rsid w:val="00CB6D4D"/>
    <w:rsid w:val="00CB6EC9"/>
    <w:rsid w:val="00CC2AAD"/>
    <w:rsid w:val="00CC2E6C"/>
    <w:rsid w:val="00CC3C86"/>
    <w:rsid w:val="00CC59AF"/>
    <w:rsid w:val="00CD0BB3"/>
    <w:rsid w:val="00CD0E75"/>
    <w:rsid w:val="00CD2252"/>
    <w:rsid w:val="00CD23F5"/>
    <w:rsid w:val="00CD2980"/>
    <w:rsid w:val="00CD2C77"/>
    <w:rsid w:val="00CD3BB2"/>
    <w:rsid w:val="00CD3E6C"/>
    <w:rsid w:val="00CD3FB4"/>
    <w:rsid w:val="00CD4028"/>
    <w:rsid w:val="00CD4703"/>
    <w:rsid w:val="00CD4BE7"/>
    <w:rsid w:val="00CE307B"/>
    <w:rsid w:val="00CE3606"/>
    <w:rsid w:val="00CE5044"/>
    <w:rsid w:val="00CE530D"/>
    <w:rsid w:val="00CE75EC"/>
    <w:rsid w:val="00CF13A5"/>
    <w:rsid w:val="00CF3253"/>
    <w:rsid w:val="00CF381C"/>
    <w:rsid w:val="00CF529D"/>
    <w:rsid w:val="00D021B2"/>
    <w:rsid w:val="00D029A1"/>
    <w:rsid w:val="00D02DD0"/>
    <w:rsid w:val="00D03753"/>
    <w:rsid w:val="00D057FC"/>
    <w:rsid w:val="00D05A5D"/>
    <w:rsid w:val="00D063E7"/>
    <w:rsid w:val="00D06BA2"/>
    <w:rsid w:val="00D077A7"/>
    <w:rsid w:val="00D103A1"/>
    <w:rsid w:val="00D107EF"/>
    <w:rsid w:val="00D10E39"/>
    <w:rsid w:val="00D10EF6"/>
    <w:rsid w:val="00D121B3"/>
    <w:rsid w:val="00D12501"/>
    <w:rsid w:val="00D1431D"/>
    <w:rsid w:val="00D169BF"/>
    <w:rsid w:val="00D16C54"/>
    <w:rsid w:val="00D21DB7"/>
    <w:rsid w:val="00D25B20"/>
    <w:rsid w:val="00D25F3E"/>
    <w:rsid w:val="00D26386"/>
    <w:rsid w:val="00D27B2C"/>
    <w:rsid w:val="00D31783"/>
    <w:rsid w:val="00D3268E"/>
    <w:rsid w:val="00D32B59"/>
    <w:rsid w:val="00D33127"/>
    <w:rsid w:val="00D3331A"/>
    <w:rsid w:val="00D336D2"/>
    <w:rsid w:val="00D34FE7"/>
    <w:rsid w:val="00D372AF"/>
    <w:rsid w:val="00D429BD"/>
    <w:rsid w:val="00D437AB"/>
    <w:rsid w:val="00D503FA"/>
    <w:rsid w:val="00D50525"/>
    <w:rsid w:val="00D51C94"/>
    <w:rsid w:val="00D54A5E"/>
    <w:rsid w:val="00D564A7"/>
    <w:rsid w:val="00D615E1"/>
    <w:rsid w:val="00D61F44"/>
    <w:rsid w:val="00D62118"/>
    <w:rsid w:val="00D62494"/>
    <w:rsid w:val="00D637B3"/>
    <w:rsid w:val="00D6414E"/>
    <w:rsid w:val="00D748DD"/>
    <w:rsid w:val="00D77712"/>
    <w:rsid w:val="00D80DC0"/>
    <w:rsid w:val="00D9011F"/>
    <w:rsid w:val="00D93101"/>
    <w:rsid w:val="00D93A0B"/>
    <w:rsid w:val="00D952DD"/>
    <w:rsid w:val="00D9641C"/>
    <w:rsid w:val="00D968C7"/>
    <w:rsid w:val="00DA0684"/>
    <w:rsid w:val="00DA17B6"/>
    <w:rsid w:val="00DA2E3C"/>
    <w:rsid w:val="00DA3A64"/>
    <w:rsid w:val="00DA3BB1"/>
    <w:rsid w:val="00DA5AB4"/>
    <w:rsid w:val="00DA5E82"/>
    <w:rsid w:val="00DB0527"/>
    <w:rsid w:val="00DB0769"/>
    <w:rsid w:val="00DB0DDB"/>
    <w:rsid w:val="00DB1C69"/>
    <w:rsid w:val="00DB2FF2"/>
    <w:rsid w:val="00DB77D7"/>
    <w:rsid w:val="00DB7F78"/>
    <w:rsid w:val="00DC09F4"/>
    <w:rsid w:val="00DC1C61"/>
    <w:rsid w:val="00DC2035"/>
    <w:rsid w:val="00DC24FA"/>
    <w:rsid w:val="00DC2582"/>
    <w:rsid w:val="00DC2BDB"/>
    <w:rsid w:val="00DC460B"/>
    <w:rsid w:val="00DC5FC1"/>
    <w:rsid w:val="00DC6C8A"/>
    <w:rsid w:val="00DC7F9E"/>
    <w:rsid w:val="00DD328F"/>
    <w:rsid w:val="00DD48C9"/>
    <w:rsid w:val="00DD48D6"/>
    <w:rsid w:val="00DD4D74"/>
    <w:rsid w:val="00DD53FC"/>
    <w:rsid w:val="00DE02F7"/>
    <w:rsid w:val="00DE1539"/>
    <w:rsid w:val="00DE2FB2"/>
    <w:rsid w:val="00DE341D"/>
    <w:rsid w:val="00DE34AA"/>
    <w:rsid w:val="00DE36EF"/>
    <w:rsid w:val="00DE4808"/>
    <w:rsid w:val="00DE62DE"/>
    <w:rsid w:val="00DE77BF"/>
    <w:rsid w:val="00DF1EA0"/>
    <w:rsid w:val="00DF2CCC"/>
    <w:rsid w:val="00DF5B8C"/>
    <w:rsid w:val="00DF63F3"/>
    <w:rsid w:val="00DF7B1C"/>
    <w:rsid w:val="00E004E2"/>
    <w:rsid w:val="00E00A14"/>
    <w:rsid w:val="00E00E67"/>
    <w:rsid w:val="00E01482"/>
    <w:rsid w:val="00E027B7"/>
    <w:rsid w:val="00E034A6"/>
    <w:rsid w:val="00E102EC"/>
    <w:rsid w:val="00E12AF5"/>
    <w:rsid w:val="00E17F36"/>
    <w:rsid w:val="00E20535"/>
    <w:rsid w:val="00E20BFA"/>
    <w:rsid w:val="00E234A5"/>
    <w:rsid w:val="00E23939"/>
    <w:rsid w:val="00E23CDA"/>
    <w:rsid w:val="00E24862"/>
    <w:rsid w:val="00E30615"/>
    <w:rsid w:val="00E31F0D"/>
    <w:rsid w:val="00E33A99"/>
    <w:rsid w:val="00E33DFE"/>
    <w:rsid w:val="00E3453C"/>
    <w:rsid w:val="00E35F78"/>
    <w:rsid w:val="00E40447"/>
    <w:rsid w:val="00E41AD9"/>
    <w:rsid w:val="00E436C1"/>
    <w:rsid w:val="00E43C95"/>
    <w:rsid w:val="00E44661"/>
    <w:rsid w:val="00E47980"/>
    <w:rsid w:val="00E50F9D"/>
    <w:rsid w:val="00E51E58"/>
    <w:rsid w:val="00E55E7D"/>
    <w:rsid w:val="00E55F5B"/>
    <w:rsid w:val="00E60133"/>
    <w:rsid w:val="00E60C4C"/>
    <w:rsid w:val="00E66AFF"/>
    <w:rsid w:val="00E6713C"/>
    <w:rsid w:val="00E675C0"/>
    <w:rsid w:val="00E73BA0"/>
    <w:rsid w:val="00E74368"/>
    <w:rsid w:val="00E74676"/>
    <w:rsid w:val="00E74E3F"/>
    <w:rsid w:val="00E7665D"/>
    <w:rsid w:val="00E77350"/>
    <w:rsid w:val="00E82436"/>
    <w:rsid w:val="00E8280D"/>
    <w:rsid w:val="00E83138"/>
    <w:rsid w:val="00E83704"/>
    <w:rsid w:val="00E84EED"/>
    <w:rsid w:val="00E866EB"/>
    <w:rsid w:val="00E87BC1"/>
    <w:rsid w:val="00E9004A"/>
    <w:rsid w:val="00E92069"/>
    <w:rsid w:val="00E92337"/>
    <w:rsid w:val="00E92DFD"/>
    <w:rsid w:val="00E938A3"/>
    <w:rsid w:val="00E9396B"/>
    <w:rsid w:val="00E94BC0"/>
    <w:rsid w:val="00E95132"/>
    <w:rsid w:val="00E97B2C"/>
    <w:rsid w:val="00E97EB4"/>
    <w:rsid w:val="00EA1CE4"/>
    <w:rsid w:val="00EA2ED5"/>
    <w:rsid w:val="00EA448E"/>
    <w:rsid w:val="00EA52E9"/>
    <w:rsid w:val="00EA5392"/>
    <w:rsid w:val="00EA717F"/>
    <w:rsid w:val="00EA7276"/>
    <w:rsid w:val="00EA7856"/>
    <w:rsid w:val="00EB010F"/>
    <w:rsid w:val="00EB1B04"/>
    <w:rsid w:val="00EB3340"/>
    <w:rsid w:val="00EB47BD"/>
    <w:rsid w:val="00EB5CF5"/>
    <w:rsid w:val="00EB615C"/>
    <w:rsid w:val="00EB6183"/>
    <w:rsid w:val="00EC2201"/>
    <w:rsid w:val="00EC3624"/>
    <w:rsid w:val="00EC3EB1"/>
    <w:rsid w:val="00EC6E33"/>
    <w:rsid w:val="00EC6E9A"/>
    <w:rsid w:val="00EC727B"/>
    <w:rsid w:val="00EC756C"/>
    <w:rsid w:val="00ED18F8"/>
    <w:rsid w:val="00ED2D14"/>
    <w:rsid w:val="00ED3A68"/>
    <w:rsid w:val="00ED4C6E"/>
    <w:rsid w:val="00ED4E1B"/>
    <w:rsid w:val="00ED5E61"/>
    <w:rsid w:val="00EE15BE"/>
    <w:rsid w:val="00EE1D04"/>
    <w:rsid w:val="00EE327A"/>
    <w:rsid w:val="00EE3F4C"/>
    <w:rsid w:val="00EE4346"/>
    <w:rsid w:val="00EE4744"/>
    <w:rsid w:val="00EE4D86"/>
    <w:rsid w:val="00EE55A8"/>
    <w:rsid w:val="00EE5B9A"/>
    <w:rsid w:val="00EE6A66"/>
    <w:rsid w:val="00EF0861"/>
    <w:rsid w:val="00EF1D6D"/>
    <w:rsid w:val="00EF2F42"/>
    <w:rsid w:val="00EF5A42"/>
    <w:rsid w:val="00EF745D"/>
    <w:rsid w:val="00F00FB9"/>
    <w:rsid w:val="00F02040"/>
    <w:rsid w:val="00F02BCF"/>
    <w:rsid w:val="00F0310A"/>
    <w:rsid w:val="00F03AAE"/>
    <w:rsid w:val="00F04D4D"/>
    <w:rsid w:val="00F05051"/>
    <w:rsid w:val="00F06C5A"/>
    <w:rsid w:val="00F0723E"/>
    <w:rsid w:val="00F111CF"/>
    <w:rsid w:val="00F11A3E"/>
    <w:rsid w:val="00F11A85"/>
    <w:rsid w:val="00F138EF"/>
    <w:rsid w:val="00F13FB1"/>
    <w:rsid w:val="00F141D3"/>
    <w:rsid w:val="00F20B67"/>
    <w:rsid w:val="00F20B98"/>
    <w:rsid w:val="00F21E06"/>
    <w:rsid w:val="00F225F0"/>
    <w:rsid w:val="00F22894"/>
    <w:rsid w:val="00F2653D"/>
    <w:rsid w:val="00F307EF"/>
    <w:rsid w:val="00F30D51"/>
    <w:rsid w:val="00F31480"/>
    <w:rsid w:val="00F33C81"/>
    <w:rsid w:val="00F35682"/>
    <w:rsid w:val="00F358C8"/>
    <w:rsid w:val="00F36580"/>
    <w:rsid w:val="00F379B5"/>
    <w:rsid w:val="00F409C2"/>
    <w:rsid w:val="00F412E4"/>
    <w:rsid w:val="00F42025"/>
    <w:rsid w:val="00F42400"/>
    <w:rsid w:val="00F432B3"/>
    <w:rsid w:val="00F518B3"/>
    <w:rsid w:val="00F53EDD"/>
    <w:rsid w:val="00F54F53"/>
    <w:rsid w:val="00F6088D"/>
    <w:rsid w:val="00F612A8"/>
    <w:rsid w:val="00F65527"/>
    <w:rsid w:val="00F65723"/>
    <w:rsid w:val="00F67A75"/>
    <w:rsid w:val="00F70BD4"/>
    <w:rsid w:val="00F71D50"/>
    <w:rsid w:val="00F77065"/>
    <w:rsid w:val="00F775DA"/>
    <w:rsid w:val="00F77B34"/>
    <w:rsid w:val="00F821E3"/>
    <w:rsid w:val="00F847D7"/>
    <w:rsid w:val="00F90A5C"/>
    <w:rsid w:val="00F933BA"/>
    <w:rsid w:val="00F938DC"/>
    <w:rsid w:val="00F9412C"/>
    <w:rsid w:val="00F94C4E"/>
    <w:rsid w:val="00F9585B"/>
    <w:rsid w:val="00FA0867"/>
    <w:rsid w:val="00FA1D7E"/>
    <w:rsid w:val="00FA2CAB"/>
    <w:rsid w:val="00FA4457"/>
    <w:rsid w:val="00FA706A"/>
    <w:rsid w:val="00FA724C"/>
    <w:rsid w:val="00FA76E2"/>
    <w:rsid w:val="00FA7CAD"/>
    <w:rsid w:val="00FB04AB"/>
    <w:rsid w:val="00FB04C1"/>
    <w:rsid w:val="00FB0B0D"/>
    <w:rsid w:val="00FB2524"/>
    <w:rsid w:val="00FB491F"/>
    <w:rsid w:val="00FB6FF7"/>
    <w:rsid w:val="00FB70E6"/>
    <w:rsid w:val="00FB7C98"/>
    <w:rsid w:val="00FC1673"/>
    <w:rsid w:val="00FC2039"/>
    <w:rsid w:val="00FC422D"/>
    <w:rsid w:val="00FC68BC"/>
    <w:rsid w:val="00FC7355"/>
    <w:rsid w:val="00FC7E9E"/>
    <w:rsid w:val="00FD1093"/>
    <w:rsid w:val="00FD1118"/>
    <w:rsid w:val="00FD1EC6"/>
    <w:rsid w:val="00FD2C4E"/>
    <w:rsid w:val="00FD42DC"/>
    <w:rsid w:val="00FD689A"/>
    <w:rsid w:val="00FD7091"/>
    <w:rsid w:val="00FE1125"/>
    <w:rsid w:val="00FE252E"/>
    <w:rsid w:val="00FE4BCE"/>
    <w:rsid w:val="00FE65C3"/>
    <w:rsid w:val="00FE6EE4"/>
    <w:rsid w:val="00FE7455"/>
    <w:rsid w:val="00FF0AD6"/>
    <w:rsid w:val="00FF136D"/>
    <w:rsid w:val="00FF38F8"/>
    <w:rsid w:val="00FF43D3"/>
    <w:rsid w:val="00FF4841"/>
    <w:rsid w:val="00FF5DFE"/>
    <w:rsid w:val="00FF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47"/>
    <w:rPr>
      <w:sz w:val="24"/>
      <w:szCs w:val="24"/>
    </w:rPr>
  </w:style>
  <w:style w:type="paragraph" w:styleId="Heading1">
    <w:name w:val="heading 1"/>
    <w:basedOn w:val="Normal"/>
    <w:next w:val="Normal"/>
    <w:link w:val="Heading1Char"/>
    <w:uiPriority w:val="99"/>
    <w:qFormat/>
    <w:rsid w:val="00DC2035"/>
    <w:pPr>
      <w:keepNext/>
      <w:outlineLvl w:val="0"/>
    </w:pPr>
    <w:rPr>
      <w:b/>
    </w:rPr>
  </w:style>
  <w:style w:type="paragraph" w:styleId="Heading2">
    <w:name w:val="heading 2"/>
    <w:basedOn w:val="Normal"/>
    <w:next w:val="Normal"/>
    <w:link w:val="Heading2Char"/>
    <w:uiPriority w:val="99"/>
    <w:qFormat/>
    <w:rsid w:val="00022EB2"/>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142D46"/>
    <w:pPr>
      <w:keepNext/>
      <w:ind w:left="-360" w:right="-360"/>
      <w:outlineLvl w:val="2"/>
    </w:pPr>
    <w:rPr>
      <w:b/>
      <w:u w:val="single"/>
    </w:rPr>
  </w:style>
  <w:style w:type="paragraph" w:styleId="Heading4">
    <w:name w:val="heading 4"/>
    <w:basedOn w:val="Normal"/>
    <w:next w:val="Normal"/>
    <w:link w:val="Heading4Char"/>
    <w:uiPriority w:val="99"/>
    <w:qFormat/>
    <w:rsid w:val="007D2A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51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951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951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95132"/>
    <w:rPr>
      <w:rFonts w:ascii="Calibri" w:hAnsi="Calibri" w:cs="Times New Roman"/>
      <w:b/>
      <w:bCs/>
      <w:sz w:val="28"/>
      <w:szCs w:val="28"/>
    </w:rPr>
  </w:style>
  <w:style w:type="paragraph" w:styleId="BalloonText">
    <w:name w:val="Balloon Text"/>
    <w:basedOn w:val="Normal"/>
    <w:link w:val="BalloonTextChar"/>
    <w:uiPriority w:val="99"/>
    <w:semiHidden/>
    <w:rsid w:val="00FC73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5132"/>
    <w:rPr>
      <w:rFonts w:cs="Times New Roman"/>
      <w:sz w:val="2"/>
    </w:rPr>
  </w:style>
  <w:style w:type="table" w:styleId="TableGrid">
    <w:name w:val="Table Grid"/>
    <w:basedOn w:val="TableNormal"/>
    <w:uiPriority w:val="99"/>
    <w:rsid w:val="00DE02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63218"/>
    <w:rPr>
      <w:rFonts w:cs="Times New Roman"/>
      <w:color w:val="0000FF"/>
      <w:u w:val="single"/>
    </w:rPr>
  </w:style>
  <w:style w:type="paragraph" w:styleId="Footer">
    <w:name w:val="footer"/>
    <w:basedOn w:val="Normal"/>
    <w:link w:val="FooterChar"/>
    <w:uiPriority w:val="99"/>
    <w:rsid w:val="002959E8"/>
    <w:pPr>
      <w:tabs>
        <w:tab w:val="center" w:pos="4320"/>
        <w:tab w:val="right" w:pos="8640"/>
      </w:tabs>
    </w:pPr>
    <w:rPr>
      <w:rFonts w:ascii="Univers (W1)" w:hAnsi="Univers (W1)"/>
      <w:sz w:val="22"/>
      <w:szCs w:val="20"/>
    </w:rPr>
  </w:style>
  <w:style w:type="character" w:customStyle="1" w:styleId="FooterChar">
    <w:name w:val="Footer Char"/>
    <w:basedOn w:val="DefaultParagraphFont"/>
    <w:link w:val="Footer"/>
    <w:uiPriority w:val="99"/>
    <w:semiHidden/>
    <w:locked/>
    <w:rsid w:val="00E95132"/>
    <w:rPr>
      <w:rFonts w:cs="Times New Roman"/>
      <w:sz w:val="24"/>
      <w:szCs w:val="24"/>
    </w:rPr>
  </w:style>
  <w:style w:type="paragraph" w:styleId="FootnoteText">
    <w:name w:val="footnote text"/>
    <w:basedOn w:val="Normal"/>
    <w:link w:val="FootnoteTextChar"/>
    <w:uiPriority w:val="99"/>
    <w:semiHidden/>
    <w:rsid w:val="002959E8"/>
    <w:rPr>
      <w:rFonts w:ascii="Univers (W1)" w:hAnsi="Univers (W1)"/>
      <w:sz w:val="20"/>
      <w:szCs w:val="20"/>
    </w:rPr>
  </w:style>
  <w:style w:type="character" w:customStyle="1" w:styleId="FootnoteTextChar">
    <w:name w:val="Footnote Text Char"/>
    <w:basedOn w:val="DefaultParagraphFont"/>
    <w:link w:val="FootnoteText"/>
    <w:uiPriority w:val="99"/>
    <w:semiHidden/>
    <w:locked/>
    <w:rsid w:val="00E95132"/>
    <w:rPr>
      <w:rFonts w:cs="Times New Roman"/>
      <w:sz w:val="20"/>
      <w:szCs w:val="20"/>
    </w:rPr>
  </w:style>
  <w:style w:type="character" w:styleId="FootnoteReference">
    <w:name w:val="footnote reference"/>
    <w:basedOn w:val="DefaultParagraphFont"/>
    <w:uiPriority w:val="99"/>
    <w:semiHidden/>
    <w:rsid w:val="002959E8"/>
    <w:rPr>
      <w:rFonts w:cs="Times New Roman"/>
      <w:vertAlign w:val="superscript"/>
    </w:rPr>
  </w:style>
  <w:style w:type="character" w:styleId="CommentReference">
    <w:name w:val="annotation reference"/>
    <w:basedOn w:val="DefaultParagraphFont"/>
    <w:uiPriority w:val="99"/>
    <w:semiHidden/>
    <w:rsid w:val="00FC7355"/>
    <w:rPr>
      <w:rFonts w:cs="Times New Roman"/>
      <w:sz w:val="16"/>
    </w:rPr>
  </w:style>
  <w:style w:type="paragraph" w:styleId="CommentText">
    <w:name w:val="annotation text"/>
    <w:basedOn w:val="Normal"/>
    <w:link w:val="CommentTextChar"/>
    <w:uiPriority w:val="99"/>
    <w:semiHidden/>
    <w:rsid w:val="00FC7355"/>
    <w:rPr>
      <w:sz w:val="20"/>
      <w:szCs w:val="20"/>
    </w:rPr>
  </w:style>
  <w:style w:type="character" w:customStyle="1" w:styleId="CommentTextChar">
    <w:name w:val="Comment Text Char"/>
    <w:basedOn w:val="DefaultParagraphFont"/>
    <w:link w:val="CommentText"/>
    <w:uiPriority w:val="99"/>
    <w:semiHidden/>
    <w:locked/>
    <w:rsid w:val="00E95132"/>
    <w:rPr>
      <w:rFonts w:cs="Times New Roman"/>
      <w:sz w:val="20"/>
      <w:szCs w:val="20"/>
    </w:rPr>
  </w:style>
  <w:style w:type="paragraph" w:styleId="CommentSubject">
    <w:name w:val="annotation subject"/>
    <w:basedOn w:val="CommentText"/>
    <w:next w:val="CommentText"/>
    <w:link w:val="CommentSubjectChar"/>
    <w:uiPriority w:val="99"/>
    <w:semiHidden/>
    <w:rsid w:val="00FC7355"/>
    <w:rPr>
      <w:b/>
      <w:bCs/>
    </w:rPr>
  </w:style>
  <w:style w:type="character" w:customStyle="1" w:styleId="CommentSubjectChar">
    <w:name w:val="Comment Subject Char"/>
    <w:basedOn w:val="CommentTextChar"/>
    <w:link w:val="CommentSubject"/>
    <w:uiPriority w:val="99"/>
    <w:semiHidden/>
    <w:locked/>
    <w:rsid w:val="00E95132"/>
    <w:rPr>
      <w:rFonts w:cs="Times New Roman"/>
      <w:b/>
      <w:bCs/>
      <w:sz w:val="20"/>
      <w:szCs w:val="20"/>
    </w:rPr>
  </w:style>
  <w:style w:type="paragraph" w:styleId="Header">
    <w:name w:val="header"/>
    <w:basedOn w:val="Normal"/>
    <w:link w:val="HeaderChar"/>
    <w:uiPriority w:val="99"/>
    <w:rsid w:val="00FC7355"/>
    <w:pPr>
      <w:tabs>
        <w:tab w:val="center" w:pos="4320"/>
        <w:tab w:val="right" w:pos="8640"/>
      </w:tabs>
    </w:pPr>
  </w:style>
  <w:style w:type="character" w:customStyle="1" w:styleId="HeaderChar">
    <w:name w:val="Header Char"/>
    <w:basedOn w:val="DefaultParagraphFont"/>
    <w:link w:val="Header"/>
    <w:uiPriority w:val="99"/>
    <w:semiHidden/>
    <w:locked/>
    <w:rsid w:val="00E95132"/>
    <w:rPr>
      <w:rFonts w:cs="Times New Roman"/>
      <w:sz w:val="24"/>
      <w:szCs w:val="24"/>
    </w:rPr>
  </w:style>
  <w:style w:type="character" w:styleId="FollowedHyperlink">
    <w:name w:val="FollowedHyperlink"/>
    <w:basedOn w:val="DefaultParagraphFont"/>
    <w:uiPriority w:val="99"/>
    <w:rsid w:val="00416786"/>
    <w:rPr>
      <w:rFonts w:cs="Times New Roman"/>
      <w:color w:val="800080"/>
      <w:u w:val="single"/>
    </w:rPr>
  </w:style>
  <w:style w:type="character" w:styleId="PageNumber">
    <w:name w:val="page number"/>
    <w:basedOn w:val="DefaultParagraphFont"/>
    <w:uiPriority w:val="99"/>
    <w:rsid w:val="00EC3624"/>
    <w:rPr>
      <w:rFonts w:cs="Times New Roman"/>
    </w:rPr>
  </w:style>
  <w:style w:type="paragraph" w:styleId="EndnoteText">
    <w:name w:val="endnote text"/>
    <w:basedOn w:val="Normal"/>
    <w:link w:val="EndnoteTextChar"/>
    <w:uiPriority w:val="99"/>
    <w:semiHidden/>
    <w:rsid w:val="00E034A6"/>
    <w:rPr>
      <w:sz w:val="20"/>
      <w:szCs w:val="20"/>
    </w:rPr>
  </w:style>
  <w:style w:type="character" w:customStyle="1" w:styleId="EndnoteTextChar">
    <w:name w:val="Endnote Text Char"/>
    <w:basedOn w:val="DefaultParagraphFont"/>
    <w:link w:val="EndnoteText"/>
    <w:uiPriority w:val="99"/>
    <w:semiHidden/>
    <w:locked/>
    <w:rsid w:val="00E95132"/>
    <w:rPr>
      <w:rFonts w:cs="Times New Roman"/>
      <w:sz w:val="20"/>
      <w:szCs w:val="20"/>
    </w:rPr>
  </w:style>
  <w:style w:type="paragraph" w:styleId="Title">
    <w:name w:val="Title"/>
    <w:basedOn w:val="Normal"/>
    <w:link w:val="TitleChar"/>
    <w:uiPriority w:val="99"/>
    <w:qFormat/>
    <w:rsid w:val="00022EB2"/>
    <w:pPr>
      <w:spacing w:line="320" w:lineRule="exact"/>
      <w:jc w:val="center"/>
    </w:pPr>
    <w:rPr>
      <w:sz w:val="26"/>
    </w:rPr>
  </w:style>
  <w:style w:type="character" w:customStyle="1" w:styleId="TitleChar">
    <w:name w:val="Title Char"/>
    <w:basedOn w:val="DefaultParagraphFont"/>
    <w:link w:val="Title"/>
    <w:uiPriority w:val="99"/>
    <w:locked/>
    <w:rsid w:val="00E95132"/>
    <w:rPr>
      <w:rFonts w:ascii="Cambria" w:hAnsi="Cambria" w:cs="Times New Roman"/>
      <w:b/>
      <w:bCs/>
      <w:kern w:val="28"/>
      <w:sz w:val="32"/>
      <w:szCs w:val="32"/>
    </w:rPr>
  </w:style>
  <w:style w:type="paragraph" w:customStyle="1" w:styleId="Weld">
    <w:name w:val="Weld"/>
    <w:basedOn w:val="Normal"/>
    <w:uiPriority w:val="99"/>
    <w:rsid w:val="00022EB2"/>
    <w:pPr>
      <w:framePr w:hSpace="187" w:wrap="notBeside" w:vAnchor="text" w:hAnchor="page" w:x="546" w:y="141"/>
      <w:jc w:val="center"/>
    </w:pPr>
    <w:rPr>
      <w:rFonts w:ascii="Arial Rounded MT Bold" w:hAnsi="Arial Rounded MT Bold"/>
      <w:sz w:val="16"/>
      <w:szCs w:val="20"/>
    </w:rPr>
  </w:style>
  <w:style w:type="paragraph" w:customStyle="1" w:styleId="1Normal">
    <w:name w:val="1_Normal"/>
    <w:uiPriority w:val="99"/>
    <w:rsid w:val="004B07F9"/>
    <w:rPr>
      <w:rFonts w:ascii="Bookman" w:hAnsi="Bookman"/>
      <w:sz w:val="24"/>
      <w:szCs w:val="20"/>
    </w:rPr>
  </w:style>
  <w:style w:type="paragraph" w:styleId="BodyTextIndent">
    <w:name w:val="Body Text Indent"/>
    <w:basedOn w:val="Normal"/>
    <w:link w:val="BodyTextIndentChar"/>
    <w:uiPriority w:val="99"/>
    <w:rsid w:val="007F668C"/>
    <w:pPr>
      <w:spacing w:after="120"/>
      <w:ind w:left="225"/>
    </w:pPr>
    <w:rPr>
      <w:sz w:val="28"/>
      <w:szCs w:val="28"/>
    </w:rPr>
  </w:style>
  <w:style w:type="character" w:customStyle="1" w:styleId="BodyTextIndentChar">
    <w:name w:val="Body Text Indent Char"/>
    <w:basedOn w:val="DefaultParagraphFont"/>
    <w:link w:val="BodyTextIndent"/>
    <w:uiPriority w:val="99"/>
    <w:semiHidden/>
    <w:locked/>
    <w:rsid w:val="00E95132"/>
    <w:rPr>
      <w:rFonts w:cs="Times New Roman"/>
      <w:sz w:val="24"/>
      <w:szCs w:val="24"/>
    </w:rPr>
  </w:style>
  <w:style w:type="paragraph" w:styleId="Caption">
    <w:name w:val="caption"/>
    <w:basedOn w:val="Normal"/>
    <w:next w:val="Normal"/>
    <w:uiPriority w:val="99"/>
    <w:qFormat/>
    <w:rsid w:val="007F668C"/>
    <w:rPr>
      <w:b/>
    </w:rPr>
  </w:style>
  <w:style w:type="paragraph" w:styleId="BodyText">
    <w:name w:val="Body Text"/>
    <w:basedOn w:val="Normal"/>
    <w:link w:val="BodyTextChar"/>
    <w:uiPriority w:val="99"/>
    <w:rsid w:val="00DC2035"/>
    <w:pPr>
      <w:jc w:val="both"/>
    </w:pPr>
  </w:style>
  <w:style w:type="character" w:customStyle="1" w:styleId="BodyTextChar">
    <w:name w:val="Body Text Char"/>
    <w:basedOn w:val="DefaultParagraphFont"/>
    <w:link w:val="BodyText"/>
    <w:uiPriority w:val="99"/>
    <w:semiHidden/>
    <w:locked/>
    <w:rsid w:val="00E95132"/>
    <w:rPr>
      <w:rFonts w:cs="Times New Roman"/>
      <w:sz w:val="24"/>
      <w:szCs w:val="24"/>
    </w:rPr>
  </w:style>
  <w:style w:type="paragraph" w:styleId="BodyTextIndent2">
    <w:name w:val="Body Text Indent 2"/>
    <w:basedOn w:val="Normal"/>
    <w:link w:val="BodyTextIndent2Char"/>
    <w:uiPriority w:val="99"/>
    <w:rsid w:val="00533C1F"/>
    <w:pPr>
      <w:autoSpaceDE w:val="0"/>
      <w:autoSpaceDN w:val="0"/>
      <w:adjustRightInd w:val="0"/>
      <w:ind w:left="720"/>
    </w:pPr>
  </w:style>
  <w:style w:type="character" w:customStyle="1" w:styleId="BodyTextIndent2Char">
    <w:name w:val="Body Text Indent 2 Char"/>
    <w:basedOn w:val="DefaultParagraphFont"/>
    <w:link w:val="BodyTextIndent2"/>
    <w:uiPriority w:val="99"/>
    <w:semiHidden/>
    <w:locked/>
    <w:rsid w:val="00E95132"/>
    <w:rPr>
      <w:rFonts w:cs="Times New Roman"/>
      <w:sz w:val="24"/>
      <w:szCs w:val="24"/>
    </w:rPr>
  </w:style>
  <w:style w:type="paragraph" w:styleId="BodyText2">
    <w:name w:val="Body Text 2"/>
    <w:basedOn w:val="Normal"/>
    <w:link w:val="BodyText2Char"/>
    <w:uiPriority w:val="99"/>
    <w:rsid w:val="00C32C0F"/>
    <w:rPr>
      <w:sz w:val="20"/>
      <w:szCs w:val="20"/>
    </w:rPr>
  </w:style>
  <w:style w:type="character" w:customStyle="1" w:styleId="BodyText2Char">
    <w:name w:val="Body Text 2 Char"/>
    <w:basedOn w:val="DefaultParagraphFont"/>
    <w:link w:val="BodyText2"/>
    <w:uiPriority w:val="99"/>
    <w:semiHidden/>
    <w:locked/>
    <w:rsid w:val="00E95132"/>
    <w:rPr>
      <w:rFonts w:cs="Times New Roman"/>
      <w:sz w:val="24"/>
      <w:szCs w:val="24"/>
    </w:rPr>
  </w:style>
  <w:style w:type="paragraph" w:styleId="ListParagraph">
    <w:name w:val="List Paragraph"/>
    <w:basedOn w:val="Normal"/>
    <w:uiPriority w:val="34"/>
    <w:qFormat/>
    <w:rsid w:val="00BD3CF0"/>
    <w:pPr>
      <w:ind w:left="720"/>
      <w:contextualSpacing/>
    </w:pPr>
  </w:style>
  <w:style w:type="character" w:styleId="Strong">
    <w:name w:val="Strong"/>
    <w:basedOn w:val="DefaultParagraphFont"/>
    <w:uiPriority w:val="22"/>
    <w:qFormat/>
    <w:locked/>
    <w:rsid w:val="00D10E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47"/>
    <w:rPr>
      <w:sz w:val="24"/>
      <w:szCs w:val="24"/>
    </w:rPr>
  </w:style>
  <w:style w:type="paragraph" w:styleId="Heading1">
    <w:name w:val="heading 1"/>
    <w:basedOn w:val="Normal"/>
    <w:next w:val="Normal"/>
    <w:link w:val="Heading1Char"/>
    <w:uiPriority w:val="99"/>
    <w:qFormat/>
    <w:rsid w:val="00DC2035"/>
    <w:pPr>
      <w:keepNext/>
      <w:outlineLvl w:val="0"/>
    </w:pPr>
    <w:rPr>
      <w:b/>
    </w:rPr>
  </w:style>
  <w:style w:type="paragraph" w:styleId="Heading2">
    <w:name w:val="heading 2"/>
    <w:basedOn w:val="Normal"/>
    <w:next w:val="Normal"/>
    <w:link w:val="Heading2Char"/>
    <w:uiPriority w:val="99"/>
    <w:qFormat/>
    <w:rsid w:val="00022EB2"/>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142D46"/>
    <w:pPr>
      <w:keepNext/>
      <w:ind w:left="-360" w:right="-360"/>
      <w:outlineLvl w:val="2"/>
    </w:pPr>
    <w:rPr>
      <w:b/>
      <w:u w:val="single"/>
    </w:rPr>
  </w:style>
  <w:style w:type="paragraph" w:styleId="Heading4">
    <w:name w:val="heading 4"/>
    <w:basedOn w:val="Normal"/>
    <w:next w:val="Normal"/>
    <w:link w:val="Heading4Char"/>
    <w:uiPriority w:val="99"/>
    <w:qFormat/>
    <w:rsid w:val="007D2A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51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951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951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95132"/>
    <w:rPr>
      <w:rFonts w:ascii="Calibri" w:hAnsi="Calibri" w:cs="Times New Roman"/>
      <w:b/>
      <w:bCs/>
      <w:sz w:val="28"/>
      <w:szCs w:val="28"/>
    </w:rPr>
  </w:style>
  <w:style w:type="paragraph" w:styleId="BalloonText">
    <w:name w:val="Balloon Text"/>
    <w:basedOn w:val="Normal"/>
    <w:link w:val="BalloonTextChar"/>
    <w:uiPriority w:val="99"/>
    <w:semiHidden/>
    <w:rsid w:val="00FC73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5132"/>
    <w:rPr>
      <w:rFonts w:cs="Times New Roman"/>
      <w:sz w:val="2"/>
    </w:rPr>
  </w:style>
  <w:style w:type="table" w:styleId="TableGrid">
    <w:name w:val="Table Grid"/>
    <w:basedOn w:val="TableNormal"/>
    <w:uiPriority w:val="99"/>
    <w:rsid w:val="00DE02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63218"/>
    <w:rPr>
      <w:rFonts w:cs="Times New Roman"/>
      <w:color w:val="0000FF"/>
      <w:u w:val="single"/>
    </w:rPr>
  </w:style>
  <w:style w:type="paragraph" w:styleId="Footer">
    <w:name w:val="footer"/>
    <w:basedOn w:val="Normal"/>
    <w:link w:val="FooterChar"/>
    <w:uiPriority w:val="99"/>
    <w:rsid w:val="002959E8"/>
    <w:pPr>
      <w:tabs>
        <w:tab w:val="center" w:pos="4320"/>
        <w:tab w:val="right" w:pos="8640"/>
      </w:tabs>
    </w:pPr>
    <w:rPr>
      <w:rFonts w:ascii="Univers (W1)" w:hAnsi="Univers (W1)"/>
      <w:sz w:val="22"/>
      <w:szCs w:val="20"/>
    </w:rPr>
  </w:style>
  <w:style w:type="character" w:customStyle="1" w:styleId="FooterChar">
    <w:name w:val="Footer Char"/>
    <w:basedOn w:val="DefaultParagraphFont"/>
    <w:link w:val="Footer"/>
    <w:uiPriority w:val="99"/>
    <w:semiHidden/>
    <w:locked/>
    <w:rsid w:val="00E95132"/>
    <w:rPr>
      <w:rFonts w:cs="Times New Roman"/>
      <w:sz w:val="24"/>
      <w:szCs w:val="24"/>
    </w:rPr>
  </w:style>
  <w:style w:type="paragraph" w:styleId="FootnoteText">
    <w:name w:val="footnote text"/>
    <w:basedOn w:val="Normal"/>
    <w:link w:val="FootnoteTextChar"/>
    <w:uiPriority w:val="99"/>
    <w:semiHidden/>
    <w:rsid w:val="002959E8"/>
    <w:rPr>
      <w:rFonts w:ascii="Univers (W1)" w:hAnsi="Univers (W1)"/>
      <w:sz w:val="20"/>
      <w:szCs w:val="20"/>
    </w:rPr>
  </w:style>
  <w:style w:type="character" w:customStyle="1" w:styleId="FootnoteTextChar">
    <w:name w:val="Footnote Text Char"/>
    <w:basedOn w:val="DefaultParagraphFont"/>
    <w:link w:val="FootnoteText"/>
    <w:uiPriority w:val="99"/>
    <w:semiHidden/>
    <w:locked/>
    <w:rsid w:val="00E95132"/>
    <w:rPr>
      <w:rFonts w:cs="Times New Roman"/>
      <w:sz w:val="20"/>
      <w:szCs w:val="20"/>
    </w:rPr>
  </w:style>
  <w:style w:type="character" w:styleId="FootnoteReference">
    <w:name w:val="footnote reference"/>
    <w:basedOn w:val="DefaultParagraphFont"/>
    <w:uiPriority w:val="99"/>
    <w:semiHidden/>
    <w:rsid w:val="002959E8"/>
    <w:rPr>
      <w:rFonts w:cs="Times New Roman"/>
      <w:vertAlign w:val="superscript"/>
    </w:rPr>
  </w:style>
  <w:style w:type="character" w:styleId="CommentReference">
    <w:name w:val="annotation reference"/>
    <w:basedOn w:val="DefaultParagraphFont"/>
    <w:uiPriority w:val="99"/>
    <w:semiHidden/>
    <w:rsid w:val="00FC7355"/>
    <w:rPr>
      <w:rFonts w:cs="Times New Roman"/>
      <w:sz w:val="16"/>
    </w:rPr>
  </w:style>
  <w:style w:type="paragraph" w:styleId="CommentText">
    <w:name w:val="annotation text"/>
    <w:basedOn w:val="Normal"/>
    <w:link w:val="CommentTextChar"/>
    <w:uiPriority w:val="99"/>
    <w:semiHidden/>
    <w:rsid w:val="00FC7355"/>
    <w:rPr>
      <w:sz w:val="20"/>
      <w:szCs w:val="20"/>
    </w:rPr>
  </w:style>
  <w:style w:type="character" w:customStyle="1" w:styleId="CommentTextChar">
    <w:name w:val="Comment Text Char"/>
    <w:basedOn w:val="DefaultParagraphFont"/>
    <w:link w:val="CommentText"/>
    <w:uiPriority w:val="99"/>
    <w:semiHidden/>
    <w:locked/>
    <w:rsid w:val="00E95132"/>
    <w:rPr>
      <w:rFonts w:cs="Times New Roman"/>
      <w:sz w:val="20"/>
      <w:szCs w:val="20"/>
    </w:rPr>
  </w:style>
  <w:style w:type="paragraph" w:styleId="CommentSubject">
    <w:name w:val="annotation subject"/>
    <w:basedOn w:val="CommentText"/>
    <w:next w:val="CommentText"/>
    <w:link w:val="CommentSubjectChar"/>
    <w:uiPriority w:val="99"/>
    <w:semiHidden/>
    <w:rsid w:val="00FC7355"/>
    <w:rPr>
      <w:b/>
      <w:bCs/>
    </w:rPr>
  </w:style>
  <w:style w:type="character" w:customStyle="1" w:styleId="CommentSubjectChar">
    <w:name w:val="Comment Subject Char"/>
    <w:basedOn w:val="CommentTextChar"/>
    <w:link w:val="CommentSubject"/>
    <w:uiPriority w:val="99"/>
    <w:semiHidden/>
    <w:locked/>
    <w:rsid w:val="00E95132"/>
    <w:rPr>
      <w:rFonts w:cs="Times New Roman"/>
      <w:b/>
      <w:bCs/>
      <w:sz w:val="20"/>
      <w:szCs w:val="20"/>
    </w:rPr>
  </w:style>
  <w:style w:type="paragraph" w:styleId="Header">
    <w:name w:val="header"/>
    <w:basedOn w:val="Normal"/>
    <w:link w:val="HeaderChar"/>
    <w:uiPriority w:val="99"/>
    <w:rsid w:val="00FC7355"/>
    <w:pPr>
      <w:tabs>
        <w:tab w:val="center" w:pos="4320"/>
        <w:tab w:val="right" w:pos="8640"/>
      </w:tabs>
    </w:pPr>
  </w:style>
  <w:style w:type="character" w:customStyle="1" w:styleId="HeaderChar">
    <w:name w:val="Header Char"/>
    <w:basedOn w:val="DefaultParagraphFont"/>
    <w:link w:val="Header"/>
    <w:uiPriority w:val="99"/>
    <w:semiHidden/>
    <w:locked/>
    <w:rsid w:val="00E95132"/>
    <w:rPr>
      <w:rFonts w:cs="Times New Roman"/>
      <w:sz w:val="24"/>
      <w:szCs w:val="24"/>
    </w:rPr>
  </w:style>
  <w:style w:type="character" w:styleId="FollowedHyperlink">
    <w:name w:val="FollowedHyperlink"/>
    <w:basedOn w:val="DefaultParagraphFont"/>
    <w:uiPriority w:val="99"/>
    <w:rsid w:val="00416786"/>
    <w:rPr>
      <w:rFonts w:cs="Times New Roman"/>
      <w:color w:val="800080"/>
      <w:u w:val="single"/>
    </w:rPr>
  </w:style>
  <w:style w:type="character" w:styleId="PageNumber">
    <w:name w:val="page number"/>
    <w:basedOn w:val="DefaultParagraphFont"/>
    <w:uiPriority w:val="99"/>
    <w:rsid w:val="00EC3624"/>
    <w:rPr>
      <w:rFonts w:cs="Times New Roman"/>
    </w:rPr>
  </w:style>
  <w:style w:type="paragraph" w:styleId="EndnoteText">
    <w:name w:val="endnote text"/>
    <w:basedOn w:val="Normal"/>
    <w:link w:val="EndnoteTextChar"/>
    <w:uiPriority w:val="99"/>
    <w:semiHidden/>
    <w:rsid w:val="00E034A6"/>
    <w:rPr>
      <w:sz w:val="20"/>
      <w:szCs w:val="20"/>
    </w:rPr>
  </w:style>
  <w:style w:type="character" w:customStyle="1" w:styleId="EndnoteTextChar">
    <w:name w:val="Endnote Text Char"/>
    <w:basedOn w:val="DefaultParagraphFont"/>
    <w:link w:val="EndnoteText"/>
    <w:uiPriority w:val="99"/>
    <w:semiHidden/>
    <w:locked/>
    <w:rsid w:val="00E95132"/>
    <w:rPr>
      <w:rFonts w:cs="Times New Roman"/>
      <w:sz w:val="20"/>
      <w:szCs w:val="20"/>
    </w:rPr>
  </w:style>
  <w:style w:type="paragraph" w:styleId="Title">
    <w:name w:val="Title"/>
    <w:basedOn w:val="Normal"/>
    <w:link w:val="TitleChar"/>
    <w:uiPriority w:val="99"/>
    <w:qFormat/>
    <w:rsid w:val="00022EB2"/>
    <w:pPr>
      <w:spacing w:line="320" w:lineRule="exact"/>
      <w:jc w:val="center"/>
    </w:pPr>
    <w:rPr>
      <w:sz w:val="26"/>
    </w:rPr>
  </w:style>
  <w:style w:type="character" w:customStyle="1" w:styleId="TitleChar">
    <w:name w:val="Title Char"/>
    <w:basedOn w:val="DefaultParagraphFont"/>
    <w:link w:val="Title"/>
    <w:uiPriority w:val="99"/>
    <w:locked/>
    <w:rsid w:val="00E95132"/>
    <w:rPr>
      <w:rFonts w:ascii="Cambria" w:hAnsi="Cambria" w:cs="Times New Roman"/>
      <w:b/>
      <w:bCs/>
      <w:kern w:val="28"/>
      <w:sz w:val="32"/>
      <w:szCs w:val="32"/>
    </w:rPr>
  </w:style>
  <w:style w:type="paragraph" w:customStyle="1" w:styleId="Weld">
    <w:name w:val="Weld"/>
    <w:basedOn w:val="Normal"/>
    <w:uiPriority w:val="99"/>
    <w:rsid w:val="00022EB2"/>
    <w:pPr>
      <w:framePr w:hSpace="187" w:wrap="notBeside" w:vAnchor="text" w:hAnchor="page" w:x="546" w:y="141"/>
      <w:jc w:val="center"/>
    </w:pPr>
    <w:rPr>
      <w:rFonts w:ascii="Arial Rounded MT Bold" w:hAnsi="Arial Rounded MT Bold"/>
      <w:sz w:val="16"/>
      <w:szCs w:val="20"/>
    </w:rPr>
  </w:style>
  <w:style w:type="paragraph" w:customStyle="1" w:styleId="1Normal">
    <w:name w:val="1_Normal"/>
    <w:uiPriority w:val="99"/>
    <w:rsid w:val="004B07F9"/>
    <w:rPr>
      <w:rFonts w:ascii="Bookman" w:hAnsi="Bookman"/>
      <w:sz w:val="24"/>
      <w:szCs w:val="20"/>
    </w:rPr>
  </w:style>
  <w:style w:type="paragraph" w:styleId="BodyTextIndent">
    <w:name w:val="Body Text Indent"/>
    <w:basedOn w:val="Normal"/>
    <w:link w:val="BodyTextIndentChar"/>
    <w:uiPriority w:val="99"/>
    <w:rsid w:val="007F668C"/>
    <w:pPr>
      <w:spacing w:after="120"/>
      <w:ind w:left="225"/>
    </w:pPr>
    <w:rPr>
      <w:sz w:val="28"/>
      <w:szCs w:val="28"/>
    </w:rPr>
  </w:style>
  <w:style w:type="character" w:customStyle="1" w:styleId="BodyTextIndentChar">
    <w:name w:val="Body Text Indent Char"/>
    <w:basedOn w:val="DefaultParagraphFont"/>
    <w:link w:val="BodyTextIndent"/>
    <w:uiPriority w:val="99"/>
    <w:semiHidden/>
    <w:locked/>
    <w:rsid w:val="00E95132"/>
    <w:rPr>
      <w:rFonts w:cs="Times New Roman"/>
      <w:sz w:val="24"/>
      <w:szCs w:val="24"/>
    </w:rPr>
  </w:style>
  <w:style w:type="paragraph" w:styleId="Caption">
    <w:name w:val="caption"/>
    <w:basedOn w:val="Normal"/>
    <w:next w:val="Normal"/>
    <w:uiPriority w:val="99"/>
    <w:qFormat/>
    <w:rsid w:val="007F668C"/>
    <w:rPr>
      <w:b/>
    </w:rPr>
  </w:style>
  <w:style w:type="paragraph" w:styleId="BodyText">
    <w:name w:val="Body Text"/>
    <w:basedOn w:val="Normal"/>
    <w:link w:val="BodyTextChar"/>
    <w:uiPriority w:val="99"/>
    <w:rsid w:val="00DC2035"/>
    <w:pPr>
      <w:jc w:val="both"/>
    </w:pPr>
  </w:style>
  <w:style w:type="character" w:customStyle="1" w:styleId="BodyTextChar">
    <w:name w:val="Body Text Char"/>
    <w:basedOn w:val="DefaultParagraphFont"/>
    <w:link w:val="BodyText"/>
    <w:uiPriority w:val="99"/>
    <w:semiHidden/>
    <w:locked/>
    <w:rsid w:val="00E95132"/>
    <w:rPr>
      <w:rFonts w:cs="Times New Roman"/>
      <w:sz w:val="24"/>
      <w:szCs w:val="24"/>
    </w:rPr>
  </w:style>
  <w:style w:type="paragraph" w:styleId="BodyTextIndent2">
    <w:name w:val="Body Text Indent 2"/>
    <w:basedOn w:val="Normal"/>
    <w:link w:val="BodyTextIndent2Char"/>
    <w:uiPriority w:val="99"/>
    <w:rsid w:val="00533C1F"/>
    <w:pPr>
      <w:autoSpaceDE w:val="0"/>
      <w:autoSpaceDN w:val="0"/>
      <w:adjustRightInd w:val="0"/>
      <w:ind w:left="720"/>
    </w:pPr>
  </w:style>
  <w:style w:type="character" w:customStyle="1" w:styleId="BodyTextIndent2Char">
    <w:name w:val="Body Text Indent 2 Char"/>
    <w:basedOn w:val="DefaultParagraphFont"/>
    <w:link w:val="BodyTextIndent2"/>
    <w:uiPriority w:val="99"/>
    <w:semiHidden/>
    <w:locked/>
    <w:rsid w:val="00E95132"/>
    <w:rPr>
      <w:rFonts w:cs="Times New Roman"/>
      <w:sz w:val="24"/>
      <w:szCs w:val="24"/>
    </w:rPr>
  </w:style>
  <w:style w:type="paragraph" w:styleId="BodyText2">
    <w:name w:val="Body Text 2"/>
    <w:basedOn w:val="Normal"/>
    <w:link w:val="BodyText2Char"/>
    <w:uiPriority w:val="99"/>
    <w:rsid w:val="00C32C0F"/>
    <w:rPr>
      <w:sz w:val="20"/>
      <w:szCs w:val="20"/>
    </w:rPr>
  </w:style>
  <w:style w:type="character" w:customStyle="1" w:styleId="BodyText2Char">
    <w:name w:val="Body Text 2 Char"/>
    <w:basedOn w:val="DefaultParagraphFont"/>
    <w:link w:val="BodyText2"/>
    <w:uiPriority w:val="99"/>
    <w:semiHidden/>
    <w:locked/>
    <w:rsid w:val="00E95132"/>
    <w:rPr>
      <w:rFonts w:cs="Times New Roman"/>
      <w:sz w:val="24"/>
      <w:szCs w:val="24"/>
    </w:rPr>
  </w:style>
  <w:style w:type="paragraph" w:styleId="ListParagraph">
    <w:name w:val="List Paragraph"/>
    <w:basedOn w:val="Normal"/>
    <w:uiPriority w:val="34"/>
    <w:qFormat/>
    <w:rsid w:val="00BD3CF0"/>
    <w:pPr>
      <w:ind w:left="720"/>
      <w:contextualSpacing/>
    </w:pPr>
  </w:style>
  <w:style w:type="character" w:styleId="Strong">
    <w:name w:val="Strong"/>
    <w:basedOn w:val="DefaultParagraphFont"/>
    <w:uiPriority w:val="22"/>
    <w:qFormat/>
    <w:locked/>
    <w:rsid w:val="00D10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68240">
      <w:marLeft w:val="0"/>
      <w:marRight w:val="0"/>
      <w:marTop w:val="0"/>
      <w:marBottom w:val="0"/>
      <w:divBdr>
        <w:top w:val="none" w:sz="0" w:space="0" w:color="auto"/>
        <w:left w:val="none" w:sz="0" w:space="0" w:color="auto"/>
        <w:bottom w:val="none" w:sz="0" w:space="0" w:color="auto"/>
        <w:right w:val="none" w:sz="0" w:space="0" w:color="auto"/>
      </w:divBdr>
    </w:div>
    <w:div w:id="1839268241">
      <w:marLeft w:val="0"/>
      <w:marRight w:val="0"/>
      <w:marTop w:val="0"/>
      <w:marBottom w:val="0"/>
      <w:divBdr>
        <w:top w:val="none" w:sz="0" w:space="0" w:color="auto"/>
        <w:left w:val="none" w:sz="0" w:space="0" w:color="auto"/>
        <w:bottom w:val="none" w:sz="0" w:space="0" w:color="auto"/>
        <w:right w:val="none" w:sz="0" w:space="0" w:color="auto"/>
      </w:divBdr>
    </w:div>
    <w:div w:id="1839268242">
      <w:marLeft w:val="0"/>
      <w:marRight w:val="0"/>
      <w:marTop w:val="0"/>
      <w:marBottom w:val="0"/>
      <w:divBdr>
        <w:top w:val="none" w:sz="0" w:space="0" w:color="auto"/>
        <w:left w:val="none" w:sz="0" w:space="0" w:color="auto"/>
        <w:bottom w:val="none" w:sz="0" w:space="0" w:color="auto"/>
        <w:right w:val="none" w:sz="0" w:space="0" w:color="auto"/>
      </w:divBdr>
    </w:div>
    <w:div w:id="1839268243">
      <w:marLeft w:val="0"/>
      <w:marRight w:val="0"/>
      <w:marTop w:val="0"/>
      <w:marBottom w:val="0"/>
      <w:divBdr>
        <w:top w:val="none" w:sz="0" w:space="0" w:color="auto"/>
        <w:left w:val="none" w:sz="0" w:space="0" w:color="auto"/>
        <w:bottom w:val="none" w:sz="0" w:space="0" w:color="auto"/>
        <w:right w:val="none" w:sz="0" w:space="0" w:color="auto"/>
      </w:divBdr>
    </w:div>
    <w:div w:id="1839268244">
      <w:marLeft w:val="0"/>
      <w:marRight w:val="0"/>
      <w:marTop w:val="0"/>
      <w:marBottom w:val="0"/>
      <w:divBdr>
        <w:top w:val="none" w:sz="0" w:space="0" w:color="auto"/>
        <w:left w:val="none" w:sz="0" w:space="0" w:color="auto"/>
        <w:bottom w:val="none" w:sz="0" w:space="0" w:color="auto"/>
        <w:right w:val="none" w:sz="0" w:space="0" w:color="auto"/>
      </w:divBdr>
    </w:div>
    <w:div w:id="1839268245">
      <w:marLeft w:val="0"/>
      <w:marRight w:val="0"/>
      <w:marTop w:val="0"/>
      <w:marBottom w:val="0"/>
      <w:divBdr>
        <w:top w:val="none" w:sz="0" w:space="0" w:color="auto"/>
        <w:left w:val="none" w:sz="0" w:space="0" w:color="auto"/>
        <w:bottom w:val="none" w:sz="0" w:space="0" w:color="auto"/>
        <w:right w:val="none" w:sz="0" w:space="0" w:color="auto"/>
      </w:divBdr>
    </w:div>
    <w:div w:id="1839268246">
      <w:marLeft w:val="0"/>
      <w:marRight w:val="0"/>
      <w:marTop w:val="0"/>
      <w:marBottom w:val="0"/>
      <w:divBdr>
        <w:top w:val="none" w:sz="0" w:space="0" w:color="auto"/>
        <w:left w:val="none" w:sz="0" w:space="0" w:color="auto"/>
        <w:bottom w:val="none" w:sz="0" w:space="0" w:color="auto"/>
        <w:right w:val="none" w:sz="0" w:space="0" w:color="auto"/>
      </w:divBdr>
    </w:div>
    <w:div w:id="1839268247">
      <w:marLeft w:val="0"/>
      <w:marRight w:val="0"/>
      <w:marTop w:val="0"/>
      <w:marBottom w:val="0"/>
      <w:divBdr>
        <w:top w:val="none" w:sz="0" w:space="0" w:color="auto"/>
        <w:left w:val="none" w:sz="0" w:space="0" w:color="auto"/>
        <w:bottom w:val="none" w:sz="0" w:space="0" w:color="auto"/>
        <w:right w:val="none" w:sz="0" w:space="0" w:color="auto"/>
      </w:divBdr>
    </w:div>
    <w:div w:id="1839268248">
      <w:marLeft w:val="0"/>
      <w:marRight w:val="0"/>
      <w:marTop w:val="0"/>
      <w:marBottom w:val="0"/>
      <w:divBdr>
        <w:top w:val="none" w:sz="0" w:space="0" w:color="auto"/>
        <w:left w:val="none" w:sz="0" w:space="0" w:color="auto"/>
        <w:bottom w:val="none" w:sz="0" w:space="0" w:color="auto"/>
        <w:right w:val="none" w:sz="0" w:space="0" w:color="auto"/>
      </w:divBdr>
    </w:div>
    <w:div w:id="1839268249">
      <w:marLeft w:val="0"/>
      <w:marRight w:val="0"/>
      <w:marTop w:val="0"/>
      <w:marBottom w:val="0"/>
      <w:divBdr>
        <w:top w:val="none" w:sz="0" w:space="0" w:color="auto"/>
        <w:left w:val="none" w:sz="0" w:space="0" w:color="auto"/>
        <w:bottom w:val="none" w:sz="0" w:space="0" w:color="auto"/>
        <w:right w:val="none" w:sz="0" w:space="0" w:color="auto"/>
      </w:divBdr>
    </w:div>
    <w:div w:id="1839268250">
      <w:marLeft w:val="0"/>
      <w:marRight w:val="0"/>
      <w:marTop w:val="0"/>
      <w:marBottom w:val="0"/>
      <w:divBdr>
        <w:top w:val="none" w:sz="0" w:space="0" w:color="auto"/>
        <w:left w:val="none" w:sz="0" w:space="0" w:color="auto"/>
        <w:bottom w:val="none" w:sz="0" w:space="0" w:color="auto"/>
        <w:right w:val="none" w:sz="0" w:space="0" w:color="auto"/>
      </w:divBdr>
    </w:div>
    <w:div w:id="1839268251">
      <w:marLeft w:val="0"/>
      <w:marRight w:val="0"/>
      <w:marTop w:val="0"/>
      <w:marBottom w:val="0"/>
      <w:divBdr>
        <w:top w:val="none" w:sz="0" w:space="0" w:color="auto"/>
        <w:left w:val="none" w:sz="0" w:space="0" w:color="auto"/>
        <w:bottom w:val="none" w:sz="0" w:space="0" w:color="auto"/>
        <w:right w:val="none" w:sz="0" w:space="0" w:color="auto"/>
      </w:divBdr>
    </w:div>
    <w:div w:id="1839268252">
      <w:marLeft w:val="0"/>
      <w:marRight w:val="0"/>
      <w:marTop w:val="0"/>
      <w:marBottom w:val="0"/>
      <w:divBdr>
        <w:top w:val="none" w:sz="0" w:space="0" w:color="auto"/>
        <w:left w:val="none" w:sz="0" w:space="0" w:color="auto"/>
        <w:bottom w:val="none" w:sz="0" w:space="0" w:color="auto"/>
        <w:right w:val="none" w:sz="0" w:space="0" w:color="auto"/>
      </w:divBdr>
    </w:div>
    <w:div w:id="1839268253">
      <w:marLeft w:val="0"/>
      <w:marRight w:val="0"/>
      <w:marTop w:val="0"/>
      <w:marBottom w:val="0"/>
      <w:divBdr>
        <w:top w:val="none" w:sz="0" w:space="0" w:color="auto"/>
        <w:left w:val="none" w:sz="0" w:space="0" w:color="auto"/>
        <w:bottom w:val="none" w:sz="0" w:space="0" w:color="auto"/>
        <w:right w:val="none" w:sz="0" w:space="0" w:color="auto"/>
      </w:divBdr>
    </w:div>
    <w:div w:id="1839268254">
      <w:marLeft w:val="0"/>
      <w:marRight w:val="0"/>
      <w:marTop w:val="0"/>
      <w:marBottom w:val="0"/>
      <w:divBdr>
        <w:top w:val="none" w:sz="0" w:space="0" w:color="auto"/>
        <w:left w:val="none" w:sz="0" w:space="0" w:color="auto"/>
        <w:bottom w:val="none" w:sz="0" w:space="0" w:color="auto"/>
        <w:right w:val="none" w:sz="0" w:space="0" w:color="auto"/>
      </w:divBdr>
    </w:div>
    <w:div w:id="1839268255">
      <w:marLeft w:val="0"/>
      <w:marRight w:val="0"/>
      <w:marTop w:val="0"/>
      <w:marBottom w:val="0"/>
      <w:divBdr>
        <w:top w:val="none" w:sz="0" w:space="0" w:color="auto"/>
        <w:left w:val="none" w:sz="0" w:space="0" w:color="auto"/>
        <w:bottom w:val="none" w:sz="0" w:space="0" w:color="auto"/>
        <w:right w:val="none" w:sz="0" w:space="0" w:color="auto"/>
      </w:divBdr>
    </w:div>
    <w:div w:id="1839268256">
      <w:marLeft w:val="0"/>
      <w:marRight w:val="0"/>
      <w:marTop w:val="0"/>
      <w:marBottom w:val="0"/>
      <w:divBdr>
        <w:top w:val="none" w:sz="0" w:space="0" w:color="auto"/>
        <w:left w:val="none" w:sz="0" w:space="0" w:color="auto"/>
        <w:bottom w:val="none" w:sz="0" w:space="0" w:color="auto"/>
        <w:right w:val="none" w:sz="0" w:space="0" w:color="auto"/>
      </w:divBdr>
    </w:div>
    <w:div w:id="1839268257">
      <w:marLeft w:val="0"/>
      <w:marRight w:val="0"/>
      <w:marTop w:val="0"/>
      <w:marBottom w:val="0"/>
      <w:divBdr>
        <w:top w:val="none" w:sz="0" w:space="0" w:color="auto"/>
        <w:left w:val="none" w:sz="0" w:space="0" w:color="auto"/>
        <w:bottom w:val="none" w:sz="0" w:space="0" w:color="auto"/>
        <w:right w:val="none" w:sz="0" w:space="0" w:color="auto"/>
      </w:divBdr>
    </w:div>
    <w:div w:id="1839268258">
      <w:marLeft w:val="0"/>
      <w:marRight w:val="0"/>
      <w:marTop w:val="0"/>
      <w:marBottom w:val="0"/>
      <w:divBdr>
        <w:top w:val="none" w:sz="0" w:space="0" w:color="auto"/>
        <w:left w:val="none" w:sz="0" w:space="0" w:color="auto"/>
        <w:bottom w:val="none" w:sz="0" w:space="0" w:color="auto"/>
        <w:right w:val="none" w:sz="0" w:space="0" w:color="auto"/>
      </w:divBdr>
    </w:div>
    <w:div w:id="1839268259">
      <w:marLeft w:val="0"/>
      <w:marRight w:val="0"/>
      <w:marTop w:val="0"/>
      <w:marBottom w:val="0"/>
      <w:divBdr>
        <w:top w:val="none" w:sz="0" w:space="0" w:color="auto"/>
        <w:left w:val="none" w:sz="0" w:space="0" w:color="auto"/>
        <w:bottom w:val="none" w:sz="0" w:space="0" w:color="auto"/>
        <w:right w:val="none" w:sz="0" w:space="0" w:color="auto"/>
      </w:divBdr>
    </w:div>
    <w:div w:id="1839268260">
      <w:marLeft w:val="0"/>
      <w:marRight w:val="0"/>
      <w:marTop w:val="0"/>
      <w:marBottom w:val="0"/>
      <w:divBdr>
        <w:top w:val="none" w:sz="0" w:space="0" w:color="auto"/>
        <w:left w:val="none" w:sz="0" w:space="0" w:color="auto"/>
        <w:bottom w:val="none" w:sz="0" w:space="0" w:color="auto"/>
        <w:right w:val="none" w:sz="0" w:space="0" w:color="auto"/>
      </w:divBdr>
    </w:div>
    <w:div w:id="1839268261">
      <w:marLeft w:val="0"/>
      <w:marRight w:val="0"/>
      <w:marTop w:val="0"/>
      <w:marBottom w:val="0"/>
      <w:divBdr>
        <w:top w:val="none" w:sz="0" w:space="0" w:color="auto"/>
        <w:left w:val="none" w:sz="0" w:space="0" w:color="auto"/>
        <w:bottom w:val="none" w:sz="0" w:space="0" w:color="auto"/>
        <w:right w:val="none" w:sz="0" w:space="0" w:color="auto"/>
      </w:divBdr>
    </w:div>
    <w:div w:id="1839268262">
      <w:marLeft w:val="0"/>
      <w:marRight w:val="0"/>
      <w:marTop w:val="0"/>
      <w:marBottom w:val="0"/>
      <w:divBdr>
        <w:top w:val="none" w:sz="0" w:space="0" w:color="auto"/>
        <w:left w:val="none" w:sz="0" w:space="0" w:color="auto"/>
        <w:bottom w:val="none" w:sz="0" w:space="0" w:color="auto"/>
        <w:right w:val="none" w:sz="0" w:space="0" w:color="auto"/>
      </w:divBdr>
    </w:div>
    <w:div w:id="1839268263">
      <w:marLeft w:val="0"/>
      <w:marRight w:val="0"/>
      <w:marTop w:val="0"/>
      <w:marBottom w:val="0"/>
      <w:divBdr>
        <w:top w:val="none" w:sz="0" w:space="0" w:color="auto"/>
        <w:left w:val="none" w:sz="0" w:space="0" w:color="auto"/>
        <w:bottom w:val="none" w:sz="0" w:space="0" w:color="auto"/>
        <w:right w:val="none" w:sz="0" w:space="0" w:color="auto"/>
      </w:divBdr>
    </w:div>
    <w:div w:id="1839268264">
      <w:marLeft w:val="0"/>
      <w:marRight w:val="0"/>
      <w:marTop w:val="0"/>
      <w:marBottom w:val="0"/>
      <w:divBdr>
        <w:top w:val="none" w:sz="0" w:space="0" w:color="auto"/>
        <w:left w:val="none" w:sz="0" w:space="0" w:color="auto"/>
        <w:bottom w:val="none" w:sz="0" w:space="0" w:color="auto"/>
        <w:right w:val="none" w:sz="0" w:space="0" w:color="auto"/>
      </w:divBdr>
    </w:div>
    <w:div w:id="1839268265">
      <w:marLeft w:val="0"/>
      <w:marRight w:val="0"/>
      <w:marTop w:val="0"/>
      <w:marBottom w:val="0"/>
      <w:divBdr>
        <w:top w:val="none" w:sz="0" w:space="0" w:color="auto"/>
        <w:left w:val="none" w:sz="0" w:space="0" w:color="auto"/>
        <w:bottom w:val="none" w:sz="0" w:space="0" w:color="auto"/>
        <w:right w:val="none" w:sz="0" w:space="0" w:color="auto"/>
      </w:divBdr>
    </w:div>
    <w:div w:id="1839268266">
      <w:marLeft w:val="0"/>
      <w:marRight w:val="0"/>
      <w:marTop w:val="0"/>
      <w:marBottom w:val="0"/>
      <w:divBdr>
        <w:top w:val="none" w:sz="0" w:space="0" w:color="auto"/>
        <w:left w:val="none" w:sz="0" w:space="0" w:color="auto"/>
        <w:bottom w:val="none" w:sz="0" w:space="0" w:color="auto"/>
        <w:right w:val="none" w:sz="0" w:space="0" w:color="auto"/>
      </w:divBdr>
    </w:div>
    <w:div w:id="1839268267">
      <w:marLeft w:val="0"/>
      <w:marRight w:val="0"/>
      <w:marTop w:val="0"/>
      <w:marBottom w:val="0"/>
      <w:divBdr>
        <w:top w:val="none" w:sz="0" w:space="0" w:color="auto"/>
        <w:left w:val="none" w:sz="0" w:space="0" w:color="auto"/>
        <w:bottom w:val="none" w:sz="0" w:space="0" w:color="auto"/>
        <w:right w:val="none" w:sz="0" w:space="0" w:color="auto"/>
      </w:divBdr>
    </w:div>
    <w:div w:id="1839268268">
      <w:marLeft w:val="0"/>
      <w:marRight w:val="0"/>
      <w:marTop w:val="0"/>
      <w:marBottom w:val="0"/>
      <w:divBdr>
        <w:top w:val="none" w:sz="0" w:space="0" w:color="auto"/>
        <w:left w:val="none" w:sz="0" w:space="0" w:color="auto"/>
        <w:bottom w:val="none" w:sz="0" w:space="0" w:color="auto"/>
        <w:right w:val="none" w:sz="0" w:space="0" w:color="auto"/>
      </w:divBdr>
    </w:div>
    <w:div w:id="1839268269">
      <w:marLeft w:val="0"/>
      <w:marRight w:val="0"/>
      <w:marTop w:val="0"/>
      <w:marBottom w:val="0"/>
      <w:divBdr>
        <w:top w:val="none" w:sz="0" w:space="0" w:color="auto"/>
        <w:left w:val="none" w:sz="0" w:space="0" w:color="auto"/>
        <w:bottom w:val="none" w:sz="0" w:space="0" w:color="auto"/>
        <w:right w:val="none" w:sz="0" w:space="0" w:color="auto"/>
      </w:divBdr>
    </w:div>
    <w:div w:id="1839268270">
      <w:marLeft w:val="0"/>
      <w:marRight w:val="0"/>
      <w:marTop w:val="0"/>
      <w:marBottom w:val="0"/>
      <w:divBdr>
        <w:top w:val="none" w:sz="0" w:space="0" w:color="auto"/>
        <w:left w:val="none" w:sz="0" w:space="0" w:color="auto"/>
        <w:bottom w:val="none" w:sz="0" w:space="0" w:color="auto"/>
        <w:right w:val="none" w:sz="0" w:space="0" w:color="auto"/>
      </w:divBdr>
    </w:div>
    <w:div w:id="1839268271">
      <w:marLeft w:val="0"/>
      <w:marRight w:val="0"/>
      <w:marTop w:val="0"/>
      <w:marBottom w:val="0"/>
      <w:divBdr>
        <w:top w:val="none" w:sz="0" w:space="0" w:color="auto"/>
        <w:left w:val="none" w:sz="0" w:space="0" w:color="auto"/>
        <w:bottom w:val="none" w:sz="0" w:space="0" w:color="auto"/>
        <w:right w:val="none" w:sz="0" w:space="0" w:color="auto"/>
      </w:divBdr>
    </w:div>
    <w:div w:id="1839268272">
      <w:marLeft w:val="0"/>
      <w:marRight w:val="0"/>
      <w:marTop w:val="0"/>
      <w:marBottom w:val="0"/>
      <w:divBdr>
        <w:top w:val="none" w:sz="0" w:space="0" w:color="auto"/>
        <w:left w:val="none" w:sz="0" w:space="0" w:color="auto"/>
        <w:bottom w:val="none" w:sz="0" w:space="0" w:color="auto"/>
        <w:right w:val="none" w:sz="0" w:space="0" w:color="auto"/>
      </w:divBdr>
    </w:div>
    <w:div w:id="1839268273">
      <w:marLeft w:val="0"/>
      <w:marRight w:val="0"/>
      <w:marTop w:val="0"/>
      <w:marBottom w:val="0"/>
      <w:divBdr>
        <w:top w:val="none" w:sz="0" w:space="0" w:color="auto"/>
        <w:left w:val="none" w:sz="0" w:space="0" w:color="auto"/>
        <w:bottom w:val="none" w:sz="0" w:space="0" w:color="auto"/>
        <w:right w:val="none" w:sz="0" w:space="0" w:color="auto"/>
      </w:divBdr>
    </w:div>
    <w:div w:id="1839268274">
      <w:marLeft w:val="0"/>
      <w:marRight w:val="0"/>
      <w:marTop w:val="0"/>
      <w:marBottom w:val="0"/>
      <w:divBdr>
        <w:top w:val="none" w:sz="0" w:space="0" w:color="auto"/>
        <w:left w:val="none" w:sz="0" w:space="0" w:color="auto"/>
        <w:bottom w:val="none" w:sz="0" w:space="0" w:color="auto"/>
        <w:right w:val="none" w:sz="0" w:space="0" w:color="auto"/>
      </w:divBdr>
    </w:div>
    <w:div w:id="1839268275">
      <w:marLeft w:val="0"/>
      <w:marRight w:val="0"/>
      <w:marTop w:val="0"/>
      <w:marBottom w:val="0"/>
      <w:divBdr>
        <w:top w:val="none" w:sz="0" w:space="0" w:color="auto"/>
        <w:left w:val="none" w:sz="0" w:space="0" w:color="auto"/>
        <w:bottom w:val="none" w:sz="0" w:space="0" w:color="auto"/>
        <w:right w:val="none" w:sz="0" w:space="0" w:color="auto"/>
      </w:divBdr>
    </w:div>
    <w:div w:id="1839268276">
      <w:marLeft w:val="0"/>
      <w:marRight w:val="0"/>
      <w:marTop w:val="0"/>
      <w:marBottom w:val="0"/>
      <w:divBdr>
        <w:top w:val="none" w:sz="0" w:space="0" w:color="auto"/>
        <w:left w:val="none" w:sz="0" w:space="0" w:color="auto"/>
        <w:bottom w:val="none" w:sz="0" w:space="0" w:color="auto"/>
        <w:right w:val="none" w:sz="0" w:space="0" w:color="auto"/>
      </w:divBdr>
    </w:div>
    <w:div w:id="1839268277">
      <w:marLeft w:val="0"/>
      <w:marRight w:val="0"/>
      <w:marTop w:val="0"/>
      <w:marBottom w:val="0"/>
      <w:divBdr>
        <w:top w:val="none" w:sz="0" w:space="0" w:color="auto"/>
        <w:left w:val="none" w:sz="0" w:space="0" w:color="auto"/>
        <w:bottom w:val="none" w:sz="0" w:space="0" w:color="auto"/>
        <w:right w:val="none" w:sz="0" w:space="0" w:color="auto"/>
      </w:divBdr>
    </w:div>
    <w:div w:id="1839268278">
      <w:marLeft w:val="0"/>
      <w:marRight w:val="0"/>
      <w:marTop w:val="0"/>
      <w:marBottom w:val="0"/>
      <w:divBdr>
        <w:top w:val="none" w:sz="0" w:space="0" w:color="auto"/>
        <w:left w:val="none" w:sz="0" w:space="0" w:color="auto"/>
        <w:bottom w:val="none" w:sz="0" w:space="0" w:color="auto"/>
        <w:right w:val="none" w:sz="0" w:space="0" w:color="auto"/>
      </w:divBdr>
    </w:div>
    <w:div w:id="1839268279">
      <w:marLeft w:val="0"/>
      <w:marRight w:val="0"/>
      <w:marTop w:val="0"/>
      <w:marBottom w:val="0"/>
      <w:divBdr>
        <w:top w:val="none" w:sz="0" w:space="0" w:color="auto"/>
        <w:left w:val="none" w:sz="0" w:space="0" w:color="auto"/>
        <w:bottom w:val="none" w:sz="0" w:space="0" w:color="auto"/>
        <w:right w:val="none" w:sz="0" w:space="0" w:color="auto"/>
      </w:divBdr>
      <w:divsChild>
        <w:div w:id="1839268283">
          <w:marLeft w:val="0"/>
          <w:marRight w:val="0"/>
          <w:marTop w:val="0"/>
          <w:marBottom w:val="0"/>
          <w:divBdr>
            <w:top w:val="none" w:sz="0" w:space="0" w:color="auto"/>
            <w:left w:val="none" w:sz="0" w:space="0" w:color="auto"/>
            <w:bottom w:val="none" w:sz="0" w:space="0" w:color="auto"/>
            <w:right w:val="none" w:sz="0" w:space="0" w:color="auto"/>
          </w:divBdr>
        </w:div>
      </w:divsChild>
    </w:div>
    <w:div w:id="1839268280">
      <w:marLeft w:val="0"/>
      <w:marRight w:val="0"/>
      <w:marTop w:val="0"/>
      <w:marBottom w:val="0"/>
      <w:divBdr>
        <w:top w:val="none" w:sz="0" w:space="0" w:color="auto"/>
        <w:left w:val="none" w:sz="0" w:space="0" w:color="auto"/>
        <w:bottom w:val="none" w:sz="0" w:space="0" w:color="auto"/>
        <w:right w:val="none" w:sz="0" w:space="0" w:color="auto"/>
      </w:divBdr>
    </w:div>
    <w:div w:id="1839268281">
      <w:marLeft w:val="0"/>
      <w:marRight w:val="0"/>
      <w:marTop w:val="0"/>
      <w:marBottom w:val="0"/>
      <w:divBdr>
        <w:top w:val="none" w:sz="0" w:space="0" w:color="auto"/>
        <w:left w:val="none" w:sz="0" w:space="0" w:color="auto"/>
        <w:bottom w:val="none" w:sz="0" w:space="0" w:color="auto"/>
        <w:right w:val="none" w:sz="0" w:space="0" w:color="auto"/>
      </w:divBdr>
    </w:div>
    <w:div w:id="1839268282">
      <w:marLeft w:val="0"/>
      <w:marRight w:val="0"/>
      <w:marTop w:val="0"/>
      <w:marBottom w:val="0"/>
      <w:divBdr>
        <w:top w:val="none" w:sz="0" w:space="0" w:color="auto"/>
        <w:left w:val="none" w:sz="0" w:space="0" w:color="auto"/>
        <w:bottom w:val="none" w:sz="0" w:space="0" w:color="auto"/>
        <w:right w:val="none" w:sz="0" w:space="0" w:color="auto"/>
      </w:divBdr>
    </w:div>
    <w:div w:id="1839268284">
      <w:marLeft w:val="0"/>
      <w:marRight w:val="0"/>
      <w:marTop w:val="0"/>
      <w:marBottom w:val="0"/>
      <w:divBdr>
        <w:top w:val="none" w:sz="0" w:space="0" w:color="auto"/>
        <w:left w:val="none" w:sz="0" w:space="0" w:color="auto"/>
        <w:bottom w:val="none" w:sz="0" w:space="0" w:color="auto"/>
        <w:right w:val="none" w:sz="0" w:space="0" w:color="auto"/>
      </w:divBdr>
    </w:div>
    <w:div w:id="1839268285">
      <w:marLeft w:val="0"/>
      <w:marRight w:val="0"/>
      <w:marTop w:val="0"/>
      <w:marBottom w:val="0"/>
      <w:divBdr>
        <w:top w:val="none" w:sz="0" w:space="0" w:color="auto"/>
        <w:left w:val="none" w:sz="0" w:space="0" w:color="auto"/>
        <w:bottom w:val="none" w:sz="0" w:space="0" w:color="auto"/>
        <w:right w:val="none" w:sz="0" w:space="0" w:color="auto"/>
      </w:divBdr>
    </w:div>
    <w:div w:id="1839268286">
      <w:marLeft w:val="0"/>
      <w:marRight w:val="0"/>
      <w:marTop w:val="0"/>
      <w:marBottom w:val="0"/>
      <w:divBdr>
        <w:top w:val="none" w:sz="0" w:space="0" w:color="auto"/>
        <w:left w:val="none" w:sz="0" w:space="0" w:color="auto"/>
        <w:bottom w:val="none" w:sz="0" w:space="0" w:color="auto"/>
        <w:right w:val="none" w:sz="0" w:space="0" w:color="auto"/>
      </w:divBdr>
    </w:div>
    <w:div w:id="1839268287">
      <w:marLeft w:val="0"/>
      <w:marRight w:val="0"/>
      <w:marTop w:val="0"/>
      <w:marBottom w:val="0"/>
      <w:divBdr>
        <w:top w:val="none" w:sz="0" w:space="0" w:color="auto"/>
        <w:left w:val="none" w:sz="0" w:space="0" w:color="auto"/>
        <w:bottom w:val="none" w:sz="0" w:space="0" w:color="auto"/>
        <w:right w:val="none" w:sz="0" w:space="0" w:color="auto"/>
      </w:divBdr>
    </w:div>
    <w:div w:id="1839268288">
      <w:marLeft w:val="0"/>
      <w:marRight w:val="0"/>
      <w:marTop w:val="0"/>
      <w:marBottom w:val="0"/>
      <w:divBdr>
        <w:top w:val="none" w:sz="0" w:space="0" w:color="auto"/>
        <w:left w:val="none" w:sz="0" w:space="0" w:color="auto"/>
        <w:bottom w:val="none" w:sz="0" w:space="0" w:color="auto"/>
        <w:right w:val="none" w:sz="0" w:space="0" w:color="auto"/>
      </w:divBdr>
    </w:div>
    <w:div w:id="1839268289">
      <w:marLeft w:val="0"/>
      <w:marRight w:val="0"/>
      <w:marTop w:val="0"/>
      <w:marBottom w:val="0"/>
      <w:divBdr>
        <w:top w:val="none" w:sz="0" w:space="0" w:color="auto"/>
        <w:left w:val="none" w:sz="0" w:space="0" w:color="auto"/>
        <w:bottom w:val="none" w:sz="0" w:space="0" w:color="auto"/>
        <w:right w:val="none" w:sz="0" w:space="0" w:color="auto"/>
      </w:divBdr>
    </w:div>
    <w:div w:id="1839268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oleObject" Target="embeddings/oleObject2.bin"/>
  <Relationship Id="rId11" Type="http://schemas.openxmlformats.org/officeDocument/2006/relationships/footer" Target="footer1.xml"/>
  <Relationship Id="rId12" Type="http://schemas.openxmlformats.org/officeDocument/2006/relationships/hyperlink" TargetMode="External" Target="http://www.mass.gov/dph/mcr"/>
  <Relationship Id="rId13" Type="http://schemas.openxmlformats.org/officeDocument/2006/relationships/chart" Target="charts/chart1.xml"/>
  <Relationship Id="rId14" Type="http://schemas.openxmlformats.org/officeDocument/2006/relationships/hyperlink" TargetMode="External" Target="http://graphpad.com/quickcalcs/confInterval1/"/>
  <Relationship Id="rId15" Type="http://schemas.openxmlformats.org/officeDocument/2006/relationships/chart" Target="charts/chart2.xml"/>
  <Relationship Id="rId16" Type="http://schemas.openxmlformats.org/officeDocument/2006/relationships/chart" Target="charts/chart3.xml"/>
  <Relationship Id="rId17" Type="http://schemas.openxmlformats.org/officeDocument/2006/relationships/chart" Target="charts/chart4.xml"/>
  <Relationship Id="rId18" Type="http://schemas.openxmlformats.org/officeDocument/2006/relationships/chart" Target="charts/chart5.xml"/>
  <Relationship Id="rId19" Type="http://schemas.openxmlformats.org/officeDocument/2006/relationships/chart" Target="charts/chart6.xml"/>
  <Relationship Id="rId2" Type="http://schemas.openxmlformats.org/officeDocument/2006/relationships/styles" Target="styles.xml"/>
  <Relationship Id="rId20" Type="http://schemas.openxmlformats.org/officeDocument/2006/relationships/chart" Target="charts/chart7.xml"/>
  <Relationship Id="rId21" Type="http://schemas.openxmlformats.org/officeDocument/2006/relationships/chart" Target="charts/chart8.xml"/>
  <Relationship Id="rId22" Type="http://schemas.openxmlformats.org/officeDocument/2006/relationships/chart" Target="charts/chart9.xml"/>
  <Relationship Id="rId23" Type="http://schemas.openxmlformats.org/officeDocument/2006/relationships/chart" Target="charts/chart10.xml"/>
  <Relationship Id="rId24" Type="http://schemas.openxmlformats.org/officeDocument/2006/relationships/chart" Target="charts/chart11.xml"/>
  <Relationship Id="rId25" Type="http://schemas.openxmlformats.org/officeDocument/2006/relationships/chart" Target="charts/chart12.xml"/>
  <Relationship Id="rId26" Type="http://schemas.openxmlformats.org/officeDocument/2006/relationships/image" Target="media/image2.emf"/>
  <Relationship Id="rId27" Type="http://schemas.openxmlformats.org/officeDocument/2006/relationships/oleObject" Target="embeddings/oleObject3.bin"/>
  <Relationship Id="rId28" Type="http://schemas.openxmlformats.org/officeDocument/2006/relationships/chart" Target="charts/chart13.xml"/>
  <Relationship Id="rId29" Type="http://schemas.openxmlformats.org/officeDocument/2006/relationships/chart" Target="charts/chart14.xml"/>
  <Relationship Id="rId3" Type="http://schemas.microsoft.com/office/2007/relationships/stylesWithEffects" Target="stylesWithEffects.xml"/>
  <Relationship Id="rId30" Type="http://schemas.openxmlformats.org/officeDocument/2006/relationships/chart" Target="charts/chart15.xml"/>
  <Relationship Id="rId31" Type="http://schemas.openxmlformats.org/officeDocument/2006/relationships/chart" Target="charts/chart16.xml"/>
  <Relationship Id="rId32" Type="http://schemas.openxmlformats.org/officeDocument/2006/relationships/image" Target="media/image3.emf"/>
  <Relationship Id="rId33" Type="http://schemas.openxmlformats.org/officeDocument/2006/relationships/oleObject" Target="embeddings/oleObject4.bin"/>
  <Relationship Id="rId34" Type="http://schemas.openxmlformats.org/officeDocument/2006/relationships/chart" Target="charts/chart17.xml"/>
  <Relationship Id="rId35" Type="http://schemas.openxmlformats.org/officeDocument/2006/relationships/chart" Target="charts/chart18.xml"/>
  <Relationship Id="rId36" Type="http://schemas.openxmlformats.org/officeDocument/2006/relationships/chart" Target="charts/chart19.xml"/>
  <Relationship Id="rId37" Type="http://schemas.openxmlformats.org/officeDocument/2006/relationships/chart" Target="charts/chart20.xml"/>
  <Relationship Id="rId38" Type="http://schemas.openxmlformats.org/officeDocument/2006/relationships/chart" Target="charts/chart21.xml"/>
  <Relationship Id="rId39" Type="http://schemas.openxmlformats.org/officeDocument/2006/relationships/chart" Target="charts/chart22.xml"/>
  <Relationship Id="rId4" Type="http://schemas.openxmlformats.org/officeDocument/2006/relationships/settings" Target="settings.xml"/>
  <Relationship Id="rId40" Type="http://schemas.openxmlformats.org/officeDocument/2006/relationships/chart" Target="charts/chart23.xml"/>
  <Relationship Id="rId41" Type="http://schemas.openxmlformats.org/officeDocument/2006/relationships/chart" Target="charts/chart24.xml"/>
  <Relationship Id="rId42" Type="http://schemas.openxmlformats.org/officeDocument/2006/relationships/chart" Target="charts/chart25.xml"/>
  <Relationship Id="rId43" Type="http://schemas.openxmlformats.org/officeDocument/2006/relationships/chart" Target="charts/chart26.xml"/>
  <Relationship Id="rId44" Type="http://schemas.openxmlformats.org/officeDocument/2006/relationships/chart" Target="charts/chart27.xml"/>
  <Relationship Id="rId45" Type="http://schemas.openxmlformats.org/officeDocument/2006/relationships/chart" Target="charts/chart28.xml"/>
  <Relationship Id="rId46" Type="http://schemas.openxmlformats.org/officeDocument/2006/relationships/chart" Target="charts/chart29.xml"/>
  <Relationship Id="rId47" Type="http://schemas.openxmlformats.org/officeDocument/2006/relationships/chart" Target="charts/chart30.xml"/>
  <Relationship Id="rId48" Type="http://schemas.openxmlformats.org/officeDocument/2006/relationships/hyperlink" TargetMode="External" Target="http://srab.cancer.gov/joinpoint/"/>
  <Relationship Id="rId49" Type="http://schemas.openxmlformats.org/officeDocument/2006/relationships/hyperlink" TargetMode="External" Target="http://www.cancer.org/acs/groups/cid/documents/webcontent/003095-pdf.pdf"/>
  <Relationship Id="rId5" Type="http://schemas.openxmlformats.org/officeDocument/2006/relationships/webSettings" Target="webSettings.xml"/>
  <Relationship Id="rId50" Type="http://schemas.openxmlformats.org/officeDocument/2006/relationships/hyperlink" TargetMode="External" Target="http://emedicine.medscpae.com/article/988024-overview"/>
  <Relationship Id="rId51" Type="http://schemas.openxmlformats.org/officeDocument/2006/relationships/hyperlink" TargetMode="External" Target="http://www.cancer.org/acs/groups/cid/documents/webcontent/003127-pdf.pdf"/>
  <Relationship Id="rId52" Type="http://schemas.openxmlformats.org/officeDocument/2006/relationships/hyperlink" TargetMode="External" Target="http://www.lymphoma.org/site/pp.asp?c=bkLTKaOQLmK8E&amp;b=6299689"/>
  <Relationship Id="rId53" Type="http://schemas.openxmlformats.org/officeDocument/2006/relationships/hyperlink" TargetMode="External" Target="http://www.cancer.org/acs/groups/cid/documents/webcontent/003089-pdf.pdf"/>
  <Relationship Id="rId54" Type="http://schemas.openxmlformats.org/officeDocument/2006/relationships/hyperlink" TargetMode="External" Target="http://users.rcn.com/jkimball.ma.ultranet/%20BiologyPages/P/PNS.html"/>
  <Relationship Id="rId55" Type="http://schemas.openxmlformats.org/officeDocument/2006/relationships/hyperlink" TargetMode="External" Target="http://www.biologycorner.com/anatomy/histology/index.html"/>
  <Relationship Id="rId56" Type="http://schemas.openxmlformats.org/officeDocument/2006/relationships/hyperlink" TargetMode="External" Target="http://www.mass.gov/Eeohhs2/docs/dph/cancer/thryod_cancer.pdf"/>
  <Relationship Id="rId57" Type="http://schemas.openxmlformats.org/officeDocument/2006/relationships/hyperlink" TargetMode="External" Target="http://www.cancer.org/cancer/skincancer-melanoma/detailedguide/index"/>
  <Relationship Id="rId58" Type="http://schemas.openxmlformats.org/officeDocument/2006/relationships/hyperlink" TargetMode="External" Target="http://www.stjude.org/stjude/v/index.jsp?vgnextoid=64fb061585f70110VgnVCM1000001e0215acRCRD"/>
  <Relationship Id="rId59" Type="http://schemas.openxmlformats.org/officeDocument/2006/relationships/hyperlink" TargetMode="External" Target="http://www.dana-farber.org/Health-Library/Childhood-Fibrosarcoma.aspx"/>
  <Relationship Id="rId6" Type="http://schemas.openxmlformats.org/officeDocument/2006/relationships/footnotes" Target="footnotes.xml"/>
  <Relationship Id="rId60" Type="http://schemas.openxmlformats.org/officeDocument/2006/relationships/hyperlink" TargetMode="External" Target="http://www.cancer.org/acs/groups/cid/documents/webcontent/003106-pdf.pdf"/>
  <Relationship Id="rId61" Type="http://schemas.openxmlformats.org/officeDocument/2006/relationships/hyperlink" TargetMode="External" Target="http://www.childrenshospital.org/az/Site954/mainpageS954P0.html"/>
  <Relationship Id="rId62" Type="http://schemas.openxmlformats.org/officeDocument/2006/relationships/hyperlink" TargetMode="External" Target="http://www.cancer.org/acs/groups/cid/documents/webcontent/002287-pdf.pdf"/>
  <Relationship Id="rId63" Type="http://schemas.openxmlformats.org/officeDocument/2006/relationships/hyperlink" TargetMode="External" Target="http://www.cancer.org/cancer/osteosarcoma/index"/>
  <Relationship Id="rId64" Type="http://schemas.openxmlformats.org/officeDocument/2006/relationships/hyperlink" TargetMode="External" Target="http://www.cancer.org/cancer/ewingfamilyoftumors/detailedguide/index"/>
  <Relationship Id="rId65" Type="http://schemas.openxmlformats.org/officeDocument/2006/relationships/hyperlink" TargetMode="External" Target="http://emedicine.medscape.com/article/989841-overview?src=emailthis"/>
  <Relationship Id="rId66" Type="http://schemas.openxmlformats.org/officeDocument/2006/relationships/hyperlink" TargetMode="External" Target="http://www.cancer.gov/cancertopics/factsheet/Sites-Types/childhood/print"/>
  <Relationship Id="rId67" Type="http://schemas.openxmlformats.org/officeDocument/2006/relationships/header" Target="header1.xml"/>
  <Relationship Id="rId68" Type="http://schemas.openxmlformats.org/officeDocument/2006/relationships/header" Target="header2.xml"/>
  <Relationship Id="rId69" Type="http://schemas.openxmlformats.org/officeDocument/2006/relationships/footer" Target="footer2.xml"/>
  <Relationship Id="rId7" Type="http://schemas.openxmlformats.org/officeDocument/2006/relationships/endnotes" Target="endnotes.xml"/>
  <Relationship Id="rId70" Type="http://schemas.openxmlformats.org/officeDocument/2006/relationships/header" Target="header3.xml"/>
  <Relationship Id="rId71" Type="http://schemas.openxmlformats.org/officeDocument/2006/relationships/fontTable" Target="fontTable.xml"/>
  <Relationship Id="rId72" Type="http://schemas.openxmlformats.org/officeDocument/2006/relationships/theme" Target="theme/theme1.xml"/>
  <Relationship Id="rId8" Type="http://schemas.openxmlformats.org/officeDocument/2006/relationships/image" Target="media/image1.png"/>
  <Relationship Id="rId9" Type="http://schemas.openxmlformats.org/officeDocument/2006/relationships/oleObject" Target="embeddings/oleObject1.bin"/>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 Id="rId2" Type="http://schemas.openxmlformats.org/officeDocument/2006/relationships/chartUserShapes" Target="../drawings/drawing1.xml"/>
</Relationships>

</file>

<file path=word/charts/_rels/chart10.xml.rels><?xml version="1.0" encoding="UTF-8"?>

<Relationships xmlns="http://schemas.openxmlformats.org/package/2006/relationships">
  <Relationship Id="rId1" Type="http://schemas.openxmlformats.org/officeDocument/2006/relationships/themeOverride" Target="../theme/themeOverride9.xml"/>
  <Relationship Id="rId2" Type="http://schemas.openxmlformats.org/officeDocument/2006/relationships/package" Target="../embeddings/Microsoft_Excel_Worksheet10.xlsx"/>
</Relationships>

</file>

<file path=word/charts/_rels/chart11.xml.rels><?xml version="1.0" encoding="UTF-8"?>

<Relationships xmlns="http://schemas.openxmlformats.org/package/2006/relationships">
  <Relationship Id="rId1" Type="http://schemas.openxmlformats.org/officeDocument/2006/relationships/themeOverride" Target="../theme/themeOverride10.xml"/>
  <Relationship Id="rId2" Type="http://schemas.openxmlformats.org/officeDocument/2006/relationships/package" Target="../embeddings/Microsoft_Excel_Worksheet11.xlsx"/>
</Relationships>

</file>

<file path=word/charts/_rels/chart12.xml.rels><?xml version="1.0" encoding="UTF-8"?>

<Relationships xmlns="http://schemas.openxmlformats.org/package/2006/relationships">
  <Relationship Id="rId1" Type="http://schemas.openxmlformats.org/officeDocument/2006/relationships/themeOverride" Target="../theme/themeOverride11.xml"/>
  <Relationship Id="rId2" Type="http://schemas.openxmlformats.org/officeDocument/2006/relationships/package" Target="../embeddings/Microsoft_Excel_Worksheet12.xlsx"/>
</Relationships>

</file>

<file path=word/charts/_rels/chart13.xml.rels><?xml version="1.0" encoding="UTF-8"?>

<Relationships xmlns="http://schemas.openxmlformats.org/package/2006/relationships">
  <Relationship Id="rId1" Type="http://schemas.openxmlformats.org/officeDocument/2006/relationships/themeOverride" Target="../theme/themeOverride12.xml"/>
  <Relationship Id="rId2" Type="http://schemas.openxmlformats.org/officeDocument/2006/relationships/package" Target="../embeddings/Microsoft_Excel_Worksheet13.xlsx"/>
</Relationships>

</file>

<file path=word/charts/_rels/chart14.xml.rels><?xml version="1.0" encoding="UTF-8"?>

<Relationships xmlns="http://schemas.openxmlformats.org/package/2006/relationships">
  <Relationship Id="rId1" Type="http://schemas.openxmlformats.org/officeDocument/2006/relationships/themeOverride" Target="../theme/themeOverride13.xml"/>
  <Relationship Id="rId2" Type="http://schemas.openxmlformats.org/officeDocument/2006/relationships/package" Target="../embeddings/Microsoft_Excel_Worksheet14.xlsx"/>
</Relationships>

</file>

<file path=word/charts/_rels/chart15.xml.rels><?xml version="1.0" encoding="UTF-8"?>

<Relationships xmlns="http://schemas.openxmlformats.org/package/2006/relationships">
  <Relationship Id="rId1" Type="http://schemas.openxmlformats.org/officeDocument/2006/relationships/themeOverride" Target="../theme/themeOverride14.xml"/>
  <Relationship Id="rId2" Type="http://schemas.openxmlformats.org/officeDocument/2006/relationships/package" Target="../embeddings/Microsoft_Excel_Worksheet15.xlsx"/>
</Relationships>

</file>

<file path=word/charts/_rels/chart16.xml.rels><?xml version="1.0" encoding="UTF-8"?>

<Relationships xmlns="http://schemas.openxmlformats.org/package/2006/relationships">
  <Relationship Id="rId1" Type="http://schemas.openxmlformats.org/officeDocument/2006/relationships/themeOverride" Target="../theme/themeOverride15.xml"/>
  <Relationship Id="rId2" Type="http://schemas.openxmlformats.org/officeDocument/2006/relationships/package" Target="../embeddings/Microsoft_Excel_Worksheet16.xlsx"/>
</Relationships>

</file>

<file path=word/charts/_rels/chart17.xml.rels><?xml version="1.0" encoding="UTF-8"?>

<Relationships xmlns="http://schemas.openxmlformats.org/package/2006/relationships">
  <Relationship Id="rId1" Type="http://schemas.openxmlformats.org/officeDocument/2006/relationships/themeOverride" Target="../theme/themeOverride16.xml"/>
  <Relationship Id="rId2" Type="http://schemas.openxmlformats.org/officeDocument/2006/relationships/package" Target="../embeddings/Microsoft_Excel_Worksheet17.xlsx"/>
</Relationships>

</file>

<file path=word/charts/_rels/chart18.xml.rels><?xml version="1.0" encoding="UTF-8"?>

<Relationships xmlns="http://schemas.openxmlformats.org/package/2006/relationships">
  <Relationship Id="rId1" Type="http://schemas.openxmlformats.org/officeDocument/2006/relationships/themeOverride" Target="../theme/themeOverride17.xml"/>
  <Relationship Id="rId2" Type="http://schemas.openxmlformats.org/officeDocument/2006/relationships/package" Target="../embeddings/Microsoft_Excel_Worksheet18.xlsx"/>
</Relationships>

</file>

<file path=word/charts/_rels/chart19.xml.rels><?xml version="1.0" encoding="UTF-8"?>

<Relationships xmlns="http://schemas.openxmlformats.org/package/2006/relationships">
  <Relationship Id="rId1" Type="http://schemas.openxmlformats.org/officeDocument/2006/relationships/themeOverride" Target="../theme/themeOverride18.xml"/>
  <Relationship Id="rId2" Type="http://schemas.openxmlformats.org/officeDocument/2006/relationships/package" Target="../embeddings/Microsoft_Excel_Worksheet19.xlsx"/>
</Relationships>

</file>

<file path=word/charts/_rels/chart2.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2.xlsx"/>
</Relationships>

</file>

<file path=word/charts/_rels/chart20.xml.rels><?xml version="1.0" encoding="UTF-8"?>

<Relationships xmlns="http://schemas.openxmlformats.org/package/2006/relationships">
  <Relationship Id="rId1" Type="http://schemas.openxmlformats.org/officeDocument/2006/relationships/themeOverride" Target="../theme/themeOverride19.xml"/>
  <Relationship Id="rId2" Type="http://schemas.openxmlformats.org/officeDocument/2006/relationships/package" Target="../embeddings/Microsoft_Excel_Worksheet20.xlsx"/>
</Relationships>

</file>

<file path=word/charts/_rels/chart21.xml.rels><?xml version="1.0" encoding="UTF-8"?>

<Relationships xmlns="http://schemas.openxmlformats.org/package/2006/relationships">
  <Relationship Id="rId1" Type="http://schemas.openxmlformats.org/officeDocument/2006/relationships/themeOverride" Target="../theme/themeOverride20.xml"/>
  <Relationship Id="rId2" Type="http://schemas.openxmlformats.org/officeDocument/2006/relationships/package" Target="../embeddings/Microsoft_Excel_Worksheet21.xlsx"/>
</Relationships>

</file>

<file path=word/charts/_rels/chart22.xml.rels><?xml version="1.0" encoding="UTF-8"?>

<Relationships xmlns="http://schemas.openxmlformats.org/package/2006/relationships">
  <Relationship Id="rId1" Type="http://schemas.openxmlformats.org/officeDocument/2006/relationships/themeOverride" Target="../theme/themeOverride21.xml"/>
  <Relationship Id="rId2" Type="http://schemas.openxmlformats.org/officeDocument/2006/relationships/package" Target="../embeddings/Microsoft_Excel_Worksheet22.xlsx"/>
</Relationships>

</file>

<file path=word/charts/_rels/chart23.xml.rels><?xml version="1.0" encoding="UTF-8"?>

<Relationships xmlns="http://schemas.openxmlformats.org/package/2006/relationships">
  <Relationship Id="rId1" Type="http://schemas.openxmlformats.org/officeDocument/2006/relationships/themeOverride" Target="../theme/themeOverride22.xml"/>
  <Relationship Id="rId2" Type="http://schemas.openxmlformats.org/officeDocument/2006/relationships/package" Target="../embeddings/Microsoft_Excel_Worksheet23.xlsx"/>
</Relationships>

</file>

<file path=word/charts/_rels/chart24.xml.rels><?xml version="1.0" encoding="UTF-8"?>

<Relationships xmlns="http://schemas.openxmlformats.org/package/2006/relationships">
  <Relationship Id="rId1" Type="http://schemas.openxmlformats.org/officeDocument/2006/relationships/themeOverride" Target="../theme/themeOverride23.xml"/>
  <Relationship Id="rId2" Type="http://schemas.openxmlformats.org/officeDocument/2006/relationships/package" Target="../embeddings/Microsoft_Excel_Worksheet24.xlsx"/>
</Relationships>

</file>

<file path=word/charts/_rels/chart25.xml.rels><?xml version="1.0" encoding="UTF-8"?>

<Relationships xmlns="http://schemas.openxmlformats.org/package/2006/relationships">
  <Relationship Id="rId1" Type="http://schemas.openxmlformats.org/officeDocument/2006/relationships/themeOverride" Target="../theme/themeOverride24.xml"/>
  <Relationship Id="rId2" Type="http://schemas.openxmlformats.org/officeDocument/2006/relationships/package" Target="../embeddings/Microsoft_Excel_Worksheet25.xlsx"/>
</Relationships>

</file>

<file path=word/charts/_rels/chart26.xml.rels><?xml version="1.0" encoding="UTF-8"?>

<Relationships xmlns="http://schemas.openxmlformats.org/package/2006/relationships">
  <Relationship Id="rId1" Type="http://schemas.openxmlformats.org/officeDocument/2006/relationships/themeOverride" Target="../theme/themeOverride25.xml"/>
  <Relationship Id="rId2" Type="http://schemas.openxmlformats.org/officeDocument/2006/relationships/package" Target="../embeddings/Microsoft_Excel_Worksheet26.xlsx"/>
</Relationships>

</file>

<file path=word/charts/_rels/chart27.xml.rels><?xml version="1.0" encoding="UTF-8"?>

<Relationships xmlns="http://schemas.openxmlformats.org/package/2006/relationships">
  <Relationship Id="rId1" Type="http://schemas.openxmlformats.org/officeDocument/2006/relationships/themeOverride" Target="../theme/themeOverride26.xml"/>
  <Relationship Id="rId2" Type="http://schemas.openxmlformats.org/officeDocument/2006/relationships/package" Target="../embeddings/Microsoft_Excel_Worksheet27.xlsx"/>
</Relationships>

</file>

<file path=word/charts/_rels/chart28.xml.rels><?xml version="1.0" encoding="UTF-8"?>

<Relationships xmlns="http://schemas.openxmlformats.org/package/2006/relationships">
  <Relationship Id="rId1" Type="http://schemas.openxmlformats.org/officeDocument/2006/relationships/themeOverride" Target="../theme/themeOverride27.xml"/>
  <Relationship Id="rId2" Type="http://schemas.openxmlformats.org/officeDocument/2006/relationships/package" Target="../embeddings/Microsoft_Excel_Worksheet28.xlsx"/>
</Relationships>

</file>

<file path=word/charts/_rels/chart29.xml.rels><?xml version="1.0" encoding="UTF-8"?>

<Relationships xmlns="http://schemas.openxmlformats.org/package/2006/relationships">
  <Relationship Id="rId1" Type="http://schemas.openxmlformats.org/officeDocument/2006/relationships/themeOverride" Target="../theme/themeOverride28.xml"/>
  <Relationship Id="rId2" Type="http://schemas.openxmlformats.org/officeDocument/2006/relationships/package" Target="../embeddings/Microsoft_Excel_Worksheet29.xlsx"/>
</Relationships>

</file>

<file path=word/charts/_rels/chart3.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package" Target="../embeddings/Microsoft_Excel_Worksheet3.xlsx"/>
</Relationships>

</file>

<file path=word/charts/_rels/chart30.xml.rels><?xml version="1.0" encoding="UTF-8"?>

<Relationships xmlns="http://schemas.openxmlformats.org/package/2006/relationships">
  <Relationship Id="rId1" Type="http://schemas.openxmlformats.org/officeDocument/2006/relationships/themeOverride" Target="../theme/themeOverride29.xml"/>
  <Relationship Id="rId2" Type="http://schemas.openxmlformats.org/officeDocument/2006/relationships/package" Target="../embeddings/Microsoft_Excel_Worksheet30.xlsx"/>
</Relationships>

</file>

<file path=word/charts/_rels/chart4.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package" Target="../embeddings/Microsoft_Excel_Worksheet4.xlsx"/>
</Relationships>

</file>

<file path=word/charts/_rels/chart5.xml.rels><?xml version="1.0" encoding="UTF-8"?>

<Relationships xmlns="http://schemas.openxmlformats.org/package/2006/relationships">
  <Relationship Id="rId1" Type="http://schemas.openxmlformats.org/officeDocument/2006/relationships/themeOverride" Target="../theme/themeOverride4.xml"/>
  <Relationship Id="rId2" Type="http://schemas.openxmlformats.org/officeDocument/2006/relationships/package" Target="../embeddings/Microsoft_Excel_Worksheet5.xlsx"/>
</Relationships>

</file>

<file path=word/charts/_rels/chart6.xml.rels><?xml version="1.0" encoding="UTF-8"?>

<Relationships xmlns="http://schemas.openxmlformats.org/package/2006/relationships">
  <Relationship Id="rId1" Type="http://schemas.openxmlformats.org/officeDocument/2006/relationships/themeOverride" Target="../theme/themeOverride5.xml"/>
  <Relationship Id="rId2" Type="http://schemas.openxmlformats.org/officeDocument/2006/relationships/package" Target="../embeddings/Microsoft_Excel_Worksheet6.xlsx"/>
</Relationships>

</file>

<file path=word/charts/_rels/chart7.xml.rels><?xml version="1.0" encoding="UTF-8"?>

<Relationships xmlns="http://schemas.openxmlformats.org/package/2006/relationships">
  <Relationship Id="rId1" Type="http://schemas.openxmlformats.org/officeDocument/2006/relationships/themeOverride" Target="../theme/themeOverride6.xml"/>
  <Relationship Id="rId2" Type="http://schemas.openxmlformats.org/officeDocument/2006/relationships/package" Target="../embeddings/Microsoft_Excel_Worksheet7.xlsx"/>
</Relationships>

</file>

<file path=word/charts/_rels/chart8.xml.rels><?xml version="1.0" encoding="UTF-8"?>

<Relationships xmlns="http://schemas.openxmlformats.org/package/2006/relationships">
  <Relationship Id="rId1" Type="http://schemas.openxmlformats.org/officeDocument/2006/relationships/themeOverride" Target="../theme/themeOverride7.xml"/>
  <Relationship Id="rId2" Type="http://schemas.openxmlformats.org/officeDocument/2006/relationships/package" Target="../embeddings/Microsoft_Excel_Worksheet8.xlsx"/>
</Relationships>

</file>

<file path=word/charts/_rels/chart9.xml.rels><?xml version="1.0" encoding="UTF-8"?>

<Relationships xmlns="http://schemas.openxmlformats.org/package/2006/relationships">
  <Relationship Id="rId1" Type="http://schemas.openxmlformats.org/officeDocument/2006/relationships/themeOverride" Target="../theme/themeOverride8.xml"/>
  <Relationship Id="rId2" Type="http://schemas.openxmlformats.org/officeDocument/2006/relationships/package" Target="../embeddings/Microsoft_Excel_Worksheet9.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85940612845082E-2"/>
          <c:y val="0.16549666585794423"/>
          <c:w val="0.86641003207932343"/>
          <c:h val="0.67433306130851289"/>
        </c:manualLayout>
      </c:layout>
      <c:lineChart>
        <c:grouping val="standard"/>
        <c:varyColors val="0"/>
        <c:ser>
          <c:idx val="0"/>
          <c:order val="0"/>
          <c:tx>
            <c:strRef>
              <c:f>Sheet1!$B$1</c:f>
              <c:strCache>
                <c:ptCount val="1"/>
                <c:pt idx="0">
                  <c:v>Rate per 100000</c:v>
                </c:pt>
              </c:strCache>
            </c:strRef>
          </c:tx>
          <c:marker>
            <c:symbol val="none"/>
          </c:marker>
          <c:cat>
            <c:numRef>
              <c:f>Sheet1!$A$2:$A$21</c:f>
              <c:numCache>
                <c:formatCode>General</c:formatCode>
                <c:ptCount val="20"/>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numCache>
            </c:numRef>
          </c:cat>
          <c:val>
            <c:numRef>
              <c:f>Sheet1!$B$2:$B$21</c:f>
              <c:numCache>
                <c:formatCode>General</c:formatCode>
                <c:ptCount val="20"/>
                <c:pt idx="0">
                  <c:v>2.6</c:v>
                </c:pt>
                <c:pt idx="1">
                  <c:v>2.7</c:v>
                </c:pt>
                <c:pt idx="2">
                  <c:v>3.5</c:v>
                </c:pt>
                <c:pt idx="3">
                  <c:v>3.2</c:v>
                </c:pt>
                <c:pt idx="4">
                  <c:v>2</c:v>
                </c:pt>
                <c:pt idx="5">
                  <c:v>3.8</c:v>
                </c:pt>
                <c:pt idx="6">
                  <c:v>2.4</c:v>
                </c:pt>
                <c:pt idx="7">
                  <c:v>2.4</c:v>
                </c:pt>
                <c:pt idx="8">
                  <c:v>2.1</c:v>
                </c:pt>
                <c:pt idx="9">
                  <c:v>2.5</c:v>
                </c:pt>
                <c:pt idx="10">
                  <c:v>2.9</c:v>
                </c:pt>
                <c:pt idx="11">
                  <c:v>2.2999999999999998</c:v>
                </c:pt>
                <c:pt idx="12">
                  <c:v>2.2000000000000002</c:v>
                </c:pt>
                <c:pt idx="13">
                  <c:v>2.6</c:v>
                </c:pt>
                <c:pt idx="14">
                  <c:v>2.2000000000000002</c:v>
                </c:pt>
                <c:pt idx="15">
                  <c:v>2.2000000000000002</c:v>
                </c:pt>
                <c:pt idx="16">
                  <c:v>2</c:v>
                </c:pt>
                <c:pt idx="17">
                  <c:v>2.5</c:v>
                </c:pt>
                <c:pt idx="18">
                  <c:v>2.6</c:v>
                </c:pt>
                <c:pt idx="19">
                  <c:v>1.9</c:v>
                </c:pt>
              </c:numCache>
            </c:numRef>
          </c:val>
          <c:smooth val="0"/>
        </c:ser>
        <c:ser>
          <c:idx val="1"/>
          <c:order val="1"/>
          <c:tx>
            <c:strRef>
              <c:f>Sheet1!$C$1</c:f>
              <c:strCache>
                <c:ptCount val="1"/>
                <c:pt idx="0">
                  <c:v>Rate per 100001</c:v>
                </c:pt>
              </c:strCache>
            </c:strRef>
          </c:tx>
          <c:marker>
            <c:symbol val="none"/>
          </c:marker>
          <c:cat>
            <c:numRef>
              <c:f>Sheet1!$A$2:$A$21</c:f>
              <c:numCache>
                <c:formatCode>General</c:formatCode>
                <c:ptCount val="20"/>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numCache>
            </c:numRef>
          </c:cat>
          <c:val>
            <c:numRef>
              <c:f>Sheet1!$C$2:$C$21</c:f>
              <c:numCache>
                <c:formatCode>General</c:formatCode>
                <c:ptCount val="20"/>
                <c:pt idx="0">
                  <c:v>2.91</c:v>
                </c:pt>
                <c:pt idx="1">
                  <c:v>2.86</c:v>
                </c:pt>
                <c:pt idx="2">
                  <c:v>2.81</c:v>
                </c:pt>
                <c:pt idx="3">
                  <c:v>2.77</c:v>
                </c:pt>
                <c:pt idx="4">
                  <c:v>2.72</c:v>
                </c:pt>
                <c:pt idx="5">
                  <c:v>2.67</c:v>
                </c:pt>
                <c:pt idx="6">
                  <c:v>2.63</c:v>
                </c:pt>
                <c:pt idx="7">
                  <c:v>2.58</c:v>
                </c:pt>
                <c:pt idx="8">
                  <c:v>2.54</c:v>
                </c:pt>
                <c:pt idx="9">
                  <c:v>2.4900000000000002</c:v>
                </c:pt>
                <c:pt idx="10">
                  <c:v>2.4500000000000002</c:v>
                </c:pt>
                <c:pt idx="11">
                  <c:v>2.41</c:v>
                </c:pt>
                <c:pt idx="12">
                  <c:v>2.37</c:v>
                </c:pt>
                <c:pt idx="13">
                  <c:v>2.33</c:v>
                </c:pt>
                <c:pt idx="14">
                  <c:v>2.29</c:v>
                </c:pt>
                <c:pt idx="15">
                  <c:v>2.25</c:v>
                </c:pt>
                <c:pt idx="16">
                  <c:v>2.21</c:v>
                </c:pt>
                <c:pt idx="17">
                  <c:v>2.17</c:v>
                </c:pt>
                <c:pt idx="18">
                  <c:v>2.13</c:v>
                </c:pt>
                <c:pt idx="19">
                  <c:v>2.1</c:v>
                </c:pt>
              </c:numCache>
            </c:numRef>
          </c:val>
          <c:smooth val="0"/>
        </c:ser>
        <c:dLbls>
          <c:showLegendKey val="0"/>
          <c:showVal val="0"/>
          <c:showCatName val="0"/>
          <c:showSerName val="0"/>
          <c:showPercent val="0"/>
          <c:showBubbleSize val="0"/>
        </c:dLbls>
        <c:marker val="1"/>
        <c:smooth val="0"/>
        <c:axId val="38695296"/>
        <c:axId val="38696832"/>
      </c:lineChart>
      <c:catAx>
        <c:axId val="38695296"/>
        <c:scaling>
          <c:orientation val="minMax"/>
        </c:scaling>
        <c:delete val="0"/>
        <c:axPos val="b"/>
        <c:numFmt formatCode="General" sourceLinked="1"/>
        <c:majorTickMark val="out"/>
        <c:minorTickMark val="none"/>
        <c:tickLblPos val="nextTo"/>
        <c:txPr>
          <a:bodyPr rot="1260000"/>
          <a:lstStyle/>
          <a:p>
            <a:pPr>
              <a:defRPr sz="800"/>
            </a:pPr>
            <a:endParaRPr lang="en-US"/>
          </a:p>
        </c:txPr>
        <c:crossAx val="38696832"/>
        <c:crosses val="autoZero"/>
        <c:auto val="1"/>
        <c:lblAlgn val="ctr"/>
        <c:lblOffset val="100"/>
        <c:noMultiLvlLbl val="0"/>
      </c:catAx>
      <c:valAx>
        <c:axId val="38696832"/>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38695296"/>
        <c:crosses val="autoZero"/>
        <c:crossBetween val="between"/>
      </c:valAx>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0" b="1" i="0" u="none" strike="noStrike" baseline="0">
                <a:solidFill>
                  <a:srgbClr val="000000"/>
                </a:solidFill>
                <a:latin typeface="Arial"/>
                <a:ea typeface="Arial"/>
                <a:cs typeface="Arial"/>
              </a:defRPr>
            </a:pPr>
            <a:r>
              <a:rPr lang="en-US"/>
              <a:t>Figure 9: Age-Adjusted Incidence Rate for All Cancers* Among Black, non-Hispanic Children and Adolescents, MA and US SEER, 2000-2009</a:t>
            </a:r>
          </a:p>
        </c:rich>
      </c:tx>
      <c:layout>
        <c:manualLayout>
          <c:xMode val="edge"/>
          <c:yMode val="edge"/>
          <c:x val="0.11960125845196502"/>
          <c:y val="1.9292604501607719E-2"/>
        </c:manualLayout>
      </c:layout>
      <c:overlay val="0"/>
      <c:spPr>
        <a:noFill/>
        <a:ln w="25139">
          <a:noFill/>
        </a:ln>
      </c:spPr>
    </c:title>
    <c:autoTitleDeleted val="0"/>
    <c:plotArea>
      <c:layout>
        <c:manualLayout>
          <c:layoutTarget val="inner"/>
          <c:xMode val="edge"/>
          <c:yMode val="edge"/>
          <c:x val="0.11794019933554814"/>
          <c:y val="0.18006430868167209"/>
          <c:w val="0.86710963455149559"/>
          <c:h val="0.60128617363344061"/>
        </c:manualLayout>
      </c:layout>
      <c:lineChart>
        <c:grouping val="standard"/>
        <c:varyColors val="0"/>
        <c:ser>
          <c:idx val="0"/>
          <c:order val="0"/>
          <c:tx>
            <c:strRef>
              <c:f>Sheet1!$A$2</c:f>
              <c:strCache>
                <c:ptCount val="1"/>
                <c:pt idx="0">
                  <c:v>MA</c:v>
                </c:pt>
              </c:strCache>
            </c:strRef>
          </c:tx>
          <c:spPr>
            <a:ln w="12569">
              <a:solidFill>
                <a:srgbClr val="000080"/>
              </a:solidFill>
              <a:prstDash val="solid"/>
            </a:ln>
          </c:spPr>
          <c:marker>
            <c:symbol val="plus"/>
            <c:size val="2"/>
            <c:spPr>
              <a:solidFill>
                <a:srgbClr val="000080"/>
              </a:solidFill>
              <a:ln>
                <a:solidFill>
                  <a:srgbClr val="00008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16.600000000000001</c:v>
                </c:pt>
                <c:pt idx="1">
                  <c:v>14.2</c:v>
                </c:pt>
                <c:pt idx="2">
                  <c:v>12.5</c:v>
                </c:pt>
                <c:pt idx="3">
                  <c:v>10.9</c:v>
                </c:pt>
                <c:pt idx="4">
                  <c:v>10.5</c:v>
                </c:pt>
                <c:pt idx="5">
                  <c:v>10.8</c:v>
                </c:pt>
                <c:pt idx="6">
                  <c:v>14.2</c:v>
                </c:pt>
                <c:pt idx="7">
                  <c:v>12.5</c:v>
                </c:pt>
                <c:pt idx="8">
                  <c:v>13.3</c:v>
                </c:pt>
                <c:pt idx="9">
                  <c:v>16.600000000000001</c:v>
                </c:pt>
              </c:numCache>
            </c:numRef>
          </c:val>
          <c:smooth val="0"/>
        </c:ser>
        <c:ser>
          <c:idx val="1"/>
          <c:order val="1"/>
          <c:tx>
            <c:strRef>
              <c:f>Sheet1!$A$3</c:f>
              <c:strCache>
                <c:ptCount val="1"/>
                <c:pt idx="0">
                  <c:v>SEER</c:v>
                </c:pt>
              </c:strCache>
            </c:strRef>
          </c:tx>
          <c:spPr>
            <a:ln w="12569">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10.3</c:v>
                </c:pt>
                <c:pt idx="1">
                  <c:v>10.7</c:v>
                </c:pt>
                <c:pt idx="2">
                  <c:v>11.8</c:v>
                </c:pt>
                <c:pt idx="3">
                  <c:v>12.3</c:v>
                </c:pt>
                <c:pt idx="4">
                  <c:v>13</c:v>
                </c:pt>
                <c:pt idx="5">
                  <c:v>12.5</c:v>
                </c:pt>
                <c:pt idx="6">
                  <c:v>11.6</c:v>
                </c:pt>
                <c:pt idx="7">
                  <c:v>12</c:v>
                </c:pt>
                <c:pt idx="8">
                  <c:v>13.3</c:v>
                </c:pt>
                <c:pt idx="9">
                  <c:v>12.9</c:v>
                </c:pt>
              </c:numCache>
            </c:numRef>
          </c:val>
          <c:smooth val="0"/>
        </c:ser>
        <c:dLbls>
          <c:showLegendKey val="0"/>
          <c:showVal val="0"/>
          <c:showCatName val="0"/>
          <c:showSerName val="0"/>
          <c:showPercent val="0"/>
          <c:showBubbleSize val="0"/>
        </c:dLbls>
        <c:marker val="1"/>
        <c:smooth val="0"/>
        <c:axId val="102370688"/>
        <c:axId val="102381440"/>
      </c:lineChart>
      <c:catAx>
        <c:axId val="102370688"/>
        <c:scaling>
          <c:orientation val="minMax"/>
        </c:scaling>
        <c:delete val="0"/>
        <c:axPos val="b"/>
        <c:title>
          <c:tx>
            <c:rich>
              <a:bodyPr/>
              <a:lstStyle/>
              <a:p>
                <a:pPr>
                  <a:defRPr sz="792" b="1" i="0" u="none" strike="noStrike" baseline="0">
                    <a:solidFill>
                      <a:srgbClr val="000000"/>
                    </a:solidFill>
                    <a:latin typeface="Arial"/>
                    <a:ea typeface="Arial"/>
                    <a:cs typeface="Arial"/>
                  </a:defRPr>
                </a:pPr>
                <a:r>
                  <a:rPr lang="en-US"/>
                  <a:t>Year of Diagnosis</a:t>
                </a:r>
              </a:p>
            </c:rich>
          </c:tx>
          <c:layout>
            <c:manualLayout>
              <c:xMode val="edge"/>
              <c:yMode val="edge"/>
              <c:x val="0.80232552884531816"/>
              <c:y val="0.88424437299035374"/>
            </c:manualLayout>
          </c:layout>
          <c:overlay val="0"/>
          <c:spPr>
            <a:noFill/>
            <a:ln w="25139">
              <a:noFill/>
            </a:ln>
          </c:spPr>
        </c:title>
        <c:numFmt formatCode="General" sourceLinked="1"/>
        <c:majorTickMark val="out"/>
        <c:minorTickMark val="none"/>
        <c:tickLblPos val="nextTo"/>
        <c:spPr>
          <a:ln w="3142">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2381440"/>
        <c:crosses val="autoZero"/>
        <c:auto val="1"/>
        <c:lblAlgn val="ctr"/>
        <c:lblOffset val="100"/>
        <c:tickLblSkip val="1"/>
        <c:tickMarkSkip val="1"/>
        <c:noMultiLvlLbl val="0"/>
      </c:catAx>
      <c:valAx>
        <c:axId val="102381440"/>
        <c:scaling>
          <c:orientation val="minMax"/>
        </c:scaling>
        <c:delete val="0"/>
        <c:axPos val="l"/>
        <c:majorGridlines>
          <c:spPr>
            <a:ln w="3142">
              <a:solidFill>
                <a:srgbClr val="000000"/>
              </a:solidFill>
              <a:prstDash val="solid"/>
            </a:ln>
          </c:spPr>
        </c:majorGridlines>
        <c:title>
          <c:tx>
            <c:rich>
              <a:bodyPr rot="0" vert="horz"/>
              <a:lstStyle/>
              <a:p>
                <a:pPr algn="ctr">
                  <a:defRPr sz="792" b="1" i="0" u="none" strike="noStrike" baseline="0">
                    <a:solidFill>
                      <a:srgbClr val="000000"/>
                    </a:solidFill>
                    <a:latin typeface="Arial"/>
                    <a:ea typeface="Arial"/>
                    <a:cs typeface="Arial"/>
                  </a:defRPr>
                </a:pPr>
                <a:r>
                  <a:rPr lang="en-US"/>
                  <a:t>Rate 
per 
100,000</a:t>
                </a:r>
              </a:p>
            </c:rich>
          </c:tx>
          <c:layout>
            <c:manualLayout>
              <c:xMode val="edge"/>
              <c:yMode val="edge"/>
              <c:x val="1.6611913577028036E-3"/>
              <c:y val="0.18006430868167203"/>
            </c:manualLayout>
          </c:layout>
          <c:overlay val="0"/>
          <c:spPr>
            <a:noFill/>
            <a:ln w="25139">
              <a:noFill/>
            </a:ln>
          </c:spPr>
        </c:title>
        <c:numFmt formatCode="General" sourceLinked="1"/>
        <c:majorTickMark val="out"/>
        <c:minorTickMark val="none"/>
        <c:tickLblPos val="nextTo"/>
        <c:spPr>
          <a:ln w="3142">
            <a:solidFill>
              <a:srgbClr val="000000"/>
            </a:solidFill>
            <a:prstDash val="solid"/>
          </a:ln>
        </c:spPr>
        <c:txPr>
          <a:bodyPr rot="0" vert="horz"/>
          <a:lstStyle/>
          <a:p>
            <a:pPr>
              <a:defRPr sz="1014" b="1" i="0" u="none" strike="noStrike" baseline="0">
                <a:solidFill>
                  <a:srgbClr val="000000"/>
                </a:solidFill>
                <a:latin typeface="Arial"/>
                <a:ea typeface="Arial"/>
                <a:cs typeface="Arial"/>
              </a:defRPr>
            </a:pPr>
            <a:endParaRPr lang="en-US"/>
          </a:p>
        </c:txPr>
        <c:crossAx val="102370688"/>
        <c:crosses val="autoZero"/>
        <c:crossBetween val="between"/>
      </c:valAx>
      <c:spPr>
        <a:solidFill>
          <a:srgbClr val="C0C0C0"/>
        </a:solidFill>
        <a:ln w="12569">
          <a:solidFill>
            <a:srgbClr val="808080"/>
          </a:solidFill>
          <a:prstDash val="solid"/>
        </a:ln>
      </c:spPr>
    </c:plotArea>
    <c:legend>
      <c:legendPos val="r"/>
      <c:layout>
        <c:manualLayout>
          <c:xMode val="edge"/>
          <c:yMode val="edge"/>
          <c:x val="0.43687716187794406"/>
          <c:y val="0.89710610932475887"/>
          <c:w val="0.20764127166223428"/>
          <c:h val="7.395498392282962E-2"/>
        </c:manualLayout>
      </c:layout>
      <c:overlay val="0"/>
      <c:spPr>
        <a:noFill/>
        <a:ln w="3142">
          <a:solidFill>
            <a:srgbClr val="000000"/>
          </a:solidFill>
          <a:prstDash val="solid"/>
        </a:ln>
      </c:spPr>
      <c:txPr>
        <a:bodyPr/>
        <a:lstStyle/>
        <a:p>
          <a:pPr>
            <a:defRPr sz="817" b="1" i="0" u="none" strike="noStrike" baseline="0">
              <a:solidFill>
                <a:srgbClr val="000000"/>
              </a:solidFill>
              <a:latin typeface="Arial"/>
              <a:ea typeface="Arial"/>
              <a:cs typeface="Arial"/>
            </a:defRPr>
          </a:pPr>
          <a:endParaRPr lang="en-US"/>
        </a:p>
      </c:txPr>
    </c:legend>
    <c:plotVisOnly val="1"/>
    <c:dispBlanksAs val="gap"/>
    <c:showDLblsOverMax val="0"/>
  </c:chart>
  <c:spPr>
    <a:noFill/>
    <a:ln w="6285" cap="flat" cmpd="sng" algn="ctr">
      <a:solidFill>
        <a:srgbClr val="000000"/>
      </a:solidFill>
      <a:prstDash val="solid"/>
      <a:miter lim="800000"/>
      <a:headEnd type="none" w="med" len="med"/>
      <a:tailEnd type="none" w="med" len="med"/>
    </a:ln>
  </c:spPr>
  <c:txPr>
    <a:bodyPr/>
    <a:lstStyle/>
    <a:p>
      <a:pPr>
        <a:defRPr sz="1188" b="1" i="0" u="none" strike="noStrike" baseline="0">
          <a:solidFill>
            <a:srgbClr val="000000"/>
          </a:solidFill>
          <a:latin typeface="Arial"/>
          <a:ea typeface="Arial"/>
          <a:cs typeface="Aria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en-US"/>
              <a:t>Figure 10: Age-Adjusted Incidence Rate for All Cancers* Among Asian, non-Hispanic Children and Adolescents, MA and US SEER, 2000-2009</a:t>
            </a:r>
          </a:p>
        </c:rich>
      </c:tx>
      <c:layout>
        <c:manualLayout>
          <c:xMode val="edge"/>
          <c:yMode val="edge"/>
          <c:x val="0.11000008719840251"/>
          <c:y val="3.0769230769230769E-3"/>
        </c:manualLayout>
      </c:layout>
      <c:overlay val="0"/>
      <c:spPr>
        <a:noFill/>
        <a:ln w="25393">
          <a:noFill/>
        </a:ln>
      </c:spPr>
    </c:title>
    <c:autoTitleDeleted val="0"/>
    <c:plotArea>
      <c:layout>
        <c:manualLayout>
          <c:layoutTarget val="inner"/>
          <c:xMode val="edge"/>
          <c:yMode val="edge"/>
          <c:x val="0.1216666666666667"/>
          <c:y val="0.16615384615384615"/>
          <c:w val="0.86333333333333351"/>
          <c:h val="0.5907692307692306"/>
        </c:manualLayout>
      </c:layout>
      <c:lineChart>
        <c:grouping val="standard"/>
        <c:varyColors val="0"/>
        <c:ser>
          <c:idx val="0"/>
          <c:order val="0"/>
          <c:tx>
            <c:strRef>
              <c:f>Sheet1!$A$2</c:f>
              <c:strCache>
                <c:ptCount val="1"/>
                <c:pt idx="0">
                  <c:v>MA</c:v>
                </c:pt>
              </c:strCache>
            </c:strRef>
          </c:tx>
          <c:spPr>
            <a:ln w="12696">
              <a:solidFill>
                <a:srgbClr val="0000FF"/>
              </a:solidFill>
              <a:prstDash val="solid"/>
            </a:ln>
          </c:spPr>
          <c:marker>
            <c:symbol val="plus"/>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11.5</c:v>
                </c:pt>
                <c:pt idx="1">
                  <c:v>8.9</c:v>
                </c:pt>
                <c:pt idx="2">
                  <c:v>9.1</c:v>
                </c:pt>
                <c:pt idx="3">
                  <c:v>5.9</c:v>
                </c:pt>
                <c:pt idx="4">
                  <c:v>6.3</c:v>
                </c:pt>
                <c:pt idx="5">
                  <c:v>20.2</c:v>
                </c:pt>
                <c:pt idx="6">
                  <c:v>14.4</c:v>
                </c:pt>
                <c:pt idx="7">
                  <c:v>13.7</c:v>
                </c:pt>
                <c:pt idx="8">
                  <c:v>8.1999999999999993</c:v>
                </c:pt>
                <c:pt idx="9">
                  <c:v>23.4</c:v>
                </c:pt>
              </c:numCache>
            </c:numRef>
          </c:val>
          <c:smooth val="0"/>
        </c:ser>
        <c:ser>
          <c:idx val="1"/>
          <c:order val="1"/>
          <c:tx>
            <c:strRef>
              <c:f>Sheet1!$A$3</c:f>
              <c:strCache>
                <c:ptCount val="1"/>
                <c:pt idx="0">
                  <c:v>SEER</c:v>
                </c:pt>
              </c:strCache>
            </c:strRef>
          </c:tx>
          <c:spPr>
            <a:ln w="12696">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10.6</c:v>
                </c:pt>
                <c:pt idx="1">
                  <c:v>14.3</c:v>
                </c:pt>
                <c:pt idx="2">
                  <c:v>12.7</c:v>
                </c:pt>
                <c:pt idx="3">
                  <c:v>12.4</c:v>
                </c:pt>
                <c:pt idx="4">
                  <c:v>11.6</c:v>
                </c:pt>
                <c:pt idx="5">
                  <c:v>13.4</c:v>
                </c:pt>
                <c:pt idx="6">
                  <c:v>12.5</c:v>
                </c:pt>
                <c:pt idx="7">
                  <c:v>13.4</c:v>
                </c:pt>
                <c:pt idx="8">
                  <c:v>15.2</c:v>
                </c:pt>
                <c:pt idx="9">
                  <c:v>14.1</c:v>
                </c:pt>
              </c:numCache>
            </c:numRef>
          </c:val>
          <c:smooth val="0"/>
        </c:ser>
        <c:dLbls>
          <c:showLegendKey val="0"/>
          <c:showVal val="0"/>
          <c:showCatName val="0"/>
          <c:showSerName val="0"/>
          <c:showPercent val="0"/>
          <c:showBubbleSize val="0"/>
        </c:dLbls>
        <c:marker val="1"/>
        <c:smooth val="0"/>
        <c:axId val="102530048"/>
        <c:axId val="102536704"/>
      </c:lineChart>
      <c:catAx>
        <c:axId val="102530048"/>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 of Diagnosis</a:t>
                </a:r>
              </a:p>
            </c:rich>
          </c:tx>
          <c:layout>
            <c:manualLayout>
              <c:xMode val="edge"/>
              <c:yMode val="edge"/>
              <c:x val="0.79666657946826414"/>
              <c:y val="0.84307692307692306"/>
            </c:manualLayout>
          </c:layout>
          <c:overlay val="0"/>
          <c:spPr>
            <a:noFill/>
            <a:ln w="25393">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2536704"/>
        <c:crosses val="autoZero"/>
        <c:auto val="1"/>
        <c:lblAlgn val="ctr"/>
        <c:lblOffset val="100"/>
        <c:tickLblSkip val="1"/>
        <c:tickMarkSkip val="1"/>
        <c:noMultiLvlLbl val="0"/>
      </c:catAx>
      <c:valAx>
        <c:axId val="102536704"/>
        <c:scaling>
          <c:orientation val="minMax"/>
        </c:scaling>
        <c:delete val="0"/>
        <c:axPos val="l"/>
        <c:majorGridlines>
          <c:spPr>
            <a:ln w="3174">
              <a:solidFill>
                <a:srgbClr val="000000"/>
              </a:solidFill>
              <a:prstDash val="solid"/>
            </a:ln>
          </c:spPr>
        </c:majorGridlines>
        <c:title>
          <c:tx>
            <c:rich>
              <a:bodyPr rot="0" vert="horz"/>
              <a:lstStyle/>
              <a:p>
                <a:pPr algn="ctr">
                  <a:defRPr sz="800" b="1" i="0" u="none" strike="noStrike" baseline="0">
                    <a:solidFill>
                      <a:srgbClr val="000000"/>
                    </a:solidFill>
                    <a:latin typeface="Arial"/>
                    <a:ea typeface="Arial"/>
                    <a:cs typeface="Arial"/>
                  </a:defRPr>
                </a:pPr>
                <a:r>
                  <a:rPr lang="en-US"/>
                  <a:t>Rate 
per 
100,000</a:t>
                </a:r>
              </a:p>
            </c:rich>
          </c:tx>
          <c:layout>
            <c:manualLayout>
              <c:xMode val="edge"/>
              <c:yMode val="edge"/>
              <c:x val="1.6667102658679293E-3"/>
              <c:y val="0.16"/>
            </c:manualLayout>
          </c:layout>
          <c:overlay val="0"/>
          <c:spPr>
            <a:noFill/>
            <a:ln w="25393">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2530048"/>
        <c:crosses val="autoZero"/>
        <c:crossBetween val="between"/>
      </c:valAx>
      <c:spPr>
        <a:solidFill>
          <a:srgbClr val="C0C0C0"/>
        </a:solidFill>
        <a:ln w="12696">
          <a:solidFill>
            <a:srgbClr val="808080"/>
          </a:solidFill>
          <a:prstDash val="solid"/>
        </a:ln>
      </c:spPr>
    </c:plotArea>
    <c:legend>
      <c:legendPos val="r"/>
      <c:layout>
        <c:manualLayout>
          <c:xMode val="edge"/>
          <c:yMode val="edge"/>
          <c:x val="0.44499995640079876"/>
          <c:y val="0.86461538461538456"/>
          <c:w val="0.20833337693253456"/>
          <c:h val="7.0769230769230806E-2"/>
        </c:manualLayout>
      </c:layout>
      <c:overlay val="0"/>
      <c:spPr>
        <a:noFill/>
        <a:ln w="3174">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en-US"/>
        </a:p>
      </c:txPr>
    </c:legend>
    <c:plotVisOnly val="1"/>
    <c:dispBlanksAs val="gap"/>
    <c:showDLblsOverMax val="0"/>
  </c:chart>
  <c:spPr>
    <a:noFill/>
    <a:ln w="6348" cap="flat" cmpd="sng" algn="ctr">
      <a:solidFill>
        <a:srgbClr val="000000"/>
      </a:solidFill>
      <a:prstDash val="solid"/>
      <a:miter lim="800000"/>
      <a:headEnd type="none" w="med" len="med"/>
      <a:tailEnd type="none" w="med" len="med"/>
    </a:ln>
  </c:spPr>
  <c:txPr>
    <a:bodyPr/>
    <a:lstStyle/>
    <a:p>
      <a:pPr>
        <a:defRPr sz="1425" b="1" i="0" u="none" strike="noStrike" baseline="0">
          <a:solidFill>
            <a:srgbClr val="000000"/>
          </a:solidFill>
          <a:latin typeface="Arial"/>
          <a:ea typeface="Arial"/>
          <a:cs typeface="Aria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en-US"/>
              <a:t>Figure 11: Age-Adjusted Incidence Rate for All Cancers* Among Hispanic Children and Adolescents, MA and US SEER, 2000-2009</a:t>
            </a:r>
          </a:p>
        </c:rich>
      </c:tx>
      <c:layout>
        <c:manualLayout>
          <c:xMode val="edge"/>
          <c:yMode val="edge"/>
          <c:x val="0.12227798737177886"/>
          <c:y val="3.003003003003003E-3"/>
        </c:manualLayout>
      </c:layout>
      <c:overlay val="0"/>
      <c:spPr>
        <a:noFill/>
        <a:ln w="25395">
          <a:noFill/>
        </a:ln>
      </c:spPr>
    </c:title>
    <c:autoTitleDeleted val="0"/>
    <c:plotArea>
      <c:layout>
        <c:manualLayout>
          <c:layoutTarget val="inner"/>
          <c:xMode val="edge"/>
          <c:yMode val="edge"/>
          <c:x val="0.12227805695142382"/>
          <c:y val="0.16516516516516522"/>
          <c:w val="0.86264656616415436"/>
          <c:h val="0.62462462462462498"/>
        </c:manualLayout>
      </c:layout>
      <c:lineChart>
        <c:grouping val="standard"/>
        <c:varyColors val="0"/>
        <c:ser>
          <c:idx val="0"/>
          <c:order val="0"/>
          <c:tx>
            <c:strRef>
              <c:f>Sheet1!$A$2</c:f>
              <c:strCache>
                <c:ptCount val="1"/>
                <c:pt idx="0">
                  <c:v>MA</c:v>
                </c:pt>
              </c:strCache>
            </c:strRef>
          </c:tx>
          <c:spPr>
            <a:ln w="12697">
              <a:solidFill>
                <a:srgbClr val="0000FF"/>
              </a:solidFill>
              <a:prstDash val="solid"/>
            </a:ln>
          </c:spPr>
          <c:marker>
            <c:symbol val="plus"/>
            <c:size val="2"/>
            <c:spPr>
              <a:solidFill>
                <a:srgbClr val="000080"/>
              </a:solidFill>
              <a:ln>
                <a:solidFill>
                  <a:srgbClr val="00008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9.8000000000000007</c:v>
                </c:pt>
                <c:pt idx="1">
                  <c:v>11.2</c:v>
                </c:pt>
                <c:pt idx="2">
                  <c:v>11.8</c:v>
                </c:pt>
                <c:pt idx="3">
                  <c:v>15.2</c:v>
                </c:pt>
                <c:pt idx="4">
                  <c:v>17.100000000000001</c:v>
                </c:pt>
                <c:pt idx="5">
                  <c:v>10.3</c:v>
                </c:pt>
                <c:pt idx="6">
                  <c:v>17.100000000000001</c:v>
                </c:pt>
                <c:pt idx="7">
                  <c:v>13.9</c:v>
                </c:pt>
                <c:pt idx="8">
                  <c:v>16.899999999999999</c:v>
                </c:pt>
                <c:pt idx="9">
                  <c:v>15.1</c:v>
                </c:pt>
              </c:numCache>
            </c:numRef>
          </c:val>
          <c:smooth val="0"/>
        </c:ser>
        <c:ser>
          <c:idx val="1"/>
          <c:order val="1"/>
          <c:tx>
            <c:strRef>
              <c:f>Sheet1!$A$3</c:f>
              <c:strCache>
                <c:ptCount val="1"/>
                <c:pt idx="0">
                  <c:v>SEER</c:v>
                </c:pt>
              </c:strCache>
            </c:strRef>
          </c:tx>
          <c:spPr>
            <a:ln w="12697">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15</c:v>
                </c:pt>
                <c:pt idx="1">
                  <c:v>16.3</c:v>
                </c:pt>
                <c:pt idx="2">
                  <c:v>16.100000000000001</c:v>
                </c:pt>
                <c:pt idx="3">
                  <c:v>15.3</c:v>
                </c:pt>
                <c:pt idx="4">
                  <c:v>15.8</c:v>
                </c:pt>
                <c:pt idx="5">
                  <c:v>16.5</c:v>
                </c:pt>
                <c:pt idx="6">
                  <c:v>15.3</c:v>
                </c:pt>
                <c:pt idx="7">
                  <c:v>16.399999999999999</c:v>
                </c:pt>
                <c:pt idx="8">
                  <c:v>16.399999999999999</c:v>
                </c:pt>
                <c:pt idx="9">
                  <c:v>16.600000000000001</c:v>
                </c:pt>
              </c:numCache>
            </c:numRef>
          </c:val>
          <c:smooth val="0"/>
        </c:ser>
        <c:dLbls>
          <c:showLegendKey val="0"/>
          <c:showVal val="0"/>
          <c:showCatName val="0"/>
          <c:showSerName val="0"/>
          <c:showPercent val="0"/>
          <c:showBubbleSize val="0"/>
        </c:dLbls>
        <c:marker val="1"/>
        <c:smooth val="0"/>
        <c:axId val="102590720"/>
        <c:axId val="102601472"/>
      </c:lineChart>
      <c:catAx>
        <c:axId val="102590720"/>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 of Diagnosis</a:t>
                </a:r>
              </a:p>
            </c:rich>
          </c:tx>
          <c:layout>
            <c:manualLayout>
              <c:xMode val="edge"/>
              <c:yMode val="edge"/>
              <c:x val="0.80234511587554058"/>
              <c:y val="0.8858858858858859"/>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2601472"/>
        <c:crosses val="autoZero"/>
        <c:auto val="1"/>
        <c:lblAlgn val="ctr"/>
        <c:lblOffset val="100"/>
        <c:tickLblSkip val="1"/>
        <c:tickMarkSkip val="1"/>
        <c:noMultiLvlLbl val="0"/>
      </c:catAx>
      <c:valAx>
        <c:axId val="102601472"/>
        <c:scaling>
          <c:orientation val="minMax"/>
        </c:scaling>
        <c:delete val="0"/>
        <c:axPos val="l"/>
        <c:majorGridlines>
          <c:spPr>
            <a:ln w="3174">
              <a:solidFill>
                <a:srgbClr val="000000"/>
              </a:solidFill>
              <a:prstDash val="solid"/>
            </a:ln>
          </c:spPr>
        </c:majorGridlines>
        <c:title>
          <c:tx>
            <c:rich>
              <a:bodyPr rot="0" vert="horz"/>
              <a:lstStyle/>
              <a:p>
                <a:pPr algn="ctr">
                  <a:defRPr sz="800" b="1" i="0" u="none" strike="noStrike" baseline="0">
                    <a:solidFill>
                      <a:srgbClr val="000000"/>
                    </a:solidFill>
                    <a:latin typeface="Arial"/>
                    <a:ea typeface="Arial"/>
                    <a:cs typeface="Arial"/>
                  </a:defRPr>
                </a:pPr>
                <a:r>
                  <a:rPr lang="en-US"/>
                  <a:t>Rate 
per 
100,000</a:t>
                </a:r>
              </a:p>
            </c:rich>
          </c:tx>
          <c:layout>
            <c:manualLayout>
              <c:xMode val="edge"/>
              <c:yMode val="edge"/>
              <c:x val="3.3501154592737678E-3"/>
              <c:y val="0.16816816816816818"/>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2590720"/>
        <c:crosses val="autoZero"/>
        <c:crossBetween val="between"/>
      </c:valAx>
      <c:spPr>
        <a:solidFill>
          <a:srgbClr val="C0C0C0"/>
        </a:solidFill>
        <a:ln w="12697">
          <a:solidFill>
            <a:srgbClr val="808080"/>
          </a:solidFill>
          <a:prstDash val="solid"/>
        </a:ln>
      </c:spPr>
    </c:plotArea>
    <c:legend>
      <c:legendPos val="r"/>
      <c:layout>
        <c:manualLayout>
          <c:xMode val="edge"/>
          <c:yMode val="edge"/>
          <c:x val="0.4371858609493513"/>
          <c:y val="0.89189189189189189"/>
          <c:w val="0.20938028823191757"/>
          <c:h val="6.9069069069069067E-2"/>
        </c:manualLayout>
      </c:layout>
      <c:overlay val="0"/>
      <c:spPr>
        <a:noFill/>
        <a:ln w="3174">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en-US"/>
        </a:p>
      </c:txPr>
    </c:legend>
    <c:plotVisOnly val="1"/>
    <c:dispBlanksAs val="gap"/>
    <c:showDLblsOverMax val="0"/>
  </c:chart>
  <c:spPr>
    <a:noFill/>
    <a:ln w="6349" cap="flat" cmpd="sng" algn="ctr">
      <a:solidFill>
        <a:srgbClr val="000000"/>
      </a:solidFill>
      <a:prstDash val="solid"/>
      <a:miter lim="800000"/>
      <a:headEnd type="none" w="med" len="med"/>
      <a:tailEnd type="none" w="med" len="med"/>
    </a:ln>
  </c:spPr>
  <c:txPr>
    <a:bodyPr/>
    <a:lstStyle/>
    <a:p>
      <a:pPr>
        <a:defRPr sz="1475" b="1" i="0" u="none" strike="noStrike" baseline="0">
          <a:solidFill>
            <a:srgbClr val="000000"/>
          </a:solidFill>
          <a:latin typeface="Arial"/>
          <a:ea typeface="Arial"/>
          <a:cs typeface="Aria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80" b="1" i="0" u="none" strike="noStrike" baseline="0">
                <a:solidFill>
                  <a:srgbClr val="000000"/>
                </a:solidFill>
                <a:latin typeface="Arial"/>
                <a:ea typeface="Arial"/>
                <a:cs typeface="Arial"/>
              </a:defRPr>
            </a:pPr>
            <a:r>
              <a:rPr lang="en-US"/>
              <a:t>Figure 13: Age-Adjusted Leukemia Incidence Rates* Among Children and Adolescents, White, NH and Hispanic MA , 2000-2009</a:t>
            </a:r>
          </a:p>
        </c:rich>
      </c:tx>
      <c:layout>
        <c:manualLayout>
          <c:xMode val="edge"/>
          <c:yMode val="edge"/>
          <c:x val="0.12126245413353182"/>
          <c:y val="0"/>
        </c:manualLayout>
      </c:layout>
      <c:overlay val="0"/>
      <c:spPr>
        <a:noFill/>
        <a:ln w="24885">
          <a:noFill/>
        </a:ln>
      </c:spPr>
    </c:title>
    <c:autoTitleDeleted val="0"/>
    <c:plotArea>
      <c:layout>
        <c:manualLayout>
          <c:layoutTarget val="inner"/>
          <c:xMode val="edge"/>
          <c:yMode val="edge"/>
          <c:x val="0.10797342192691038"/>
          <c:y val="0.1641337386018237"/>
          <c:w val="0.87375415282392044"/>
          <c:h val="0.62917933130699111"/>
        </c:manualLayout>
      </c:layout>
      <c:lineChart>
        <c:grouping val="standard"/>
        <c:varyColors val="0"/>
        <c:ser>
          <c:idx val="2"/>
          <c:order val="0"/>
          <c:tx>
            <c:strRef>
              <c:f>Sheet1!$A$2</c:f>
              <c:strCache>
                <c:ptCount val="1"/>
                <c:pt idx="0">
                  <c:v>White, NH</c:v>
                </c:pt>
              </c:strCache>
            </c:strRef>
          </c:tx>
          <c:spPr>
            <a:ln w="12443">
              <a:solidFill>
                <a:srgbClr val="000000"/>
              </a:solidFill>
              <a:prstDash val="solid"/>
            </a:ln>
          </c:spPr>
          <c:marker>
            <c:symbol val="circle"/>
            <c:size val="4"/>
            <c:spPr>
              <a:solidFill>
                <a:srgbClr val="000000"/>
              </a:solidFill>
              <a:ln>
                <a:solidFill>
                  <a:srgbClr val="000000"/>
                </a:solidFill>
                <a:prstDash val="solid"/>
              </a:ln>
            </c:spPr>
          </c:marker>
          <c:cat>
            <c:numRef>
              <c:f>Sheet1!$B$1:$J$1</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Sheet1!$B$2:$J$2</c:f>
              <c:numCache>
                <c:formatCode>General</c:formatCode>
                <c:ptCount val="9"/>
                <c:pt idx="0">
                  <c:v>4</c:v>
                </c:pt>
                <c:pt idx="1">
                  <c:v>4.7</c:v>
                </c:pt>
                <c:pt idx="2">
                  <c:v>4.3</c:v>
                </c:pt>
                <c:pt idx="3">
                  <c:v>5.0999999999999996</c:v>
                </c:pt>
                <c:pt idx="4">
                  <c:v>4.8</c:v>
                </c:pt>
                <c:pt idx="5">
                  <c:v>5.2</c:v>
                </c:pt>
                <c:pt idx="6">
                  <c:v>4.2</c:v>
                </c:pt>
                <c:pt idx="7">
                  <c:v>4.9000000000000004</c:v>
                </c:pt>
                <c:pt idx="8">
                  <c:v>4.7</c:v>
                </c:pt>
              </c:numCache>
            </c:numRef>
          </c:val>
          <c:smooth val="0"/>
        </c:ser>
        <c:ser>
          <c:idx val="4"/>
          <c:order val="1"/>
          <c:tx>
            <c:strRef>
              <c:f>Sheet1!$A$3</c:f>
              <c:strCache>
                <c:ptCount val="1"/>
                <c:pt idx="0">
                  <c:v>Hispanic</c:v>
                </c:pt>
              </c:strCache>
            </c:strRef>
          </c:tx>
          <c:spPr>
            <a:ln w="12443">
              <a:solidFill>
                <a:srgbClr val="FF0000"/>
              </a:solidFill>
              <a:prstDash val="solid"/>
            </a:ln>
          </c:spPr>
          <c:marker>
            <c:symbol val="star"/>
            <c:size val="2"/>
            <c:spPr>
              <a:solidFill>
                <a:srgbClr val="FF0000"/>
              </a:solidFill>
              <a:ln>
                <a:solidFill>
                  <a:srgbClr val="FF0000"/>
                </a:solidFill>
                <a:prstDash val="solid"/>
              </a:ln>
            </c:spPr>
          </c:marker>
          <c:cat>
            <c:numRef>
              <c:f>Sheet1!$B$1:$J$1</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Sheet1!$B$3:$J$3</c:f>
              <c:numCache>
                <c:formatCode>General</c:formatCode>
                <c:ptCount val="9"/>
                <c:pt idx="0">
                  <c:v>3.4</c:v>
                </c:pt>
                <c:pt idx="1">
                  <c:v>3.9</c:v>
                </c:pt>
                <c:pt idx="2">
                  <c:v>4.7</c:v>
                </c:pt>
                <c:pt idx="3">
                  <c:v>4.0999999999999996</c:v>
                </c:pt>
                <c:pt idx="4">
                  <c:v>4</c:v>
                </c:pt>
                <c:pt idx="5">
                  <c:v>5</c:v>
                </c:pt>
                <c:pt idx="6">
                  <c:v>3.2</c:v>
                </c:pt>
                <c:pt idx="7">
                  <c:v>6.7</c:v>
                </c:pt>
                <c:pt idx="8">
                  <c:v>4</c:v>
                </c:pt>
              </c:numCache>
            </c:numRef>
          </c:val>
          <c:smooth val="0"/>
        </c:ser>
        <c:dLbls>
          <c:showLegendKey val="0"/>
          <c:showVal val="0"/>
          <c:showCatName val="0"/>
          <c:showSerName val="0"/>
          <c:showPercent val="0"/>
          <c:showBubbleSize val="0"/>
        </c:dLbls>
        <c:marker val="1"/>
        <c:smooth val="0"/>
        <c:axId val="102806656"/>
        <c:axId val="102808960"/>
      </c:lineChart>
      <c:catAx>
        <c:axId val="102806656"/>
        <c:scaling>
          <c:orientation val="minMax"/>
        </c:scaling>
        <c:delete val="0"/>
        <c:axPos val="b"/>
        <c:title>
          <c:tx>
            <c:rich>
              <a:bodyPr/>
              <a:lstStyle/>
              <a:p>
                <a:pPr>
                  <a:defRPr sz="784" b="1" i="0" u="none" strike="noStrike" baseline="0">
                    <a:solidFill>
                      <a:srgbClr val="000000"/>
                    </a:solidFill>
                    <a:latin typeface="Arial"/>
                    <a:ea typeface="Arial"/>
                    <a:cs typeface="Arial"/>
                  </a:defRPr>
                </a:pPr>
                <a:r>
                  <a:rPr lang="en-US"/>
                  <a:t>Year of Diagnosis</a:t>
                </a:r>
              </a:p>
            </c:rich>
          </c:tx>
          <c:layout>
            <c:manualLayout>
              <c:xMode val="edge"/>
              <c:yMode val="edge"/>
              <c:x val="0.8039867155908994"/>
              <c:y val="0.88449848024316113"/>
            </c:manualLayout>
          </c:layout>
          <c:overlay val="0"/>
          <c:spPr>
            <a:noFill/>
            <a:ln w="24885">
              <a:noFill/>
            </a:ln>
          </c:spPr>
        </c:title>
        <c:numFmt formatCode="General" sourceLinked="1"/>
        <c:majorTickMark val="out"/>
        <c:minorTickMark val="none"/>
        <c:tickLblPos val="nextTo"/>
        <c:spPr>
          <a:ln w="3111">
            <a:solidFill>
              <a:srgbClr val="000000"/>
            </a:solidFill>
            <a:prstDash val="solid"/>
          </a:ln>
        </c:spPr>
        <c:txPr>
          <a:bodyPr rot="0" vert="horz"/>
          <a:lstStyle/>
          <a:p>
            <a:pPr>
              <a:defRPr sz="882" b="1" i="0" u="none" strike="noStrike" baseline="0">
                <a:solidFill>
                  <a:srgbClr val="000000"/>
                </a:solidFill>
                <a:latin typeface="Arial"/>
                <a:ea typeface="Arial"/>
                <a:cs typeface="Arial"/>
              </a:defRPr>
            </a:pPr>
            <a:endParaRPr lang="en-US"/>
          </a:p>
        </c:txPr>
        <c:crossAx val="102808960"/>
        <c:crosses val="autoZero"/>
        <c:auto val="1"/>
        <c:lblAlgn val="ctr"/>
        <c:lblOffset val="100"/>
        <c:tickLblSkip val="1"/>
        <c:tickMarkSkip val="1"/>
        <c:noMultiLvlLbl val="0"/>
      </c:catAx>
      <c:valAx>
        <c:axId val="102808960"/>
        <c:scaling>
          <c:orientation val="minMax"/>
        </c:scaling>
        <c:delete val="0"/>
        <c:axPos val="l"/>
        <c:majorGridlines>
          <c:spPr>
            <a:ln w="3111">
              <a:solidFill>
                <a:srgbClr val="000000"/>
              </a:solidFill>
              <a:prstDash val="solid"/>
            </a:ln>
          </c:spPr>
        </c:majorGridlines>
        <c:title>
          <c:tx>
            <c:rich>
              <a:bodyPr rot="0" vert="horz"/>
              <a:lstStyle/>
              <a:p>
                <a:pPr algn="ctr">
                  <a:defRPr sz="784" b="1" i="0" u="none" strike="noStrike" baseline="0">
                    <a:solidFill>
                      <a:srgbClr val="000000"/>
                    </a:solidFill>
                    <a:latin typeface="Arial"/>
                    <a:ea typeface="Arial"/>
                    <a:cs typeface="Arial"/>
                  </a:defRPr>
                </a:pPr>
                <a:r>
                  <a:rPr lang="en-US"/>
                  <a:t>Rate 
per 
100,000</a:t>
                </a:r>
              </a:p>
            </c:rich>
          </c:tx>
          <c:layout>
            <c:manualLayout>
              <c:xMode val="edge"/>
              <c:yMode val="edge"/>
              <c:x val="6.644467948969065E-3"/>
              <c:y val="0.17933130699088146"/>
            </c:manualLayout>
          </c:layout>
          <c:overlay val="0"/>
          <c:spPr>
            <a:noFill/>
            <a:ln w="24885">
              <a:noFill/>
            </a:ln>
          </c:spPr>
        </c:title>
        <c:numFmt formatCode="General" sourceLinked="1"/>
        <c:majorTickMark val="out"/>
        <c:minorTickMark val="none"/>
        <c:tickLblPos val="nextTo"/>
        <c:spPr>
          <a:ln w="3111">
            <a:solidFill>
              <a:srgbClr val="000000"/>
            </a:solidFill>
            <a:prstDash val="solid"/>
          </a:ln>
        </c:spPr>
        <c:txPr>
          <a:bodyPr rot="0" vert="horz"/>
          <a:lstStyle/>
          <a:p>
            <a:pPr>
              <a:defRPr sz="882" b="1" i="0" u="none" strike="noStrike" baseline="0">
                <a:solidFill>
                  <a:srgbClr val="000000"/>
                </a:solidFill>
                <a:latin typeface="Arial"/>
                <a:ea typeface="Arial"/>
                <a:cs typeface="Arial"/>
              </a:defRPr>
            </a:pPr>
            <a:endParaRPr lang="en-US"/>
          </a:p>
        </c:txPr>
        <c:crossAx val="102806656"/>
        <c:crosses val="autoZero"/>
        <c:crossBetween val="between"/>
      </c:valAx>
      <c:spPr>
        <a:solidFill>
          <a:srgbClr val="C0C0C0"/>
        </a:solidFill>
        <a:ln w="12443">
          <a:solidFill>
            <a:srgbClr val="808080"/>
          </a:solidFill>
          <a:prstDash val="solid"/>
        </a:ln>
      </c:spPr>
    </c:plotArea>
    <c:legend>
      <c:legendPos val="r"/>
      <c:layout>
        <c:manualLayout>
          <c:xMode val="edge"/>
          <c:yMode val="edge"/>
          <c:x val="0.39202656881820119"/>
          <c:y val="0.9057750759878419"/>
          <c:w val="0.30066448161641479"/>
          <c:h val="6.9908814589665691E-2"/>
        </c:manualLayout>
      </c:layout>
      <c:overlay val="0"/>
      <c:spPr>
        <a:noFill/>
        <a:ln w="3111">
          <a:solidFill>
            <a:srgbClr val="000000"/>
          </a:solidFill>
          <a:prstDash val="solid"/>
        </a:ln>
      </c:spPr>
      <c:txPr>
        <a:bodyPr/>
        <a:lstStyle/>
        <a:p>
          <a:pPr>
            <a:defRPr sz="808" b="1" i="0" u="none" strike="noStrike" baseline="0">
              <a:solidFill>
                <a:srgbClr val="000000"/>
              </a:solidFill>
              <a:latin typeface="Arial"/>
              <a:ea typeface="Arial"/>
              <a:cs typeface="Arial"/>
            </a:defRPr>
          </a:pPr>
          <a:endParaRPr lang="en-US"/>
        </a:p>
      </c:txPr>
    </c:legend>
    <c:plotVisOnly val="1"/>
    <c:dispBlanksAs val="gap"/>
    <c:showDLblsOverMax val="0"/>
  </c:chart>
  <c:spPr>
    <a:noFill/>
    <a:ln w="6221" cap="flat" cmpd="sng" algn="ctr">
      <a:solidFill>
        <a:srgbClr val="000000"/>
      </a:solidFill>
      <a:prstDash val="solid"/>
      <a:miter lim="800000"/>
      <a:headEnd type="none" w="med" len="med"/>
      <a:tailEnd type="none" w="med" len="med"/>
    </a:ln>
  </c:spPr>
  <c:txPr>
    <a:bodyPr/>
    <a:lstStyle/>
    <a:p>
      <a:pPr>
        <a:defRPr sz="1421" b="1" i="0" u="none" strike="noStrike" baseline="0">
          <a:solidFill>
            <a:srgbClr val="000000"/>
          </a:solidFill>
          <a:latin typeface="Arial"/>
          <a:ea typeface="Arial"/>
          <a:cs typeface="Aria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en-US"/>
              <a:t>Figure 14: Age-Adjusted Acute Lymphoid Leukemia (ALL) Incidence Rates* Among Children and Adolescents , MA and US SEER, 2000-2009</a:t>
            </a:r>
          </a:p>
        </c:rich>
      </c:tx>
      <c:layout>
        <c:manualLayout>
          <c:xMode val="edge"/>
          <c:yMode val="edge"/>
          <c:x val="0.11295681063122924"/>
          <c:y val="0"/>
        </c:manualLayout>
      </c:layout>
      <c:overlay val="0"/>
      <c:spPr>
        <a:noFill/>
        <a:ln w="25393">
          <a:noFill/>
        </a:ln>
      </c:spPr>
    </c:title>
    <c:autoTitleDeleted val="0"/>
    <c:plotArea>
      <c:layout>
        <c:manualLayout>
          <c:layoutTarget val="inner"/>
          <c:xMode val="edge"/>
          <c:yMode val="edge"/>
          <c:x val="0.12458471760797342"/>
          <c:y val="0.15727002967359047"/>
          <c:w val="0.85714285714285732"/>
          <c:h val="0.6409495548961428"/>
        </c:manualLayout>
      </c:layout>
      <c:lineChart>
        <c:grouping val="standard"/>
        <c:varyColors val="0"/>
        <c:ser>
          <c:idx val="2"/>
          <c:order val="0"/>
          <c:tx>
            <c:strRef>
              <c:f>Sheet1!$A$2</c:f>
              <c:strCache>
                <c:ptCount val="1"/>
                <c:pt idx="0">
                  <c:v>ALL MA</c:v>
                </c:pt>
              </c:strCache>
            </c:strRef>
          </c:tx>
          <c:spPr>
            <a:ln w="12696">
              <a:solidFill>
                <a:srgbClr val="0000FF"/>
              </a:solidFill>
              <a:prstDash val="solid"/>
            </a:ln>
          </c:spPr>
          <c:marker>
            <c:symbol val="circle"/>
            <c:size val="4"/>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2.8</c:v>
                </c:pt>
                <c:pt idx="1">
                  <c:v>2.8</c:v>
                </c:pt>
                <c:pt idx="2">
                  <c:v>3.2</c:v>
                </c:pt>
                <c:pt idx="3">
                  <c:v>3.4</c:v>
                </c:pt>
                <c:pt idx="4">
                  <c:v>3.3</c:v>
                </c:pt>
                <c:pt idx="5">
                  <c:v>3.7</c:v>
                </c:pt>
                <c:pt idx="6">
                  <c:v>3.6</c:v>
                </c:pt>
                <c:pt idx="7">
                  <c:v>3.3</c:v>
                </c:pt>
                <c:pt idx="8">
                  <c:v>4.0999999999999996</c:v>
                </c:pt>
                <c:pt idx="9">
                  <c:v>3.5</c:v>
                </c:pt>
              </c:numCache>
            </c:numRef>
          </c:val>
          <c:smooth val="0"/>
        </c:ser>
        <c:ser>
          <c:idx val="4"/>
          <c:order val="1"/>
          <c:tx>
            <c:strRef>
              <c:f>Sheet1!$A$3</c:f>
              <c:strCache>
                <c:ptCount val="1"/>
                <c:pt idx="0">
                  <c:v>ALL SEER</c:v>
                </c:pt>
              </c:strCache>
            </c:strRef>
          </c:tx>
          <c:spPr>
            <a:ln w="12696">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2.2000000000000002</c:v>
                </c:pt>
                <c:pt idx="1">
                  <c:v>2.2999999999999998</c:v>
                </c:pt>
                <c:pt idx="2">
                  <c:v>2.4</c:v>
                </c:pt>
                <c:pt idx="3">
                  <c:v>2.2000000000000002</c:v>
                </c:pt>
                <c:pt idx="4">
                  <c:v>2.4</c:v>
                </c:pt>
                <c:pt idx="5">
                  <c:v>2.4</c:v>
                </c:pt>
                <c:pt idx="6">
                  <c:v>2.5</c:v>
                </c:pt>
                <c:pt idx="7">
                  <c:v>2.5</c:v>
                </c:pt>
                <c:pt idx="8">
                  <c:v>2.4</c:v>
                </c:pt>
                <c:pt idx="9">
                  <c:v>2.5</c:v>
                </c:pt>
              </c:numCache>
            </c:numRef>
          </c:val>
          <c:smooth val="0"/>
        </c:ser>
        <c:dLbls>
          <c:showLegendKey val="0"/>
          <c:showVal val="0"/>
          <c:showCatName val="0"/>
          <c:showSerName val="0"/>
          <c:showPercent val="0"/>
          <c:showBubbleSize val="0"/>
        </c:dLbls>
        <c:marker val="1"/>
        <c:smooth val="0"/>
        <c:axId val="103051648"/>
        <c:axId val="103053952"/>
      </c:lineChart>
      <c:catAx>
        <c:axId val="103051648"/>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 of Diagnosis</a:t>
                </a:r>
              </a:p>
            </c:rich>
          </c:tx>
          <c:layout>
            <c:manualLayout>
              <c:xMode val="edge"/>
              <c:yMode val="edge"/>
              <c:x val="0.81395348837209303"/>
              <c:y val="0.90207715133531152"/>
            </c:manualLayout>
          </c:layout>
          <c:overlay val="0"/>
          <c:spPr>
            <a:noFill/>
            <a:ln w="25393">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3053952"/>
        <c:crosses val="autoZero"/>
        <c:auto val="1"/>
        <c:lblAlgn val="ctr"/>
        <c:lblOffset val="100"/>
        <c:tickLblSkip val="1"/>
        <c:tickMarkSkip val="1"/>
        <c:noMultiLvlLbl val="0"/>
      </c:catAx>
      <c:valAx>
        <c:axId val="103053952"/>
        <c:scaling>
          <c:orientation val="minMax"/>
        </c:scaling>
        <c:delete val="0"/>
        <c:axPos val="l"/>
        <c:majorGridlines>
          <c:spPr>
            <a:ln w="3174">
              <a:solidFill>
                <a:srgbClr val="000000"/>
              </a:solidFill>
              <a:prstDash val="solid"/>
            </a:ln>
          </c:spPr>
        </c:majorGridlines>
        <c:title>
          <c:tx>
            <c:rich>
              <a:bodyPr rot="0" vert="horz"/>
              <a:lstStyle/>
              <a:p>
                <a:pPr algn="ctr">
                  <a:defRPr sz="800" b="1" i="0" u="none" strike="noStrike" baseline="0">
                    <a:solidFill>
                      <a:srgbClr val="000000"/>
                    </a:solidFill>
                    <a:latin typeface="Arial"/>
                    <a:ea typeface="Arial"/>
                    <a:cs typeface="Arial"/>
                  </a:defRPr>
                </a:pPr>
                <a:r>
                  <a:rPr lang="en-US"/>
                  <a:t>Rate 
per 
100,000</a:t>
                </a:r>
              </a:p>
            </c:rich>
          </c:tx>
          <c:layout>
            <c:manualLayout>
              <c:xMode val="edge"/>
              <c:yMode val="edge"/>
              <c:x val="4.9833887043189366E-3"/>
              <c:y val="0.16320474777448071"/>
            </c:manualLayout>
          </c:layout>
          <c:overlay val="0"/>
          <c:spPr>
            <a:noFill/>
            <a:ln w="25393">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3051648"/>
        <c:crosses val="autoZero"/>
        <c:crossBetween val="between"/>
      </c:valAx>
      <c:spPr>
        <a:solidFill>
          <a:srgbClr val="C0C0C0"/>
        </a:solidFill>
        <a:ln w="12696">
          <a:solidFill>
            <a:srgbClr val="808080"/>
          </a:solidFill>
          <a:prstDash val="solid"/>
        </a:ln>
      </c:spPr>
    </c:plotArea>
    <c:legend>
      <c:legendPos val="r"/>
      <c:layout>
        <c:manualLayout>
          <c:xMode val="edge"/>
          <c:yMode val="edge"/>
          <c:x val="0.4019933554817276"/>
          <c:y val="0.90801186943620182"/>
          <c:w val="0.29069767441860467"/>
          <c:h val="6.8249258160237414E-2"/>
        </c:manualLayout>
      </c:layout>
      <c:overlay val="0"/>
      <c:spPr>
        <a:noFill/>
        <a:ln w="3174">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en-US"/>
        </a:p>
      </c:txPr>
    </c:legend>
    <c:plotVisOnly val="1"/>
    <c:dispBlanksAs val="gap"/>
    <c:showDLblsOverMax val="0"/>
  </c:chart>
  <c:spPr>
    <a:noFill/>
    <a:ln w="6348" cap="flat" cmpd="sng" algn="ctr">
      <a:solidFill>
        <a:srgbClr val="000000"/>
      </a:solidFill>
      <a:prstDash val="solid"/>
      <a:miter lim="800000"/>
      <a:headEnd type="none" w="med" len="med"/>
      <a:tailEnd type="none" w="med" len="med"/>
    </a:ln>
  </c:spPr>
  <c:txPr>
    <a:bodyPr/>
    <a:lstStyle/>
    <a:p>
      <a:pPr>
        <a:defRPr sz="1475" b="1" i="0" u="none" strike="noStrike" baseline="0">
          <a:solidFill>
            <a:srgbClr val="000000"/>
          </a:solidFill>
          <a:latin typeface="Arial"/>
          <a:ea typeface="Arial"/>
          <a:cs typeface="Aria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65" b="1" i="0" u="none" strike="noStrike" baseline="0">
                <a:solidFill>
                  <a:srgbClr val="000000"/>
                </a:solidFill>
                <a:latin typeface="Arial"/>
                <a:ea typeface="Arial"/>
                <a:cs typeface="Arial"/>
              </a:defRPr>
            </a:pPr>
            <a:r>
              <a:rPr lang="en-US"/>
              <a:t>Figure 15: Age-Adjusted Acute Myeloid Leukemia (AML) Incidence Rates* Among Children and Adolescents , MA and US SEER, 2000-2009</a:t>
            </a:r>
          </a:p>
        </c:rich>
      </c:tx>
      <c:layout>
        <c:manualLayout>
          <c:xMode val="edge"/>
          <c:yMode val="edge"/>
          <c:x val="0.12"/>
          <c:y val="0"/>
        </c:manualLayout>
      </c:layout>
      <c:overlay val="0"/>
      <c:spPr>
        <a:noFill/>
        <a:ln w="25151">
          <a:noFill/>
        </a:ln>
      </c:spPr>
    </c:title>
    <c:autoTitleDeleted val="0"/>
    <c:plotArea>
      <c:layout>
        <c:manualLayout>
          <c:layoutTarget val="inner"/>
          <c:xMode val="edge"/>
          <c:yMode val="edge"/>
          <c:x val="0.125"/>
          <c:y val="0.16513761467889904"/>
          <c:w val="0.85666666666666669"/>
          <c:h val="0.60550458715596311"/>
        </c:manualLayout>
      </c:layout>
      <c:lineChart>
        <c:grouping val="standard"/>
        <c:varyColors val="0"/>
        <c:ser>
          <c:idx val="3"/>
          <c:order val="0"/>
          <c:tx>
            <c:strRef>
              <c:f>Sheet1!$A$2</c:f>
              <c:strCache>
                <c:ptCount val="1"/>
                <c:pt idx="0">
                  <c:v>AML MA</c:v>
                </c:pt>
              </c:strCache>
            </c:strRef>
          </c:tx>
          <c:spPr>
            <a:ln w="12575">
              <a:solidFill>
                <a:srgbClr val="0000FF"/>
              </a:solidFill>
              <a:prstDash val="solid"/>
            </a:ln>
          </c:spPr>
          <c:marker>
            <c:symbol val="plus"/>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0.8</c:v>
                </c:pt>
                <c:pt idx="1">
                  <c:v>0.5</c:v>
                </c:pt>
                <c:pt idx="2">
                  <c:v>0.9</c:v>
                </c:pt>
                <c:pt idx="3">
                  <c:v>0.5</c:v>
                </c:pt>
                <c:pt idx="4">
                  <c:v>0.9</c:v>
                </c:pt>
                <c:pt idx="5">
                  <c:v>0.6</c:v>
                </c:pt>
                <c:pt idx="6">
                  <c:v>0.6</c:v>
                </c:pt>
                <c:pt idx="7">
                  <c:v>0.7</c:v>
                </c:pt>
                <c:pt idx="8">
                  <c:v>0.8</c:v>
                </c:pt>
                <c:pt idx="9">
                  <c:v>0.5</c:v>
                </c:pt>
              </c:numCache>
            </c:numRef>
          </c:val>
          <c:smooth val="0"/>
        </c:ser>
        <c:ser>
          <c:idx val="5"/>
          <c:order val="1"/>
          <c:tx>
            <c:strRef>
              <c:f>Sheet1!$A$3</c:f>
              <c:strCache>
                <c:ptCount val="1"/>
                <c:pt idx="0">
                  <c:v>AML SEER</c:v>
                </c:pt>
              </c:strCache>
            </c:strRef>
          </c:tx>
          <c:spPr>
            <a:ln w="12575">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0.7</c:v>
                </c:pt>
                <c:pt idx="1">
                  <c:v>0.8</c:v>
                </c:pt>
                <c:pt idx="2">
                  <c:v>0.9</c:v>
                </c:pt>
                <c:pt idx="3">
                  <c:v>0.7</c:v>
                </c:pt>
                <c:pt idx="4">
                  <c:v>0.7</c:v>
                </c:pt>
                <c:pt idx="5">
                  <c:v>0.9</c:v>
                </c:pt>
                <c:pt idx="6">
                  <c:v>0.8</c:v>
                </c:pt>
                <c:pt idx="7">
                  <c:v>0.8</c:v>
                </c:pt>
                <c:pt idx="8">
                  <c:v>0.8</c:v>
                </c:pt>
                <c:pt idx="9">
                  <c:v>0.7</c:v>
                </c:pt>
              </c:numCache>
            </c:numRef>
          </c:val>
          <c:smooth val="0"/>
        </c:ser>
        <c:dLbls>
          <c:showLegendKey val="0"/>
          <c:showVal val="0"/>
          <c:showCatName val="0"/>
          <c:showSerName val="0"/>
          <c:showPercent val="0"/>
          <c:showBubbleSize val="0"/>
        </c:dLbls>
        <c:marker val="1"/>
        <c:smooth val="0"/>
        <c:axId val="103087488"/>
        <c:axId val="105187200"/>
      </c:lineChart>
      <c:catAx>
        <c:axId val="103087488"/>
        <c:scaling>
          <c:orientation val="minMax"/>
        </c:scaling>
        <c:delete val="0"/>
        <c:axPos val="b"/>
        <c:title>
          <c:tx>
            <c:rich>
              <a:bodyPr/>
              <a:lstStyle/>
              <a:p>
                <a:pPr>
                  <a:defRPr sz="792" b="1" i="0" u="none" strike="noStrike" baseline="0">
                    <a:solidFill>
                      <a:srgbClr val="000000"/>
                    </a:solidFill>
                    <a:latin typeface="Arial"/>
                    <a:ea typeface="Arial"/>
                    <a:cs typeface="Arial"/>
                  </a:defRPr>
                </a:pPr>
                <a:r>
                  <a:rPr lang="en-US"/>
                  <a:t>Year of Diagnosis</a:t>
                </a:r>
              </a:p>
            </c:rich>
          </c:tx>
          <c:layout>
            <c:manualLayout>
              <c:xMode val="edge"/>
              <c:yMode val="edge"/>
              <c:x val="0.81666657946826415"/>
              <c:y val="0.88379204892966357"/>
            </c:manualLayout>
          </c:layout>
          <c:overlay val="0"/>
          <c:spPr>
            <a:noFill/>
            <a:ln w="25151">
              <a:noFill/>
            </a:ln>
          </c:spPr>
        </c:title>
        <c:numFmt formatCode="General" sourceLinked="1"/>
        <c:majorTickMark val="out"/>
        <c:minorTickMark val="none"/>
        <c:tickLblPos val="nextTo"/>
        <c:spPr>
          <a:ln w="3144">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5187200"/>
        <c:crosses val="autoZero"/>
        <c:auto val="1"/>
        <c:lblAlgn val="ctr"/>
        <c:lblOffset val="100"/>
        <c:tickLblSkip val="1"/>
        <c:tickMarkSkip val="1"/>
        <c:noMultiLvlLbl val="0"/>
      </c:catAx>
      <c:valAx>
        <c:axId val="105187200"/>
        <c:scaling>
          <c:orientation val="minMax"/>
        </c:scaling>
        <c:delete val="0"/>
        <c:axPos val="l"/>
        <c:majorGridlines>
          <c:spPr>
            <a:ln w="3144">
              <a:solidFill>
                <a:srgbClr val="000000"/>
              </a:solidFill>
              <a:prstDash val="solid"/>
            </a:ln>
          </c:spPr>
        </c:majorGridlines>
        <c:title>
          <c:tx>
            <c:rich>
              <a:bodyPr rot="0" vert="horz"/>
              <a:lstStyle/>
              <a:p>
                <a:pPr algn="ctr">
                  <a:defRPr sz="792" b="1" i="0" u="none" strike="noStrike" baseline="0">
                    <a:solidFill>
                      <a:srgbClr val="000000"/>
                    </a:solidFill>
                    <a:latin typeface="Arial"/>
                    <a:ea typeface="Arial"/>
                    <a:cs typeface="Arial"/>
                  </a:defRPr>
                </a:pPr>
                <a:r>
                  <a:rPr lang="en-US"/>
                  <a:t>Rate 
per 
100,000</a:t>
                </a:r>
              </a:p>
            </c:rich>
          </c:tx>
          <c:layout>
            <c:manualLayout>
              <c:xMode val="edge"/>
              <c:yMode val="edge"/>
              <c:x val="3.3334205317358586E-3"/>
              <c:y val="0.15596330275229359"/>
            </c:manualLayout>
          </c:layout>
          <c:overlay val="0"/>
          <c:spPr>
            <a:noFill/>
            <a:ln w="25151">
              <a:noFill/>
            </a:ln>
          </c:spPr>
        </c:title>
        <c:numFmt formatCode="General" sourceLinked="1"/>
        <c:majorTickMark val="out"/>
        <c:minorTickMark val="none"/>
        <c:tickLblPos val="nextTo"/>
        <c:spPr>
          <a:ln w="3144">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3087488"/>
        <c:crosses val="autoZero"/>
        <c:crossBetween val="between"/>
      </c:valAx>
      <c:spPr>
        <a:solidFill>
          <a:srgbClr val="C0C0C0"/>
        </a:solidFill>
        <a:ln w="12575">
          <a:solidFill>
            <a:srgbClr val="808080"/>
          </a:solidFill>
          <a:prstDash val="solid"/>
        </a:ln>
      </c:spPr>
    </c:plotArea>
    <c:legend>
      <c:legendPos val="r"/>
      <c:layout>
        <c:manualLayout>
          <c:xMode val="edge"/>
          <c:yMode val="edge"/>
          <c:x val="0.39833328973413207"/>
          <c:y val="0.8990825688073395"/>
          <c:w val="0.30166671026586789"/>
          <c:h val="7.0336391437308854E-2"/>
        </c:manualLayout>
      </c:layout>
      <c:overlay val="0"/>
      <c:spPr>
        <a:noFill/>
        <a:ln w="3144">
          <a:solidFill>
            <a:srgbClr val="000000"/>
          </a:solidFill>
          <a:prstDash val="solid"/>
        </a:ln>
      </c:spPr>
      <c:txPr>
        <a:bodyPr/>
        <a:lstStyle/>
        <a:p>
          <a:pPr>
            <a:defRPr sz="817" b="1" i="0" u="none" strike="noStrike" baseline="0">
              <a:solidFill>
                <a:srgbClr val="000000"/>
              </a:solidFill>
              <a:latin typeface="Arial"/>
              <a:ea typeface="Arial"/>
              <a:cs typeface="Arial"/>
            </a:defRPr>
          </a:pPr>
          <a:endParaRPr lang="en-US"/>
        </a:p>
      </c:txPr>
    </c:legend>
    <c:plotVisOnly val="1"/>
    <c:dispBlanksAs val="gap"/>
    <c:showDLblsOverMax val="0"/>
  </c:chart>
  <c:spPr>
    <a:noFill/>
    <a:ln w="6288" cap="flat" cmpd="sng" algn="ctr">
      <a:solidFill>
        <a:srgbClr val="000000"/>
      </a:solidFill>
      <a:prstDash val="solid"/>
      <a:miter lim="800000"/>
      <a:headEnd type="none" w="med" len="med"/>
      <a:tailEnd type="none" w="med" len="med"/>
    </a:ln>
  </c:spPr>
  <c:txPr>
    <a:bodyPr/>
    <a:lstStyle/>
    <a:p>
      <a:pPr>
        <a:defRPr sz="1411" b="1" i="0" u="none" strike="noStrike" baseline="0">
          <a:solidFill>
            <a:srgbClr val="000000"/>
          </a:solidFill>
          <a:latin typeface="Arial"/>
          <a:ea typeface="Arial"/>
          <a:cs typeface="Aria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1" b="1" i="0" u="none" strike="noStrike" baseline="0">
                <a:solidFill>
                  <a:srgbClr val="000000"/>
                </a:solidFill>
                <a:latin typeface="Arial"/>
                <a:ea typeface="Arial"/>
                <a:cs typeface="Arial"/>
              </a:defRPr>
            </a:pPr>
            <a:r>
              <a:rPr lang="en-US"/>
              <a:t>Figure 16: Age-Adjusted Leukemia Mortality Rate* Among Children and Adolescents, MA and US SEER, 2000-2009</a:t>
            </a:r>
          </a:p>
        </c:rich>
      </c:tx>
      <c:layout>
        <c:manualLayout>
          <c:xMode val="edge"/>
          <c:yMode val="edge"/>
          <c:x val="0.12166666666666667"/>
          <c:y val="0"/>
        </c:manualLayout>
      </c:layout>
      <c:overlay val="0"/>
      <c:spPr>
        <a:noFill/>
        <a:ln w="25177">
          <a:noFill/>
        </a:ln>
      </c:spPr>
    </c:title>
    <c:autoTitleDeleted val="0"/>
    <c:plotArea>
      <c:layout>
        <c:manualLayout>
          <c:layoutTarget val="inner"/>
          <c:xMode val="edge"/>
          <c:yMode val="edge"/>
          <c:x val="0.12666666666666668"/>
          <c:y val="0.15254237288135603"/>
          <c:w val="0.80500000000000005"/>
          <c:h val="0.68361581920903991"/>
        </c:manualLayout>
      </c:layout>
      <c:lineChart>
        <c:grouping val="standard"/>
        <c:varyColors val="0"/>
        <c:ser>
          <c:idx val="0"/>
          <c:order val="0"/>
          <c:tx>
            <c:strRef>
              <c:f>Sheet1!$A$2</c:f>
              <c:strCache>
                <c:ptCount val="1"/>
                <c:pt idx="0">
                  <c:v>MA</c:v>
                </c:pt>
              </c:strCache>
            </c:strRef>
          </c:tx>
          <c:spPr>
            <a:ln w="12589">
              <a:solidFill>
                <a:srgbClr val="0000FF"/>
              </a:solidFill>
              <a:prstDash val="solid"/>
            </a:ln>
          </c:spPr>
          <c:marker>
            <c:symbol val="plus"/>
            <c:size val="2"/>
            <c:spPr>
              <a:solidFill>
                <a:srgbClr val="000080"/>
              </a:solidFill>
              <a:ln>
                <a:solidFill>
                  <a:srgbClr val="00008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0.9</c:v>
                </c:pt>
                <c:pt idx="1">
                  <c:v>0.4</c:v>
                </c:pt>
                <c:pt idx="2">
                  <c:v>0.5</c:v>
                </c:pt>
                <c:pt idx="3">
                  <c:v>0.8</c:v>
                </c:pt>
                <c:pt idx="4">
                  <c:v>0.7</c:v>
                </c:pt>
                <c:pt idx="5">
                  <c:v>0.6</c:v>
                </c:pt>
                <c:pt idx="6">
                  <c:v>0.6</c:v>
                </c:pt>
                <c:pt idx="7">
                  <c:v>0.8</c:v>
                </c:pt>
                <c:pt idx="8">
                  <c:v>0.7</c:v>
                </c:pt>
                <c:pt idx="9">
                  <c:v>0.5</c:v>
                </c:pt>
              </c:numCache>
            </c:numRef>
          </c:val>
          <c:smooth val="0"/>
        </c:ser>
        <c:ser>
          <c:idx val="1"/>
          <c:order val="1"/>
          <c:tx>
            <c:strRef>
              <c:f>Sheet1!$A$3</c:f>
              <c:strCache>
                <c:ptCount val="1"/>
                <c:pt idx="0">
                  <c:v>US</c:v>
                </c:pt>
              </c:strCache>
            </c:strRef>
          </c:tx>
          <c:spPr>
            <a:ln w="12589">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0.9</c:v>
                </c:pt>
                <c:pt idx="1">
                  <c:v>0.9</c:v>
                </c:pt>
                <c:pt idx="2">
                  <c:v>0.8</c:v>
                </c:pt>
                <c:pt idx="3">
                  <c:v>0.8</c:v>
                </c:pt>
                <c:pt idx="4">
                  <c:v>0.8</c:v>
                </c:pt>
                <c:pt idx="5">
                  <c:v>0.8</c:v>
                </c:pt>
                <c:pt idx="6">
                  <c:v>0.7</c:v>
                </c:pt>
                <c:pt idx="7">
                  <c:v>0.8</c:v>
                </c:pt>
                <c:pt idx="8">
                  <c:v>0.7</c:v>
                </c:pt>
                <c:pt idx="9">
                  <c:v>0.7</c:v>
                </c:pt>
              </c:numCache>
            </c:numRef>
          </c:val>
          <c:smooth val="0"/>
        </c:ser>
        <c:dLbls>
          <c:showLegendKey val="0"/>
          <c:showVal val="0"/>
          <c:showCatName val="0"/>
          <c:showSerName val="0"/>
          <c:showPercent val="0"/>
          <c:showBubbleSize val="0"/>
        </c:dLbls>
        <c:marker val="1"/>
        <c:smooth val="0"/>
        <c:axId val="105221120"/>
        <c:axId val="105534976"/>
      </c:lineChart>
      <c:catAx>
        <c:axId val="105221120"/>
        <c:scaling>
          <c:orientation val="minMax"/>
        </c:scaling>
        <c:delete val="0"/>
        <c:axPos val="b"/>
        <c:title>
          <c:tx>
            <c:rich>
              <a:bodyPr/>
              <a:lstStyle/>
              <a:p>
                <a:pPr>
                  <a:defRPr sz="892" b="1" i="0" u="none" strike="noStrike" baseline="0">
                    <a:solidFill>
                      <a:srgbClr val="000000"/>
                    </a:solidFill>
                    <a:latin typeface="Arial"/>
                    <a:ea typeface="Arial"/>
                    <a:cs typeface="Arial"/>
                  </a:defRPr>
                </a:pPr>
                <a:r>
                  <a:rPr lang="en-US"/>
                  <a:t>Year of Death</a:t>
                </a:r>
              </a:p>
            </c:rich>
          </c:tx>
          <c:layout>
            <c:manualLayout>
              <c:xMode val="edge"/>
              <c:yMode val="edge"/>
              <c:x val="0.79166666666666663"/>
              <c:y val="0.91242937853107342"/>
            </c:manualLayout>
          </c:layout>
          <c:overlay val="0"/>
          <c:spPr>
            <a:noFill/>
            <a:ln w="25177">
              <a:noFill/>
            </a:ln>
          </c:spPr>
        </c:title>
        <c:numFmt formatCode="General" sourceLinked="1"/>
        <c:majorTickMark val="out"/>
        <c:minorTickMark val="none"/>
        <c:tickLblPos val="nextTo"/>
        <c:spPr>
          <a:ln w="3147">
            <a:solidFill>
              <a:srgbClr val="000000"/>
            </a:solidFill>
            <a:prstDash val="solid"/>
          </a:ln>
        </c:spPr>
        <c:txPr>
          <a:bodyPr rot="0" vert="horz"/>
          <a:lstStyle/>
          <a:p>
            <a:pPr>
              <a:defRPr sz="892" b="1" i="0" u="none" strike="noStrike" baseline="0">
                <a:solidFill>
                  <a:srgbClr val="000000"/>
                </a:solidFill>
                <a:latin typeface="Arial"/>
                <a:ea typeface="Arial"/>
                <a:cs typeface="Arial"/>
              </a:defRPr>
            </a:pPr>
            <a:endParaRPr lang="en-US"/>
          </a:p>
        </c:txPr>
        <c:crossAx val="105534976"/>
        <c:crosses val="autoZero"/>
        <c:auto val="1"/>
        <c:lblAlgn val="ctr"/>
        <c:lblOffset val="100"/>
        <c:tickLblSkip val="1"/>
        <c:tickMarkSkip val="1"/>
        <c:noMultiLvlLbl val="0"/>
      </c:catAx>
      <c:valAx>
        <c:axId val="105534976"/>
        <c:scaling>
          <c:orientation val="minMax"/>
        </c:scaling>
        <c:delete val="0"/>
        <c:axPos val="l"/>
        <c:majorGridlines>
          <c:spPr>
            <a:ln w="3147">
              <a:solidFill>
                <a:srgbClr val="000000"/>
              </a:solidFill>
              <a:prstDash val="solid"/>
            </a:ln>
          </c:spPr>
        </c:majorGridlines>
        <c:title>
          <c:tx>
            <c:rich>
              <a:bodyPr rot="0" vert="horz"/>
              <a:lstStyle/>
              <a:p>
                <a:pPr algn="ctr">
                  <a:defRPr sz="793" b="1" i="0" u="none" strike="noStrike" baseline="0">
                    <a:solidFill>
                      <a:srgbClr val="000000"/>
                    </a:solidFill>
                    <a:latin typeface="Arial"/>
                    <a:ea typeface="Arial"/>
                    <a:cs typeface="Arial"/>
                  </a:defRPr>
                </a:pPr>
                <a:r>
                  <a:rPr lang="en-US"/>
                  <a:t>Rate 
per 
100,000</a:t>
                </a:r>
              </a:p>
            </c:rich>
          </c:tx>
          <c:layout>
            <c:manualLayout>
              <c:xMode val="edge"/>
              <c:yMode val="edge"/>
              <c:x val="1.6666666666666668E-3"/>
              <c:y val="0.16666666666666666"/>
            </c:manualLayout>
          </c:layout>
          <c:overlay val="0"/>
          <c:spPr>
            <a:noFill/>
            <a:ln w="25177">
              <a:noFill/>
            </a:ln>
          </c:spPr>
        </c:title>
        <c:numFmt formatCode="General" sourceLinked="1"/>
        <c:majorTickMark val="out"/>
        <c:minorTickMark val="none"/>
        <c:tickLblPos val="nextTo"/>
        <c:spPr>
          <a:ln w="3147">
            <a:solidFill>
              <a:srgbClr val="000000"/>
            </a:solidFill>
            <a:prstDash val="solid"/>
          </a:ln>
        </c:spPr>
        <c:txPr>
          <a:bodyPr rot="0" vert="horz"/>
          <a:lstStyle/>
          <a:p>
            <a:pPr>
              <a:defRPr sz="892" b="1" i="0" u="none" strike="noStrike" baseline="0">
                <a:solidFill>
                  <a:srgbClr val="000000"/>
                </a:solidFill>
                <a:latin typeface="Arial"/>
                <a:ea typeface="Arial"/>
                <a:cs typeface="Arial"/>
              </a:defRPr>
            </a:pPr>
            <a:endParaRPr lang="en-US"/>
          </a:p>
        </c:txPr>
        <c:crossAx val="105221120"/>
        <c:crosses val="autoZero"/>
        <c:crossBetween val="between"/>
      </c:valAx>
      <c:spPr>
        <a:solidFill>
          <a:srgbClr val="C0C0C0"/>
        </a:solidFill>
        <a:ln w="12589">
          <a:solidFill>
            <a:srgbClr val="808080"/>
          </a:solidFill>
          <a:prstDash val="solid"/>
        </a:ln>
      </c:spPr>
    </c:plotArea>
    <c:legend>
      <c:legendPos val="r"/>
      <c:layout>
        <c:manualLayout>
          <c:xMode val="edge"/>
          <c:yMode val="edge"/>
          <c:x val="0.44833333333333331"/>
          <c:y val="0.93502824858757061"/>
          <c:w val="0.185"/>
          <c:h val="6.497175141242939E-2"/>
        </c:manualLayout>
      </c:layout>
      <c:overlay val="0"/>
      <c:spPr>
        <a:solidFill>
          <a:srgbClr val="FFFFFF"/>
        </a:solidFill>
        <a:ln w="3147">
          <a:solidFill>
            <a:srgbClr val="000000"/>
          </a:solidFill>
          <a:prstDash val="solid"/>
        </a:ln>
      </c:spPr>
      <c:txPr>
        <a:bodyPr/>
        <a:lstStyle/>
        <a:p>
          <a:pPr>
            <a:defRPr sz="818" b="1" i="0" u="none" strike="noStrike" baseline="0">
              <a:solidFill>
                <a:srgbClr val="000000"/>
              </a:solidFill>
              <a:latin typeface="Arial"/>
              <a:ea typeface="Arial"/>
              <a:cs typeface="Arial"/>
            </a:defRPr>
          </a:pPr>
          <a:endParaRPr lang="en-US"/>
        </a:p>
      </c:txPr>
    </c:legend>
    <c:plotVisOnly val="1"/>
    <c:dispBlanksAs val="gap"/>
    <c:showDLblsOverMax val="0"/>
  </c:chart>
  <c:spPr>
    <a:noFill/>
    <a:ln w="6294" cap="flat" cmpd="sng" algn="ctr">
      <a:solidFill>
        <a:srgbClr val="000000"/>
      </a:solidFill>
      <a:prstDash val="solid"/>
      <a:miter lim="800000"/>
      <a:headEnd type="none" w="med" len="med"/>
      <a:tailEnd type="none" w="med" len="med"/>
    </a:ln>
  </c:spPr>
  <c:txPr>
    <a:bodyPr/>
    <a:lstStyle/>
    <a:p>
      <a:pPr>
        <a:defRPr sz="1536" b="1" i="0" u="none" strike="noStrike" baseline="0">
          <a:solidFill>
            <a:srgbClr val="000000"/>
          </a:solidFill>
          <a:latin typeface="Arial"/>
          <a:ea typeface="Arial"/>
          <a:cs typeface="Aria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en-US"/>
              <a:t>Figure 18: Age-Adjusted Hodgkin Lymphoma (HL) Incidence Rates Among Children and Adolescents, MA and US SEER, 2000-2009</a:t>
            </a:r>
          </a:p>
        </c:rich>
      </c:tx>
      <c:layout>
        <c:manualLayout>
          <c:xMode val="edge"/>
          <c:yMode val="edge"/>
          <c:x val="0.11666666666666667"/>
          <c:y val="0"/>
        </c:manualLayout>
      </c:layout>
      <c:overlay val="0"/>
      <c:spPr>
        <a:noFill/>
        <a:ln w="25389">
          <a:noFill/>
        </a:ln>
      </c:spPr>
    </c:title>
    <c:autoTitleDeleted val="0"/>
    <c:plotArea>
      <c:layout>
        <c:manualLayout>
          <c:layoutTarget val="inner"/>
          <c:xMode val="edge"/>
          <c:yMode val="edge"/>
          <c:x val="0.12666666666666668"/>
          <c:y val="0.1346704871060172"/>
          <c:w val="0.8583333333333335"/>
          <c:h val="0.66475644699140424"/>
        </c:manualLayout>
      </c:layout>
      <c:lineChart>
        <c:grouping val="standard"/>
        <c:varyColors val="0"/>
        <c:ser>
          <c:idx val="2"/>
          <c:order val="0"/>
          <c:tx>
            <c:strRef>
              <c:f>Sheet1!$A$2</c:f>
              <c:strCache>
                <c:ptCount val="1"/>
                <c:pt idx="0">
                  <c:v>HL MA</c:v>
                </c:pt>
              </c:strCache>
            </c:strRef>
          </c:tx>
          <c:spPr>
            <a:ln w="12695">
              <a:solidFill>
                <a:srgbClr val="0000FF"/>
              </a:solidFill>
              <a:prstDash val="solid"/>
            </a:ln>
          </c:spPr>
          <c:marker>
            <c:symbol val="plus"/>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1.6</c:v>
                </c:pt>
                <c:pt idx="1">
                  <c:v>1.4</c:v>
                </c:pt>
                <c:pt idx="2">
                  <c:v>1.1000000000000001</c:v>
                </c:pt>
                <c:pt idx="3">
                  <c:v>1.8</c:v>
                </c:pt>
                <c:pt idx="4">
                  <c:v>1.5</c:v>
                </c:pt>
                <c:pt idx="5">
                  <c:v>1.8</c:v>
                </c:pt>
                <c:pt idx="6">
                  <c:v>1.9</c:v>
                </c:pt>
                <c:pt idx="7">
                  <c:v>1</c:v>
                </c:pt>
                <c:pt idx="8">
                  <c:v>1.2</c:v>
                </c:pt>
                <c:pt idx="9">
                  <c:v>1.5</c:v>
                </c:pt>
              </c:numCache>
            </c:numRef>
          </c:val>
          <c:smooth val="0"/>
        </c:ser>
        <c:ser>
          <c:idx val="4"/>
          <c:order val="1"/>
          <c:tx>
            <c:strRef>
              <c:f>Sheet1!$A$3</c:f>
              <c:strCache>
                <c:ptCount val="1"/>
                <c:pt idx="0">
                  <c:v>HL SEER</c:v>
                </c:pt>
              </c:strCache>
            </c:strRef>
          </c:tx>
          <c:spPr>
            <a:ln w="12695">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1.4</c:v>
                </c:pt>
                <c:pt idx="1">
                  <c:v>1.4</c:v>
                </c:pt>
                <c:pt idx="2">
                  <c:v>1.4</c:v>
                </c:pt>
                <c:pt idx="3">
                  <c:v>1.3</c:v>
                </c:pt>
                <c:pt idx="4">
                  <c:v>1.4</c:v>
                </c:pt>
                <c:pt idx="5">
                  <c:v>1.5</c:v>
                </c:pt>
                <c:pt idx="6">
                  <c:v>1.6</c:v>
                </c:pt>
                <c:pt idx="7">
                  <c:v>1.6</c:v>
                </c:pt>
                <c:pt idx="8">
                  <c:v>1.6</c:v>
                </c:pt>
                <c:pt idx="9">
                  <c:v>1.6</c:v>
                </c:pt>
              </c:numCache>
            </c:numRef>
          </c:val>
          <c:smooth val="0"/>
        </c:ser>
        <c:dLbls>
          <c:showLegendKey val="0"/>
          <c:showVal val="0"/>
          <c:showCatName val="0"/>
          <c:showSerName val="0"/>
          <c:showPercent val="0"/>
          <c:showBubbleSize val="0"/>
        </c:dLbls>
        <c:marker val="1"/>
        <c:smooth val="0"/>
        <c:axId val="105257216"/>
        <c:axId val="105259776"/>
      </c:lineChart>
      <c:catAx>
        <c:axId val="105257216"/>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 of Diagnosis</a:t>
                </a:r>
              </a:p>
            </c:rich>
          </c:tx>
          <c:layout>
            <c:manualLayout>
              <c:xMode val="edge"/>
              <c:yMode val="edge"/>
              <c:x val="0.81166666666666665"/>
              <c:y val="0.8968481375358166"/>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5259776"/>
        <c:crosses val="autoZero"/>
        <c:auto val="1"/>
        <c:lblAlgn val="ctr"/>
        <c:lblOffset val="100"/>
        <c:tickLblSkip val="1"/>
        <c:tickMarkSkip val="1"/>
        <c:noMultiLvlLbl val="0"/>
      </c:catAx>
      <c:valAx>
        <c:axId val="105259776"/>
        <c:scaling>
          <c:orientation val="minMax"/>
        </c:scaling>
        <c:delete val="0"/>
        <c:axPos val="l"/>
        <c:majorGridlines>
          <c:spPr>
            <a:ln w="3174">
              <a:solidFill>
                <a:srgbClr val="000000"/>
              </a:solidFill>
              <a:prstDash val="solid"/>
            </a:ln>
          </c:spPr>
        </c:majorGridlines>
        <c:title>
          <c:tx>
            <c:rich>
              <a:bodyPr rot="0" vert="horz"/>
              <a:lstStyle/>
              <a:p>
                <a:pPr algn="ctr">
                  <a:defRPr sz="800" b="1" i="0" u="none" strike="noStrike" baseline="0">
                    <a:solidFill>
                      <a:srgbClr val="000000"/>
                    </a:solidFill>
                    <a:latin typeface="Arial"/>
                    <a:ea typeface="Arial"/>
                    <a:cs typeface="Arial"/>
                  </a:defRPr>
                </a:pPr>
                <a:r>
                  <a:rPr lang="en-US"/>
                  <a:t>Rate 
per 
100,000</a:t>
                </a:r>
              </a:p>
            </c:rich>
          </c:tx>
          <c:layout>
            <c:manualLayout>
              <c:xMode val="edge"/>
              <c:yMode val="edge"/>
              <c:x val="3.3333333333333335E-3"/>
              <c:y val="0.14899713467048711"/>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5257216"/>
        <c:crosses val="autoZero"/>
        <c:crossBetween val="between"/>
      </c:valAx>
      <c:spPr>
        <a:solidFill>
          <a:srgbClr val="C0C0C0"/>
        </a:solidFill>
        <a:ln w="12695">
          <a:solidFill>
            <a:srgbClr val="808080"/>
          </a:solidFill>
          <a:prstDash val="solid"/>
        </a:ln>
      </c:spPr>
    </c:plotArea>
    <c:legend>
      <c:legendPos val="r"/>
      <c:layout>
        <c:manualLayout>
          <c:xMode val="edge"/>
          <c:yMode val="edge"/>
          <c:x val="0.41166666666666668"/>
          <c:y val="0.90544412607449853"/>
          <c:w val="0.26833333333333337"/>
          <c:h val="6.5902578796561584E-2"/>
        </c:manualLayout>
      </c:layout>
      <c:overlay val="0"/>
      <c:spPr>
        <a:noFill/>
        <a:ln w="3174">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en-US"/>
        </a:p>
      </c:txPr>
    </c:legend>
    <c:plotVisOnly val="1"/>
    <c:dispBlanksAs val="gap"/>
    <c:showDLblsOverMax val="0"/>
  </c:chart>
  <c:spPr>
    <a:noFill/>
    <a:ln w="6347" cap="flat" cmpd="sng" algn="ctr">
      <a:solidFill>
        <a:srgbClr val="000000"/>
      </a:solidFill>
      <a:prstDash val="solid"/>
      <a:miter lim="800000"/>
      <a:headEnd type="none" w="med" len="med"/>
      <a:tailEnd type="none" w="med" len="med"/>
    </a:ln>
  </c:spPr>
  <c:txPr>
    <a:bodyPr/>
    <a:lstStyle/>
    <a:p>
      <a:pPr>
        <a:defRPr sz="1524" b="1" i="0" u="none" strike="noStrike" baseline="0">
          <a:solidFill>
            <a:srgbClr val="000000"/>
          </a:solidFill>
          <a:latin typeface="Arial"/>
          <a:ea typeface="Arial"/>
          <a:cs typeface="Aria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80" b="1" i="0" u="none" strike="noStrike" baseline="0">
                <a:solidFill>
                  <a:srgbClr val="000000"/>
                </a:solidFill>
                <a:latin typeface="Arial"/>
                <a:ea typeface="Arial"/>
                <a:cs typeface="Arial"/>
              </a:defRPr>
            </a:pPr>
            <a:r>
              <a:rPr lang="en-US"/>
              <a:t>Figure 19: Age-Adjusted Non-Hodgkin Lymphoma (NHL) Incidence Rates Among Children and Adolescents, MA and US SEER, 2000-2009</a:t>
            </a:r>
          </a:p>
        </c:rich>
      </c:tx>
      <c:layout>
        <c:manualLayout>
          <c:xMode val="edge"/>
          <c:yMode val="edge"/>
          <c:x val="0.12624576156836118"/>
          <c:y val="0"/>
        </c:manualLayout>
      </c:layout>
      <c:overlay val="0"/>
      <c:spPr>
        <a:noFill/>
        <a:ln w="24885">
          <a:noFill/>
        </a:ln>
      </c:spPr>
    </c:title>
    <c:autoTitleDeleted val="0"/>
    <c:plotArea>
      <c:layout>
        <c:manualLayout>
          <c:layoutTarget val="inner"/>
          <c:xMode val="edge"/>
          <c:yMode val="edge"/>
          <c:x val="0.12624584717607978"/>
          <c:y val="0.14331210191082808"/>
          <c:w val="0.85880398671096347"/>
          <c:h val="0.64331210191082777"/>
        </c:manualLayout>
      </c:layout>
      <c:lineChart>
        <c:grouping val="standard"/>
        <c:varyColors val="0"/>
        <c:ser>
          <c:idx val="3"/>
          <c:order val="0"/>
          <c:tx>
            <c:strRef>
              <c:f>Sheet1!$A$2</c:f>
              <c:strCache>
                <c:ptCount val="1"/>
                <c:pt idx="0">
                  <c:v>NHL MA</c:v>
                </c:pt>
              </c:strCache>
            </c:strRef>
          </c:tx>
          <c:spPr>
            <a:ln w="12443">
              <a:solidFill>
                <a:srgbClr val="0000FF"/>
              </a:solidFill>
              <a:prstDash val="solid"/>
            </a:ln>
          </c:spPr>
          <c:marker>
            <c:symbol val="plus"/>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1.2</c:v>
                </c:pt>
                <c:pt idx="1">
                  <c:v>0.8</c:v>
                </c:pt>
                <c:pt idx="2">
                  <c:v>0.8</c:v>
                </c:pt>
                <c:pt idx="3">
                  <c:v>0.6</c:v>
                </c:pt>
                <c:pt idx="4">
                  <c:v>1</c:v>
                </c:pt>
                <c:pt idx="5">
                  <c:v>1</c:v>
                </c:pt>
                <c:pt idx="6">
                  <c:v>1.1000000000000001</c:v>
                </c:pt>
                <c:pt idx="7">
                  <c:v>1.6</c:v>
                </c:pt>
                <c:pt idx="8">
                  <c:v>1.3</c:v>
                </c:pt>
                <c:pt idx="9">
                  <c:v>1.4</c:v>
                </c:pt>
              </c:numCache>
            </c:numRef>
          </c:val>
          <c:smooth val="0"/>
        </c:ser>
        <c:ser>
          <c:idx val="5"/>
          <c:order val="1"/>
          <c:tx>
            <c:strRef>
              <c:f>Sheet1!$A$3</c:f>
              <c:strCache>
                <c:ptCount val="1"/>
                <c:pt idx="0">
                  <c:v>NHL SEER</c:v>
                </c:pt>
              </c:strCache>
            </c:strRef>
          </c:tx>
          <c:spPr>
            <a:ln w="12443">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0.9</c:v>
                </c:pt>
                <c:pt idx="1">
                  <c:v>1</c:v>
                </c:pt>
                <c:pt idx="2">
                  <c:v>1</c:v>
                </c:pt>
                <c:pt idx="3">
                  <c:v>0.9</c:v>
                </c:pt>
                <c:pt idx="4">
                  <c:v>1</c:v>
                </c:pt>
                <c:pt idx="5">
                  <c:v>1</c:v>
                </c:pt>
                <c:pt idx="6">
                  <c:v>1</c:v>
                </c:pt>
                <c:pt idx="7">
                  <c:v>1</c:v>
                </c:pt>
                <c:pt idx="8">
                  <c:v>0.9</c:v>
                </c:pt>
                <c:pt idx="9">
                  <c:v>1</c:v>
                </c:pt>
              </c:numCache>
            </c:numRef>
          </c:val>
          <c:smooth val="0"/>
        </c:ser>
        <c:dLbls>
          <c:showLegendKey val="0"/>
          <c:showVal val="0"/>
          <c:showCatName val="0"/>
          <c:showSerName val="0"/>
          <c:showPercent val="0"/>
          <c:showBubbleSize val="0"/>
        </c:dLbls>
        <c:marker val="1"/>
        <c:smooth val="0"/>
        <c:axId val="105485824"/>
        <c:axId val="105492480"/>
      </c:lineChart>
      <c:catAx>
        <c:axId val="105485824"/>
        <c:scaling>
          <c:orientation val="minMax"/>
        </c:scaling>
        <c:delete val="0"/>
        <c:axPos val="b"/>
        <c:title>
          <c:tx>
            <c:rich>
              <a:bodyPr/>
              <a:lstStyle/>
              <a:p>
                <a:pPr>
                  <a:defRPr sz="784" b="1" i="0" u="none" strike="noStrike" baseline="0">
                    <a:solidFill>
                      <a:srgbClr val="000000"/>
                    </a:solidFill>
                    <a:latin typeface="Arial"/>
                    <a:ea typeface="Arial"/>
                    <a:cs typeface="Arial"/>
                  </a:defRPr>
                </a:pPr>
                <a:r>
                  <a:rPr lang="en-US"/>
                  <a:t>Year of Diagnosis</a:t>
                </a:r>
              </a:p>
            </c:rich>
          </c:tx>
          <c:layout>
            <c:manualLayout>
              <c:xMode val="edge"/>
              <c:yMode val="edge"/>
              <c:x val="0.7973422476419304"/>
              <c:y val="0.88216560509554143"/>
            </c:manualLayout>
          </c:layout>
          <c:overlay val="0"/>
          <c:spPr>
            <a:noFill/>
            <a:ln w="24885">
              <a:noFill/>
            </a:ln>
          </c:spPr>
        </c:title>
        <c:numFmt formatCode="General" sourceLinked="1"/>
        <c:majorTickMark val="out"/>
        <c:minorTickMark val="none"/>
        <c:tickLblPos val="nextTo"/>
        <c:spPr>
          <a:ln w="3111">
            <a:solidFill>
              <a:srgbClr val="000000"/>
            </a:solidFill>
            <a:prstDash val="solid"/>
          </a:ln>
        </c:spPr>
        <c:txPr>
          <a:bodyPr rot="0" vert="horz"/>
          <a:lstStyle/>
          <a:p>
            <a:pPr>
              <a:defRPr sz="882" b="1" i="0" u="none" strike="noStrike" baseline="0">
                <a:solidFill>
                  <a:srgbClr val="000000"/>
                </a:solidFill>
                <a:latin typeface="Arial"/>
                <a:ea typeface="Arial"/>
                <a:cs typeface="Arial"/>
              </a:defRPr>
            </a:pPr>
            <a:endParaRPr lang="en-US"/>
          </a:p>
        </c:txPr>
        <c:crossAx val="105492480"/>
        <c:crosses val="autoZero"/>
        <c:auto val="1"/>
        <c:lblAlgn val="ctr"/>
        <c:lblOffset val="100"/>
        <c:tickLblSkip val="1"/>
        <c:tickMarkSkip val="1"/>
        <c:noMultiLvlLbl val="0"/>
      </c:catAx>
      <c:valAx>
        <c:axId val="105492480"/>
        <c:scaling>
          <c:orientation val="minMax"/>
        </c:scaling>
        <c:delete val="0"/>
        <c:axPos val="l"/>
        <c:majorGridlines>
          <c:spPr>
            <a:ln w="3111">
              <a:solidFill>
                <a:srgbClr val="000000"/>
              </a:solidFill>
              <a:prstDash val="solid"/>
            </a:ln>
          </c:spPr>
        </c:majorGridlines>
        <c:title>
          <c:tx>
            <c:rich>
              <a:bodyPr rot="0" vert="horz"/>
              <a:lstStyle/>
              <a:p>
                <a:pPr algn="ctr">
                  <a:defRPr sz="784" b="1" i="0" u="none" strike="noStrike" baseline="0">
                    <a:solidFill>
                      <a:srgbClr val="000000"/>
                    </a:solidFill>
                    <a:latin typeface="Arial"/>
                    <a:ea typeface="Arial"/>
                    <a:cs typeface="Arial"/>
                  </a:defRPr>
                </a:pPr>
                <a:r>
                  <a:rPr lang="en-US"/>
                  <a:t>Rate 
per 
100,000</a:t>
                </a:r>
              </a:p>
            </c:rich>
          </c:tx>
          <c:layout>
            <c:manualLayout>
              <c:xMode val="edge"/>
              <c:yMode val="edge"/>
              <c:x val="3.3223210282794253E-3"/>
              <c:y val="0.14012738853503184"/>
            </c:manualLayout>
          </c:layout>
          <c:overlay val="0"/>
          <c:spPr>
            <a:noFill/>
            <a:ln w="24885">
              <a:noFill/>
            </a:ln>
          </c:spPr>
        </c:title>
        <c:numFmt formatCode="General" sourceLinked="1"/>
        <c:majorTickMark val="out"/>
        <c:minorTickMark val="none"/>
        <c:tickLblPos val="nextTo"/>
        <c:spPr>
          <a:ln w="3111">
            <a:solidFill>
              <a:srgbClr val="000000"/>
            </a:solidFill>
            <a:prstDash val="solid"/>
          </a:ln>
        </c:spPr>
        <c:txPr>
          <a:bodyPr rot="0" vert="horz"/>
          <a:lstStyle/>
          <a:p>
            <a:pPr>
              <a:defRPr sz="882" b="1" i="0" u="none" strike="noStrike" baseline="0">
                <a:solidFill>
                  <a:srgbClr val="000000"/>
                </a:solidFill>
                <a:latin typeface="Arial"/>
                <a:ea typeface="Arial"/>
                <a:cs typeface="Arial"/>
              </a:defRPr>
            </a:pPr>
            <a:endParaRPr lang="en-US"/>
          </a:p>
        </c:txPr>
        <c:crossAx val="105485824"/>
        <c:crosses val="autoZero"/>
        <c:crossBetween val="between"/>
      </c:valAx>
      <c:spPr>
        <a:solidFill>
          <a:srgbClr val="C0C0C0"/>
        </a:solidFill>
        <a:ln w="12443">
          <a:solidFill>
            <a:srgbClr val="808080"/>
          </a:solidFill>
          <a:prstDash val="solid"/>
        </a:ln>
      </c:spPr>
    </c:plotArea>
    <c:legend>
      <c:legendPos val="r"/>
      <c:layout>
        <c:manualLayout>
          <c:xMode val="edge"/>
          <c:yMode val="edge"/>
          <c:x val="0.4019933577954497"/>
          <c:y val="0.89490445859872614"/>
          <c:w val="0.29402001366744585"/>
          <c:h val="7.3248407643312086E-2"/>
        </c:manualLayout>
      </c:layout>
      <c:overlay val="0"/>
      <c:spPr>
        <a:noFill/>
        <a:ln w="3111">
          <a:solidFill>
            <a:srgbClr val="000000"/>
          </a:solidFill>
          <a:prstDash val="solid"/>
        </a:ln>
      </c:spPr>
      <c:txPr>
        <a:bodyPr/>
        <a:lstStyle/>
        <a:p>
          <a:pPr>
            <a:defRPr sz="808" b="1" i="0" u="none" strike="noStrike" baseline="0">
              <a:solidFill>
                <a:srgbClr val="000000"/>
              </a:solidFill>
              <a:latin typeface="Arial"/>
              <a:ea typeface="Arial"/>
              <a:cs typeface="Arial"/>
            </a:defRPr>
          </a:pPr>
          <a:endParaRPr lang="en-US"/>
        </a:p>
      </c:txPr>
    </c:legend>
    <c:plotVisOnly val="1"/>
    <c:dispBlanksAs val="gap"/>
    <c:showDLblsOverMax val="0"/>
  </c:chart>
  <c:spPr>
    <a:noFill/>
    <a:ln w="6221" cap="flat" cmpd="sng" algn="ctr">
      <a:solidFill>
        <a:srgbClr val="000000"/>
      </a:solidFill>
      <a:prstDash val="solid"/>
      <a:miter lim="800000"/>
      <a:headEnd type="none" w="med" len="med"/>
      <a:tailEnd type="none" w="med" len="med"/>
    </a:ln>
  </c:spPr>
  <c:txPr>
    <a:bodyPr/>
    <a:lstStyle/>
    <a:p>
      <a:pPr>
        <a:defRPr sz="1176" b="1" i="0" u="none" strike="noStrike" baseline="0">
          <a:solidFill>
            <a:srgbClr val="000000"/>
          </a:solidFill>
          <a:latin typeface="Arial"/>
          <a:ea typeface="Arial"/>
          <a:cs typeface="Arial"/>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en-US"/>
              <a:t>Figure 20: Age-Adjusted Central Nervous System Cancer Incidence Rates Among Children and Adolscents, MA and US SEER, 2000-2009</a:t>
            </a:r>
          </a:p>
        </c:rich>
      </c:tx>
      <c:layout>
        <c:manualLayout>
          <c:xMode val="edge"/>
          <c:yMode val="edge"/>
          <c:x val="0.11295681063122924"/>
          <c:y val="0"/>
        </c:manualLayout>
      </c:layout>
      <c:overlay val="0"/>
      <c:spPr>
        <a:noFill/>
        <a:ln w="25388">
          <a:noFill/>
        </a:ln>
      </c:spPr>
    </c:title>
    <c:autoTitleDeleted val="0"/>
    <c:plotArea>
      <c:layout>
        <c:manualLayout>
          <c:layoutTarget val="inner"/>
          <c:xMode val="edge"/>
          <c:yMode val="edge"/>
          <c:x val="0.12292358803986711"/>
          <c:y val="0.17142857142857137"/>
          <c:w val="0.85880398671096347"/>
          <c:h val="0.61587301587301613"/>
        </c:manualLayout>
      </c:layout>
      <c:lineChart>
        <c:grouping val="standard"/>
        <c:varyColors val="0"/>
        <c:ser>
          <c:idx val="0"/>
          <c:order val="0"/>
          <c:tx>
            <c:strRef>
              <c:f>Sheet1!$A$2</c:f>
              <c:strCache>
                <c:ptCount val="1"/>
                <c:pt idx="0">
                  <c:v>CNS MA</c:v>
                </c:pt>
              </c:strCache>
            </c:strRef>
          </c:tx>
          <c:spPr>
            <a:ln w="12694">
              <a:solidFill>
                <a:srgbClr val="0000FF"/>
              </a:solidFill>
              <a:prstDash val="solid"/>
            </a:ln>
          </c:spPr>
          <c:marker>
            <c:symbol val="plus"/>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3.5</c:v>
                </c:pt>
                <c:pt idx="1">
                  <c:v>3.7</c:v>
                </c:pt>
                <c:pt idx="2">
                  <c:v>2.7</c:v>
                </c:pt>
                <c:pt idx="3">
                  <c:v>3.4</c:v>
                </c:pt>
                <c:pt idx="4">
                  <c:v>4.0999999999999996</c:v>
                </c:pt>
                <c:pt idx="5">
                  <c:v>3.3</c:v>
                </c:pt>
                <c:pt idx="6">
                  <c:v>3.7</c:v>
                </c:pt>
                <c:pt idx="7">
                  <c:v>3.4</c:v>
                </c:pt>
                <c:pt idx="8">
                  <c:v>3</c:v>
                </c:pt>
                <c:pt idx="9">
                  <c:v>3.5</c:v>
                </c:pt>
              </c:numCache>
            </c:numRef>
          </c:val>
          <c:smooth val="0"/>
        </c:ser>
        <c:ser>
          <c:idx val="1"/>
          <c:order val="1"/>
          <c:tx>
            <c:strRef>
              <c:f>Sheet1!$A$3</c:f>
              <c:strCache>
                <c:ptCount val="1"/>
                <c:pt idx="0">
                  <c:v>CNS SEER</c:v>
                </c:pt>
              </c:strCache>
            </c:strRef>
          </c:tx>
          <c:spPr>
            <a:ln w="12694">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2.6</c:v>
                </c:pt>
                <c:pt idx="1">
                  <c:v>2.7</c:v>
                </c:pt>
                <c:pt idx="2">
                  <c:v>2.7</c:v>
                </c:pt>
                <c:pt idx="3">
                  <c:v>2.7</c:v>
                </c:pt>
                <c:pt idx="4">
                  <c:v>2.6</c:v>
                </c:pt>
                <c:pt idx="5">
                  <c:v>2.6</c:v>
                </c:pt>
                <c:pt idx="6">
                  <c:v>2.5</c:v>
                </c:pt>
                <c:pt idx="7">
                  <c:v>2.6</c:v>
                </c:pt>
                <c:pt idx="8">
                  <c:v>2.8</c:v>
                </c:pt>
                <c:pt idx="9">
                  <c:v>2.8</c:v>
                </c:pt>
              </c:numCache>
            </c:numRef>
          </c:val>
          <c:smooth val="0"/>
        </c:ser>
        <c:dLbls>
          <c:showLegendKey val="0"/>
          <c:showVal val="0"/>
          <c:showCatName val="0"/>
          <c:showSerName val="0"/>
          <c:showPercent val="0"/>
          <c:showBubbleSize val="0"/>
        </c:dLbls>
        <c:marker val="1"/>
        <c:smooth val="0"/>
        <c:axId val="105857408"/>
        <c:axId val="105859712"/>
      </c:lineChart>
      <c:catAx>
        <c:axId val="105857408"/>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 of Diagnosis</a:t>
                </a:r>
              </a:p>
            </c:rich>
          </c:tx>
          <c:layout>
            <c:manualLayout>
              <c:xMode val="edge"/>
              <c:yMode val="edge"/>
              <c:x val="0.79900332225913617"/>
              <c:y val="0.88253968253968251"/>
            </c:manualLayout>
          </c:layout>
          <c:overlay val="0"/>
          <c:spPr>
            <a:noFill/>
            <a:ln w="25388">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5859712"/>
        <c:crosses val="autoZero"/>
        <c:auto val="1"/>
        <c:lblAlgn val="ctr"/>
        <c:lblOffset val="100"/>
        <c:tickLblSkip val="1"/>
        <c:tickMarkSkip val="1"/>
        <c:noMultiLvlLbl val="0"/>
      </c:catAx>
      <c:valAx>
        <c:axId val="105859712"/>
        <c:scaling>
          <c:orientation val="minMax"/>
        </c:scaling>
        <c:delete val="0"/>
        <c:axPos val="l"/>
        <c:majorGridlines>
          <c:spPr>
            <a:ln w="3174">
              <a:solidFill>
                <a:srgbClr val="000000"/>
              </a:solidFill>
              <a:prstDash val="solid"/>
            </a:ln>
          </c:spPr>
        </c:majorGridlines>
        <c:title>
          <c:tx>
            <c:rich>
              <a:bodyPr rot="0" vert="horz"/>
              <a:lstStyle/>
              <a:p>
                <a:pPr algn="ctr">
                  <a:defRPr sz="800" b="1" i="0" u="none" strike="noStrike" baseline="0">
                    <a:solidFill>
                      <a:srgbClr val="000000"/>
                    </a:solidFill>
                    <a:latin typeface="Arial"/>
                    <a:ea typeface="Arial"/>
                    <a:cs typeface="Arial"/>
                  </a:defRPr>
                </a:pPr>
                <a:r>
                  <a:rPr lang="en-US"/>
                  <a:t>Rate 
per 
100,000</a:t>
                </a:r>
              </a:p>
            </c:rich>
          </c:tx>
          <c:layout>
            <c:manualLayout>
              <c:xMode val="edge"/>
              <c:yMode val="edge"/>
              <c:x val="3.3222591362126247E-3"/>
              <c:y val="0.16825396825396827"/>
            </c:manualLayout>
          </c:layout>
          <c:overlay val="0"/>
          <c:spPr>
            <a:noFill/>
            <a:ln w="25388">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5857408"/>
        <c:crosses val="autoZero"/>
        <c:crossBetween val="between"/>
      </c:valAx>
      <c:spPr>
        <a:solidFill>
          <a:srgbClr val="C0C0C0"/>
        </a:solidFill>
        <a:ln w="12694">
          <a:solidFill>
            <a:srgbClr val="808080"/>
          </a:solidFill>
          <a:prstDash val="solid"/>
        </a:ln>
      </c:spPr>
    </c:plotArea>
    <c:legend>
      <c:legendPos val="r"/>
      <c:layout>
        <c:manualLayout>
          <c:xMode val="edge"/>
          <c:yMode val="edge"/>
          <c:x val="0.40365448504983387"/>
          <c:y val="0.89206349206349211"/>
          <c:w val="0.29734219269102985"/>
          <c:h val="7.3015873015872979E-2"/>
        </c:manualLayout>
      </c:layout>
      <c:overlay val="0"/>
      <c:spPr>
        <a:noFill/>
        <a:ln w="3174">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en-US"/>
        </a:p>
      </c:txPr>
    </c:legend>
    <c:plotVisOnly val="1"/>
    <c:dispBlanksAs val="gap"/>
    <c:showDLblsOverMax val="0"/>
  </c:chart>
  <c:spPr>
    <a:noFill/>
    <a:ln w="6347" cap="flat" cmpd="sng" algn="ctr">
      <a:solidFill>
        <a:srgbClr val="000000"/>
      </a:solidFill>
      <a:prstDash val="solid"/>
      <a:miter lim="800000"/>
      <a:headEnd type="none" w="med" len="med"/>
      <a:tailEnd type="none" w="med" len="med"/>
    </a:ln>
  </c:spPr>
  <c:txPr>
    <a:bodyPr/>
    <a:lstStyle/>
    <a:p>
      <a:pPr>
        <a:defRPr sz="1199" b="1"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1" b="1" i="0" u="none" strike="noStrike" baseline="0">
                <a:solidFill>
                  <a:srgbClr val="000000"/>
                </a:solidFill>
                <a:latin typeface="Arial"/>
                <a:ea typeface="Arial"/>
                <a:cs typeface="Arial"/>
              </a:defRPr>
            </a:pPr>
            <a:r>
              <a:rPr lang="en-US"/>
              <a:t>Figure 1: Age-Adjusted Incidence Rate for All Cancers* Among Children and Adolescents  By Sex, 2000-2009</a:t>
            </a:r>
          </a:p>
        </c:rich>
      </c:tx>
      <c:layout>
        <c:manualLayout>
          <c:xMode val="edge"/>
          <c:yMode val="edge"/>
          <c:x val="0.13000008719840253"/>
          <c:y val="0"/>
        </c:manualLayout>
      </c:layout>
      <c:overlay val="0"/>
      <c:spPr>
        <a:noFill/>
        <a:ln w="25167">
          <a:noFill/>
        </a:ln>
      </c:spPr>
    </c:title>
    <c:autoTitleDeleted val="0"/>
    <c:plotArea>
      <c:layout>
        <c:manualLayout>
          <c:layoutTarget val="inner"/>
          <c:xMode val="edge"/>
          <c:yMode val="edge"/>
          <c:x val="0.1216666666666667"/>
          <c:y val="0.16272189349112434"/>
          <c:w val="0.86333333333333351"/>
          <c:h val="0.57100591715976357"/>
        </c:manualLayout>
      </c:layout>
      <c:lineChart>
        <c:grouping val="standard"/>
        <c:varyColors val="0"/>
        <c:ser>
          <c:idx val="1"/>
          <c:order val="0"/>
          <c:tx>
            <c:strRef>
              <c:f>Sheet1!$A$2</c:f>
              <c:strCache>
                <c:ptCount val="1"/>
                <c:pt idx="0">
                  <c:v>Male MA</c:v>
                </c:pt>
              </c:strCache>
            </c:strRef>
          </c:tx>
          <c:spPr>
            <a:ln w="12584">
              <a:solidFill>
                <a:srgbClr val="0000FF"/>
              </a:solidFill>
              <a:prstDash val="solid"/>
            </a:ln>
          </c:spPr>
          <c:marker>
            <c:symbol val="circle"/>
            <c:size val="4"/>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18.5</c:v>
                </c:pt>
                <c:pt idx="1">
                  <c:v>16.3</c:v>
                </c:pt>
                <c:pt idx="2">
                  <c:v>17.600000000000001</c:v>
                </c:pt>
                <c:pt idx="3">
                  <c:v>16.600000000000001</c:v>
                </c:pt>
                <c:pt idx="4">
                  <c:v>20.399999999999999</c:v>
                </c:pt>
                <c:pt idx="5">
                  <c:v>18.600000000000001</c:v>
                </c:pt>
                <c:pt idx="6">
                  <c:v>22.2</c:v>
                </c:pt>
                <c:pt idx="7">
                  <c:v>19.5</c:v>
                </c:pt>
                <c:pt idx="8">
                  <c:v>18</c:v>
                </c:pt>
                <c:pt idx="9">
                  <c:v>22.2</c:v>
                </c:pt>
              </c:numCache>
            </c:numRef>
          </c:val>
          <c:smooth val="0"/>
        </c:ser>
        <c:ser>
          <c:idx val="0"/>
          <c:order val="1"/>
          <c:tx>
            <c:strRef>
              <c:f>Sheet1!$A$3</c:f>
              <c:strCache>
                <c:ptCount val="1"/>
                <c:pt idx="0">
                  <c:v>Male SEER</c:v>
                </c:pt>
              </c:strCache>
            </c:strRef>
          </c:tx>
          <c:spPr>
            <a:ln w="12584">
              <a:solidFill>
                <a:srgbClr val="000000"/>
              </a:solidFill>
              <a:prstDash val="solid"/>
            </a:ln>
          </c:spPr>
          <c:marker>
            <c:symbol val="circle"/>
            <c:size val="4"/>
            <c:spPr>
              <a:solidFill>
                <a:srgbClr val="000080"/>
              </a:solidFill>
              <a:ln>
                <a:solidFill>
                  <a:srgbClr val="00008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16.8</c:v>
                </c:pt>
                <c:pt idx="1">
                  <c:v>18</c:v>
                </c:pt>
                <c:pt idx="2">
                  <c:v>18.5</c:v>
                </c:pt>
                <c:pt idx="3">
                  <c:v>16.5</c:v>
                </c:pt>
                <c:pt idx="4">
                  <c:v>17.8</c:v>
                </c:pt>
                <c:pt idx="5">
                  <c:v>18.100000000000001</c:v>
                </c:pt>
                <c:pt idx="6">
                  <c:v>17.100000000000001</c:v>
                </c:pt>
                <c:pt idx="7">
                  <c:v>18.2</c:v>
                </c:pt>
                <c:pt idx="8">
                  <c:v>18.5</c:v>
                </c:pt>
                <c:pt idx="9">
                  <c:v>18.100000000000001</c:v>
                </c:pt>
              </c:numCache>
            </c:numRef>
          </c:val>
          <c:smooth val="0"/>
        </c:ser>
        <c:ser>
          <c:idx val="2"/>
          <c:order val="2"/>
          <c:tx>
            <c:strRef>
              <c:f>Sheet1!$A$4</c:f>
              <c:strCache>
                <c:ptCount val="1"/>
                <c:pt idx="0">
                  <c:v>Female MA</c:v>
                </c:pt>
              </c:strCache>
            </c:strRef>
          </c:tx>
          <c:spPr>
            <a:ln w="12584">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Sheet1!$B$4:$K$4</c:f>
              <c:numCache>
                <c:formatCode>General</c:formatCode>
                <c:ptCount val="10"/>
                <c:pt idx="0">
                  <c:v>16.7</c:v>
                </c:pt>
                <c:pt idx="1">
                  <c:v>16.7</c:v>
                </c:pt>
                <c:pt idx="2">
                  <c:v>15.3</c:v>
                </c:pt>
                <c:pt idx="3">
                  <c:v>19.3</c:v>
                </c:pt>
                <c:pt idx="4">
                  <c:v>15.2</c:v>
                </c:pt>
                <c:pt idx="5">
                  <c:v>17.5</c:v>
                </c:pt>
                <c:pt idx="6">
                  <c:v>20.3</c:v>
                </c:pt>
                <c:pt idx="7">
                  <c:v>16.5</c:v>
                </c:pt>
                <c:pt idx="8">
                  <c:v>18.7</c:v>
                </c:pt>
                <c:pt idx="9">
                  <c:v>16.399999999999999</c:v>
                </c:pt>
              </c:numCache>
            </c:numRef>
          </c:val>
          <c:smooth val="0"/>
        </c:ser>
        <c:ser>
          <c:idx val="3"/>
          <c:order val="3"/>
          <c:tx>
            <c:strRef>
              <c:f>Sheet1!$A$5</c:f>
              <c:strCache>
                <c:ptCount val="1"/>
                <c:pt idx="0">
                  <c:v>Female SEER</c:v>
                </c:pt>
              </c:strCache>
            </c:strRef>
          </c:tx>
          <c:spPr>
            <a:ln w="12584">
              <a:solidFill>
                <a:srgbClr val="660066"/>
              </a:solidFill>
              <a:prstDash val="solid"/>
            </a:ln>
          </c:spPr>
          <c:marker>
            <c:symbol val="circle"/>
            <c:size val="4"/>
            <c:spPr>
              <a:solidFill>
                <a:srgbClr val="660066"/>
              </a:solidFill>
              <a:ln>
                <a:solidFill>
                  <a:srgbClr val="660066"/>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Sheet1!$B$5:$K$5</c:f>
              <c:numCache>
                <c:formatCode>General</c:formatCode>
                <c:ptCount val="10"/>
                <c:pt idx="0">
                  <c:v>15.2</c:v>
                </c:pt>
                <c:pt idx="1">
                  <c:v>16</c:v>
                </c:pt>
                <c:pt idx="2">
                  <c:v>15.5</c:v>
                </c:pt>
                <c:pt idx="3">
                  <c:v>15.1</c:v>
                </c:pt>
                <c:pt idx="4">
                  <c:v>15.7</c:v>
                </c:pt>
                <c:pt idx="5">
                  <c:v>16.3</c:v>
                </c:pt>
                <c:pt idx="6">
                  <c:v>15.2</c:v>
                </c:pt>
                <c:pt idx="7">
                  <c:v>16.2</c:v>
                </c:pt>
                <c:pt idx="8">
                  <c:v>15.9</c:v>
                </c:pt>
                <c:pt idx="9">
                  <c:v>16.399999999999999</c:v>
                </c:pt>
              </c:numCache>
            </c:numRef>
          </c:val>
          <c:smooth val="0"/>
        </c:ser>
        <c:dLbls>
          <c:showLegendKey val="0"/>
          <c:showVal val="0"/>
          <c:showCatName val="0"/>
          <c:showSerName val="0"/>
          <c:showPercent val="0"/>
          <c:showBubbleSize val="0"/>
        </c:dLbls>
        <c:marker val="1"/>
        <c:smooth val="0"/>
        <c:axId val="88711936"/>
        <c:axId val="88714240"/>
      </c:lineChart>
      <c:catAx>
        <c:axId val="88711936"/>
        <c:scaling>
          <c:orientation val="minMax"/>
        </c:scaling>
        <c:delete val="0"/>
        <c:axPos val="b"/>
        <c:title>
          <c:tx>
            <c:rich>
              <a:bodyPr/>
              <a:lstStyle/>
              <a:p>
                <a:pPr>
                  <a:defRPr sz="793" b="1" i="0" u="none" strike="noStrike" baseline="0">
                    <a:solidFill>
                      <a:srgbClr val="000000"/>
                    </a:solidFill>
                    <a:latin typeface="Arial"/>
                    <a:ea typeface="Arial"/>
                    <a:cs typeface="Arial"/>
                  </a:defRPr>
                </a:pPr>
                <a:r>
                  <a:rPr lang="en-US"/>
                  <a:t>Year of Diagnosis</a:t>
                </a:r>
              </a:p>
            </c:rich>
          </c:tx>
          <c:layout>
            <c:manualLayout>
              <c:xMode val="edge"/>
              <c:yMode val="edge"/>
              <c:x val="0.83000008719840257"/>
              <c:y val="0.8224852071005917"/>
            </c:manualLayout>
          </c:layout>
          <c:overlay val="0"/>
          <c:spPr>
            <a:noFill/>
            <a:ln w="25167">
              <a:noFill/>
            </a:ln>
          </c:spPr>
        </c:title>
        <c:numFmt formatCode="General" sourceLinked="1"/>
        <c:majorTickMark val="out"/>
        <c:minorTickMark val="none"/>
        <c:tickLblPos val="nextTo"/>
        <c:spPr>
          <a:ln w="3146">
            <a:solidFill>
              <a:srgbClr val="000000"/>
            </a:solidFill>
            <a:prstDash val="solid"/>
          </a:ln>
        </c:spPr>
        <c:txPr>
          <a:bodyPr rot="0" vert="horz"/>
          <a:lstStyle/>
          <a:p>
            <a:pPr>
              <a:defRPr sz="892" b="1" i="0" u="none" strike="noStrike" baseline="0">
                <a:solidFill>
                  <a:srgbClr val="000000"/>
                </a:solidFill>
                <a:latin typeface="Arial"/>
                <a:ea typeface="Arial"/>
                <a:cs typeface="Arial"/>
              </a:defRPr>
            </a:pPr>
            <a:endParaRPr lang="en-US"/>
          </a:p>
        </c:txPr>
        <c:crossAx val="88714240"/>
        <c:crosses val="autoZero"/>
        <c:auto val="1"/>
        <c:lblAlgn val="ctr"/>
        <c:lblOffset val="100"/>
        <c:tickLblSkip val="1"/>
        <c:tickMarkSkip val="1"/>
        <c:noMultiLvlLbl val="0"/>
      </c:catAx>
      <c:valAx>
        <c:axId val="88714240"/>
        <c:scaling>
          <c:orientation val="minMax"/>
        </c:scaling>
        <c:delete val="0"/>
        <c:axPos val="l"/>
        <c:majorGridlines>
          <c:spPr>
            <a:ln w="3146">
              <a:solidFill>
                <a:srgbClr val="000000"/>
              </a:solidFill>
              <a:prstDash val="solid"/>
            </a:ln>
          </c:spPr>
        </c:majorGridlines>
        <c:title>
          <c:tx>
            <c:rich>
              <a:bodyPr rot="0" vert="horz"/>
              <a:lstStyle/>
              <a:p>
                <a:pPr algn="ctr">
                  <a:defRPr sz="793" b="1" i="0" u="none" strike="noStrike" baseline="0">
                    <a:solidFill>
                      <a:srgbClr val="000000"/>
                    </a:solidFill>
                    <a:latin typeface="Arial"/>
                    <a:ea typeface="Arial"/>
                    <a:cs typeface="Arial"/>
                  </a:defRPr>
                </a:pPr>
                <a:r>
                  <a:rPr lang="en-US"/>
                  <a:t>Rate 
per 
100,000</a:t>
                </a:r>
              </a:p>
            </c:rich>
          </c:tx>
          <c:layout>
            <c:manualLayout>
              <c:xMode val="edge"/>
              <c:yMode val="edge"/>
              <c:x val="3.3334205317358586E-3"/>
              <c:y val="0.14201183431952663"/>
            </c:manualLayout>
          </c:layout>
          <c:overlay val="0"/>
          <c:spPr>
            <a:noFill/>
            <a:ln w="25167">
              <a:noFill/>
            </a:ln>
          </c:spPr>
        </c:title>
        <c:numFmt formatCode="General" sourceLinked="1"/>
        <c:majorTickMark val="out"/>
        <c:minorTickMark val="none"/>
        <c:tickLblPos val="nextTo"/>
        <c:spPr>
          <a:ln w="3146">
            <a:solidFill>
              <a:srgbClr val="000000"/>
            </a:solidFill>
            <a:prstDash val="solid"/>
          </a:ln>
        </c:spPr>
        <c:txPr>
          <a:bodyPr rot="0" vert="horz"/>
          <a:lstStyle/>
          <a:p>
            <a:pPr>
              <a:defRPr sz="892" b="1" i="0" u="none" strike="noStrike" baseline="0">
                <a:solidFill>
                  <a:srgbClr val="000000"/>
                </a:solidFill>
                <a:latin typeface="Arial"/>
                <a:ea typeface="Arial"/>
                <a:cs typeface="Arial"/>
              </a:defRPr>
            </a:pPr>
            <a:endParaRPr lang="en-US"/>
          </a:p>
        </c:txPr>
        <c:crossAx val="88711936"/>
        <c:crosses val="autoZero"/>
        <c:crossBetween val="between"/>
      </c:valAx>
      <c:spPr>
        <a:solidFill>
          <a:srgbClr val="C0C0C0"/>
        </a:solidFill>
        <a:ln w="12584">
          <a:solidFill>
            <a:srgbClr val="808080"/>
          </a:solidFill>
          <a:prstDash val="solid"/>
        </a:ln>
      </c:spPr>
    </c:plotArea>
    <c:legend>
      <c:legendPos val="r"/>
      <c:layout>
        <c:manualLayout>
          <c:xMode val="edge"/>
          <c:yMode val="edge"/>
          <c:x val="0.15833328973413208"/>
          <c:y val="0.85798816568047342"/>
          <c:w val="0.65500004359920128"/>
          <c:h val="6.8047337278106523E-2"/>
        </c:manualLayout>
      </c:layout>
      <c:overlay val="0"/>
      <c:spPr>
        <a:noFill/>
        <a:ln w="3146">
          <a:solidFill>
            <a:srgbClr val="000000"/>
          </a:solidFill>
          <a:prstDash val="solid"/>
        </a:ln>
      </c:spPr>
      <c:txPr>
        <a:bodyPr/>
        <a:lstStyle/>
        <a:p>
          <a:pPr>
            <a:defRPr sz="817" b="1" i="0" u="none" strike="noStrike" baseline="0">
              <a:solidFill>
                <a:srgbClr val="000000"/>
              </a:solidFill>
              <a:latin typeface="Arial"/>
              <a:ea typeface="Arial"/>
              <a:cs typeface="Arial"/>
            </a:defRPr>
          </a:pPr>
          <a:endParaRPr lang="en-US"/>
        </a:p>
      </c:txPr>
    </c:legend>
    <c:plotVisOnly val="1"/>
    <c:dispBlanksAs val="gap"/>
    <c:showDLblsOverMax val="0"/>
  </c:chart>
  <c:spPr>
    <a:noFill/>
    <a:ln w="6292" cap="flat" cmpd="sng" algn="ctr">
      <a:solidFill>
        <a:srgbClr val="000000"/>
      </a:solidFill>
      <a:prstDash val="solid"/>
      <a:miter lim="800000"/>
      <a:headEnd type="none" w="med" len="med"/>
      <a:tailEnd type="none" w="med" len="med"/>
    </a:ln>
  </c:spPr>
  <c:txPr>
    <a:bodyPr/>
    <a:lstStyle/>
    <a:p>
      <a:pPr>
        <a:defRPr sz="1461" b="1" i="0" u="none" strike="noStrike" baseline="0">
          <a:solidFill>
            <a:srgbClr val="000000"/>
          </a:solidFill>
          <a:latin typeface="Arial"/>
          <a:ea typeface="Arial"/>
          <a:cs typeface="Arial"/>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65" b="1" i="0" u="none" strike="noStrike" baseline="0">
                <a:solidFill>
                  <a:srgbClr val="000000"/>
                </a:solidFill>
                <a:latin typeface="Arial"/>
                <a:ea typeface="Arial"/>
                <a:cs typeface="Arial"/>
              </a:defRPr>
            </a:pPr>
            <a:r>
              <a:rPr lang="en-US"/>
              <a:t>Figure 21: Age-Adjusted Astrocytoma Incidence Rates Among Children and Adolscents, MA and US SEER, 2000-2009</a:t>
            </a:r>
          </a:p>
        </c:rich>
      </c:tx>
      <c:layout>
        <c:manualLayout>
          <c:xMode val="edge"/>
          <c:yMode val="edge"/>
          <c:x val="0.10033438320209974"/>
          <c:y val="0"/>
        </c:manualLayout>
      </c:layout>
      <c:overlay val="0"/>
      <c:spPr>
        <a:noFill/>
        <a:ln w="25151">
          <a:noFill/>
        </a:ln>
      </c:spPr>
    </c:title>
    <c:autoTitleDeleted val="0"/>
    <c:plotArea>
      <c:layout>
        <c:manualLayout>
          <c:layoutTarget val="inner"/>
          <c:xMode val="edge"/>
          <c:yMode val="edge"/>
          <c:x val="0.12374581939799331"/>
          <c:y val="0.16819571865443425"/>
          <c:w val="0.85785953177257546"/>
          <c:h val="0.60244648318042815"/>
        </c:manualLayout>
      </c:layout>
      <c:lineChart>
        <c:grouping val="standard"/>
        <c:varyColors val="0"/>
        <c:ser>
          <c:idx val="1"/>
          <c:order val="0"/>
          <c:tx>
            <c:strRef>
              <c:f>Sheet1!$A$2</c:f>
              <c:strCache>
                <c:ptCount val="1"/>
                <c:pt idx="0">
                  <c:v>Astrocytoma MA</c:v>
                </c:pt>
              </c:strCache>
            </c:strRef>
          </c:tx>
          <c:spPr>
            <a:ln w="12575">
              <a:solidFill>
                <a:srgbClr val="0000FF"/>
              </a:solidFill>
              <a:prstDash val="solid"/>
            </a:ln>
          </c:spPr>
          <c:marker>
            <c:symbol val="plus"/>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1.7</c:v>
                </c:pt>
                <c:pt idx="1">
                  <c:v>1.9</c:v>
                </c:pt>
                <c:pt idx="2">
                  <c:v>1.3</c:v>
                </c:pt>
                <c:pt idx="3">
                  <c:v>2</c:v>
                </c:pt>
                <c:pt idx="4">
                  <c:v>2</c:v>
                </c:pt>
                <c:pt idx="5">
                  <c:v>1.8</c:v>
                </c:pt>
                <c:pt idx="6">
                  <c:v>1.8</c:v>
                </c:pt>
                <c:pt idx="7">
                  <c:v>1.8</c:v>
                </c:pt>
                <c:pt idx="8">
                  <c:v>1.2</c:v>
                </c:pt>
                <c:pt idx="9">
                  <c:v>1.5</c:v>
                </c:pt>
              </c:numCache>
            </c:numRef>
          </c:val>
          <c:smooth val="0"/>
        </c:ser>
        <c:ser>
          <c:idx val="2"/>
          <c:order val="1"/>
          <c:tx>
            <c:strRef>
              <c:f>Sheet1!$A$3</c:f>
              <c:strCache>
                <c:ptCount val="1"/>
                <c:pt idx="0">
                  <c:v>Astrocytoma SEER</c:v>
                </c:pt>
              </c:strCache>
            </c:strRef>
          </c:tx>
          <c:spPr>
            <a:ln w="12575">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1.4</c:v>
                </c:pt>
                <c:pt idx="1">
                  <c:v>1.3</c:v>
                </c:pt>
                <c:pt idx="2">
                  <c:v>1.4</c:v>
                </c:pt>
                <c:pt idx="3">
                  <c:v>1.3</c:v>
                </c:pt>
                <c:pt idx="4">
                  <c:v>1.3</c:v>
                </c:pt>
                <c:pt idx="5">
                  <c:v>1.3</c:v>
                </c:pt>
                <c:pt idx="6">
                  <c:v>1.3</c:v>
                </c:pt>
                <c:pt idx="7">
                  <c:v>1.3</c:v>
                </c:pt>
                <c:pt idx="8">
                  <c:v>1.4</c:v>
                </c:pt>
                <c:pt idx="9">
                  <c:v>1.5</c:v>
                </c:pt>
              </c:numCache>
            </c:numRef>
          </c:val>
          <c:smooth val="0"/>
        </c:ser>
        <c:dLbls>
          <c:showLegendKey val="0"/>
          <c:showVal val="0"/>
          <c:showCatName val="0"/>
          <c:showSerName val="0"/>
          <c:showPercent val="0"/>
          <c:showBubbleSize val="0"/>
        </c:dLbls>
        <c:marker val="1"/>
        <c:smooth val="0"/>
        <c:axId val="105897344"/>
        <c:axId val="105928576"/>
      </c:lineChart>
      <c:catAx>
        <c:axId val="105897344"/>
        <c:scaling>
          <c:orientation val="minMax"/>
        </c:scaling>
        <c:delete val="0"/>
        <c:axPos val="b"/>
        <c:title>
          <c:tx>
            <c:rich>
              <a:bodyPr/>
              <a:lstStyle/>
              <a:p>
                <a:pPr>
                  <a:defRPr sz="792" b="1" i="0" u="none" strike="noStrike" baseline="0">
                    <a:solidFill>
                      <a:srgbClr val="000000"/>
                    </a:solidFill>
                    <a:latin typeface="Arial"/>
                    <a:ea typeface="Arial"/>
                    <a:cs typeface="Arial"/>
                  </a:defRPr>
                </a:pPr>
                <a:r>
                  <a:rPr lang="en-US"/>
                  <a:t>Year of Diagnosis</a:t>
                </a:r>
              </a:p>
            </c:rich>
          </c:tx>
          <c:layout>
            <c:manualLayout>
              <c:xMode val="edge"/>
              <c:yMode val="edge"/>
              <c:x val="0.8026755905511811"/>
              <c:y val="0.86850152905198774"/>
            </c:manualLayout>
          </c:layout>
          <c:overlay val="0"/>
          <c:spPr>
            <a:noFill/>
            <a:ln w="25151">
              <a:noFill/>
            </a:ln>
          </c:spPr>
        </c:title>
        <c:numFmt formatCode="General" sourceLinked="1"/>
        <c:majorTickMark val="out"/>
        <c:minorTickMark val="none"/>
        <c:tickLblPos val="nextTo"/>
        <c:spPr>
          <a:ln w="3144">
            <a:solidFill>
              <a:srgbClr val="000000"/>
            </a:solidFill>
            <a:prstDash val="solid"/>
          </a:ln>
        </c:spPr>
        <c:txPr>
          <a:bodyPr rot="0" vert="horz"/>
          <a:lstStyle/>
          <a:p>
            <a:pPr>
              <a:defRPr sz="866" b="1" i="0" u="none" strike="noStrike" baseline="0">
                <a:solidFill>
                  <a:srgbClr val="000000"/>
                </a:solidFill>
                <a:latin typeface="Arial"/>
                <a:ea typeface="Arial"/>
                <a:cs typeface="Arial"/>
              </a:defRPr>
            </a:pPr>
            <a:endParaRPr lang="en-US"/>
          </a:p>
        </c:txPr>
        <c:crossAx val="105928576"/>
        <c:crosses val="autoZero"/>
        <c:auto val="1"/>
        <c:lblAlgn val="ctr"/>
        <c:lblOffset val="100"/>
        <c:tickLblSkip val="1"/>
        <c:tickMarkSkip val="1"/>
        <c:noMultiLvlLbl val="0"/>
      </c:catAx>
      <c:valAx>
        <c:axId val="105928576"/>
        <c:scaling>
          <c:orientation val="minMax"/>
        </c:scaling>
        <c:delete val="0"/>
        <c:axPos val="l"/>
        <c:majorGridlines>
          <c:spPr>
            <a:ln w="3144">
              <a:solidFill>
                <a:srgbClr val="000000"/>
              </a:solidFill>
              <a:prstDash val="solid"/>
            </a:ln>
          </c:spPr>
        </c:majorGridlines>
        <c:title>
          <c:tx>
            <c:rich>
              <a:bodyPr rot="0" vert="horz"/>
              <a:lstStyle/>
              <a:p>
                <a:pPr algn="ctr">
                  <a:defRPr sz="792" b="1" i="0" u="none" strike="noStrike" baseline="0">
                    <a:solidFill>
                      <a:srgbClr val="000000"/>
                    </a:solidFill>
                    <a:latin typeface="Arial"/>
                    <a:ea typeface="Arial"/>
                    <a:cs typeface="Arial"/>
                  </a:defRPr>
                </a:pPr>
                <a:r>
                  <a:rPr lang="en-US"/>
                  <a:t>Rate 
per 
100,000</a:t>
                </a:r>
              </a:p>
            </c:rich>
          </c:tx>
          <c:layout>
            <c:manualLayout>
              <c:xMode val="edge"/>
              <c:yMode val="edge"/>
              <c:x val="3.3445319335083114E-3"/>
              <c:y val="0.16819571865443425"/>
            </c:manualLayout>
          </c:layout>
          <c:overlay val="0"/>
          <c:spPr>
            <a:noFill/>
            <a:ln w="25151">
              <a:noFill/>
            </a:ln>
          </c:spPr>
        </c:title>
        <c:numFmt formatCode="General" sourceLinked="1"/>
        <c:majorTickMark val="out"/>
        <c:minorTickMark val="none"/>
        <c:tickLblPos val="nextTo"/>
        <c:spPr>
          <a:ln w="3144">
            <a:solidFill>
              <a:srgbClr val="000000"/>
            </a:solidFill>
            <a:prstDash val="solid"/>
          </a:ln>
        </c:spPr>
        <c:txPr>
          <a:bodyPr rot="0" vert="horz"/>
          <a:lstStyle/>
          <a:p>
            <a:pPr>
              <a:defRPr sz="866" b="1" i="0" u="none" strike="noStrike" baseline="0">
                <a:solidFill>
                  <a:srgbClr val="000000"/>
                </a:solidFill>
                <a:latin typeface="Arial"/>
                <a:ea typeface="Arial"/>
                <a:cs typeface="Arial"/>
              </a:defRPr>
            </a:pPr>
            <a:endParaRPr lang="en-US"/>
          </a:p>
        </c:txPr>
        <c:crossAx val="105897344"/>
        <c:crosses val="autoZero"/>
        <c:crossBetween val="between"/>
      </c:valAx>
      <c:spPr>
        <a:solidFill>
          <a:srgbClr val="C0C0C0"/>
        </a:solidFill>
        <a:ln w="12575">
          <a:solidFill>
            <a:srgbClr val="808080"/>
          </a:solidFill>
          <a:prstDash val="solid"/>
        </a:ln>
      </c:spPr>
    </c:plotArea>
    <c:legend>
      <c:legendPos val="r"/>
      <c:layout>
        <c:manualLayout>
          <c:xMode val="edge"/>
          <c:yMode val="edge"/>
          <c:x val="0.31772580927384075"/>
          <c:y val="0.88685015290519875"/>
          <c:w val="0.46321067366579172"/>
          <c:h val="7.0336391437308854E-2"/>
        </c:manualLayout>
      </c:layout>
      <c:overlay val="0"/>
      <c:spPr>
        <a:noFill/>
        <a:ln w="3144">
          <a:solidFill>
            <a:srgbClr val="000000"/>
          </a:solidFill>
          <a:prstDash val="solid"/>
        </a:ln>
      </c:spPr>
      <c:txPr>
        <a:bodyPr/>
        <a:lstStyle/>
        <a:p>
          <a:pPr>
            <a:defRPr sz="797" b="1" i="0" u="none" strike="noStrike" baseline="0">
              <a:solidFill>
                <a:srgbClr val="000000"/>
              </a:solidFill>
              <a:latin typeface="Arial"/>
              <a:ea typeface="Arial"/>
              <a:cs typeface="Arial"/>
            </a:defRPr>
          </a:pPr>
          <a:endParaRPr lang="en-US"/>
        </a:p>
      </c:txPr>
    </c:legend>
    <c:plotVisOnly val="1"/>
    <c:dispBlanksAs val="gap"/>
    <c:showDLblsOverMax val="0"/>
  </c:chart>
  <c:spPr>
    <a:noFill/>
    <a:ln w="6288" cap="flat" cmpd="sng" algn="ctr">
      <a:solidFill>
        <a:srgbClr val="000000"/>
      </a:solidFill>
      <a:prstDash val="solid"/>
      <a:miter lim="800000"/>
      <a:headEnd type="none" w="med" len="med"/>
      <a:tailEnd type="none" w="med" len="med"/>
    </a:ln>
  </c:spPr>
  <c:txPr>
    <a:bodyPr/>
    <a:lstStyle/>
    <a:p>
      <a:pPr>
        <a:defRPr sz="1411" b="1" i="0" u="none" strike="noStrike" baseline="0">
          <a:solidFill>
            <a:srgbClr val="000000"/>
          </a:solidFill>
          <a:latin typeface="Arial"/>
          <a:ea typeface="Arial"/>
          <a:cs typeface="Arial"/>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0" b="1" i="0" u="none" strike="noStrike" baseline="0">
                <a:solidFill>
                  <a:srgbClr val="000000"/>
                </a:solidFill>
                <a:latin typeface="Arial"/>
                <a:ea typeface="Arial"/>
                <a:cs typeface="Arial"/>
              </a:defRPr>
            </a:pPr>
            <a:r>
              <a:rPr lang="en-US"/>
              <a:t>Figure 22: Age-Adjusted Malignant Embryonal Tumor Incidence Rates Among Children and Adolscents, MA and US SEER, 2000-2009</a:t>
            </a:r>
          </a:p>
        </c:rich>
      </c:tx>
      <c:layout>
        <c:manualLayout>
          <c:xMode val="edge"/>
          <c:yMode val="edge"/>
          <c:x val="0.12583888552392489"/>
          <c:y val="0"/>
        </c:manualLayout>
      </c:layout>
      <c:overlay val="0"/>
      <c:spPr>
        <a:noFill/>
        <a:ln w="25136">
          <a:noFill/>
        </a:ln>
      </c:spPr>
    </c:title>
    <c:autoTitleDeleted val="0"/>
    <c:plotArea>
      <c:layout>
        <c:manualLayout>
          <c:layoutTarget val="inner"/>
          <c:xMode val="edge"/>
          <c:yMode val="edge"/>
          <c:x val="0.12416107382550341"/>
          <c:y val="0.16417910447761189"/>
          <c:w val="0.85738255033557065"/>
          <c:h val="0.6119402985074629"/>
        </c:manualLayout>
      </c:layout>
      <c:lineChart>
        <c:grouping val="standard"/>
        <c:varyColors val="0"/>
        <c:ser>
          <c:idx val="2"/>
          <c:order val="0"/>
          <c:tx>
            <c:strRef>
              <c:f>Sheet1!$A$2</c:f>
              <c:strCache>
                <c:ptCount val="1"/>
                <c:pt idx="0">
                  <c:v>Embryonal Tumor-MA</c:v>
                </c:pt>
              </c:strCache>
            </c:strRef>
          </c:tx>
          <c:spPr>
            <a:ln w="12568">
              <a:solidFill>
                <a:srgbClr val="0000FF"/>
              </a:solidFill>
              <a:prstDash val="solid"/>
            </a:ln>
          </c:spPr>
          <c:marker>
            <c:symbol val="plus"/>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0.8</c:v>
                </c:pt>
                <c:pt idx="1">
                  <c:v>0.8</c:v>
                </c:pt>
                <c:pt idx="2">
                  <c:v>0.5</c:v>
                </c:pt>
                <c:pt idx="3">
                  <c:v>0.6</c:v>
                </c:pt>
                <c:pt idx="4">
                  <c:v>0.9</c:v>
                </c:pt>
                <c:pt idx="5">
                  <c:v>0.6</c:v>
                </c:pt>
                <c:pt idx="6">
                  <c:v>0.7</c:v>
                </c:pt>
                <c:pt idx="7">
                  <c:v>0.6</c:v>
                </c:pt>
                <c:pt idx="8">
                  <c:v>0.9</c:v>
                </c:pt>
                <c:pt idx="9">
                  <c:v>0.6</c:v>
                </c:pt>
              </c:numCache>
            </c:numRef>
          </c:val>
          <c:smooth val="0"/>
        </c:ser>
        <c:ser>
          <c:idx val="3"/>
          <c:order val="1"/>
          <c:tx>
            <c:strRef>
              <c:f>Sheet1!$A$3</c:f>
              <c:strCache>
                <c:ptCount val="1"/>
                <c:pt idx="0">
                  <c:v>Embryonal Tumor-SEER</c:v>
                </c:pt>
              </c:strCache>
            </c:strRef>
          </c:tx>
          <c:spPr>
            <a:ln w="12568">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0.6</c:v>
                </c:pt>
                <c:pt idx="1">
                  <c:v>0.6</c:v>
                </c:pt>
                <c:pt idx="2">
                  <c:v>0.5</c:v>
                </c:pt>
                <c:pt idx="3">
                  <c:v>0.5</c:v>
                </c:pt>
                <c:pt idx="4">
                  <c:v>0.5</c:v>
                </c:pt>
                <c:pt idx="5">
                  <c:v>0.5</c:v>
                </c:pt>
                <c:pt idx="6">
                  <c:v>0.4</c:v>
                </c:pt>
                <c:pt idx="7">
                  <c:v>0.5</c:v>
                </c:pt>
                <c:pt idx="8">
                  <c:v>0.6</c:v>
                </c:pt>
                <c:pt idx="9">
                  <c:v>0.5</c:v>
                </c:pt>
              </c:numCache>
            </c:numRef>
          </c:val>
          <c:smooth val="0"/>
        </c:ser>
        <c:dLbls>
          <c:showLegendKey val="0"/>
          <c:showVal val="0"/>
          <c:showCatName val="0"/>
          <c:showSerName val="0"/>
          <c:showPercent val="0"/>
          <c:showBubbleSize val="0"/>
        </c:dLbls>
        <c:marker val="1"/>
        <c:smooth val="0"/>
        <c:axId val="105609856"/>
        <c:axId val="105612416"/>
      </c:lineChart>
      <c:catAx>
        <c:axId val="105609856"/>
        <c:scaling>
          <c:orientation val="minMax"/>
        </c:scaling>
        <c:delete val="0"/>
        <c:axPos val="b"/>
        <c:title>
          <c:tx>
            <c:rich>
              <a:bodyPr/>
              <a:lstStyle/>
              <a:p>
                <a:pPr>
                  <a:defRPr sz="792" b="1" i="0" u="none" strike="noStrike" baseline="0">
                    <a:solidFill>
                      <a:srgbClr val="000000"/>
                    </a:solidFill>
                    <a:latin typeface="Arial"/>
                    <a:ea typeface="Arial"/>
                    <a:cs typeface="Arial"/>
                  </a:defRPr>
                </a:pPr>
                <a:r>
                  <a:rPr lang="en-US"/>
                  <a:t>Year of Diagnosis</a:t>
                </a:r>
              </a:p>
            </c:rich>
          </c:tx>
          <c:layout>
            <c:manualLayout>
              <c:xMode val="edge"/>
              <c:yMode val="edge"/>
              <c:x val="0.80536907802912594"/>
              <c:y val="0.87164179104477613"/>
            </c:manualLayout>
          </c:layout>
          <c:overlay val="0"/>
          <c:spPr>
            <a:noFill/>
            <a:ln w="25136">
              <a:noFill/>
            </a:ln>
          </c:spPr>
        </c:title>
        <c:numFmt formatCode="General" sourceLinked="1"/>
        <c:majorTickMark val="out"/>
        <c:minorTickMark val="none"/>
        <c:tickLblPos val="nextTo"/>
        <c:spPr>
          <a:ln w="3142">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5612416"/>
        <c:crosses val="autoZero"/>
        <c:auto val="1"/>
        <c:lblAlgn val="ctr"/>
        <c:lblOffset val="100"/>
        <c:tickLblSkip val="1"/>
        <c:tickMarkSkip val="1"/>
        <c:noMultiLvlLbl val="0"/>
      </c:catAx>
      <c:valAx>
        <c:axId val="105612416"/>
        <c:scaling>
          <c:orientation val="minMax"/>
        </c:scaling>
        <c:delete val="0"/>
        <c:axPos val="l"/>
        <c:majorGridlines>
          <c:spPr>
            <a:ln w="3142">
              <a:solidFill>
                <a:srgbClr val="000000"/>
              </a:solidFill>
              <a:prstDash val="solid"/>
            </a:ln>
          </c:spPr>
        </c:majorGridlines>
        <c:title>
          <c:tx>
            <c:rich>
              <a:bodyPr rot="0" vert="horz"/>
              <a:lstStyle/>
              <a:p>
                <a:pPr algn="ctr">
                  <a:defRPr sz="792" b="1" i="0" u="none" strike="noStrike" baseline="0">
                    <a:solidFill>
                      <a:srgbClr val="000000"/>
                    </a:solidFill>
                    <a:latin typeface="Arial"/>
                    <a:ea typeface="Arial"/>
                    <a:cs typeface="Arial"/>
                  </a:defRPr>
                </a:pPr>
                <a:r>
                  <a:rPr lang="en-US"/>
                  <a:t>Rate 
per 
100,000</a:t>
                </a:r>
              </a:p>
            </c:rich>
          </c:tx>
          <c:layout>
            <c:manualLayout>
              <c:xMode val="edge"/>
              <c:yMode val="edge"/>
              <c:x val="3.3557176590384395E-3"/>
              <c:y val="0.15820895522388059"/>
            </c:manualLayout>
          </c:layout>
          <c:overlay val="0"/>
          <c:spPr>
            <a:noFill/>
            <a:ln w="25136">
              <a:noFill/>
            </a:ln>
          </c:spPr>
        </c:title>
        <c:numFmt formatCode="General" sourceLinked="1"/>
        <c:majorTickMark val="out"/>
        <c:minorTickMark val="none"/>
        <c:tickLblPos val="nextTo"/>
        <c:spPr>
          <a:ln w="3142">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5609856"/>
        <c:crosses val="autoZero"/>
        <c:crossBetween val="between"/>
      </c:valAx>
      <c:spPr>
        <a:solidFill>
          <a:srgbClr val="C0C0C0"/>
        </a:solidFill>
        <a:ln w="12568">
          <a:solidFill>
            <a:srgbClr val="808080"/>
          </a:solidFill>
          <a:prstDash val="solid"/>
        </a:ln>
      </c:spPr>
    </c:plotArea>
    <c:legend>
      <c:legendPos val="r"/>
      <c:layout>
        <c:manualLayout>
          <c:xMode val="edge"/>
          <c:yMode val="edge"/>
          <c:x val="0.24496651129311178"/>
          <c:y val="0.88656716417910453"/>
          <c:w val="0.55872488346983384"/>
          <c:h val="6.8656716417910491E-2"/>
        </c:manualLayout>
      </c:layout>
      <c:overlay val="0"/>
      <c:spPr>
        <a:noFill/>
        <a:ln w="3142">
          <a:solidFill>
            <a:srgbClr val="000000"/>
          </a:solidFill>
          <a:prstDash val="solid"/>
        </a:ln>
      </c:spPr>
      <c:txPr>
        <a:bodyPr/>
        <a:lstStyle/>
        <a:p>
          <a:pPr>
            <a:defRPr sz="816" b="1" i="0" u="none" strike="noStrike" baseline="0">
              <a:solidFill>
                <a:srgbClr val="000000"/>
              </a:solidFill>
              <a:latin typeface="Arial"/>
              <a:ea typeface="Arial"/>
              <a:cs typeface="Arial"/>
            </a:defRPr>
          </a:pPr>
          <a:endParaRPr lang="en-US"/>
        </a:p>
      </c:txPr>
    </c:legend>
    <c:plotVisOnly val="1"/>
    <c:dispBlanksAs val="gap"/>
    <c:showDLblsOverMax val="0"/>
  </c:chart>
  <c:spPr>
    <a:noFill/>
    <a:ln w="6284" cap="flat" cmpd="sng" algn="ctr">
      <a:solidFill>
        <a:srgbClr val="000000"/>
      </a:solidFill>
      <a:prstDash val="solid"/>
      <a:miter lim="800000"/>
      <a:headEnd type="none" w="med" len="med"/>
      <a:tailEnd type="none" w="med" len="med"/>
    </a:ln>
  </c:spPr>
  <c:txPr>
    <a:bodyPr/>
    <a:lstStyle/>
    <a:p>
      <a:pPr>
        <a:defRPr sz="1460" b="1" i="0" u="none" strike="noStrike" baseline="0">
          <a:solidFill>
            <a:srgbClr val="000000"/>
          </a:solidFill>
          <a:latin typeface="Arial"/>
          <a:ea typeface="Arial"/>
          <a:cs typeface="Arial"/>
        </a:defRPr>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75" b="1" i="0" u="none" strike="noStrike" baseline="0">
                <a:solidFill>
                  <a:srgbClr val="000000"/>
                </a:solidFill>
                <a:latin typeface="Arial"/>
                <a:ea typeface="Arial"/>
                <a:cs typeface="Arial"/>
              </a:defRPr>
            </a:pPr>
            <a:r>
              <a:rPr lang="en-US"/>
              <a:t>Figure 23: Age-Adjusted CNS Cancer Mortality Rate* Among Children and Adolescents, MA and US, 2000-2009</a:t>
            </a:r>
          </a:p>
        </c:rich>
      </c:tx>
      <c:layout>
        <c:manualLayout>
          <c:xMode val="edge"/>
          <c:yMode val="edge"/>
          <c:x val="0.11036797900262467"/>
          <c:y val="0"/>
        </c:manualLayout>
      </c:layout>
      <c:overlay val="0"/>
      <c:spPr>
        <a:noFill/>
        <a:ln w="25389">
          <a:noFill/>
        </a:ln>
      </c:spPr>
    </c:title>
    <c:autoTitleDeleted val="0"/>
    <c:plotArea>
      <c:layout>
        <c:manualLayout>
          <c:layoutTarget val="inner"/>
          <c:xMode val="edge"/>
          <c:yMode val="edge"/>
          <c:x val="0.12709030100334448"/>
          <c:y val="0.16307692307692306"/>
          <c:w val="0.80434782608695654"/>
          <c:h val="0.65846153846153865"/>
        </c:manualLayout>
      </c:layout>
      <c:lineChart>
        <c:grouping val="standard"/>
        <c:varyColors val="0"/>
        <c:ser>
          <c:idx val="0"/>
          <c:order val="0"/>
          <c:tx>
            <c:strRef>
              <c:f>Sheet1!$A$2</c:f>
              <c:strCache>
                <c:ptCount val="1"/>
                <c:pt idx="0">
                  <c:v>MA</c:v>
                </c:pt>
              </c:strCache>
            </c:strRef>
          </c:tx>
          <c:spPr>
            <a:ln w="12695">
              <a:solidFill>
                <a:srgbClr val="0000FF"/>
              </a:solidFill>
              <a:prstDash val="solid"/>
            </a:ln>
          </c:spPr>
          <c:marker>
            <c:symbol val="x"/>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0.9</c:v>
                </c:pt>
                <c:pt idx="1">
                  <c:v>0.4</c:v>
                </c:pt>
                <c:pt idx="2">
                  <c:v>0.5</c:v>
                </c:pt>
                <c:pt idx="3">
                  <c:v>0.5</c:v>
                </c:pt>
                <c:pt idx="4">
                  <c:v>0.5</c:v>
                </c:pt>
                <c:pt idx="5">
                  <c:v>0.4</c:v>
                </c:pt>
                <c:pt idx="6">
                  <c:v>0.5</c:v>
                </c:pt>
                <c:pt idx="7">
                  <c:v>0.7</c:v>
                </c:pt>
                <c:pt idx="8">
                  <c:v>0.6</c:v>
                </c:pt>
                <c:pt idx="9">
                  <c:v>0.6</c:v>
                </c:pt>
              </c:numCache>
            </c:numRef>
          </c:val>
          <c:smooth val="0"/>
        </c:ser>
        <c:ser>
          <c:idx val="1"/>
          <c:order val="1"/>
          <c:tx>
            <c:strRef>
              <c:f>Sheet1!$A$3</c:f>
              <c:strCache>
                <c:ptCount val="1"/>
                <c:pt idx="0">
                  <c:v>US</c:v>
                </c:pt>
              </c:strCache>
            </c:strRef>
          </c:tx>
          <c:spPr>
            <a:ln w="12695">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0.6</c:v>
                </c:pt>
                <c:pt idx="1">
                  <c:v>0.6</c:v>
                </c:pt>
                <c:pt idx="2">
                  <c:v>0.7</c:v>
                </c:pt>
                <c:pt idx="3">
                  <c:v>0.7</c:v>
                </c:pt>
                <c:pt idx="4">
                  <c:v>0.7</c:v>
                </c:pt>
                <c:pt idx="5">
                  <c:v>0.7</c:v>
                </c:pt>
                <c:pt idx="6">
                  <c:v>0.6</c:v>
                </c:pt>
                <c:pt idx="7">
                  <c:v>0.6</c:v>
                </c:pt>
                <c:pt idx="8">
                  <c:v>0.6</c:v>
                </c:pt>
                <c:pt idx="9">
                  <c:v>0.6</c:v>
                </c:pt>
              </c:numCache>
            </c:numRef>
          </c:val>
          <c:smooth val="0"/>
        </c:ser>
        <c:dLbls>
          <c:showLegendKey val="0"/>
          <c:showVal val="0"/>
          <c:showCatName val="0"/>
          <c:showSerName val="0"/>
          <c:showPercent val="0"/>
          <c:showBubbleSize val="0"/>
        </c:dLbls>
        <c:marker val="1"/>
        <c:smooth val="0"/>
        <c:axId val="105637760"/>
        <c:axId val="105664896"/>
      </c:lineChart>
      <c:catAx>
        <c:axId val="105637760"/>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en-US"/>
                  <a:t>Year of Death</a:t>
                </a:r>
              </a:p>
            </c:rich>
          </c:tx>
          <c:layout>
            <c:manualLayout>
              <c:xMode val="edge"/>
              <c:yMode val="edge"/>
              <c:x val="0.7909699037620298"/>
              <c:y val="0.9046153846153846"/>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5664896"/>
        <c:crosses val="autoZero"/>
        <c:auto val="1"/>
        <c:lblAlgn val="ctr"/>
        <c:lblOffset val="100"/>
        <c:tickLblSkip val="1"/>
        <c:tickMarkSkip val="1"/>
        <c:noMultiLvlLbl val="0"/>
      </c:catAx>
      <c:valAx>
        <c:axId val="105664896"/>
        <c:scaling>
          <c:orientation val="minMax"/>
        </c:scaling>
        <c:delete val="0"/>
        <c:axPos val="l"/>
        <c:majorGridlines>
          <c:spPr>
            <a:ln w="3174">
              <a:solidFill>
                <a:srgbClr val="000000"/>
              </a:solidFill>
              <a:prstDash val="solid"/>
            </a:ln>
          </c:spPr>
        </c:majorGridlines>
        <c:title>
          <c:tx>
            <c:rich>
              <a:bodyPr rot="0" vert="horz"/>
              <a:lstStyle/>
              <a:p>
                <a:pPr algn="ctr">
                  <a:defRPr sz="800" b="1" i="0" u="none" strike="noStrike" baseline="0">
                    <a:solidFill>
                      <a:srgbClr val="000000"/>
                    </a:solidFill>
                    <a:latin typeface="Arial"/>
                    <a:ea typeface="Arial"/>
                    <a:cs typeface="Arial"/>
                  </a:defRPr>
                </a:pPr>
                <a:r>
                  <a:rPr lang="en-US"/>
                  <a:t>Rate 
per 
100,000</a:t>
                </a:r>
              </a:p>
            </c:rich>
          </c:tx>
          <c:layout>
            <c:manualLayout>
              <c:xMode val="edge"/>
              <c:yMode val="edge"/>
              <c:x val="3.3445319335083114E-3"/>
              <c:y val="0.15692307692307692"/>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5637760"/>
        <c:crosses val="autoZero"/>
        <c:crossBetween val="between"/>
      </c:valAx>
      <c:spPr>
        <a:solidFill>
          <a:srgbClr val="C0C0C0"/>
        </a:solidFill>
        <a:ln w="12695">
          <a:solidFill>
            <a:srgbClr val="808080"/>
          </a:solidFill>
          <a:prstDash val="solid"/>
        </a:ln>
      </c:spPr>
    </c:plotArea>
    <c:legend>
      <c:legendPos val="r"/>
      <c:layout>
        <c:manualLayout>
          <c:xMode val="edge"/>
          <c:yMode val="edge"/>
          <c:x val="0.45150498687664042"/>
          <c:y val="0.92307692307692313"/>
          <c:w val="0.1856187226596675"/>
          <c:h val="7.0769230769230806E-2"/>
        </c:manualLayout>
      </c:layout>
      <c:overlay val="0"/>
      <c:spPr>
        <a:solidFill>
          <a:srgbClr val="FFFFFF"/>
        </a:solidFill>
        <a:ln w="3174">
          <a:solidFill>
            <a:srgbClr val="000000"/>
          </a:solidFill>
          <a:prstDash val="solid"/>
        </a:ln>
      </c:spPr>
      <c:txPr>
        <a:bodyPr/>
        <a:lstStyle/>
        <a:p>
          <a:pPr>
            <a:defRPr sz="805" b="1" i="0" u="none" strike="noStrike" baseline="0">
              <a:solidFill>
                <a:srgbClr val="000000"/>
              </a:solidFill>
              <a:latin typeface="Arial"/>
              <a:ea typeface="Arial"/>
              <a:cs typeface="Arial"/>
            </a:defRPr>
          </a:pPr>
          <a:endParaRPr lang="en-US"/>
        </a:p>
      </c:txPr>
    </c:legend>
    <c:plotVisOnly val="1"/>
    <c:dispBlanksAs val="gap"/>
    <c:showDLblsOverMax val="0"/>
  </c:chart>
  <c:spPr>
    <a:noFill/>
    <a:ln w="6347" cap="flat" cmpd="sng" algn="ctr">
      <a:solidFill>
        <a:srgbClr val="000000"/>
      </a:solidFill>
      <a:prstDash val="solid"/>
      <a:miter lim="800000"/>
      <a:headEnd type="none" w="med" len="med"/>
      <a:tailEnd type="none" w="med" len="med"/>
    </a:ln>
  </c:spPr>
  <c:txPr>
    <a:bodyPr/>
    <a:lstStyle/>
    <a:p>
      <a:pPr>
        <a:defRPr sz="1424" b="1" i="0" u="none" strike="noStrike" baseline="0">
          <a:solidFill>
            <a:srgbClr val="000000"/>
          </a:solidFill>
          <a:latin typeface="Arial"/>
          <a:ea typeface="Arial"/>
          <a:cs typeface="Arial"/>
        </a:defRPr>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80" b="1" i="0" u="none" strike="noStrike" baseline="0">
                <a:solidFill>
                  <a:srgbClr val="000000"/>
                </a:solidFill>
                <a:latin typeface="Arial"/>
                <a:ea typeface="Arial"/>
                <a:cs typeface="Arial"/>
              </a:defRPr>
            </a:pPr>
            <a:r>
              <a:rPr lang="en-US"/>
              <a:t>Figure 24: Age-Adjusted Neuroblastoma Incidence Rates Among Children and Adolescents, MA and US SEER, 2000-2009</a:t>
            </a:r>
          </a:p>
        </c:rich>
      </c:tx>
      <c:layout>
        <c:manualLayout>
          <c:xMode val="edge"/>
          <c:yMode val="edge"/>
          <c:x val="0.16306150785878132"/>
          <c:y val="0"/>
        </c:manualLayout>
      </c:layout>
      <c:overlay val="0"/>
      <c:spPr>
        <a:noFill/>
        <a:ln w="24885">
          <a:noFill/>
        </a:ln>
      </c:spPr>
    </c:title>
    <c:autoTitleDeleted val="0"/>
    <c:plotArea>
      <c:layout>
        <c:manualLayout>
          <c:layoutTarget val="inner"/>
          <c:xMode val="edge"/>
          <c:yMode val="edge"/>
          <c:x val="0.12645590682196345"/>
          <c:y val="0.17177914110429454"/>
          <c:w val="0.79866888519134749"/>
          <c:h val="0.60429447852760754"/>
        </c:manualLayout>
      </c:layout>
      <c:lineChart>
        <c:grouping val="standard"/>
        <c:varyColors val="0"/>
        <c:ser>
          <c:idx val="0"/>
          <c:order val="0"/>
          <c:tx>
            <c:strRef>
              <c:f>Sheet1!$A$2</c:f>
              <c:strCache>
                <c:ptCount val="1"/>
                <c:pt idx="0">
                  <c:v>Neuroblastoma MA</c:v>
                </c:pt>
              </c:strCache>
            </c:strRef>
          </c:tx>
          <c:spPr>
            <a:ln w="12443">
              <a:solidFill>
                <a:srgbClr val="0000FF"/>
              </a:solidFill>
              <a:prstDash val="solid"/>
            </a:ln>
          </c:spPr>
          <c:marker>
            <c:symbol val="plus"/>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1.4</c:v>
                </c:pt>
                <c:pt idx="1">
                  <c:v>1.4</c:v>
                </c:pt>
                <c:pt idx="2">
                  <c:v>1.2</c:v>
                </c:pt>
                <c:pt idx="3">
                  <c:v>1.2</c:v>
                </c:pt>
                <c:pt idx="4">
                  <c:v>0.9</c:v>
                </c:pt>
                <c:pt idx="5">
                  <c:v>0.5</c:v>
                </c:pt>
                <c:pt idx="6">
                  <c:v>1.3</c:v>
                </c:pt>
                <c:pt idx="7">
                  <c:v>1.7</c:v>
                </c:pt>
                <c:pt idx="8">
                  <c:v>1.2</c:v>
                </c:pt>
                <c:pt idx="9">
                  <c:v>1.2</c:v>
                </c:pt>
              </c:numCache>
            </c:numRef>
          </c:val>
          <c:smooth val="0"/>
        </c:ser>
        <c:ser>
          <c:idx val="1"/>
          <c:order val="1"/>
          <c:tx>
            <c:strRef>
              <c:f>Sheet1!$A$3</c:f>
              <c:strCache>
                <c:ptCount val="1"/>
                <c:pt idx="0">
                  <c:v>Neuroblastoma SEER</c:v>
                </c:pt>
              </c:strCache>
            </c:strRef>
          </c:tx>
          <c:spPr>
            <a:ln w="12443">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0.5</c:v>
                </c:pt>
                <c:pt idx="1">
                  <c:v>0.5</c:v>
                </c:pt>
                <c:pt idx="2">
                  <c:v>0.5</c:v>
                </c:pt>
                <c:pt idx="3">
                  <c:v>0.4</c:v>
                </c:pt>
                <c:pt idx="4">
                  <c:v>0.4</c:v>
                </c:pt>
                <c:pt idx="5">
                  <c:v>0.6</c:v>
                </c:pt>
                <c:pt idx="6">
                  <c:v>0.4</c:v>
                </c:pt>
                <c:pt idx="7">
                  <c:v>0.5</c:v>
                </c:pt>
                <c:pt idx="8">
                  <c:v>0.4</c:v>
                </c:pt>
                <c:pt idx="9">
                  <c:v>0.5</c:v>
                </c:pt>
              </c:numCache>
            </c:numRef>
          </c:val>
          <c:smooth val="0"/>
        </c:ser>
        <c:dLbls>
          <c:showLegendKey val="0"/>
          <c:showVal val="0"/>
          <c:showCatName val="0"/>
          <c:showSerName val="0"/>
          <c:showPercent val="0"/>
          <c:showBubbleSize val="0"/>
        </c:dLbls>
        <c:marker val="1"/>
        <c:smooth val="0"/>
        <c:axId val="105743488"/>
        <c:axId val="105745792"/>
      </c:lineChart>
      <c:catAx>
        <c:axId val="105743488"/>
        <c:scaling>
          <c:orientation val="minMax"/>
        </c:scaling>
        <c:delete val="0"/>
        <c:axPos val="b"/>
        <c:title>
          <c:tx>
            <c:rich>
              <a:bodyPr/>
              <a:lstStyle/>
              <a:p>
                <a:pPr>
                  <a:defRPr sz="784" b="1" i="0" u="none" strike="noStrike" baseline="0">
                    <a:solidFill>
                      <a:srgbClr val="000000"/>
                    </a:solidFill>
                    <a:latin typeface="Arial"/>
                    <a:ea typeface="Arial"/>
                    <a:cs typeface="Arial"/>
                  </a:defRPr>
                </a:pPr>
                <a:r>
                  <a:rPr lang="en-US"/>
                  <a:t>Year of Diagnosis</a:t>
                </a:r>
              </a:p>
            </c:rich>
          </c:tx>
          <c:layout>
            <c:manualLayout>
              <c:xMode val="edge"/>
              <c:yMode val="edge"/>
              <c:x val="0.7653910674101061"/>
              <c:y val="0.8619631901840491"/>
            </c:manualLayout>
          </c:layout>
          <c:overlay val="0"/>
          <c:spPr>
            <a:noFill/>
            <a:ln w="24885">
              <a:noFill/>
            </a:ln>
          </c:spPr>
        </c:title>
        <c:numFmt formatCode="General" sourceLinked="1"/>
        <c:majorTickMark val="out"/>
        <c:minorTickMark val="none"/>
        <c:tickLblPos val="nextTo"/>
        <c:spPr>
          <a:ln w="3111">
            <a:solidFill>
              <a:srgbClr val="000000"/>
            </a:solidFill>
            <a:prstDash val="solid"/>
          </a:ln>
        </c:spPr>
        <c:txPr>
          <a:bodyPr rot="0" vert="horz"/>
          <a:lstStyle/>
          <a:p>
            <a:pPr>
              <a:defRPr sz="882" b="1" i="0" u="none" strike="noStrike" baseline="0">
                <a:solidFill>
                  <a:srgbClr val="000000"/>
                </a:solidFill>
                <a:latin typeface="Arial"/>
                <a:ea typeface="Arial"/>
                <a:cs typeface="Arial"/>
              </a:defRPr>
            </a:pPr>
            <a:endParaRPr lang="en-US"/>
          </a:p>
        </c:txPr>
        <c:crossAx val="105745792"/>
        <c:crosses val="autoZero"/>
        <c:auto val="1"/>
        <c:lblAlgn val="ctr"/>
        <c:lblOffset val="100"/>
        <c:tickLblSkip val="1"/>
        <c:tickMarkSkip val="1"/>
        <c:noMultiLvlLbl val="0"/>
      </c:catAx>
      <c:valAx>
        <c:axId val="105745792"/>
        <c:scaling>
          <c:orientation val="minMax"/>
        </c:scaling>
        <c:delete val="0"/>
        <c:axPos val="l"/>
        <c:majorGridlines>
          <c:spPr>
            <a:ln w="3111">
              <a:solidFill>
                <a:srgbClr val="000000"/>
              </a:solidFill>
              <a:prstDash val="solid"/>
            </a:ln>
          </c:spPr>
        </c:majorGridlines>
        <c:title>
          <c:tx>
            <c:rich>
              <a:bodyPr rot="0" vert="horz"/>
              <a:lstStyle/>
              <a:p>
                <a:pPr algn="ctr">
                  <a:defRPr sz="784" b="1" i="0" u="none" strike="noStrike" baseline="0">
                    <a:solidFill>
                      <a:srgbClr val="000000"/>
                    </a:solidFill>
                    <a:latin typeface="Arial"/>
                    <a:ea typeface="Arial"/>
                    <a:cs typeface="Arial"/>
                  </a:defRPr>
                </a:pPr>
                <a:r>
                  <a:rPr lang="en-US"/>
                  <a:t>Rate 
per 
100,000</a:t>
                </a:r>
              </a:p>
            </c:rich>
          </c:tx>
          <c:layout>
            <c:manualLayout>
              <c:xMode val="edge"/>
              <c:yMode val="edge"/>
              <c:x val="3.3277183635627636E-3"/>
              <c:y val="0.17484662576687116"/>
            </c:manualLayout>
          </c:layout>
          <c:overlay val="0"/>
          <c:spPr>
            <a:noFill/>
            <a:ln w="24885">
              <a:noFill/>
            </a:ln>
          </c:spPr>
        </c:title>
        <c:numFmt formatCode="General" sourceLinked="1"/>
        <c:majorTickMark val="out"/>
        <c:minorTickMark val="none"/>
        <c:tickLblPos val="nextTo"/>
        <c:spPr>
          <a:ln w="3111">
            <a:solidFill>
              <a:srgbClr val="000000"/>
            </a:solidFill>
            <a:prstDash val="solid"/>
          </a:ln>
        </c:spPr>
        <c:txPr>
          <a:bodyPr rot="0" vert="horz"/>
          <a:lstStyle/>
          <a:p>
            <a:pPr>
              <a:defRPr sz="882" b="1" i="0" u="none" strike="noStrike" baseline="0">
                <a:solidFill>
                  <a:srgbClr val="000000"/>
                </a:solidFill>
                <a:latin typeface="Arial"/>
                <a:ea typeface="Arial"/>
                <a:cs typeface="Arial"/>
              </a:defRPr>
            </a:pPr>
            <a:endParaRPr lang="en-US"/>
          </a:p>
        </c:txPr>
        <c:crossAx val="105743488"/>
        <c:crosses val="autoZero"/>
        <c:crossBetween val="between"/>
      </c:valAx>
      <c:spPr>
        <a:solidFill>
          <a:srgbClr val="C0C0C0"/>
        </a:solidFill>
        <a:ln w="12443">
          <a:solidFill>
            <a:srgbClr val="808080"/>
          </a:solidFill>
          <a:prstDash val="solid"/>
        </a:ln>
      </c:spPr>
    </c:plotArea>
    <c:legend>
      <c:legendPos val="r"/>
      <c:layout>
        <c:manualLayout>
          <c:xMode val="edge"/>
          <c:yMode val="edge"/>
          <c:x val="0.23960059718903295"/>
          <c:y val="0.87730061349693256"/>
          <c:w val="0.50748758395250348"/>
          <c:h val="7.055214723926384E-2"/>
        </c:manualLayout>
      </c:layout>
      <c:overlay val="0"/>
      <c:spPr>
        <a:solidFill>
          <a:srgbClr val="FFFFFF"/>
        </a:solidFill>
        <a:ln w="3111">
          <a:solidFill>
            <a:srgbClr val="000000"/>
          </a:solidFill>
          <a:prstDash val="solid"/>
        </a:ln>
      </c:spPr>
      <c:txPr>
        <a:bodyPr/>
        <a:lstStyle/>
        <a:p>
          <a:pPr>
            <a:defRPr sz="808" b="1" i="0" u="none" strike="noStrike" baseline="0">
              <a:solidFill>
                <a:srgbClr val="000000"/>
              </a:solidFill>
              <a:latin typeface="Arial"/>
              <a:ea typeface="Arial"/>
              <a:cs typeface="Arial"/>
            </a:defRPr>
          </a:pPr>
          <a:endParaRPr lang="en-US"/>
        </a:p>
      </c:txPr>
    </c:legend>
    <c:plotVisOnly val="1"/>
    <c:dispBlanksAs val="gap"/>
    <c:showDLblsOverMax val="0"/>
  </c:chart>
  <c:spPr>
    <a:noFill/>
    <a:ln w="6221" cap="flat" cmpd="sng" algn="ctr">
      <a:solidFill>
        <a:srgbClr val="000000"/>
      </a:solidFill>
      <a:prstDash val="solid"/>
      <a:miter lim="800000"/>
      <a:headEnd type="none" w="med" len="med"/>
      <a:tailEnd type="none" w="med" len="med"/>
    </a:ln>
  </c:spPr>
  <c:txPr>
    <a:bodyPr/>
    <a:lstStyle/>
    <a:p>
      <a:pPr>
        <a:defRPr sz="1396" b="1" i="0" u="none" strike="noStrike" baseline="0">
          <a:solidFill>
            <a:srgbClr val="000000"/>
          </a:solidFill>
          <a:latin typeface="Arial"/>
          <a:ea typeface="Arial"/>
          <a:cs typeface="Arial"/>
        </a:defRPr>
      </a:pPr>
      <a:endParaRPr lang="en-US"/>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0" b="1" i="0" u="none" strike="noStrike" baseline="0">
                <a:solidFill>
                  <a:srgbClr val="000000"/>
                </a:solidFill>
                <a:latin typeface="Arial"/>
                <a:ea typeface="Arial"/>
                <a:cs typeface="Arial"/>
              </a:defRPr>
            </a:pPr>
            <a:r>
              <a:rPr lang="en-US"/>
              <a:t>Figure 25: Age-Adjusted Malignant Epithelial Tumor Rates Among Children and Adolescents, MA and US SEER, 2000-2009</a:t>
            </a:r>
          </a:p>
        </c:rich>
      </c:tx>
      <c:layout>
        <c:manualLayout>
          <c:xMode val="edge"/>
          <c:yMode val="edge"/>
          <c:x val="0.10067117864447546"/>
          <c:y val="0"/>
        </c:manualLayout>
      </c:layout>
      <c:overlay val="0"/>
      <c:spPr>
        <a:noFill/>
        <a:ln w="25136">
          <a:noFill/>
        </a:ln>
      </c:spPr>
    </c:title>
    <c:autoTitleDeleted val="0"/>
    <c:plotArea>
      <c:layout>
        <c:manualLayout>
          <c:layoutTarget val="inner"/>
          <c:xMode val="edge"/>
          <c:yMode val="edge"/>
          <c:x val="0.12751677852348992"/>
          <c:y val="0.16119402985074627"/>
          <c:w val="0.85402684563758413"/>
          <c:h val="0.62089552238806012"/>
        </c:manualLayout>
      </c:layout>
      <c:lineChart>
        <c:grouping val="standard"/>
        <c:varyColors val="0"/>
        <c:ser>
          <c:idx val="3"/>
          <c:order val="0"/>
          <c:tx>
            <c:strRef>
              <c:f>Sheet1!$A$2</c:f>
              <c:strCache>
                <c:ptCount val="1"/>
                <c:pt idx="0">
                  <c:v>Epithelial MA</c:v>
                </c:pt>
              </c:strCache>
            </c:strRef>
          </c:tx>
          <c:spPr>
            <a:ln w="12568">
              <a:solidFill>
                <a:srgbClr val="0000FF"/>
              </a:solidFill>
              <a:prstDash val="solid"/>
            </a:ln>
          </c:spPr>
          <c:marker>
            <c:symbol val="square"/>
            <c:size val="2"/>
            <c:spPr>
              <a:solidFill>
                <a:srgbClr val="0000FF"/>
              </a:solidFill>
              <a:ln>
                <a:solidFill>
                  <a:srgbClr val="0000FF"/>
                </a:solidFill>
                <a:prstDash val="solid"/>
              </a:ln>
            </c:spPr>
          </c:marker>
          <c:cat>
            <c:numRef>
              <c:f>Sheet1!$B$1:$L$1</c:f>
              <c:numCache>
                <c:formatCode>General</c:formatCode>
                <c:ptCount val="11"/>
                <c:pt idx="0">
                  <c:v>2000</c:v>
                </c:pt>
                <c:pt idx="1">
                  <c:v>2001</c:v>
                </c:pt>
                <c:pt idx="2">
                  <c:v>2002</c:v>
                </c:pt>
                <c:pt idx="3">
                  <c:v>2003</c:v>
                </c:pt>
                <c:pt idx="4">
                  <c:v>2004</c:v>
                </c:pt>
                <c:pt idx="5">
                  <c:v>2005</c:v>
                </c:pt>
                <c:pt idx="6">
                  <c:v>2006</c:v>
                </c:pt>
                <c:pt idx="7">
                  <c:v>2007</c:v>
                </c:pt>
                <c:pt idx="8">
                  <c:v>2008</c:v>
                </c:pt>
                <c:pt idx="9">
                  <c:v>2009</c:v>
                </c:pt>
              </c:numCache>
            </c:numRef>
          </c:cat>
          <c:val>
            <c:numRef>
              <c:f>Sheet1!$B$2:$L$2</c:f>
              <c:numCache>
                <c:formatCode>General</c:formatCode>
                <c:ptCount val="11"/>
                <c:pt idx="0">
                  <c:v>1.5</c:v>
                </c:pt>
                <c:pt idx="1">
                  <c:v>1.6</c:v>
                </c:pt>
                <c:pt idx="2">
                  <c:v>2</c:v>
                </c:pt>
                <c:pt idx="3">
                  <c:v>1.7</c:v>
                </c:pt>
                <c:pt idx="4">
                  <c:v>1.9</c:v>
                </c:pt>
                <c:pt idx="5">
                  <c:v>2</c:v>
                </c:pt>
                <c:pt idx="6">
                  <c:v>2.4</c:v>
                </c:pt>
                <c:pt idx="7">
                  <c:v>2</c:v>
                </c:pt>
                <c:pt idx="8">
                  <c:v>2.1</c:v>
                </c:pt>
                <c:pt idx="9">
                  <c:v>2.1</c:v>
                </c:pt>
              </c:numCache>
            </c:numRef>
          </c:val>
          <c:smooth val="0"/>
        </c:ser>
        <c:ser>
          <c:idx val="0"/>
          <c:order val="1"/>
          <c:tx>
            <c:strRef>
              <c:f>Sheet1!$A$3</c:f>
              <c:strCache>
                <c:ptCount val="1"/>
                <c:pt idx="0">
                  <c:v>Epithelial SEER</c:v>
                </c:pt>
              </c:strCache>
            </c:strRef>
          </c:tx>
          <c:spPr>
            <a:ln w="12568">
              <a:solidFill>
                <a:srgbClr val="FF0000"/>
              </a:solidFill>
              <a:prstDash val="solid"/>
            </a:ln>
          </c:spPr>
          <c:marker>
            <c:symbol val="circle"/>
            <c:size val="4"/>
            <c:spPr>
              <a:solidFill>
                <a:srgbClr val="FF0000"/>
              </a:solidFill>
              <a:ln>
                <a:solidFill>
                  <a:srgbClr val="FF0000"/>
                </a:solidFill>
                <a:prstDash val="solid"/>
              </a:ln>
            </c:spPr>
          </c:marker>
          <c:cat>
            <c:numRef>
              <c:f>Sheet1!$B$1:$L$1</c:f>
              <c:numCache>
                <c:formatCode>General</c:formatCode>
                <c:ptCount val="11"/>
                <c:pt idx="0">
                  <c:v>2000</c:v>
                </c:pt>
                <c:pt idx="1">
                  <c:v>2001</c:v>
                </c:pt>
                <c:pt idx="2">
                  <c:v>2002</c:v>
                </c:pt>
                <c:pt idx="3">
                  <c:v>2003</c:v>
                </c:pt>
                <c:pt idx="4">
                  <c:v>2004</c:v>
                </c:pt>
                <c:pt idx="5">
                  <c:v>2005</c:v>
                </c:pt>
                <c:pt idx="6">
                  <c:v>2006</c:v>
                </c:pt>
                <c:pt idx="7">
                  <c:v>2007</c:v>
                </c:pt>
                <c:pt idx="8">
                  <c:v>2008</c:v>
                </c:pt>
                <c:pt idx="9">
                  <c:v>2009</c:v>
                </c:pt>
              </c:numCache>
            </c:numRef>
          </c:cat>
          <c:val>
            <c:numRef>
              <c:f>Sheet1!$B$3:$L$3</c:f>
              <c:numCache>
                <c:formatCode>General</c:formatCode>
                <c:ptCount val="11"/>
                <c:pt idx="0">
                  <c:v>1.9</c:v>
                </c:pt>
                <c:pt idx="1">
                  <c:v>2.1</c:v>
                </c:pt>
                <c:pt idx="2">
                  <c:v>1.9</c:v>
                </c:pt>
                <c:pt idx="3">
                  <c:v>2.1</c:v>
                </c:pt>
                <c:pt idx="4">
                  <c:v>2.1</c:v>
                </c:pt>
                <c:pt idx="5">
                  <c:v>2</c:v>
                </c:pt>
                <c:pt idx="6">
                  <c:v>1.9</c:v>
                </c:pt>
                <c:pt idx="7">
                  <c:v>2.1</c:v>
                </c:pt>
                <c:pt idx="8">
                  <c:v>2.2000000000000002</c:v>
                </c:pt>
                <c:pt idx="9">
                  <c:v>2.2000000000000002</c:v>
                </c:pt>
              </c:numCache>
            </c:numRef>
          </c:val>
          <c:smooth val="0"/>
        </c:ser>
        <c:dLbls>
          <c:showLegendKey val="0"/>
          <c:showVal val="0"/>
          <c:showCatName val="0"/>
          <c:showSerName val="0"/>
          <c:showPercent val="0"/>
          <c:showBubbleSize val="0"/>
        </c:dLbls>
        <c:marker val="1"/>
        <c:smooth val="0"/>
        <c:axId val="106246528"/>
        <c:axId val="106248832"/>
      </c:lineChart>
      <c:catAx>
        <c:axId val="106246528"/>
        <c:scaling>
          <c:orientation val="minMax"/>
        </c:scaling>
        <c:delete val="0"/>
        <c:axPos val="b"/>
        <c:title>
          <c:tx>
            <c:rich>
              <a:bodyPr/>
              <a:lstStyle/>
              <a:p>
                <a:pPr>
                  <a:defRPr sz="792" b="1" i="0" u="none" strike="noStrike" baseline="0">
                    <a:solidFill>
                      <a:srgbClr val="000000"/>
                    </a:solidFill>
                    <a:latin typeface="Arial"/>
                    <a:ea typeface="Arial"/>
                    <a:cs typeface="Arial"/>
                  </a:defRPr>
                </a:pPr>
                <a:r>
                  <a:rPr lang="en-US"/>
                  <a:t>Year of Diagnosis</a:t>
                </a:r>
              </a:p>
            </c:rich>
          </c:tx>
          <c:layout>
            <c:manualLayout>
              <c:xMode val="edge"/>
              <c:yMode val="edge"/>
              <c:x val="0.78859066529727262"/>
              <c:y val="0.88059701492537312"/>
            </c:manualLayout>
          </c:layout>
          <c:overlay val="0"/>
          <c:spPr>
            <a:noFill/>
            <a:ln w="25136">
              <a:noFill/>
            </a:ln>
          </c:spPr>
        </c:title>
        <c:numFmt formatCode="General" sourceLinked="1"/>
        <c:majorTickMark val="out"/>
        <c:minorTickMark val="none"/>
        <c:tickLblPos val="nextTo"/>
        <c:spPr>
          <a:ln w="3142">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6248832"/>
        <c:crosses val="autoZero"/>
        <c:auto val="1"/>
        <c:lblAlgn val="ctr"/>
        <c:lblOffset val="100"/>
        <c:tickLblSkip val="1"/>
        <c:tickMarkSkip val="1"/>
        <c:noMultiLvlLbl val="0"/>
      </c:catAx>
      <c:valAx>
        <c:axId val="106248832"/>
        <c:scaling>
          <c:orientation val="minMax"/>
        </c:scaling>
        <c:delete val="0"/>
        <c:axPos val="l"/>
        <c:majorGridlines>
          <c:spPr>
            <a:ln w="3142">
              <a:solidFill>
                <a:srgbClr val="000000"/>
              </a:solidFill>
              <a:prstDash val="solid"/>
            </a:ln>
          </c:spPr>
        </c:majorGridlines>
        <c:title>
          <c:tx>
            <c:rich>
              <a:bodyPr rot="0" vert="horz"/>
              <a:lstStyle/>
              <a:p>
                <a:pPr algn="ctr">
                  <a:defRPr sz="792" b="1" i="0" u="none" strike="noStrike" baseline="0">
                    <a:solidFill>
                      <a:srgbClr val="000000"/>
                    </a:solidFill>
                    <a:latin typeface="Arial"/>
                    <a:ea typeface="Arial"/>
                    <a:cs typeface="Arial"/>
                  </a:defRPr>
                </a:pPr>
                <a:r>
                  <a:rPr lang="en-US"/>
                  <a:t>Rate 
per 
100,000</a:t>
                </a:r>
              </a:p>
            </c:rich>
          </c:tx>
          <c:layout>
            <c:manualLayout>
              <c:xMode val="edge"/>
              <c:yMode val="edge"/>
              <c:x val="3.3557176590384395E-3"/>
              <c:y val="0.14328358208955225"/>
            </c:manualLayout>
          </c:layout>
          <c:overlay val="0"/>
          <c:spPr>
            <a:noFill/>
            <a:ln w="25136">
              <a:noFill/>
            </a:ln>
          </c:spPr>
        </c:title>
        <c:numFmt formatCode="General" sourceLinked="1"/>
        <c:majorTickMark val="out"/>
        <c:minorTickMark val="none"/>
        <c:tickLblPos val="nextTo"/>
        <c:spPr>
          <a:ln w="3142">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6246528"/>
        <c:crosses val="autoZero"/>
        <c:crossBetween val="between"/>
      </c:valAx>
      <c:spPr>
        <a:solidFill>
          <a:srgbClr val="C0C0C0"/>
        </a:solidFill>
        <a:ln w="12568">
          <a:solidFill>
            <a:srgbClr val="808080"/>
          </a:solidFill>
          <a:prstDash val="solid"/>
        </a:ln>
      </c:spPr>
    </c:plotArea>
    <c:legend>
      <c:legendPos val="r"/>
      <c:layout>
        <c:manualLayout>
          <c:xMode val="edge"/>
          <c:yMode val="edge"/>
          <c:x val="0.35402680852184448"/>
          <c:y val="0.89850746268656712"/>
          <c:w val="0.39093952720792841"/>
          <c:h val="6.8656716417910491E-2"/>
        </c:manualLayout>
      </c:layout>
      <c:overlay val="0"/>
      <c:spPr>
        <a:noFill/>
        <a:ln w="3142">
          <a:solidFill>
            <a:srgbClr val="000000"/>
          </a:solidFill>
          <a:prstDash val="solid"/>
        </a:ln>
      </c:spPr>
      <c:txPr>
        <a:bodyPr/>
        <a:lstStyle/>
        <a:p>
          <a:pPr>
            <a:defRPr sz="816" b="1" i="0" u="none" strike="noStrike" baseline="0">
              <a:solidFill>
                <a:srgbClr val="000000"/>
              </a:solidFill>
              <a:latin typeface="Arial"/>
              <a:ea typeface="Arial"/>
              <a:cs typeface="Arial"/>
            </a:defRPr>
          </a:pPr>
          <a:endParaRPr lang="en-US"/>
        </a:p>
      </c:txPr>
    </c:legend>
    <c:plotVisOnly val="1"/>
    <c:dispBlanksAs val="gap"/>
    <c:showDLblsOverMax val="0"/>
  </c:chart>
  <c:spPr>
    <a:noFill/>
    <a:ln w="6284" cap="flat" cmpd="sng" algn="ctr">
      <a:solidFill>
        <a:srgbClr val="000000"/>
      </a:solidFill>
      <a:prstDash val="solid"/>
      <a:miter lim="800000"/>
      <a:headEnd type="none" w="med" len="med"/>
      <a:tailEnd type="none" w="med" len="med"/>
    </a:ln>
  </c:spPr>
  <c:txPr>
    <a:bodyPr/>
    <a:lstStyle/>
    <a:p>
      <a:pPr>
        <a:defRPr sz="1460" b="1" i="0" u="none" strike="noStrike" baseline="0">
          <a:solidFill>
            <a:srgbClr val="000000"/>
          </a:solidFill>
          <a:latin typeface="Arial"/>
          <a:ea typeface="Arial"/>
          <a:cs typeface="Arial"/>
        </a:defRPr>
      </a:pPr>
      <a:endParaRPr lang="en-US"/>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15" b="1" i="0" u="none" strike="noStrike" baseline="0">
                <a:solidFill>
                  <a:srgbClr val="000000"/>
                </a:solidFill>
                <a:latin typeface="Arial"/>
                <a:ea typeface="Arial"/>
                <a:cs typeface="Arial"/>
              </a:defRPr>
            </a:pPr>
            <a:r>
              <a:rPr lang="en-US"/>
              <a:t>Figure 26: Age-Adjusted Thyroid Cancer Incidence Rates Among Children and Adolescents MA and US SEER, 2000-2009</a:t>
            </a:r>
          </a:p>
        </c:rich>
      </c:tx>
      <c:layout>
        <c:manualLayout>
          <c:xMode val="edge"/>
          <c:yMode val="edge"/>
          <c:x val="0.13621265057099649"/>
          <c:y val="0"/>
        </c:manualLayout>
      </c:layout>
      <c:overlay val="0"/>
      <c:spPr>
        <a:noFill/>
        <a:ln w="25139">
          <a:noFill/>
        </a:ln>
      </c:spPr>
    </c:title>
    <c:autoTitleDeleted val="0"/>
    <c:plotArea>
      <c:layout>
        <c:manualLayout>
          <c:layoutTarget val="inner"/>
          <c:xMode val="edge"/>
          <c:yMode val="edge"/>
          <c:x val="0.11627906976744186"/>
          <c:y val="0.17993079584775096"/>
          <c:w val="0.86544850498338888"/>
          <c:h val="0.57439446366782032"/>
        </c:manualLayout>
      </c:layout>
      <c:lineChart>
        <c:grouping val="standard"/>
        <c:varyColors val="0"/>
        <c:ser>
          <c:idx val="0"/>
          <c:order val="0"/>
          <c:tx>
            <c:strRef>
              <c:f>Sheet1!$A$2</c:f>
              <c:strCache>
                <c:ptCount val="1"/>
                <c:pt idx="0">
                  <c:v>Thyroid MA</c:v>
                </c:pt>
              </c:strCache>
            </c:strRef>
          </c:tx>
          <c:spPr>
            <a:ln w="12569">
              <a:solidFill>
                <a:srgbClr val="0000FF"/>
              </a:solidFill>
              <a:prstDash val="solid"/>
            </a:ln>
          </c:spPr>
          <c:marker>
            <c:symbol val="plus"/>
            <c:size val="2"/>
            <c:spPr>
              <a:solidFill>
                <a:srgbClr val="0000FF"/>
              </a:solidFill>
              <a:ln>
                <a:solidFill>
                  <a:srgbClr val="0000FF"/>
                </a:solidFill>
                <a:prstDash val="solid"/>
              </a:ln>
            </c:spPr>
          </c:marker>
          <c:cat>
            <c:numRef>
              <c:f>Sheet1!$B$1:$L$1</c:f>
              <c:numCache>
                <c:formatCode>General</c:formatCode>
                <c:ptCount val="11"/>
                <c:pt idx="0">
                  <c:v>2000</c:v>
                </c:pt>
                <c:pt idx="1">
                  <c:v>2001</c:v>
                </c:pt>
                <c:pt idx="2">
                  <c:v>2002</c:v>
                </c:pt>
                <c:pt idx="3">
                  <c:v>2003</c:v>
                </c:pt>
                <c:pt idx="4">
                  <c:v>2004</c:v>
                </c:pt>
                <c:pt idx="5">
                  <c:v>2005</c:v>
                </c:pt>
                <c:pt idx="6">
                  <c:v>2006</c:v>
                </c:pt>
                <c:pt idx="7">
                  <c:v>2007</c:v>
                </c:pt>
                <c:pt idx="8">
                  <c:v>2008</c:v>
                </c:pt>
                <c:pt idx="9">
                  <c:v>2009</c:v>
                </c:pt>
              </c:numCache>
            </c:numRef>
          </c:cat>
          <c:val>
            <c:numRef>
              <c:f>Sheet1!$B$2:$L$2</c:f>
              <c:numCache>
                <c:formatCode>General</c:formatCode>
                <c:ptCount val="11"/>
                <c:pt idx="0">
                  <c:v>0.5</c:v>
                </c:pt>
                <c:pt idx="1">
                  <c:v>0.6</c:v>
                </c:pt>
                <c:pt idx="2">
                  <c:v>0.9</c:v>
                </c:pt>
                <c:pt idx="3">
                  <c:v>0.5</c:v>
                </c:pt>
                <c:pt idx="4">
                  <c:v>0.7</c:v>
                </c:pt>
                <c:pt idx="5">
                  <c:v>1.2</c:v>
                </c:pt>
                <c:pt idx="6">
                  <c:v>1</c:v>
                </c:pt>
                <c:pt idx="7">
                  <c:v>0.8</c:v>
                </c:pt>
                <c:pt idx="8">
                  <c:v>1.3</c:v>
                </c:pt>
                <c:pt idx="9">
                  <c:v>0.9</c:v>
                </c:pt>
              </c:numCache>
            </c:numRef>
          </c:val>
          <c:smooth val="0"/>
        </c:ser>
        <c:ser>
          <c:idx val="1"/>
          <c:order val="1"/>
          <c:tx>
            <c:strRef>
              <c:f>Sheet1!$A$3</c:f>
              <c:strCache>
                <c:ptCount val="1"/>
                <c:pt idx="0">
                  <c:v>Thyroid SEER</c:v>
                </c:pt>
              </c:strCache>
            </c:strRef>
          </c:tx>
          <c:spPr>
            <a:ln w="12569">
              <a:solidFill>
                <a:srgbClr val="FF0000"/>
              </a:solidFill>
              <a:prstDash val="solid"/>
            </a:ln>
          </c:spPr>
          <c:marker>
            <c:symbol val="circle"/>
            <c:size val="4"/>
            <c:spPr>
              <a:solidFill>
                <a:srgbClr val="FF0000"/>
              </a:solidFill>
              <a:ln>
                <a:solidFill>
                  <a:srgbClr val="FF0000"/>
                </a:solidFill>
                <a:prstDash val="solid"/>
              </a:ln>
            </c:spPr>
          </c:marker>
          <c:cat>
            <c:numRef>
              <c:f>Sheet1!$B$1:$L$1</c:f>
              <c:numCache>
                <c:formatCode>General</c:formatCode>
                <c:ptCount val="11"/>
                <c:pt idx="0">
                  <c:v>2000</c:v>
                </c:pt>
                <c:pt idx="1">
                  <c:v>2001</c:v>
                </c:pt>
                <c:pt idx="2">
                  <c:v>2002</c:v>
                </c:pt>
                <c:pt idx="3">
                  <c:v>2003</c:v>
                </c:pt>
                <c:pt idx="4">
                  <c:v>2004</c:v>
                </c:pt>
                <c:pt idx="5">
                  <c:v>2005</c:v>
                </c:pt>
                <c:pt idx="6">
                  <c:v>2006</c:v>
                </c:pt>
                <c:pt idx="7">
                  <c:v>2007</c:v>
                </c:pt>
                <c:pt idx="8">
                  <c:v>2008</c:v>
                </c:pt>
                <c:pt idx="9">
                  <c:v>2009</c:v>
                </c:pt>
              </c:numCache>
            </c:numRef>
          </c:cat>
          <c:val>
            <c:numRef>
              <c:f>Sheet1!$B$3:$L$3</c:f>
              <c:numCache>
                <c:formatCode>General</c:formatCode>
                <c:ptCount val="11"/>
                <c:pt idx="0">
                  <c:v>0.7</c:v>
                </c:pt>
                <c:pt idx="1">
                  <c:v>0.8</c:v>
                </c:pt>
                <c:pt idx="2">
                  <c:v>0.6</c:v>
                </c:pt>
                <c:pt idx="3">
                  <c:v>0.8</c:v>
                </c:pt>
                <c:pt idx="4">
                  <c:v>0.8</c:v>
                </c:pt>
                <c:pt idx="5">
                  <c:v>0.7</c:v>
                </c:pt>
                <c:pt idx="6">
                  <c:v>0.8</c:v>
                </c:pt>
                <c:pt idx="7">
                  <c:v>0.9</c:v>
                </c:pt>
                <c:pt idx="8">
                  <c:v>1</c:v>
                </c:pt>
                <c:pt idx="9">
                  <c:v>1.1000000000000001</c:v>
                </c:pt>
              </c:numCache>
            </c:numRef>
          </c:val>
          <c:smooth val="0"/>
        </c:ser>
        <c:dLbls>
          <c:showLegendKey val="0"/>
          <c:showVal val="0"/>
          <c:showCatName val="0"/>
          <c:showSerName val="0"/>
          <c:showPercent val="0"/>
          <c:showBubbleSize val="0"/>
        </c:dLbls>
        <c:marker val="1"/>
        <c:smooth val="0"/>
        <c:axId val="106008576"/>
        <c:axId val="106010880"/>
      </c:lineChart>
      <c:catAx>
        <c:axId val="106008576"/>
        <c:scaling>
          <c:orientation val="minMax"/>
        </c:scaling>
        <c:delete val="0"/>
        <c:axPos val="b"/>
        <c:title>
          <c:tx>
            <c:rich>
              <a:bodyPr/>
              <a:lstStyle/>
              <a:p>
                <a:pPr>
                  <a:defRPr sz="792" b="1" i="0" u="none" strike="noStrike" baseline="0">
                    <a:solidFill>
                      <a:srgbClr val="000000"/>
                    </a:solidFill>
                    <a:latin typeface="Arial"/>
                    <a:ea typeface="Arial"/>
                    <a:cs typeface="Arial"/>
                  </a:defRPr>
                </a:pPr>
                <a:r>
                  <a:rPr lang="en-US"/>
                  <a:t>Year of Diagnosis</a:t>
                </a:r>
              </a:p>
            </c:rich>
          </c:tx>
          <c:layout>
            <c:manualLayout>
              <c:xMode val="edge"/>
              <c:yMode val="edge"/>
              <c:x val="0.77574751003806641"/>
              <c:y val="0.87197238608839489"/>
            </c:manualLayout>
          </c:layout>
          <c:overlay val="0"/>
          <c:spPr>
            <a:noFill/>
            <a:ln w="25139">
              <a:noFill/>
            </a:ln>
          </c:spPr>
        </c:title>
        <c:numFmt formatCode="General" sourceLinked="1"/>
        <c:majorTickMark val="out"/>
        <c:minorTickMark val="none"/>
        <c:tickLblPos val="nextTo"/>
        <c:spPr>
          <a:ln w="3142">
            <a:solidFill>
              <a:srgbClr val="000000"/>
            </a:solidFill>
            <a:prstDash val="solid"/>
          </a:ln>
        </c:spPr>
        <c:txPr>
          <a:bodyPr rot="0" vert="horz"/>
          <a:lstStyle/>
          <a:p>
            <a:pPr>
              <a:defRPr sz="915" b="1" i="0" u="none" strike="noStrike" baseline="0">
                <a:solidFill>
                  <a:srgbClr val="000000"/>
                </a:solidFill>
                <a:latin typeface="Arial"/>
                <a:ea typeface="Arial"/>
                <a:cs typeface="Arial"/>
              </a:defRPr>
            </a:pPr>
            <a:endParaRPr lang="en-US"/>
          </a:p>
        </c:txPr>
        <c:crossAx val="106010880"/>
        <c:crosses val="autoZero"/>
        <c:auto val="1"/>
        <c:lblAlgn val="ctr"/>
        <c:lblOffset val="100"/>
        <c:tickLblSkip val="1"/>
        <c:tickMarkSkip val="1"/>
        <c:noMultiLvlLbl val="0"/>
      </c:catAx>
      <c:valAx>
        <c:axId val="106010880"/>
        <c:scaling>
          <c:orientation val="minMax"/>
        </c:scaling>
        <c:delete val="0"/>
        <c:axPos val="l"/>
        <c:majorGridlines>
          <c:spPr>
            <a:ln w="3142">
              <a:solidFill>
                <a:srgbClr val="000000"/>
              </a:solidFill>
              <a:prstDash val="solid"/>
            </a:ln>
          </c:spPr>
        </c:majorGridlines>
        <c:title>
          <c:tx>
            <c:rich>
              <a:bodyPr rot="0" vert="horz"/>
              <a:lstStyle/>
              <a:p>
                <a:pPr algn="ctr">
                  <a:defRPr sz="792" b="1" i="0" u="none" strike="noStrike" baseline="0">
                    <a:solidFill>
                      <a:srgbClr val="000000"/>
                    </a:solidFill>
                    <a:latin typeface="Arial"/>
                    <a:ea typeface="Arial"/>
                    <a:cs typeface="Arial"/>
                  </a:defRPr>
                </a:pPr>
                <a:r>
                  <a:rPr lang="en-US"/>
                  <a:t>Rate 
per 
100,000</a:t>
                </a:r>
              </a:p>
            </c:rich>
          </c:tx>
          <c:layout>
            <c:manualLayout>
              <c:xMode val="edge"/>
              <c:yMode val="edge"/>
              <c:x val="4.9834002537762247E-3"/>
              <c:y val="0.17301027082225653"/>
            </c:manualLayout>
          </c:layout>
          <c:overlay val="0"/>
          <c:spPr>
            <a:noFill/>
            <a:ln w="25139">
              <a:noFill/>
            </a:ln>
          </c:spPr>
        </c:title>
        <c:numFmt formatCode="General" sourceLinked="1"/>
        <c:majorTickMark val="out"/>
        <c:minorTickMark val="none"/>
        <c:tickLblPos val="nextTo"/>
        <c:spPr>
          <a:ln w="3142">
            <a:solidFill>
              <a:srgbClr val="000000"/>
            </a:solidFill>
            <a:prstDash val="solid"/>
          </a:ln>
        </c:spPr>
        <c:txPr>
          <a:bodyPr rot="0" vert="horz"/>
          <a:lstStyle/>
          <a:p>
            <a:pPr>
              <a:defRPr sz="915" b="1" i="0" u="none" strike="noStrike" baseline="0">
                <a:solidFill>
                  <a:srgbClr val="000000"/>
                </a:solidFill>
                <a:latin typeface="Arial"/>
                <a:ea typeface="Arial"/>
                <a:cs typeface="Arial"/>
              </a:defRPr>
            </a:pPr>
            <a:endParaRPr lang="en-US"/>
          </a:p>
        </c:txPr>
        <c:crossAx val="106008576"/>
        <c:crosses val="autoZero"/>
        <c:crossBetween val="between"/>
      </c:valAx>
      <c:spPr>
        <a:solidFill>
          <a:srgbClr val="C0C0C0"/>
        </a:solidFill>
        <a:ln w="12569">
          <a:solidFill>
            <a:srgbClr val="808080"/>
          </a:solidFill>
          <a:prstDash val="solid"/>
        </a:ln>
      </c:spPr>
    </c:plotArea>
    <c:legend>
      <c:legendPos val="r"/>
      <c:layout>
        <c:manualLayout>
          <c:xMode val="edge"/>
          <c:yMode val="edge"/>
          <c:x val="0.37043194104048249"/>
          <c:y val="0.88581309972909339"/>
          <c:w val="0.34717613112930423"/>
          <c:h val="7.6124600180604407E-2"/>
        </c:manualLayout>
      </c:layout>
      <c:overlay val="0"/>
      <c:spPr>
        <a:noFill/>
        <a:ln w="3142">
          <a:solidFill>
            <a:srgbClr val="000000"/>
          </a:solidFill>
          <a:prstDash val="solid"/>
        </a:ln>
      </c:spPr>
      <c:txPr>
        <a:bodyPr/>
        <a:lstStyle/>
        <a:p>
          <a:pPr>
            <a:defRPr sz="747" b="1" i="0" u="none" strike="noStrike" baseline="0">
              <a:solidFill>
                <a:srgbClr val="000000"/>
              </a:solidFill>
              <a:latin typeface="Arial"/>
              <a:ea typeface="Arial"/>
              <a:cs typeface="Arial"/>
            </a:defRPr>
          </a:pPr>
          <a:endParaRPr lang="en-US"/>
        </a:p>
      </c:txPr>
    </c:legend>
    <c:plotVisOnly val="1"/>
    <c:dispBlanksAs val="gap"/>
    <c:showDLblsOverMax val="0"/>
  </c:chart>
  <c:spPr>
    <a:noFill/>
    <a:ln w="6285" cap="flat" cmpd="sng" algn="ctr">
      <a:solidFill>
        <a:srgbClr val="000000"/>
      </a:solidFill>
      <a:prstDash val="solid"/>
      <a:miter lim="800000"/>
      <a:headEnd type="none" w="med" len="med"/>
      <a:tailEnd type="none" w="med" len="med"/>
    </a:ln>
  </c:spPr>
  <c:txPr>
    <a:bodyPr/>
    <a:lstStyle/>
    <a:p>
      <a:pPr>
        <a:defRPr sz="1188" b="1" i="0" u="none" strike="noStrike" baseline="0">
          <a:solidFill>
            <a:srgbClr val="000000"/>
          </a:solidFill>
          <a:latin typeface="Arial"/>
          <a:ea typeface="Arial"/>
          <a:cs typeface="Arial"/>
        </a:defRPr>
      </a:pPr>
      <a:endParaRPr lang="en-US"/>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0" b="1" i="0" u="none" strike="noStrike" baseline="0">
                <a:solidFill>
                  <a:srgbClr val="000000"/>
                </a:solidFill>
                <a:latin typeface="Arial"/>
                <a:ea typeface="Arial"/>
                <a:cs typeface="Arial"/>
              </a:defRPr>
            </a:pPr>
            <a:r>
              <a:rPr lang="en-US"/>
              <a:t>Figure 27: Age-Adjusted Melanoma Incidence Rates Among Children and Adolescents, MA and US SEER, 2000-2009</a:t>
            </a:r>
          </a:p>
        </c:rich>
      </c:tx>
      <c:layout>
        <c:manualLayout>
          <c:xMode val="edge"/>
          <c:yMode val="edge"/>
          <c:x val="0.1116666230674654"/>
          <c:y val="0"/>
        </c:manualLayout>
      </c:layout>
      <c:overlay val="0"/>
      <c:spPr>
        <a:noFill/>
        <a:ln w="25146">
          <a:noFill/>
        </a:ln>
      </c:spPr>
    </c:title>
    <c:autoTitleDeleted val="0"/>
    <c:plotArea>
      <c:layout>
        <c:manualLayout>
          <c:layoutTarget val="inner"/>
          <c:xMode val="edge"/>
          <c:yMode val="edge"/>
          <c:x val="0.1166666666666667"/>
          <c:y val="0.18275862068965518"/>
          <c:w val="0.86500000000000021"/>
          <c:h val="0.6000000000000002"/>
        </c:manualLayout>
      </c:layout>
      <c:lineChart>
        <c:grouping val="standard"/>
        <c:varyColors val="0"/>
        <c:ser>
          <c:idx val="1"/>
          <c:order val="0"/>
          <c:tx>
            <c:strRef>
              <c:f>Sheet1!$A$2</c:f>
              <c:strCache>
                <c:ptCount val="1"/>
                <c:pt idx="0">
                  <c:v>Melanoma MA</c:v>
                </c:pt>
              </c:strCache>
            </c:strRef>
          </c:tx>
          <c:spPr>
            <a:ln w="12573">
              <a:solidFill>
                <a:srgbClr val="0000FF"/>
              </a:solidFill>
              <a:prstDash val="solid"/>
            </a:ln>
          </c:spPr>
          <c:marker>
            <c:symbol val="square"/>
            <c:size val="2"/>
            <c:spPr>
              <a:solidFill>
                <a:srgbClr val="0000FF"/>
              </a:solidFill>
              <a:ln>
                <a:solidFill>
                  <a:srgbClr val="0000FF"/>
                </a:solidFill>
                <a:prstDash val="solid"/>
              </a:ln>
            </c:spPr>
          </c:marker>
          <c:cat>
            <c:numRef>
              <c:f>Sheet1!$B$1:$L$1</c:f>
              <c:numCache>
                <c:formatCode>General</c:formatCode>
                <c:ptCount val="11"/>
                <c:pt idx="0">
                  <c:v>2000</c:v>
                </c:pt>
                <c:pt idx="1">
                  <c:v>2001</c:v>
                </c:pt>
                <c:pt idx="2">
                  <c:v>2002</c:v>
                </c:pt>
                <c:pt idx="3">
                  <c:v>2003</c:v>
                </c:pt>
                <c:pt idx="4">
                  <c:v>2004</c:v>
                </c:pt>
                <c:pt idx="5">
                  <c:v>2005</c:v>
                </c:pt>
                <c:pt idx="6">
                  <c:v>2006</c:v>
                </c:pt>
                <c:pt idx="7">
                  <c:v>2007</c:v>
                </c:pt>
                <c:pt idx="8">
                  <c:v>2008</c:v>
                </c:pt>
                <c:pt idx="9">
                  <c:v>2009</c:v>
                </c:pt>
              </c:numCache>
            </c:numRef>
          </c:cat>
          <c:val>
            <c:numRef>
              <c:f>Sheet1!$B$2:$L$2</c:f>
              <c:numCache>
                <c:formatCode>General</c:formatCode>
                <c:ptCount val="11"/>
                <c:pt idx="0">
                  <c:v>0.4</c:v>
                </c:pt>
                <c:pt idx="1">
                  <c:v>0.5</c:v>
                </c:pt>
                <c:pt idx="2">
                  <c:v>0.7</c:v>
                </c:pt>
                <c:pt idx="3">
                  <c:v>0.6</c:v>
                </c:pt>
                <c:pt idx="4">
                  <c:v>0.8</c:v>
                </c:pt>
                <c:pt idx="5">
                  <c:v>0.5</c:v>
                </c:pt>
                <c:pt idx="6">
                  <c:v>0.7</c:v>
                </c:pt>
                <c:pt idx="7">
                  <c:v>0.8</c:v>
                </c:pt>
                <c:pt idx="8">
                  <c:v>0.6</c:v>
                </c:pt>
                <c:pt idx="9">
                  <c:v>0.7</c:v>
                </c:pt>
              </c:numCache>
            </c:numRef>
          </c:val>
          <c:smooth val="0"/>
        </c:ser>
        <c:ser>
          <c:idx val="0"/>
          <c:order val="1"/>
          <c:tx>
            <c:strRef>
              <c:f>Sheet1!$A$3</c:f>
              <c:strCache>
                <c:ptCount val="1"/>
                <c:pt idx="0">
                  <c:v>Melanoma SEER</c:v>
                </c:pt>
              </c:strCache>
            </c:strRef>
          </c:tx>
          <c:spPr>
            <a:ln w="12573">
              <a:solidFill>
                <a:srgbClr val="FF0000"/>
              </a:solidFill>
              <a:prstDash val="solid"/>
            </a:ln>
          </c:spPr>
          <c:marker>
            <c:symbol val="circle"/>
            <c:size val="4"/>
            <c:spPr>
              <a:solidFill>
                <a:srgbClr val="FF0000"/>
              </a:solidFill>
              <a:ln>
                <a:solidFill>
                  <a:srgbClr val="FF0000"/>
                </a:solidFill>
                <a:prstDash val="solid"/>
              </a:ln>
            </c:spPr>
          </c:marker>
          <c:cat>
            <c:numRef>
              <c:f>Sheet1!$B$1:$L$1</c:f>
              <c:numCache>
                <c:formatCode>General</c:formatCode>
                <c:ptCount val="11"/>
                <c:pt idx="0">
                  <c:v>2000</c:v>
                </c:pt>
                <c:pt idx="1">
                  <c:v>2001</c:v>
                </c:pt>
                <c:pt idx="2">
                  <c:v>2002</c:v>
                </c:pt>
                <c:pt idx="3">
                  <c:v>2003</c:v>
                </c:pt>
                <c:pt idx="4">
                  <c:v>2004</c:v>
                </c:pt>
                <c:pt idx="5">
                  <c:v>2005</c:v>
                </c:pt>
                <c:pt idx="6">
                  <c:v>2006</c:v>
                </c:pt>
                <c:pt idx="7">
                  <c:v>2007</c:v>
                </c:pt>
                <c:pt idx="8">
                  <c:v>2008</c:v>
                </c:pt>
                <c:pt idx="9">
                  <c:v>2009</c:v>
                </c:pt>
              </c:numCache>
            </c:numRef>
          </c:cat>
          <c:val>
            <c:numRef>
              <c:f>Sheet1!$B$3:$L$3</c:f>
              <c:numCache>
                <c:formatCode>General</c:formatCode>
                <c:ptCount val="11"/>
                <c:pt idx="0">
                  <c:v>0.6</c:v>
                </c:pt>
                <c:pt idx="1">
                  <c:v>0.8</c:v>
                </c:pt>
                <c:pt idx="2">
                  <c:v>0.7</c:v>
                </c:pt>
                <c:pt idx="3">
                  <c:v>0.7</c:v>
                </c:pt>
                <c:pt idx="4">
                  <c:v>0.8</c:v>
                </c:pt>
                <c:pt idx="5">
                  <c:v>0.7</c:v>
                </c:pt>
                <c:pt idx="6">
                  <c:v>0.5</c:v>
                </c:pt>
                <c:pt idx="7">
                  <c:v>0.7</c:v>
                </c:pt>
                <c:pt idx="8">
                  <c:v>0.5</c:v>
                </c:pt>
                <c:pt idx="9">
                  <c:v>0.5</c:v>
                </c:pt>
              </c:numCache>
            </c:numRef>
          </c:val>
          <c:smooth val="0"/>
        </c:ser>
        <c:dLbls>
          <c:showLegendKey val="0"/>
          <c:showVal val="0"/>
          <c:showCatName val="0"/>
          <c:showSerName val="0"/>
          <c:showPercent val="0"/>
          <c:showBubbleSize val="0"/>
        </c:dLbls>
        <c:marker val="1"/>
        <c:smooth val="0"/>
        <c:axId val="106023936"/>
        <c:axId val="106063360"/>
      </c:lineChart>
      <c:catAx>
        <c:axId val="106023936"/>
        <c:scaling>
          <c:orientation val="minMax"/>
        </c:scaling>
        <c:delete val="0"/>
        <c:axPos val="b"/>
        <c:title>
          <c:tx>
            <c:rich>
              <a:bodyPr/>
              <a:lstStyle/>
              <a:p>
                <a:pPr>
                  <a:defRPr sz="792" b="1" i="0" u="none" strike="noStrike" baseline="0">
                    <a:solidFill>
                      <a:srgbClr val="000000"/>
                    </a:solidFill>
                    <a:latin typeface="Arial"/>
                    <a:ea typeface="Arial"/>
                    <a:cs typeface="Arial"/>
                  </a:defRPr>
                </a:pPr>
                <a:r>
                  <a:rPr lang="en-US"/>
                  <a:t>Year of Diagnosis</a:t>
                </a:r>
              </a:p>
            </c:rich>
          </c:tx>
          <c:layout>
            <c:manualLayout>
              <c:xMode val="edge"/>
              <c:yMode val="edge"/>
              <c:x val="0.77666675386506911"/>
              <c:y val="0.88620697173236729"/>
            </c:manualLayout>
          </c:layout>
          <c:overlay val="0"/>
          <c:spPr>
            <a:noFill/>
            <a:ln w="25146">
              <a:noFill/>
            </a:ln>
          </c:spPr>
        </c:title>
        <c:numFmt formatCode="General" sourceLinked="1"/>
        <c:majorTickMark val="out"/>
        <c:minorTickMark val="none"/>
        <c:tickLblPos val="nextTo"/>
        <c:spPr>
          <a:ln w="3143">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6063360"/>
        <c:crosses val="autoZero"/>
        <c:auto val="1"/>
        <c:lblAlgn val="ctr"/>
        <c:lblOffset val="100"/>
        <c:tickLblSkip val="1"/>
        <c:tickMarkSkip val="1"/>
        <c:noMultiLvlLbl val="0"/>
      </c:catAx>
      <c:valAx>
        <c:axId val="106063360"/>
        <c:scaling>
          <c:orientation val="minMax"/>
        </c:scaling>
        <c:delete val="0"/>
        <c:axPos val="l"/>
        <c:majorGridlines>
          <c:spPr>
            <a:ln w="3143">
              <a:solidFill>
                <a:srgbClr val="000000"/>
              </a:solidFill>
              <a:prstDash val="solid"/>
            </a:ln>
          </c:spPr>
        </c:majorGridlines>
        <c:title>
          <c:tx>
            <c:rich>
              <a:bodyPr rot="0" vert="horz"/>
              <a:lstStyle/>
              <a:p>
                <a:pPr algn="ctr">
                  <a:defRPr sz="792" b="1" i="0" u="none" strike="noStrike" baseline="0">
                    <a:solidFill>
                      <a:srgbClr val="000000"/>
                    </a:solidFill>
                    <a:latin typeface="Arial"/>
                    <a:ea typeface="Arial"/>
                    <a:cs typeface="Arial"/>
                  </a:defRPr>
                </a:pPr>
                <a:r>
                  <a:rPr lang="en-US"/>
                  <a:t>Rate 
per 
100,000</a:t>
                </a:r>
              </a:p>
            </c:rich>
          </c:tx>
          <c:layout>
            <c:manualLayout>
              <c:xMode val="edge"/>
              <c:yMode val="edge"/>
              <c:x val="3.3334205317358586E-3"/>
              <c:y val="0.17241394346473465"/>
            </c:manualLayout>
          </c:layout>
          <c:overlay val="0"/>
          <c:spPr>
            <a:noFill/>
            <a:ln w="25146">
              <a:noFill/>
            </a:ln>
          </c:spPr>
        </c:title>
        <c:numFmt formatCode="General" sourceLinked="1"/>
        <c:majorTickMark val="out"/>
        <c:minorTickMark val="none"/>
        <c:tickLblPos val="nextTo"/>
        <c:spPr>
          <a:ln w="3143">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6023936"/>
        <c:crosses val="autoZero"/>
        <c:crossBetween val="between"/>
      </c:valAx>
      <c:spPr>
        <a:solidFill>
          <a:srgbClr val="C0C0C0"/>
        </a:solidFill>
        <a:ln w="12573">
          <a:solidFill>
            <a:srgbClr val="808080"/>
          </a:solidFill>
          <a:prstDash val="solid"/>
        </a:ln>
      </c:spPr>
    </c:plotArea>
    <c:legend>
      <c:legendPos val="r"/>
      <c:layout>
        <c:manualLayout>
          <c:xMode val="edge"/>
          <c:yMode val="edge"/>
          <c:x val="0.33333333333333331"/>
          <c:y val="0.89310356972151639"/>
          <c:w val="0.41500004359920123"/>
          <c:h val="7.9310373743218254E-2"/>
        </c:manualLayout>
      </c:layout>
      <c:overlay val="0"/>
      <c:spPr>
        <a:noFill/>
        <a:ln w="3143">
          <a:solidFill>
            <a:srgbClr val="000000"/>
          </a:solidFill>
          <a:prstDash val="solid"/>
        </a:ln>
      </c:spPr>
      <c:txPr>
        <a:bodyPr/>
        <a:lstStyle/>
        <a:p>
          <a:pPr>
            <a:defRPr sz="817" b="1" i="0" u="none" strike="noStrike" baseline="0">
              <a:solidFill>
                <a:srgbClr val="000000"/>
              </a:solidFill>
              <a:latin typeface="Arial"/>
              <a:ea typeface="Arial"/>
              <a:cs typeface="Arial"/>
            </a:defRPr>
          </a:pPr>
          <a:endParaRPr lang="en-US"/>
        </a:p>
      </c:txPr>
    </c:legend>
    <c:plotVisOnly val="1"/>
    <c:dispBlanksAs val="gap"/>
    <c:showDLblsOverMax val="0"/>
  </c:chart>
  <c:spPr>
    <a:noFill/>
    <a:ln w="6287" cap="flat" cmpd="sng" algn="ctr">
      <a:solidFill>
        <a:srgbClr val="000000"/>
      </a:solidFill>
      <a:prstDash val="solid"/>
      <a:miter lim="800000"/>
      <a:headEnd type="none" w="med" len="med"/>
      <a:tailEnd type="none" w="med" len="med"/>
    </a:ln>
  </c:spPr>
  <c:txPr>
    <a:bodyPr/>
    <a:lstStyle/>
    <a:p>
      <a:pPr>
        <a:defRPr sz="1188" b="1" i="0" u="none" strike="noStrike" baseline="0">
          <a:solidFill>
            <a:srgbClr val="000000"/>
          </a:solidFill>
          <a:latin typeface="Arial"/>
          <a:ea typeface="Arial"/>
          <a:cs typeface="Arial"/>
        </a:defRPr>
      </a:pPr>
      <a:endParaRPr lang="en-US"/>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en-US"/>
              <a:t>Figure 28: Age-Adjusted Soft Tissue Sarcoma Incidence Rates Among Children and Adolescents in MA and US SEER, 2000-2009</a:t>
            </a:r>
          </a:p>
        </c:rich>
      </c:tx>
      <c:layout>
        <c:manualLayout>
          <c:xMode val="edge"/>
          <c:yMode val="edge"/>
          <c:x val="0.13210708661417322"/>
          <c:y val="0"/>
        </c:manualLayout>
      </c:layout>
      <c:overlay val="0"/>
      <c:spPr>
        <a:noFill/>
        <a:ln w="25389">
          <a:noFill/>
        </a:ln>
      </c:spPr>
    </c:title>
    <c:autoTitleDeleted val="0"/>
    <c:plotArea>
      <c:layout>
        <c:manualLayout>
          <c:layoutTarget val="inner"/>
          <c:xMode val="edge"/>
          <c:yMode val="edge"/>
          <c:x val="0.12040133779264212"/>
          <c:y val="0.16459627329192553"/>
          <c:w val="0.85785953177257546"/>
          <c:h val="0.63354037267080776"/>
        </c:manualLayout>
      </c:layout>
      <c:lineChart>
        <c:grouping val="standard"/>
        <c:varyColors val="0"/>
        <c:ser>
          <c:idx val="0"/>
          <c:order val="0"/>
          <c:tx>
            <c:strRef>
              <c:f>Sheet1!$A$2</c:f>
              <c:strCache>
                <c:ptCount val="1"/>
                <c:pt idx="0">
                  <c:v>Soft Tissue MA</c:v>
                </c:pt>
              </c:strCache>
            </c:strRef>
          </c:tx>
          <c:spPr>
            <a:ln w="12695">
              <a:solidFill>
                <a:srgbClr val="0000FF"/>
              </a:solidFill>
              <a:prstDash val="solid"/>
            </a:ln>
          </c:spPr>
          <c:marker>
            <c:symbol val="plus"/>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1.2</c:v>
                </c:pt>
                <c:pt idx="1">
                  <c:v>1.4</c:v>
                </c:pt>
                <c:pt idx="2">
                  <c:v>1.4</c:v>
                </c:pt>
                <c:pt idx="3">
                  <c:v>1.5</c:v>
                </c:pt>
                <c:pt idx="4">
                  <c:v>1.2</c:v>
                </c:pt>
                <c:pt idx="5">
                  <c:v>1.4</c:v>
                </c:pt>
                <c:pt idx="6">
                  <c:v>1.7</c:v>
                </c:pt>
                <c:pt idx="7">
                  <c:v>1.3</c:v>
                </c:pt>
                <c:pt idx="8">
                  <c:v>1.4</c:v>
                </c:pt>
                <c:pt idx="9">
                  <c:v>1.4</c:v>
                </c:pt>
              </c:numCache>
            </c:numRef>
          </c:val>
          <c:smooth val="0"/>
        </c:ser>
        <c:ser>
          <c:idx val="1"/>
          <c:order val="1"/>
          <c:tx>
            <c:strRef>
              <c:f>Sheet1!$A$3</c:f>
              <c:strCache>
                <c:ptCount val="1"/>
                <c:pt idx="0">
                  <c:v>Soft Tissue SEER</c:v>
                </c:pt>
              </c:strCache>
            </c:strRef>
          </c:tx>
          <c:spPr>
            <a:ln w="12695">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1.3</c:v>
                </c:pt>
                <c:pt idx="1">
                  <c:v>1.3</c:v>
                </c:pt>
                <c:pt idx="2">
                  <c:v>1.2</c:v>
                </c:pt>
                <c:pt idx="3">
                  <c:v>1.2</c:v>
                </c:pt>
                <c:pt idx="4">
                  <c:v>1.3</c:v>
                </c:pt>
                <c:pt idx="5">
                  <c:v>1.4</c:v>
                </c:pt>
                <c:pt idx="6">
                  <c:v>1.1000000000000001</c:v>
                </c:pt>
                <c:pt idx="7">
                  <c:v>1.3</c:v>
                </c:pt>
                <c:pt idx="8">
                  <c:v>1.3</c:v>
                </c:pt>
                <c:pt idx="9">
                  <c:v>1.3</c:v>
                </c:pt>
              </c:numCache>
            </c:numRef>
          </c:val>
          <c:smooth val="0"/>
        </c:ser>
        <c:dLbls>
          <c:showLegendKey val="0"/>
          <c:showVal val="0"/>
          <c:showCatName val="0"/>
          <c:showSerName val="0"/>
          <c:showPercent val="0"/>
          <c:showBubbleSize val="0"/>
        </c:dLbls>
        <c:marker val="1"/>
        <c:smooth val="0"/>
        <c:axId val="106134144"/>
        <c:axId val="106153088"/>
      </c:lineChart>
      <c:catAx>
        <c:axId val="106134144"/>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 of Diagnosis</a:t>
                </a:r>
              </a:p>
            </c:rich>
          </c:tx>
          <c:layout>
            <c:manualLayout>
              <c:xMode val="edge"/>
              <c:yMode val="edge"/>
              <c:x val="0.77759195100612422"/>
              <c:y val="0.90062111996479488"/>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6153088"/>
        <c:crosses val="autoZero"/>
        <c:auto val="1"/>
        <c:lblAlgn val="ctr"/>
        <c:lblOffset val="100"/>
        <c:tickLblSkip val="1"/>
        <c:tickMarkSkip val="1"/>
        <c:noMultiLvlLbl val="0"/>
      </c:catAx>
      <c:valAx>
        <c:axId val="106153088"/>
        <c:scaling>
          <c:orientation val="minMax"/>
        </c:scaling>
        <c:delete val="0"/>
        <c:axPos val="l"/>
        <c:majorGridlines>
          <c:spPr>
            <a:ln w="3174">
              <a:solidFill>
                <a:srgbClr val="000000"/>
              </a:solidFill>
              <a:prstDash val="solid"/>
            </a:ln>
          </c:spPr>
        </c:majorGridlines>
        <c:title>
          <c:tx>
            <c:rich>
              <a:bodyPr rot="0" vert="horz"/>
              <a:lstStyle/>
              <a:p>
                <a:pPr algn="ctr">
                  <a:defRPr sz="800" b="1" i="0" u="none" strike="noStrike" baseline="0">
                    <a:solidFill>
                      <a:srgbClr val="000000"/>
                    </a:solidFill>
                    <a:latin typeface="Arial"/>
                    <a:ea typeface="Arial"/>
                    <a:cs typeface="Arial"/>
                  </a:defRPr>
                </a:pPr>
                <a:r>
                  <a:rPr lang="en-US"/>
                  <a:t>Rate 
per 
100,000</a:t>
                </a:r>
              </a:p>
            </c:rich>
          </c:tx>
          <c:layout>
            <c:manualLayout>
              <c:xMode val="edge"/>
              <c:yMode val="edge"/>
              <c:x val="3.3445319335083114E-3"/>
              <c:y val="0.15217376271079885"/>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6134144"/>
        <c:crosses val="autoZero"/>
        <c:crossBetween val="between"/>
      </c:valAx>
      <c:spPr>
        <a:solidFill>
          <a:srgbClr val="C0C0C0"/>
        </a:solidFill>
        <a:ln w="12695">
          <a:solidFill>
            <a:srgbClr val="808080"/>
          </a:solidFill>
          <a:prstDash val="solid"/>
        </a:ln>
      </c:spPr>
    </c:plotArea>
    <c:legend>
      <c:legendPos val="r"/>
      <c:layout>
        <c:manualLayout>
          <c:xMode val="edge"/>
          <c:yMode val="edge"/>
          <c:x val="0.3294314960629921"/>
          <c:y val="0.90062111996479488"/>
          <c:w val="0.43311041119860011"/>
          <c:h val="7.1428481619438267E-2"/>
        </c:manualLayout>
      </c:layout>
      <c:overlay val="0"/>
      <c:spPr>
        <a:noFill/>
        <a:ln w="3174">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en-US"/>
        </a:p>
      </c:txPr>
    </c:legend>
    <c:plotVisOnly val="1"/>
    <c:dispBlanksAs val="gap"/>
    <c:showDLblsOverMax val="0"/>
  </c:chart>
  <c:spPr>
    <a:noFill/>
    <a:ln w="6347" cap="flat" cmpd="sng" algn="ctr">
      <a:solidFill>
        <a:srgbClr val="000000"/>
      </a:solidFill>
      <a:prstDash val="solid"/>
      <a:miter lim="800000"/>
      <a:headEnd type="none" w="med" len="med"/>
      <a:tailEnd type="none" w="med" len="med"/>
    </a:ln>
  </c:spPr>
  <c:txPr>
    <a:bodyPr/>
    <a:lstStyle/>
    <a:p>
      <a:pPr>
        <a:defRPr sz="1424" b="1" i="0" u="none" strike="noStrike" baseline="0">
          <a:solidFill>
            <a:srgbClr val="000000"/>
          </a:solidFill>
          <a:latin typeface="Arial"/>
          <a:ea typeface="Arial"/>
          <a:cs typeface="Arial"/>
        </a:defRPr>
      </a:pPr>
      <a:endParaRPr lang="en-US"/>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en-US"/>
              <a:t>Figure 29: Age-Adjusted Germ Cell Tumor Incidence Rates Among Children and Adolscents, MA and US SEER, 2000-2009</a:t>
            </a:r>
          </a:p>
        </c:rich>
      </c:tx>
      <c:layout>
        <c:manualLayout>
          <c:xMode val="edge"/>
          <c:yMode val="edge"/>
          <c:x val="0.15050166229221348"/>
          <c:y val="0"/>
        </c:manualLayout>
      </c:layout>
      <c:overlay val="0"/>
      <c:spPr>
        <a:noFill/>
        <a:ln w="25389">
          <a:noFill/>
        </a:ln>
      </c:spPr>
    </c:title>
    <c:autoTitleDeleted val="0"/>
    <c:plotArea>
      <c:layout>
        <c:manualLayout>
          <c:layoutTarget val="inner"/>
          <c:xMode val="edge"/>
          <c:yMode val="edge"/>
          <c:x val="0.12374581939799331"/>
          <c:y val="0.19314641744548292"/>
          <c:w val="0.85618729096989965"/>
          <c:h val="0.57632398753894076"/>
        </c:manualLayout>
      </c:layout>
      <c:lineChart>
        <c:grouping val="standard"/>
        <c:varyColors val="0"/>
        <c:ser>
          <c:idx val="3"/>
          <c:order val="0"/>
          <c:tx>
            <c:strRef>
              <c:f>Sheet1!$A$2</c:f>
              <c:strCache>
                <c:ptCount val="1"/>
                <c:pt idx="0">
                  <c:v>Germ Cell MA</c:v>
                </c:pt>
              </c:strCache>
            </c:strRef>
          </c:tx>
          <c:spPr>
            <a:ln w="12695">
              <a:solidFill>
                <a:srgbClr val="0000FF"/>
              </a:solidFill>
              <a:prstDash val="solid"/>
            </a:ln>
          </c:spPr>
          <c:marker>
            <c:symbol val="plus"/>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0.9</c:v>
                </c:pt>
                <c:pt idx="1">
                  <c:v>0.8</c:v>
                </c:pt>
                <c:pt idx="2">
                  <c:v>1.3</c:v>
                </c:pt>
                <c:pt idx="3">
                  <c:v>0.7</c:v>
                </c:pt>
                <c:pt idx="4">
                  <c:v>1.2</c:v>
                </c:pt>
                <c:pt idx="5">
                  <c:v>0.7</c:v>
                </c:pt>
                <c:pt idx="6">
                  <c:v>1.1000000000000001</c:v>
                </c:pt>
                <c:pt idx="7">
                  <c:v>0.7</c:v>
                </c:pt>
                <c:pt idx="8">
                  <c:v>1.2</c:v>
                </c:pt>
                <c:pt idx="9">
                  <c:v>1.4</c:v>
                </c:pt>
              </c:numCache>
            </c:numRef>
          </c:val>
          <c:smooth val="0"/>
        </c:ser>
        <c:ser>
          <c:idx val="0"/>
          <c:order val="1"/>
          <c:tx>
            <c:strRef>
              <c:f>Sheet1!$A$3</c:f>
              <c:strCache>
                <c:ptCount val="1"/>
                <c:pt idx="0">
                  <c:v>Germ Cell SEER</c:v>
                </c:pt>
              </c:strCache>
            </c:strRef>
          </c:tx>
          <c:spPr>
            <a:ln w="12695">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1.2</c:v>
                </c:pt>
                <c:pt idx="1">
                  <c:v>1.4</c:v>
                </c:pt>
                <c:pt idx="2">
                  <c:v>1.4</c:v>
                </c:pt>
                <c:pt idx="3">
                  <c:v>1.2</c:v>
                </c:pt>
                <c:pt idx="4">
                  <c:v>1.4</c:v>
                </c:pt>
                <c:pt idx="5">
                  <c:v>1.5</c:v>
                </c:pt>
                <c:pt idx="6">
                  <c:v>1.3</c:v>
                </c:pt>
                <c:pt idx="7">
                  <c:v>1.4</c:v>
                </c:pt>
                <c:pt idx="8">
                  <c:v>1.3</c:v>
                </c:pt>
                <c:pt idx="9">
                  <c:v>1.5</c:v>
                </c:pt>
              </c:numCache>
            </c:numRef>
          </c:val>
          <c:smooth val="0"/>
        </c:ser>
        <c:dLbls>
          <c:showLegendKey val="0"/>
          <c:showVal val="0"/>
          <c:showCatName val="0"/>
          <c:showSerName val="0"/>
          <c:showPercent val="0"/>
          <c:showBubbleSize val="0"/>
        </c:dLbls>
        <c:marker val="1"/>
        <c:smooth val="0"/>
        <c:axId val="106194816"/>
        <c:axId val="106201472"/>
      </c:lineChart>
      <c:catAx>
        <c:axId val="106194816"/>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 of Diagnosis</a:t>
                </a:r>
              </a:p>
            </c:rich>
          </c:tx>
          <c:layout>
            <c:manualLayout>
              <c:xMode val="edge"/>
              <c:yMode val="edge"/>
              <c:x val="0.80434785651793528"/>
              <c:y val="0.8785046463786621"/>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6201472"/>
        <c:crosses val="autoZero"/>
        <c:auto val="1"/>
        <c:lblAlgn val="ctr"/>
        <c:lblOffset val="100"/>
        <c:tickLblSkip val="1"/>
        <c:tickMarkSkip val="1"/>
        <c:noMultiLvlLbl val="0"/>
      </c:catAx>
      <c:valAx>
        <c:axId val="106201472"/>
        <c:scaling>
          <c:orientation val="minMax"/>
        </c:scaling>
        <c:delete val="0"/>
        <c:axPos val="l"/>
        <c:majorGridlines>
          <c:spPr>
            <a:ln w="3174">
              <a:solidFill>
                <a:srgbClr val="000000"/>
              </a:solidFill>
              <a:prstDash val="solid"/>
            </a:ln>
          </c:spPr>
        </c:majorGridlines>
        <c:title>
          <c:tx>
            <c:rich>
              <a:bodyPr rot="0" vert="horz"/>
              <a:lstStyle/>
              <a:p>
                <a:pPr algn="ctr">
                  <a:defRPr sz="800" b="1" i="0" u="none" strike="noStrike" baseline="0">
                    <a:solidFill>
                      <a:srgbClr val="000000"/>
                    </a:solidFill>
                    <a:latin typeface="Arial"/>
                    <a:ea typeface="Arial"/>
                    <a:cs typeface="Arial"/>
                  </a:defRPr>
                </a:pPr>
                <a:r>
                  <a:rPr lang="en-US"/>
                  <a:t>Rate 
per 
100,000</a:t>
                </a:r>
              </a:p>
            </c:rich>
          </c:tx>
          <c:layout>
            <c:manualLayout>
              <c:xMode val="edge"/>
              <c:yMode val="edge"/>
              <c:x val="5.0167979002624669E-3"/>
              <c:y val="0.17757001095583771"/>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6194816"/>
        <c:crosses val="autoZero"/>
        <c:crossBetween val="between"/>
      </c:valAx>
      <c:spPr>
        <a:solidFill>
          <a:srgbClr val="C0C0C0"/>
        </a:solidFill>
        <a:ln w="12695">
          <a:solidFill>
            <a:srgbClr val="808080"/>
          </a:solidFill>
          <a:prstDash val="solid"/>
        </a:ln>
      </c:spPr>
    </c:plotArea>
    <c:legend>
      <c:legendPos val="r"/>
      <c:layout>
        <c:manualLayout>
          <c:xMode val="edge"/>
          <c:yMode val="edge"/>
          <c:x val="0.34949833770778654"/>
          <c:y val="0.8785046463786621"/>
          <c:w val="0.40300997375328079"/>
          <c:h val="7.165117873779292E-2"/>
        </c:manualLayout>
      </c:layout>
      <c:overlay val="0"/>
      <c:spPr>
        <a:noFill/>
        <a:ln w="3174">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en-US"/>
        </a:p>
      </c:txPr>
    </c:legend>
    <c:plotVisOnly val="1"/>
    <c:dispBlanksAs val="gap"/>
    <c:showDLblsOverMax val="0"/>
  </c:chart>
  <c:spPr>
    <a:noFill/>
    <a:ln w="6347" cap="flat" cmpd="sng" algn="ctr">
      <a:solidFill>
        <a:srgbClr val="000000"/>
      </a:solidFill>
      <a:prstDash val="solid"/>
      <a:miter lim="800000"/>
      <a:headEnd type="none" w="med" len="med"/>
      <a:tailEnd type="none" w="med" len="med"/>
    </a:ln>
  </c:spPr>
  <c:txPr>
    <a:bodyPr/>
    <a:lstStyle/>
    <a:p>
      <a:pPr>
        <a:defRPr sz="1200" b="1" i="0" u="none" strike="noStrike" baseline="0">
          <a:solidFill>
            <a:srgbClr val="000000"/>
          </a:solidFill>
          <a:latin typeface="Arial"/>
          <a:ea typeface="Arial"/>
          <a:cs typeface="Arial"/>
        </a:defRPr>
      </a:pPr>
      <a:endParaRPr lang="en-US"/>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en-US"/>
              <a:t>Figure 30: Age-Adjusted Malignant Bone Tumor Incidence Rates Among Children and Adolescents, MA and US SEER, 2000-2009</a:t>
            </a:r>
          </a:p>
        </c:rich>
      </c:tx>
      <c:layout>
        <c:manualLayout>
          <c:xMode val="edge"/>
          <c:yMode val="edge"/>
          <c:x val="0.11872913385826771"/>
          <c:y val="0"/>
        </c:manualLayout>
      </c:layout>
      <c:overlay val="0"/>
      <c:spPr>
        <a:noFill/>
        <a:ln w="25389">
          <a:noFill/>
        </a:ln>
      </c:spPr>
    </c:title>
    <c:autoTitleDeleted val="0"/>
    <c:plotArea>
      <c:layout>
        <c:manualLayout>
          <c:layoutTarget val="inner"/>
          <c:xMode val="edge"/>
          <c:yMode val="edge"/>
          <c:x val="0.12709030100334448"/>
          <c:y val="0.18481848184818492"/>
          <c:w val="0.85618729096989965"/>
          <c:h val="0.60396039603960394"/>
        </c:manualLayout>
      </c:layout>
      <c:lineChart>
        <c:grouping val="standard"/>
        <c:varyColors val="0"/>
        <c:ser>
          <c:idx val="1"/>
          <c:order val="0"/>
          <c:tx>
            <c:strRef>
              <c:f>Sheet1!$A$2</c:f>
              <c:strCache>
                <c:ptCount val="1"/>
                <c:pt idx="0">
                  <c:v>Bone MA</c:v>
                </c:pt>
              </c:strCache>
            </c:strRef>
          </c:tx>
          <c:spPr>
            <a:ln w="12695">
              <a:solidFill>
                <a:srgbClr val="0000FF"/>
              </a:solidFill>
              <a:prstDash val="solid"/>
            </a:ln>
          </c:spPr>
          <c:marker>
            <c:symbol val="square"/>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0.9</c:v>
                </c:pt>
                <c:pt idx="1">
                  <c:v>0.5</c:v>
                </c:pt>
                <c:pt idx="2">
                  <c:v>0.7</c:v>
                </c:pt>
                <c:pt idx="3">
                  <c:v>0.9</c:v>
                </c:pt>
                <c:pt idx="4">
                  <c:v>0.5</c:v>
                </c:pt>
                <c:pt idx="5">
                  <c:v>0.9</c:v>
                </c:pt>
                <c:pt idx="6">
                  <c:v>1.3</c:v>
                </c:pt>
                <c:pt idx="7">
                  <c:v>0.6</c:v>
                </c:pt>
                <c:pt idx="8">
                  <c:v>0.5</c:v>
                </c:pt>
                <c:pt idx="9">
                  <c:v>0.5</c:v>
                </c:pt>
              </c:numCache>
            </c:numRef>
          </c:val>
          <c:smooth val="0"/>
        </c:ser>
        <c:ser>
          <c:idx val="2"/>
          <c:order val="1"/>
          <c:tx>
            <c:strRef>
              <c:f>Sheet1!$A$3</c:f>
              <c:strCache>
                <c:ptCount val="1"/>
                <c:pt idx="0">
                  <c:v>Bone SEER</c:v>
                </c:pt>
              </c:strCache>
            </c:strRef>
          </c:tx>
          <c:spPr>
            <a:ln w="12695">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0.9</c:v>
                </c:pt>
                <c:pt idx="1">
                  <c:v>1.1000000000000001</c:v>
                </c:pt>
                <c:pt idx="2">
                  <c:v>1.3</c:v>
                </c:pt>
                <c:pt idx="3">
                  <c:v>1</c:v>
                </c:pt>
                <c:pt idx="4">
                  <c:v>1</c:v>
                </c:pt>
                <c:pt idx="5">
                  <c:v>1.1000000000000001</c:v>
                </c:pt>
                <c:pt idx="6">
                  <c:v>1.1000000000000001</c:v>
                </c:pt>
                <c:pt idx="7">
                  <c:v>1</c:v>
                </c:pt>
                <c:pt idx="8">
                  <c:v>1.2</c:v>
                </c:pt>
                <c:pt idx="9">
                  <c:v>1.2</c:v>
                </c:pt>
              </c:numCache>
            </c:numRef>
          </c:val>
          <c:smooth val="0"/>
        </c:ser>
        <c:dLbls>
          <c:showLegendKey val="0"/>
          <c:showVal val="0"/>
          <c:showCatName val="0"/>
          <c:showSerName val="0"/>
          <c:showPercent val="0"/>
          <c:showBubbleSize val="0"/>
        </c:dLbls>
        <c:marker val="1"/>
        <c:smooth val="0"/>
        <c:axId val="106427904"/>
        <c:axId val="106434560"/>
      </c:lineChart>
      <c:catAx>
        <c:axId val="106427904"/>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 of Diagnosis</a:t>
                </a:r>
              </a:p>
            </c:rich>
          </c:tx>
          <c:layout>
            <c:manualLayout>
              <c:xMode val="edge"/>
              <c:yMode val="edge"/>
              <c:x val="0.8143812773403325"/>
              <c:y val="0.88448834614236105"/>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6434560"/>
        <c:crosses val="autoZero"/>
        <c:auto val="1"/>
        <c:lblAlgn val="ctr"/>
        <c:lblOffset val="100"/>
        <c:tickLblSkip val="1"/>
        <c:tickMarkSkip val="1"/>
        <c:noMultiLvlLbl val="0"/>
      </c:catAx>
      <c:valAx>
        <c:axId val="106434560"/>
        <c:scaling>
          <c:orientation val="minMax"/>
        </c:scaling>
        <c:delete val="0"/>
        <c:axPos val="l"/>
        <c:majorGridlines>
          <c:spPr>
            <a:ln w="3174">
              <a:solidFill>
                <a:srgbClr val="000000"/>
              </a:solidFill>
              <a:prstDash val="solid"/>
            </a:ln>
          </c:spPr>
        </c:majorGridlines>
        <c:title>
          <c:tx>
            <c:rich>
              <a:bodyPr rot="0" vert="horz"/>
              <a:lstStyle/>
              <a:p>
                <a:pPr algn="ctr">
                  <a:defRPr sz="800" b="1" i="0" u="none" strike="noStrike" baseline="0">
                    <a:solidFill>
                      <a:srgbClr val="000000"/>
                    </a:solidFill>
                    <a:latin typeface="Arial"/>
                    <a:ea typeface="Arial"/>
                    <a:cs typeface="Arial"/>
                  </a:defRPr>
                </a:pPr>
                <a:r>
                  <a:rPr lang="en-US"/>
                  <a:t>Rate 
per 
100,000</a:t>
                </a:r>
              </a:p>
            </c:rich>
          </c:tx>
          <c:layout>
            <c:manualLayout>
              <c:xMode val="edge"/>
              <c:yMode val="edge"/>
              <c:x val="3.3445319335083114E-3"/>
              <c:y val="0.17491756644191933"/>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6427904"/>
        <c:crosses val="autoZero"/>
        <c:crossBetween val="between"/>
      </c:valAx>
      <c:spPr>
        <a:solidFill>
          <a:srgbClr val="C0C0C0"/>
        </a:solidFill>
        <a:ln w="12695">
          <a:solidFill>
            <a:srgbClr val="808080"/>
          </a:solidFill>
          <a:prstDash val="solid"/>
        </a:ln>
      </c:spPr>
    </c:plotArea>
    <c:legend>
      <c:legendPos val="r"/>
      <c:layout>
        <c:manualLayout>
          <c:xMode val="edge"/>
          <c:yMode val="edge"/>
          <c:x val="0.3913042869641295"/>
          <c:y val="0.89438948873905733"/>
          <c:w val="0.31605354330708663"/>
          <c:h val="7.5907712134785532E-2"/>
        </c:manualLayout>
      </c:layout>
      <c:overlay val="0"/>
      <c:spPr>
        <a:noFill/>
        <a:ln w="3174">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en-US"/>
        </a:p>
      </c:txPr>
    </c:legend>
    <c:plotVisOnly val="1"/>
    <c:dispBlanksAs val="gap"/>
    <c:showDLblsOverMax val="0"/>
  </c:chart>
  <c:spPr>
    <a:noFill/>
    <a:ln w="6347" cap="flat" cmpd="sng" algn="ctr">
      <a:solidFill>
        <a:srgbClr val="000000"/>
      </a:solidFill>
      <a:prstDash val="solid"/>
      <a:miter lim="800000"/>
      <a:headEnd type="none" w="med" len="med"/>
      <a:tailEnd type="none" w="med" len="med"/>
    </a:ln>
  </c:spPr>
  <c:txPr>
    <a:bodyPr/>
    <a:lstStyle/>
    <a:p>
      <a:pPr>
        <a:defRPr sz="1200" b="1"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79" b="1" i="0" u="none" strike="noStrike" baseline="0">
                <a:solidFill>
                  <a:srgbClr val="000000"/>
                </a:solidFill>
                <a:latin typeface="Arial"/>
                <a:ea typeface="Arial"/>
                <a:cs typeface="Arial"/>
              </a:defRPr>
            </a:pPr>
            <a:r>
              <a:rPr lang="en-US"/>
              <a:t>Figure 2: Childhood/Adolescent Male Cancer Cases by Type,                 MA, 2000-2009 (N=1603)</a:t>
            </a:r>
          </a:p>
        </c:rich>
      </c:tx>
      <c:layout>
        <c:manualLayout>
          <c:xMode val="edge"/>
          <c:yMode val="edge"/>
          <c:x val="0.17567574255238297"/>
          <c:y val="0"/>
        </c:manualLayout>
      </c:layout>
      <c:overlay val="0"/>
      <c:spPr>
        <a:noFill/>
        <a:ln w="24876">
          <a:noFill/>
        </a:ln>
      </c:spPr>
    </c:title>
    <c:autoTitleDeleted val="0"/>
    <c:plotArea>
      <c:layout>
        <c:manualLayout>
          <c:layoutTarget val="inner"/>
          <c:xMode val="edge"/>
          <c:yMode val="edge"/>
          <c:x val="0.28716216216216234"/>
          <c:y val="0.23860589812332444"/>
          <c:w val="0.454391891891892"/>
          <c:h val="0.72117962466487995"/>
        </c:manualLayout>
      </c:layout>
      <c:pieChart>
        <c:varyColors val="1"/>
        <c:ser>
          <c:idx val="0"/>
          <c:order val="0"/>
          <c:tx>
            <c:strRef>
              <c:f>Sheet1!$A$2</c:f>
              <c:strCache>
                <c:ptCount val="1"/>
                <c:pt idx="0">
                  <c:v> </c:v>
                </c:pt>
              </c:strCache>
            </c:strRef>
          </c:tx>
          <c:spPr>
            <a:solidFill>
              <a:srgbClr val="9999FF"/>
            </a:solidFill>
            <a:ln w="12438">
              <a:solidFill>
                <a:srgbClr val="000000"/>
              </a:solidFill>
              <a:prstDash val="solid"/>
            </a:ln>
          </c:spPr>
          <c:dPt>
            <c:idx val="0"/>
            <c:bubble3D val="0"/>
          </c:dPt>
          <c:dPt>
            <c:idx val="1"/>
            <c:bubble3D val="0"/>
            <c:spPr>
              <a:solidFill>
                <a:srgbClr val="993366"/>
              </a:solidFill>
              <a:ln w="12438">
                <a:solidFill>
                  <a:srgbClr val="000000"/>
                </a:solidFill>
                <a:prstDash val="solid"/>
              </a:ln>
            </c:spPr>
          </c:dPt>
          <c:dPt>
            <c:idx val="2"/>
            <c:bubble3D val="0"/>
            <c:spPr>
              <a:solidFill>
                <a:srgbClr val="FFFFCC"/>
              </a:solidFill>
              <a:ln w="12438">
                <a:solidFill>
                  <a:srgbClr val="000000"/>
                </a:solidFill>
                <a:prstDash val="solid"/>
              </a:ln>
            </c:spPr>
          </c:dPt>
          <c:dPt>
            <c:idx val="3"/>
            <c:bubble3D val="0"/>
            <c:spPr>
              <a:solidFill>
                <a:srgbClr val="CCFFFF"/>
              </a:solidFill>
              <a:ln w="12438">
                <a:solidFill>
                  <a:srgbClr val="000000"/>
                </a:solidFill>
                <a:prstDash val="solid"/>
              </a:ln>
            </c:spPr>
          </c:dPt>
          <c:dPt>
            <c:idx val="4"/>
            <c:bubble3D val="0"/>
            <c:spPr>
              <a:solidFill>
                <a:srgbClr val="660066"/>
              </a:solidFill>
              <a:ln w="12438">
                <a:solidFill>
                  <a:srgbClr val="000000"/>
                </a:solidFill>
                <a:prstDash val="solid"/>
              </a:ln>
            </c:spPr>
          </c:dPt>
          <c:dPt>
            <c:idx val="5"/>
            <c:bubble3D val="0"/>
            <c:spPr>
              <a:solidFill>
                <a:srgbClr val="FF8080"/>
              </a:solidFill>
              <a:ln w="12438">
                <a:solidFill>
                  <a:srgbClr val="000000"/>
                </a:solidFill>
                <a:prstDash val="solid"/>
              </a:ln>
            </c:spPr>
          </c:dPt>
          <c:dPt>
            <c:idx val="6"/>
            <c:bubble3D val="0"/>
            <c:spPr>
              <a:solidFill>
                <a:srgbClr val="0066CC"/>
              </a:solidFill>
              <a:ln w="12438">
                <a:solidFill>
                  <a:srgbClr val="000000"/>
                </a:solidFill>
                <a:prstDash val="solid"/>
              </a:ln>
            </c:spPr>
          </c:dPt>
          <c:dPt>
            <c:idx val="7"/>
            <c:bubble3D val="0"/>
            <c:spPr>
              <a:solidFill>
                <a:srgbClr val="CCCCFF"/>
              </a:solidFill>
              <a:ln w="12438">
                <a:solidFill>
                  <a:srgbClr val="000000"/>
                </a:solidFill>
                <a:prstDash val="solid"/>
              </a:ln>
            </c:spPr>
          </c:dPt>
          <c:dPt>
            <c:idx val="8"/>
            <c:bubble3D val="0"/>
            <c:spPr>
              <a:solidFill>
                <a:srgbClr val="000080"/>
              </a:solidFill>
              <a:ln w="12438">
                <a:solidFill>
                  <a:srgbClr val="000000"/>
                </a:solidFill>
                <a:prstDash val="solid"/>
              </a:ln>
            </c:spPr>
          </c:dPt>
          <c:dPt>
            <c:idx val="9"/>
            <c:bubble3D val="0"/>
            <c:spPr>
              <a:solidFill>
                <a:srgbClr val="FF00FF"/>
              </a:solidFill>
              <a:ln w="12438">
                <a:solidFill>
                  <a:srgbClr val="000000"/>
                </a:solidFill>
                <a:prstDash val="solid"/>
              </a:ln>
            </c:spPr>
          </c:dPt>
          <c:dPt>
            <c:idx val="10"/>
            <c:bubble3D val="0"/>
            <c:spPr>
              <a:solidFill>
                <a:srgbClr val="FFFF00"/>
              </a:solidFill>
              <a:ln w="12438">
                <a:solidFill>
                  <a:srgbClr val="000000"/>
                </a:solidFill>
                <a:prstDash val="solid"/>
              </a:ln>
            </c:spPr>
          </c:dPt>
          <c:dPt>
            <c:idx val="11"/>
            <c:bubble3D val="0"/>
            <c:spPr>
              <a:solidFill>
                <a:srgbClr val="00FFFF"/>
              </a:solidFill>
              <a:ln w="12438">
                <a:solidFill>
                  <a:srgbClr val="000000"/>
                </a:solidFill>
                <a:prstDash val="solid"/>
              </a:ln>
            </c:spPr>
          </c:dPt>
          <c:dLbls>
            <c:dLbl>
              <c:idx val="0"/>
              <c:layout>
                <c:manualLayout>
                  <c:x val="5.3196382490849826E-2"/>
                  <c:y val="-1.1308645848496361E-2"/>
                </c:manualLayout>
              </c:layout>
              <c:dLblPos val="bestFit"/>
              <c:showLegendKey val="0"/>
              <c:showVal val="0"/>
              <c:showCatName val="1"/>
              <c:showSerName val="0"/>
              <c:showPercent val="1"/>
              <c:showBubbleSize val="0"/>
            </c:dLbl>
            <c:dLbl>
              <c:idx val="1"/>
              <c:layout>
                <c:manualLayout>
                  <c:x val="6.5378788732936871E-2"/>
                  <c:y val="-0.11550513979801209"/>
                </c:manualLayout>
              </c:layout>
              <c:dLblPos val="bestFit"/>
              <c:showLegendKey val="0"/>
              <c:showVal val="0"/>
              <c:showCatName val="1"/>
              <c:showSerName val="0"/>
              <c:showPercent val="1"/>
              <c:showBubbleSize val="0"/>
            </c:dLbl>
            <c:dLbl>
              <c:idx val="2"/>
              <c:layout>
                <c:manualLayout>
                  <c:x val="0.23067220163794186"/>
                  <c:y val="-2.7411923644992633E-2"/>
                </c:manualLayout>
              </c:layout>
              <c:dLblPos val="bestFit"/>
              <c:showLegendKey val="0"/>
              <c:showVal val="0"/>
              <c:showCatName val="1"/>
              <c:showSerName val="0"/>
              <c:showPercent val="1"/>
              <c:showBubbleSize val="0"/>
            </c:dLbl>
            <c:dLbl>
              <c:idx val="3"/>
              <c:layout>
                <c:manualLayout>
                  <c:x val="-1.9000097244869622E-2"/>
                  <c:y val="6.9764835209373252E-2"/>
                </c:manualLayout>
              </c:layout>
              <c:tx>
                <c:rich>
                  <a:bodyPr/>
                  <a:lstStyle/>
                  <a:p>
                    <a:pPr>
                      <a:defRPr sz="783" b="1" i="0" u="none" strike="noStrike" baseline="0">
                        <a:solidFill>
                          <a:srgbClr val="000000"/>
                        </a:solidFill>
                        <a:latin typeface="Arial"/>
                        <a:ea typeface="Arial"/>
                        <a:cs typeface="Arial"/>
                      </a:defRPr>
                    </a:pPr>
                    <a:r>
                      <a:rPr lang="en-US"/>
                      <a:t>Epithelial Tumor
7%</a:t>
                    </a:r>
                  </a:p>
                </c:rich>
              </c:tx>
              <c:spPr>
                <a:noFill/>
                <a:ln w="24876">
                  <a:noFill/>
                </a:ln>
              </c:spPr>
              <c:dLblPos val="bestFit"/>
              <c:showLegendKey val="0"/>
              <c:showVal val="0"/>
              <c:showCatName val="0"/>
              <c:showSerName val="0"/>
              <c:showPercent val="0"/>
              <c:showBubbleSize val="0"/>
            </c:dLbl>
            <c:dLbl>
              <c:idx val="4"/>
              <c:layout>
                <c:manualLayout>
                  <c:x val="-5.9246522556346833E-2"/>
                  <c:y val="0.13256208446193088"/>
                </c:manualLayout>
              </c:layout>
              <c:dLblPos val="bestFit"/>
              <c:showLegendKey val="0"/>
              <c:showVal val="0"/>
              <c:showCatName val="1"/>
              <c:showSerName val="0"/>
              <c:showPercent val="1"/>
              <c:showBubbleSize val="0"/>
            </c:dLbl>
            <c:dLbl>
              <c:idx val="5"/>
              <c:layout>
                <c:manualLayout>
                  <c:x val="-8.6659925295269793E-2"/>
                  <c:y val="0.10098060861691736"/>
                </c:manualLayout>
              </c:layout>
              <c:dLblPos val="bestFit"/>
              <c:showLegendKey val="0"/>
              <c:showVal val="0"/>
              <c:showCatName val="1"/>
              <c:showSerName val="0"/>
              <c:showPercent val="1"/>
              <c:showBubbleSize val="0"/>
            </c:dLbl>
            <c:dLbl>
              <c:idx val="6"/>
              <c:layout>
                <c:manualLayout>
                  <c:x val="-0.11630933052779532"/>
                  <c:y val="0.14883438378818145"/>
                </c:manualLayout>
              </c:layout>
              <c:tx>
                <c:rich>
                  <a:bodyPr/>
                  <a:lstStyle/>
                  <a:p>
                    <a:pPr>
                      <a:defRPr sz="783" b="1" i="0" u="none" strike="noStrike" baseline="0">
                        <a:solidFill>
                          <a:srgbClr val="000000"/>
                        </a:solidFill>
                        <a:latin typeface="Arial"/>
                        <a:ea typeface="Arial"/>
                        <a:cs typeface="Arial"/>
                      </a:defRPr>
                    </a:pPr>
                    <a:r>
                      <a:rPr lang="en-US"/>
                      <a:t>Peripheral NS
6.7%</a:t>
                    </a:r>
                  </a:p>
                </c:rich>
              </c:tx>
              <c:spPr>
                <a:noFill/>
                <a:ln w="24876">
                  <a:noFill/>
                </a:ln>
              </c:spPr>
              <c:dLblPos val="bestFit"/>
              <c:showLegendKey val="0"/>
              <c:showVal val="0"/>
              <c:showCatName val="0"/>
              <c:showSerName val="0"/>
              <c:showPercent val="0"/>
              <c:showBubbleSize val="0"/>
            </c:dLbl>
            <c:dLbl>
              <c:idx val="7"/>
              <c:layout>
                <c:manualLayout>
                  <c:x val="-0.1997992304501405"/>
                  <c:y val="9.2322238551056326E-2"/>
                </c:manualLayout>
              </c:layout>
              <c:dLblPos val="bestFit"/>
              <c:showLegendKey val="0"/>
              <c:showVal val="0"/>
              <c:showCatName val="1"/>
              <c:showSerName val="0"/>
              <c:showPercent val="1"/>
              <c:showBubbleSize val="0"/>
            </c:dLbl>
            <c:dLbl>
              <c:idx val="8"/>
              <c:layout>
                <c:manualLayout>
                  <c:x val="-0.26065851571444232"/>
                  <c:y val="3.0398064982635538E-2"/>
                </c:manualLayout>
              </c:layout>
              <c:dLblPos val="bestFit"/>
              <c:showLegendKey val="0"/>
              <c:showVal val="0"/>
              <c:showCatName val="1"/>
              <c:showSerName val="0"/>
              <c:showPercent val="1"/>
              <c:showBubbleSize val="0"/>
            </c:dLbl>
            <c:dLbl>
              <c:idx val="9"/>
              <c:layout>
                <c:manualLayout>
                  <c:x val="-0.32224437283401164"/>
                  <c:y val="-4.2591722738050612E-2"/>
                </c:manualLayout>
              </c:layout>
              <c:dLblPos val="bestFit"/>
              <c:showLegendKey val="0"/>
              <c:showVal val="0"/>
              <c:showCatName val="1"/>
              <c:showSerName val="0"/>
              <c:showPercent val="1"/>
              <c:showBubbleSize val="0"/>
            </c:dLbl>
            <c:dLbl>
              <c:idx val="10"/>
              <c:layout>
                <c:manualLayout>
                  <c:x val="-8.9610423898373023E-2"/>
                  <c:y val="-4.5530457237914192E-2"/>
                </c:manualLayout>
              </c:layout>
              <c:dLblPos val="bestFit"/>
              <c:showLegendKey val="0"/>
              <c:showVal val="0"/>
              <c:showCatName val="1"/>
              <c:showSerName val="0"/>
              <c:showPercent val="1"/>
              <c:showBubbleSize val="0"/>
            </c:dLbl>
            <c:dLbl>
              <c:idx val="11"/>
              <c:layout>
                <c:manualLayout>
                  <c:x val="6.7275222242109578E-2"/>
                  <c:y val="-4.7577389367953964E-2"/>
                </c:manualLayout>
              </c:layout>
              <c:dLblPos val="bestFit"/>
              <c:showLegendKey val="0"/>
              <c:showVal val="0"/>
              <c:showCatName val="1"/>
              <c:showSerName val="0"/>
              <c:showPercent val="1"/>
              <c:showBubbleSize val="0"/>
            </c:dLbl>
            <c:numFmt formatCode="0.0%" sourceLinked="0"/>
            <c:spPr>
              <a:noFill/>
              <a:ln w="24876">
                <a:noFill/>
              </a:ln>
            </c:spPr>
            <c:txPr>
              <a:bodyPr/>
              <a:lstStyle/>
              <a:p>
                <a:pPr>
                  <a:defRPr sz="783"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Sheet1!$B$1:$M$1</c:f>
              <c:strCache>
                <c:ptCount val="12"/>
                <c:pt idx="0">
                  <c:v>Leukemia</c:v>
                </c:pt>
                <c:pt idx="1">
                  <c:v>CNS</c:v>
                </c:pt>
                <c:pt idx="2">
                  <c:v>Lymphoma</c:v>
                </c:pt>
                <c:pt idx="3">
                  <c:v>Epithelial Tumor</c:v>
                </c:pt>
                <c:pt idx="4">
                  <c:v>Soft Tissue</c:v>
                </c:pt>
                <c:pt idx="5">
                  <c:v>Germ Cell Tumor</c:v>
                </c:pt>
                <c:pt idx="6">
                  <c:v>Peripheral NS</c:v>
                </c:pt>
                <c:pt idx="7">
                  <c:v>Bone Tumors</c:v>
                </c:pt>
                <c:pt idx="8">
                  <c:v>Renal Tumor</c:v>
                </c:pt>
                <c:pt idx="9">
                  <c:v>Hepatic Tumor</c:v>
                </c:pt>
                <c:pt idx="10">
                  <c:v>Retinoblastoma</c:v>
                </c:pt>
                <c:pt idx="11">
                  <c:v>Other</c:v>
                </c:pt>
              </c:strCache>
            </c:strRef>
          </c:cat>
          <c:val>
            <c:numRef>
              <c:f>Sheet1!$B$2:$M$2</c:f>
              <c:numCache>
                <c:formatCode>General</c:formatCode>
                <c:ptCount val="12"/>
                <c:pt idx="0">
                  <c:v>23.6</c:v>
                </c:pt>
                <c:pt idx="1">
                  <c:v>19</c:v>
                </c:pt>
                <c:pt idx="2">
                  <c:v>18.7</c:v>
                </c:pt>
                <c:pt idx="3">
                  <c:v>7.5</c:v>
                </c:pt>
                <c:pt idx="4">
                  <c:v>7.4</c:v>
                </c:pt>
                <c:pt idx="5">
                  <c:v>6.7</c:v>
                </c:pt>
                <c:pt idx="6">
                  <c:v>6.7</c:v>
                </c:pt>
                <c:pt idx="7">
                  <c:v>4.5</c:v>
                </c:pt>
                <c:pt idx="8">
                  <c:v>3.3</c:v>
                </c:pt>
                <c:pt idx="9">
                  <c:v>1.1000000000000001</c:v>
                </c:pt>
                <c:pt idx="10">
                  <c:v>1.1000000000000001</c:v>
                </c:pt>
                <c:pt idx="11">
                  <c:v>0.4</c:v>
                </c:pt>
              </c:numCache>
            </c:numRef>
          </c:val>
        </c:ser>
        <c:ser>
          <c:idx val="1"/>
          <c:order val="1"/>
          <c:tx>
            <c:strRef>
              <c:f>Sheet1!$A$3</c:f>
              <c:strCache>
                <c:ptCount val="1"/>
                <c:pt idx="0">
                  <c:v> </c:v>
                </c:pt>
              </c:strCache>
            </c:strRef>
          </c:tx>
          <c:spPr>
            <a:solidFill>
              <a:srgbClr val="993366"/>
            </a:solidFill>
            <a:ln w="12438">
              <a:solidFill>
                <a:srgbClr val="000000"/>
              </a:solidFill>
              <a:prstDash val="solid"/>
            </a:ln>
          </c:spPr>
          <c:dPt>
            <c:idx val="0"/>
            <c:bubble3D val="0"/>
            <c:spPr>
              <a:solidFill>
                <a:srgbClr val="9999FF"/>
              </a:solidFill>
              <a:ln w="12438">
                <a:solidFill>
                  <a:srgbClr val="000000"/>
                </a:solidFill>
                <a:prstDash val="solid"/>
              </a:ln>
            </c:spPr>
          </c:dPt>
          <c:dPt>
            <c:idx val="1"/>
            <c:bubble3D val="0"/>
          </c:dPt>
          <c:dPt>
            <c:idx val="2"/>
            <c:bubble3D val="0"/>
            <c:spPr>
              <a:solidFill>
                <a:srgbClr val="FFFFCC"/>
              </a:solidFill>
              <a:ln w="12438">
                <a:solidFill>
                  <a:srgbClr val="000000"/>
                </a:solidFill>
                <a:prstDash val="solid"/>
              </a:ln>
            </c:spPr>
          </c:dPt>
          <c:dPt>
            <c:idx val="3"/>
            <c:bubble3D val="0"/>
            <c:spPr>
              <a:solidFill>
                <a:srgbClr val="CCFFFF"/>
              </a:solidFill>
              <a:ln w="12438">
                <a:solidFill>
                  <a:srgbClr val="000000"/>
                </a:solidFill>
                <a:prstDash val="solid"/>
              </a:ln>
            </c:spPr>
          </c:dPt>
          <c:dPt>
            <c:idx val="4"/>
            <c:bubble3D val="0"/>
            <c:spPr>
              <a:solidFill>
                <a:srgbClr val="660066"/>
              </a:solidFill>
              <a:ln w="12438">
                <a:solidFill>
                  <a:srgbClr val="000000"/>
                </a:solidFill>
                <a:prstDash val="solid"/>
              </a:ln>
            </c:spPr>
          </c:dPt>
          <c:dPt>
            <c:idx val="5"/>
            <c:bubble3D val="0"/>
            <c:spPr>
              <a:solidFill>
                <a:srgbClr val="FF8080"/>
              </a:solidFill>
              <a:ln w="12438">
                <a:solidFill>
                  <a:srgbClr val="000000"/>
                </a:solidFill>
                <a:prstDash val="solid"/>
              </a:ln>
            </c:spPr>
          </c:dPt>
          <c:dPt>
            <c:idx val="6"/>
            <c:bubble3D val="0"/>
            <c:spPr>
              <a:solidFill>
                <a:srgbClr val="0066CC"/>
              </a:solidFill>
              <a:ln w="12438">
                <a:solidFill>
                  <a:srgbClr val="000000"/>
                </a:solidFill>
                <a:prstDash val="solid"/>
              </a:ln>
            </c:spPr>
          </c:dPt>
          <c:dPt>
            <c:idx val="7"/>
            <c:bubble3D val="0"/>
            <c:spPr>
              <a:solidFill>
                <a:srgbClr val="CCCCFF"/>
              </a:solidFill>
              <a:ln w="12438">
                <a:solidFill>
                  <a:srgbClr val="000000"/>
                </a:solidFill>
                <a:prstDash val="solid"/>
              </a:ln>
            </c:spPr>
          </c:dPt>
          <c:dPt>
            <c:idx val="8"/>
            <c:bubble3D val="0"/>
            <c:spPr>
              <a:solidFill>
                <a:srgbClr val="000080"/>
              </a:solidFill>
              <a:ln w="12438">
                <a:solidFill>
                  <a:srgbClr val="000000"/>
                </a:solidFill>
                <a:prstDash val="solid"/>
              </a:ln>
            </c:spPr>
          </c:dPt>
          <c:dPt>
            <c:idx val="9"/>
            <c:bubble3D val="0"/>
            <c:spPr>
              <a:solidFill>
                <a:srgbClr val="FF00FF"/>
              </a:solidFill>
              <a:ln w="12438">
                <a:solidFill>
                  <a:srgbClr val="000000"/>
                </a:solidFill>
                <a:prstDash val="solid"/>
              </a:ln>
            </c:spPr>
          </c:dPt>
          <c:dPt>
            <c:idx val="10"/>
            <c:bubble3D val="0"/>
            <c:spPr>
              <a:solidFill>
                <a:srgbClr val="FFFF00"/>
              </a:solidFill>
              <a:ln w="12438">
                <a:solidFill>
                  <a:srgbClr val="000000"/>
                </a:solidFill>
                <a:prstDash val="solid"/>
              </a:ln>
            </c:spPr>
          </c:dPt>
          <c:dPt>
            <c:idx val="11"/>
            <c:bubble3D val="0"/>
            <c:spPr>
              <a:solidFill>
                <a:srgbClr val="00FFFF"/>
              </a:solidFill>
              <a:ln w="12438">
                <a:solidFill>
                  <a:srgbClr val="000000"/>
                </a:solidFill>
                <a:prstDash val="solid"/>
              </a:ln>
            </c:spPr>
          </c:dPt>
          <c:dLbls>
            <c:numFmt formatCode="0%" sourceLinked="0"/>
            <c:spPr>
              <a:noFill/>
              <a:ln w="24876">
                <a:noFill/>
              </a:ln>
            </c:spPr>
            <c:txPr>
              <a:bodyPr/>
              <a:lstStyle/>
              <a:p>
                <a:pPr>
                  <a:defRPr sz="1616"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Sheet1!$B$1:$M$1</c:f>
              <c:strCache>
                <c:ptCount val="12"/>
                <c:pt idx="0">
                  <c:v>Leukemia</c:v>
                </c:pt>
                <c:pt idx="1">
                  <c:v>CNS</c:v>
                </c:pt>
                <c:pt idx="2">
                  <c:v>Lymphoma</c:v>
                </c:pt>
                <c:pt idx="3">
                  <c:v>Epithelial Tumor</c:v>
                </c:pt>
                <c:pt idx="4">
                  <c:v>Soft Tissue</c:v>
                </c:pt>
                <c:pt idx="5">
                  <c:v>Germ Cell Tumor</c:v>
                </c:pt>
                <c:pt idx="6">
                  <c:v>Peripheral NS</c:v>
                </c:pt>
                <c:pt idx="7">
                  <c:v>Bone Tumors</c:v>
                </c:pt>
                <c:pt idx="8">
                  <c:v>Renal Tumor</c:v>
                </c:pt>
                <c:pt idx="9">
                  <c:v>Hepatic Tumor</c:v>
                </c:pt>
                <c:pt idx="10">
                  <c:v>Retinoblastoma</c:v>
                </c:pt>
                <c:pt idx="11">
                  <c:v>Other</c:v>
                </c:pt>
              </c:strCache>
            </c:strRef>
          </c:cat>
          <c:val>
            <c:numRef>
              <c:f>Sheet1!$B$3:$M$3</c:f>
              <c:numCache>
                <c:formatCode>General</c:formatCode>
                <c:ptCount val="12"/>
                <c:pt idx="0">
                  <c:v>0</c:v>
                </c:pt>
              </c:numCache>
            </c:numRef>
          </c:val>
        </c:ser>
        <c:ser>
          <c:idx val="2"/>
          <c:order val="2"/>
          <c:tx>
            <c:strRef>
              <c:f>Sheet1!$A$4</c:f>
              <c:strCache>
                <c:ptCount val="1"/>
              </c:strCache>
            </c:strRef>
          </c:tx>
          <c:spPr>
            <a:solidFill>
              <a:srgbClr val="FFFFCC"/>
            </a:solidFill>
            <a:ln w="12438">
              <a:solidFill>
                <a:srgbClr val="000000"/>
              </a:solidFill>
              <a:prstDash val="solid"/>
            </a:ln>
          </c:spPr>
          <c:dPt>
            <c:idx val="0"/>
            <c:bubble3D val="0"/>
            <c:spPr>
              <a:solidFill>
                <a:srgbClr val="9999FF"/>
              </a:solidFill>
              <a:ln w="12438">
                <a:solidFill>
                  <a:srgbClr val="000000"/>
                </a:solidFill>
                <a:prstDash val="solid"/>
              </a:ln>
            </c:spPr>
          </c:dPt>
          <c:dPt>
            <c:idx val="1"/>
            <c:bubble3D val="0"/>
            <c:spPr>
              <a:solidFill>
                <a:srgbClr val="993366"/>
              </a:solidFill>
              <a:ln w="12438">
                <a:solidFill>
                  <a:srgbClr val="000000"/>
                </a:solidFill>
                <a:prstDash val="solid"/>
              </a:ln>
            </c:spPr>
          </c:dPt>
          <c:dPt>
            <c:idx val="2"/>
            <c:bubble3D val="0"/>
          </c:dPt>
          <c:dPt>
            <c:idx val="3"/>
            <c:bubble3D val="0"/>
            <c:spPr>
              <a:solidFill>
                <a:srgbClr val="CCFFFF"/>
              </a:solidFill>
              <a:ln w="12438">
                <a:solidFill>
                  <a:srgbClr val="000000"/>
                </a:solidFill>
                <a:prstDash val="solid"/>
              </a:ln>
            </c:spPr>
          </c:dPt>
          <c:dPt>
            <c:idx val="4"/>
            <c:bubble3D val="0"/>
            <c:spPr>
              <a:solidFill>
                <a:srgbClr val="660066"/>
              </a:solidFill>
              <a:ln w="12438">
                <a:solidFill>
                  <a:srgbClr val="000000"/>
                </a:solidFill>
                <a:prstDash val="solid"/>
              </a:ln>
            </c:spPr>
          </c:dPt>
          <c:dPt>
            <c:idx val="5"/>
            <c:bubble3D val="0"/>
            <c:spPr>
              <a:solidFill>
                <a:srgbClr val="FF8080"/>
              </a:solidFill>
              <a:ln w="12438">
                <a:solidFill>
                  <a:srgbClr val="000000"/>
                </a:solidFill>
                <a:prstDash val="solid"/>
              </a:ln>
            </c:spPr>
          </c:dPt>
          <c:dPt>
            <c:idx val="6"/>
            <c:bubble3D val="0"/>
            <c:spPr>
              <a:solidFill>
                <a:srgbClr val="0066CC"/>
              </a:solidFill>
              <a:ln w="12438">
                <a:solidFill>
                  <a:srgbClr val="000000"/>
                </a:solidFill>
                <a:prstDash val="solid"/>
              </a:ln>
            </c:spPr>
          </c:dPt>
          <c:dPt>
            <c:idx val="7"/>
            <c:bubble3D val="0"/>
            <c:spPr>
              <a:solidFill>
                <a:srgbClr val="CCCCFF"/>
              </a:solidFill>
              <a:ln w="12438">
                <a:solidFill>
                  <a:srgbClr val="000000"/>
                </a:solidFill>
                <a:prstDash val="solid"/>
              </a:ln>
            </c:spPr>
          </c:dPt>
          <c:dPt>
            <c:idx val="8"/>
            <c:bubble3D val="0"/>
            <c:spPr>
              <a:solidFill>
                <a:srgbClr val="000080"/>
              </a:solidFill>
              <a:ln w="12438">
                <a:solidFill>
                  <a:srgbClr val="000000"/>
                </a:solidFill>
                <a:prstDash val="solid"/>
              </a:ln>
            </c:spPr>
          </c:dPt>
          <c:dPt>
            <c:idx val="9"/>
            <c:bubble3D val="0"/>
            <c:spPr>
              <a:solidFill>
                <a:srgbClr val="FF00FF"/>
              </a:solidFill>
              <a:ln w="12438">
                <a:solidFill>
                  <a:srgbClr val="000000"/>
                </a:solidFill>
                <a:prstDash val="solid"/>
              </a:ln>
            </c:spPr>
          </c:dPt>
          <c:dPt>
            <c:idx val="10"/>
            <c:bubble3D val="0"/>
            <c:spPr>
              <a:solidFill>
                <a:srgbClr val="FFFF00"/>
              </a:solidFill>
              <a:ln w="12438">
                <a:solidFill>
                  <a:srgbClr val="000000"/>
                </a:solidFill>
                <a:prstDash val="solid"/>
              </a:ln>
            </c:spPr>
          </c:dPt>
          <c:dPt>
            <c:idx val="11"/>
            <c:bubble3D val="0"/>
            <c:spPr>
              <a:solidFill>
                <a:srgbClr val="00FFFF"/>
              </a:solidFill>
              <a:ln w="12438">
                <a:solidFill>
                  <a:srgbClr val="000000"/>
                </a:solidFill>
                <a:prstDash val="solid"/>
              </a:ln>
            </c:spPr>
          </c:dPt>
          <c:dLbls>
            <c:numFmt formatCode="0%" sourceLinked="0"/>
            <c:spPr>
              <a:noFill/>
              <a:ln w="24876">
                <a:noFill/>
              </a:ln>
            </c:spPr>
            <c:txPr>
              <a:bodyPr/>
              <a:lstStyle/>
              <a:p>
                <a:pPr>
                  <a:defRPr sz="1616"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Sheet1!$B$1:$M$1</c:f>
              <c:strCache>
                <c:ptCount val="12"/>
                <c:pt idx="0">
                  <c:v>Leukemia</c:v>
                </c:pt>
                <c:pt idx="1">
                  <c:v>CNS</c:v>
                </c:pt>
                <c:pt idx="2">
                  <c:v>Lymphoma</c:v>
                </c:pt>
                <c:pt idx="3">
                  <c:v>Epithelial Tumor</c:v>
                </c:pt>
                <c:pt idx="4">
                  <c:v>Soft Tissue</c:v>
                </c:pt>
                <c:pt idx="5">
                  <c:v>Germ Cell Tumor</c:v>
                </c:pt>
                <c:pt idx="6">
                  <c:v>Peripheral NS</c:v>
                </c:pt>
                <c:pt idx="7">
                  <c:v>Bone Tumors</c:v>
                </c:pt>
                <c:pt idx="8">
                  <c:v>Renal Tumor</c:v>
                </c:pt>
                <c:pt idx="9">
                  <c:v>Hepatic Tumor</c:v>
                </c:pt>
                <c:pt idx="10">
                  <c:v>Retinoblastoma</c:v>
                </c:pt>
                <c:pt idx="11">
                  <c:v>Other</c:v>
                </c:pt>
              </c:strCache>
            </c:strRef>
          </c:cat>
          <c:val>
            <c:numRef>
              <c:f>Sheet1!$B$4:$M$4</c:f>
              <c:numCache>
                <c:formatCode>General</c:formatCode>
                <c:ptCount val="12"/>
              </c:numCache>
            </c:numRef>
          </c:val>
        </c:ser>
        <c:dLbls>
          <c:showLegendKey val="0"/>
          <c:showVal val="0"/>
          <c:showCatName val="1"/>
          <c:showSerName val="0"/>
          <c:showPercent val="1"/>
          <c:showBubbleSize val="0"/>
          <c:showLeaderLines val="1"/>
        </c:dLbls>
        <c:firstSliceAng val="0"/>
      </c:pieChart>
      <c:spPr>
        <a:noFill/>
        <a:ln w="24876">
          <a:noFill/>
        </a:ln>
      </c:spPr>
    </c:plotArea>
    <c:plotVisOnly val="1"/>
    <c:dispBlanksAs val="zero"/>
    <c:showDLblsOverMax val="0"/>
  </c:chart>
  <c:spPr>
    <a:noFill/>
    <a:ln w="6219" cap="flat" cmpd="sng" algn="ctr">
      <a:solidFill>
        <a:srgbClr val="000000"/>
      </a:solidFill>
      <a:prstDash val="solid"/>
      <a:miter lim="800000"/>
      <a:headEnd type="none" w="med" len="med"/>
      <a:tailEnd type="none" w="med" len="med"/>
    </a:ln>
  </c:spPr>
  <c:txPr>
    <a:bodyPr/>
    <a:lstStyle/>
    <a:p>
      <a:pPr>
        <a:defRPr sz="1616" b="1" i="0" u="none" strike="noStrike" baseline="0">
          <a:solidFill>
            <a:srgbClr val="000000"/>
          </a:solidFill>
          <a:latin typeface="Arial"/>
          <a:ea typeface="Arial"/>
          <a:cs typeface="Arial"/>
        </a:defRPr>
      </a:pPr>
      <a:endParaRPr lang="en-US"/>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0" b="1" i="0" u="none" strike="noStrike" baseline="0">
                <a:solidFill>
                  <a:srgbClr val="000000"/>
                </a:solidFill>
                <a:latin typeface="Arial"/>
                <a:ea typeface="Arial"/>
                <a:cs typeface="Arial"/>
              </a:defRPr>
            </a:pPr>
            <a:r>
              <a:rPr lang="en-US"/>
              <a:t>Figure 31: Age-Adjusted Renal Tumor Incidence Rates Among Children and Adolescents 0-19, MA and US SEER, 2000-2009</a:t>
            </a:r>
          </a:p>
        </c:rich>
      </c:tx>
      <c:layout>
        <c:manualLayout>
          <c:xMode val="edge"/>
          <c:yMode val="edge"/>
          <c:x val="0.12248316786488646"/>
          <c:y val="0"/>
        </c:manualLayout>
      </c:layout>
      <c:overlay val="0"/>
      <c:spPr>
        <a:noFill/>
        <a:ln w="25136">
          <a:noFill/>
        </a:ln>
      </c:spPr>
    </c:title>
    <c:autoTitleDeleted val="0"/>
    <c:plotArea>
      <c:layout>
        <c:manualLayout>
          <c:layoutTarget val="inner"/>
          <c:xMode val="edge"/>
          <c:yMode val="edge"/>
          <c:x val="0.12751677852348992"/>
          <c:y val="0.17014925373134338"/>
          <c:w val="0.85570469798657767"/>
          <c:h val="0.62089552238806012"/>
        </c:manualLayout>
      </c:layout>
      <c:lineChart>
        <c:grouping val="standard"/>
        <c:varyColors val="0"/>
        <c:ser>
          <c:idx val="1"/>
          <c:order val="0"/>
          <c:tx>
            <c:strRef>
              <c:f>Sheet1!$A$2</c:f>
              <c:strCache>
                <c:ptCount val="1"/>
                <c:pt idx="0">
                  <c:v>Renal Tumor MA</c:v>
                </c:pt>
              </c:strCache>
            </c:strRef>
          </c:tx>
          <c:spPr>
            <a:ln w="12568">
              <a:solidFill>
                <a:srgbClr val="0000FF"/>
              </a:solidFill>
              <a:prstDash val="solid"/>
            </a:ln>
          </c:spPr>
          <c:marker>
            <c:symbol val="square"/>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0.8</c:v>
                </c:pt>
                <c:pt idx="1">
                  <c:v>0.6</c:v>
                </c:pt>
                <c:pt idx="2">
                  <c:v>0.6</c:v>
                </c:pt>
                <c:pt idx="3">
                  <c:v>1</c:v>
                </c:pt>
                <c:pt idx="4">
                  <c:v>0.5</c:v>
                </c:pt>
                <c:pt idx="5">
                  <c:v>0.4</c:v>
                </c:pt>
                <c:pt idx="6">
                  <c:v>0.5</c:v>
                </c:pt>
                <c:pt idx="7">
                  <c:v>0.3</c:v>
                </c:pt>
                <c:pt idx="8">
                  <c:v>0.8</c:v>
                </c:pt>
                <c:pt idx="9">
                  <c:v>1.2</c:v>
                </c:pt>
              </c:numCache>
            </c:numRef>
          </c:val>
          <c:smooth val="0"/>
        </c:ser>
        <c:ser>
          <c:idx val="3"/>
          <c:order val="1"/>
          <c:tx>
            <c:strRef>
              <c:f>Sheet1!$A$3</c:f>
              <c:strCache>
                <c:ptCount val="1"/>
                <c:pt idx="0">
                  <c:v>Renal Tumor SEER</c:v>
                </c:pt>
              </c:strCache>
            </c:strRef>
          </c:tx>
          <c:spPr>
            <a:ln w="12568">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0.3</c:v>
                </c:pt>
                <c:pt idx="1">
                  <c:v>0.3</c:v>
                </c:pt>
                <c:pt idx="2">
                  <c:v>0.3</c:v>
                </c:pt>
                <c:pt idx="3">
                  <c:v>0.3</c:v>
                </c:pt>
                <c:pt idx="4">
                  <c:v>0.3</c:v>
                </c:pt>
                <c:pt idx="5">
                  <c:v>0.4</c:v>
                </c:pt>
                <c:pt idx="6">
                  <c:v>0.2</c:v>
                </c:pt>
                <c:pt idx="7">
                  <c:v>0.4</c:v>
                </c:pt>
                <c:pt idx="8">
                  <c:v>0.4</c:v>
                </c:pt>
                <c:pt idx="9">
                  <c:v>0.4</c:v>
                </c:pt>
              </c:numCache>
            </c:numRef>
          </c:val>
          <c:smooth val="0"/>
        </c:ser>
        <c:dLbls>
          <c:showLegendKey val="0"/>
          <c:showVal val="0"/>
          <c:showCatName val="0"/>
          <c:showSerName val="0"/>
          <c:showPercent val="0"/>
          <c:showBubbleSize val="0"/>
        </c:dLbls>
        <c:marker val="1"/>
        <c:smooth val="0"/>
        <c:axId val="106459904"/>
        <c:axId val="106462208"/>
      </c:lineChart>
      <c:catAx>
        <c:axId val="106459904"/>
        <c:scaling>
          <c:orientation val="minMax"/>
        </c:scaling>
        <c:delete val="0"/>
        <c:axPos val="b"/>
        <c:title>
          <c:tx>
            <c:rich>
              <a:bodyPr/>
              <a:lstStyle/>
              <a:p>
                <a:pPr>
                  <a:defRPr sz="792" b="1" i="0" u="none" strike="noStrike" baseline="0">
                    <a:solidFill>
                      <a:srgbClr val="000000"/>
                    </a:solidFill>
                    <a:latin typeface="Arial"/>
                    <a:ea typeface="Arial"/>
                    <a:cs typeface="Arial"/>
                  </a:defRPr>
                </a:pPr>
                <a:r>
                  <a:rPr lang="en-US"/>
                  <a:t>Year of Diagnosis</a:t>
                </a:r>
              </a:p>
            </c:rich>
          </c:tx>
          <c:layout>
            <c:manualLayout>
              <c:xMode val="edge"/>
              <c:yMode val="edge"/>
              <c:x val="0.80704693685864515"/>
              <c:y val="0.88955223880597012"/>
            </c:manualLayout>
          </c:layout>
          <c:overlay val="0"/>
          <c:spPr>
            <a:noFill/>
            <a:ln w="25136">
              <a:noFill/>
            </a:ln>
          </c:spPr>
        </c:title>
        <c:numFmt formatCode="General" sourceLinked="1"/>
        <c:majorTickMark val="out"/>
        <c:minorTickMark val="none"/>
        <c:tickLblPos val="nextTo"/>
        <c:spPr>
          <a:ln w="3142">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6462208"/>
        <c:crosses val="autoZero"/>
        <c:auto val="1"/>
        <c:lblAlgn val="ctr"/>
        <c:lblOffset val="100"/>
        <c:tickLblSkip val="1"/>
        <c:tickMarkSkip val="1"/>
        <c:noMultiLvlLbl val="0"/>
      </c:catAx>
      <c:valAx>
        <c:axId val="106462208"/>
        <c:scaling>
          <c:orientation val="minMax"/>
        </c:scaling>
        <c:delete val="0"/>
        <c:axPos val="l"/>
        <c:majorGridlines>
          <c:spPr>
            <a:ln w="3142">
              <a:solidFill>
                <a:srgbClr val="000000"/>
              </a:solidFill>
              <a:prstDash val="solid"/>
            </a:ln>
          </c:spPr>
        </c:majorGridlines>
        <c:title>
          <c:tx>
            <c:rich>
              <a:bodyPr rot="0" vert="horz"/>
              <a:lstStyle/>
              <a:p>
                <a:pPr algn="ctr">
                  <a:defRPr sz="792" b="1" i="0" u="none" strike="noStrike" baseline="0">
                    <a:solidFill>
                      <a:srgbClr val="000000"/>
                    </a:solidFill>
                    <a:latin typeface="Arial"/>
                    <a:ea typeface="Arial"/>
                    <a:cs typeface="Arial"/>
                  </a:defRPr>
                </a:pPr>
                <a:r>
                  <a:rPr lang="en-US"/>
                  <a:t>Rate 
per 
100,000</a:t>
                </a:r>
              </a:p>
            </c:rich>
          </c:tx>
          <c:layout>
            <c:manualLayout>
              <c:xMode val="edge"/>
              <c:yMode val="edge"/>
              <c:x val="3.3557176590384395E-3"/>
              <c:y val="0.16716417910447762"/>
            </c:manualLayout>
          </c:layout>
          <c:overlay val="0"/>
          <c:spPr>
            <a:noFill/>
            <a:ln w="25136">
              <a:noFill/>
            </a:ln>
          </c:spPr>
        </c:title>
        <c:numFmt formatCode="General" sourceLinked="1"/>
        <c:majorTickMark val="out"/>
        <c:minorTickMark val="none"/>
        <c:tickLblPos val="nextTo"/>
        <c:spPr>
          <a:ln w="3142">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6459904"/>
        <c:crosses val="autoZero"/>
        <c:crossBetween val="between"/>
      </c:valAx>
      <c:spPr>
        <a:solidFill>
          <a:srgbClr val="C0C0C0"/>
        </a:solidFill>
        <a:ln w="12568">
          <a:solidFill>
            <a:srgbClr val="808080"/>
          </a:solidFill>
          <a:prstDash val="solid"/>
        </a:ln>
      </c:spPr>
    </c:plotArea>
    <c:legend>
      <c:legendPos val="r"/>
      <c:layout>
        <c:manualLayout>
          <c:xMode val="edge"/>
          <c:yMode val="edge"/>
          <c:x val="0.31375837217672203"/>
          <c:y val="0.89552238805970152"/>
          <c:w val="0.46140942248439681"/>
          <c:h val="6.8656716417910491E-2"/>
        </c:manualLayout>
      </c:layout>
      <c:overlay val="0"/>
      <c:spPr>
        <a:noFill/>
        <a:ln w="3142">
          <a:solidFill>
            <a:srgbClr val="000000"/>
          </a:solidFill>
          <a:prstDash val="solid"/>
        </a:ln>
      </c:spPr>
      <c:txPr>
        <a:bodyPr/>
        <a:lstStyle/>
        <a:p>
          <a:pPr>
            <a:defRPr sz="816" b="1" i="0" u="none" strike="noStrike" baseline="0">
              <a:solidFill>
                <a:srgbClr val="000000"/>
              </a:solidFill>
              <a:latin typeface="Arial"/>
              <a:ea typeface="Arial"/>
              <a:cs typeface="Arial"/>
            </a:defRPr>
          </a:pPr>
          <a:endParaRPr lang="en-US"/>
        </a:p>
      </c:txPr>
    </c:legend>
    <c:plotVisOnly val="1"/>
    <c:dispBlanksAs val="gap"/>
    <c:showDLblsOverMax val="0"/>
  </c:chart>
  <c:spPr>
    <a:noFill/>
    <a:ln w="6284" cap="flat" cmpd="sng" algn="ctr">
      <a:solidFill>
        <a:srgbClr val="000000"/>
      </a:solidFill>
      <a:prstDash val="solid"/>
      <a:miter lim="800000"/>
      <a:headEnd type="none" w="med" len="med"/>
      <a:tailEnd type="none" w="med" len="med"/>
    </a:ln>
  </c:spPr>
  <c:txPr>
    <a:bodyPr/>
    <a:lstStyle/>
    <a:p>
      <a:pPr>
        <a:defRPr sz="1460" b="1"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32" b="1" i="0" u="none" strike="noStrike" baseline="0">
                <a:solidFill>
                  <a:srgbClr val="000000"/>
                </a:solidFill>
                <a:latin typeface="Arial"/>
                <a:ea typeface="Arial"/>
                <a:cs typeface="Arial"/>
              </a:defRPr>
            </a:pPr>
            <a:r>
              <a:rPr lang="en-US"/>
              <a:t>Figure 3: Childhood/Adolescent Female Cancer Cases by Type,             MA, 2000-2009 (N=1398)</a:t>
            </a:r>
          </a:p>
        </c:rich>
      </c:tx>
      <c:layout>
        <c:manualLayout>
          <c:xMode val="edge"/>
          <c:yMode val="edge"/>
          <c:x val="0.16188870508833456"/>
          <c:y val="0"/>
        </c:manualLayout>
      </c:layout>
      <c:overlay val="0"/>
      <c:spPr>
        <a:noFill/>
        <a:ln w="24919">
          <a:noFill/>
        </a:ln>
      </c:spPr>
    </c:title>
    <c:autoTitleDeleted val="0"/>
    <c:plotArea>
      <c:layout>
        <c:manualLayout>
          <c:layoutTarget val="inner"/>
          <c:xMode val="edge"/>
          <c:yMode val="edge"/>
          <c:x val="0.28667790893760553"/>
          <c:y val="0.21621621621621628"/>
          <c:w val="0.45699831365935928"/>
          <c:h val="0.73243243243243261"/>
        </c:manualLayout>
      </c:layout>
      <c:pieChart>
        <c:varyColors val="1"/>
        <c:ser>
          <c:idx val="0"/>
          <c:order val="0"/>
          <c:tx>
            <c:strRef>
              <c:f>Sheet1!$A$2</c:f>
              <c:strCache>
                <c:ptCount val="1"/>
                <c:pt idx="0">
                  <c:v> </c:v>
                </c:pt>
              </c:strCache>
            </c:strRef>
          </c:tx>
          <c:spPr>
            <a:solidFill>
              <a:srgbClr val="9999FF"/>
            </a:solidFill>
            <a:ln w="12460">
              <a:solidFill>
                <a:srgbClr val="000000"/>
              </a:solidFill>
              <a:prstDash val="solid"/>
            </a:ln>
          </c:spPr>
          <c:dPt>
            <c:idx val="0"/>
            <c:bubble3D val="0"/>
          </c:dPt>
          <c:dPt>
            <c:idx val="1"/>
            <c:bubble3D val="0"/>
            <c:spPr>
              <a:solidFill>
                <a:srgbClr val="993366"/>
              </a:solidFill>
              <a:ln w="12460">
                <a:solidFill>
                  <a:srgbClr val="000000"/>
                </a:solidFill>
                <a:prstDash val="solid"/>
              </a:ln>
            </c:spPr>
          </c:dPt>
          <c:dPt>
            <c:idx val="2"/>
            <c:bubble3D val="0"/>
            <c:spPr>
              <a:solidFill>
                <a:srgbClr val="FFFFCC"/>
              </a:solidFill>
              <a:ln w="12460">
                <a:solidFill>
                  <a:srgbClr val="000000"/>
                </a:solidFill>
                <a:prstDash val="solid"/>
              </a:ln>
            </c:spPr>
          </c:dPt>
          <c:dPt>
            <c:idx val="3"/>
            <c:bubble3D val="0"/>
            <c:spPr>
              <a:solidFill>
                <a:srgbClr val="CCFFFF"/>
              </a:solidFill>
              <a:ln w="12460">
                <a:solidFill>
                  <a:srgbClr val="000000"/>
                </a:solidFill>
                <a:prstDash val="solid"/>
              </a:ln>
            </c:spPr>
          </c:dPt>
          <c:dPt>
            <c:idx val="4"/>
            <c:bubble3D val="0"/>
            <c:spPr>
              <a:solidFill>
                <a:srgbClr val="660066"/>
              </a:solidFill>
              <a:ln w="12460">
                <a:solidFill>
                  <a:srgbClr val="000000"/>
                </a:solidFill>
                <a:prstDash val="solid"/>
              </a:ln>
            </c:spPr>
          </c:dPt>
          <c:dPt>
            <c:idx val="5"/>
            <c:bubble3D val="0"/>
            <c:spPr>
              <a:solidFill>
                <a:srgbClr val="FF8080"/>
              </a:solidFill>
              <a:ln w="12460">
                <a:solidFill>
                  <a:srgbClr val="000000"/>
                </a:solidFill>
                <a:prstDash val="solid"/>
              </a:ln>
            </c:spPr>
          </c:dPt>
          <c:dPt>
            <c:idx val="6"/>
            <c:bubble3D val="0"/>
            <c:spPr>
              <a:solidFill>
                <a:srgbClr val="0066CC"/>
              </a:solidFill>
              <a:ln w="12460">
                <a:solidFill>
                  <a:srgbClr val="000000"/>
                </a:solidFill>
                <a:prstDash val="solid"/>
              </a:ln>
            </c:spPr>
          </c:dPt>
          <c:dPt>
            <c:idx val="7"/>
            <c:bubble3D val="0"/>
            <c:spPr>
              <a:solidFill>
                <a:srgbClr val="CCCCFF"/>
              </a:solidFill>
              <a:ln w="12460">
                <a:solidFill>
                  <a:srgbClr val="000000"/>
                </a:solidFill>
                <a:prstDash val="solid"/>
              </a:ln>
            </c:spPr>
          </c:dPt>
          <c:dPt>
            <c:idx val="8"/>
            <c:bubble3D val="0"/>
            <c:spPr>
              <a:solidFill>
                <a:srgbClr val="000080"/>
              </a:solidFill>
              <a:ln w="12460">
                <a:solidFill>
                  <a:srgbClr val="000000"/>
                </a:solidFill>
                <a:prstDash val="solid"/>
              </a:ln>
            </c:spPr>
          </c:dPt>
          <c:dPt>
            <c:idx val="9"/>
            <c:bubble3D val="0"/>
            <c:spPr>
              <a:solidFill>
                <a:srgbClr val="FF00FF"/>
              </a:solidFill>
              <a:ln w="12460">
                <a:solidFill>
                  <a:srgbClr val="000000"/>
                </a:solidFill>
                <a:prstDash val="solid"/>
              </a:ln>
            </c:spPr>
          </c:dPt>
          <c:dPt>
            <c:idx val="10"/>
            <c:bubble3D val="0"/>
            <c:spPr>
              <a:solidFill>
                <a:srgbClr val="FFFF00"/>
              </a:solidFill>
              <a:ln w="12460">
                <a:solidFill>
                  <a:srgbClr val="000000"/>
                </a:solidFill>
                <a:prstDash val="solid"/>
              </a:ln>
            </c:spPr>
          </c:dPt>
          <c:dPt>
            <c:idx val="11"/>
            <c:bubble3D val="0"/>
            <c:spPr>
              <a:solidFill>
                <a:srgbClr val="00FFFF"/>
              </a:solidFill>
              <a:ln w="12460">
                <a:solidFill>
                  <a:srgbClr val="000000"/>
                </a:solidFill>
                <a:prstDash val="solid"/>
              </a:ln>
            </c:spPr>
          </c:dPt>
          <c:dLbls>
            <c:dLbl>
              <c:idx val="0"/>
              <c:layout>
                <c:manualLayout>
                  <c:x val="0.12090898709714017"/>
                  <c:y val="4.4136550143180922E-2"/>
                </c:manualLayout>
              </c:layout>
              <c:dLblPos val="bestFit"/>
              <c:showLegendKey val="0"/>
              <c:showVal val="0"/>
              <c:showCatName val="1"/>
              <c:showSerName val="0"/>
              <c:showPercent val="1"/>
              <c:showBubbleSize val="0"/>
            </c:dLbl>
            <c:dLbl>
              <c:idx val="1"/>
              <c:layout>
                <c:manualLayout>
                  <c:x val="9.3067548695139071E-2"/>
                  <c:y val="-5.9693021658210332E-2"/>
                </c:manualLayout>
              </c:layout>
              <c:dLblPos val="bestFit"/>
              <c:showLegendKey val="0"/>
              <c:showVal val="0"/>
              <c:showCatName val="1"/>
              <c:showSerName val="0"/>
              <c:showPercent val="1"/>
              <c:showBubbleSize val="0"/>
            </c:dLbl>
            <c:dLbl>
              <c:idx val="2"/>
              <c:layout>
                <c:manualLayout>
                  <c:x val="0.18580343408323388"/>
                  <c:y val="-1.6839260312944526E-2"/>
                </c:manualLayout>
              </c:layout>
              <c:dLblPos val="bestFit"/>
              <c:showLegendKey val="0"/>
              <c:showVal val="0"/>
              <c:showCatName val="1"/>
              <c:showSerName val="0"/>
              <c:showPercent val="1"/>
              <c:showBubbleSize val="0"/>
            </c:dLbl>
            <c:dLbl>
              <c:idx val="3"/>
              <c:layout>
                <c:manualLayout>
                  <c:x val="-1.8137637454356825E-2"/>
                  <c:y val="6.0479930406992233E-2"/>
                </c:manualLayout>
              </c:layout>
              <c:tx>
                <c:rich>
                  <a:bodyPr/>
                  <a:lstStyle/>
                  <a:p>
                    <a:pPr>
                      <a:defRPr sz="785" b="1" i="0" u="none" strike="noStrike" baseline="0">
                        <a:solidFill>
                          <a:srgbClr val="000000"/>
                        </a:solidFill>
                        <a:latin typeface="Arial"/>
                        <a:ea typeface="Arial"/>
                        <a:cs typeface="Arial"/>
                      </a:defRPr>
                    </a:pPr>
                    <a:r>
                      <a:rPr lang="en-US"/>
                      <a:t>
Lymphoma 
14.2%</a:t>
                    </a:r>
                  </a:p>
                </c:rich>
              </c:tx>
              <c:spPr>
                <a:noFill/>
                <a:ln w="24919">
                  <a:noFill/>
                </a:ln>
              </c:spPr>
              <c:dLblPos val="bestFit"/>
              <c:showLegendKey val="0"/>
              <c:showVal val="0"/>
              <c:showCatName val="0"/>
              <c:showSerName val="0"/>
              <c:showPercent val="0"/>
              <c:showBubbleSize val="0"/>
            </c:dLbl>
            <c:dLbl>
              <c:idx val="4"/>
              <c:layout>
                <c:manualLayout>
                  <c:x val="-6.3025153840495327E-2"/>
                  <c:y val="0.12113799501947034"/>
                </c:manualLayout>
              </c:layout>
              <c:dLblPos val="bestFit"/>
              <c:showLegendKey val="0"/>
              <c:showVal val="0"/>
              <c:showCatName val="1"/>
              <c:showSerName val="0"/>
              <c:showPercent val="1"/>
              <c:showBubbleSize val="0"/>
            </c:dLbl>
            <c:dLbl>
              <c:idx val="5"/>
              <c:layout>
                <c:manualLayout>
                  <c:x val="-8.8889838291487999E-2"/>
                  <c:y val="0.12643349275508417"/>
                </c:manualLayout>
              </c:layout>
              <c:tx>
                <c:rich>
                  <a:bodyPr/>
                  <a:lstStyle/>
                  <a:p>
                    <a:pPr>
                      <a:defRPr sz="785" b="1" i="0" u="none" strike="noStrike" baseline="0">
                        <a:solidFill>
                          <a:srgbClr val="000000"/>
                        </a:solidFill>
                        <a:latin typeface="Arial"/>
                        <a:ea typeface="Arial"/>
                        <a:cs typeface="Arial"/>
                      </a:defRPr>
                    </a:pPr>
                    <a:r>
                      <a:rPr lang="en-US"/>
                      <a:t>Peripheral NS
6.3%</a:t>
                    </a:r>
                  </a:p>
                </c:rich>
              </c:tx>
              <c:spPr>
                <a:noFill/>
                <a:ln w="24919">
                  <a:noFill/>
                </a:ln>
              </c:spPr>
              <c:dLblPos val="bestFit"/>
              <c:showLegendKey val="0"/>
              <c:showVal val="0"/>
              <c:showCatName val="0"/>
              <c:showSerName val="0"/>
              <c:showPercent val="0"/>
              <c:showBubbleSize val="0"/>
            </c:dLbl>
            <c:dLbl>
              <c:idx val="6"/>
              <c:layout>
                <c:manualLayout>
                  <c:x val="-0.12093972655463978"/>
                  <c:y val="0.12887407175098836"/>
                </c:manualLayout>
              </c:layout>
              <c:dLblPos val="bestFit"/>
              <c:showLegendKey val="0"/>
              <c:showVal val="0"/>
              <c:showCatName val="1"/>
              <c:showSerName val="0"/>
              <c:showPercent val="1"/>
              <c:showBubbleSize val="0"/>
            </c:dLbl>
            <c:dLbl>
              <c:idx val="7"/>
              <c:layout>
                <c:manualLayout>
                  <c:x val="-0.18242013135394164"/>
                  <c:y val="9.8565622398196037E-2"/>
                </c:manualLayout>
              </c:layout>
              <c:dLblPos val="bestFit"/>
              <c:showLegendKey val="0"/>
              <c:showVal val="0"/>
              <c:showCatName val="1"/>
              <c:showSerName val="0"/>
              <c:showPercent val="1"/>
              <c:showBubbleSize val="0"/>
            </c:dLbl>
            <c:dLbl>
              <c:idx val="8"/>
              <c:layout>
                <c:manualLayout>
                  <c:x val="-0.22157355755251512"/>
                  <c:y val="2.2722109594053245E-2"/>
                </c:manualLayout>
              </c:layout>
              <c:dLblPos val="bestFit"/>
              <c:showLegendKey val="0"/>
              <c:showVal val="0"/>
              <c:showCatName val="1"/>
              <c:showSerName val="0"/>
              <c:showPercent val="1"/>
              <c:showBubbleSize val="0"/>
            </c:dLbl>
            <c:dLbl>
              <c:idx val="9"/>
              <c:layout>
                <c:manualLayout>
                  <c:x val="-0.21316810743241996"/>
                  <c:y val="-5.8404722169330535E-2"/>
                </c:manualLayout>
              </c:layout>
              <c:dLblPos val="bestFit"/>
              <c:showLegendKey val="0"/>
              <c:showVal val="0"/>
              <c:showCatName val="1"/>
              <c:showSerName val="0"/>
              <c:showPercent val="1"/>
              <c:showBubbleSize val="0"/>
            </c:dLbl>
            <c:dLbl>
              <c:idx val="10"/>
              <c:layout>
                <c:manualLayout>
                  <c:x val="-0.10030259435136422"/>
                  <c:y val="-5.9751832230075096E-2"/>
                </c:manualLayout>
              </c:layout>
              <c:dLblPos val="bestFit"/>
              <c:showLegendKey val="0"/>
              <c:showVal val="0"/>
              <c:showCatName val="1"/>
              <c:showSerName val="0"/>
              <c:showPercent val="1"/>
              <c:showBubbleSize val="0"/>
            </c:dLbl>
            <c:dLbl>
              <c:idx val="11"/>
              <c:layout>
                <c:manualLayout>
                  <c:x val="1.02575012639051E-2"/>
                  <c:y val="-4.8019347154863105E-2"/>
                </c:manualLayout>
              </c:layout>
              <c:dLblPos val="bestFit"/>
              <c:showLegendKey val="0"/>
              <c:showVal val="0"/>
              <c:showCatName val="1"/>
              <c:showSerName val="0"/>
              <c:showPercent val="1"/>
              <c:showBubbleSize val="0"/>
            </c:dLbl>
            <c:numFmt formatCode="0.0%" sourceLinked="0"/>
            <c:spPr>
              <a:noFill/>
              <a:ln w="24919">
                <a:noFill/>
              </a:ln>
            </c:spPr>
            <c:txPr>
              <a:bodyPr/>
              <a:lstStyle/>
              <a:p>
                <a:pPr>
                  <a:defRPr sz="785"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Sheet1!$B$1:$M$1</c:f>
              <c:strCache>
                <c:ptCount val="12"/>
                <c:pt idx="0">
                  <c:v>Leukemia</c:v>
                </c:pt>
                <c:pt idx="1">
                  <c:v>CNS</c:v>
                </c:pt>
                <c:pt idx="2">
                  <c:v>Epithelial Tumor</c:v>
                </c:pt>
                <c:pt idx="3">
                  <c:v>Lymphoma</c:v>
                </c:pt>
                <c:pt idx="4">
                  <c:v>Soft Tissue</c:v>
                </c:pt>
                <c:pt idx="5">
                  <c:v>Peripheral NC</c:v>
                </c:pt>
                <c:pt idx="6">
                  <c:v>Germ Cell Tumor</c:v>
                </c:pt>
                <c:pt idx="7">
                  <c:v>Renal Tumor</c:v>
                </c:pt>
                <c:pt idx="8">
                  <c:v>Bone Tumor</c:v>
                </c:pt>
                <c:pt idx="9">
                  <c:v>Retinoblastoma</c:v>
                </c:pt>
                <c:pt idx="10">
                  <c:v>Hepatic tumor</c:v>
                </c:pt>
                <c:pt idx="11">
                  <c:v>Other</c:v>
                </c:pt>
              </c:strCache>
            </c:strRef>
          </c:cat>
          <c:val>
            <c:numRef>
              <c:f>Sheet1!$B$2:$M$2</c:f>
              <c:numCache>
                <c:formatCode>General</c:formatCode>
                <c:ptCount val="12"/>
                <c:pt idx="0">
                  <c:v>23.3</c:v>
                </c:pt>
                <c:pt idx="1">
                  <c:v>18.3</c:v>
                </c:pt>
                <c:pt idx="2">
                  <c:v>15.2</c:v>
                </c:pt>
                <c:pt idx="3">
                  <c:v>14.2</c:v>
                </c:pt>
                <c:pt idx="4">
                  <c:v>6.7</c:v>
                </c:pt>
                <c:pt idx="5">
                  <c:v>6.3</c:v>
                </c:pt>
                <c:pt idx="6">
                  <c:v>4.7</c:v>
                </c:pt>
                <c:pt idx="7">
                  <c:v>4</c:v>
                </c:pt>
                <c:pt idx="8">
                  <c:v>3.7</c:v>
                </c:pt>
                <c:pt idx="9">
                  <c:v>1.8</c:v>
                </c:pt>
                <c:pt idx="10">
                  <c:v>1.1000000000000001</c:v>
                </c:pt>
                <c:pt idx="11">
                  <c:v>0.6</c:v>
                </c:pt>
              </c:numCache>
            </c:numRef>
          </c:val>
        </c:ser>
        <c:ser>
          <c:idx val="1"/>
          <c:order val="1"/>
          <c:tx>
            <c:strRef>
              <c:f>Sheet1!$A$3</c:f>
              <c:strCache>
                <c:ptCount val="1"/>
                <c:pt idx="0">
                  <c:v> </c:v>
                </c:pt>
              </c:strCache>
            </c:strRef>
          </c:tx>
          <c:spPr>
            <a:solidFill>
              <a:srgbClr val="993366"/>
            </a:solidFill>
            <a:ln w="12460">
              <a:solidFill>
                <a:srgbClr val="000000"/>
              </a:solidFill>
              <a:prstDash val="solid"/>
            </a:ln>
          </c:spPr>
          <c:dPt>
            <c:idx val="0"/>
            <c:bubble3D val="0"/>
            <c:spPr>
              <a:solidFill>
                <a:srgbClr val="9999FF"/>
              </a:solidFill>
              <a:ln w="12460">
                <a:solidFill>
                  <a:srgbClr val="000000"/>
                </a:solidFill>
                <a:prstDash val="solid"/>
              </a:ln>
            </c:spPr>
          </c:dPt>
          <c:dPt>
            <c:idx val="1"/>
            <c:bubble3D val="0"/>
          </c:dPt>
          <c:dPt>
            <c:idx val="2"/>
            <c:bubble3D val="0"/>
            <c:spPr>
              <a:solidFill>
                <a:srgbClr val="FFFFCC"/>
              </a:solidFill>
              <a:ln w="12460">
                <a:solidFill>
                  <a:srgbClr val="000000"/>
                </a:solidFill>
                <a:prstDash val="solid"/>
              </a:ln>
            </c:spPr>
          </c:dPt>
          <c:dPt>
            <c:idx val="3"/>
            <c:bubble3D val="0"/>
            <c:spPr>
              <a:solidFill>
                <a:srgbClr val="CCFFFF"/>
              </a:solidFill>
              <a:ln w="12460">
                <a:solidFill>
                  <a:srgbClr val="000000"/>
                </a:solidFill>
                <a:prstDash val="solid"/>
              </a:ln>
            </c:spPr>
          </c:dPt>
          <c:dPt>
            <c:idx val="4"/>
            <c:bubble3D val="0"/>
            <c:spPr>
              <a:solidFill>
                <a:srgbClr val="660066"/>
              </a:solidFill>
              <a:ln w="12460">
                <a:solidFill>
                  <a:srgbClr val="000000"/>
                </a:solidFill>
                <a:prstDash val="solid"/>
              </a:ln>
            </c:spPr>
          </c:dPt>
          <c:dPt>
            <c:idx val="5"/>
            <c:bubble3D val="0"/>
            <c:spPr>
              <a:solidFill>
                <a:srgbClr val="FF8080"/>
              </a:solidFill>
              <a:ln w="12460">
                <a:solidFill>
                  <a:srgbClr val="000000"/>
                </a:solidFill>
                <a:prstDash val="solid"/>
              </a:ln>
            </c:spPr>
          </c:dPt>
          <c:dPt>
            <c:idx val="6"/>
            <c:bubble3D val="0"/>
            <c:spPr>
              <a:solidFill>
                <a:srgbClr val="0066CC"/>
              </a:solidFill>
              <a:ln w="12460">
                <a:solidFill>
                  <a:srgbClr val="000000"/>
                </a:solidFill>
                <a:prstDash val="solid"/>
              </a:ln>
            </c:spPr>
          </c:dPt>
          <c:dPt>
            <c:idx val="7"/>
            <c:bubble3D val="0"/>
            <c:spPr>
              <a:solidFill>
                <a:srgbClr val="CCCCFF"/>
              </a:solidFill>
              <a:ln w="12460">
                <a:solidFill>
                  <a:srgbClr val="000000"/>
                </a:solidFill>
                <a:prstDash val="solid"/>
              </a:ln>
            </c:spPr>
          </c:dPt>
          <c:dPt>
            <c:idx val="8"/>
            <c:bubble3D val="0"/>
            <c:spPr>
              <a:solidFill>
                <a:srgbClr val="000080"/>
              </a:solidFill>
              <a:ln w="12460">
                <a:solidFill>
                  <a:srgbClr val="000000"/>
                </a:solidFill>
                <a:prstDash val="solid"/>
              </a:ln>
            </c:spPr>
          </c:dPt>
          <c:dPt>
            <c:idx val="9"/>
            <c:bubble3D val="0"/>
            <c:spPr>
              <a:solidFill>
                <a:srgbClr val="FF00FF"/>
              </a:solidFill>
              <a:ln w="12460">
                <a:solidFill>
                  <a:srgbClr val="000000"/>
                </a:solidFill>
                <a:prstDash val="solid"/>
              </a:ln>
            </c:spPr>
          </c:dPt>
          <c:dPt>
            <c:idx val="10"/>
            <c:bubble3D val="0"/>
            <c:spPr>
              <a:solidFill>
                <a:srgbClr val="FFFF00"/>
              </a:solidFill>
              <a:ln w="12460">
                <a:solidFill>
                  <a:srgbClr val="000000"/>
                </a:solidFill>
                <a:prstDash val="solid"/>
              </a:ln>
            </c:spPr>
          </c:dPt>
          <c:dPt>
            <c:idx val="11"/>
            <c:bubble3D val="0"/>
            <c:spPr>
              <a:solidFill>
                <a:srgbClr val="00FFFF"/>
              </a:solidFill>
              <a:ln w="12460">
                <a:solidFill>
                  <a:srgbClr val="000000"/>
                </a:solidFill>
                <a:prstDash val="solid"/>
              </a:ln>
            </c:spPr>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Sheet1!$B$1:$M$1</c:f>
              <c:strCache>
                <c:ptCount val="12"/>
                <c:pt idx="0">
                  <c:v>Leukemia</c:v>
                </c:pt>
                <c:pt idx="1">
                  <c:v>CNS</c:v>
                </c:pt>
                <c:pt idx="2">
                  <c:v>Epithelial Tumor</c:v>
                </c:pt>
                <c:pt idx="3">
                  <c:v>Lymphoma</c:v>
                </c:pt>
                <c:pt idx="4">
                  <c:v>Soft Tissue</c:v>
                </c:pt>
                <c:pt idx="5">
                  <c:v>Peripheral NC</c:v>
                </c:pt>
                <c:pt idx="6">
                  <c:v>Germ Cell Tumor</c:v>
                </c:pt>
                <c:pt idx="7">
                  <c:v>Renal Tumor</c:v>
                </c:pt>
                <c:pt idx="8">
                  <c:v>Bone Tumor</c:v>
                </c:pt>
                <c:pt idx="9">
                  <c:v>Retinoblastoma</c:v>
                </c:pt>
                <c:pt idx="10">
                  <c:v>Hepatic tumor</c:v>
                </c:pt>
                <c:pt idx="11">
                  <c:v>Other</c:v>
                </c:pt>
              </c:strCache>
            </c:strRef>
          </c:cat>
          <c:val>
            <c:numRef>
              <c:f>Sheet1!$B$3:$M$3</c:f>
              <c:numCache>
                <c:formatCode>General</c:formatCode>
                <c:ptCount val="12"/>
                <c:pt idx="0">
                  <c:v>0</c:v>
                </c:pt>
              </c:numCache>
            </c:numRef>
          </c:val>
        </c:ser>
        <c:ser>
          <c:idx val="2"/>
          <c:order val="2"/>
          <c:tx>
            <c:strRef>
              <c:f>Sheet1!$A$4</c:f>
              <c:strCache>
                <c:ptCount val="1"/>
              </c:strCache>
            </c:strRef>
          </c:tx>
          <c:spPr>
            <a:solidFill>
              <a:srgbClr val="FFFFCC"/>
            </a:solidFill>
            <a:ln w="12460">
              <a:solidFill>
                <a:srgbClr val="000000"/>
              </a:solidFill>
              <a:prstDash val="solid"/>
            </a:ln>
          </c:spPr>
          <c:dPt>
            <c:idx val="0"/>
            <c:bubble3D val="0"/>
            <c:spPr>
              <a:solidFill>
                <a:srgbClr val="9999FF"/>
              </a:solidFill>
              <a:ln w="12460">
                <a:solidFill>
                  <a:srgbClr val="000000"/>
                </a:solidFill>
                <a:prstDash val="solid"/>
              </a:ln>
            </c:spPr>
          </c:dPt>
          <c:dPt>
            <c:idx val="1"/>
            <c:bubble3D val="0"/>
            <c:spPr>
              <a:solidFill>
                <a:srgbClr val="993366"/>
              </a:solidFill>
              <a:ln w="12460">
                <a:solidFill>
                  <a:srgbClr val="000000"/>
                </a:solidFill>
                <a:prstDash val="solid"/>
              </a:ln>
            </c:spPr>
          </c:dPt>
          <c:dPt>
            <c:idx val="2"/>
            <c:bubble3D val="0"/>
          </c:dPt>
          <c:dPt>
            <c:idx val="3"/>
            <c:bubble3D val="0"/>
            <c:spPr>
              <a:solidFill>
                <a:srgbClr val="CCFFFF"/>
              </a:solidFill>
              <a:ln w="12460">
                <a:solidFill>
                  <a:srgbClr val="000000"/>
                </a:solidFill>
                <a:prstDash val="solid"/>
              </a:ln>
            </c:spPr>
          </c:dPt>
          <c:dPt>
            <c:idx val="4"/>
            <c:bubble3D val="0"/>
            <c:spPr>
              <a:solidFill>
                <a:srgbClr val="660066"/>
              </a:solidFill>
              <a:ln w="12460">
                <a:solidFill>
                  <a:srgbClr val="000000"/>
                </a:solidFill>
                <a:prstDash val="solid"/>
              </a:ln>
            </c:spPr>
          </c:dPt>
          <c:dPt>
            <c:idx val="5"/>
            <c:bubble3D val="0"/>
            <c:spPr>
              <a:solidFill>
                <a:srgbClr val="FF8080"/>
              </a:solidFill>
              <a:ln w="12460">
                <a:solidFill>
                  <a:srgbClr val="000000"/>
                </a:solidFill>
                <a:prstDash val="solid"/>
              </a:ln>
            </c:spPr>
          </c:dPt>
          <c:dPt>
            <c:idx val="6"/>
            <c:bubble3D val="0"/>
            <c:spPr>
              <a:solidFill>
                <a:srgbClr val="0066CC"/>
              </a:solidFill>
              <a:ln w="12460">
                <a:solidFill>
                  <a:srgbClr val="000000"/>
                </a:solidFill>
                <a:prstDash val="solid"/>
              </a:ln>
            </c:spPr>
          </c:dPt>
          <c:dPt>
            <c:idx val="7"/>
            <c:bubble3D val="0"/>
            <c:spPr>
              <a:solidFill>
                <a:srgbClr val="CCCCFF"/>
              </a:solidFill>
              <a:ln w="12460">
                <a:solidFill>
                  <a:srgbClr val="000000"/>
                </a:solidFill>
                <a:prstDash val="solid"/>
              </a:ln>
            </c:spPr>
          </c:dPt>
          <c:dPt>
            <c:idx val="8"/>
            <c:bubble3D val="0"/>
            <c:spPr>
              <a:solidFill>
                <a:srgbClr val="000080"/>
              </a:solidFill>
              <a:ln w="12460">
                <a:solidFill>
                  <a:srgbClr val="000000"/>
                </a:solidFill>
                <a:prstDash val="solid"/>
              </a:ln>
            </c:spPr>
          </c:dPt>
          <c:dPt>
            <c:idx val="9"/>
            <c:bubble3D val="0"/>
            <c:spPr>
              <a:solidFill>
                <a:srgbClr val="FF00FF"/>
              </a:solidFill>
              <a:ln w="12460">
                <a:solidFill>
                  <a:srgbClr val="000000"/>
                </a:solidFill>
                <a:prstDash val="solid"/>
              </a:ln>
            </c:spPr>
          </c:dPt>
          <c:dPt>
            <c:idx val="10"/>
            <c:bubble3D val="0"/>
            <c:spPr>
              <a:solidFill>
                <a:srgbClr val="FFFF00"/>
              </a:solidFill>
              <a:ln w="12460">
                <a:solidFill>
                  <a:srgbClr val="000000"/>
                </a:solidFill>
                <a:prstDash val="solid"/>
              </a:ln>
            </c:spPr>
          </c:dPt>
          <c:dPt>
            <c:idx val="11"/>
            <c:bubble3D val="0"/>
            <c:spPr>
              <a:solidFill>
                <a:srgbClr val="00FFFF"/>
              </a:solidFill>
              <a:ln w="12460">
                <a:solidFill>
                  <a:srgbClr val="000000"/>
                </a:solidFill>
                <a:prstDash val="solid"/>
              </a:ln>
            </c:spPr>
          </c:dPt>
          <c:dLbls>
            <c:numFmt formatCode="0%" sourceLinked="0"/>
            <c:spPr>
              <a:noFill/>
              <a:ln w="24919">
                <a:noFill/>
              </a:ln>
            </c:spPr>
            <c:txPr>
              <a:bodyPr/>
              <a:lstStyle/>
              <a:p>
                <a:pPr>
                  <a:defRPr sz="1594"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Sheet1!$B$1:$M$1</c:f>
              <c:strCache>
                <c:ptCount val="12"/>
                <c:pt idx="0">
                  <c:v>Leukemia</c:v>
                </c:pt>
                <c:pt idx="1">
                  <c:v>CNS</c:v>
                </c:pt>
                <c:pt idx="2">
                  <c:v>Epithelial Tumor</c:v>
                </c:pt>
                <c:pt idx="3">
                  <c:v>Lymphoma</c:v>
                </c:pt>
                <c:pt idx="4">
                  <c:v>Soft Tissue</c:v>
                </c:pt>
                <c:pt idx="5">
                  <c:v>Peripheral NC</c:v>
                </c:pt>
                <c:pt idx="6">
                  <c:v>Germ Cell Tumor</c:v>
                </c:pt>
                <c:pt idx="7">
                  <c:v>Renal Tumor</c:v>
                </c:pt>
                <c:pt idx="8">
                  <c:v>Bone Tumor</c:v>
                </c:pt>
                <c:pt idx="9">
                  <c:v>Retinoblastoma</c:v>
                </c:pt>
                <c:pt idx="10">
                  <c:v>Hepatic tumor</c:v>
                </c:pt>
                <c:pt idx="11">
                  <c:v>Other</c:v>
                </c:pt>
              </c:strCache>
            </c:strRef>
          </c:cat>
          <c:val>
            <c:numRef>
              <c:f>Sheet1!$B$4:$M$4</c:f>
              <c:numCache>
                <c:formatCode>General</c:formatCode>
                <c:ptCount val="12"/>
              </c:numCache>
            </c:numRef>
          </c:val>
        </c:ser>
        <c:dLbls>
          <c:showLegendKey val="0"/>
          <c:showVal val="0"/>
          <c:showCatName val="1"/>
          <c:showSerName val="0"/>
          <c:showPercent val="1"/>
          <c:showBubbleSize val="0"/>
          <c:showLeaderLines val="1"/>
        </c:dLbls>
        <c:firstSliceAng val="0"/>
      </c:pieChart>
      <c:spPr>
        <a:noFill/>
        <a:ln w="24919">
          <a:noFill/>
        </a:ln>
      </c:spPr>
    </c:plotArea>
    <c:plotVisOnly val="1"/>
    <c:dispBlanksAs val="zero"/>
    <c:showDLblsOverMax val="0"/>
  </c:chart>
  <c:spPr>
    <a:noFill/>
    <a:ln w="6230" cap="flat" cmpd="sng" algn="ctr">
      <a:solidFill>
        <a:srgbClr val="000000"/>
      </a:solidFill>
      <a:prstDash val="solid"/>
      <a:miter lim="800000"/>
      <a:headEnd type="none" w="med" len="med"/>
      <a:tailEnd type="none" w="med" len="med"/>
    </a:ln>
  </c:spPr>
  <c:txPr>
    <a:bodyPr/>
    <a:lstStyle/>
    <a:p>
      <a:pPr>
        <a:defRPr sz="1594" b="1"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en-US"/>
              <a:t>Figure 4: Cancer Age-Adjusted Death Rates Among Children and Adolscents, MA and US, 2000-2009</a:t>
            </a:r>
          </a:p>
        </c:rich>
      </c:tx>
      <c:layout>
        <c:manualLayout>
          <c:xMode val="edge"/>
          <c:yMode val="edge"/>
          <c:x val="0.20166666666666666"/>
          <c:y val="0"/>
        </c:manualLayout>
      </c:layout>
      <c:overlay val="0"/>
      <c:spPr>
        <a:noFill/>
        <a:ln w="25389">
          <a:noFill/>
        </a:ln>
      </c:spPr>
    </c:title>
    <c:autoTitleDeleted val="0"/>
    <c:plotArea>
      <c:layout>
        <c:manualLayout>
          <c:layoutTarget val="inner"/>
          <c:xMode val="edge"/>
          <c:yMode val="edge"/>
          <c:x val="0.12666666666666668"/>
          <c:y val="0.1394658753709199"/>
          <c:w val="0.85666666666666669"/>
          <c:h val="0.60237388724035612"/>
        </c:manualLayout>
      </c:layout>
      <c:lineChart>
        <c:grouping val="standard"/>
        <c:varyColors val="0"/>
        <c:ser>
          <c:idx val="1"/>
          <c:order val="0"/>
          <c:tx>
            <c:strRef>
              <c:f>Sheet1!$A$2</c:f>
              <c:strCache>
                <c:ptCount val="1"/>
                <c:pt idx="0">
                  <c:v>0-19 MA</c:v>
                </c:pt>
              </c:strCache>
            </c:strRef>
          </c:tx>
          <c:spPr>
            <a:ln w="12695">
              <a:solidFill>
                <a:srgbClr val="0000FF"/>
              </a:solidFill>
              <a:prstDash val="solid"/>
            </a:ln>
          </c:spPr>
          <c:marker>
            <c:symbol val="star"/>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2.9</c:v>
                </c:pt>
                <c:pt idx="1">
                  <c:v>2.2999999999999998</c:v>
                </c:pt>
                <c:pt idx="2">
                  <c:v>2.2000000000000002</c:v>
                </c:pt>
                <c:pt idx="3">
                  <c:v>2.6</c:v>
                </c:pt>
                <c:pt idx="4">
                  <c:v>2.2000000000000002</c:v>
                </c:pt>
                <c:pt idx="5">
                  <c:v>2.2000000000000002</c:v>
                </c:pt>
                <c:pt idx="6">
                  <c:v>1.9</c:v>
                </c:pt>
                <c:pt idx="7">
                  <c:v>2.2999999999999998</c:v>
                </c:pt>
                <c:pt idx="8">
                  <c:v>2.6</c:v>
                </c:pt>
                <c:pt idx="9">
                  <c:v>1.9</c:v>
                </c:pt>
              </c:numCache>
            </c:numRef>
          </c:val>
          <c:smooth val="0"/>
        </c:ser>
        <c:ser>
          <c:idx val="2"/>
          <c:order val="1"/>
          <c:tx>
            <c:strRef>
              <c:f>Sheet1!$A$3</c:f>
              <c:strCache>
                <c:ptCount val="1"/>
                <c:pt idx="0">
                  <c:v>0-19 US</c:v>
                </c:pt>
              </c:strCache>
            </c:strRef>
          </c:tx>
          <c:spPr>
            <a:ln w="12695">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2.8</c:v>
                </c:pt>
                <c:pt idx="1">
                  <c:v>2.7</c:v>
                </c:pt>
                <c:pt idx="2">
                  <c:v>2.8</c:v>
                </c:pt>
                <c:pt idx="3">
                  <c:v>2.7</c:v>
                </c:pt>
                <c:pt idx="4">
                  <c:v>2.7</c:v>
                </c:pt>
                <c:pt idx="5">
                  <c:v>2.7</c:v>
                </c:pt>
                <c:pt idx="6">
                  <c:v>2.5</c:v>
                </c:pt>
                <c:pt idx="7">
                  <c:v>2.5</c:v>
                </c:pt>
                <c:pt idx="8">
                  <c:v>2.4</c:v>
                </c:pt>
                <c:pt idx="9">
                  <c:v>2.2999999999999998</c:v>
                </c:pt>
              </c:numCache>
            </c:numRef>
          </c:val>
          <c:smooth val="0"/>
        </c:ser>
        <c:dLbls>
          <c:showLegendKey val="0"/>
          <c:showVal val="0"/>
          <c:showCatName val="0"/>
          <c:showSerName val="0"/>
          <c:showPercent val="0"/>
          <c:showBubbleSize val="0"/>
        </c:dLbls>
        <c:marker val="1"/>
        <c:smooth val="0"/>
        <c:axId val="92246400"/>
        <c:axId val="92248704"/>
      </c:lineChart>
      <c:catAx>
        <c:axId val="92246400"/>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 of Diagnosis</a:t>
                </a:r>
              </a:p>
            </c:rich>
          </c:tx>
          <c:layout>
            <c:manualLayout>
              <c:xMode val="edge"/>
              <c:yMode val="edge"/>
              <c:x val="0.82333333333333336"/>
              <c:y val="0.83086053412462912"/>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92248704"/>
        <c:crosses val="autoZero"/>
        <c:auto val="1"/>
        <c:lblAlgn val="ctr"/>
        <c:lblOffset val="100"/>
        <c:tickLblSkip val="1"/>
        <c:tickMarkSkip val="1"/>
        <c:noMultiLvlLbl val="0"/>
      </c:catAx>
      <c:valAx>
        <c:axId val="92248704"/>
        <c:scaling>
          <c:orientation val="minMax"/>
        </c:scaling>
        <c:delete val="0"/>
        <c:axPos val="l"/>
        <c:majorGridlines>
          <c:spPr>
            <a:ln w="3174">
              <a:solidFill>
                <a:srgbClr val="000000"/>
              </a:solidFill>
              <a:prstDash val="solid"/>
            </a:ln>
          </c:spPr>
        </c:majorGridlines>
        <c:title>
          <c:tx>
            <c:rich>
              <a:bodyPr rot="0" vert="horz"/>
              <a:lstStyle/>
              <a:p>
                <a:pPr algn="ctr">
                  <a:defRPr sz="800" b="1" i="0" u="none" strike="noStrike" baseline="0">
                    <a:solidFill>
                      <a:srgbClr val="000000"/>
                    </a:solidFill>
                    <a:latin typeface="Arial"/>
                    <a:ea typeface="Arial"/>
                    <a:cs typeface="Arial"/>
                  </a:defRPr>
                </a:pPr>
                <a:r>
                  <a:rPr lang="en-US"/>
                  <a:t>Rate 
per 
100,000</a:t>
                </a:r>
              </a:p>
            </c:rich>
          </c:tx>
          <c:layout>
            <c:manualLayout>
              <c:xMode val="edge"/>
              <c:yMode val="edge"/>
              <c:x val="3.3333333333333335E-3"/>
              <c:y val="0.12759643916913946"/>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92246400"/>
        <c:crosses val="autoZero"/>
        <c:crossBetween val="between"/>
      </c:valAx>
      <c:spPr>
        <a:solidFill>
          <a:srgbClr val="C0C0C0"/>
        </a:solidFill>
        <a:ln w="12695">
          <a:solidFill>
            <a:srgbClr val="808080"/>
          </a:solidFill>
          <a:prstDash val="solid"/>
        </a:ln>
      </c:spPr>
    </c:plotArea>
    <c:legend>
      <c:legendPos val="r"/>
      <c:layout>
        <c:manualLayout>
          <c:xMode val="edge"/>
          <c:yMode val="edge"/>
          <c:x val="0.40333333333333332"/>
          <c:y val="0.86350148367952517"/>
          <c:w val="0.27833333333333332"/>
          <c:h val="6.8249258160237414E-2"/>
        </c:manualLayout>
      </c:layout>
      <c:overlay val="0"/>
      <c:spPr>
        <a:noFill/>
        <a:ln w="3174">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en-US"/>
        </a:p>
      </c:txPr>
    </c:legend>
    <c:plotVisOnly val="1"/>
    <c:dispBlanksAs val="gap"/>
    <c:showDLblsOverMax val="0"/>
  </c:chart>
  <c:spPr>
    <a:noFill/>
    <a:ln w="6347" cap="flat" cmpd="sng" algn="ctr">
      <a:solidFill>
        <a:srgbClr val="000000"/>
      </a:solidFill>
      <a:prstDash val="solid"/>
      <a:miter lim="800000"/>
      <a:headEnd type="none" w="med" len="med"/>
      <a:tailEnd type="none" w="med" len="med"/>
    </a:ln>
  </c:spPr>
  <c:txPr>
    <a:bodyPr/>
    <a:lstStyle/>
    <a:p>
      <a:pPr>
        <a:defRPr sz="1474" b="1" i="0" u="none" strike="noStrike" baseline="0">
          <a:solidFill>
            <a:srgbClr val="000000"/>
          </a:solidFill>
          <a:latin typeface="Arial"/>
          <a:ea typeface="Arial"/>
          <a:cs typeface="Aria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a:ea typeface="Arial"/>
                <a:cs typeface="Arial"/>
              </a:defRPr>
            </a:pPr>
            <a:r>
              <a:rPr lang="en-US"/>
              <a:t>Figure 5: Male and Female Childhood/Adolescent Cancer Deaths by Type, MA, 2000-2009 (N=386)</a:t>
            </a:r>
          </a:p>
        </c:rich>
      </c:tx>
      <c:layout>
        <c:manualLayout>
          <c:xMode val="edge"/>
          <c:yMode val="edge"/>
          <c:x val="0.10508476980917926"/>
          <c:y val="0"/>
        </c:manualLayout>
      </c:layout>
      <c:overlay val="0"/>
      <c:spPr>
        <a:noFill/>
        <a:ln w="25400">
          <a:noFill/>
        </a:ln>
      </c:spPr>
    </c:title>
    <c:autoTitleDeleted val="0"/>
    <c:plotArea>
      <c:layout>
        <c:manualLayout>
          <c:layoutTarget val="inner"/>
          <c:xMode val="edge"/>
          <c:yMode val="edge"/>
          <c:x val="0.28813559322033899"/>
          <c:y val="0.21098265895953758"/>
          <c:w val="0.45423728813559311"/>
          <c:h val="0.77456647398843925"/>
        </c:manualLayout>
      </c:layout>
      <c:pieChart>
        <c:varyColors val="1"/>
        <c:ser>
          <c:idx val="0"/>
          <c:order val="0"/>
          <c:tx>
            <c:strRef>
              <c:f>Sheet1!$A$2</c:f>
              <c:strCache>
                <c:ptCount val="1"/>
                <c:pt idx="0">
                  <c:v>East</c:v>
                </c:pt>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dLbls>
            <c:dLbl>
              <c:idx val="0"/>
              <c:layout>
                <c:manualLayout>
                  <c:x val="9.0508563252612778E-2"/>
                  <c:y val="-3.1582559373038027E-2"/>
                </c:manualLayout>
              </c:layout>
              <c:dLblPos val="bestFit"/>
              <c:showLegendKey val="0"/>
              <c:showVal val="0"/>
              <c:showCatName val="1"/>
              <c:showSerName val="0"/>
              <c:showPercent val="1"/>
              <c:showBubbleSize val="0"/>
            </c:dLbl>
            <c:dLbl>
              <c:idx val="1"/>
              <c:layout>
                <c:manualLayout>
                  <c:x val="0.14189390200879995"/>
                  <c:y val="-0.11054096675273517"/>
                </c:manualLayout>
              </c:layout>
              <c:dLblPos val="bestFit"/>
              <c:showLegendKey val="0"/>
              <c:showVal val="0"/>
              <c:showCatName val="1"/>
              <c:showSerName val="0"/>
              <c:showPercent val="1"/>
              <c:showBubbleSize val="0"/>
            </c:dLbl>
            <c:dLbl>
              <c:idx val="2"/>
              <c:layout>
                <c:manualLayout>
                  <c:x val="-5.9551114447312113E-2"/>
                  <c:y val="-8.1249594076767588E-4"/>
                </c:manualLayout>
              </c:layout>
              <c:dLblPos val="bestFit"/>
              <c:showLegendKey val="0"/>
              <c:showVal val="0"/>
              <c:showCatName val="1"/>
              <c:showSerName val="0"/>
              <c:showPercent val="1"/>
              <c:showBubbleSize val="0"/>
            </c:dLbl>
            <c:dLbl>
              <c:idx val="3"/>
              <c:layout>
                <c:manualLayout>
                  <c:x val="-5.1284566961648508E-2"/>
                  <c:y val="2.4861219002167419E-3"/>
                </c:manualLayout>
              </c:layout>
              <c:dLblPos val="bestFit"/>
              <c:showLegendKey val="0"/>
              <c:showVal val="0"/>
              <c:showCatName val="1"/>
              <c:showSerName val="0"/>
              <c:showPercent val="1"/>
              <c:showBubbleSize val="0"/>
            </c:dLbl>
            <c:dLbl>
              <c:idx val="4"/>
              <c:layout>
                <c:manualLayout>
                  <c:x val="-4.3205900996707299E-2"/>
                  <c:y val="5.3004585377012886E-2"/>
                </c:manualLayout>
              </c:layout>
              <c:dLblPos val="bestFit"/>
              <c:showLegendKey val="0"/>
              <c:showVal val="0"/>
              <c:showCatName val="1"/>
              <c:showSerName val="0"/>
              <c:showPercent val="1"/>
              <c:showBubbleSize val="0"/>
            </c:dLbl>
            <c:dLbl>
              <c:idx val="5"/>
              <c:layout>
                <c:manualLayout>
                  <c:x val="-7.8909351939994488E-2"/>
                  <c:y val="7.8020269142657764E-2"/>
                </c:manualLayout>
              </c:layout>
              <c:dLblPos val="bestFit"/>
              <c:showLegendKey val="0"/>
              <c:showVal val="0"/>
              <c:showCatName val="1"/>
              <c:showSerName val="0"/>
              <c:showPercent val="1"/>
              <c:showBubbleSize val="0"/>
            </c:dLbl>
            <c:dLbl>
              <c:idx val="6"/>
              <c:layout>
                <c:manualLayout>
                  <c:x val="-9.3862615813149503E-2"/>
                  <c:y val="1.8678414532469375E-2"/>
                </c:manualLayout>
              </c:layout>
              <c:dLblPos val="bestFit"/>
              <c:showLegendKey val="0"/>
              <c:showVal val="0"/>
              <c:showCatName val="1"/>
              <c:showSerName val="0"/>
              <c:showPercent val="1"/>
              <c:showBubbleSize val="0"/>
            </c:dLbl>
            <c:dLbl>
              <c:idx val="7"/>
              <c:layout>
                <c:manualLayout>
                  <c:x val="-7.4472256793679262E-2"/>
                  <c:y val="-5.2737343420174054E-2"/>
                </c:manualLayout>
              </c:layout>
              <c:dLblPos val="bestFit"/>
              <c:showLegendKey val="0"/>
              <c:showVal val="0"/>
              <c:showCatName val="1"/>
              <c:showSerName val="0"/>
              <c:showPercent val="1"/>
              <c:showBubbleSize val="0"/>
            </c:dLbl>
            <c:dLbl>
              <c:idx val="8"/>
              <c:layout>
                <c:manualLayout>
                  <c:x val="-3.1838205876610604E-3"/>
                  <c:y val="-0.10779974351618087"/>
                </c:manualLayout>
              </c:layout>
              <c:dLblPos val="bestFit"/>
              <c:showLegendKey val="0"/>
              <c:showVal val="0"/>
              <c:showCatName val="1"/>
              <c:showSerName val="0"/>
              <c:showPercent val="1"/>
              <c:showBubbleSize val="0"/>
            </c:dLbl>
            <c:dLbl>
              <c:idx val="9"/>
              <c:layout>
                <c:manualLayout>
                  <c:x val="-9.3893880135302362E-3"/>
                  <c:y val="-6.3402019379648761E-2"/>
                </c:manualLayout>
              </c:layout>
              <c:dLblPos val="bestFit"/>
              <c:showLegendKey val="0"/>
              <c:showVal val="0"/>
              <c:showCatName val="1"/>
              <c:showSerName val="0"/>
              <c:showPercent val="1"/>
              <c:showBubbleSize val="0"/>
            </c:dLbl>
            <c:numFmt formatCode="0.0%" sourceLinked="0"/>
            <c:spPr>
              <a:noFill/>
              <a:ln w="25400">
                <a:noFill/>
              </a:ln>
            </c:spPr>
            <c:txPr>
              <a:bodyPr/>
              <a:lstStyle/>
              <a:p>
                <a:pPr>
                  <a:defRPr sz="80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0"/>
          </c:dLbls>
          <c:cat>
            <c:strRef>
              <c:f>Sheet1!$B$1:$K$1</c:f>
              <c:strCache>
                <c:ptCount val="10"/>
                <c:pt idx="0">
                  <c:v>Leukemia</c:v>
                </c:pt>
                <c:pt idx="1">
                  <c:v>CNS</c:v>
                </c:pt>
                <c:pt idx="2">
                  <c:v>Adrenal Gland</c:v>
                </c:pt>
                <c:pt idx="3">
                  <c:v>Bone</c:v>
                </c:pt>
                <c:pt idx="4">
                  <c:v>Soft Tissue</c:v>
                </c:pt>
                <c:pt idx="5">
                  <c:v>Lymphoma</c:v>
                </c:pt>
                <c:pt idx="6">
                  <c:v>Liver</c:v>
                </c:pt>
                <c:pt idx="7">
                  <c:v>Kidney</c:v>
                </c:pt>
                <c:pt idx="8">
                  <c:v>Oral</c:v>
                </c:pt>
                <c:pt idx="9">
                  <c:v>Other</c:v>
                </c:pt>
              </c:strCache>
            </c:strRef>
          </c:cat>
          <c:val>
            <c:numRef>
              <c:f>Sheet1!$B$2:$K$2</c:f>
              <c:numCache>
                <c:formatCode>General</c:formatCode>
                <c:ptCount val="10"/>
                <c:pt idx="0">
                  <c:v>27.7</c:v>
                </c:pt>
                <c:pt idx="1">
                  <c:v>23.6</c:v>
                </c:pt>
                <c:pt idx="2">
                  <c:v>9.8000000000000007</c:v>
                </c:pt>
                <c:pt idx="3">
                  <c:v>9.8000000000000007</c:v>
                </c:pt>
                <c:pt idx="4">
                  <c:v>8.8000000000000007</c:v>
                </c:pt>
                <c:pt idx="5">
                  <c:v>4.4000000000000004</c:v>
                </c:pt>
                <c:pt idx="6">
                  <c:v>1.5</c:v>
                </c:pt>
                <c:pt idx="7">
                  <c:v>1.5</c:v>
                </c:pt>
                <c:pt idx="8">
                  <c:v>1</c:v>
                </c:pt>
                <c:pt idx="9">
                  <c:v>11.4</c:v>
                </c:pt>
              </c:numCache>
            </c:numRef>
          </c:val>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cat>
            <c:strRef>
              <c:f>Sheet1!$B$1:$K$1</c:f>
              <c:strCache>
                <c:ptCount val="10"/>
                <c:pt idx="0">
                  <c:v>Leukemia</c:v>
                </c:pt>
                <c:pt idx="1">
                  <c:v>CNS</c:v>
                </c:pt>
                <c:pt idx="2">
                  <c:v>Adrenal Gland</c:v>
                </c:pt>
                <c:pt idx="3">
                  <c:v>Bone</c:v>
                </c:pt>
                <c:pt idx="4">
                  <c:v>Soft Tissue</c:v>
                </c:pt>
                <c:pt idx="5">
                  <c:v>Lymphoma</c:v>
                </c:pt>
                <c:pt idx="6">
                  <c:v>Liver</c:v>
                </c:pt>
                <c:pt idx="7">
                  <c:v>Kidney</c:v>
                </c:pt>
                <c:pt idx="8">
                  <c:v>Oral</c:v>
                </c:pt>
                <c:pt idx="9">
                  <c:v>Other</c:v>
                </c:pt>
              </c:strCache>
            </c:strRef>
          </c:cat>
          <c:val>
            <c:numRef>
              <c:f>Sheet1!$B$3:$K$3</c:f>
              <c:numCache>
                <c:formatCode>General</c:formatCode>
                <c:ptCount val="10"/>
              </c:numCache>
            </c:numRef>
          </c:val>
        </c:ser>
        <c:ser>
          <c:idx val="2"/>
          <c:order val="2"/>
          <c:tx>
            <c:strRef>
              <c:f>Sheet1!$A$4</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cat>
            <c:strRef>
              <c:f>Sheet1!$B$1:$K$1</c:f>
              <c:strCache>
                <c:ptCount val="10"/>
                <c:pt idx="0">
                  <c:v>Leukemia</c:v>
                </c:pt>
                <c:pt idx="1">
                  <c:v>CNS</c:v>
                </c:pt>
                <c:pt idx="2">
                  <c:v>Adrenal Gland</c:v>
                </c:pt>
                <c:pt idx="3">
                  <c:v>Bone</c:v>
                </c:pt>
                <c:pt idx="4">
                  <c:v>Soft Tissue</c:v>
                </c:pt>
                <c:pt idx="5">
                  <c:v>Lymphoma</c:v>
                </c:pt>
                <c:pt idx="6">
                  <c:v>Liver</c:v>
                </c:pt>
                <c:pt idx="7">
                  <c:v>Kidney</c:v>
                </c:pt>
                <c:pt idx="8">
                  <c:v>Oral</c:v>
                </c:pt>
                <c:pt idx="9">
                  <c:v>Other</c:v>
                </c:pt>
              </c:strCache>
            </c:strRef>
          </c:cat>
          <c:val>
            <c:numRef>
              <c:f>Sheet1!$B$4:$K$4</c:f>
              <c:numCache>
                <c:formatCode>General</c:formatCode>
                <c:ptCount val="10"/>
              </c:numCache>
            </c:numRef>
          </c:val>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noFill/>
    <a:ln w="6350" cap="flat" cmpd="sng" algn="ctr">
      <a:solidFill>
        <a:srgbClr val="000000"/>
      </a:solidFill>
      <a:prstDash val="solid"/>
      <a:miter lim="800000"/>
      <a:headEnd type="none" w="med" len="med"/>
      <a:tailEnd type="none" w="med" len="med"/>
    </a:ln>
  </c:spPr>
  <c:txPr>
    <a:bodyPr/>
    <a:lstStyle/>
    <a:p>
      <a:pPr>
        <a:defRPr sz="1525" b="1" i="0" u="none" strike="noStrike" baseline="0">
          <a:solidFill>
            <a:srgbClr val="000000"/>
          </a:solidFill>
          <a:latin typeface="Arial"/>
          <a:ea typeface="Arial"/>
          <a:cs typeface="Arial"/>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7" b="1" i="0" u="none" strike="noStrike" baseline="0">
                <a:solidFill>
                  <a:srgbClr val="000000"/>
                </a:solidFill>
                <a:latin typeface="Arial"/>
                <a:ea typeface="Arial"/>
                <a:cs typeface="Arial"/>
              </a:defRPr>
            </a:pPr>
            <a:r>
              <a:rPr lang="en-US"/>
              <a:t>Figure 6: Cancer Age-Specific Incidence* Among Children and Adolescents, MA, 2000-2009</a:t>
            </a:r>
          </a:p>
        </c:rich>
      </c:tx>
      <c:layout>
        <c:manualLayout>
          <c:xMode val="edge"/>
          <c:yMode val="edge"/>
          <c:x val="0.17587939698492464"/>
          <c:y val="0"/>
        </c:manualLayout>
      </c:layout>
      <c:overlay val="0"/>
      <c:spPr>
        <a:noFill/>
        <a:ln w="26855">
          <a:noFill/>
        </a:ln>
      </c:spPr>
    </c:title>
    <c:autoTitleDeleted val="0"/>
    <c:plotArea>
      <c:layout>
        <c:manualLayout>
          <c:layoutTarget val="inner"/>
          <c:xMode val="edge"/>
          <c:yMode val="edge"/>
          <c:x val="0.13051146384479717"/>
          <c:y val="0.16616314199395771"/>
          <c:w val="0.85537918871252205"/>
          <c:h val="0.58912386706948638"/>
        </c:manualLayout>
      </c:layout>
      <c:lineChart>
        <c:grouping val="standard"/>
        <c:varyColors val="0"/>
        <c:ser>
          <c:idx val="0"/>
          <c:order val="0"/>
          <c:tx>
            <c:strRef>
              <c:f>Sheet1!$A$2</c:f>
              <c:strCache>
                <c:ptCount val="1"/>
                <c:pt idx="0">
                  <c:v>0-4</c:v>
                </c:pt>
              </c:strCache>
            </c:strRef>
          </c:tx>
          <c:spPr>
            <a:ln w="13428">
              <a:solidFill>
                <a:srgbClr val="000080"/>
              </a:solidFill>
              <a:prstDash val="solid"/>
            </a:ln>
          </c:spPr>
          <c:marker>
            <c:symbol val="diamond"/>
            <c:size val="4"/>
            <c:spPr>
              <a:solidFill>
                <a:srgbClr val="000080"/>
              </a:solidFill>
              <a:ln>
                <a:solidFill>
                  <a:srgbClr val="00008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22.9</c:v>
                </c:pt>
                <c:pt idx="1">
                  <c:v>22.6</c:v>
                </c:pt>
                <c:pt idx="2">
                  <c:v>17.3</c:v>
                </c:pt>
                <c:pt idx="3">
                  <c:v>25.1</c:v>
                </c:pt>
                <c:pt idx="4">
                  <c:v>25.3</c:v>
                </c:pt>
                <c:pt idx="5">
                  <c:v>21.5</c:v>
                </c:pt>
                <c:pt idx="6">
                  <c:v>28</c:v>
                </c:pt>
                <c:pt idx="7">
                  <c:v>21.6</c:v>
                </c:pt>
                <c:pt idx="8">
                  <c:v>23.9</c:v>
                </c:pt>
                <c:pt idx="9">
                  <c:v>26.2</c:v>
                </c:pt>
              </c:numCache>
            </c:numRef>
          </c:val>
          <c:smooth val="0"/>
        </c:ser>
        <c:ser>
          <c:idx val="1"/>
          <c:order val="1"/>
          <c:tx>
            <c:strRef>
              <c:f>Sheet1!$A$3</c:f>
              <c:strCache>
                <c:ptCount val="1"/>
                <c:pt idx="0">
                  <c:v>5-9</c:v>
                </c:pt>
              </c:strCache>
            </c:strRef>
          </c:tx>
          <c:spPr>
            <a:ln w="13428">
              <a:solidFill>
                <a:srgbClr val="FF00FF"/>
              </a:solidFill>
              <a:prstDash val="solid"/>
            </a:ln>
          </c:spPr>
          <c:marker>
            <c:symbol val="square"/>
            <c:size val="4"/>
            <c:spPr>
              <a:solidFill>
                <a:srgbClr val="FF00FF"/>
              </a:solidFill>
              <a:ln>
                <a:solidFill>
                  <a:srgbClr val="FF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11.7</c:v>
                </c:pt>
                <c:pt idx="1">
                  <c:v>10.9</c:v>
                </c:pt>
                <c:pt idx="2">
                  <c:v>13.2</c:v>
                </c:pt>
                <c:pt idx="3">
                  <c:v>13.8</c:v>
                </c:pt>
                <c:pt idx="4">
                  <c:v>11</c:v>
                </c:pt>
                <c:pt idx="5">
                  <c:v>9.1999999999999993</c:v>
                </c:pt>
                <c:pt idx="6">
                  <c:v>15.4</c:v>
                </c:pt>
                <c:pt idx="7">
                  <c:v>13.4</c:v>
                </c:pt>
                <c:pt idx="8">
                  <c:v>11.8</c:v>
                </c:pt>
                <c:pt idx="9">
                  <c:v>12.5</c:v>
                </c:pt>
              </c:numCache>
            </c:numRef>
          </c:val>
          <c:smooth val="0"/>
        </c:ser>
        <c:ser>
          <c:idx val="2"/>
          <c:order val="2"/>
          <c:tx>
            <c:strRef>
              <c:f>Sheet1!$A$4</c:f>
              <c:strCache>
                <c:ptCount val="1"/>
                <c:pt idx="0">
                  <c:v>10-14</c:v>
                </c:pt>
              </c:strCache>
            </c:strRef>
          </c:tx>
          <c:spPr>
            <a:ln w="13428">
              <a:solidFill>
                <a:srgbClr val="FFFF00"/>
              </a:solidFill>
              <a:prstDash val="solid"/>
            </a:ln>
          </c:spPr>
          <c:marker>
            <c:symbol val="triangle"/>
            <c:size val="4"/>
            <c:spPr>
              <a:solidFill>
                <a:srgbClr val="FFFF00"/>
              </a:solidFill>
              <a:ln>
                <a:solidFill>
                  <a:srgbClr val="FFFF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Sheet1!$B$4:$K$4</c:f>
              <c:numCache>
                <c:formatCode>General</c:formatCode>
                <c:ptCount val="10"/>
                <c:pt idx="0">
                  <c:v>13.4</c:v>
                </c:pt>
                <c:pt idx="1">
                  <c:v>13</c:v>
                </c:pt>
                <c:pt idx="2">
                  <c:v>13.1</c:v>
                </c:pt>
                <c:pt idx="3">
                  <c:v>11.6</c:v>
                </c:pt>
                <c:pt idx="4">
                  <c:v>13.6</c:v>
                </c:pt>
                <c:pt idx="5">
                  <c:v>15.1</c:v>
                </c:pt>
                <c:pt idx="6">
                  <c:v>14.9</c:v>
                </c:pt>
                <c:pt idx="7">
                  <c:v>14.7</c:v>
                </c:pt>
                <c:pt idx="8">
                  <c:v>12.9</c:v>
                </c:pt>
                <c:pt idx="9">
                  <c:v>12</c:v>
                </c:pt>
              </c:numCache>
            </c:numRef>
          </c:val>
          <c:smooth val="0"/>
        </c:ser>
        <c:ser>
          <c:idx val="3"/>
          <c:order val="3"/>
          <c:tx>
            <c:strRef>
              <c:f>Sheet1!$A$5</c:f>
              <c:strCache>
                <c:ptCount val="1"/>
                <c:pt idx="0">
                  <c:v>15-19</c:v>
                </c:pt>
              </c:strCache>
            </c:strRef>
          </c:tx>
          <c:spPr>
            <a:ln w="13428">
              <a:solidFill>
                <a:srgbClr val="00FFFF"/>
              </a:solidFill>
              <a:prstDash val="solid"/>
            </a:ln>
          </c:spPr>
          <c:marker>
            <c:symbol val="x"/>
            <c:size val="4"/>
            <c:spPr>
              <a:noFill/>
              <a:ln>
                <a:solidFill>
                  <a:srgbClr val="00FF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Sheet1!$B$5:$K$5</c:f>
              <c:numCache>
                <c:formatCode>General</c:formatCode>
                <c:ptCount val="10"/>
                <c:pt idx="0">
                  <c:v>22.7</c:v>
                </c:pt>
                <c:pt idx="1">
                  <c:v>20.100000000000001</c:v>
                </c:pt>
                <c:pt idx="2">
                  <c:v>22.8</c:v>
                </c:pt>
                <c:pt idx="3">
                  <c:v>22</c:v>
                </c:pt>
                <c:pt idx="4">
                  <c:v>22.4</c:v>
                </c:pt>
                <c:pt idx="5">
                  <c:v>25.3</c:v>
                </c:pt>
                <c:pt idx="6">
                  <c:v>25.9</c:v>
                </c:pt>
                <c:pt idx="7">
                  <c:v>21.5</c:v>
                </c:pt>
                <c:pt idx="8">
                  <c:v>25.1</c:v>
                </c:pt>
                <c:pt idx="9">
                  <c:v>27</c:v>
                </c:pt>
              </c:numCache>
            </c:numRef>
          </c:val>
          <c:smooth val="0"/>
        </c:ser>
        <c:dLbls>
          <c:showLegendKey val="0"/>
          <c:showVal val="0"/>
          <c:showCatName val="0"/>
          <c:showSerName val="0"/>
          <c:showPercent val="0"/>
          <c:showBubbleSize val="0"/>
        </c:dLbls>
        <c:marker val="1"/>
        <c:smooth val="0"/>
        <c:axId val="102326272"/>
        <c:axId val="102328576"/>
      </c:lineChart>
      <c:catAx>
        <c:axId val="102326272"/>
        <c:scaling>
          <c:orientation val="minMax"/>
        </c:scaling>
        <c:delete val="0"/>
        <c:axPos val="b"/>
        <c:title>
          <c:tx>
            <c:rich>
              <a:bodyPr/>
              <a:lstStyle/>
              <a:p>
                <a:pPr>
                  <a:defRPr sz="846" b="1" i="0" u="none" strike="noStrike" baseline="0">
                    <a:solidFill>
                      <a:srgbClr val="000000"/>
                    </a:solidFill>
                    <a:latin typeface="Arial"/>
                    <a:ea typeface="Arial"/>
                    <a:cs typeface="Arial"/>
                  </a:defRPr>
                </a:pPr>
                <a:r>
                  <a:rPr lang="en-US"/>
                  <a:t>Year of Diagnosis</a:t>
                </a:r>
              </a:p>
            </c:rich>
          </c:tx>
          <c:layout>
            <c:manualLayout>
              <c:xMode val="edge"/>
              <c:yMode val="edge"/>
              <c:x val="0.82244556113902845"/>
              <c:y val="0.8532934131736527"/>
            </c:manualLayout>
          </c:layout>
          <c:overlay val="0"/>
          <c:spPr>
            <a:noFill/>
            <a:ln w="26855">
              <a:noFill/>
            </a:ln>
          </c:spPr>
        </c:title>
        <c:numFmt formatCode="General" sourceLinked="1"/>
        <c:majorTickMark val="out"/>
        <c:minorTickMark val="none"/>
        <c:tickLblPos val="nextTo"/>
        <c:spPr>
          <a:ln w="3357">
            <a:solidFill>
              <a:srgbClr val="000000"/>
            </a:solidFill>
            <a:prstDash val="solid"/>
          </a:ln>
        </c:spPr>
        <c:txPr>
          <a:bodyPr rot="0" vert="horz"/>
          <a:lstStyle/>
          <a:p>
            <a:pPr>
              <a:defRPr sz="952" b="1" i="0" u="none" strike="noStrike" baseline="0">
                <a:solidFill>
                  <a:srgbClr val="000000"/>
                </a:solidFill>
                <a:latin typeface="Arial"/>
                <a:ea typeface="Arial"/>
                <a:cs typeface="Arial"/>
              </a:defRPr>
            </a:pPr>
            <a:endParaRPr lang="en-US"/>
          </a:p>
        </c:txPr>
        <c:crossAx val="102328576"/>
        <c:crosses val="autoZero"/>
        <c:auto val="1"/>
        <c:lblAlgn val="ctr"/>
        <c:lblOffset val="100"/>
        <c:tickLblSkip val="1"/>
        <c:tickMarkSkip val="1"/>
        <c:noMultiLvlLbl val="0"/>
      </c:catAx>
      <c:valAx>
        <c:axId val="102328576"/>
        <c:scaling>
          <c:orientation val="minMax"/>
        </c:scaling>
        <c:delete val="0"/>
        <c:axPos val="l"/>
        <c:majorGridlines>
          <c:spPr>
            <a:ln w="3357">
              <a:solidFill>
                <a:srgbClr val="000000"/>
              </a:solidFill>
              <a:prstDash val="solid"/>
            </a:ln>
          </c:spPr>
        </c:majorGridlines>
        <c:title>
          <c:tx>
            <c:rich>
              <a:bodyPr rot="0" vert="horz"/>
              <a:lstStyle/>
              <a:p>
                <a:pPr algn="ctr">
                  <a:defRPr sz="846" b="1" i="0" u="none" strike="noStrike" baseline="0">
                    <a:solidFill>
                      <a:srgbClr val="000000"/>
                    </a:solidFill>
                    <a:latin typeface="Arial"/>
                    <a:ea typeface="Arial"/>
                    <a:cs typeface="Arial"/>
                  </a:defRPr>
                </a:pPr>
                <a:r>
                  <a:rPr lang="en-US"/>
                  <a:t>Rate 
per 
100,000</a:t>
                </a:r>
              </a:p>
            </c:rich>
          </c:tx>
          <c:layout>
            <c:manualLayout>
              <c:xMode val="edge"/>
              <c:yMode val="edge"/>
              <c:x val="5.0251256281407036E-3"/>
              <c:y val="0.1497005988023952"/>
            </c:manualLayout>
          </c:layout>
          <c:overlay val="0"/>
          <c:spPr>
            <a:noFill/>
            <a:ln w="26855">
              <a:noFill/>
            </a:ln>
          </c:spPr>
        </c:title>
        <c:numFmt formatCode="General" sourceLinked="1"/>
        <c:majorTickMark val="out"/>
        <c:minorTickMark val="none"/>
        <c:tickLblPos val="nextTo"/>
        <c:spPr>
          <a:ln w="3357">
            <a:solidFill>
              <a:srgbClr val="000000"/>
            </a:solidFill>
            <a:prstDash val="solid"/>
          </a:ln>
        </c:spPr>
        <c:txPr>
          <a:bodyPr rot="0" vert="horz"/>
          <a:lstStyle/>
          <a:p>
            <a:pPr>
              <a:defRPr sz="952" b="1" i="0" u="none" strike="noStrike" baseline="0">
                <a:solidFill>
                  <a:srgbClr val="000000"/>
                </a:solidFill>
                <a:latin typeface="Arial"/>
                <a:ea typeface="Arial"/>
                <a:cs typeface="Arial"/>
              </a:defRPr>
            </a:pPr>
            <a:endParaRPr lang="en-US"/>
          </a:p>
        </c:txPr>
        <c:crossAx val="102326272"/>
        <c:crosses val="autoZero"/>
        <c:crossBetween val="between"/>
      </c:valAx>
      <c:spPr>
        <a:solidFill>
          <a:srgbClr val="C0C0C0"/>
        </a:solidFill>
        <a:ln w="13428">
          <a:solidFill>
            <a:srgbClr val="808080"/>
          </a:solidFill>
          <a:prstDash val="solid"/>
        </a:ln>
      </c:spPr>
    </c:plotArea>
    <c:legend>
      <c:legendPos val="r"/>
      <c:layout>
        <c:manualLayout>
          <c:xMode val="edge"/>
          <c:yMode val="edge"/>
          <c:x val="0.32980599647266312"/>
          <c:y val="0.87311178247734134"/>
          <c:w val="0.43915343915343913"/>
          <c:h val="7.2507552870090641E-2"/>
        </c:manualLayout>
      </c:layout>
      <c:overlay val="0"/>
      <c:spPr>
        <a:noFill/>
        <a:ln w="3357">
          <a:solidFill>
            <a:srgbClr val="000000"/>
          </a:solidFill>
          <a:prstDash val="solid"/>
        </a:ln>
      </c:spPr>
      <c:txPr>
        <a:bodyPr/>
        <a:lstStyle/>
        <a:p>
          <a:pPr>
            <a:defRPr sz="872" b="1" i="0" u="none" strike="noStrike" baseline="0">
              <a:solidFill>
                <a:srgbClr val="000000"/>
              </a:solidFill>
              <a:latin typeface="Arial"/>
              <a:ea typeface="Arial"/>
              <a:cs typeface="Arial"/>
            </a:defRPr>
          </a:pPr>
          <a:endParaRPr lang="en-US"/>
        </a:p>
      </c:txPr>
    </c:legend>
    <c:plotVisOnly val="1"/>
    <c:dispBlanksAs val="gap"/>
    <c:showDLblsOverMax val="0"/>
  </c:chart>
  <c:spPr>
    <a:noFill/>
    <a:ln w="6714" cap="flat" cmpd="sng" algn="ctr">
      <a:solidFill>
        <a:srgbClr val="000000"/>
      </a:solidFill>
      <a:prstDash val="solid"/>
      <a:miter lim="800000"/>
      <a:headEnd type="none" w="med" len="med"/>
      <a:tailEnd type="none" w="med" len="med"/>
    </a:ln>
  </c:spPr>
  <c:txPr>
    <a:bodyPr/>
    <a:lstStyle/>
    <a:p>
      <a:pPr>
        <a:defRPr sz="1560" b="1" i="0" u="none" strike="noStrike" baseline="0">
          <a:solidFill>
            <a:srgbClr val="000000"/>
          </a:solidFill>
          <a:latin typeface="Arial"/>
          <a:ea typeface="Arial"/>
          <a:cs typeface="Aria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50" b="1" i="0" u="none" strike="noStrike" baseline="0">
                <a:solidFill>
                  <a:srgbClr val="000000"/>
                </a:solidFill>
                <a:latin typeface="Arial"/>
                <a:ea typeface="Arial"/>
                <a:cs typeface="Arial"/>
              </a:defRPr>
            </a:pPr>
            <a:r>
              <a:rPr lang="en-US"/>
              <a:t>Figure 7: Age-Adjusted Incidence Rate for All Cancers* Among Children and Adolescents in MA by Race/Ethnicity, 2000-2009</a:t>
            </a:r>
          </a:p>
        </c:rich>
      </c:tx>
      <c:layout>
        <c:manualLayout>
          <c:xMode val="edge"/>
          <c:yMode val="edge"/>
          <c:x val="0.13245030014812503"/>
          <c:y val="0"/>
        </c:manualLayout>
      </c:layout>
      <c:overlay val="0"/>
      <c:spPr>
        <a:noFill/>
        <a:ln w="25397">
          <a:noFill/>
        </a:ln>
      </c:spPr>
    </c:title>
    <c:autoTitleDeleted val="0"/>
    <c:plotArea>
      <c:layout>
        <c:manualLayout>
          <c:layoutTarget val="inner"/>
          <c:xMode val="edge"/>
          <c:yMode val="edge"/>
          <c:x val="0.12086092715231789"/>
          <c:y val="0.16320474777448071"/>
          <c:w val="0.8642384105960268"/>
          <c:h val="0.57863501483679558"/>
        </c:manualLayout>
      </c:layout>
      <c:lineChart>
        <c:grouping val="standard"/>
        <c:varyColors val="0"/>
        <c:ser>
          <c:idx val="0"/>
          <c:order val="0"/>
          <c:tx>
            <c:strRef>
              <c:f>Sheet1!$A$2</c:f>
              <c:strCache>
                <c:ptCount val="1"/>
                <c:pt idx="0">
                  <c:v>White, NH</c:v>
                </c:pt>
              </c:strCache>
            </c:strRef>
          </c:tx>
          <c:spPr>
            <a:ln w="12698">
              <a:solidFill>
                <a:srgbClr val="000000"/>
              </a:solidFill>
              <a:prstDash val="solid"/>
            </a:ln>
          </c:spPr>
          <c:marker>
            <c:symbol val="diamond"/>
            <c:size val="4"/>
            <c:spPr>
              <a:solidFill>
                <a:srgbClr val="000000"/>
              </a:solidFill>
              <a:ln>
                <a:solidFill>
                  <a:srgbClr val="00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18.5</c:v>
                </c:pt>
                <c:pt idx="1">
                  <c:v>17.600000000000001</c:v>
                </c:pt>
                <c:pt idx="2">
                  <c:v>18</c:v>
                </c:pt>
                <c:pt idx="3">
                  <c:v>19.7</c:v>
                </c:pt>
                <c:pt idx="4">
                  <c:v>19.2</c:v>
                </c:pt>
                <c:pt idx="5">
                  <c:v>19.100000000000001</c:v>
                </c:pt>
                <c:pt idx="6">
                  <c:v>22.9</c:v>
                </c:pt>
                <c:pt idx="7">
                  <c:v>18.7</c:v>
                </c:pt>
                <c:pt idx="8">
                  <c:v>19.7</c:v>
                </c:pt>
                <c:pt idx="9">
                  <c:v>19.899999999999999</c:v>
                </c:pt>
              </c:numCache>
            </c:numRef>
          </c:val>
          <c:smooth val="0"/>
        </c:ser>
        <c:ser>
          <c:idx val="1"/>
          <c:order val="1"/>
          <c:tx>
            <c:strRef>
              <c:f>Sheet1!$A$3</c:f>
              <c:strCache>
                <c:ptCount val="1"/>
                <c:pt idx="0">
                  <c:v>Black, NH</c:v>
                </c:pt>
              </c:strCache>
            </c:strRef>
          </c:tx>
          <c:spPr>
            <a:ln w="12698">
              <a:solidFill>
                <a:srgbClr val="0000FF"/>
              </a:solidFill>
              <a:prstDash val="solid"/>
            </a:ln>
          </c:spPr>
          <c:marker>
            <c:symbol val="x"/>
            <c:size val="2"/>
            <c:spPr>
              <a:solidFill>
                <a:srgbClr val="0000FF"/>
              </a:solidFill>
              <a:ln>
                <a:solidFill>
                  <a:srgbClr val="0000FF"/>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16.600000000000001</c:v>
                </c:pt>
                <c:pt idx="1">
                  <c:v>14.2</c:v>
                </c:pt>
                <c:pt idx="2">
                  <c:v>12.5</c:v>
                </c:pt>
                <c:pt idx="3">
                  <c:v>10.9</c:v>
                </c:pt>
                <c:pt idx="4">
                  <c:v>10.5</c:v>
                </c:pt>
                <c:pt idx="5">
                  <c:v>10.8</c:v>
                </c:pt>
                <c:pt idx="6">
                  <c:v>14.2</c:v>
                </c:pt>
                <c:pt idx="7">
                  <c:v>12.5</c:v>
                </c:pt>
                <c:pt idx="8">
                  <c:v>13.3</c:v>
                </c:pt>
                <c:pt idx="9">
                  <c:v>16.600000000000001</c:v>
                </c:pt>
              </c:numCache>
            </c:numRef>
          </c:val>
          <c:smooth val="0"/>
        </c:ser>
        <c:ser>
          <c:idx val="2"/>
          <c:order val="2"/>
          <c:tx>
            <c:strRef>
              <c:f>Sheet1!$A$4</c:f>
              <c:strCache>
                <c:ptCount val="1"/>
                <c:pt idx="0">
                  <c:v>Asian, NH</c:v>
                </c:pt>
              </c:strCache>
            </c:strRef>
          </c:tx>
          <c:spPr>
            <a:ln w="12698">
              <a:solidFill>
                <a:srgbClr val="FFFF00"/>
              </a:solidFill>
              <a:prstDash val="solid"/>
            </a:ln>
          </c:spPr>
          <c:marker>
            <c:symbol val="triangle"/>
            <c:size val="4"/>
            <c:spPr>
              <a:solidFill>
                <a:srgbClr val="FFFF00"/>
              </a:solidFill>
              <a:ln>
                <a:solidFill>
                  <a:srgbClr val="FFFF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Sheet1!$B$4:$K$4</c:f>
              <c:numCache>
                <c:formatCode>General</c:formatCode>
                <c:ptCount val="10"/>
                <c:pt idx="0">
                  <c:v>11.5</c:v>
                </c:pt>
                <c:pt idx="1">
                  <c:v>8.9</c:v>
                </c:pt>
                <c:pt idx="2">
                  <c:v>9.1</c:v>
                </c:pt>
                <c:pt idx="3">
                  <c:v>5.9</c:v>
                </c:pt>
                <c:pt idx="4">
                  <c:v>6.3</c:v>
                </c:pt>
                <c:pt idx="5">
                  <c:v>20.2</c:v>
                </c:pt>
                <c:pt idx="6">
                  <c:v>14.4</c:v>
                </c:pt>
                <c:pt idx="7">
                  <c:v>13.7</c:v>
                </c:pt>
                <c:pt idx="8">
                  <c:v>8.1999999999999993</c:v>
                </c:pt>
                <c:pt idx="9">
                  <c:v>23.4</c:v>
                </c:pt>
              </c:numCache>
            </c:numRef>
          </c:val>
          <c:smooth val="0"/>
        </c:ser>
        <c:ser>
          <c:idx val="3"/>
          <c:order val="3"/>
          <c:tx>
            <c:strRef>
              <c:f>Sheet1!$A$5</c:f>
              <c:strCache>
                <c:ptCount val="1"/>
                <c:pt idx="0">
                  <c:v>Hispanic</c:v>
                </c:pt>
              </c:strCache>
            </c:strRef>
          </c:tx>
          <c:spPr>
            <a:ln w="12698">
              <a:solidFill>
                <a:srgbClr val="FF0000"/>
              </a:solidFill>
              <a:prstDash val="solid"/>
            </a:ln>
          </c:spPr>
          <c:marker>
            <c:symbol val="x"/>
            <c:size val="2"/>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Sheet1!$B$5:$K$5</c:f>
              <c:numCache>
                <c:formatCode>General</c:formatCode>
                <c:ptCount val="10"/>
                <c:pt idx="0">
                  <c:v>9.8000000000000007</c:v>
                </c:pt>
                <c:pt idx="1">
                  <c:v>11.2</c:v>
                </c:pt>
                <c:pt idx="2">
                  <c:v>11.8</c:v>
                </c:pt>
                <c:pt idx="3">
                  <c:v>15.2</c:v>
                </c:pt>
                <c:pt idx="4">
                  <c:v>17.100000000000001</c:v>
                </c:pt>
                <c:pt idx="5">
                  <c:v>10.3</c:v>
                </c:pt>
                <c:pt idx="6">
                  <c:v>17.100000000000001</c:v>
                </c:pt>
                <c:pt idx="7">
                  <c:v>13.9</c:v>
                </c:pt>
                <c:pt idx="8">
                  <c:v>16.899999999999999</c:v>
                </c:pt>
                <c:pt idx="9">
                  <c:v>15.1</c:v>
                </c:pt>
              </c:numCache>
            </c:numRef>
          </c:val>
          <c:smooth val="0"/>
        </c:ser>
        <c:dLbls>
          <c:showLegendKey val="0"/>
          <c:showVal val="0"/>
          <c:showCatName val="0"/>
          <c:showSerName val="0"/>
          <c:showPercent val="0"/>
          <c:showBubbleSize val="0"/>
        </c:dLbls>
        <c:marker val="1"/>
        <c:smooth val="0"/>
        <c:axId val="102642816"/>
        <c:axId val="102645120"/>
      </c:lineChart>
      <c:catAx>
        <c:axId val="102642816"/>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 of Diagnosis</a:t>
                </a:r>
              </a:p>
            </c:rich>
          </c:tx>
          <c:layout>
            <c:manualLayout>
              <c:xMode val="edge"/>
              <c:yMode val="edge"/>
              <c:x val="0.82781459248287026"/>
              <c:y val="0.82789317507418403"/>
            </c:manualLayout>
          </c:layout>
          <c:overlay val="0"/>
          <c:spPr>
            <a:noFill/>
            <a:ln w="25397">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2645120"/>
        <c:crosses val="autoZero"/>
        <c:auto val="1"/>
        <c:lblAlgn val="ctr"/>
        <c:lblOffset val="100"/>
        <c:tickLblSkip val="1"/>
        <c:tickMarkSkip val="1"/>
        <c:noMultiLvlLbl val="0"/>
      </c:catAx>
      <c:valAx>
        <c:axId val="102645120"/>
        <c:scaling>
          <c:orientation val="minMax"/>
        </c:scaling>
        <c:delete val="0"/>
        <c:axPos val="l"/>
        <c:majorGridlines>
          <c:spPr>
            <a:ln w="3175">
              <a:solidFill>
                <a:srgbClr val="000000"/>
              </a:solidFill>
              <a:prstDash val="solid"/>
            </a:ln>
          </c:spPr>
        </c:majorGridlines>
        <c:title>
          <c:tx>
            <c:rich>
              <a:bodyPr rot="0" vert="horz"/>
              <a:lstStyle/>
              <a:p>
                <a:pPr algn="ctr">
                  <a:defRPr sz="800" b="1" i="0" u="none" strike="noStrike" baseline="0">
                    <a:solidFill>
                      <a:srgbClr val="000000"/>
                    </a:solidFill>
                    <a:latin typeface="Arial"/>
                    <a:ea typeface="Arial"/>
                    <a:cs typeface="Arial"/>
                  </a:defRPr>
                </a:pPr>
                <a:r>
                  <a:rPr lang="en-US"/>
                  <a:t>Rate 
per 
100,000</a:t>
                </a:r>
              </a:p>
            </c:rich>
          </c:tx>
          <c:layout>
            <c:manualLayout>
              <c:xMode val="edge"/>
              <c:yMode val="edge"/>
              <c:x val="3.3112445102777997E-3"/>
              <c:y val="0.1513353115727003"/>
            </c:manualLayout>
          </c:layout>
          <c:overlay val="0"/>
          <c:spPr>
            <a:noFill/>
            <a:ln w="25397">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102642816"/>
        <c:crosses val="autoZero"/>
        <c:crossBetween val="between"/>
      </c:valAx>
      <c:spPr>
        <a:solidFill>
          <a:srgbClr val="C0C0C0"/>
        </a:solidFill>
        <a:ln w="12698">
          <a:solidFill>
            <a:srgbClr val="808080"/>
          </a:solidFill>
          <a:prstDash val="solid"/>
        </a:ln>
      </c:spPr>
    </c:plotArea>
    <c:legend>
      <c:legendPos val="r"/>
      <c:layout>
        <c:manualLayout>
          <c:xMode val="edge"/>
          <c:yMode val="edge"/>
          <c:x val="0.2317881551934721"/>
          <c:y val="0.86646884272997038"/>
          <c:w val="0.56622523669689806"/>
          <c:h val="6.5281899109792318E-2"/>
        </c:manualLayout>
      </c:layout>
      <c:overlay val="0"/>
      <c:spPr>
        <a:noFill/>
        <a:ln w="3175">
          <a:solidFill>
            <a:srgbClr val="000000"/>
          </a:solidFill>
          <a:prstDash val="solid"/>
        </a:ln>
      </c:spPr>
      <c:txPr>
        <a:bodyPr/>
        <a:lstStyle/>
        <a:p>
          <a:pPr>
            <a:defRPr sz="780" b="1" i="0" u="none" strike="noStrike" baseline="0">
              <a:solidFill>
                <a:srgbClr val="000000"/>
              </a:solidFill>
              <a:latin typeface="Arial"/>
              <a:ea typeface="Arial"/>
              <a:cs typeface="Arial"/>
            </a:defRPr>
          </a:pPr>
          <a:endParaRPr lang="en-US"/>
        </a:p>
      </c:txPr>
    </c:legend>
    <c:plotVisOnly val="1"/>
    <c:dispBlanksAs val="gap"/>
    <c:showDLblsOverMax val="0"/>
  </c:chart>
  <c:spPr>
    <a:noFill/>
    <a:ln w="6349" cap="flat" cmpd="sng" algn="ctr">
      <a:solidFill>
        <a:srgbClr val="000000"/>
      </a:solidFill>
      <a:prstDash val="solid"/>
      <a:miter lim="800000"/>
      <a:headEnd type="none" w="med" len="med"/>
      <a:tailEnd type="none" w="med" len="med"/>
    </a:ln>
  </c:spPr>
  <c:txPr>
    <a:bodyPr/>
    <a:lstStyle/>
    <a:p>
      <a:pPr>
        <a:defRPr sz="1475" b="1" i="0" u="none" strike="noStrike" baseline="0">
          <a:solidFill>
            <a:srgbClr val="000000"/>
          </a:solidFill>
          <a:latin typeface="Arial"/>
          <a:ea typeface="Arial"/>
          <a:cs typeface="Aria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0" b="1" i="0" u="none" strike="noStrike" baseline="0">
                <a:solidFill>
                  <a:srgbClr val="000000"/>
                </a:solidFill>
                <a:latin typeface="Arial"/>
                <a:ea typeface="Arial"/>
                <a:cs typeface="Arial"/>
              </a:defRPr>
            </a:pPr>
            <a:r>
              <a:rPr lang="en-US"/>
              <a:t>Figure 8: Age-Adjusted Incidence Rate for All Cancers* Among White, non-Hispanic Children and Adolescents, MA and US SEER, 2000-2009</a:t>
            </a:r>
          </a:p>
        </c:rich>
      </c:tx>
      <c:layout>
        <c:manualLayout>
          <c:xMode val="edge"/>
          <c:yMode val="edge"/>
          <c:x val="0.1188118179306534"/>
          <c:y val="3.0581039755351682E-3"/>
        </c:manualLayout>
      </c:layout>
      <c:overlay val="0"/>
      <c:spPr>
        <a:noFill/>
        <a:ln w="25151">
          <a:noFill/>
        </a:ln>
      </c:spPr>
    </c:title>
    <c:autoTitleDeleted val="0"/>
    <c:plotArea>
      <c:layout>
        <c:manualLayout>
          <c:layoutTarget val="inner"/>
          <c:xMode val="edge"/>
          <c:yMode val="edge"/>
          <c:x val="0.11386138613861389"/>
          <c:y val="0.16513761467889904"/>
          <c:w val="0.87128712871287128"/>
          <c:h val="0.5871559633027521"/>
        </c:manualLayout>
      </c:layout>
      <c:lineChart>
        <c:grouping val="standard"/>
        <c:varyColors val="0"/>
        <c:ser>
          <c:idx val="0"/>
          <c:order val="0"/>
          <c:tx>
            <c:strRef>
              <c:f>Sheet1!$A$2</c:f>
              <c:strCache>
                <c:ptCount val="1"/>
                <c:pt idx="0">
                  <c:v>MA</c:v>
                </c:pt>
              </c:strCache>
            </c:strRef>
          </c:tx>
          <c:spPr>
            <a:ln w="12575">
              <a:solidFill>
                <a:srgbClr val="0000FF"/>
              </a:solidFill>
              <a:prstDash val="solid"/>
            </a:ln>
          </c:spPr>
          <c:marker>
            <c:symbol val="star"/>
            <c:size val="2"/>
            <c:spPr>
              <a:solidFill>
                <a:srgbClr val="000080"/>
              </a:solidFill>
              <a:ln>
                <a:solidFill>
                  <a:srgbClr val="00008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Sheet1!$B$2:$K$2</c:f>
              <c:numCache>
                <c:formatCode>General</c:formatCode>
                <c:ptCount val="10"/>
                <c:pt idx="0">
                  <c:v>18.5</c:v>
                </c:pt>
                <c:pt idx="1">
                  <c:v>17.600000000000001</c:v>
                </c:pt>
                <c:pt idx="2">
                  <c:v>18</c:v>
                </c:pt>
                <c:pt idx="3">
                  <c:v>19.7</c:v>
                </c:pt>
                <c:pt idx="4">
                  <c:v>19.2</c:v>
                </c:pt>
                <c:pt idx="5">
                  <c:v>19.100000000000001</c:v>
                </c:pt>
                <c:pt idx="6">
                  <c:v>22.9</c:v>
                </c:pt>
                <c:pt idx="7">
                  <c:v>18.7</c:v>
                </c:pt>
                <c:pt idx="8">
                  <c:v>19.7</c:v>
                </c:pt>
                <c:pt idx="9">
                  <c:v>19.899999999999999</c:v>
                </c:pt>
              </c:numCache>
            </c:numRef>
          </c:val>
          <c:smooth val="0"/>
        </c:ser>
        <c:ser>
          <c:idx val="1"/>
          <c:order val="1"/>
          <c:tx>
            <c:strRef>
              <c:f>Sheet1!$A$3</c:f>
              <c:strCache>
                <c:ptCount val="1"/>
                <c:pt idx="0">
                  <c:v>SEER</c:v>
                </c:pt>
              </c:strCache>
            </c:strRef>
          </c:tx>
          <c:spPr>
            <a:ln w="12575">
              <a:solidFill>
                <a:srgbClr val="FF0000"/>
              </a:solidFill>
              <a:prstDash val="solid"/>
            </a:ln>
          </c:spPr>
          <c:marker>
            <c:symbol val="circle"/>
            <c:size val="4"/>
            <c:spPr>
              <a:solidFill>
                <a:srgbClr val="FF0000"/>
              </a:solidFill>
              <a:ln>
                <a:solidFill>
                  <a:srgbClr val="FF0000"/>
                </a:solidFill>
                <a:prstDash val="solid"/>
              </a:ln>
            </c:spPr>
          </c:marker>
          <c:cat>
            <c:numRef>
              <c:f>Sheet1!$B$1:$K$1</c:f>
              <c:numCache>
                <c:formatCode>General</c:formatCode>
                <c:ptCount val="10"/>
                <c:pt idx="0">
                  <c:v>2000</c:v>
                </c:pt>
                <c:pt idx="1">
                  <c:v>2001</c:v>
                </c:pt>
                <c:pt idx="2">
                  <c:v>2002</c:v>
                </c:pt>
                <c:pt idx="3">
                  <c:v>2003</c:v>
                </c:pt>
                <c:pt idx="4">
                  <c:v>2004</c:v>
                </c:pt>
                <c:pt idx="5">
                  <c:v>2005</c:v>
                </c:pt>
                <c:pt idx="6">
                  <c:v>2006</c:v>
                </c:pt>
                <c:pt idx="7">
                  <c:v>2007</c:v>
                </c:pt>
                <c:pt idx="8">
                  <c:v>2008</c:v>
                </c:pt>
                <c:pt idx="9">
                  <c:v>2009</c:v>
                </c:pt>
              </c:numCache>
            </c:numRef>
          </c:cat>
          <c:val>
            <c:numRef>
              <c:f>Sheet1!$B$3:$K$3</c:f>
              <c:numCache>
                <c:formatCode>General</c:formatCode>
                <c:ptCount val="10"/>
                <c:pt idx="0">
                  <c:v>16.8</c:v>
                </c:pt>
                <c:pt idx="1">
                  <c:v>17.8</c:v>
                </c:pt>
                <c:pt idx="2">
                  <c:v>17.600000000000001</c:v>
                </c:pt>
                <c:pt idx="3">
                  <c:v>16.3</c:v>
                </c:pt>
                <c:pt idx="4">
                  <c:v>17</c:v>
                </c:pt>
                <c:pt idx="5">
                  <c:v>17.7</c:v>
                </c:pt>
                <c:pt idx="6">
                  <c:v>16.3</c:v>
                </c:pt>
                <c:pt idx="7">
                  <c:v>17.7</c:v>
                </c:pt>
                <c:pt idx="8">
                  <c:v>17.2</c:v>
                </c:pt>
                <c:pt idx="9">
                  <c:v>17.600000000000001</c:v>
                </c:pt>
              </c:numCache>
            </c:numRef>
          </c:val>
          <c:smooth val="0"/>
        </c:ser>
        <c:dLbls>
          <c:showLegendKey val="0"/>
          <c:showVal val="0"/>
          <c:showCatName val="0"/>
          <c:showSerName val="0"/>
          <c:showPercent val="0"/>
          <c:showBubbleSize val="0"/>
        </c:dLbls>
        <c:marker val="1"/>
        <c:smooth val="0"/>
        <c:axId val="102728448"/>
        <c:axId val="102730752"/>
      </c:lineChart>
      <c:catAx>
        <c:axId val="102728448"/>
        <c:scaling>
          <c:orientation val="minMax"/>
        </c:scaling>
        <c:delete val="0"/>
        <c:axPos val="b"/>
        <c:title>
          <c:tx>
            <c:rich>
              <a:bodyPr/>
              <a:lstStyle/>
              <a:p>
                <a:pPr>
                  <a:defRPr sz="792" b="1" i="0" u="none" strike="noStrike" baseline="0">
                    <a:solidFill>
                      <a:srgbClr val="000000"/>
                    </a:solidFill>
                    <a:latin typeface="Arial"/>
                    <a:ea typeface="Arial"/>
                    <a:cs typeface="Arial"/>
                  </a:defRPr>
                </a:pPr>
                <a:r>
                  <a:rPr lang="en-US"/>
                  <a:t>Year of Diagnosis</a:t>
                </a:r>
              </a:p>
            </c:rich>
          </c:tx>
          <c:layout>
            <c:manualLayout>
              <c:xMode val="edge"/>
              <c:yMode val="edge"/>
              <c:x val="0.82838289128332643"/>
              <c:y val="0.84403669724770647"/>
            </c:manualLayout>
          </c:layout>
          <c:overlay val="0"/>
          <c:spPr>
            <a:noFill/>
            <a:ln w="25151">
              <a:noFill/>
            </a:ln>
          </c:spPr>
        </c:title>
        <c:numFmt formatCode="General" sourceLinked="1"/>
        <c:majorTickMark val="out"/>
        <c:minorTickMark val="none"/>
        <c:tickLblPos val="nextTo"/>
        <c:spPr>
          <a:ln w="3144">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2730752"/>
        <c:crosses val="autoZero"/>
        <c:auto val="1"/>
        <c:lblAlgn val="ctr"/>
        <c:lblOffset val="100"/>
        <c:tickLblSkip val="1"/>
        <c:tickMarkSkip val="1"/>
        <c:noMultiLvlLbl val="0"/>
      </c:catAx>
      <c:valAx>
        <c:axId val="102730752"/>
        <c:scaling>
          <c:orientation val="minMax"/>
        </c:scaling>
        <c:delete val="0"/>
        <c:axPos val="l"/>
        <c:majorGridlines>
          <c:spPr>
            <a:ln w="3144">
              <a:solidFill>
                <a:srgbClr val="000000"/>
              </a:solidFill>
              <a:prstDash val="solid"/>
            </a:ln>
          </c:spPr>
        </c:majorGridlines>
        <c:title>
          <c:tx>
            <c:rich>
              <a:bodyPr rot="0" vert="horz"/>
              <a:lstStyle/>
              <a:p>
                <a:pPr algn="ctr">
                  <a:defRPr sz="792" b="1" i="0" u="none" strike="noStrike" baseline="0">
                    <a:solidFill>
                      <a:srgbClr val="000000"/>
                    </a:solidFill>
                    <a:latin typeface="Arial"/>
                    <a:ea typeface="Arial"/>
                    <a:cs typeface="Arial"/>
                  </a:defRPr>
                </a:pPr>
                <a:r>
                  <a:rPr lang="en-US"/>
                  <a:t>Rate 
per 
100,000</a:t>
                </a:r>
              </a:p>
            </c:rich>
          </c:tx>
          <c:layout>
            <c:manualLayout>
              <c:xMode val="edge"/>
              <c:yMode val="edge"/>
              <c:x val="1.6500897914076529E-3"/>
              <c:y val="0.15596330275229359"/>
            </c:manualLayout>
          </c:layout>
          <c:overlay val="0"/>
          <c:spPr>
            <a:noFill/>
            <a:ln w="25151">
              <a:noFill/>
            </a:ln>
          </c:spPr>
        </c:title>
        <c:numFmt formatCode="General" sourceLinked="1"/>
        <c:majorTickMark val="out"/>
        <c:minorTickMark val="none"/>
        <c:tickLblPos val="nextTo"/>
        <c:spPr>
          <a:ln w="3144">
            <a:solidFill>
              <a:srgbClr val="000000"/>
            </a:solidFill>
            <a:prstDash val="solid"/>
          </a:ln>
        </c:spPr>
        <c:txPr>
          <a:bodyPr rot="0" vert="horz"/>
          <a:lstStyle/>
          <a:p>
            <a:pPr>
              <a:defRPr sz="891" b="1" i="0" u="none" strike="noStrike" baseline="0">
                <a:solidFill>
                  <a:srgbClr val="000000"/>
                </a:solidFill>
                <a:latin typeface="Arial"/>
                <a:ea typeface="Arial"/>
                <a:cs typeface="Arial"/>
              </a:defRPr>
            </a:pPr>
            <a:endParaRPr lang="en-US"/>
          </a:p>
        </c:txPr>
        <c:crossAx val="102728448"/>
        <c:crosses val="autoZero"/>
        <c:crossBetween val="between"/>
      </c:valAx>
      <c:spPr>
        <a:solidFill>
          <a:srgbClr val="C0C0C0"/>
        </a:solidFill>
        <a:ln w="12575">
          <a:solidFill>
            <a:srgbClr val="808080"/>
          </a:solidFill>
          <a:prstDash val="solid"/>
        </a:ln>
      </c:spPr>
    </c:plotArea>
    <c:legend>
      <c:legendPos val="r"/>
      <c:layout>
        <c:manualLayout>
          <c:xMode val="edge"/>
          <c:yMode val="edge"/>
          <c:x val="0.43894391490537371"/>
          <c:y val="0.8776758409785933"/>
          <c:w val="0.20627054841828979"/>
          <c:h val="7.0336391437308854E-2"/>
        </c:manualLayout>
      </c:layout>
      <c:overlay val="0"/>
      <c:spPr>
        <a:noFill/>
        <a:ln w="3144">
          <a:solidFill>
            <a:srgbClr val="000000"/>
          </a:solidFill>
          <a:prstDash val="solid"/>
        </a:ln>
      </c:spPr>
      <c:txPr>
        <a:bodyPr/>
        <a:lstStyle/>
        <a:p>
          <a:pPr>
            <a:defRPr sz="817" b="1" i="0" u="none" strike="noStrike" baseline="0">
              <a:solidFill>
                <a:srgbClr val="000000"/>
              </a:solidFill>
              <a:latin typeface="Arial"/>
              <a:ea typeface="Arial"/>
              <a:cs typeface="Arial"/>
            </a:defRPr>
          </a:pPr>
          <a:endParaRPr lang="en-US"/>
        </a:p>
      </c:txPr>
    </c:legend>
    <c:plotVisOnly val="1"/>
    <c:dispBlanksAs val="gap"/>
    <c:showDLblsOverMax val="0"/>
  </c:chart>
  <c:spPr>
    <a:noFill/>
    <a:ln w="6288" cap="flat" cmpd="sng" algn="ctr">
      <a:solidFill>
        <a:srgbClr val="000000"/>
      </a:solidFill>
      <a:prstDash val="solid"/>
      <a:miter lim="800000"/>
      <a:headEnd type="none" w="med" len="med"/>
      <a:tailEnd type="none" w="med" len="med"/>
    </a:ln>
  </c:spPr>
  <c:txPr>
    <a:bodyPr/>
    <a:lstStyle/>
    <a:p>
      <a:pPr>
        <a:defRPr sz="1411" b="1" i="0" u="none" strike="noStrike" baseline="0">
          <a:solidFill>
            <a:srgbClr val="000000"/>
          </a:solidFill>
          <a:latin typeface="Arial"/>
          <a:ea typeface="Arial"/>
          <a:cs typeface="Aria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0.07129</cdr:x>
      <cdr:y>0.91597</cdr:y>
    </cdr:from>
    <cdr:to>
      <cdr:x>0.33936</cdr:x>
      <cdr:y>0.98039</cdr:y>
    </cdr:to>
    <cdr:sp macro="" textlink="">
      <cdr:nvSpPr>
        <cdr:cNvPr id="2" name="Text Box 2"/>
        <cdr:cNvSpPr txBox="1">
          <a:spLocks xmlns:a="http://schemas.openxmlformats.org/drawingml/2006/main" noChangeArrowheads="1"/>
        </cdr:cNvSpPr>
      </cdr:nvSpPr>
      <cdr:spPr bwMode="auto">
        <a:xfrm xmlns:a="http://schemas.openxmlformats.org/drawingml/2006/main">
          <a:off x="450850" y="3114675"/>
          <a:ext cx="1695450" cy="21907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sz="1000"/>
            <a:t>Year of</a:t>
          </a:r>
          <a:r>
            <a:rPr lang="en-US" sz="1000" baseline="0"/>
            <a:t> Death</a:t>
          </a:r>
          <a:endParaRPr lang="en-US" sz="1000"/>
        </a:p>
      </cdr:txBody>
    </cdr:sp>
  </cdr:relSizeAnchor>
  <cdr:relSizeAnchor xmlns:cdr="http://schemas.openxmlformats.org/drawingml/2006/chartDrawing">
    <cdr:from>
      <cdr:x>0.76205</cdr:x>
      <cdr:y>0.38319</cdr:y>
    </cdr:from>
    <cdr:to>
      <cdr:x>0.77108</cdr:x>
      <cdr:y>0.45658</cdr:y>
    </cdr:to>
    <cdr:cxnSp macro="">
      <cdr:nvCxnSpPr>
        <cdr:cNvPr id="4" name="Straight Arrow Connector 3"/>
        <cdr:cNvCxnSpPr/>
      </cdr:nvCxnSpPr>
      <cdr:spPr>
        <a:xfrm xmlns:a="http://schemas.openxmlformats.org/drawingml/2006/main" flipH="1">
          <a:off x="4819650" y="1303020"/>
          <a:ext cx="57150" cy="249555"/>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56</Pages>
  <Words>12627</Words>
  <Characters>76796</Characters>
  <Application>Microsoft Office Word</Application>
  <DocSecurity>0</DocSecurity>
  <Lines>639</Lines>
  <Paragraphs>178</Paragraphs>
  <ScaleCrop>false</ScaleCrop>
  <HeadingPairs>
    <vt:vector size="2" baseType="variant">
      <vt:variant>
        <vt:lpstr>Title</vt:lpstr>
      </vt:variant>
      <vt:variant>
        <vt:i4>1</vt:i4>
      </vt:variant>
    </vt:vector>
  </HeadingPairs>
  <TitlesOfParts>
    <vt:vector size="1" baseType="lpstr">
      <vt:lpstr>STATEWIDE PATTERNS OF CHILDHOOD INCIDENCE</vt:lpstr>
    </vt:vector>
  </TitlesOfParts>
  <Company>Department of Public Health</Company>
  <LinksUpToDate>false</LinksUpToDate>
  <CharactersWithSpaces>89245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2014-06-19T19:21:00Z</dcterms:created>
  <dc:creator>DPH</dc:creator>
  <lastModifiedBy/>
  <lastPrinted>2014-06-13T17:06:00Z</lastPrinted>
  <dcterms:modified xsi:type="dcterms:W3CDTF">2014-07-02T15:03:00Z</dcterms:modified>
  <revision>5</revision>
  <dc:title>STATEWIDE PATTERNS OF CHILDHOOD INCIDENCE</dc:title>
</coreProperties>
</file>