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4D5C8D"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48070A" w:rsidRDefault="009D23C0" w:rsidP="00C424AE">
                            <w:pPr>
                              <w:jc w:val="center"/>
                              <w:rPr>
                                <w:b/>
                                <w:bCs/>
                                <w:sz w:val="28"/>
                              </w:rPr>
                            </w:pPr>
                            <w:r>
                              <w:rPr>
                                <w:b/>
                                <w:bCs/>
                                <w:sz w:val="28"/>
                              </w:rPr>
                              <w:t xml:space="preserve">Massachusetts </w:t>
                            </w:r>
                            <w:r w:rsidR="00493D23">
                              <w:rPr>
                                <w:b/>
                                <w:bCs/>
                                <w:sz w:val="28"/>
                              </w:rPr>
                              <w:t>Division</w:t>
                            </w:r>
                            <w:r w:rsidR="00B17C38">
                              <w:rPr>
                                <w:b/>
                                <w:bCs/>
                                <w:sz w:val="28"/>
                              </w:rPr>
                              <w:t xml:space="preserve"> of Capital Asset Management</w:t>
                            </w:r>
                          </w:p>
                          <w:p w:rsidR="0048070A" w:rsidRDefault="0048070A" w:rsidP="00C424AE">
                            <w:pPr>
                              <w:jc w:val="center"/>
                              <w:rPr>
                                <w:b/>
                                <w:bCs/>
                                <w:sz w:val="28"/>
                              </w:rPr>
                            </w:pPr>
                            <w:proofErr w:type="gramStart"/>
                            <w:r>
                              <w:rPr>
                                <w:b/>
                                <w:bCs/>
                                <w:sz w:val="28"/>
                              </w:rPr>
                              <w:t>and</w:t>
                            </w:r>
                            <w:proofErr w:type="gramEnd"/>
                            <w:r>
                              <w:rPr>
                                <w:b/>
                                <w:bCs/>
                                <w:sz w:val="28"/>
                              </w:rPr>
                              <w:t xml:space="preserve"> Maintenance (DCAMM)</w:t>
                            </w:r>
                          </w:p>
                          <w:p w:rsidR="0048070A" w:rsidRDefault="0048070A" w:rsidP="00C424AE">
                            <w:pPr>
                              <w:jc w:val="center"/>
                              <w:rPr>
                                <w:b/>
                                <w:bCs/>
                                <w:sz w:val="28"/>
                              </w:rPr>
                            </w:pPr>
                            <w:r>
                              <w:rPr>
                                <w:b/>
                                <w:bCs/>
                                <w:sz w:val="28"/>
                              </w:rPr>
                              <w:t>Energy Group</w:t>
                            </w:r>
                          </w:p>
                          <w:p w:rsidR="00653643" w:rsidRDefault="00D66159" w:rsidP="00C424AE">
                            <w:pPr>
                              <w:jc w:val="center"/>
                              <w:rPr>
                                <w:b/>
                                <w:bCs/>
                                <w:sz w:val="28"/>
                              </w:rPr>
                            </w:pPr>
                            <w:r>
                              <w:rPr>
                                <w:b/>
                                <w:bCs/>
                                <w:sz w:val="28"/>
                              </w:rPr>
                              <w:t xml:space="preserve">One Ashburton Place, </w:t>
                            </w:r>
                            <w:r w:rsidR="0048070A">
                              <w:rPr>
                                <w:b/>
                                <w:bCs/>
                                <w:sz w:val="28"/>
                              </w:rPr>
                              <w:t>16</w:t>
                            </w:r>
                            <w:r w:rsidRPr="00D66159">
                              <w:rPr>
                                <w:b/>
                                <w:bCs/>
                                <w:sz w:val="28"/>
                                <w:vertAlign w:val="superscript"/>
                              </w:rPr>
                              <w:t>th</w:t>
                            </w:r>
                            <w:r>
                              <w:rPr>
                                <w:b/>
                                <w:bCs/>
                                <w:sz w:val="28"/>
                              </w:rPr>
                              <w:t xml:space="preserve"> floor</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5F4CE5" w:rsidRDefault="004D5C8D" w:rsidP="00DB51C0">
                            <w:pPr>
                              <w:jc w:val="center"/>
                            </w:pPr>
                            <w:r>
                              <w:rPr>
                                <w:b/>
                                <w:noProof/>
                              </w:rPr>
                              <w:drawing>
                                <wp:inline distT="0" distB="0" distL="0" distR="0">
                                  <wp:extent cx="2466975" cy="3286125"/>
                                  <wp:effectExtent l="0" t="0" r="0" b="0"/>
                                  <wp:docPr id="2" name="Picture 2" descr="Cover photo: One Ashburton Place, Bo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hoto: One Ashburton Place, Bosto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6975" cy="3286125"/>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C65889" w:rsidP="00DB51C0">
                            <w:pPr>
                              <w:jc w:val="center"/>
                            </w:pPr>
                            <w:r>
                              <w:t>April</w:t>
                            </w:r>
                            <w:r w:rsidR="009D23C0">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48070A" w:rsidRDefault="009D23C0" w:rsidP="00C424AE">
                      <w:pPr>
                        <w:jc w:val="center"/>
                        <w:rPr>
                          <w:b/>
                          <w:bCs/>
                          <w:sz w:val="28"/>
                        </w:rPr>
                      </w:pPr>
                      <w:r>
                        <w:rPr>
                          <w:b/>
                          <w:bCs/>
                          <w:sz w:val="28"/>
                        </w:rPr>
                        <w:t xml:space="preserve">Massachusetts </w:t>
                      </w:r>
                      <w:r w:rsidR="00493D23">
                        <w:rPr>
                          <w:b/>
                          <w:bCs/>
                          <w:sz w:val="28"/>
                        </w:rPr>
                        <w:t>Division</w:t>
                      </w:r>
                      <w:r w:rsidR="00B17C38">
                        <w:rPr>
                          <w:b/>
                          <w:bCs/>
                          <w:sz w:val="28"/>
                        </w:rPr>
                        <w:t xml:space="preserve"> of Capital Asset Management</w:t>
                      </w:r>
                    </w:p>
                    <w:p w:rsidR="0048070A" w:rsidRDefault="0048070A" w:rsidP="00C424AE">
                      <w:pPr>
                        <w:jc w:val="center"/>
                        <w:rPr>
                          <w:b/>
                          <w:bCs/>
                          <w:sz w:val="28"/>
                        </w:rPr>
                      </w:pPr>
                      <w:proofErr w:type="gramStart"/>
                      <w:r>
                        <w:rPr>
                          <w:b/>
                          <w:bCs/>
                          <w:sz w:val="28"/>
                        </w:rPr>
                        <w:t>and</w:t>
                      </w:r>
                      <w:proofErr w:type="gramEnd"/>
                      <w:r>
                        <w:rPr>
                          <w:b/>
                          <w:bCs/>
                          <w:sz w:val="28"/>
                        </w:rPr>
                        <w:t xml:space="preserve"> Maintenance (DCAMM)</w:t>
                      </w:r>
                    </w:p>
                    <w:p w:rsidR="0048070A" w:rsidRDefault="0048070A" w:rsidP="00C424AE">
                      <w:pPr>
                        <w:jc w:val="center"/>
                        <w:rPr>
                          <w:b/>
                          <w:bCs/>
                          <w:sz w:val="28"/>
                        </w:rPr>
                      </w:pPr>
                      <w:r>
                        <w:rPr>
                          <w:b/>
                          <w:bCs/>
                          <w:sz w:val="28"/>
                        </w:rPr>
                        <w:t>Energy Group</w:t>
                      </w:r>
                    </w:p>
                    <w:p w:rsidR="00653643" w:rsidRDefault="00D66159" w:rsidP="00C424AE">
                      <w:pPr>
                        <w:jc w:val="center"/>
                        <w:rPr>
                          <w:b/>
                          <w:bCs/>
                          <w:sz w:val="28"/>
                        </w:rPr>
                      </w:pPr>
                      <w:r>
                        <w:rPr>
                          <w:b/>
                          <w:bCs/>
                          <w:sz w:val="28"/>
                        </w:rPr>
                        <w:t xml:space="preserve">One Ashburton Place, </w:t>
                      </w:r>
                      <w:r w:rsidR="0048070A">
                        <w:rPr>
                          <w:b/>
                          <w:bCs/>
                          <w:sz w:val="28"/>
                        </w:rPr>
                        <w:t>16</w:t>
                      </w:r>
                      <w:r w:rsidRPr="00D66159">
                        <w:rPr>
                          <w:b/>
                          <w:bCs/>
                          <w:sz w:val="28"/>
                          <w:vertAlign w:val="superscript"/>
                        </w:rPr>
                        <w:t>th</w:t>
                      </w:r>
                      <w:r>
                        <w:rPr>
                          <w:b/>
                          <w:bCs/>
                          <w:sz w:val="28"/>
                        </w:rPr>
                        <w:t xml:space="preserve"> floor</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5F4CE5" w:rsidRDefault="004D5C8D" w:rsidP="00DB51C0">
                      <w:pPr>
                        <w:jc w:val="center"/>
                      </w:pPr>
                      <w:r>
                        <w:rPr>
                          <w:b/>
                          <w:noProof/>
                        </w:rPr>
                        <w:drawing>
                          <wp:inline distT="0" distB="0" distL="0" distR="0">
                            <wp:extent cx="2466975" cy="3286125"/>
                            <wp:effectExtent l="0" t="0" r="0" b="0"/>
                            <wp:docPr id="2" name="Picture 2" descr="Cover photo: One Ashburton Place, Bo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hoto: One Ashburton Place, Boston,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6975" cy="3286125"/>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C65889" w:rsidP="00DB51C0">
                      <w:pPr>
                        <w:jc w:val="center"/>
                      </w:pPr>
                      <w:r>
                        <w:t>April</w:t>
                      </w:r>
                      <w:r w:rsidR="009D23C0">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48070A" w:rsidP="0048070A">
            <w:pPr>
              <w:tabs>
                <w:tab w:val="left" w:pos="1485"/>
              </w:tabs>
              <w:rPr>
                <w:bCs/>
              </w:rPr>
            </w:pPr>
            <w:r w:rsidRPr="0048070A">
              <w:rPr>
                <w:bCs/>
              </w:rPr>
              <w:t xml:space="preserve">Massachusetts </w:t>
            </w:r>
            <w:r w:rsidR="00493D23" w:rsidRPr="0048070A">
              <w:rPr>
                <w:bCs/>
              </w:rPr>
              <w:t>Division</w:t>
            </w:r>
            <w:r w:rsidRPr="0048070A">
              <w:rPr>
                <w:bCs/>
              </w:rPr>
              <w:t xml:space="preserve"> of Capital Asset Management</w:t>
            </w:r>
            <w:r>
              <w:rPr>
                <w:bCs/>
              </w:rPr>
              <w:t xml:space="preserve"> </w:t>
            </w:r>
            <w:r w:rsidRPr="0048070A">
              <w:rPr>
                <w:bCs/>
              </w:rPr>
              <w:t>and Maintenance (DCAMM)</w:t>
            </w:r>
            <w:r>
              <w:rPr>
                <w:bCs/>
              </w:rPr>
              <w:t xml:space="preserve">, </w:t>
            </w:r>
            <w:r w:rsidRPr="0048070A">
              <w:rPr>
                <w:bCs/>
              </w:rPr>
              <w:t>Energy Group</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48070A" w:rsidP="00F0449B">
            <w:pPr>
              <w:pStyle w:val="StaffTitleHangingIndent"/>
            </w:pPr>
            <w:r>
              <w:t>One Ashburton Place, 16</w:t>
            </w:r>
            <w:r w:rsidR="00D66159" w:rsidRPr="00D66159">
              <w:rPr>
                <w:vertAlign w:val="superscript"/>
              </w:rPr>
              <w:t>th</w:t>
            </w:r>
            <w:r w:rsidR="00D66159">
              <w:t xml:space="preserve"> floor</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48070A" w:rsidP="00493D23">
            <w:pPr>
              <w:pStyle w:val="StaffTitleHangingIndent"/>
            </w:pPr>
            <w:r>
              <w:t>Parrish Rossi,</w:t>
            </w:r>
            <w:r w:rsidR="009D23C0">
              <w:t xml:space="preserve"> Facilities Manager,</w:t>
            </w:r>
            <w:r w:rsidR="00493D23">
              <w:t xml:space="preserve"> DCAMM</w:t>
            </w:r>
            <w:r w:rsidR="009D23C0">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C65889" w:rsidP="00C65889">
            <w:pPr>
              <w:tabs>
                <w:tab w:val="left" w:pos="1485"/>
              </w:tabs>
              <w:rPr>
                <w:bCs/>
              </w:rPr>
            </w:pPr>
            <w:r>
              <w:rPr>
                <w:bCs/>
              </w:rPr>
              <w:t>Follow up on previous report</w:t>
            </w:r>
            <w:r w:rsidR="009132D0">
              <w:rPr>
                <w:bCs/>
              </w:rPr>
              <w:t>; previous visit conducted on March 6, 2017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C65889" w:rsidP="00C65889">
            <w:pPr>
              <w:tabs>
                <w:tab w:val="left" w:pos="1485"/>
              </w:tabs>
              <w:rPr>
                <w:bCs/>
              </w:rPr>
            </w:pPr>
            <w:r>
              <w:rPr>
                <w:bCs/>
              </w:rPr>
              <w:t>April 14</w:t>
            </w:r>
            <w:r w:rsidR="0048070A">
              <w:rPr>
                <w:bCs/>
              </w:rPr>
              <w:t>,</w:t>
            </w:r>
            <w:r w:rsidR="0073731E">
              <w:rPr>
                <w:bCs/>
              </w:rPr>
              <w:t xml:space="preserve"> 201</w:t>
            </w:r>
            <w:r w:rsidR="009D23C0">
              <w:rPr>
                <w:bCs/>
              </w:rPr>
              <w:t>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C83613">
            <w:pPr>
              <w:pStyle w:val="StaffTitleHangingIndent"/>
              <w:rPr>
                <w:bCs/>
              </w:rPr>
            </w:pPr>
            <w:r>
              <w:rPr>
                <w:bCs/>
              </w:rPr>
              <w:t xml:space="preserve">Ruth Alfasso, Environmental Engineer, </w:t>
            </w:r>
            <w:r w:rsidR="00C83613">
              <w:rPr>
                <w:bCs/>
              </w:rPr>
              <w:t>I</w:t>
            </w:r>
            <w:r w:rsidR="002E1405">
              <w:rPr>
                <w:bCs/>
              </w:rPr>
              <w:t xml:space="preserve">ndoor </w:t>
            </w:r>
            <w:r w:rsidR="00C83613">
              <w:rPr>
                <w:bCs/>
              </w:rPr>
              <w:t>A</w:t>
            </w:r>
            <w:r w:rsidR="002E1405">
              <w:rPr>
                <w:bCs/>
              </w:rPr>
              <w:t xml:space="preserve">ir </w:t>
            </w:r>
            <w:r w:rsidR="00C83613">
              <w:rPr>
                <w:bCs/>
              </w:rPr>
              <w:t>Q</w:t>
            </w:r>
            <w:r w:rsidR="002E1405">
              <w:rPr>
                <w:bCs/>
              </w:rPr>
              <w:t>uality</w:t>
            </w:r>
            <w:r w:rsidR="00E151F2">
              <w:rPr>
                <w:bCs/>
              </w:rPr>
              <w:t xml:space="preserve"> </w:t>
            </w:r>
            <w:r w:rsidR="00440C99">
              <w:rPr>
                <w:bCs/>
              </w:rPr>
              <w:t xml:space="preserve">(IAQ)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3274E6" w:rsidP="004D6C7D">
            <w:pPr>
              <w:pStyle w:val="StaffTitleHangingIndent"/>
              <w:rPr>
                <w:bCs/>
              </w:rPr>
            </w:pPr>
            <w:r w:rsidRPr="003274E6">
              <w:rPr>
                <w:bCs/>
              </w:rPr>
              <w:t>One Ashburton Place, also known as the McCormack Building, is a large state office building built in the 1970s</w:t>
            </w:r>
            <w:r w:rsidR="00B1385B">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t>IAQ Testing Results</w:t>
      </w:r>
    </w:p>
    <w:p w:rsidR="008136D7" w:rsidRDefault="008136D7" w:rsidP="008136D7">
      <w:pPr>
        <w:pStyle w:val="BodyText1"/>
      </w:pPr>
      <w:r w:rsidRPr="00375CB0">
        <w:t>The following is a summary of indoor air testing result</w:t>
      </w:r>
      <w:r>
        <w:t>s</w:t>
      </w:r>
      <w:r w:rsidRPr="00375CB0">
        <w:t xml:space="preserve"> (Table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0048070A">
        <w:t xml:space="preserve"> </w:t>
      </w:r>
      <w:r w:rsidRPr="006E7E2C">
        <w:t xml:space="preserve">800 parts per million (ppm) in </w:t>
      </w:r>
      <w:r>
        <w:t>all areas surveyed, indicating adequate air exchange.</w:t>
      </w:r>
    </w:p>
    <w:p w:rsidR="008136D7" w:rsidRDefault="008136D7" w:rsidP="008136D7">
      <w:pPr>
        <w:pStyle w:val="BodyText"/>
        <w:numPr>
          <w:ilvl w:val="0"/>
          <w:numId w:val="26"/>
        </w:numPr>
      </w:pPr>
      <w:r w:rsidRPr="003D7583">
        <w:rPr>
          <w:b/>
          <w:i/>
        </w:rPr>
        <w:t>Temperature</w:t>
      </w:r>
      <w:r>
        <w:t xml:space="preserve"> was within the recommended </w:t>
      </w:r>
      <w:r w:rsidRPr="009F6242">
        <w:t>range of 70°F to 78°F</w:t>
      </w:r>
      <w:r>
        <w:t xml:space="preserve"> in all </w:t>
      </w:r>
      <w:r w:rsidR="00820D4D">
        <w:t>areas</w:t>
      </w:r>
      <w:r>
        <w:t xml:space="preserve"> tested.</w:t>
      </w:r>
    </w:p>
    <w:p w:rsidR="008136D7" w:rsidRDefault="008136D7" w:rsidP="008136D7">
      <w:pPr>
        <w:pStyle w:val="BodyText"/>
        <w:numPr>
          <w:ilvl w:val="0"/>
          <w:numId w:val="26"/>
        </w:numPr>
      </w:pPr>
      <w:r w:rsidRPr="003D7583">
        <w:rPr>
          <w:b/>
          <w:i/>
        </w:rPr>
        <w:t>Relative humidity</w:t>
      </w:r>
      <w:r>
        <w:t xml:space="preserve"> was below the recommended range of 40 to 60% in all areas tested.</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8136D7" w:rsidRDefault="008136D7" w:rsidP="008136D7">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NAAQS limit </w:t>
      </w:r>
      <w:proofErr w:type="gramStart"/>
      <w:r w:rsidRPr="00991847">
        <w:t>of 35 μg/m</w:t>
      </w:r>
      <w:r w:rsidRPr="00D67CCA">
        <w:rPr>
          <w:vertAlign w:val="superscript"/>
        </w:rPr>
        <w:t>3</w:t>
      </w:r>
      <w:r>
        <w:t xml:space="preserve"> in all areas</w:t>
      </w:r>
      <w:proofErr w:type="gramEnd"/>
      <w:r>
        <w:t xml:space="preserve"> tested.</w:t>
      </w:r>
    </w:p>
    <w:p w:rsidR="008136D7" w:rsidRPr="00676A91" w:rsidRDefault="008136D7" w:rsidP="008136D7">
      <w:pPr>
        <w:pStyle w:val="Heading2"/>
      </w:pPr>
      <w:r w:rsidRPr="00676A91">
        <w:lastRenderedPageBreak/>
        <w:t>Ventilation</w:t>
      </w:r>
    </w:p>
    <w:p w:rsidR="008136D7" w:rsidRDefault="008136D7" w:rsidP="008136D7">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206BD" w:rsidRDefault="00F206BD" w:rsidP="00F206BD">
      <w:pPr>
        <w:pStyle w:val="BodyText"/>
      </w:pPr>
      <w:r w:rsidRPr="00493D23">
        <w:t>Fresh air is supplied by induction units located along the outer edges of the building (Picture</w:t>
      </w:r>
      <w:r w:rsidR="00F56216" w:rsidRPr="00493D23">
        <w:t xml:space="preserve"> </w:t>
      </w:r>
      <w:r w:rsidRPr="00493D23">
        <w:t>1).</w:t>
      </w:r>
      <w:r w:rsidR="008136D7" w:rsidRPr="00493D23">
        <w:t xml:space="preserve"> Return air is drawn </w:t>
      </w:r>
      <w:r w:rsidRPr="00493D23">
        <w:t>around light fixtures using ducted returns</w:t>
      </w:r>
      <w:r w:rsidR="00AF71ED">
        <w:t xml:space="preserve">. Fewer induction units had items on them than during the last visit. </w:t>
      </w:r>
      <w:r w:rsidRPr="00493D23">
        <w:t>Induction unit vents should be kept free of items and kept clean.</w:t>
      </w:r>
    </w:p>
    <w:p w:rsidR="00F206BD" w:rsidRDefault="00F206BD" w:rsidP="00F206BD">
      <w:pPr>
        <w:pStyle w:val="BodyText"/>
      </w:pPr>
      <w:r w:rsidRPr="009F6F7A">
        <w:t>It is important to note that relative humidity levels in the building would be expected to be low during the winter months due to atmospheric conditions and heating. Low relative humidity can lead to common symptoms such as: dry skin, lips, and scalp; dry/scratchy throats and noses (nose bleeds); exacerbation of asthma, eczema, or allergies; dry/irritated eyes; and irritation of respiratory tract.</w:t>
      </w:r>
      <w:r w:rsidR="009132D0">
        <w:t xml:space="preserve"> Due to the change in seasons, relative humidity was higher during this visit than during the March 6, 2017 visit, but was still below the BEH/IAQ comfort level.</w:t>
      </w:r>
    </w:p>
    <w:p w:rsidR="008136D7" w:rsidRPr="00684FFA" w:rsidRDefault="008136D7" w:rsidP="008136D7">
      <w:pPr>
        <w:pStyle w:val="Heading2"/>
      </w:pPr>
      <w:r w:rsidRPr="00684FFA">
        <w:t>Microbial/Moisture Concerns</w:t>
      </w:r>
    </w:p>
    <w:p w:rsidR="008136D7" w:rsidRDefault="0048070A" w:rsidP="008136D7">
      <w:pPr>
        <w:pStyle w:val="BodyText1"/>
        <w:rPr>
          <w:snapToGrid w:val="0"/>
        </w:rPr>
      </w:pPr>
      <w:r>
        <w:t xml:space="preserve">No </w:t>
      </w:r>
      <w:r w:rsidR="008136D7">
        <w:t>w</w:t>
      </w:r>
      <w:r w:rsidR="008136D7" w:rsidRPr="00FE196E">
        <w:t xml:space="preserve">ater-damaged ceiling tiles </w:t>
      </w:r>
      <w:r>
        <w:t>or other materials were observed during th</w:t>
      </w:r>
      <w:r w:rsidR="00D25C39">
        <w:t>e</w:t>
      </w:r>
      <w:r>
        <w:t xml:space="preserve"> visit.</w:t>
      </w:r>
      <w:r w:rsidR="000D5D28">
        <w:t xml:space="preserve"> </w:t>
      </w:r>
      <w:r w:rsidR="008136D7" w:rsidRPr="00FE196E">
        <w:rPr>
          <w:snapToGrid w:val="0"/>
        </w:rPr>
        <w:t>Plants were noted in a few areas (</w:t>
      </w:r>
      <w:r w:rsidR="008136D7">
        <w:rPr>
          <w:snapToGrid w:val="0"/>
        </w:rPr>
        <w:t>Table 1</w:t>
      </w:r>
      <w:r w:rsidR="00F56216">
        <w:rPr>
          <w:snapToGrid w:val="0"/>
        </w:rPr>
        <w:t>;</w:t>
      </w:r>
      <w:r w:rsidR="00F56216" w:rsidRPr="00F56216">
        <w:rPr>
          <w:snapToGrid w:val="0"/>
        </w:rPr>
        <w:t xml:space="preserve"> </w:t>
      </w:r>
      <w:r w:rsidR="00F5229F">
        <w:rPr>
          <w:snapToGrid w:val="0"/>
        </w:rPr>
        <w:t>Picture 1</w:t>
      </w:r>
      <w:r w:rsidR="008136D7" w:rsidRPr="00FE196E">
        <w:rPr>
          <w:snapToGrid w:val="0"/>
        </w:rPr>
        <w:t xml:space="preserve">). Plants can be a source of pollen and mold, which can be respiratory irritants to some individuals. Plants should be properly maintained and equipped with drip pans and should be located away from </w:t>
      </w:r>
      <w:r w:rsidR="009640A6">
        <w:rPr>
          <w:snapToGrid w:val="0"/>
        </w:rPr>
        <w:t xml:space="preserve">induction units </w:t>
      </w:r>
      <w:r w:rsidR="008136D7" w:rsidRPr="00FE196E">
        <w:rPr>
          <w:snapToGrid w:val="0"/>
        </w:rPr>
        <w:t>to prevent the aerosolization of dirt, pollen and mold.</w:t>
      </w:r>
    </w:p>
    <w:p w:rsidR="00D25C39" w:rsidRDefault="00D25C39" w:rsidP="008136D7">
      <w:pPr>
        <w:pStyle w:val="BodyText1"/>
        <w:rPr>
          <w:snapToGrid w:val="0"/>
        </w:rPr>
      </w:pPr>
      <w:r>
        <w:rPr>
          <w:snapToGrid w:val="0"/>
        </w:rPr>
        <w:t>Water dispensers were located on carpet; spills can moisten carpet and lead to odors and microbial growth. The area being used as a kitchen also has carpeting, which can become moistened fr</w:t>
      </w:r>
      <w:r w:rsidR="0037643B">
        <w:rPr>
          <w:snapToGrid w:val="0"/>
        </w:rPr>
        <w:t>om refrigerator or sink spills. It was reported that there are plans for replacing the carpeting in the kitchen area with tile.</w:t>
      </w:r>
    </w:p>
    <w:p w:rsidR="00AE2D3D" w:rsidRDefault="00AE2D3D" w:rsidP="00AE2D3D">
      <w:pPr>
        <w:pStyle w:val="Heading2"/>
        <w:rPr>
          <w:snapToGrid w:val="0"/>
        </w:rPr>
      </w:pPr>
      <w:r>
        <w:rPr>
          <w:snapToGrid w:val="0"/>
        </w:rPr>
        <w:lastRenderedPageBreak/>
        <w:t>Other Concerns</w:t>
      </w:r>
    </w:p>
    <w:p w:rsidR="009640A6" w:rsidRDefault="009640A6" w:rsidP="009640A6">
      <w:pPr>
        <w:pStyle w:val="BodyText"/>
      </w:pPr>
      <w:r w:rsidRPr="00D25C39">
        <w:t xml:space="preserve">Exposure to low levels of </w:t>
      </w:r>
      <w:r w:rsidR="00440C99">
        <w:t xml:space="preserve">volatile organic compounds (VOCs) </w:t>
      </w:r>
      <w:r w:rsidRPr="00D25C39">
        <w:t>may produce eye, nose, throat, and/or respiratory irritation in some sensitive individuals. BEH/IAQ staff examined spaces for products containing VOCs</w:t>
      </w:r>
      <w:r w:rsidR="001D5797">
        <w:t>, noting</w:t>
      </w:r>
      <w:r w:rsidRPr="00D25C39">
        <w:t xml:space="preserve"> air fresheners, deodorizers, hand sanitizers, cleaning products, and dry erase materials in a number of areas throughout the office space (Table 1; Picture </w:t>
      </w:r>
      <w:r w:rsidR="00F5229F">
        <w:t>2</w:t>
      </w:r>
      <w:r w:rsidRPr="00D25C39">
        <w:t>). All of these products have the potential to be irritants to the eyes, nose, throat, and respiratory system of sensitive individuals.</w:t>
      </w:r>
    </w:p>
    <w:p w:rsidR="001D5797" w:rsidRDefault="0065198B" w:rsidP="009640A6">
      <w:pPr>
        <w:pStyle w:val="BodyText"/>
      </w:pPr>
      <w:r>
        <w:t xml:space="preserve">A copy machine that is reportedly heavily used is located in the kitchen area, which is directly adjacent to several occupied areas. </w:t>
      </w:r>
      <w:r w:rsidRPr="0065198B">
        <w:t>Excess heat, odors, VOCs and ozone c</w:t>
      </w:r>
      <w:r w:rsidR="00E151F2">
        <w:t>an be produced by</w:t>
      </w:r>
      <w:r w:rsidRPr="0065198B">
        <w:t xml:space="preserve"> photocopiers, particularly if the equipment is older and in frequent use. Ozone is a respiratory irritant (Schmidt Etkin, 1992). No dedicated exhaust ventilation was observed in this area.</w:t>
      </w:r>
    </w:p>
    <w:p w:rsidR="001D5797" w:rsidRDefault="00F3707B" w:rsidP="009640A6">
      <w:pPr>
        <w:pStyle w:val="BodyText"/>
      </w:pPr>
      <w:r w:rsidRPr="001D5797">
        <w:t>Rodents we</w:t>
      </w:r>
      <w:r w:rsidR="001D5797" w:rsidRPr="001D5797">
        <w:t xml:space="preserve">re reported in this office on an occasional </w:t>
      </w:r>
      <w:r w:rsidRPr="001D5797">
        <w:t xml:space="preserve">basis. </w:t>
      </w:r>
      <w:r w:rsidR="00B947BD">
        <w:t>A mousetrap was observed behind some of the cube walls (Picture</w:t>
      </w:r>
      <w:r w:rsidR="00DE5153">
        <w:t xml:space="preserve"> 3</w:t>
      </w:r>
      <w:r w:rsidR="00B947BD">
        <w:t xml:space="preserve">). </w:t>
      </w:r>
      <w:r w:rsidR="001D5797" w:rsidRPr="001D5797">
        <w:t xml:space="preserve">Rodent infestation can result in </w:t>
      </w:r>
      <w:r w:rsidR="0085591E">
        <w:t xml:space="preserve">IAQ </w:t>
      </w:r>
      <w:r w:rsidR="001D5797" w:rsidRPr="001D5797">
        <w:t>related symptoms due to materials in their wastes. Mouse urine contains a protein that is a known sensitizer (US EPA, 1992). A sensitizer is a material that can produce symptoms (e.g., running nose or skin rashes) in sensitive individuals after repeated exposure. To eliminate exposure to allergens, rodents must be removed from the building. Please note that removal, even after cleaning, may not provide immediate relief since allergens can exist in the interior for several months after rodents are eliminated (Burge, 1995). Once the infestation is eliminated, a combination of cleaning and increased ventilation and filtration should serve to reduce allergens associated with rodents.</w:t>
      </w:r>
      <w:r w:rsidR="00B947BD">
        <w:t xml:space="preserve"> It was reported that steam cleaning of the carpeting was planned for soon after this visit.</w:t>
      </w:r>
    </w:p>
    <w:p w:rsidR="009640A6" w:rsidRDefault="009640A6" w:rsidP="009640A6">
      <w:pPr>
        <w:pStyle w:val="BodyText"/>
      </w:pPr>
      <w:r>
        <w:t>Personal fans observed in some offices appeared dusty</w:t>
      </w:r>
      <w:r w:rsidR="001D5797">
        <w:t xml:space="preserve">, as were the </w:t>
      </w:r>
      <w:r w:rsidR="008721D2">
        <w:t>supply and return fins</w:t>
      </w:r>
      <w:r w:rsidR="001D5797">
        <w:t xml:space="preserve"> of some of the induction units. This dust can be reaerosolized and is</w:t>
      </w:r>
      <w:r>
        <w:t xml:space="preserve"> a respiratory and eye irritant. Fans</w:t>
      </w:r>
      <w:r w:rsidR="001D5797">
        <w:t xml:space="preserve"> and induction units</w:t>
      </w:r>
      <w:r>
        <w:t xml:space="preserve"> should be cleaned periodically to prevent aerosolization of dust when the units are activated.</w:t>
      </w:r>
    </w:p>
    <w:p w:rsidR="009640A6" w:rsidRDefault="009640A6" w:rsidP="009640A6">
      <w:pPr>
        <w:pStyle w:val="BodyText"/>
      </w:pPr>
      <w:r>
        <w:t>Items were observed on a number of flat surfaces, such as windowsills, tabletops, counters, bookcases, and desks. The large number of items stored in offices provides a source for dusts to accumulate</w:t>
      </w:r>
      <w:r w:rsidR="00E151F2">
        <w:t xml:space="preserve"> and make it</w:t>
      </w:r>
      <w:r>
        <w:t xml:space="preserve"> difficult for custodial staff to clean. Items should be relocated and/or be cleaned periodically to avoid excessive dust build up.</w:t>
      </w:r>
    </w:p>
    <w:p w:rsidR="004D05AC" w:rsidRPr="00EF657A" w:rsidRDefault="00DF2A15" w:rsidP="00104481">
      <w:pPr>
        <w:pStyle w:val="Heading1"/>
        <w:rPr>
          <w:b w:val="0"/>
          <w:sz w:val="24"/>
          <w:szCs w:val="24"/>
        </w:rPr>
      </w:pPr>
      <w:r w:rsidRPr="00736ECE">
        <w:lastRenderedPageBreak/>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recommend</w:t>
      </w:r>
      <w:r w:rsidR="007B332C">
        <w:t>ations from the previous report are reiterated</w:t>
      </w:r>
      <w:r w:rsidR="00590617">
        <w:t>:</w:t>
      </w:r>
    </w:p>
    <w:p w:rsidR="00A667EC" w:rsidRPr="00A009E4" w:rsidRDefault="00A667EC" w:rsidP="00BF6B6E">
      <w:pPr>
        <w:pStyle w:val="BodyText"/>
        <w:numPr>
          <w:ilvl w:val="0"/>
          <w:numId w:val="23"/>
        </w:numPr>
        <w:ind w:left="1440" w:hanging="720"/>
      </w:pPr>
      <w:r>
        <w:t xml:space="preserve">Operate supply and exhaust ventilation continuously in all areas during occupied periods. Ensure all HVAC equipment is </w:t>
      </w:r>
      <w:proofErr w:type="gramStart"/>
      <w:r w:rsidR="00D65961">
        <w:t>cleaned/</w:t>
      </w:r>
      <w:r>
        <w:t>maintained</w:t>
      </w:r>
      <w:proofErr w:type="gramEnd"/>
      <w:r w:rsidR="00CA3FFD">
        <w:t xml:space="preserve"> in accordance with manufacturer’s instructions</w:t>
      </w:r>
      <w:r>
        <w:t>.</w:t>
      </w:r>
      <w:r w:rsidR="00B01A02">
        <w:t xml:space="preserve"> </w:t>
      </w:r>
      <w:r w:rsidR="00BF6B6E">
        <w:t>Avoid blocking HVAC equipment with boxes, furniture or other items.</w:t>
      </w:r>
    </w:p>
    <w:p w:rsidR="00BF6B6E" w:rsidRDefault="00A667EC" w:rsidP="00BF6B6E">
      <w:pPr>
        <w:pStyle w:val="BodyText"/>
        <w:numPr>
          <w:ilvl w:val="0"/>
          <w:numId w:val="23"/>
        </w:numPr>
        <w:ind w:left="1440" w:hanging="720"/>
      </w:pPr>
      <w:r>
        <w:t>Have the HVAC system balanced every 5 years in accordance with SMACNA recommendations (SMACNA, 1994).</w:t>
      </w:r>
    </w:p>
    <w:p w:rsidR="00BF6B6E" w:rsidRPr="00BF6B6E" w:rsidRDefault="00BF6B6E" w:rsidP="00BF6B6E">
      <w:pPr>
        <w:pStyle w:val="BodyText"/>
        <w:numPr>
          <w:ilvl w:val="0"/>
          <w:numId w:val="23"/>
        </w:numPr>
        <w:ind w:left="1440" w:hanging="720"/>
      </w:pPr>
      <w:r w:rsidRPr="00BF6B6E">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A667EC" w:rsidRDefault="00A667EC" w:rsidP="00CA3FFD">
      <w:pPr>
        <w:pStyle w:val="BodyText"/>
        <w:numPr>
          <w:ilvl w:val="0"/>
          <w:numId w:val="23"/>
        </w:numPr>
        <w:ind w:left="1440" w:hanging="720"/>
      </w:pPr>
      <w:r>
        <w:t>Keep plants in good condition, avoid overwatering, and remove from the airstream of heating and ventilation equipment.</w:t>
      </w:r>
    </w:p>
    <w:p w:rsidR="00BF6B6E" w:rsidRDefault="00BF6B6E" w:rsidP="00CA3FFD">
      <w:pPr>
        <w:pStyle w:val="BodyText"/>
        <w:numPr>
          <w:ilvl w:val="0"/>
          <w:numId w:val="23"/>
        </w:numPr>
        <w:ind w:left="1440" w:hanging="720"/>
      </w:pPr>
      <w:r>
        <w:t>Consider the use of waterproof mats underneath water dispensers to protect carpet.</w:t>
      </w:r>
    </w:p>
    <w:p w:rsidR="00BF6B6E" w:rsidRDefault="00BF6B6E" w:rsidP="00CA3FFD">
      <w:pPr>
        <w:pStyle w:val="BodyText"/>
        <w:numPr>
          <w:ilvl w:val="0"/>
          <w:numId w:val="23"/>
        </w:numPr>
        <w:ind w:left="1440" w:hanging="720"/>
      </w:pPr>
      <w:r>
        <w:t>Consider replacing carpeting in the kitchen area with tile.</w:t>
      </w:r>
    </w:p>
    <w:p w:rsidR="008721D2" w:rsidRDefault="0063531E" w:rsidP="008721D2">
      <w:pPr>
        <w:pStyle w:val="BodyText"/>
        <w:numPr>
          <w:ilvl w:val="0"/>
          <w:numId w:val="23"/>
        </w:numPr>
        <w:ind w:left="1440" w:hanging="720"/>
      </w:pPr>
      <w:r>
        <w:t>Reduce the use of cleaning products, sanitizers, and other items that contain VOCs.</w:t>
      </w:r>
    </w:p>
    <w:p w:rsidR="00BF6B6E" w:rsidRDefault="00BF6B6E" w:rsidP="008721D2">
      <w:pPr>
        <w:pStyle w:val="BodyText"/>
        <w:numPr>
          <w:ilvl w:val="0"/>
          <w:numId w:val="23"/>
        </w:numPr>
        <w:ind w:left="1440" w:hanging="720"/>
      </w:pPr>
      <w:r>
        <w:t>Consider if direct exhaust ventilation is feasible for the kitchen/copy area. Ensure the copy machine is well maintained to reduce VOCs, ozone, particulates and odors.</w:t>
      </w:r>
    </w:p>
    <w:p w:rsidR="008721D2" w:rsidRPr="008721D2" w:rsidRDefault="008721D2" w:rsidP="008721D2">
      <w:pPr>
        <w:pStyle w:val="BodyText"/>
        <w:numPr>
          <w:ilvl w:val="0"/>
          <w:numId w:val="23"/>
        </w:numPr>
        <w:ind w:left="1440" w:hanging="720"/>
      </w:pPr>
      <w:r w:rsidRPr="008721D2">
        <w:t>Use the principles of Integrated Pest Management (IPM) and the services of a licensed pest control operator to remove rodents and reduce the potential for pest infestation. Ensure that any area where rodents may have been is thoroughly cleaned to remove allergens.</w:t>
      </w:r>
    </w:p>
    <w:p w:rsidR="0063531E" w:rsidRDefault="0063531E" w:rsidP="00CA3FFD">
      <w:pPr>
        <w:pStyle w:val="BodyText"/>
        <w:numPr>
          <w:ilvl w:val="0"/>
          <w:numId w:val="23"/>
        </w:numPr>
        <w:ind w:left="1440" w:hanging="720"/>
      </w:pPr>
      <w:r>
        <w:lastRenderedPageBreak/>
        <w:t>Clean blades of personal fans to prevent aerosolization of dust.</w:t>
      </w:r>
    </w:p>
    <w:p w:rsidR="0063531E" w:rsidRDefault="0063531E" w:rsidP="00CA3FFD">
      <w:pPr>
        <w:pStyle w:val="BodyText"/>
        <w:numPr>
          <w:ilvl w:val="0"/>
          <w:numId w:val="23"/>
        </w:numPr>
        <w:ind w:left="1440" w:hanging="720"/>
      </w:pPr>
      <w:r>
        <w:t>Reduce the amount of items stored on flat surfaces to allow regular cleaning.</w:t>
      </w:r>
    </w:p>
    <w:p w:rsidR="00A009E4" w:rsidRPr="00A009E4" w:rsidRDefault="00A009E4" w:rsidP="00CA3FFD">
      <w:pPr>
        <w:pStyle w:val="BodyText"/>
        <w:numPr>
          <w:ilvl w:val="0"/>
          <w:numId w:val="23"/>
        </w:numPr>
        <w:ind w:left="1440"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0" w:tooltip="Indoor Air Quality Program"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ass.</w:t>
        </w:r>
        <w:r w:rsidRPr="00B7439C">
          <w:rPr>
            <w:rStyle w:val="Hyperlink"/>
          </w:rPr>
          <w:t>g</w:t>
        </w:r>
        <w:r w:rsidRPr="00B7439C">
          <w:rPr>
            <w:rStyle w:val="Hyperlink"/>
          </w:rPr>
          <w:t>ov/dph/iaq</w:t>
        </w:r>
      </w:hyperlink>
      <w:r>
        <w:t>.</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1D5797" w:rsidRPr="00E26600" w:rsidRDefault="001D5797" w:rsidP="00E26600">
      <w:pPr>
        <w:spacing w:after="240"/>
        <w:rPr>
          <w:szCs w:val="24"/>
        </w:rPr>
      </w:pPr>
      <w:r w:rsidRPr="00E26600">
        <w:rPr>
          <w:szCs w:val="24"/>
        </w:rPr>
        <w:t xml:space="preserve">Burge, H.A. 1995. </w:t>
      </w:r>
      <w:proofErr w:type="gramStart"/>
      <w:r w:rsidRPr="00E26600">
        <w:rPr>
          <w:i/>
          <w:szCs w:val="24"/>
        </w:rPr>
        <w:t>Bioaerosols</w:t>
      </w:r>
      <w:r w:rsidRPr="00E26600">
        <w:rPr>
          <w:szCs w:val="24"/>
        </w:rPr>
        <w:t>.</w:t>
      </w:r>
      <w:proofErr w:type="gramEnd"/>
      <w:r w:rsidRPr="00E26600">
        <w:rPr>
          <w:szCs w:val="24"/>
        </w:rPr>
        <w:t xml:space="preserve"> </w:t>
      </w:r>
      <w:proofErr w:type="gramStart"/>
      <w:r w:rsidRPr="00E26600">
        <w:rPr>
          <w:szCs w:val="24"/>
        </w:rPr>
        <w:t>Lewis Publishing Company, Boca Raton, FL.</w:t>
      </w:r>
      <w:proofErr w:type="gramEnd"/>
    </w:p>
    <w:p w:rsidR="00FB2D24" w:rsidRPr="00E26600" w:rsidRDefault="00FB2D24" w:rsidP="00E26600">
      <w:pPr>
        <w:pStyle w:val="References"/>
      </w:pPr>
      <w:proofErr w:type="gramStart"/>
      <w:r w:rsidRPr="00E26600">
        <w:t>MDPH.</w:t>
      </w:r>
      <w:proofErr w:type="gramEnd"/>
      <w:r w:rsidRPr="00E26600">
        <w:t xml:space="preserve"> </w:t>
      </w:r>
      <w:proofErr w:type="gramStart"/>
      <w:r w:rsidRPr="00E26600">
        <w:t>2015. Massachusetts Department of Public Health.</w:t>
      </w:r>
      <w:proofErr w:type="gramEnd"/>
      <w:r w:rsidRPr="00E26600">
        <w:t xml:space="preserve"> Indoor Air Quality Manual: Chapters I-III. Available at: </w:t>
      </w:r>
      <w:hyperlink r:id="rId11" w:tooltip="MDPH. 2015. Massachusetts Department of Public Health. Indoor Air Quality Manual: Chapters I-III" w:history="1">
        <w:r w:rsidRPr="00E26600">
          <w:rPr>
            <w:rStyle w:val="Hyperlink"/>
          </w:rPr>
          <w:t>http://www.mas</w:t>
        </w:r>
        <w:r w:rsidRPr="00E26600">
          <w:rPr>
            <w:rStyle w:val="Hyperlink"/>
          </w:rPr>
          <w:t>s</w:t>
        </w:r>
        <w:r w:rsidRPr="00E26600">
          <w:rPr>
            <w:rStyle w:val="Hyperlink"/>
          </w:rPr>
          <w:t>.gov/eoh</w:t>
        </w:r>
        <w:r w:rsidRPr="00E26600">
          <w:rPr>
            <w:rStyle w:val="Hyperlink"/>
          </w:rPr>
          <w:t>h</w:t>
        </w:r>
        <w:r w:rsidRPr="00E26600">
          <w:rPr>
            <w:rStyle w:val="Hyperlink"/>
          </w:rPr>
          <w:t>s/gov/departments/dph/programs/environmental-health/exposure-topics/iaq/ia</w:t>
        </w:r>
        <w:r w:rsidRPr="00E26600">
          <w:rPr>
            <w:rStyle w:val="Hyperlink"/>
          </w:rPr>
          <w:t>q</w:t>
        </w:r>
        <w:r w:rsidRPr="00E26600">
          <w:rPr>
            <w:rStyle w:val="Hyperlink"/>
          </w:rPr>
          <w:t>-ma</w:t>
        </w:r>
        <w:r w:rsidRPr="00E26600">
          <w:rPr>
            <w:rStyle w:val="Hyperlink"/>
          </w:rPr>
          <w:t>n</w:t>
        </w:r>
        <w:r w:rsidRPr="00E26600">
          <w:rPr>
            <w:rStyle w:val="Hyperlink"/>
          </w:rPr>
          <w:t>u</w:t>
        </w:r>
        <w:r w:rsidRPr="00E26600">
          <w:rPr>
            <w:rStyle w:val="Hyperlink"/>
          </w:rPr>
          <w:t>al/</w:t>
        </w:r>
      </w:hyperlink>
      <w:r w:rsidRPr="00E26600">
        <w:t>.</w:t>
      </w:r>
    </w:p>
    <w:p w:rsidR="0065198B" w:rsidRPr="00E26600" w:rsidRDefault="0065198B" w:rsidP="00E26600">
      <w:pPr>
        <w:spacing w:after="240"/>
        <w:rPr>
          <w:szCs w:val="24"/>
        </w:rPr>
      </w:pPr>
      <w:r w:rsidRPr="00E26600">
        <w:rPr>
          <w:szCs w:val="24"/>
        </w:rPr>
        <w:t xml:space="preserve">Schmidt Etkin, D. 1992. </w:t>
      </w:r>
      <w:proofErr w:type="gramStart"/>
      <w:r w:rsidRPr="00E26600">
        <w:rPr>
          <w:szCs w:val="24"/>
        </w:rPr>
        <w:t>Office Furnishings/Equipment &amp; IAQ Health Impacts, Prevention &amp; Mitigation.</w:t>
      </w:r>
      <w:proofErr w:type="gramEnd"/>
      <w:r w:rsidRPr="00E26600">
        <w:rPr>
          <w:szCs w:val="24"/>
        </w:rPr>
        <w:t xml:space="preserve"> Cutter Information Corporation, Indoor Air Quality Update, Arlington, MA.</w:t>
      </w:r>
    </w:p>
    <w:p w:rsidR="00F8526E" w:rsidRPr="00E26600" w:rsidRDefault="00F8526E" w:rsidP="00E26600">
      <w:pPr>
        <w:pStyle w:val="References"/>
        <w:rPr>
          <w:szCs w:val="24"/>
        </w:rPr>
      </w:pPr>
      <w:proofErr w:type="gramStart"/>
      <w:r w:rsidRPr="00E26600">
        <w:rPr>
          <w:szCs w:val="24"/>
        </w:rPr>
        <w:t>SMACNA.</w:t>
      </w:r>
      <w:proofErr w:type="gramEnd"/>
      <w:r w:rsidRPr="00E26600">
        <w:rPr>
          <w:szCs w:val="24"/>
        </w:rPr>
        <w:t xml:space="preserve"> 1994. HVAC Systems Commissioning Manual. </w:t>
      </w:r>
      <w:proofErr w:type="gramStart"/>
      <w:r w:rsidRPr="00E26600">
        <w:rPr>
          <w:szCs w:val="24"/>
        </w:rPr>
        <w:t>1</w:t>
      </w:r>
      <w:r w:rsidRPr="00E26600">
        <w:rPr>
          <w:szCs w:val="24"/>
          <w:vertAlign w:val="superscript"/>
        </w:rPr>
        <w:t>st</w:t>
      </w:r>
      <w:r w:rsidRPr="00E26600">
        <w:rPr>
          <w:szCs w:val="24"/>
        </w:rPr>
        <w:t xml:space="preserve"> ed. Sheet Metal and Air Conditioning Contractors’ National Association, Inc., Chantilly, VA.</w:t>
      </w:r>
      <w:proofErr w:type="gramEnd"/>
    </w:p>
    <w:p w:rsidR="00A93620" w:rsidRDefault="00E26600" w:rsidP="008D0FF6">
      <w:pPr>
        <w:pStyle w:val="BodyText2"/>
        <w:spacing w:after="240"/>
        <w:rPr>
          <w:szCs w:val="24"/>
        </w:rPr>
        <w:sectPr w:rsidR="00A93620" w:rsidSect="00B0444B">
          <w:footerReference w:type="even" r:id="rId12"/>
          <w:footerReference w:type="default" r:id="rId13"/>
          <w:pgSz w:w="12240" w:h="15840" w:code="1"/>
          <w:pgMar w:top="1440" w:right="1440" w:bottom="1440" w:left="1440" w:header="720" w:footer="720" w:gutter="0"/>
          <w:cols w:space="720"/>
          <w:noEndnote/>
          <w:titlePg/>
          <w:docGrid w:linePitch="254"/>
        </w:sectPr>
      </w:pPr>
      <w:proofErr w:type="gramStart"/>
      <w:r w:rsidRPr="00E26600">
        <w:rPr>
          <w:szCs w:val="24"/>
        </w:rPr>
        <w:t xml:space="preserve">US </w:t>
      </w:r>
      <w:r w:rsidR="001D5797" w:rsidRPr="00E26600">
        <w:rPr>
          <w:szCs w:val="24"/>
        </w:rPr>
        <w:t>EPA.</w:t>
      </w:r>
      <w:proofErr w:type="gramEnd"/>
      <w:r w:rsidR="001D5797" w:rsidRPr="00E26600">
        <w:rPr>
          <w:szCs w:val="24"/>
        </w:rPr>
        <w:t xml:space="preserve"> 1992. Indoor Biological Pollutants. US Environmental Protection Agency, Environmental Criteria and Assessment Office, Office of Health and Environmental Assessment, research Triangle Park, NC. </w:t>
      </w:r>
      <w:proofErr w:type="gramStart"/>
      <w:r w:rsidR="001D5797" w:rsidRPr="00E26600">
        <w:rPr>
          <w:szCs w:val="24"/>
        </w:rPr>
        <w:t>EPA 600/8-91/202.</w:t>
      </w:r>
      <w:proofErr w:type="gramEnd"/>
      <w:r w:rsidR="001D5797" w:rsidRPr="00E26600">
        <w:rPr>
          <w:szCs w:val="24"/>
        </w:rPr>
        <w:t xml:space="preserve"> January 1992.</w:t>
      </w:r>
    </w:p>
    <w:p w:rsidR="00A93620" w:rsidRPr="00A93620" w:rsidRDefault="00A93620" w:rsidP="00A93620">
      <w:pPr>
        <w:spacing w:after="200" w:line="276" w:lineRule="auto"/>
        <w:rPr>
          <w:rFonts w:eastAsia="Calibri"/>
          <w:b/>
          <w:szCs w:val="24"/>
        </w:rPr>
      </w:pPr>
      <w:r w:rsidRPr="00A93620">
        <w:rPr>
          <w:rFonts w:eastAsia="Calibri"/>
          <w:b/>
          <w:szCs w:val="24"/>
        </w:rPr>
        <w:lastRenderedPageBreak/>
        <w:t>Picture 1</w:t>
      </w:r>
    </w:p>
    <w:p w:rsidR="00A93620" w:rsidRPr="00A93620" w:rsidRDefault="004D5C8D" w:rsidP="00A93620">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3" name="Picture 1" descr="Title: Picture 1 - Description: Induction unit, note pla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itle: Picture 1 - Description: Induction unit, note plant"/>
                    <pic:cNvPicPr>
                      <a:picLocks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A93620" w:rsidRPr="00A93620" w:rsidRDefault="00A93620" w:rsidP="00A93620">
      <w:pPr>
        <w:spacing w:after="200" w:line="276" w:lineRule="auto"/>
        <w:jc w:val="center"/>
        <w:rPr>
          <w:rFonts w:eastAsia="Calibri"/>
          <w:b/>
          <w:szCs w:val="24"/>
        </w:rPr>
      </w:pPr>
      <w:r w:rsidRPr="00A93620">
        <w:rPr>
          <w:rFonts w:eastAsia="Calibri"/>
          <w:b/>
          <w:szCs w:val="24"/>
        </w:rPr>
        <w:t>Induction unit, note plant</w:t>
      </w:r>
    </w:p>
    <w:p w:rsidR="00A93620" w:rsidRPr="00A93620" w:rsidRDefault="00A93620" w:rsidP="00A93620">
      <w:pPr>
        <w:spacing w:after="200" w:line="276" w:lineRule="auto"/>
        <w:rPr>
          <w:rFonts w:eastAsia="Calibri"/>
          <w:b/>
          <w:szCs w:val="24"/>
        </w:rPr>
      </w:pPr>
      <w:r w:rsidRPr="00A93620">
        <w:rPr>
          <w:rFonts w:eastAsia="Calibri"/>
          <w:b/>
          <w:szCs w:val="24"/>
        </w:rPr>
        <w:t>Picture 2</w:t>
      </w:r>
    </w:p>
    <w:p w:rsidR="00A93620" w:rsidRPr="00A93620" w:rsidRDefault="004D5C8D" w:rsidP="00A93620">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4" name="Picture 3" descr="Title: Picture 2 - Description: Cleaning wipes and dusty personal f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itle: Picture 2 - Description: Cleaning wipes and dusty personal fan"/>
                    <pic:cNvPicPr>
                      <a:picLocks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391025" cy="3295650"/>
                    </a:xfrm>
                    <a:prstGeom prst="rect">
                      <a:avLst/>
                    </a:prstGeom>
                    <a:noFill/>
                    <a:ln>
                      <a:noFill/>
                    </a:ln>
                  </pic:spPr>
                </pic:pic>
              </a:graphicData>
            </a:graphic>
          </wp:inline>
        </w:drawing>
      </w:r>
    </w:p>
    <w:p w:rsidR="00A93620" w:rsidRPr="00A93620" w:rsidRDefault="00A93620" w:rsidP="00A93620">
      <w:pPr>
        <w:spacing w:after="200" w:line="276" w:lineRule="auto"/>
        <w:jc w:val="center"/>
        <w:rPr>
          <w:rFonts w:eastAsia="Calibri"/>
          <w:b/>
          <w:szCs w:val="24"/>
        </w:rPr>
      </w:pPr>
      <w:r w:rsidRPr="00A93620">
        <w:rPr>
          <w:rFonts w:eastAsia="Calibri"/>
          <w:b/>
          <w:szCs w:val="24"/>
        </w:rPr>
        <w:t>Cleaning wipes and dusty personal fan</w:t>
      </w:r>
    </w:p>
    <w:p w:rsidR="00A93620" w:rsidRPr="00A93620" w:rsidRDefault="00A93620" w:rsidP="00A93620">
      <w:pPr>
        <w:spacing w:after="200" w:line="276" w:lineRule="auto"/>
        <w:rPr>
          <w:rFonts w:eastAsia="Calibri"/>
          <w:b/>
          <w:szCs w:val="24"/>
        </w:rPr>
      </w:pPr>
      <w:r w:rsidRPr="00A93620">
        <w:rPr>
          <w:rFonts w:eastAsia="Calibri"/>
          <w:b/>
          <w:szCs w:val="24"/>
        </w:rPr>
        <w:lastRenderedPageBreak/>
        <w:t>Picture 3</w:t>
      </w:r>
    </w:p>
    <w:p w:rsidR="00A93620" w:rsidRPr="00A93620" w:rsidRDefault="004D5C8D" w:rsidP="00A93620">
      <w:pPr>
        <w:spacing w:after="200" w:line="276" w:lineRule="auto"/>
        <w:jc w:val="center"/>
        <w:rPr>
          <w:rFonts w:eastAsia="Calibri"/>
          <w:b/>
          <w:szCs w:val="24"/>
        </w:rPr>
      </w:pPr>
      <w:r>
        <w:rPr>
          <w:rFonts w:eastAsia="Calibri"/>
          <w:b/>
          <w:noProof/>
          <w:szCs w:val="24"/>
        </w:rPr>
        <w:drawing>
          <wp:inline distT="0" distB="0" distL="0" distR="0">
            <wp:extent cx="2466975" cy="3295650"/>
            <wp:effectExtent l="0" t="0" r="0" b="0"/>
            <wp:docPr id="5" name="Picture 2" descr="Title: Picture 3 - Description: Mousetrap behind cube wal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itle: Picture 3 - Description: Mousetrap behind cube walls"/>
                    <pic:cNvPicPr>
                      <a:picLocks noChangeArrowheads="1"/>
                    </pic:cNvPicPr>
                  </pic:nvPicPr>
                  <pic:blipFill>
                    <a:blip r:embed="rId16" cstate="email">
                      <a:extLst>
                        <a:ext uri="{28A0092B-C50C-407E-A947-70E740481C1C}">
                          <a14:useLocalDpi xmlns:a14="http://schemas.microsoft.com/office/drawing/2010/main"/>
                        </a:ext>
                      </a:extLst>
                    </a:blip>
                    <a:srcRect b="-278"/>
                    <a:stretch>
                      <a:fillRect/>
                    </a:stretch>
                  </pic:blipFill>
                  <pic:spPr bwMode="auto">
                    <a:xfrm>
                      <a:off x="0" y="0"/>
                      <a:ext cx="2466975" cy="3295650"/>
                    </a:xfrm>
                    <a:prstGeom prst="rect">
                      <a:avLst/>
                    </a:prstGeom>
                    <a:noFill/>
                    <a:ln>
                      <a:noFill/>
                    </a:ln>
                  </pic:spPr>
                </pic:pic>
              </a:graphicData>
            </a:graphic>
          </wp:inline>
        </w:drawing>
      </w:r>
    </w:p>
    <w:p w:rsidR="00A93620" w:rsidRPr="00A93620" w:rsidRDefault="00A93620" w:rsidP="00A93620">
      <w:pPr>
        <w:spacing w:after="200" w:line="276" w:lineRule="auto"/>
        <w:jc w:val="center"/>
        <w:rPr>
          <w:rFonts w:eastAsia="Calibri"/>
          <w:b/>
          <w:szCs w:val="24"/>
        </w:rPr>
      </w:pPr>
      <w:r w:rsidRPr="00A93620">
        <w:rPr>
          <w:rFonts w:eastAsia="Calibri"/>
          <w:b/>
          <w:szCs w:val="24"/>
        </w:rPr>
        <w:t>Mousetrap behind cube walls</w:t>
      </w:r>
    </w:p>
    <w:p w:rsidR="001E6AE4" w:rsidRDefault="001E6AE4" w:rsidP="008D0FF6">
      <w:pPr>
        <w:pStyle w:val="BodyText2"/>
        <w:spacing w:after="240"/>
        <w:sectPr w:rsidR="001E6AE4" w:rsidSect="00B0444B">
          <w:footerReference w:type="default" r:id="rId17"/>
          <w:pgSz w:w="12240" w:h="15840" w:code="1"/>
          <w:pgMar w:top="1440" w:right="1440" w:bottom="1440" w:left="1440" w:header="720" w:footer="720" w:gutter="0"/>
          <w:cols w:space="720"/>
          <w:noEndnote/>
          <w:titlePg/>
          <w:docGrid w:linePitch="254"/>
        </w:sectPr>
      </w:pPr>
    </w:p>
    <w:tbl>
      <w:tblPr>
        <w:tblW w:w="134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51"/>
        <w:gridCol w:w="990"/>
        <w:gridCol w:w="1080"/>
        <w:gridCol w:w="900"/>
        <w:gridCol w:w="1080"/>
        <w:gridCol w:w="990"/>
        <w:gridCol w:w="1080"/>
        <w:gridCol w:w="1350"/>
        <w:gridCol w:w="990"/>
        <w:gridCol w:w="990"/>
        <w:gridCol w:w="2520"/>
      </w:tblGrid>
      <w:tr w:rsidR="001E6AE4" w:rsidRPr="001E6AE4" w:rsidTr="00CB6544">
        <w:trPr>
          <w:cantSplit/>
          <w:trHeight w:val="350"/>
          <w:tblHeader/>
          <w:jc w:val="center"/>
        </w:trPr>
        <w:tc>
          <w:tcPr>
            <w:tcW w:w="1451" w:type="dxa"/>
            <w:vMerge w:val="restart"/>
            <w:tcBorders>
              <w:top w:val="single" w:sz="12" w:space="0" w:color="000000"/>
            </w:tcBorders>
            <w:vAlign w:val="bottom"/>
          </w:tcPr>
          <w:p w:rsidR="001E6AE4" w:rsidRPr="001E6AE4" w:rsidRDefault="001E6AE4" w:rsidP="001E6AE4">
            <w:pPr>
              <w:keepNext/>
              <w:jc w:val="center"/>
              <w:outlineLvl w:val="0"/>
              <w:rPr>
                <w:sz w:val="20"/>
              </w:rPr>
            </w:pPr>
            <w:r w:rsidRPr="001E6AE4">
              <w:rPr>
                <w:sz w:val="20"/>
              </w:rPr>
              <w:lastRenderedPageBreak/>
              <w:t>Location</w:t>
            </w:r>
          </w:p>
        </w:tc>
        <w:tc>
          <w:tcPr>
            <w:tcW w:w="99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Carbon</w:t>
            </w:r>
          </w:p>
          <w:p w:rsidR="001E6AE4" w:rsidRPr="001E6AE4" w:rsidRDefault="001E6AE4" w:rsidP="001E6AE4">
            <w:pPr>
              <w:jc w:val="center"/>
              <w:rPr>
                <w:sz w:val="20"/>
              </w:rPr>
            </w:pPr>
            <w:r w:rsidRPr="001E6AE4">
              <w:rPr>
                <w:sz w:val="20"/>
              </w:rPr>
              <w:t>Dioxide</w:t>
            </w:r>
          </w:p>
          <w:p w:rsidR="001E6AE4" w:rsidRPr="001E6AE4" w:rsidRDefault="001E6AE4" w:rsidP="001E6AE4">
            <w:pPr>
              <w:jc w:val="center"/>
              <w:rPr>
                <w:sz w:val="20"/>
              </w:rPr>
            </w:pPr>
            <w:r w:rsidRPr="001E6AE4">
              <w:rPr>
                <w:sz w:val="20"/>
              </w:rPr>
              <w:t>(ppm)</w:t>
            </w:r>
          </w:p>
        </w:tc>
        <w:tc>
          <w:tcPr>
            <w:tcW w:w="108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Carbon Monoxide</w:t>
            </w:r>
          </w:p>
          <w:p w:rsidR="001E6AE4" w:rsidRPr="001E6AE4" w:rsidRDefault="001E6AE4" w:rsidP="001E6AE4">
            <w:pPr>
              <w:jc w:val="center"/>
              <w:rPr>
                <w:sz w:val="20"/>
              </w:rPr>
            </w:pPr>
            <w:r w:rsidRPr="001E6AE4">
              <w:rPr>
                <w:sz w:val="20"/>
              </w:rPr>
              <w:t>(ppm)</w:t>
            </w:r>
          </w:p>
        </w:tc>
        <w:tc>
          <w:tcPr>
            <w:tcW w:w="90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Temp</w:t>
            </w:r>
          </w:p>
          <w:p w:rsidR="001E6AE4" w:rsidRPr="001E6AE4" w:rsidRDefault="001E6AE4" w:rsidP="001E6AE4">
            <w:pPr>
              <w:jc w:val="center"/>
              <w:rPr>
                <w:sz w:val="20"/>
              </w:rPr>
            </w:pPr>
            <w:r w:rsidRPr="001E6AE4">
              <w:rPr>
                <w:sz w:val="20"/>
              </w:rPr>
              <w:t>(°F)</w:t>
            </w:r>
          </w:p>
        </w:tc>
        <w:tc>
          <w:tcPr>
            <w:tcW w:w="108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Relative</w:t>
            </w:r>
          </w:p>
          <w:p w:rsidR="001E6AE4" w:rsidRPr="001E6AE4" w:rsidRDefault="001E6AE4" w:rsidP="001E6AE4">
            <w:pPr>
              <w:jc w:val="center"/>
              <w:rPr>
                <w:sz w:val="20"/>
              </w:rPr>
            </w:pPr>
            <w:r w:rsidRPr="001E6AE4">
              <w:rPr>
                <w:sz w:val="20"/>
              </w:rPr>
              <w:t>Humidity</w:t>
            </w:r>
          </w:p>
          <w:p w:rsidR="001E6AE4" w:rsidRPr="001E6AE4" w:rsidRDefault="001E6AE4" w:rsidP="001E6AE4">
            <w:pPr>
              <w:jc w:val="center"/>
              <w:rPr>
                <w:sz w:val="20"/>
              </w:rPr>
            </w:pPr>
            <w:r w:rsidRPr="001E6AE4">
              <w:rPr>
                <w:sz w:val="20"/>
              </w:rPr>
              <w:t>(%)</w:t>
            </w:r>
          </w:p>
        </w:tc>
        <w:tc>
          <w:tcPr>
            <w:tcW w:w="99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PM2.5</w:t>
            </w:r>
          </w:p>
          <w:p w:rsidR="001E6AE4" w:rsidRPr="001E6AE4" w:rsidRDefault="001E6AE4" w:rsidP="001E6AE4">
            <w:pPr>
              <w:jc w:val="center"/>
              <w:rPr>
                <w:sz w:val="20"/>
              </w:rPr>
            </w:pPr>
            <w:r w:rsidRPr="001E6AE4">
              <w:rPr>
                <w:sz w:val="20"/>
              </w:rPr>
              <w:t>(µg/m</w:t>
            </w:r>
            <w:r w:rsidRPr="001E6AE4">
              <w:rPr>
                <w:sz w:val="20"/>
                <w:vertAlign w:val="superscript"/>
              </w:rPr>
              <w:t>3</w:t>
            </w:r>
            <w:r w:rsidRPr="001E6AE4">
              <w:rPr>
                <w:sz w:val="20"/>
              </w:rPr>
              <w:t>)</w:t>
            </w:r>
          </w:p>
        </w:tc>
        <w:tc>
          <w:tcPr>
            <w:tcW w:w="108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Occupants</w:t>
            </w:r>
          </w:p>
          <w:p w:rsidR="001E6AE4" w:rsidRPr="001E6AE4" w:rsidRDefault="001E6AE4" w:rsidP="001E6AE4">
            <w:pPr>
              <w:jc w:val="center"/>
              <w:rPr>
                <w:sz w:val="20"/>
              </w:rPr>
            </w:pPr>
            <w:r w:rsidRPr="001E6AE4">
              <w:rPr>
                <w:sz w:val="20"/>
              </w:rPr>
              <w:t>in Room</w:t>
            </w:r>
          </w:p>
        </w:tc>
        <w:tc>
          <w:tcPr>
            <w:tcW w:w="135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Windows</w:t>
            </w:r>
          </w:p>
          <w:p w:rsidR="001E6AE4" w:rsidRPr="001E6AE4" w:rsidRDefault="001E6AE4" w:rsidP="001E6AE4">
            <w:pPr>
              <w:jc w:val="center"/>
              <w:rPr>
                <w:sz w:val="20"/>
              </w:rPr>
            </w:pPr>
            <w:r w:rsidRPr="001E6AE4">
              <w:rPr>
                <w:sz w:val="20"/>
              </w:rPr>
              <w:t>Openable</w:t>
            </w:r>
          </w:p>
        </w:tc>
        <w:tc>
          <w:tcPr>
            <w:tcW w:w="1980" w:type="dxa"/>
            <w:gridSpan w:val="2"/>
            <w:tcBorders>
              <w:top w:val="single" w:sz="12" w:space="0" w:color="000000"/>
              <w:left w:val="nil"/>
              <w:bottom w:val="nil"/>
            </w:tcBorders>
            <w:vAlign w:val="bottom"/>
          </w:tcPr>
          <w:p w:rsidR="001E6AE4" w:rsidRPr="001E6AE4" w:rsidRDefault="001E6AE4" w:rsidP="001E6AE4">
            <w:pPr>
              <w:ind w:left="-105"/>
              <w:jc w:val="center"/>
              <w:rPr>
                <w:sz w:val="20"/>
              </w:rPr>
            </w:pPr>
            <w:r w:rsidRPr="001E6AE4">
              <w:rPr>
                <w:sz w:val="20"/>
              </w:rPr>
              <w:t>Ventilation</w:t>
            </w:r>
          </w:p>
        </w:tc>
        <w:tc>
          <w:tcPr>
            <w:tcW w:w="2520" w:type="dxa"/>
            <w:vMerge w:val="restart"/>
            <w:tcBorders>
              <w:top w:val="single" w:sz="12" w:space="0" w:color="000000"/>
            </w:tcBorders>
            <w:vAlign w:val="bottom"/>
          </w:tcPr>
          <w:p w:rsidR="001E6AE4" w:rsidRPr="001E6AE4" w:rsidRDefault="001E6AE4" w:rsidP="001E6AE4">
            <w:pPr>
              <w:jc w:val="center"/>
              <w:rPr>
                <w:sz w:val="20"/>
              </w:rPr>
            </w:pPr>
            <w:r w:rsidRPr="001E6AE4">
              <w:rPr>
                <w:sz w:val="20"/>
              </w:rPr>
              <w:t>Remarks</w:t>
            </w:r>
          </w:p>
        </w:tc>
      </w:tr>
      <w:tr w:rsidR="001E6AE4" w:rsidRPr="001E6AE4" w:rsidTr="00CB6544">
        <w:trPr>
          <w:cantSplit/>
          <w:trHeight w:val="350"/>
          <w:tblHeader/>
          <w:jc w:val="center"/>
        </w:trPr>
        <w:tc>
          <w:tcPr>
            <w:tcW w:w="1451" w:type="dxa"/>
            <w:vMerge/>
            <w:tcBorders>
              <w:bottom w:val="single" w:sz="6" w:space="0" w:color="000000"/>
            </w:tcBorders>
            <w:vAlign w:val="bottom"/>
          </w:tcPr>
          <w:p w:rsidR="001E6AE4" w:rsidRPr="001E6AE4" w:rsidRDefault="001E6AE4" w:rsidP="001E6AE4">
            <w:pPr>
              <w:keepNext/>
              <w:jc w:val="center"/>
              <w:outlineLvl w:val="0"/>
              <w:rPr>
                <w:sz w:val="20"/>
              </w:rPr>
            </w:pPr>
          </w:p>
        </w:tc>
        <w:tc>
          <w:tcPr>
            <w:tcW w:w="990" w:type="dxa"/>
            <w:vMerge/>
            <w:tcBorders>
              <w:bottom w:val="single" w:sz="6" w:space="0" w:color="000000"/>
            </w:tcBorders>
            <w:vAlign w:val="bottom"/>
          </w:tcPr>
          <w:p w:rsidR="001E6AE4" w:rsidRPr="001E6AE4" w:rsidRDefault="001E6AE4" w:rsidP="001E6AE4">
            <w:pPr>
              <w:jc w:val="center"/>
              <w:rPr>
                <w:sz w:val="20"/>
              </w:rPr>
            </w:pPr>
          </w:p>
        </w:tc>
        <w:tc>
          <w:tcPr>
            <w:tcW w:w="1080" w:type="dxa"/>
            <w:vMerge/>
            <w:tcBorders>
              <w:bottom w:val="single" w:sz="6" w:space="0" w:color="000000"/>
            </w:tcBorders>
          </w:tcPr>
          <w:p w:rsidR="001E6AE4" w:rsidRPr="001E6AE4" w:rsidRDefault="001E6AE4" w:rsidP="001E6AE4">
            <w:pPr>
              <w:jc w:val="center"/>
              <w:rPr>
                <w:sz w:val="20"/>
              </w:rPr>
            </w:pPr>
          </w:p>
        </w:tc>
        <w:tc>
          <w:tcPr>
            <w:tcW w:w="900" w:type="dxa"/>
            <w:vMerge/>
            <w:tcBorders>
              <w:bottom w:val="single" w:sz="6" w:space="0" w:color="000000"/>
            </w:tcBorders>
            <w:vAlign w:val="bottom"/>
          </w:tcPr>
          <w:p w:rsidR="001E6AE4" w:rsidRPr="001E6AE4" w:rsidRDefault="001E6AE4" w:rsidP="001E6AE4">
            <w:pPr>
              <w:jc w:val="center"/>
              <w:rPr>
                <w:sz w:val="20"/>
              </w:rPr>
            </w:pPr>
          </w:p>
        </w:tc>
        <w:tc>
          <w:tcPr>
            <w:tcW w:w="1080" w:type="dxa"/>
            <w:vMerge/>
            <w:tcBorders>
              <w:bottom w:val="single" w:sz="6" w:space="0" w:color="000000"/>
            </w:tcBorders>
            <w:vAlign w:val="bottom"/>
          </w:tcPr>
          <w:p w:rsidR="001E6AE4" w:rsidRPr="001E6AE4" w:rsidRDefault="001E6AE4" w:rsidP="001E6AE4">
            <w:pPr>
              <w:jc w:val="center"/>
              <w:rPr>
                <w:sz w:val="20"/>
              </w:rPr>
            </w:pPr>
          </w:p>
        </w:tc>
        <w:tc>
          <w:tcPr>
            <w:tcW w:w="990" w:type="dxa"/>
            <w:vMerge/>
            <w:tcBorders>
              <w:bottom w:val="single" w:sz="6" w:space="0" w:color="000000"/>
            </w:tcBorders>
          </w:tcPr>
          <w:p w:rsidR="001E6AE4" w:rsidRPr="001E6AE4" w:rsidRDefault="001E6AE4" w:rsidP="001E6AE4">
            <w:pPr>
              <w:jc w:val="center"/>
              <w:rPr>
                <w:sz w:val="20"/>
              </w:rPr>
            </w:pPr>
          </w:p>
        </w:tc>
        <w:tc>
          <w:tcPr>
            <w:tcW w:w="1080" w:type="dxa"/>
            <w:vMerge/>
            <w:tcBorders>
              <w:bottom w:val="single" w:sz="6" w:space="0" w:color="000000"/>
            </w:tcBorders>
            <w:vAlign w:val="bottom"/>
          </w:tcPr>
          <w:p w:rsidR="001E6AE4" w:rsidRPr="001E6AE4" w:rsidRDefault="001E6AE4" w:rsidP="001E6AE4">
            <w:pPr>
              <w:jc w:val="center"/>
              <w:rPr>
                <w:sz w:val="20"/>
              </w:rPr>
            </w:pPr>
          </w:p>
        </w:tc>
        <w:tc>
          <w:tcPr>
            <w:tcW w:w="1350" w:type="dxa"/>
            <w:vMerge/>
            <w:tcBorders>
              <w:bottom w:val="single" w:sz="6" w:space="0" w:color="000000"/>
            </w:tcBorders>
            <w:vAlign w:val="bottom"/>
          </w:tcPr>
          <w:p w:rsidR="001E6AE4" w:rsidRPr="001E6AE4" w:rsidRDefault="001E6AE4" w:rsidP="001E6AE4">
            <w:pPr>
              <w:jc w:val="center"/>
              <w:rPr>
                <w:sz w:val="20"/>
              </w:rPr>
            </w:pPr>
          </w:p>
        </w:tc>
        <w:tc>
          <w:tcPr>
            <w:tcW w:w="990" w:type="dxa"/>
            <w:tcBorders>
              <w:left w:val="nil"/>
              <w:bottom w:val="single" w:sz="6" w:space="0" w:color="000000"/>
            </w:tcBorders>
            <w:vAlign w:val="bottom"/>
          </w:tcPr>
          <w:p w:rsidR="001E6AE4" w:rsidRPr="001E6AE4" w:rsidRDefault="001E6AE4" w:rsidP="001E6AE4">
            <w:pPr>
              <w:ind w:left="-105"/>
              <w:jc w:val="center"/>
              <w:rPr>
                <w:sz w:val="20"/>
              </w:rPr>
            </w:pPr>
            <w:r w:rsidRPr="001E6AE4">
              <w:rPr>
                <w:sz w:val="20"/>
              </w:rPr>
              <w:t>Supply</w:t>
            </w:r>
          </w:p>
        </w:tc>
        <w:tc>
          <w:tcPr>
            <w:tcW w:w="990" w:type="dxa"/>
            <w:tcBorders>
              <w:left w:val="nil"/>
              <w:bottom w:val="single" w:sz="6" w:space="0" w:color="000000"/>
            </w:tcBorders>
            <w:vAlign w:val="bottom"/>
          </w:tcPr>
          <w:p w:rsidR="001E6AE4" w:rsidRPr="001E6AE4" w:rsidRDefault="001E6AE4" w:rsidP="001E6AE4">
            <w:pPr>
              <w:ind w:left="-105"/>
              <w:jc w:val="center"/>
              <w:rPr>
                <w:sz w:val="20"/>
              </w:rPr>
            </w:pPr>
            <w:r w:rsidRPr="001E6AE4">
              <w:rPr>
                <w:sz w:val="20"/>
              </w:rPr>
              <w:t>Exhaust</w:t>
            </w:r>
          </w:p>
        </w:tc>
        <w:tc>
          <w:tcPr>
            <w:tcW w:w="2520" w:type="dxa"/>
            <w:vMerge/>
            <w:tcBorders>
              <w:bottom w:val="single" w:sz="6" w:space="0" w:color="000000"/>
            </w:tcBorders>
            <w:vAlign w:val="bottom"/>
          </w:tcPr>
          <w:p w:rsidR="001E6AE4" w:rsidRPr="001E6AE4" w:rsidRDefault="001E6AE4" w:rsidP="001E6AE4">
            <w:pPr>
              <w:jc w:val="center"/>
              <w:rPr>
                <w:sz w:val="20"/>
              </w:rPr>
            </w:pP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Background</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jc w:val="center"/>
              <w:rPr>
                <w:sz w:val="22"/>
                <w:szCs w:val="22"/>
              </w:rPr>
            </w:pPr>
            <w:r w:rsidRPr="001E6AE4">
              <w:rPr>
                <w:sz w:val="22"/>
                <w:szCs w:val="22"/>
              </w:rPr>
              <w:t>--</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jc w:val="center"/>
              <w:rPr>
                <w:sz w:val="22"/>
                <w:szCs w:val="22"/>
              </w:rPr>
            </w:pPr>
            <w:r w:rsidRPr="001E6AE4">
              <w:rPr>
                <w:sz w:val="22"/>
                <w:szCs w:val="22"/>
              </w:rPr>
              <w:t>--</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jc w:val="center"/>
              <w:rPr>
                <w:sz w:val="22"/>
                <w:szCs w:val="22"/>
              </w:rPr>
            </w:pPr>
            <w:r w:rsidRPr="001E6AE4">
              <w:rPr>
                <w:sz w:val="22"/>
                <w:szCs w:val="22"/>
              </w:rPr>
              <w:t>--</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jc w:val="center"/>
              <w:rPr>
                <w:sz w:val="22"/>
                <w:szCs w:val="22"/>
              </w:rPr>
            </w:pPr>
            <w:r w:rsidRPr="001E6AE4">
              <w:rPr>
                <w:sz w:val="22"/>
                <w:szCs w:val="22"/>
              </w:rPr>
              <w:t>--</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Sunny, breezy</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Saul</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547</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2</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Thomas</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523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CP, plants, PF</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Conference</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506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Lewin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553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74</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DEM, PF</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Miller</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547</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74</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2</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Plant</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White</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514</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74</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Plant</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Harold</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526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PF, CP</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Cube next to kitchen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564</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19</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HS, PF</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kitchen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520</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proofErr w:type="spellStart"/>
            <w:r w:rsidRPr="001E6AE4">
              <w:rPr>
                <w:sz w:val="22"/>
                <w:szCs w:val="22"/>
              </w:rPr>
              <w:t>Refrigertator</w:t>
            </w:r>
            <w:proofErr w:type="spellEnd"/>
            <w:r w:rsidRPr="001E6AE4">
              <w:rPr>
                <w:sz w:val="22"/>
                <w:szCs w:val="22"/>
              </w:rPr>
              <w:t xml:space="preserve"> and microwave, CP, copy machine</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lastRenderedPageBreak/>
              <w:t>Wilmer</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486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PFs</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Empty office</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487</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DEM</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proofErr w:type="spellStart"/>
            <w:r w:rsidRPr="001E6AE4">
              <w:rPr>
                <w:sz w:val="22"/>
                <w:szCs w:val="22"/>
              </w:rPr>
              <w:t>Freeley</w:t>
            </w:r>
            <w:proofErr w:type="spellEnd"/>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500</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18</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Mouse trap behind cube wall</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Empty cube</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535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19</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proofErr w:type="spellStart"/>
            <w:r w:rsidRPr="001E6AE4">
              <w:rPr>
                <w:sz w:val="22"/>
                <w:szCs w:val="22"/>
              </w:rPr>
              <w:t>Crisley</w:t>
            </w:r>
            <w:proofErr w:type="spellEnd"/>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534</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19</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Lillis</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552</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19</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6</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Plants, HS</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Reinhardt</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534</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19</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0</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PF</w:t>
            </w:r>
          </w:p>
        </w:tc>
      </w:tr>
      <w:tr w:rsidR="001E6AE4" w:rsidRPr="001E6AE4" w:rsidTr="00CB6544">
        <w:trPr>
          <w:cantSplit/>
          <w:trHeight w:val="648"/>
          <w:jc w:val="center"/>
        </w:trPr>
        <w:tc>
          <w:tcPr>
            <w:tcW w:w="1451"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rPr>
                <w:sz w:val="22"/>
                <w:szCs w:val="22"/>
              </w:rPr>
            </w:pPr>
            <w:r w:rsidRPr="001E6AE4">
              <w:rPr>
                <w:sz w:val="22"/>
                <w:szCs w:val="22"/>
              </w:rPr>
              <w:t>Ransom (office)</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551</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ND</w:t>
            </w:r>
          </w:p>
        </w:tc>
        <w:tc>
          <w:tcPr>
            <w:tcW w:w="90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73</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19</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5</w:t>
            </w:r>
          </w:p>
        </w:tc>
        <w:tc>
          <w:tcPr>
            <w:tcW w:w="108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1</w:t>
            </w:r>
          </w:p>
        </w:tc>
        <w:tc>
          <w:tcPr>
            <w:tcW w:w="135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N</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990" w:type="dxa"/>
            <w:tcBorders>
              <w:top w:val="single" w:sz="6" w:space="0" w:color="000000"/>
              <w:bottom w:val="single" w:sz="6" w:space="0" w:color="000000"/>
            </w:tcBorders>
            <w:shd w:val="clear" w:color="auto" w:fill="FFFFFF"/>
            <w:vAlign w:val="center"/>
          </w:tcPr>
          <w:p w:rsidR="001E6AE4" w:rsidRPr="001E6AE4" w:rsidRDefault="001E6AE4" w:rsidP="001E6AE4">
            <w:pPr>
              <w:spacing w:before="60" w:after="60"/>
              <w:jc w:val="center"/>
              <w:rPr>
                <w:sz w:val="22"/>
                <w:szCs w:val="22"/>
              </w:rPr>
            </w:pPr>
            <w:r w:rsidRPr="001E6AE4">
              <w:rPr>
                <w:sz w:val="22"/>
                <w:szCs w:val="22"/>
              </w:rPr>
              <w:t>Y</w:t>
            </w:r>
          </w:p>
        </w:tc>
        <w:tc>
          <w:tcPr>
            <w:tcW w:w="2520" w:type="dxa"/>
            <w:tcBorders>
              <w:top w:val="single" w:sz="6" w:space="0" w:color="000000"/>
              <w:left w:val="nil"/>
              <w:bottom w:val="single" w:sz="6" w:space="0" w:color="000000"/>
            </w:tcBorders>
            <w:shd w:val="clear" w:color="auto" w:fill="FFFFFF"/>
            <w:vAlign w:val="center"/>
          </w:tcPr>
          <w:p w:rsidR="001E6AE4" w:rsidRPr="001E6AE4" w:rsidRDefault="001E6AE4" w:rsidP="001E6AE4">
            <w:pPr>
              <w:spacing w:before="60" w:after="60"/>
              <w:rPr>
                <w:sz w:val="22"/>
                <w:szCs w:val="22"/>
              </w:rPr>
            </w:pPr>
          </w:p>
        </w:tc>
      </w:tr>
    </w:tbl>
    <w:p w:rsidR="001D5797" w:rsidRPr="00C86CE2" w:rsidRDefault="001D5797" w:rsidP="00CB6544">
      <w:pPr>
        <w:pStyle w:val="BodyText2"/>
        <w:spacing w:after="240"/>
      </w:pPr>
    </w:p>
    <w:sectPr w:rsidR="001D5797" w:rsidRPr="00C86CE2" w:rsidSect="001E6AE4">
      <w:headerReference w:type="default" r:id="rId18"/>
      <w:footerReference w:type="default" r:id="rId19"/>
      <w:headerReference w:type="first" r:id="rId20"/>
      <w:footerReference w:type="first" r:id="rId21"/>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855" w:rsidRDefault="00FB5855">
      <w:r>
        <w:separator/>
      </w:r>
    </w:p>
  </w:endnote>
  <w:endnote w:type="continuationSeparator" w:id="0">
    <w:p w:rsidR="00FB5855" w:rsidRDefault="00FB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5C8D">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E4" w:rsidRDefault="001E6A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526"/>
      <w:gridCol w:w="2202"/>
    </w:tblGrid>
    <w:tr w:rsidR="00825A57" w:rsidRPr="00F374D5" w:rsidTr="00825A57">
      <w:trPr>
        <w:trHeight w:val="300"/>
        <w:jc w:val="center"/>
      </w:trPr>
      <w:tc>
        <w:tcPr>
          <w:tcW w:w="3407"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Pr>
              <w:rFonts w:ascii="Times" w:hAnsi="Times" w:cs="Times"/>
              <w:sz w:val="20"/>
            </w:rPr>
            <w:t>CP = cleaning products</w:t>
          </w:r>
        </w:p>
      </w:tc>
      <w:tc>
        <w:tcPr>
          <w:tcW w:w="2526"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Pr>
              <w:rFonts w:ascii="Times" w:hAnsi="Times" w:cs="Times"/>
              <w:sz w:val="20"/>
            </w:rPr>
            <w:t>HS = hand sanitizer</w:t>
          </w:r>
        </w:p>
      </w:tc>
      <w:tc>
        <w:tcPr>
          <w:tcW w:w="2202"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Pr>
              <w:rFonts w:ascii="Times" w:hAnsi="Times" w:cs="Times"/>
              <w:sz w:val="20"/>
            </w:rPr>
            <w:t>PF = personal fan</w:t>
          </w:r>
        </w:p>
      </w:tc>
    </w:tr>
    <w:tr w:rsidR="00825A57" w:rsidRPr="00F374D5" w:rsidTr="00825A57">
      <w:trPr>
        <w:trHeight w:val="300"/>
        <w:jc w:val="center"/>
      </w:trPr>
      <w:tc>
        <w:tcPr>
          <w:tcW w:w="3407"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825A57" w:rsidRDefault="00825A57" w:rsidP="00825A57">
          <w:pPr>
            <w:rPr>
              <w:rFonts w:ascii="Times" w:hAnsi="Times" w:cs="Times"/>
              <w:sz w:val="20"/>
            </w:rPr>
          </w:pPr>
          <w:r>
            <w:rPr>
              <w:rFonts w:ascii="Times" w:hAnsi="Times" w:cs="Times"/>
              <w:sz w:val="20"/>
            </w:rPr>
            <w:t>DEM = dry erase materials</w:t>
          </w:r>
        </w:p>
      </w:tc>
      <w:tc>
        <w:tcPr>
          <w:tcW w:w="2526" w:type="dxa"/>
          <w:tcBorders>
            <w:top w:val="nil"/>
            <w:left w:val="nil"/>
            <w:bottom w:val="nil"/>
            <w:right w:val="nil"/>
          </w:tcBorders>
          <w:shd w:val="clear" w:color="auto" w:fill="auto"/>
          <w:noWrap/>
          <w:vAlign w:val="center"/>
        </w:tcPr>
        <w:p w:rsidR="00825A57" w:rsidRDefault="00825A57" w:rsidP="00825A57">
          <w:pPr>
            <w:rPr>
              <w:rFonts w:ascii="Times" w:hAnsi="Times" w:cs="Times"/>
              <w:sz w:val="20"/>
            </w:rPr>
          </w:pPr>
          <w:r>
            <w:rPr>
              <w:rFonts w:ascii="Times" w:hAnsi="Times" w:cs="Times"/>
              <w:sz w:val="20"/>
            </w:rPr>
            <w:t>ND = non detect</w:t>
          </w:r>
        </w:p>
      </w:tc>
      <w:tc>
        <w:tcPr>
          <w:tcW w:w="2202"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p>
      </w:tc>
    </w:tr>
  </w:tbl>
  <w:p w:rsidR="00825A57" w:rsidRDefault="00825A57" w:rsidP="00825A57">
    <w:pPr>
      <w:tabs>
        <w:tab w:val="left" w:pos="9180"/>
      </w:tabs>
      <w:rPr>
        <w:b/>
        <w:sz w:val="20"/>
      </w:rPr>
    </w:pPr>
  </w:p>
  <w:p w:rsidR="00825A57" w:rsidRPr="009804D7" w:rsidRDefault="00825A57" w:rsidP="00825A57">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25A57" w:rsidTr="00825A57">
      <w:tc>
        <w:tcPr>
          <w:tcW w:w="2718" w:type="dxa"/>
          <w:tcBorders>
            <w:top w:val="single" w:sz="18" w:space="0" w:color="auto"/>
          </w:tcBorders>
        </w:tcPr>
        <w:p w:rsidR="00825A57" w:rsidRDefault="00825A57" w:rsidP="00825A5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25A57" w:rsidRDefault="00825A57" w:rsidP="00825A57">
          <w:pPr>
            <w:rPr>
              <w:sz w:val="20"/>
            </w:rPr>
          </w:pPr>
          <w:r>
            <w:rPr>
              <w:sz w:val="20"/>
            </w:rPr>
            <w:t>&lt; 800 ppm = preferred</w:t>
          </w:r>
        </w:p>
      </w:tc>
      <w:tc>
        <w:tcPr>
          <w:tcW w:w="3600" w:type="dxa"/>
          <w:tcBorders>
            <w:top w:val="single" w:sz="18" w:space="0" w:color="auto"/>
          </w:tcBorders>
        </w:tcPr>
        <w:p w:rsidR="00825A57" w:rsidRDefault="00825A57" w:rsidP="00825A57">
          <w:pPr>
            <w:jc w:val="right"/>
            <w:rPr>
              <w:sz w:val="20"/>
            </w:rPr>
          </w:pPr>
          <w:r>
            <w:rPr>
              <w:sz w:val="20"/>
            </w:rPr>
            <w:t>Temperature:</w:t>
          </w:r>
        </w:p>
      </w:tc>
      <w:tc>
        <w:tcPr>
          <w:tcW w:w="3420" w:type="dxa"/>
          <w:tcBorders>
            <w:top w:val="single" w:sz="18" w:space="0" w:color="auto"/>
          </w:tcBorders>
        </w:tcPr>
        <w:p w:rsidR="00825A57" w:rsidRDefault="00825A57" w:rsidP="00825A57">
          <w:pPr>
            <w:rPr>
              <w:sz w:val="20"/>
            </w:rPr>
          </w:pPr>
          <w:r>
            <w:rPr>
              <w:sz w:val="20"/>
            </w:rPr>
            <w:t>70 - 78 °F</w:t>
          </w:r>
        </w:p>
      </w:tc>
    </w:tr>
    <w:tr w:rsidR="00825A57" w:rsidTr="00825A57">
      <w:tc>
        <w:tcPr>
          <w:tcW w:w="2718" w:type="dxa"/>
        </w:tcPr>
        <w:p w:rsidR="00825A57" w:rsidRDefault="00825A57" w:rsidP="00825A57">
          <w:pPr>
            <w:jc w:val="right"/>
            <w:rPr>
              <w:sz w:val="20"/>
            </w:rPr>
          </w:pPr>
        </w:p>
      </w:tc>
      <w:tc>
        <w:tcPr>
          <w:tcW w:w="4860" w:type="dxa"/>
        </w:tcPr>
        <w:p w:rsidR="00825A57" w:rsidRDefault="00825A57" w:rsidP="00825A57">
          <w:pPr>
            <w:rPr>
              <w:sz w:val="20"/>
            </w:rPr>
          </w:pPr>
          <w:r>
            <w:rPr>
              <w:sz w:val="20"/>
            </w:rPr>
            <w:t>&gt; 800 ppm = indicative of ventilation problems</w:t>
          </w:r>
        </w:p>
      </w:tc>
      <w:tc>
        <w:tcPr>
          <w:tcW w:w="3600" w:type="dxa"/>
        </w:tcPr>
        <w:p w:rsidR="00825A57" w:rsidRDefault="00825A57" w:rsidP="00825A57">
          <w:pPr>
            <w:jc w:val="right"/>
            <w:rPr>
              <w:sz w:val="20"/>
            </w:rPr>
          </w:pPr>
          <w:r>
            <w:rPr>
              <w:sz w:val="20"/>
            </w:rPr>
            <w:t>Relative Humidity:</w:t>
          </w:r>
        </w:p>
      </w:tc>
      <w:tc>
        <w:tcPr>
          <w:tcW w:w="3420" w:type="dxa"/>
        </w:tcPr>
        <w:p w:rsidR="00825A57" w:rsidRDefault="00825A57" w:rsidP="00825A57">
          <w:pPr>
            <w:rPr>
              <w:sz w:val="20"/>
            </w:rPr>
          </w:pPr>
          <w:r>
            <w:rPr>
              <w:sz w:val="20"/>
            </w:rPr>
            <w:t>40 - 60%</w:t>
          </w:r>
        </w:p>
      </w:tc>
    </w:tr>
  </w:tbl>
  <w:p w:rsidR="00825A57" w:rsidRDefault="00825A57" w:rsidP="00825A57">
    <w:pPr>
      <w:pStyle w:val="Footer"/>
      <w:jc w:val="center"/>
    </w:pPr>
  </w:p>
  <w:p w:rsidR="00825A57" w:rsidRPr="00FB37EB" w:rsidRDefault="00825A57" w:rsidP="00825A57">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4D5C8D">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526"/>
      <w:gridCol w:w="2202"/>
    </w:tblGrid>
    <w:tr w:rsidR="00825A57" w:rsidRPr="00F374D5" w:rsidTr="00825A57">
      <w:trPr>
        <w:trHeight w:val="300"/>
        <w:jc w:val="center"/>
      </w:trPr>
      <w:tc>
        <w:tcPr>
          <w:tcW w:w="3407"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Pr>
              <w:rFonts w:ascii="Times" w:hAnsi="Times" w:cs="Times"/>
              <w:sz w:val="20"/>
            </w:rPr>
            <w:t>CP = cleaning products</w:t>
          </w:r>
        </w:p>
      </w:tc>
      <w:tc>
        <w:tcPr>
          <w:tcW w:w="2526"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Pr>
              <w:rFonts w:ascii="Times" w:hAnsi="Times" w:cs="Times"/>
              <w:sz w:val="20"/>
            </w:rPr>
            <w:t>HS = hand sanitizer</w:t>
          </w:r>
        </w:p>
      </w:tc>
      <w:tc>
        <w:tcPr>
          <w:tcW w:w="2202"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Pr>
              <w:rFonts w:ascii="Times" w:hAnsi="Times" w:cs="Times"/>
              <w:sz w:val="20"/>
            </w:rPr>
            <w:t>PF = personal fan</w:t>
          </w:r>
        </w:p>
      </w:tc>
    </w:tr>
    <w:tr w:rsidR="00825A57" w:rsidRPr="00F374D5" w:rsidTr="00825A57">
      <w:trPr>
        <w:trHeight w:val="300"/>
        <w:jc w:val="center"/>
      </w:trPr>
      <w:tc>
        <w:tcPr>
          <w:tcW w:w="3407"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825A57" w:rsidRDefault="00825A57" w:rsidP="00825A57">
          <w:pPr>
            <w:rPr>
              <w:rFonts w:ascii="Times" w:hAnsi="Times" w:cs="Times"/>
              <w:sz w:val="20"/>
            </w:rPr>
          </w:pPr>
          <w:r>
            <w:rPr>
              <w:rFonts w:ascii="Times" w:hAnsi="Times" w:cs="Times"/>
              <w:sz w:val="20"/>
            </w:rPr>
            <w:t>DEM = dry erase materials</w:t>
          </w:r>
        </w:p>
      </w:tc>
      <w:tc>
        <w:tcPr>
          <w:tcW w:w="2526" w:type="dxa"/>
          <w:tcBorders>
            <w:top w:val="nil"/>
            <w:left w:val="nil"/>
            <w:bottom w:val="nil"/>
            <w:right w:val="nil"/>
          </w:tcBorders>
          <w:shd w:val="clear" w:color="auto" w:fill="auto"/>
          <w:noWrap/>
          <w:vAlign w:val="center"/>
        </w:tcPr>
        <w:p w:rsidR="00825A57" w:rsidRDefault="00825A57" w:rsidP="00825A57">
          <w:pPr>
            <w:rPr>
              <w:rFonts w:ascii="Times" w:hAnsi="Times" w:cs="Times"/>
              <w:sz w:val="20"/>
            </w:rPr>
          </w:pPr>
          <w:r>
            <w:rPr>
              <w:rFonts w:ascii="Times" w:hAnsi="Times" w:cs="Times"/>
              <w:sz w:val="20"/>
            </w:rPr>
            <w:t>ND = non detect</w:t>
          </w:r>
        </w:p>
      </w:tc>
      <w:tc>
        <w:tcPr>
          <w:tcW w:w="2202" w:type="dxa"/>
          <w:tcBorders>
            <w:top w:val="nil"/>
            <w:left w:val="nil"/>
            <w:bottom w:val="nil"/>
            <w:right w:val="nil"/>
          </w:tcBorders>
          <w:shd w:val="clear" w:color="auto" w:fill="auto"/>
          <w:noWrap/>
          <w:vAlign w:val="center"/>
        </w:tcPr>
        <w:p w:rsidR="00825A57" w:rsidRPr="00F374D5" w:rsidRDefault="00825A57" w:rsidP="00825A57">
          <w:pPr>
            <w:rPr>
              <w:rFonts w:ascii="Times" w:hAnsi="Times" w:cs="Times"/>
              <w:sz w:val="20"/>
            </w:rPr>
          </w:pPr>
        </w:p>
      </w:tc>
    </w:tr>
  </w:tbl>
  <w:p w:rsidR="00825A57" w:rsidRDefault="00825A57" w:rsidP="00825A57">
    <w:pPr>
      <w:tabs>
        <w:tab w:val="left" w:pos="9180"/>
      </w:tabs>
      <w:rPr>
        <w:b/>
        <w:sz w:val="20"/>
      </w:rPr>
    </w:pPr>
  </w:p>
  <w:p w:rsidR="00825A57" w:rsidRDefault="00825A57" w:rsidP="00825A5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25A57" w:rsidTr="00825A57">
      <w:tc>
        <w:tcPr>
          <w:tcW w:w="2718" w:type="dxa"/>
          <w:tcBorders>
            <w:top w:val="single" w:sz="18" w:space="0" w:color="auto"/>
          </w:tcBorders>
        </w:tcPr>
        <w:p w:rsidR="00825A57" w:rsidRDefault="00825A57" w:rsidP="00825A5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25A57" w:rsidRDefault="00825A57" w:rsidP="00825A57">
          <w:pPr>
            <w:rPr>
              <w:sz w:val="20"/>
            </w:rPr>
          </w:pPr>
          <w:r>
            <w:rPr>
              <w:sz w:val="20"/>
            </w:rPr>
            <w:t>&lt; 800 ppm = preferred</w:t>
          </w:r>
        </w:p>
      </w:tc>
      <w:tc>
        <w:tcPr>
          <w:tcW w:w="3600" w:type="dxa"/>
          <w:tcBorders>
            <w:top w:val="single" w:sz="18" w:space="0" w:color="auto"/>
          </w:tcBorders>
        </w:tcPr>
        <w:p w:rsidR="00825A57" w:rsidRDefault="00825A57" w:rsidP="00825A57">
          <w:pPr>
            <w:jc w:val="right"/>
            <w:rPr>
              <w:sz w:val="20"/>
            </w:rPr>
          </w:pPr>
          <w:r>
            <w:rPr>
              <w:sz w:val="20"/>
            </w:rPr>
            <w:t>Temperature:</w:t>
          </w:r>
        </w:p>
      </w:tc>
      <w:tc>
        <w:tcPr>
          <w:tcW w:w="3420" w:type="dxa"/>
          <w:tcBorders>
            <w:top w:val="single" w:sz="18" w:space="0" w:color="auto"/>
          </w:tcBorders>
        </w:tcPr>
        <w:p w:rsidR="00825A57" w:rsidRDefault="00825A57" w:rsidP="00825A57">
          <w:pPr>
            <w:rPr>
              <w:sz w:val="20"/>
            </w:rPr>
          </w:pPr>
          <w:r>
            <w:rPr>
              <w:sz w:val="20"/>
            </w:rPr>
            <w:t>70 - 78 °F</w:t>
          </w:r>
        </w:p>
      </w:tc>
    </w:tr>
    <w:tr w:rsidR="00825A57" w:rsidTr="00825A57">
      <w:tc>
        <w:tcPr>
          <w:tcW w:w="2718" w:type="dxa"/>
        </w:tcPr>
        <w:p w:rsidR="00825A57" w:rsidRDefault="00825A57" w:rsidP="00825A57">
          <w:pPr>
            <w:jc w:val="right"/>
            <w:rPr>
              <w:sz w:val="20"/>
            </w:rPr>
          </w:pPr>
        </w:p>
      </w:tc>
      <w:tc>
        <w:tcPr>
          <w:tcW w:w="4860" w:type="dxa"/>
        </w:tcPr>
        <w:p w:rsidR="00825A57" w:rsidRDefault="00825A57" w:rsidP="00825A57">
          <w:pPr>
            <w:rPr>
              <w:sz w:val="20"/>
            </w:rPr>
          </w:pPr>
          <w:r>
            <w:rPr>
              <w:sz w:val="20"/>
            </w:rPr>
            <w:t>&gt; 800 ppm = indicative of ventilation problems</w:t>
          </w:r>
        </w:p>
      </w:tc>
      <w:tc>
        <w:tcPr>
          <w:tcW w:w="3600" w:type="dxa"/>
        </w:tcPr>
        <w:p w:rsidR="00825A57" w:rsidRDefault="00825A57" w:rsidP="00825A57">
          <w:pPr>
            <w:jc w:val="right"/>
            <w:rPr>
              <w:sz w:val="20"/>
            </w:rPr>
          </w:pPr>
          <w:r>
            <w:rPr>
              <w:sz w:val="20"/>
            </w:rPr>
            <w:t>Relative Humidity:</w:t>
          </w:r>
        </w:p>
      </w:tc>
      <w:tc>
        <w:tcPr>
          <w:tcW w:w="3420" w:type="dxa"/>
        </w:tcPr>
        <w:p w:rsidR="00825A57" w:rsidRDefault="00825A57" w:rsidP="00825A57">
          <w:pPr>
            <w:rPr>
              <w:sz w:val="20"/>
            </w:rPr>
          </w:pPr>
          <w:r>
            <w:rPr>
              <w:sz w:val="20"/>
            </w:rPr>
            <w:t>40 - 60%</w:t>
          </w:r>
        </w:p>
      </w:tc>
    </w:tr>
  </w:tbl>
  <w:p w:rsidR="00825A57" w:rsidRDefault="00825A57" w:rsidP="00825A57">
    <w:pPr>
      <w:pStyle w:val="Footer"/>
      <w:jc w:val="center"/>
    </w:pPr>
  </w:p>
  <w:p w:rsidR="00825A57" w:rsidRDefault="00825A57" w:rsidP="00825A57">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4D5C8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855" w:rsidRDefault="00FB5855">
      <w:r>
        <w:separator/>
      </w:r>
    </w:p>
  </w:footnote>
  <w:footnote w:type="continuationSeparator" w:id="0">
    <w:p w:rsidR="00FB5855" w:rsidRDefault="00FB5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825A57" w:rsidTr="00825A57">
      <w:trPr>
        <w:cantSplit/>
      </w:trPr>
      <w:tc>
        <w:tcPr>
          <w:tcW w:w="12258" w:type="dxa"/>
          <w:gridSpan w:val="3"/>
        </w:tcPr>
        <w:p w:rsidR="00825A57" w:rsidRPr="00677AC6" w:rsidRDefault="00825A57" w:rsidP="00825A57">
          <w:pPr>
            <w:pStyle w:val="Header"/>
            <w:spacing w:before="60" w:after="60"/>
            <w:rPr>
              <w:b/>
            </w:rPr>
          </w:pPr>
          <w:r>
            <w:rPr>
              <w:b/>
            </w:rPr>
            <w:t>Location: DCAMM Energy Group</w:t>
          </w:r>
        </w:p>
      </w:tc>
      <w:tc>
        <w:tcPr>
          <w:tcW w:w="2358" w:type="dxa"/>
        </w:tcPr>
        <w:p w:rsidR="00825A57" w:rsidRDefault="00825A57" w:rsidP="00825A57">
          <w:pPr>
            <w:pStyle w:val="Header"/>
            <w:tabs>
              <w:tab w:val="clear" w:pos="4320"/>
              <w:tab w:val="clear" w:pos="8640"/>
            </w:tabs>
            <w:spacing w:before="60" w:after="60"/>
            <w:rPr>
              <w:b/>
            </w:rPr>
          </w:pPr>
          <w:r>
            <w:rPr>
              <w:b/>
            </w:rPr>
            <w:t>Indoor Air Results</w:t>
          </w:r>
        </w:p>
      </w:tc>
    </w:tr>
    <w:tr w:rsidR="00825A57" w:rsidTr="00825A57">
      <w:trPr>
        <w:cantSplit/>
      </w:trPr>
      <w:tc>
        <w:tcPr>
          <w:tcW w:w="6228" w:type="dxa"/>
        </w:tcPr>
        <w:p w:rsidR="00825A57" w:rsidRDefault="00825A57" w:rsidP="00825A57">
          <w:pPr>
            <w:pStyle w:val="Header"/>
            <w:spacing w:before="60" w:after="60"/>
            <w:rPr>
              <w:b/>
            </w:rPr>
          </w:pPr>
          <w:r>
            <w:rPr>
              <w:b/>
            </w:rPr>
            <w:t xml:space="preserve">Address: One </w:t>
          </w:r>
          <w:proofErr w:type="spellStart"/>
          <w:r>
            <w:rPr>
              <w:b/>
            </w:rPr>
            <w:t>Ashburton</w:t>
          </w:r>
          <w:proofErr w:type="spellEnd"/>
          <w:r>
            <w:rPr>
              <w:b/>
            </w:rPr>
            <w:t xml:space="preserve"> Place, Boston, MA 16</w:t>
          </w:r>
          <w:r w:rsidRPr="00272A67">
            <w:rPr>
              <w:b/>
              <w:vertAlign w:val="superscript"/>
            </w:rPr>
            <w:t>th</w:t>
          </w:r>
          <w:r>
            <w:rPr>
              <w:b/>
            </w:rPr>
            <w:t xml:space="preserve"> floor</w:t>
          </w:r>
        </w:p>
      </w:tc>
      <w:tc>
        <w:tcPr>
          <w:tcW w:w="3516" w:type="dxa"/>
        </w:tcPr>
        <w:p w:rsidR="00825A57" w:rsidRDefault="00825A57" w:rsidP="00825A57">
          <w:pPr>
            <w:pStyle w:val="Header"/>
            <w:tabs>
              <w:tab w:val="clear" w:pos="4320"/>
              <w:tab w:val="clear" w:pos="8640"/>
            </w:tabs>
            <w:spacing w:before="60" w:after="60"/>
            <w:jc w:val="center"/>
            <w:rPr>
              <w:b/>
              <w:sz w:val="28"/>
            </w:rPr>
          </w:pPr>
          <w:r>
            <w:rPr>
              <w:b/>
              <w:sz w:val="28"/>
            </w:rPr>
            <w:t>Table 1 (continued)</w:t>
          </w:r>
        </w:p>
      </w:tc>
      <w:tc>
        <w:tcPr>
          <w:tcW w:w="2514" w:type="dxa"/>
        </w:tcPr>
        <w:p w:rsidR="00825A57" w:rsidRDefault="00825A57" w:rsidP="00825A57">
          <w:pPr>
            <w:pStyle w:val="Header"/>
            <w:tabs>
              <w:tab w:val="clear" w:pos="4320"/>
              <w:tab w:val="clear" w:pos="8640"/>
            </w:tabs>
            <w:spacing w:before="60" w:after="60"/>
            <w:rPr>
              <w:b/>
            </w:rPr>
          </w:pPr>
        </w:p>
      </w:tc>
      <w:tc>
        <w:tcPr>
          <w:tcW w:w="2358" w:type="dxa"/>
        </w:tcPr>
        <w:p w:rsidR="00825A57" w:rsidRDefault="00825A57" w:rsidP="00825A57">
          <w:pPr>
            <w:pStyle w:val="Header"/>
            <w:tabs>
              <w:tab w:val="clear" w:pos="4320"/>
              <w:tab w:val="clear" w:pos="8640"/>
            </w:tabs>
            <w:spacing w:before="60" w:after="60"/>
            <w:rPr>
              <w:b/>
            </w:rPr>
          </w:pPr>
          <w:r w:rsidRPr="00677AC6">
            <w:rPr>
              <w:b/>
            </w:rPr>
            <w:t>Date:</w:t>
          </w:r>
          <w:r>
            <w:rPr>
              <w:b/>
            </w:rPr>
            <w:t xml:space="preserve"> 4/14/2017</w:t>
          </w:r>
        </w:p>
      </w:tc>
    </w:tr>
  </w:tbl>
  <w:p w:rsidR="00825A57" w:rsidRPr="00FB37EB" w:rsidRDefault="00825A57" w:rsidP="00825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825A57" w:rsidTr="00825A57">
      <w:trPr>
        <w:cantSplit/>
      </w:trPr>
      <w:tc>
        <w:tcPr>
          <w:tcW w:w="12258" w:type="dxa"/>
          <w:gridSpan w:val="3"/>
        </w:tcPr>
        <w:p w:rsidR="00825A57" w:rsidRPr="00677AC6" w:rsidRDefault="00825A57" w:rsidP="00825A57">
          <w:pPr>
            <w:pStyle w:val="Header"/>
            <w:spacing w:before="60" w:after="60"/>
            <w:rPr>
              <w:b/>
            </w:rPr>
          </w:pPr>
          <w:r>
            <w:rPr>
              <w:b/>
            </w:rPr>
            <w:t>Location: DCAMM Energy Group</w:t>
          </w:r>
        </w:p>
      </w:tc>
      <w:tc>
        <w:tcPr>
          <w:tcW w:w="2358" w:type="dxa"/>
        </w:tcPr>
        <w:p w:rsidR="00825A57" w:rsidRDefault="00825A57" w:rsidP="00825A57">
          <w:pPr>
            <w:pStyle w:val="Header"/>
            <w:tabs>
              <w:tab w:val="clear" w:pos="4320"/>
              <w:tab w:val="clear" w:pos="8640"/>
            </w:tabs>
            <w:spacing w:before="60" w:after="60"/>
            <w:rPr>
              <w:b/>
            </w:rPr>
          </w:pPr>
          <w:r>
            <w:rPr>
              <w:b/>
            </w:rPr>
            <w:t>Indoor Air Results</w:t>
          </w:r>
        </w:p>
      </w:tc>
    </w:tr>
    <w:tr w:rsidR="00825A57" w:rsidTr="00825A57">
      <w:trPr>
        <w:cantSplit/>
      </w:trPr>
      <w:tc>
        <w:tcPr>
          <w:tcW w:w="6228" w:type="dxa"/>
        </w:tcPr>
        <w:p w:rsidR="00825A57" w:rsidRDefault="00825A57" w:rsidP="00825A57">
          <w:pPr>
            <w:pStyle w:val="Header"/>
            <w:spacing w:before="60" w:after="60"/>
            <w:rPr>
              <w:b/>
            </w:rPr>
          </w:pPr>
          <w:r>
            <w:rPr>
              <w:b/>
            </w:rPr>
            <w:t xml:space="preserve">Address: One </w:t>
          </w:r>
          <w:proofErr w:type="spellStart"/>
          <w:r>
            <w:rPr>
              <w:b/>
            </w:rPr>
            <w:t>Ashburton</w:t>
          </w:r>
          <w:proofErr w:type="spellEnd"/>
          <w:r>
            <w:rPr>
              <w:b/>
            </w:rPr>
            <w:t xml:space="preserve"> Place, Boston, MA 16</w:t>
          </w:r>
          <w:r w:rsidRPr="00272A67">
            <w:rPr>
              <w:b/>
              <w:vertAlign w:val="superscript"/>
            </w:rPr>
            <w:t>th</w:t>
          </w:r>
          <w:r>
            <w:rPr>
              <w:b/>
            </w:rPr>
            <w:t xml:space="preserve"> floor</w:t>
          </w:r>
        </w:p>
      </w:tc>
      <w:tc>
        <w:tcPr>
          <w:tcW w:w="3516" w:type="dxa"/>
        </w:tcPr>
        <w:p w:rsidR="00825A57" w:rsidRDefault="00825A57" w:rsidP="00825A57">
          <w:pPr>
            <w:pStyle w:val="Header"/>
            <w:tabs>
              <w:tab w:val="clear" w:pos="4320"/>
              <w:tab w:val="clear" w:pos="8640"/>
            </w:tabs>
            <w:spacing w:before="60" w:after="60"/>
            <w:jc w:val="center"/>
            <w:rPr>
              <w:b/>
              <w:sz w:val="28"/>
            </w:rPr>
          </w:pPr>
          <w:r>
            <w:rPr>
              <w:b/>
              <w:sz w:val="28"/>
            </w:rPr>
            <w:t>Table 1</w:t>
          </w:r>
        </w:p>
      </w:tc>
      <w:tc>
        <w:tcPr>
          <w:tcW w:w="2514" w:type="dxa"/>
        </w:tcPr>
        <w:p w:rsidR="00825A57" w:rsidRDefault="00825A57" w:rsidP="00825A57">
          <w:pPr>
            <w:pStyle w:val="Header"/>
            <w:tabs>
              <w:tab w:val="clear" w:pos="4320"/>
              <w:tab w:val="clear" w:pos="8640"/>
            </w:tabs>
            <w:spacing w:before="60" w:after="60"/>
            <w:rPr>
              <w:b/>
            </w:rPr>
          </w:pPr>
        </w:p>
      </w:tc>
      <w:tc>
        <w:tcPr>
          <w:tcW w:w="2358" w:type="dxa"/>
        </w:tcPr>
        <w:p w:rsidR="00825A57" w:rsidRDefault="00825A57" w:rsidP="00825A57">
          <w:pPr>
            <w:pStyle w:val="Header"/>
            <w:tabs>
              <w:tab w:val="clear" w:pos="4320"/>
              <w:tab w:val="clear" w:pos="8640"/>
            </w:tabs>
            <w:spacing w:before="60" w:after="60"/>
            <w:rPr>
              <w:b/>
            </w:rPr>
          </w:pPr>
          <w:r w:rsidRPr="00677AC6">
            <w:rPr>
              <w:b/>
            </w:rPr>
            <w:t>Date:</w:t>
          </w:r>
          <w:r>
            <w:rPr>
              <w:b/>
            </w:rPr>
            <w:t xml:space="preserve"> 4/14/2017</w:t>
          </w:r>
        </w:p>
      </w:tc>
    </w:tr>
  </w:tbl>
  <w:p w:rsidR="00825A57" w:rsidRDefault="00825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FC6D8A"/>
    <w:multiLevelType w:val="multilevel"/>
    <w:tmpl w:val="1762915E"/>
    <w:numStyleLink w:val="StyleBulletedSymbolsymbolBoldLeft0Hanging0251"/>
  </w:abstractNum>
  <w:abstractNum w:abstractNumId="2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4"/>
  </w:num>
  <w:num w:numId="7">
    <w:abstractNumId w:val="23"/>
  </w:num>
  <w:num w:numId="8">
    <w:abstractNumId w:val="6"/>
  </w:num>
  <w:num w:numId="9">
    <w:abstractNumId w:val="1"/>
  </w:num>
  <w:num w:numId="10">
    <w:abstractNumId w:val="7"/>
  </w:num>
  <w:num w:numId="11">
    <w:abstractNumId w:val="17"/>
  </w:num>
  <w:num w:numId="12">
    <w:abstractNumId w:val="5"/>
  </w:num>
  <w:num w:numId="13">
    <w:abstractNumId w:val="19"/>
  </w:num>
  <w:num w:numId="14">
    <w:abstractNumId w:val="15"/>
  </w:num>
  <w:num w:numId="15">
    <w:abstractNumId w:val="4"/>
  </w:num>
  <w:num w:numId="16">
    <w:abstractNumId w:val="14"/>
  </w:num>
  <w:num w:numId="17">
    <w:abstractNumId w:val="3"/>
  </w:num>
  <w:num w:numId="18">
    <w:abstractNumId w:val="8"/>
  </w:num>
  <w:num w:numId="19">
    <w:abstractNumId w:val="22"/>
  </w:num>
  <w:num w:numId="20">
    <w:abstractNumId w:val="21"/>
  </w:num>
  <w:num w:numId="21">
    <w:abstractNumId w:val="25"/>
  </w:num>
  <w:num w:numId="22">
    <w:abstractNumId w:val="16"/>
  </w:num>
  <w:num w:numId="23">
    <w:abstractNumId w:val="18"/>
  </w:num>
  <w:num w:numId="24">
    <w:abstractNumId w:val="2"/>
  </w:num>
  <w:num w:numId="25">
    <w:abstractNumId w:val="20"/>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378E9"/>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5D28"/>
    <w:rsid w:val="000D6993"/>
    <w:rsid w:val="000D6D88"/>
    <w:rsid w:val="000D6E60"/>
    <w:rsid w:val="000D7274"/>
    <w:rsid w:val="000D77C0"/>
    <w:rsid w:val="000E3262"/>
    <w:rsid w:val="000E3EA9"/>
    <w:rsid w:val="000E64AB"/>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5797"/>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AE4"/>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41F"/>
    <w:rsid w:val="00225FC8"/>
    <w:rsid w:val="00226C7A"/>
    <w:rsid w:val="002302C2"/>
    <w:rsid w:val="002306EA"/>
    <w:rsid w:val="00231532"/>
    <w:rsid w:val="00232365"/>
    <w:rsid w:val="002343B4"/>
    <w:rsid w:val="00234F3C"/>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62F0"/>
    <w:rsid w:val="0028728A"/>
    <w:rsid w:val="00287A1F"/>
    <w:rsid w:val="00290EA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71C5"/>
    <w:rsid w:val="00367B9E"/>
    <w:rsid w:val="00370275"/>
    <w:rsid w:val="00370784"/>
    <w:rsid w:val="00370DA2"/>
    <w:rsid w:val="00371434"/>
    <w:rsid w:val="003717E5"/>
    <w:rsid w:val="00372350"/>
    <w:rsid w:val="0037337C"/>
    <w:rsid w:val="00373943"/>
    <w:rsid w:val="00373B4E"/>
    <w:rsid w:val="003754B2"/>
    <w:rsid w:val="0037643B"/>
    <w:rsid w:val="0037757C"/>
    <w:rsid w:val="003820B3"/>
    <w:rsid w:val="00382A79"/>
    <w:rsid w:val="00382BFA"/>
    <w:rsid w:val="003835AD"/>
    <w:rsid w:val="00383BB7"/>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D78FF"/>
    <w:rsid w:val="003E1308"/>
    <w:rsid w:val="003E196A"/>
    <w:rsid w:val="003E1AD3"/>
    <w:rsid w:val="003E269B"/>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345"/>
    <w:rsid w:val="004275C1"/>
    <w:rsid w:val="004301A4"/>
    <w:rsid w:val="0043075D"/>
    <w:rsid w:val="00430C1F"/>
    <w:rsid w:val="00430E0D"/>
    <w:rsid w:val="0043143C"/>
    <w:rsid w:val="00432201"/>
    <w:rsid w:val="0043332C"/>
    <w:rsid w:val="00433F00"/>
    <w:rsid w:val="004340D7"/>
    <w:rsid w:val="00436E4C"/>
    <w:rsid w:val="00437F04"/>
    <w:rsid w:val="004409C4"/>
    <w:rsid w:val="00440C99"/>
    <w:rsid w:val="004411D8"/>
    <w:rsid w:val="00441201"/>
    <w:rsid w:val="00441790"/>
    <w:rsid w:val="004424F9"/>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070A"/>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3D23"/>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5C8D"/>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36AFA"/>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1F94"/>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4FE6"/>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EAC"/>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4811"/>
    <w:rsid w:val="0064541B"/>
    <w:rsid w:val="0064547F"/>
    <w:rsid w:val="0064548F"/>
    <w:rsid w:val="00646E09"/>
    <w:rsid w:val="00651657"/>
    <w:rsid w:val="0065198B"/>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3F"/>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41C7"/>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32C"/>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B7C"/>
    <w:rsid w:val="00817892"/>
    <w:rsid w:val="00817A52"/>
    <w:rsid w:val="008200D0"/>
    <w:rsid w:val="00820D4D"/>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5A57"/>
    <w:rsid w:val="008261E3"/>
    <w:rsid w:val="00826E5C"/>
    <w:rsid w:val="00830C6A"/>
    <w:rsid w:val="008310F1"/>
    <w:rsid w:val="008339DA"/>
    <w:rsid w:val="00833D79"/>
    <w:rsid w:val="00834909"/>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91E"/>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21D2"/>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14D"/>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0FF6"/>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BED"/>
    <w:rsid w:val="00912C72"/>
    <w:rsid w:val="009132D0"/>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5917"/>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8EA"/>
    <w:rsid w:val="00967AF4"/>
    <w:rsid w:val="009703B3"/>
    <w:rsid w:val="00972A32"/>
    <w:rsid w:val="00973419"/>
    <w:rsid w:val="00973635"/>
    <w:rsid w:val="00973BA9"/>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3C0"/>
    <w:rsid w:val="009D26CE"/>
    <w:rsid w:val="009D2AB1"/>
    <w:rsid w:val="009D2E84"/>
    <w:rsid w:val="009D58C1"/>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D84"/>
    <w:rsid w:val="00A63B94"/>
    <w:rsid w:val="00A64B61"/>
    <w:rsid w:val="00A64C3F"/>
    <w:rsid w:val="00A64D7B"/>
    <w:rsid w:val="00A64EBD"/>
    <w:rsid w:val="00A65108"/>
    <w:rsid w:val="00A65AAD"/>
    <w:rsid w:val="00A660B5"/>
    <w:rsid w:val="00A6613C"/>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620"/>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1485"/>
    <w:rsid w:val="00AB2DD3"/>
    <w:rsid w:val="00AB3406"/>
    <w:rsid w:val="00AB382D"/>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1ED"/>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17C38"/>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BD"/>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B6E"/>
    <w:rsid w:val="00BF6C84"/>
    <w:rsid w:val="00BF7118"/>
    <w:rsid w:val="00BF76D9"/>
    <w:rsid w:val="00BF7DE9"/>
    <w:rsid w:val="00C00431"/>
    <w:rsid w:val="00C00462"/>
    <w:rsid w:val="00C00AA8"/>
    <w:rsid w:val="00C01534"/>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56E"/>
    <w:rsid w:val="00C65889"/>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FF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544"/>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BED"/>
    <w:rsid w:val="00D0424E"/>
    <w:rsid w:val="00D04B69"/>
    <w:rsid w:val="00D050CE"/>
    <w:rsid w:val="00D0639A"/>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F2A"/>
    <w:rsid w:val="00D17828"/>
    <w:rsid w:val="00D20769"/>
    <w:rsid w:val="00D211C0"/>
    <w:rsid w:val="00D21960"/>
    <w:rsid w:val="00D23582"/>
    <w:rsid w:val="00D23C5A"/>
    <w:rsid w:val="00D25C39"/>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61"/>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5153"/>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0A3B"/>
    <w:rsid w:val="00E010EF"/>
    <w:rsid w:val="00E017F4"/>
    <w:rsid w:val="00E023EE"/>
    <w:rsid w:val="00E02C8F"/>
    <w:rsid w:val="00E02EAB"/>
    <w:rsid w:val="00E03657"/>
    <w:rsid w:val="00E04110"/>
    <w:rsid w:val="00E06A7B"/>
    <w:rsid w:val="00E07992"/>
    <w:rsid w:val="00E102B0"/>
    <w:rsid w:val="00E10416"/>
    <w:rsid w:val="00E11055"/>
    <w:rsid w:val="00E115C8"/>
    <w:rsid w:val="00E125FF"/>
    <w:rsid w:val="00E133E4"/>
    <w:rsid w:val="00E151F2"/>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C16"/>
    <w:rsid w:val="00E24E8E"/>
    <w:rsid w:val="00E24E9E"/>
    <w:rsid w:val="00E25580"/>
    <w:rsid w:val="00E25D0C"/>
    <w:rsid w:val="00E26600"/>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57A"/>
    <w:rsid w:val="00EF6658"/>
    <w:rsid w:val="00EF697F"/>
    <w:rsid w:val="00EF6CE0"/>
    <w:rsid w:val="00EF77A4"/>
    <w:rsid w:val="00F00E4B"/>
    <w:rsid w:val="00F013E6"/>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07B"/>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1419"/>
    <w:rsid w:val="00F516B0"/>
    <w:rsid w:val="00F5229F"/>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D24"/>
    <w:rsid w:val="00FB3500"/>
    <w:rsid w:val="00FB3CD4"/>
    <w:rsid w:val="00FB408A"/>
    <w:rsid w:val="00FB57D1"/>
    <w:rsid w:val="00FB5855"/>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1E6AE4"/>
    <w:rPr>
      <w:sz w:val="24"/>
    </w:rPr>
  </w:style>
  <w:style w:type="character" w:customStyle="1" w:styleId="FooterChar">
    <w:name w:val="Footer Char"/>
    <w:link w:val="Footer"/>
    <w:uiPriority w:val="99"/>
    <w:rsid w:val="001E6AE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1E6AE4"/>
    <w:rPr>
      <w:sz w:val="24"/>
    </w:rPr>
  </w:style>
  <w:style w:type="character" w:customStyle="1" w:styleId="FooterChar">
    <w:name w:val="Footer Char"/>
    <w:link w:val="Footer"/>
    <w:uiPriority w:val="99"/>
    <w:rsid w:val="001E6A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82890937">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mass.gov/eohhs/gov/departments/dph/programs/environmental-health/exposure-topics/iaq/iaq-manu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footer" Target="footer3.xml"/>
  <Relationship Id="rId18" Type="http://schemas.openxmlformats.org/officeDocument/2006/relationships/header" Target="header1.xml"/>
  <Relationship Id="rId19" Type="http://schemas.openxmlformats.org/officeDocument/2006/relationships/footer" Target="footer4.xml"/>
  <Relationship Id="rId2" Type="http://schemas.openxmlformats.org/officeDocument/2006/relationships/numbering" Target="numbering.xml"/>
  <Relationship Id="rId20" Type="http://schemas.openxmlformats.org/officeDocument/2006/relationships/header" Target="header2.xml"/>
  <Relationship Id="rId21" Type="http://schemas.openxmlformats.org/officeDocument/2006/relationships/footer" Target="footer5.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DB285-4605-486A-99A1-C206EC91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1627</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Indoor Air Quality Assessment - Massachusetts Division of Capital Asset Managementand Maintenance (DCAMM), Energy Group, 1 Ashburton Place, 16th floor, Boston, MA - April 2017</vt:lpstr>
    </vt:vector>
  </TitlesOfParts>
  <Company>MDPH</Company>
  <LinksUpToDate>false</LinksUpToDate>
  <CharactersWithSpaces>10501</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2017-04-24T13:00:00Z</dcterms:created>
  <dc:creator>MDPH - Indoor Air Quality Program</dc:creator>
  <keywords>1 Ashburton Place, Boston</keywords>
  <lastModifiedBy>sysadmin</lastModifiedBy>
  <lastPrinted>2017-04-18T18:28:00Z</lastPrinted>
  <dcterms:modified xsi:type="dcterms:W3CDTF">2017-04-24T13:00:00Z</dcterms:modified>
  <revision>2</revision>
  <dc:subject>On April 14, 2017; as a follow up to a previous report conducted on March 6, 2017; the Indoor Air Quality Program conducted a assessment at the Massachusetts Division of Capital Asset Management and Maintenance (DCAMM), Energy Group, 1 Ashburton Place, 16th floor, Boston, MA.</dc:subject>
  <dc:title>Indoor Air Quality Assessment - Massachusetts Division of Capital Asset Managementand Maintenance (DCAMM), Energy Group, 1 Ashburton Place, 16th floor, Boston, MA - April 2017</dc:title>
</coreProperties>
</file>