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5E4FC" w14:textId="35D5B922" w:rsidR="00F02C6A" w:rsidRDefault="008109B8" w:rsidP="00E10355">
      <w:pPr>
        <w:spacing w:before="97"/>
        <w:ind w:left="112"/>
        <w:jc w:val="center"/>
        <w:rPr>
          <w:rFonts w:ascii="Times New Roman" w:eastAsia="Times New Roman" w:hAnsi="Times New Roman" w:cs="Times New Roman"/>
          <w:sz w:val="20"/>
          <w:szCs w:val="20"/>
        </w:rPr>
      </w:pPr>
      <w:r>
        <w:rPr>
          <w:noProof/>
          <w:color w:val="2B579A"/>
          <w:shd w:val="clear" w:color="auto" w:fill="E6E6E6"/>
        </w:rPr>
        <mc:AlternateContent>
          <mc:Choice Requires="wpg">
            <w:drawing>
              <wp:anchor distT="0" distB="0" distL="114300" distR="114300" simplePos="0" relativeHeight="251658241" behindDoc="1" locked="0" layoutInCell="1" allowOverlap="1" wp14:anchorId="47D3A6D3" wp14:editId="1DB3BC74">
                <wp:simplePos x="0" y="0"/>
                <wp:positionH relativeFrom="page">
                  <wp:posOffset>7740650</wp:posOffset>
                </wp:positionH>
                <wp:positionV relativeFrom="page">
                  <wp:posOffset>5117465</wp:posOffset>
                </wp:positionV>
                <wp:extent cx="1270" cy="2169795"/>
                <wp:effectExtent l="6350" t="12065" r="11430" b="889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69795"/>
                          <a:chOff x="12190" y="8059"/>
                          <a:chExt cx="2" cy="3417"/>
                        </a:xfrm>
                      </wpg:grpSpPr>
                      <wps:wsp>
                        <wps:cNvPr id="17" name="Freeform 18"/>
                        <wps:cNvSpPr>
                          <a:spLocks/>
                        </wps:cNvSpPr>
                        <wps:spPr bwMode="auto">
                          <a:xfrm>
                            <a:off x="12190" y="8059"/>
                            <a:ext cx="2" cy="3417"/>
                          </a:xfrm>
                          <a:custGeom>
                            <a:avLst/>
                            <a:gdLst>
                              <a:gd name="T0" fmla="+- 0 11475 8059"/>
                              <a:gd name="T1" fmla="*/ 11475 h 3417"/>
                              <a:gd name="T2" fmla="+- 0 8059 8059"/>
                              <a:gd name="T3" fmla="*/ 8059 h 3417"/>
                            </a:gdLst>
                            <a:ahLst/>
                            <a:cxnLst>
                              <a:cxn ang="0">
                                <a:pos x="0" y="T1"/>
                              </a:cxn>
                              <a:cxn ang="0">
                                <a:pos x="0" y="T3"/>
                              </a:cxn>
                            </a:cxnLst>
                            <a:rect l="0" t="0" r="r" b="b"/>
                            <a:pathLst>
                              <a:path h="3417">
                                <a:moveTo>
                                  <a:pt x="0" y="3416"/>
                                </a:moveTo>
                                <a:lnTo>
                                  <a:pt x="0" y="0"/>
                                </a:lnTo>
                              </a:path>
                            </a:pathLst>
                          </a:custGeom>
                          <a:noFill/>
                          <a:ln w="6065">
                            <a:solidFill>
                              <a:srgbClr val="D8D8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E1B7D" id="Group 16" o:spid="_x0000_s1026" style="position:absolute;margin-left:609.5pt;margin-top:402.95pt;width:.1pt;height:170.85pt;z-index:-251658239;mso-position-horizontal-relative:page;mso-position-vertical-relative:page" coordorigin="12190,8059" coordsize="2,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">
                <v:shape id="Freeform 18" o:spid="_x0000_s1027" style="position:absolute;left:12190;top:8059;width:2;height:3417;visibility:visible;mso-wrap-style:square;v-text-anchor:top" coordsize="2,3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" path="m,3416l,e" filled="f" strokecolor="#d8d8d4" strokeweight=".16847mm">
                  <v:path arrowok="t" o:connecttype="custom" o:connectlocs="0,11475;0,8059" o:connectangles="0,0"/>
                </v:shape>
                <w10:wrap anchorx="page" anchory="page"/>
              </v:group>
            </w:pict>
          </mc:Fallback>
        </mc:AlternateContent>
      </w:r>
      <w:r>
        <w:rPr>
          <w:noProof/>
          <w:color w:val="2B579A"/>
          <w:shd w:val="clear" w:color="auto" w:fill="E6E6E6"/>
        </w:rPr>
        <mc:AlternateContent>
          <mc:Choice Requires="wpg">
            <w:drawing>
              <wp:anchor distT="0" distB="0" distL="114300" distR="114300" simplePos="0" relativeHeight="251658242" behindDoc="1" locked="0" layoutInCell="1" allowOverlap="1" wp14:anchorId="135172C7" wp14:editId="36ACFE75">
                <wp:simplePos x="0" y="0"/>
                <wp:positionH relativeFrom="page">
                  <wp:posOffset>7728585</wp:posOffset>
                </wp:positionH>
                <wp:positionV relativeFrom="page">
                  <wp:posOffset>8210550</wp:posOffset>
                </wp:positionV>
                <wp:extent cx="1270" cy="1628775"/>
                <wp:effectExtent l="13335" t="9525" r="4445"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28775"/>
                          <a:chOff x="12171" y="12930"/>
                          <a:chExt cx="2" cy="2565"/>
                        </a:xfrm>
                      </wpg:grpSpPr>
                      <wps:wsp>
                        <wps:cNvPr id="15" name="Freeform 16"/>
                        <wps:cNvSpPr>
                          <a:spLocks/>
                        </wps:cNvSpPr>
                        <wps:spPr bwMode="auto">
                          <a:xfrm>
                            <a:off x="12171" y="12930"/>
                            <a:ext cx="2" cy="2565"/>
                          </a:xfrm>
                          <a:custGeom>
                            <a:avLst/>
                            <a:gdLst>
                              <a:gd name="T0" fmla="+- 0 15495 12930"/>
                              <a:gd name="T1" fmla="*/ 15495 h 2565"/>
                              <a:gd name="T2" fmla="+- 0 12930 12930"/>
                              <a:gd name="T3" fmla="*/ 12930 h 2565"/>
                            </a:gdLst>
                            <a:ahLst/>
                            <a:cxnLst>
                              <a:cxn ang="0">
                                <a:pos x="0" y="T1"/>
                              </a:cxn>
                              <a:cxn ang="0">
                                <a:pos x="0" y="T3"/>
                              </a:cxn>
                            </a:cxnLst>
                            <a:rect l="0" t="0" r="r" b="b"/>
                            <a:pathLst>
                              <a:path h="2565">
                                <a:moveTo>
                                  <a:pt x="0" y="2565"/>
                                </a:moveTo>
                                <a:lnTo>
                                  <a:pt x="0" y="0"/>
                                </a:lnTo>
                              </a:path>
                            </a:pathLst>
                          </a:custGeom>
                          <a:noFill/>
                          <a:ln w="9098">
                            <a:solidFill>
                              <a:srgbClr val="CF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FE2AF" id="Group 14" o:spid="_x0000_s1026" style="position:absolute;margin-left:608.55pt;margin-top:646.5pt;width:.1pt;height:128.25pt;z-index:-251658238;mso-position-horizontal-relative:page;mso-position-vertical-relative:page" coordorigin="12171,12930" coordsize="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">
                <v:shape id="Freeform 16" o:spid="_x0000_s1027" style="position:absolute;left:12171;top:12930;width:2;height:2565;visibility:visible;mso-wrap-style:square;v-text-anchor:top" coordsize="2,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" path="m,2565l,e" filled="f" strokecolor="#cfd4cf" strokeweight=".25272mm">
                  <v:path arrowok="t" o:connecttype="custom" o:connectlocs="0,15495;0,12930" o:connectangles="0,0"/>
                </v:shape>
                <w10:wrap anchorx="page" anchory="page"/>
              </v:group>
            </w:pict>
          </mc:Fallback>
        </mc:AlternateContent>
      </w:r>
    </w:p>
    <w:p w14:paraId="59DE6AF1" w14:textId="77777777" w:rsidR="00F02C6A" w:rsidRDefault="00F02C6A">
      <w:pPr>
        <w:spacing w:before="6" w:line="130" w:lineRule="exact"/>
        <w:rPr>
          <w:sz w:val="13"/>
          <w:szCs w:val="13"/>
        </w:rPr>
      </w:pPr>
    </w:p>
    <w:p w14:paraId="44B97FC2" w14:textId="77777777" w:rsidR="00F02C6A" w:rsidRDefault="00F02C6A">
      <w:pPr>
        <w:spacing w:line="200" w:lineRule="exact"/>
        <w:rPr>
          <w:sz w:val="20"/>
          <w:szCs w:val="20"/>
        </w:rPr>
      </w:pPr>
    </w:p>
    <w:p w14:paraId="1B671803" w14:textId="77777777" w:rsidR="00F02C6A" w:rsidRDefault="00F02C6A">
      <w:pPr>
        <w:spacing w:line="200" w:lineRule="exact"/>
        <w:rPr>
          <w:sz w:val="20"/>
          <w:szCs w:val="20"/>
        </w:rPr>
      </w:pPr>
    </w:p>
    <w:p w14:paraId="5D10D918" w14:textId="77777777" w:rsidR="00F02C6A" w:rsidRDefault="00F02C6A">
      <w:pPr>
        <w:spacing w:line="200" w:lineRule="exact"/>
        <w:rPr>
          <w:sz w:val="20"/>
          <w:szCs w:val="20"/>
        </w:rPr>
      </w:pPr>
    </w:p>
    <w:p w14:paraId="6A655BC9" w14:textId="77777777" w:rsidR="00F02C6A" w:rsidRDefault="00F02C6A">
      <w:pPr>
        <w:spacing w:line="200" w:lineRule="exact"/>
        <w:rPr>
          <w:sz w:val="20"/>
          <w:szCs w:val="20"/>
        </w:rPr>
      </w:pPr>
    </w:p>
    <w:p w14:paraId="0BB8C922" w14:textId="77777777" w:rsidR="00F02C6A" w:rsidRDefault="00F02C6A">
      <w:pPr>
        <w:spacing w:line="200" w:lineRule="exact"/>
        <w:rPr>
          <w:sz w:val="20"/>
          <w:szCs w:val="20"/>
        </w:rPr>
      </w:pPr>
    </w:p>
    <w:p w14:paraId="4B08DEEA" w14:textId="77777777" w:rsidR="00F02C6A" w:rsidRDefault="00F02C6A">
      <w:pPr>
        <w:spacing w:line="200" w:lineRule="exact"/>
        <w:rPr>
          <w:sz w:val="20"/>
          <w:szCs w:val="20"/>
        </w:rPr>
      </w:pPr>
    </w:p>
    <w:p w14:paraId="2E5C8E60" w14:textId="77777777" w:rsidR="00F02C6A" w:rsidRDefault="00F02C6A">
      <w:pPr>
        <w:spacing w:line="200" w:lineRule="exact"/>
        <w:rPr>
          <w:sz w:val="20"/>
          <w:szCs w:val="20"/>
        </w:rPr>
      </w:pPr>
    </w:p>
    <w:p w14:paraId="2FCECAC6" w14:textId="4E63F00B" w:rsidR="00F02C6A" w:rsidRDefault="00074EA6">
      <w:pPr>
        <w:spacing w:line="200" w:lineRule="exact"/>
        <w:rPr>
          <w:sz w:val="20"/>
          <w:szCs w:val="20"/>
        </w:rPr>
      </w:pPr>
      <w:r w:rsidRPr="00FC6432">
        <w:rPr>
          <w:noProof/>
          <w:color w:val="2B579A"/>
          <w:sz w:val="90"/>
          <w:szCs w:val="90"/>
          <w:shd w:val="clear" w:color="auto" w:fill="E6E6E6"/>
        </w:rPr>
        <w:drawing>
          <wp:anchor distT="0" distB="0" distL="114300" distR="114300" simplePos="0" relativeHeight="251658245" behindDoc="1" locked="0" layoutInCell="1" allowOverlap="1" wp14:anchorId="1623AAA3" wp14:editId="5C6A5A78">
            <wp:simplePos x="0" y="0"/>
            <wp:positionH relativeFrom="page">
              <wp:posOffset>6392545</wp:posOffset>
            </wp:positionH>
            <wp:positionV relativeFrom="paragraph">
              <wp:posOffset>35560</wp:posOffset>
            </wp:positionV>
            <wp:extent cx="731520" cy="37674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3767455"/>
                    </a:xfrm>
                    <a:prstGeom prst="rect">
                      <a:avLst/>
                    </a:prstGeom>
                    <a:noFill/>
                  </pic:spPr>
                </pic:pic>
              </a:graphicData>
            </a:graphic>
            <wp14:sizeRelH relativeFrom="page">
              <wp14:pctWidth>0</wp14:pctWidth>
            </wp14:sizeRelH>
            <wp14:sizeRelV relativeFrom="page">
              <wp14:pctHeight>0</wp14:pctHeight>
            </wp14:sizeRelV>
          </wp:anchor>
        </w:drawing>
      </w:r>
    </w:p>
    <w:p w14:paraId="2B45D5DD" w14:textId="77777777" w:rsidR="00F02C6A" w:rsidRDefault="00F02C6A">
      <w:pPr>
        <w:spacing w:line="200" w:lineRule="exact"/>
        <w:rPr>
          <w:sz w:val="20"/>
          <w:szCs w:val="20"/>
        </w:rPr>
      </w:pPr>
    </w:p>
    <w:p w14:paraId="312A4126" w14:textId="77777777" w:rsidR="00F02C6A" w:rsidRDefault="00F02C6A">
      <w:pPr>
        <w:spacing w:line="200" w:lineRule="exact"/>
        <w:rPr>
          <w:sz w:val="20"/>
          <w:szCs w:val="20"/>
        </w:rPr>
      </w:pPr>
    </w:p>
    <w:p w14:paraId="3D121BAE" w14:textId="77777777" w:rsidR="00F02C6A" w:rsidRDefault="00F02C6A">
      <w:pPr>
        <w:spacing w:line="200" w:lineRule="exact"/>
        <w:rPr>
          <w:sz w:val="20"/>
          <w:szCs w:val="20"/>
        </w:rPr>
      </w:pPr>
    </w:p>
    <w:p w14:paraId="7ABCC9FC" w14:textId="77777777" w:rsidR="00F02C6A" w:rsidRDefault="00F02C6A">
      <w:pPr>
        <w:spacing w:line="200" w:lineRule="exact"/>
        <w:rPr>
          <w:sz w:val="20"/>
          <w:szCs w:val="20"/>
        </w:rPr>
      </w:pPr>
    </w:p>
    <w:p w14:paraId="379DB857" w14:textId="77777777" w:rsidR="00F02C6A" w:rsidRDefault="00F02C6A">
      <w:pPr>
        <w:spacing w:line="200" w:lineRule="exact"/>
        <w:rPr>
          <w:sz w:val="20"/>
          <w:szCs w:val="20"/>
        </w:rPr>
      </w:pPr>
    </w:p>
    <w:p w14:paraId="38B5BBBF" w14:textId="77777777" w:rsidR="00F02C6A" w:rsidRDefault="00F02C6A">
      <w:pPr>
        <w:spacing w:line="200" w:lineRule="exact"/>
        <w:rPr>
          <w:sz w:val="20"/>
          <w:szCs w:val="20"/>
        </w:rPr>
      </w:pPr>
    </w:p>
    <w:p w14:paraId="2EF05592" w14:textId="77777777" w:rsidR="00F02C6A" w:rsidRDefault="00F02C6A">
      <w:pPr>
        <w:spacing w:line="200" w:lineRule="exact"/>
        <w:rPr>
          <w:sz w:val="20"/>
          <w:szCs w:val="20"/>
        </w:rPr>
      </w:pPr>
    </w:p>
    <w:p w14:paraId="550F8AF1" w14:textId="77777777" w:rsidR="00F02C6A" w:rsidRDefault="00F02C6A">
      <w:pPr>
        <w:spacing w:line="200" w:lineRule="exact"/>
        <w:rPr>
          <w:sz w:val="20"/>
          <w:szCs w:val="20"/>
        </w:rPr>
      </w:pPr>
    </w:p>
    <w:p w14:paraId="505235A3" w14:textId="77777777" w:rsidR="00F02C6A" w:rsidRDefault="00F02C6A">
      <w:pPr>
        <w:spacing w:line="200" w:lineRule="exact"/>
        <w:rPr>
          <w:sz w:val="20"/>
          <w:szCs w:val="20"/>
        </w:rPr>
      </w:pPr>
    </w:p>
    <w:p w14:paraId="4F7021DE" w14:textId="522FD948" w:rsidR="00DF1960" w:rsidRPr="00DA7E2F" w:rsidRDefault="000943C2" w:rsidP="00DF1960">
      <w:pPr>
        <w:spacing w:line="800" w:lineRule="exact"/>
        <w:jc w:val="center"/>
        <w:rPr>
          <w:rFonts w:ascii="Adobe Garamond Pro Bold" w:hAnsi="Adobe Garamond Pro Bold" w:cs="Times New Roman"/>
          <w:b/>
          <w:color w:val="043064"/>
          <w:sz w:val="72"/>
          <w:szCs w:val="72"/>
        </w:rPr>
      </w:pPr>
      <w:r w:rsidRPr="00FC6432">
        <w:rPr>
          <w:noProof/>
          <w:color w:val="2B579A"/>
          <w:sz w:val="90"/>
          <w:szCs w:val="90"/>
          <w:shd w:val="clear" w:color="auto" w:fill="E6E6E6"/>
        </w:rPr>
        <w:drawing>
          <wp:anchor distT="0" distB="0" distL="114300" distR="114300" simplePos="0" relativeHeight="251658244" behindDoc="1" locked="0" layoutInCell="1" allowOverlap="1" wp14:anchorId="7408472E" wp14:editId="60375762">
            <wp:simplePos x="0" y="0"/>
            <wp:positionH relativeFrom="page">
              <wp:posOffset>621665</wp:posOffset>
            </wp:positionH>
            <wp:positionV relativeFrom="paragraph">
              <wp:posOffset>-1254125</wp:posOffset>
            </wp:positionV>
            <wp:extent cx="707390" cy="3779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7390" cy="3779520"/>
                    </a:xfrm>
                    <a:prstGeom prst="rect">
                      <a:avLst/>
                    </a:prstGeom>
                    <a:noFill/>
                  </pic:spPr>
                </pic:pic>
              </a:graphicData>
            </a:graphic>
            <wp14:sizeRelH relativeFrom="page">
              <wp14:pctWidth>0</wp14:pctWidth>
            </wp14:sizeRelH>
            <wp14:sizeRelV relativeFrom="page">
              <wp14:pctHeight>0</wp14:pctHeight>
            </wp14:sizeRelV>
          </wp:anchor>
        </w:drawing>
      </w:r>
      <w:r w:rsidRPr="00FC6432">
        <w:rPr>
          <w:noProof/>
          <w:color w:val="2B579A"/>
          <w:sz w:val="90"/>
          <w:szCs w:val="90"/>
          <w:shd w:val="clear" w:color="auto" w:fill="E6E6E6"/>
        </w:rPr>
        <mc:AlternateContent>
          <mc:Choice Requires="wpg">
            <w:drawing>
              <wp:anchor distT="0" distB="0" distL="114300" distR="114300" simplePos="0" relativeHeight="251658246" behindDoc="1" locked="0" layoutInCell="1" allowOverlap="1" wp14:anchorId="0684B660" wp14:editId="2C552691">
                <wp:simplePos x="0" y="0"/>
                <wp:positionH relativeFrom="page">
                  <wp:posOffset>7751445</wp:posOffset>
                </wp:positionH>
                <wp:positionV relativeFrom="paragraph">
                  <wp:posOffset>-3956050</wp:posOffset>
                </wp:positionV>
                <wp:extent cx="1270" cy="3035935"/>
                <wp:effectExtent l="7620" t="8255" r="1016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35935"/>
                          <a:chOff x="12207" y="-6230"/>
                          <a:chExt cx="2" cy="4781"/>
                        </a:xfrm>
                      </wpg:grpSpPr>
                      <wps:wsp>
                        <wps:cNvPr id="6" name="Freeform 3"/>
                        <wps:cNvSpPr>
                          <a:spLocks/>
                        </wps:cNvSpPr>
                        <wps:spPr bwMode="auto">
                          <a:xfrm>
                            <a:off x="12207" y="-6230"/>
                            <a:ext cx="2" cy="4781"/>
                          </a:xfrm>
                          <a:custGeom>
                            <a:avLst/>
                            <a:gdLst>
                              <a:gd name="T0" fmla="+- 0 -1449 -6230"/>
                              <a:gd name="T1" fmla="*/ -1449 h 4781"/>
                              <a:gd name="T2" fmla="+- 0 -6230 -6230"/>
                              <a:gd name="T3" fmla="*/ -6230 h 4781"/>
                            </a:gdLst>
                            <a:ahLst/>
                            <a:cxnLst>
                              <a:cxn ang="0">
                                <a:pos x="0" y="T1"/>
                              </a:cxn>
                              <a:cxn ang="0">
                                <a:pos x="0" y="T3"/>
                              </a:cxn>
                            </a:cxnLst>
                            <a:rect l="0" t="0" r="r" b="b"/>
                            <a:pathLst>
                              <a:path h="4781">
                                <a:moveTo>
                                  <a:pt x="0" y="4781"/>
                                </a:moveTo>
                                <a:lnTo>
                                  <a:pt x="0" y="0"/>
                                </a:lnTo>
                              </a:path>
                            </a:pathLst>
                          </a:custGeom>
                          <a:noFill/>
                          <a:ln w="9098">
                            <a:solidFill>
                              <a:srgbClr val="D4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48777" id="Group 1" o:spid="_x0000_s1026" style="position:absolute;margin-left:610.35pt;margin-top:-311.5pt;width:.1pt;height:239.05pt;z-index:-251658234;mso-position-horizontal-relative:page" coordorigin="12207,-6230" coordsize="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">
                <v:shape id="Freeform 3" o:spid="_x0000_s1027" style="position:absolute;left:12207;top:-6230;width:2;height:4781;visibility:visible;mso-wrap-style:square;v-text-anchor:top" coordsize="2,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" path="m,4781l,e" filled="f" strokecolor="#d4d4cf" strokeweight=".25272mm">
                  <v:path arrowok="t" o:connecttype="custom" o:connectlocs="0,-1449;0,-6230" o:connectangles="0,0"/>
                </v:shape>
                <w10:wrap anchorx="page"/>
              </v:group>
            </w:pict>
          </mc:Fallback>
        </mc:AlternateContent>
      </w:r>
      <w:r w:rsidR="00DF1960" w:rsidRPr="00DA7E2F">
        <w:rPr>
          <w:rFonts w:ascii="Adobe Garamond Pro Bold" w:hAnsi="Adobe Garamond Pro Bold" w:cs="Times New Roman"/>
          <w:b/>
          <w:color w:val="043064"/>
          <w:sz w:val="72"/>
          <w:szCs w:val="72"/>
        </w:rPr>
        <w:t>Report on the DDS Community Services</w:t>
      </w:r>
    </w:p>
    <w:p w14:paraId="1BD01D10" w14:textId="77777777" w:rsidR="00DF1960" w:rsidRDefault="00DF1960" w:rsidP="00DF1960">
      <w:pPr>
        <w:spacing w:line="800" w:lineRule="exact"/>
        <w:jc w:val="center"/>
      </w:pPr>
      <w:r w:rsidRPr="00DA7E2F">
        <w:rPr>
          <w:rFonts w:ascii="Adobe Garamond Pro Bold" w:hAnsi="Adobe Garamond Pro Bold" w:cs="Times New Roman"/>
          <w:b/>
          <w:color w:val="043064"/>
          <w:sz w:val="72"/>
          <w:szCs w:val="72"/>
        </w:rPr>
        <w:t>Expansion and Facilities Restructuring Plan</w:t>
      </w:r>
    </w:p>
    <w:p w14:paraId="7CE0923E" w14:textId="6417CA1B" w:rsidR="00F02C6A" w:rsidRPr="00FC6432" w:rsidRDefault="00F02C6A" w:rsidP="00AF7157">
      <w:pPr>
        <w:spacing w:before="8" w:line="316" w:lineRule="auto"/>
        <w:ind w:left="2718" w:right="2936"/>
        <w:jc w:val="center"/>
        <w:rPr>
          <w:rFonts w:eastAsia="Times New Roman" w:cs="Times New Roman"/>
          <w:sz w:val="90"/>
          <w:szCs w:val="90"/>
        </w:rPr>
      </w:pPr>
    </w:p>
    <w:p w14:paraId="4E57412B" w14:textId="77777777" w:rsidR="00F02C6A" w:rsidRDefault="00F02C6A">
      <w:pPr>
        <w:spacing w:line="200" w:lineRule="exact"/>
        <w:rPr>
          <w:sz w:val="20"/>
          <w:szCs w:val="20"/>
        </w:rPr>
      </w:pPr>
    </w:p>
    <w:p w14:paraId="046BF726" w14:textId="77777777" w:rsidR="00F02C6A" w:rsidRDefault="00F02C6A">
      <w:pPr>
        <w:spacing w:line="200" w:lineRule="exact"/>
        <w:rPr>
          <w:sz w:val="20"/>
          <w:szCs w:val="20"/>
        </w:rPr>
      </w:pPr>
    </w:p>
    <w:p w14:paraId="3CF52F31" w14:textId="77777777" w:rsidR="00F02C6A" w:rsidRDefault="00F02C6A">
      <w:pPr>
        <w:spacing w:line="200" w:lineRule="exact"/>
        <w:rPr>
          <w:sz w:val="20"/>
          <w:szCs w:val="20"/>
        </w:rPr>
      </w:pPr>
    </w:p>
    <w:p w14:paraId="25204218" w14:textId="77777777" w:rsidR="00F02C6A" w:rsidRDefault="00F02C6A">
      <w:pPr>
        <w:spacing w:line="200" w:lineRule="exact"/>
        <w:rPr>
          <w:sz w:val="20"/>
          <w:szCs w:val="20"/>
        </w:rPr>
      </w:pPr>
    </w:p>
    <w:p w14:paraId="61945DA5" w14:textId="77777777" w:rsidR="00F02C6A" w:rsidRDefault="00F02C6A">
      <w:pPr>
        <w:spacing w:line="200" w:lineRule="exact"/>
        <w:rPr>
          <w:sz w:val="20"/>
          <w:szCs w:val="20"/>
        </w:rPr>
      </w:pPr>
    </w:p>
    <w:p w14:paraId="13D9755C" w14:textId="77777777" w:rsidR="00F02C6A" w:rsidRDefault="00F02C6A">
      <w:pPr>
        <w:spacing w:line="200" w:lineRule="exact"/>
        <w:rPr>
          <w:sz w:val="20"/>
          <w:szCs w:val="20"/>
        </w:rPr>
      </w:pPr>
    </w:p>
    <w:p w14:paraId="18780BE9" w14:textId="77777777" w:rsidR="00F02C6A" w:rsidRDefault="00F02C6A">
      <w:pPr>
        <w:spacing w:line="200" w:lineRule="exact"/>
        <w:rPr>
          <w:sz w:val="20"/>
          <w:szCs w:val="20"/>
        </w:rPr>
      </w:pPr>
    </w:p>
    <w:p w14:paraId="506DBA0B" w14:textId="77777777" w:rsidR="00F02C6A" w:rsidRDefault="00F02C6A">
      <w:pPr>
        <w:spacing w:line="200" w:lineRule="exact"/>
        <w:rPr>
          <w:sz w:val="20"/>
          <w:szCs w:val="20"/>
        </w:rPr>
      </w:pPr>
    </w:p>
    <w:p w14:paraId="1C870E04" w14:textId="77777777" w:rsidR="00F02C6A" w:rsidRDefault="00F02C6A">
      <w:pPr>
        <w:spacing w:line="200" w:lineRule="exact"/>
        <w:rPr>
          <w:sz w:val="20"/>
          <w:szCs w:val="20"/>
        </w:rPr>
      </w:pPr>
    </w:p>
    <w:p w14:paraId="04317703" w14:textId="27F5FC97" w:rsidR="00F02C6A" w:rsidRDefault="00F02C6A">
      <w:pPr>
        <w:spacing w:line="200" w:lineRule="exact"/>
        <w:rPr>
          <w:sz w:val="20"/>
          <w:szCs w:val="20"/>
        </w:rPr>
      </w:pPr>
    </w:p>
    <w:p w14:paraId="22E7FF6E" w14:textId="394671B0" w:rsidR="000C14F8" w:rsidRDefault="000C14F8">
      <w:pPr>
        <w:spacing w:line="200" w:lineRule="exact"/>
        <w:rPr>
          <w:sz w:val="20"/>
          <w:szCs w:val="20"/>
        </w:rPr>
      </w:pPr>
    </w:p>
    <w:p w14:paraId="5E842E33" w14:textId="647DE1C2" w:rsidR="000C14F8" w:rsidRDefault="000C14F8">
      <w:pPr>
        <w:spacing w:line="200" w:lineRule="exact"/>
        <w:rPr>
          <w:sz w:val="20"/>
          <w:szCs w:val="20"/>
        </w:rPr>
      </w:pPr>
    </w:p>
    <w:p w14:paraId="4C4AC530" w14:textId="77777777" w:rsidR="000C14F8" w:rsidRDefault="000C14F8">
      <w:pPr>
        <w:spacing w:line="200" w:lineRule="exact"/>
        <w:rPr>
          <w:sz w:val="20"/>
          <w:szCs w:val="20"/>
        </w:rPr>
      </w:pPr>
    </w:p>
    <w:p w14:paraId="335D4EA1" w14:textId="32AA7C26" w:rsidR="00F02C6A" w:rsidRPr="00866C7E" w:rsidRDefault="00D215DA">
      <w:pPr>
        <w:ind w:left="112"/>
        <w:jc w:val="center"/>
        <w:rPr>
          <w:rFonts w:eastAsia="Times New Roman" w:cs="Times New Roman"/>
          <w:sz w:val="47"/>
          <w:szCs w:val="47"/>
        </w:rPr>
      </w:pPr>
      <w:r>
        <w:rPr>
          <w:noProof/>
          <w:color w:val="2B579A"/>
          <w:shd w:val="clear" w:color="auto" w:fill="E6E6E6"/>
        </w:rPr>
        <w:drawing>
          <wp:anchor distT="0" distB="0" distL="114300" distR="114300" simplePos="0" relativeHeight="251658240" behindDoc="1" locked="0" layoutInCell="1" allowOverlap="1" wp14:anchorId="016BED0D" wp14:editId="21E127F2">
            <wp:simplePos x="0" y="0"/>
            <wp:positionH relativeFrom="page">
              <wp:posOffset>373380</wp:posOffset>
            </wp:positionH>
            <wp:positionV relativeFrom="paragraph">
              <wp:posOffset>361315</wp:posOffset>
            </wp:positionV>
            <wp:extent cx="7040758" cy="148590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1161" cy="1507089"/>
                    </a:xfrm>
                    <a:prstGeom prst="rect">
                      <a:avLst/>
                    </a:prstGeom>
                    <a:noFill/>
                  </pic:spPr>
                </pic:pic>
              </a:graphicData>
            </a:graphic>
            <wp14:sizeRelH relativeFrom="page">
              <wp14:pctWidth>0</wp14:pctWidth>
            </wp14:sizeRelH>
            <wp14:sizeRelV relativeFrom="page">
              <wp14:pctHeight>0</wp14:pctHeight>
            </wp14:sizeRelV>
          </wp:anchor>
        </w:drawing>
      </w:r>
      <w:r w:rsidR="00074EA6">
        <w:rPr>
          <w:rFonts w:eastAsia="Times New Roman" w:cs="Times New Roman"/>
          <w:color w:val="0A2F4F"/>
          <w:w w:val="110"/>
          <w:sz w:val="47"/>
          <w:szCs w:val="47"/>
        </w:rPr>
        <w:t>November</w:t>
      </w:r>
      <w:r w:rsidR="00645182" w:rsidRPr="00866C7E">
        <w:rPr>
          <w:rFonts w:eastAsia="Times New Roman" w:cs="Times New Roman"/>
          <w:color w:val="0A2F4F"/>
          <w:spacing w:val="-38"/>
          <w:w w:val="110"/>
          <w:sz w:val="47"/>
          <w:szCs w:val="47"/>
        </w:rPr>
        <w:t xml:space="preserve"> </w:t>
      </w:r>
      <w:r w:rsidR="00E62FBB" w:rsidRPr="00866C7E">
        <w:rPr>
          <w:rFonts w:eastAsia="Times New Roman" w:cs="Times New Roman"/>
          <w:color w:val="0A2F4F"/>
          <w:w w:val="110"/>
          <w:sz w:val="47"/>
          <w:szCs w:val="47"/>
        </w:rPr>
        <w:t>20</w:t>
      </w:r>
      <w:r w:rsidR="00E62FBB">
        <w:rPr>
          <w:rFonts w:eastAsia="Times New Roman" w:cs="Times New Roman"/>
          <w:color w:val="0A2F4F"/>
          <w:w w:val="110"/>
          <w:sz w:val="47"/>
          <w:szCs w:val="47"/>
        </w:rPr>
        <w:t>2</w:t>
      </w:r>
      <w:r w:rsidR="000943C2">
        <w:rPr>
          <w:rFonts w:eastAsia="Times New Roman" w:cs="Times New Roman"/>
          <w:color w:val="0A2F4F"/>
          <w:w w:val="110"/>
          <w:sz w:val="47"/>
          <w:szCs w:val="47"/>
        </w:rPr>
        <w:t>4</w:t>
      </w:r>
    </w:p>
    <w:p w14:paraId="1D9E5234" w14:textId="77777777" w:rsidR="00F02C6A" w:rsidRDefault="00F02C6A" w:rsidP="007E11B5">
      <w:pPr>
        <w:rPr>
          <w:rFonts w:ascii="Times New Roman" w:eastAsia="Times New Roman" w:hAnsi="Times New Roman" w:cs="Times New Roman"/>
          <w:sz w:val="47"/>
          <w:szCs w:val="47"/>
        </w:rPr>
        <w:sectPr w:rsidR="00F02C6A" w:rsidSect="00933AB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20" w:right="160" w:bottom="280" w:left="80" w:header="720" w:footer="720" w:gutter="0"/>
          <w:cols w:space="720"/>
        </w:sectPr>
      </w:pPr>
    </w:p>
    <w:p w14:paraId="59ACD740" w14:textId="77777777" w:rsidR="00DF1960" w:rsidRPr="00DF1960" w:rsidRDefault="00DF1960" w:rsidP="00DF1960">
      <w:pPr>
        <w:rPr>
          <w:rFonts w:eastAsia="Times New Roman" w:cs="Times New Roman"/>
          <w:i/>
          <w:sz w:val="24"/>
          <w:szCs w:val="24"/>
          <w:lang w:val="en"/>
        </w:rPr>
      </w:pPr>
      <w:r w:rsidRPr="00DF1960">
        <w:rPr>
          <w:rFonts w:eastAsia="Times New Roman" w:cs="Times New Roman"/>
          <w:sz w:val="24"/>
          <w:szCs w:val="24"/>
        </w:rPr>
        <w:lastRenderedPageBreak/>
        <w:t xml:space="preserve">Line-item </w:t>
      </w:r>
      <w:r w:rsidRPr="00DF1960">
        <w:rPr>
          <w:rFonts w:eastAsia="Times New Roman" w:cs="Times New Roman"/>
          <w:iCs/>
          <w:sz w:val="24"/>
          <w:szCs w:val="24"/>
          <w:lang w:val="en"/>
        </w:rPr>
        <w:t xml:space="preserve">5930-1000 of Chapter 140 of the Acts of 2024, the Fiscal Year (FY) 2025 General Appropriations Act, require </w:t>
      </w:r>
      <w:r w:rsidRPr="00DF1960">
        <w:rPr>
          <w:rFonts w:eastAsia="Times New Roman" w:cs="Times New Roman"/>
          <w:sz w:val="24"/>
          <w:szCs w:val="24"/>
        </w:rPr>
        <w:t xml:space="preserve">the Department of Developmental Services (“DDS” or “the Department”) to </w:t>
      </w:r>
      <w:r w:rsidRPr="00DF1960">
        <w:rPr>
          <w:rFonts w:eastAsia="Times New Roman" w:cstheme="minorHAnsi"/>
          <w:iCs/>
          <w:sz w:val="24"/>
          <w:szCs w:val="24"/>
          <w:lang w:val="en"/>
        </w:rPr>
        <w:t>“</w:t>
      </w:r>
      <w:r w:rsidRPr="00DF1960">
        <w:rPr>
          <w:rFonts w:cstheme="minorHAnsi"/>
          <w:iCs/>
          <w:sz w:val="24"/>
          <w:szCs w:val="24"/>
          <w:shd w:val="clear" w:color="auto" w:fill="FFFFFF"/>
        </w:rPr>
        <w:t>report to the house and senate committees on ways and means, on: (a) all efforts to comply with the decision in Olmstead v. L.C. ex rel. Zimring, 527 U.S. 581 (1999); (b) the enhancement of care within available resources to clients served by the department; and (c) the steps taken to consolidate or close an ICF/IID</w:t>
      </w:r>
      <w:r w:rsidRPr="00DF1960">
        <w:rPr>
          <w:rFonts w:eastAsia="Times New Roman" w:cstheme="minorHAnsi"/>
          <w:iCs/>
          <w:sz w:val="24"/>
          <w:szCs w:val="24"/>
          <w:lang w:val="en"/>
        </w:rPr>
        <w:t>”</w:t>
      </w:r>
    </w:p>
    <w:p w14:paraId="56CA8C63" w14:textId="77777777" w:rsidR="00DF1960" w:rsidRPr="00DF1960" w:rsidRDefault="00DF1960" w:rsidP="00DF1960">
      <w:pPr>
        <w:ind w:left="720"/>
        <w:jc w:val="both"/>
        <w:rPr>
          <w:rFonts w:eastAsia="Times New Roman" w:cs="Times New Roman"/>
          <w:i/>
          <w:color w:val="444444"/>
          <w:sz w:val="24"/>
          <w:szCs w:val="24"/>
          <w:lang w:val="en"/>
        </w:rPr>
      </w:pPr>
    </w:p>
    <w:p w14:paraId="33789F83" w14:textId="77777777" w:rsidR="00DF1960" w:rsidRPr="00DF1960" w:rsidRDefault="00DF1960" w:rsidP="00DF1960">
      <w:pPr>
        <w:rPr>
          <w:rFonts w:eastAsia="Times New Roman" w:cs="Times New Roman"/>
          <w:b/>
          <w:bCs/>
          <w:color w:val="000000"/>
          <w:sz w:val="24"/>
          <w:szCs w:val="24"/>
          <w:u w:val="single"/>
        </w:rPr>
      </w:pPr>
      <w:r w:rsidRPr="00DF1960">
        <w:rPr>
          <w:rFonts w:eastAsia="Times New Roman" w:cs="Times New Roman"/>
          <w:b/>
          <w:bCs/>
          <w:color w:val="000000"/>
          <w:sz w:val="24"/>
          <w:szCs w:val="24"/>
          <w:u w:val="single"/>
        </w:rPr>
        <w:t xml:space="preserve">The Community Expansion and Facility Restructuring Plan </w:t>
      </w:r>
    </w:p>
    <w:p w14:paraId="358C2D7F" w14:textId="77777777" w:rsidR="00DF1960" w:rsidRPr="00DF1960" w:rsidRDefault="00DF1960" w:rsidP="00DF1960">
      <w:pPr>
        <w:rPr>
          <w:rFonts w:eastAsia="Times New Roman" w:cs="Times New Roman"/>
          <w:bCs/>
          <w:color w:val="000000"/>
          <w:sz w:val="24"/>
          <w:szCs w:val="24"/>
        </w:rPr>
      </w:pPr>
      <w:r w:rsidRPr="00DF1960">
        <w:rPr>
          <w:rFonts w:eastAsia="Times New Roman" w:cs="Times New Roman"/>
          <w:bCs/>
          <w:color w:val="000000"/>
          <w:sz w:val="24"/>
          <w:szCs w:val="24"/>
        </w:rPr>
        <w:t>On December 12, 2008, the Executive Office of Health and Human Services announced the Community Services Expansion and Facility Consolidation Plan. The Plan provided for the closing of four of the Department’s six facilities (Fernald, Monson, Templeton, and Glavin), the expansion of the community system to create community options for 316 people then living in developmental centers, and the assurance of a continuing intermediate care facility option for individuals with intellectual disabilities for Ricci class members in the closing facilities. The Plan also required that the Department work with the facility stakeholders and participate in the campus re-use committees.</w:t>
      </w:r>
    </w:p>
    <w:p w14:paraId="5DBA30DC" w14:textId="77777777" w:rsidR="00DF1960" w:rsidRPr="00DF1960" w:rsidRDefault="00DF1960" w:rsidP="00DF1960">
      <w:pPr>
        <w:rPr>
          <w:rFonts w:eastAsia="Times New Roman" w:cs="Times New Roman"/>
          <w:bCs/>
          <w:color w:val="000000"/>
          <w:sz w:val="24"/>
          <w:szCs w:val="24"/>
        </w:rPr>
      </w:pPr>
    </w:p>
    <w:p w14:paraId="4AF14BF3" w14:textId="77777777" w:rsidR="00DF1960" w:rsidRPr="00DF1960" w:rsidRDefault="00DF1960" w:rsidP="00DF1960">
      <w:pPr>
        <w:rPr>
          <w:rFonts w:eastAsia="Times New Roman" w:cs="Times New Roman"/>
          <w:bCs/>
          <w:color w:val="000000"/>
          <w:sz w:val="24"/>
          <w:szCs w:val="24"/>
        </w:rPr>
      </w:pPr>
      <w:r w:rsidRPr="00DF1960">
        <w:rPr>
          <w:rFonts w:eastAsia="Times New Roman" w:cs="Times New Roman"/>
          <w:bCs/>
          <w:color w:val="000000"/>
          <w:sz w:val="24"/>
          <w:szCs w:val="24"/>
        </w:rPr>
        <w:t>The basic principles of the Plan included:</w:t>
      </w:r>
    </w:p>
    <w:p w14:paraId="25FB95ED" w14:textId="77777777" w:rsidR="00DF1960" w:rsidRPr="00DF1960" w:rsidRDefault="00DF1960" w:rsidP="00DF1960">
      <w:pPr>
        <w:rPr>
          <w:rFonts w:eastAsia="Times New Roman" w:cs="Times New Roman"/>
          <w:bCs/>
          <w:color w:val="000000"/>
          <w:sz w:val="24"/>
          <w:szCs w:val="24"/>
        </w:rPr>
      </w:pPr>
    </w:p>
    <w:p w14:paraId="3FB3671C" w14:textId="77777777" w:rsidR="00DF1960" w:rsidRPr="00DF1960" w:rsidRDefault="00DF1960" w:rsidP="00DF1960">
      <w:pPr>
        <w:widowControl/>
        <w:numPr>
          <w:ilvl w:val="0"/>
          <w:numId w:val="13"/>
        </w:numPr>
        <w:spacing w:after="200"/>
        <w:rPr>
          <w:rFonts w:eastAsia="Times New Roman" w:cs="Times New Roman"/>
          <w:bCs/>
          <w:color w:val="000000"/>
          <w:sz w:val="24"/>
          <w:szCs w:val="24"/>
        </w:rPr>
      </w:pPr>
      <w:r w:rsidRPr="00DF1960">
        <w:rPr>
          <w:rFonts w:eastAsia="Times New Roman" w:cs="Times New Roman"/>
          <w:bCs/>
          <w:color w:val="000000"/>
          <w:sz w:val="24"/>
          <w:szCs w:val="24"/>
        </w:rPr>
        <w:t>Assuring choice and creating options within the community,</w:t>
      </w:r>
    </w:p>
    <w:p w14:paraId="608777FC" w14:textId="77777777" w:rsidR="00DF1960" w:rsidRPr="00DF1960" w:rsidRDefault="00DF1960" w:rsidP="00DF1960">
      <w:pPr>
        <w:widowControl/>
        <w:numPr>
          <w:ilvl w:val="0"/>
          <w:numId w:val="13"/>
        </w:numPr>
        <w:spacing w:after="200"/>
        <w:rPr>
          <w:rFonts w:eastAsia="Times New Roman" w:cs="Times New Roman"/>
          <w:bCs/>
          <w:color w:val="000000"/>
          <w:sz w:val="24"/>
          <w:szCs w:val="24"/>
        </w:rPr>
      </w:pPr>
      <w:r w:rsidRPr="00DF1960">
        <w:rPr>
          <w:rFonts w:eastAsia="Times New Roman" w:cs="Times New Roman"/>
          <w:bCs/>
          <w:color w:val="000000"/>
          <w:sz w:val="24"/>
          <w:szCs w:val="24"/>
        </w:rPr>
        <w:t>Being consistent with the Community First Olmstead Plan,</w:t>
      </w:r>
    </w:p>
    <w:p w14:paraId="4812DE15" w14:textId="77777777" w:rsidR="00DF1960" w:rsidRPr="00DF1960" w:rsidRDefault="00DF1960" w:rsidP="00DF1960">
      <w:pPr>
        <w:widowControl/>
        <w:numPr>
          <w:ilvl w:val="0"/>
          <w:numId w:val="13"/>
        </w:numPr>
        <w:spacing w:after="200"/>
        <w:rPr>
          <w:rFonts w:eastAsia="Times New Roman" w:cs="Times New Roman"/>
          <w:bCs/>
          <w:color w:val="000000"/>
          <w:sz w:val="24"/>
          <w:szCs w:val="24"/>
        </w:rPr>
      </w:pPr>
      <w:r w:rsidRPr="00DF1960">
        <w:rPr>
          <w:rFonts w:eastAsia="Times New Roman" w:cs="Times New Roman"/>
          <w:bCs/>
          <w:color w:val="000000"/>
          <w:sz w:val="24"/>
          <w:szCs w:val="24"/>
        </w:rPr>
        <w:t>Supporting positive transition experiences for facility residents and their families and guardians,</w:t>
      </w:r>
    </w:p>
    <w:p w14:paraId="16DE95D0" w14:textId="77777777" w:rsidR="00DF1960" w:rsidRPr="00DF1960" w:rsidRDefault="00DF1960" w:rsidP="00DF1960">
      <w:pPr>
        <w:widowControl/>
        <w:numPr>
          <w:ilvl w:val="0"/>
          <w:numId w:val="13"/>
        </w:numPr>
        <w:spacing w:after="200"/>
        <w:rPr>
          <w:rFonts w:eastAsia="Times New Roman" w:cs="Times New Roman"/>
          <w:bCs/>
          <w:color w:val="000000"/>
          <w:sz w:val="24"/>
          <w:szCs w:val="24"/>
        </w:rPr>
      </w:pPr>
      <w:r w:rsidRPr="00DF1960">
        <w:rPr>
          <w:rFonts w:eastAsia="Times New Roman" w:cs="Times New Roman"/>
          <w:bCs/>
          <w:color w:val="000000"/>
          <w:sz w:val="24"/>
          <w:szCs w:val="24"/>
        </w:rPr>
        <w:t>Achieving equal or better services upon transfer or placement of facility residents,</w:t>
      </w:r>
    </w:p>
    <w:p w14:paraId="7425F94B" w14:textId="77777777" w:rsidR="00DF1960" w:rsidRPr="00DF1960" w:rsidRDefault="00DF1960" w:rsidP="00DF1960">
      <w:pPr>
        <w:widowControl/>
        <w:numPr>
          <w:ilvl w:val="0"/>
          <w:numId w:val="13"/>
        </w:numPr>
        <w:spacing w:after="200"/>
        <w:rPr>
          <w:rFonts w:eastAsia="Times New Roman" w:cs="Times New Roman"/>
          <w:bCs/>
          <w:color w:val="000000"/>
          <w:sz w:val="24"/>
          <w:szCs w:val="24"/>
        </w:rPr>
      </w:pPr>
      <w:r w:rsidRPr="00DF1960">
        <w:rPr>
          <w:rFonts w:eastAsia="Times New Roman" w:cs="Times New Roman"/>
          <w:bCs/>
          <w:color w:val="000000"/>
          <w:sz w:val="24"/>
          <w:szCs w:val="24"/>
        </w:rPr>
        <w:t>Managing limited resources efficiently,</w:t>
      </w:r>
    </w:p>
    <w:p w14:paraId="6FD99CF1" w14:textId="77777777" w:rsidR="00DF1960" w:rsidRPr="00DF1960" w:rsidRDefault="00DF1960" w:rsidP="00DF1960">
      <w:pPr>
        <w:widowControl/>
        <w:numPr>
          <w:ilvl w:val="0"/>
          <w:numId w:val="13"/>
        </w:numPr>
        <w:spacing w:after="200"/>
        <w:rPr>
          <w:rFonts w:eastAsia="Times New Roman" w:cs="Times New Roman"/>
          <w:bCs/>
          <w:color w:val="000000"/>
          <w:sz w:val="24"/>
          <w:szCs w:val="24"/>
        </w:rPr>
      </w:pPr>
      <w:r w:rsidRPr="00DF1960">
        <w:rPr>
          <w:rFonts w:eastAsia="Times New Roman" w:cs="Times New Roman"/>
          <w:bCs/>
          <w:color w:val="000000"/>
          <w:sz w:val="24"/>
          <w:szCs w:val="24"/>
        </w:rPr>
        <w:t>Transitioning staff successfully to other employment options, and</w:t>
      </w:r>
    </w:p>
    <w:p w14:paraId="0A66BC92" w14:textId="77777777" w:rsidR="00DF1960" w:rsidRPr="00DF1960" w:rsidRDefault="00DF1960" w:rsidP="00DF1960">
      <w:pPr>
        <w:widowControl/>
        <w:numPr>
          <w:ilvl w:val="0"/>
          <w:numId w:val="13"/>
        </w:numPr>
        <w:spacing w:after="200"/>
        <w:rPr>
          <w:rFonts w:eastAsia="Times New Roman" w:cs="Times New Roman"/>
          <w:bCs/>
          <w:color w:val="000000"/>
          <w:sz w:val="24"/>
          <w:szCs w:val="24"/>
        </w:rPr>
      </w:pPr>
      <w:r w:rsidRPr="00DF1960">
        <w:rPr>
          <w:rFonts w:eastAsia="Times New Roman" w:cs="Times New Roman"/>
          <w:bCs/>
          <w:color w:val="000000"/>
          <w:sz w:val="24"/>
          <w:szCs w:val="24"/>
        </w:rPr>
        <w:t>Assuring efficient and inclusive campus re-use process by working closely with officials from the Division of Capital Asset Maintenance and Management (DCAMM).</w:t>
      </w:r>
    </w:p>
    <w:p w14:paraId="225CD9A0" w14:textId="77777777" w:rsidR="00DF1960" w:rsidRPr="00DF1960" w:rsidRDefault="00DF1960" w:rsidP="00DF1960">
      <w:pPr>
        <w:rPr>
          <w:rFonts w:eastAsia="Times New Roman" w:cs="Times New Roman"/>
          <w:b/>
          <w:bCs/>
          <w:color w:val="000000"/>
          <w:sz w:val="24"/>
          <w:szCs w:val="24"/>
          <w:u w:val="single"/>
        </w:rPr>
      </w:pPr>
    </w:p>
    <w:p w14:paraId="5F158585" w14:textId="77777777" w:rsidR="00DF1960" w:rsidRPr="00DF1960" w:rsidRDefault="00DF1960" w:rsidP="00DF1960">
      <w:pPr>
        <w:tabs>
          <w:tab w:val="right" w:pos="8640"/>
        </w:tabs>
        <w:rPr>
          <w:rFonts w:eastAsia="Times New Roman" w:cs="Times New Roman"/>
          <w:smallCaps/>
          <w:sz w:val="24"/>
          <w:szCs w:val="24"/>
        </w:rPr>
      </w:pPr>
      <w:r w:rsidRPr="00DF1960">
        <w:rPr>
          <w:rFonts w:eastAsia="Times New Roman" w:cs="Times New Roman"/>
          <w:b/>
          <w:smallCaps/>
          <w:sz w:val="24"/>
          <w:szCs w:val="24"/>
          <w:u w:val="single"/>
        </w:rPr>
        <w:t>DDS O</w:t>
      </w:r>
      <w:r w:rsidRPr="00DF1960">
        <w:rPr>
          <w:rFonts w:eastAsia="Times New Roman" w:cs="Times New Roman"/>
          <w:b/>
          <w:sz w:val="24"/>
          <w:szCs w:val="24"/>
          <w:u w:val="single"/>
        </w:rPr>
        <w:t>verview</w:t>
      </w:r>
    </w:p>
    <w:p w14:paraId="57B03A93" w14:textId="77777777" w:rsidR="00DF1960" w:rsidRPr="00DF1960" w:rsidRDefault="00DF1960" w:rsidP="00DF1960">
      <w:pPr>
        <w:rPr>
          <w:rFonts w:eastAsia="Times New Roman" w:cs="Times New Roman"/>
          <w:sz w:val="24"/>
          <w:szCs w:val="24"/>
        </w:rPr>
      </w:pPr>
    </w:p>
    <w:p w14:paraId="1EC3EB87" w14:textId="77777777" w:rsidR="00DF1960" w:rsidRPr="00DF1960" w:rsidRDefault="00DF1960" w:rsidP="00DF1960">
      <w:pPr>
        <w:rPr>
          <w:rFonts w:eastAsia="Times New Roman" w:cs="Times New Roman"/>
          <w:sz w:val="24"/>
          <w:szCs w:val="24"/>
        </w:rPr>
      </w:pPr>
      <w:r w:rsidRPr="00DF1960">
        <w:rPr>
          <w:rFonts w:eastAsia="Times New Roman" w:cs="Times New Roman"/>
          <w:sz w:val="24"/>
          <w:szCs w:val="24"/>
        </w:rPr>
        <w:t>The Department serves over 49,000 individuals with intellectual and developmental disabilities by providing a variety of supports that enable people to pursue meaningful lives. Supports include residential services that may be provided in 24-hour group homes, in Shared Living situations where an individual is placed with a family, or in supported living where visiting staff provide flexible assistance as needed to individuals who live independently. The Department also provides an array of employment and day program supports which enable individuals to pursue a career or be involved with making productive use of their time, as well as a variety of flexible supports to over 26,000 children &amp; adults who live at home with their families or independently including respite care, in home skills training, and support groups.</w:t>
      </w:r>
    </w:p>
    <w:p w14:paraId="5D2F5084" w14:textId="77777777" w:rsidR="00DF1960" w:rsidRPr="00DF1960" w:rsidRDefault="00DF1960" w:rsidP="00DF1960">
      <w:pPr>
        <w:rPr>
          <w:rFonts w:eastAsia="Times New Roman" w:cs="Times New Roman"/>
          <w:sz w:val="24"/>
          <w:szCs w:val="24"/>
        </w:rPr>
      </w:pPr>
    </w:p>
    <w:p w14:paraId="7B30B3D0" w14:textId="77777777" w:rsidR="00DF1960" w:rsidRPr="00DF1960" w:rsidRDefault="00DF1960" w:rsidP="00DF1960">
      <w:pPr>
        <w:rPr>
          <w:rFonts w:eastAsia="Times New Roman" w:cs="Times New Roman"/>
          <w:sz w:val="24"/>
          <w:szCs w:val="24"/>
        </w:rPr>
      </w:pPr>
      <w:r w:rsidRPr="00DF1960">
        <w:rPr>
          <w:rFonts w:eastAsia="Times New Roman" w:cs="Times New Roman"/>
          <w:sz w:val="24"/>
          <w:szCs w:val="24"/>
        </w:rPr>
        <w:lastRenderedPageBreak/>
        <w:t>Services are arranged and coordinated through our 23 Area and 4 Regional Offices. Most services are provided through contracts with nonprofit agencies which are then monitored through a variety of quality management systems. Individuals who transition from DDS facilities to community settings have their cases managed by DDS staff in an Area Office. Each person is assigned a Service Coordinator who facilitates the transition to the community and ensures that all needed services are in place.</w:t>
      </w:r>
      <w:r w:rsidRPr="00DF1960">
        <w:rPr>
          <w:rFonts w:eastAsia="Times New Roman" w:cs="Times New Roman"/>
          <w:sz w:val="24"/>
          <w:szCs w:val="24"/>
        </w:rPr>
        <w:br/>
      </w:r>
    </w:p>
    <w:p w14:paraId="166F26EE" w14:textId="77777777" w:rsidR="00DF1960" w:rsidRPr="00DF1960" w:rsidRDefault="00DF1960" w:rsidP="00DF1960">
      <w:pPr>
        <w:rPr>
          <w:rFonts w:eastAsia="Times New Roman" w:cs="Times New Roman"/>
          <w:b/>
          <w:bCs/>
          <w:color w:val="000000"/>
          <w:sz w:val="24"/>
          <w:szCs w:val="24"/>
          <w:u w:val="single"/>
        </w:rPr>
      </w:pPr>
      <w:r w:rsidRPr="00DF1960">
        <w:rPr>
          <w:rFonts w:eastAsia="Times New Roman" w:cs="Times New Roman"/>
          <w:b/>
          <w:sz w:val="24"/>
          <w:szCs w:val="24"/>
          <w:u w:val="single"/>
        </w:rPr>
        <w:t>Facility Consolidation/Closure Status:</w:t>
      </w:r>
      <w:r w:rsidRPr="00DF1960">
        <w:rPr>
          <w:rFonts w:eastAsia="Times New Roman" w:cs="Times New Roman"/>
          <w:b/>
          <w:sz w:val="24"/>
          <w:szCs w:val="24"/>
          <w:u w:val="single"/>
        </w:rPr>
        <w:br/>
      </w:r>
    </w:p>
    <w:p w14:paraId="41352F62" w14:textId="77777777" w:rsidR="00DF1960" w:rsidRPr="00DF1960" w:rsidRDefault="00DF1960" w:rsidP="00DF1960">
      <w:pPr>
        <w:rPr>
          <w:rFonts w:eastAsia="Times New Roman" w:cs="Times New Roman"/>
          <w:color w:val="000000"/>
          <w:sz w:val="24"/>
          <w:szCs w:val="24"/>
        </w:rPr>
      </w:pPr>
      <w:r w:rsidRPr="00DF1960">
        <w:rPr>
          <w:rFonts w:eastAsia="Times New Roman" w:cs="Times New Roman"/>
          <w:b/>
          <w:bCs/>
          <w:color w:val="000000"/>
          <w:sz w:val="24"/>
          <w:szCs w:val="24"/>
        </w:rPr>
        <w:t>Monson Developmental Center - Monson</w:t>
      </w:r>
    </w:p>
    <w:p w14:paraId="3067A1E9" w14:textId="77777777" w:rsidR="00DF1960" w:rsidRPr="00DF1960" w:rsidRDefault="00DF1960" w:rsidP="00DF1960">
      <w:pPr>
        <w:rPr>
          <w:rFonts w:eastAsia="Times New Roman" w:cs="Times New Roman"/>
          <w:sz w:val="24"/>
          <w:szCs w:val="24"/>
        </w:rPr>
      </w:pPr>
      <w:r w:rsidRPr="00DF1960">
        <w:rPr>
          <w:rFonts w:eastAsia="Times New Roman" w:cs="Times New Roman"/>
          <w:color w:val="000000"/>
          <w:sz w:val="24"/>
          <w:szCs w:val="24"/>
        </w:rPr>
        <w:t xml:space="preserve">Monson Developmental Center (MDC) closed on August 30, 2012. As of September 27, 2012, DCAMM assumed responsibility for the Monson property. The Tufts Dental Clinic was relocated to a new site in West Springfield and opened on October 3, 2013. </w:t>
      </w:r>
      <w:r w:rsidRPr="00DF1960">
        <w:rPr>
          <w:rFonts w:eastAsia="Times New Roman" w:cs="Times New Roman"/>
          <w:sz w:val="24"/>
          <w:szCs w:val="24"/>
        </w:rPr>
        <w:t xml:space="preserve">The Assistive Technology Center (ATC) was relocated to Worcester in March 2014. </w:t>
      </w:r>
    </w:p>
    <w:p w14:paraId="12BB4349" w14:textId="77777777" w:rsidR="00DF1960" w:rsidRPr="00DF1960" w:rsidRDefault="00DF1960" w:rsidP="00DF1960">
      <w:pPr>
        <w:rPr>
          <w:rFonts w:eastAsia="Times New Roman" w:cs="Times New Roman"/>
          <w:sz w:val="24"/>
          <w:szCs w:val="24"/>
        </w:rPr>
      </w:pPr>
    </w:p>
    <w:p w14:paraId="3511009E" w14:textId="77777777" w:rsidR="00DF1960" w:rsidRPr="00DF1960" w:rsidRDefault="00DF1960" w:rsidP="00DF1960">
      <w:pPr>
        <w:rPr>
          <w:rFonts w:eastAsia="Times New Roman" w:cs="Times New Roman"/>
          <w:b/>
          <w:bCs/>
          <w:sz w:val="24"/>
          <w:szCs w:val="24"/>
        </w:rPr>
      </w:pPr>
      <w:r w:rsidRPr="00DF1960">
        <w:rPr>
          <w:rFonts w:eastAsia="Times New Roman" w:cs="Times New Roman"/>
          <w:b/>
          <w:bCs/>
          <w:sz w:val="24"/>
          <w:szCs w:val="24"/>
        </w:rPr>
        <w:t>Glavin Regional Center - Shrewsbury</w:t>
      </w:r>
    </w:p>
    <w:p w14:paraId="6851709B" w14:textId="77777777" w:rsidR="00DF1960" w:rsidRPr="00DF1960" w:rsidRDefault="00DF1960" w:rsidP="00DF1960">
      <w:pPr>
        <w:rPr>
          <w:rFonts w:eastAsia="Times New Roman" w:cs="Times New Roman"/>
          <w:bCs/>
          <w:sz w:val="24"/>
          <w:szCs w:val="24"/>
        </w:rPr>
      </w:pPr>
      <w:r w:rsidRPr="00DF1960">
        <w:rPr>
          <w:rFonts w:eastAsia="Times New Roman" w:cs="Times New Roman"/>
          <w:bCs/>
          <w:sz w:val="24"/>
          <w:szCs w:val="24"/>
        </w:rPr>
        <w:t>The Glavin Regional Center (GRC) closed on June 18, 2013. DCAMM assumed responsibility shortly after and sold/leased most of the property to the city of Shrewsbury. DDS has retained some of the GRC management and clinical expertise to support the Department’s Community State Operated System and to strengthen the clinical services in our Central State Operated Residential System.</w:t>
      </w:r>
    </w:p>
    <w:p w14:paraId="1759E7E4" w14:textId="77777777" w:rsidR="00DF1960" w:rsidRPr="00DF1960" w:rsidRDefault="00DF1960" w:rsidP="00DF1960">
      <w:pPr>
        <w:jc w:val="both"/>
        <w:outlineLvl w:val="0"/>
        <w:rPr>
          <w:rFonts w:eastAsia="Times New Roman" w:cs="Times New Roman"/>
          <w:b/>
          <w:bCs/>
          <w:color w:val="000000"/>
          <w:sz w:val="24"/>
          <w:szCs w:val="24"/>
          <w:u w:val="single"/>
        </w:rPr>
      </w:pPr>
    </w:p>
    <w:p w14:paraId="6F21D9C9" w14:textId="77777777" w:rsidR="00DF1960" w:rsidRPr="00DF1960" w:rsidRDefault="00DF1960" w:rsidP="00DF1960">
      <w:pPr>
        <w:jc w:val="both"/>
        <w:outlineLvl w:val="0"/>
        <w:rPr>
          <w:rFonts w:eastAsia="Times New Roman" w:cs="Times New Roman"/>
          <w:sz w:val="24"/>
          <w:szCs w:val="24"/>
        </w:rPr>
      </w:pPr>
      <w:r w:rsidRPr="00DF1960">
        <w:rPr>
          <w:rFonts w:eastAsia="Times New Roman" w:cs="Times New Roman"/>
          <w:b/>
          <w:sz w:val="24"/>
          <w:szCs w:val="24"/>
        </w:rPr>
        <w:t>Fernald Developmental Center - Waltham</w:t>
      </w:r>
    </w:p>
    <w:p w14:paraId="00ACEA8F" w14:textId="77777777" w:rsidR="00DF1960" w:rsidRPr="00DF1960" w:rsidRDefault="00DF1960" w:rsidP="00DF1960">
      <w:pPr>
        <w:rPr>
          <w:rFonts w:eastAsia="Times New Roman" w:cs="Times New Roman"/>
          <w:sz w:val="24"/>
          <w:szCs w:val="24"/>
        </w:rPr>
      </w:pPr>
      <w:r w:rsidRPr="00DF1960">
        <w:rPr>
          <w:rFonts w:eastAsia="Times New Roman" w:cs="Times New Roman"/>
          <w:sz w:val="24"/>
          <w:szCs w:val="24"/>
        </w:rPr>
        <w:t xml:space="preserve">The Fernald Developmental Center (FDC) closed on November 13, 2014. DCAMM assumed responsibility shortly after and sold most of the property to the city of Waltham. </w:t>
      </w:r>
      <w:r w:rsidRPr="00DF1960">
        <w:rPr>
          <w:rFonts w:eastAsia="Times New Roman" w:cs="Times New Roman"/>
          <w:b/>
          <w:sz w:val="24"/>
          <w:szCs w:val="24"/>
        </w:rPr>
        <w:t>The Marquardt Nursing Facility</w:t>
      </w:r>
      <w:r w:rsidRPr="00DF1960">
        <w:rPr>
          <w:rFonts w:eastAsia="Times New Roman" w:cs="Times New Roman"/>
          <w:sz w:val="24"/>
          <w:szCs w:val="24"/>
        </w:rPr>
        <w:t xml:space="preserve"> located on the campus of the Fernald Developmental Center had a capacity of twenty-nine and served individuals with developmental disabilities and major medical issues. Individuals at Marquardt were offered placement in the community or a transfer to either Hogan Regional Center or Wrentham Developmental Center. Per our Ricci Consent Decree, all placements for Ricci class members were equal to or better than the services received at Marquardt. The Marquardt Facility closed in February 2017. </w:t>
      </w:r>
    </w:p>
    <w:p w14:paraId="04AF3137" w14:textId="77777777" w:rsidR="00DF1960" w:rsidRPr="00DF1960" w:rsidRDefault="00DF1960" w:rsidP="00DF1960">
      <w:pPr>
        <w:rPr>
          <w:rFonts w:eastAsia="Times New Roman" w:cs="Times New Roman"/>
          <w:b/>
          <w:sz w:val="24"/>
          <w:szCs w:val="24"/>
          <w:u w:val="single"/>
        </w:rPr>
      </w:pPr>
    </w:p>
    <w:p w14:paraId="4FFFC679" w14:textId="77777777" w:rsidR="00DF1960" w:rsidRPr="00DF1960" w:rsidRDefault="00DF1960" w:rsidP="00DF1960">
      <w:pPr>
        <w:rPr>
          <w:rFonts w:eastAsia="Times New Roman" w:cs="Times New Roman"/>
          <w:b/>
          <w:sz w:val="24"/>
          <w:szCs w:val="24"/>
        </w:rPr>
      </w:pPr>
      <w:r w:rsidRPr="00DF1960">
        <w:rPr>
          <w:rFonts w:eastAsia="Times New Roman" w:cs="Times New Roman"/>
          <w:b/>
          <w:sz w:val="24"/>
          <w:szCs w:val="24"/>
        </w:rPr>
        <w:t>Templeton Developmental Center - Templeton</w:t>
      </w:r>
    </w:p>
    <w:p w14:paraId="226DFDD6" w14:textId="77777777" w:rsidR="00DF1960" w:rsidRPr="00DF1960" w:rsidRDefault="00DF1960" w:rsidP="00DF1960">
      <w:pPr>
        <w:rPr>
          <w:rFonts w:eastAsia="Times New Roman" w:cs="Times New Roman"/>
          <w:sz w:val="24"/>
          <w:szCs w:val="24"/>
        </w:rPr>
      </w:pPr>
      <w:r w:rsidRPr="00DF1960">
        <w:rPr>
          <w:rFonts w:eastAsia="Times New Roman" w:cs="Times New Roman"/>
          <w:color w:val="000000"/>
          <w:sz w:val="24"/>
          <w:szCs w:val="24"/>
        </w:rPr>
        <w:t xml:space="preserve">The Templeton Developmental Center (TDC) closed on February 3, </w:t>
      </w:r>
      <w:proofErr w:type="gramStart"/>
      <w:r w:rsidRPr="00DF1960">
        <w:rPr>
          <w:rFonts w:eastAsia="Times New Roman" w:cs="Times New Roman"/>
          <w:color w:val="000000"/>
          <w:sz w:val="24"/>
          <w:szCs w:val="24"/>
        </w:rPr>
        <w:t>2015</w:t>
      </w:r>
      <w:proofErr w:type="gramEnd"/>
      <w:r w:rsidRPr="00DF1960">
        <w:rPr>
          <w:rFonts w:eastAsia="Times New Roman" w:cs="Times New Roman"/>
          <w:color w:val="000000"/>
          <w:sz w:val="24"/>
          <w:szCs w:val="24"/>
        </w:rPr>
        <w:t xml:space="preserve"> and DCAMM assumed responsibility shortly after. </w:t>
      </w:r>
      <w:r w:rsidRPr="00DF1960">
        <w:rPr>
          <w:rFonts w:eastAsia="Times New Roman" w:cs="Times New Roman"/>
          <w:sz w:val="24"/>
          <w:szCs w:val="24"/>
        </w:rPr>
        <w:t xml:space="preserve">On the TDC campus, three existing homes remained open as state-operated community group homes for 15 Individuals with Intellectual Disabilities who previously lived at TDC. These individuals are supported by 46 staff. The facility closure plan also included the construction of three duplexes that support 24 people with approximately 110 staff. Those homes were completed in December 2014.The Department of Agriculture entered into a Memorandum of Agreement with the Commonwealth to lease the facility’s agricultural land and structures. </w:t>
      </w:r>
    </w:p>
    <w:p w14:paraId="70AFC837" w14:textId="77777777" w:rsidR="00DF1960" w:rsidRPr="00DF1960" w:rsidRDefault="00DF1960" w:rsidP="00DF1960">
      <w:pPr>
        <w:rPr>
          <w:rFonts w:eastAsia="Times New Roman" w:cs="Times New Roman"/>
          <w:sz w:val="24"/>
          <w:szCs w:val="24"/>
        </w:rPr>
      </w:pPr>
    </w:p>
    <w:p w14:paraId="22A0DF24" w14:textId="77777777" w:rsidR="00DF1960" w:rsidRPr="00DF1960" w:rsidRDefault="00DF1960" w:rsidP="00DF1960">
      <w:pPr>
        <w:rPr>
          <w:rFonts w:eastAsia="Times New Roman" w:cs="Times New Roman"/>
          <w:b/>
          <w:sz w:val="24"/>
          <w:szCs w:val="24"/>
        </w:rPr>
      </w:pPr>
      <w:r w:rsidRPr="00DF1960">
        <w:rPr>
          <w:rFonts w:eastAsia="Times New Roman" w:cs="Times New Roman"/>
          <w:b/>
          <w:sz w:val="24"/>
          <w:szCs w:val="24"/>
        </w:rPr>
        <w:t>Wrentham Developmental Center - Wrentham</w:t>
      </w:r>
    </w:p>
    <w:p w14:paraId="109D36FB" w14:textId="77777777" w:rsidR="00DF1960" w:rsidRPr="00DF1960" w:rsidRDefault="00DF1960" w:rsidP="00DF1960">
      <w:pPr>
        <w:rPr>
          <w:rFonts w:eastAsia="Times New Roman" w:cs="Times New Roman"/>
          <w:sz w:val="24"/>
          <w:szCs w:val="24"/>
        </w:rPr>
      </w:pPr>
      <w:r w:rsidRPr="00DF1960">
        <w:rPr>
          <w:rFonts w:eastAsia="Times New Roman" w:cs="Times New Roman"/>
          <w:sz w:val="24"/>
          <w:szCs w:val="24"/>
        </w:rPr>
        <w:t>The Wrentham Developmental Center (WDC) remains open with a current census of 152 individuals supported by 650 full time equivalent positions (FTEs). The individuals live on the campus and access day services on the campus or in the community. In CY2024, there were 2 admissions and 1 placement back into the community. There were 12 resident deaths in 2024 due to natural causes of an aging or disabled population.</w:t>
      </w:r>
    </w:p>
    <w:p w14:paraId="7A52F8EC" w14:textId="77777777" w:rsidR="00DF1960" w:rsidRPr="00DF1960" w:rsidRDefault="00DF1960" w:rsidP="00DF1960">
      <w:pPr>
        <w:rPr>
          <w:rFonts w:eastAsia="Times New Roman" w:cs="Times New Roman"/>
          <w:sz w:val="24"/>
          <w:szCs w:val="24"/>
        </w:rPr>
      </w:pPr>
    </w:p>
    <w:p w14:paraId="5C246959" w14:textId="77777777" w:rsidR="00DF1960" w:rsidRPr="00DF1960" w:rsidRDefault="00DF1960" w:rsidP="00DF1960">
      <w:pPr>
        <w:rPr>
          <w:rFonts w:eastAsia="Times New Roman" w:cs="Times New Roman"/>
          <w:b/>
          <w:sz w:val="24"/>
          <w:szCs w:val="24"/>
        </w:rPr>
      </w:pPr>
      <w:r w:rsidRPr="00DF1960">
        <w:rPr>
          <w:rFonts w:eastAsia="Times New Roman" w:cs="Times New Roman"/>
          <w:b/>
          <w:sz w:val="24"/>
          <w:szCs w:val="24"/>
        </w:rPr>
        <w:t>Hogan Regional Center – Danvers</w:t>
      </w:r>
    </w:p>
    <w:p w14:paraId="7BEA5FA8" w14:textId="77777777" w:rsidR="00DF1960" w:rsidRPr="00DF1960" w:rsidRDefault="00DF1960" w:rsidP="00DF1960">
      <w:pPr>
        <w:rPr>
          <w:rFonts w:eastAsia="Times New Roman" w:cs="Times New Roman"/>
          <w:bCs/>
          <w:sz w:val="24"/>
          <w:szCs w:val="24"/>
        </w:rPr>
      </w:pPr>
      <w:r w:rsidRPr="00DF1960">
        <w:rPr>
          <w:rFonts w:eastAsia="Times New Roman" w:cs="Times New Roman"/>
          <w:bCs/>
          <w:sz w:val="24"/>
          <w:szCs w:val="24"/>
        </w:rPr>
        <w:t>The Hogan Regional Center (HRC) remains open with a current census of 88 individuals, supported by 455 full time equivalent positions (FTEs). The individuals live on the campus and access day services on the campus or in the community. In CY2024, there were 8 admissions and 6 placements back into the community. There were 7 resident deaths in 2024 due to natural causes of an aging or disabled population.</w:t>
      </w:r>
    </w:p>
    <w:p w14:paraId="679B31D5" w14:textId="3DBAE698" w:rsidR="00945FA1" w:rsidRPr="00DF1960" w:rsidRDefault="00945FA1" w:rsidP="00A4551A">
      <w:pPr>
        <w:spacing w:before="4" w:line="190" w:lineRule="exact"/>
        <w:rPr>
          <w:sz w:val="24"/>
          <w:szCs w:val="24"/>
        </w:rPr>
      </w:pPr>
    </w:p>
    <w:sectPr w:rsidR="00945FA1" w:rsidRPr="00DF1960" w:rsidSect="00DF1960">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2ACF6" w14:textId="77777777" w:rsidR="005E7A4E" w:rsidRDefault="005E7A4E" w:rsidP="00DB5B25">
      <w:r>
        <w:separator/>
      </w:r>
    </w:p>
  </w:endnote>
  <w:endnote w:type="continuationSeparator" w:id="0">
    <w:p w14:paraId="2C8210DB" w14:textId="77777777" w:rsidR="005E7A4E" w:rsidRDefault="005E7A4E" w:rsidP="00DB5B25">
      <w:r>
        <w:continuationSeparator/>
      </w:r>
    </w:p>
  </w:endnote>
  <w:endnote w:type="continuationNotice" w:id="1">
    <w:p w14:paraId="261E569B" w14:textId="77777777" w:rsidR="005E7A4E" w:rsidRDefault="005E7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1690" w14:textId="77777777" w:rsidR="000F6581" w:rsidRDefault="000F6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E36C1" w14:textId="77777777" w:rsidR="000F6581" w:rsidRDefault="000F6581">
    <w:pPr>
      <w:pStyle w:val="Footer"/>
      <w:tabs>
        <w:tab w:val="clear" w:pos="4680"/>
        <w:tab w:val="clear" w:pos="9360"/>
      </w:tabs>
      <w:jc w:val="center"/>
      <w:rPr>
        <w:caps/>
        <w:noProof/>
        <w:color w:val="4F81BD" w:themeColor="accent1"/>
      </w:rPr>
    </w:pPr>
    <w:r>
      <w:rPr>
        <w:caps/>
        <w:color w:val="4F81BD" w:themeColor="accent1"/>
        <w:shd w:val="clear" w:color="auto" w:fill="E6E6E6"/>
      </w:rPr>
      <w:fldChar w:fldCharType="begin"/>
    </w:r>
    <w:r>
      <w:rPr>
        <w:caps/>
        <w:color w:val="4F81BD" w:themeColor="accent1"/>
      </w:rPr>
      <w:instrText xml:space="preserve"> PAGE   \* MERGEFORMAT </w:instrText>
    </w:r>
    <w:r>
      <w:rPr>
        <w:caps/>
        <w:color w:val="4F81BD" w:themeColor="accent1"/>
        <w:shd w:val="clear" w:color="auto" w:fill="E6E6E6"/>
      </w:rPr>
      <w:fldChar w:fldCharType="separate"/>
    </w:r>
    <w:r>
      <w:rPr>
        <w:caps/>
        <w:noProof/>
        <w:color w:val="4F81BD" w:themeColor="accent1"/>
      </w:rPr>
      <w:t>2</w:t>
    </w:r>
    <w:r>
      <w:rPr>
        <w:caps/>
        <w:noProof/>
        <w:color w:val="4F81BD" w:themeColor="accent1"/>
        <w:shd w:val="clear" w:color="auto" w:fill="E6E6E6"/>
      </w:rPr>
      <w:fldChar w:fldCharType="end"/>
    </w:r>
  </w:p>
  <w:p w14:paraId="128A3CD1" w14:textId="77777777" w:rsidR="00E450BE" w:rsidRDefault="00E45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B9A6" w14:textId="77777777" w:rsidR="000F6581" w:rsidRDefault="000F6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5BE76" w14:textId="77777777" w:rsidR="005E7A4E" w:rsidRDefault="005E7A4E" w:rsidP="00DB5B25">
      <w:r>
        <w:separator/>
      </w:r>
    </w:p>
  </w:footnote>
  <w:footnote w:type="continuationSeparator" w:id="0">
    <w:p w14:paraId="6673FFAA" w14:textId="77777777" w:rsidR="005E7A4E" w:rsidRDefault="005E7A4E" w:rsidP="00DB5B25">
      <w:r>
        <w:continuationSeparator/>
      </w:r>
    </w:p>
  </w:footnote>
  <w:footnote w:type="continuationNotice" w:id="1">
    <w:p w14:paraId="00D7394E" w14:textId="77777777" w:rsidR="005E7A4E" w:rsidRDefault="005E7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E2761" w14:textId="77777777" w:rsidR="000F6581" w:rsidRDefault="000F6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F170D" w14:textId="77777777" w:rsidR="000F6581" w:rsidRDefault="000F6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9F453" w14:textId="77777777" w:rsidR="000F6581" w:rsidRDefault="000F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80EFA"/>
    <w:multiLevelType w:val="multilevel"/>
    <w:tmpl w:val="83C0F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772974"/>
    <w:multiLevelType w:val="hybridMultilevel"/>
    <w:tmpl w:val="10444D5C"/>
    <w:lvl w:ilvl="0" w:tplc="16484A94">
      <w:start w:val="1"/>
      <w:numFmt w:val="bullet"/>
      <w:lvlText w:val="•"/>
      <w:lvlJc w:val="left"/>
      <w:pPr>
        <w:ind w:hanging="364"/>
      </w:pPr>
      <w:rPr>
        <w:rFonts w:ascii="Times New Roman" w:eastAsia="Times New Roman" w:hAnsi="Times New Roman" w:hint="default"/>
        <w:w w:val="151"/>
        <w:sz w:val="23"/>
        <w:szCs w:val="23"/>
      </w:rPr>
    </w:lvl>
    <w:lvl w:ilvl="1" w:tplc="A24A766C">
      <w:start w:val="1"/>
      <w:numFmt w:val="bullet"/>
      <w:lvlText w:val="•"/>
      <w:lvlJc w:val="left"/>
      <w:rPr>
        <w:rFonts w:hint="default"/>
      </w:rPr>
    </w:lvl>
    <w:lvl w:ilvl="2" w:tplc="7736D762">
      <w:start w:val="1"/>
      <w:numFmt w:val="bullet"/>
      <w:lvlText w:val="•"/>
      <w:lvlJc w:val="left"/>
      <w:rPr>
        <w:rFonts w:hint="default"/>
      </w:rPr>
    </w:lvl>
    <w:lvl w:ilvl="3" w:tplc="68FCE5B6">
      <w:start w:val="1"/>
      <w:numFmt w:val="bullet"/>
      <w:lvlText w:val="•"/>
      <w:lvlJc w:val="left"/>
      <w:rPr>
        <w:rFonts w:hint="default"/>
      </w:rPr>
    </w:lvl>
    <w:lvl w:ilvl="4" w:tplc="00ECBCEA">
      <w:start w:val="1"/>
      <w:numFmt w:val="bullet"/>
      <w:lvlText w:val="•"/>
      <w:lvlJc w:val="left"/>
      <w:rPr>
        <w:rFonts w:hint="default"/>
      </w:rPr>
    </w:lvl>
    <w:lvl w:ilvl="5" w:tplc="DFDC85A2">
      <w:start w:val="1"/>
      <w:numFmt w:val="bullet"/>
      <w:lvlText w:val="•"/>
      <w:lvlJc w:val="left"/>
      <w:rPr>
        <w:rFonts w:hint="default"/>
      </w:rPr>
    </w:lvl>
    <w:lvl w:ilvl="6" w:tplc="03C05F7C">
      <w:start w:val="1"/>
      <w:numFmt w:val="bullet"/>
      <w:lvlText w:val="•"/>
      <w:lvlJc w:val="left"/>
      <w:rPr>
        <w:rFonts w:hint="default"/>
      </w:rPr>
    </w:lvl>
    <w:lvl w:ilvl="7" w:tplc="82B6F114">
      <w:start w:val="1"/>
      <w:numFmt w:val="bullet"/>
      <w:lvlText w:val="•"/>
      <w:lvlJc w:val="left"/>
      <w:rPr>
        <w:rFonts w:hint="default"/>
      </w:rPr>
    </w:lvl>
    <w:lvl w:ilvl="8" w:tplc="3F92522E">
      <w:start w:val="1"/>
      <w:numFmt w:val="bullet"/>
      <w:lvlText w:val="•"/>
      <w:lvlJc w:val="left"/>
      <w:rPr>
        <w:rFonts w:hint="default"/>
      </w:rPr>
    </w:lvl>
  </w:abstractNum>
  <w:abstractNum w:abstractNumId="2" w15:restartNumberingAfterBreak="0">
    <w:nsid w:val="11A06416"/>
    <w:multiLevelType w:val="hybridMultilevel"/>
    <w:tmpl w:val="C45CAF28"/>
    <w:lvl w:ilvl="0" w:tplc="2E049D3E">
      <w:start w:val="1"/>
      <w:numFmt w:val="bullet"/>
      <w:lvlText w:val="•"/>
      <w:lvlJc w:val="left"/>
      <w:pPr>
        <w:ind w:hanging="363"/>
      </w:pPr>
      <w:rPr>
        <w:rFonts w:ascii="Times New Roman" w:eastAsia="Times New Roman" w:hAnsi="Times New Roman" w:hint="default"/>
        <w:w w:val="150"/>
        <w:sz w:val="23"/>
        <w:szCs w:val="23"/>
      </w:rPr>
    </w:lvl>
    <w:lvl w:ilvl="1" w:tplc="CF88398C">
      <w:start w:val="1"/>
      <w:numFmt w:val="bullet"/>
      <w:lvlText w:val="•"/>
      <w:lvlJc w:val="left"/>
      <w:rPr>
        <w:rFonts w:hint="default"/>
      </w:rPr>
    </w:lvl>
    <w:lvl w:ilvl="2" w:tplc="18827EC0">
      <w:start w:val="1"/>
      <w:numFmt w:val="bullet"/>
      <w:lvlText w:val="•"/>
      <w:lvlJc w:val="left"/>
      <w:rPr>
        <w:rFonts w:hint="default"/>
      </w:rPr>
    </w:lvl>
    <w:lvl w:ilvl="3" w:tplc="306AB472">
      <w:start w:val="1"/>
      <w:numFmt w:val="bullet"/>
      <w:lvlText w:val="•"/>
      <w:lvlJc w:val="left"/>
      <w:rPr>
        <w:rFonts w:hint="default"/>
      </w:rPr>
    </w:lvl>
    <w:lvl w:ilvl="4" w:tplc="29920A24">
      <w:start w:val="1"/>
      <w:numFmt w:val="bullet"/>
      <w:lvlText w:val="•"/>
      <w:lvlJc w:val="left"/>
      <w:rPr>
        <w:rFonts w:hint="default"/>
      </w:rPr>
    </w:lvl>
    <w:lvl w:ilvl="5" w:tplc="42C87F4E">
      <w:start w:val="1"/>
      <w:numFmt w:val="bullet"/>
      <w:lvlText w:val="•"/>
      <w:lvlJc w:val="left"/>
      <w:rPr>
        <w:rFonts w:hint="default"/>
      </w:rPr>
    </w:lvl>
    <w:lvl w:ilvl="6" w:tplc="4CBC4346">
      <w:start w:val="1"/>
      <w:numFmt w:val="bullet"/>
      <w:lvlText w:val="•"/>
      <w:lvlJc w:val="left"/>
      <w:rPr>
        <w:rFonts w:hint="default"/>
      </w:rPr>
    </w:lvl>
    <w:lvl w:ilvl="7" w:tplc="4AF4EED8">
      <w:start w:val="1"/>
      <w:numFmt w:val="bullet"/>
      <w:lvlText w:val="•"/>
      <w:lvlJc w:val="left"/>
      <w:rPr>
        <w:rFonts w:hint="default"/>
      </w:rPr>
    </w:lvl>
    <w:lvl w:ilvl="8" w:tplc="8F2ACC82">
      <w:start w:val="1"/>
      <w:numFmt w:val="bullet"/>
      <w:lvlText w:val="•"/>
      <w:lvlJc w:val="left"/>
      <w:rPr>
        <w:rFonts w:hint="default"/>
      </w:rPr>
    </w:lvl>
  </w:abstractNum>
  <w:abstractNum w:abstractNumId="3" w15:restartNumberingAfterBreak="0">
    <w:nsid w:val="19946BCB"/>
    <w:multiLevelType w:val="hybridMultilevel"/>
    <w:tmpl w:val="1BAA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F0602"/>
    <w:multiLevelType w:val="hybridMultilevel"/>
    <w:tmpl w:val="5AD2A7EA"/>
    <w:lvl w:ilvl="0" w:tplc="7C2C3E52">
      <w:start w:val="4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8339C"/>
    <w:multiLevelType w:val="hybridMultilevel"/>
    <w:tmpl w:val="3242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40618"/>
    <w:multiLevelType w:val="hybridMultilevel"/>
    <w:tmpl w:val="0948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BE500D"/>
    <w:multiLevelType w:val="hybridMultilevel"/>
    <w:tmpl w:val="73969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B21683"/>
    <w:multiLevelType w:val="multilevel"/>
    <w:tmpl w:val="963E2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8F4ADF"/>
    <w:multiLevelType w:val="hybridMultilevel"/>
    <w:tmpl w:val="079E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62B62"/>
    <w:multiLevelType w:val="hybridMultilevel"/>
    <w:tmpl w:val="295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10017">
    <w:abstractNumId w:val="2"/>
  </w:num>
  <w:num w:numId="2" w16cid:durableId="1255047063">
    <w:abstractNumId w:val="1"/>
  </w:num>
  <w:num w:numId="3" w16cid:durableId="527572820">
    <w:abstractNumId w:val="11"/>
  </w:num>
  <w:num w:numId="4" w16cid:durableId="146435889">
    <w:abstractNumId w:val="9"/>
  </w:num>
  <w:num w:numId="5" w16cid:durableId="2115899049">
    <w:abstractNumId w:val="0"/>
  </w:num>
  <w:num w:numId="6" w16cid:durableId="1498426388">
    <w:abstractNumId w:val="6"/>
  </w:num>
  <w:num w:numId="7" w16cid:durableId="1503280220">
    <w:abstractNumId w:val="7"/>
  </w:num>
  <w:num w:numId="8" w16cid:durableId="294262928">
    <w:abstractNumId w:val="5"/>
  </w:num>
  <w:num w:numId="9" w16cid:durableId="1609582842">
    <w:abstractNumId w:val="5"/>
  </w:num>
  <w:num w:numId="10" w16cid:durableId="620452127">
    <w:abstractNumId w:val="3"/>
  </w:num>
  <w:num w:numId="11" w16cid:durableId="900822297">
    <w:abstractNumId w:val="10"/>
  </w:num>
  <w:num w:numId="12" w16cid:durableId="75716605">
    <w:abstractNumId w:val="4"/>
  </w:num>
  <w:num w:numId="13" w16cid:durableId="551380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A"/>
    <w:rsid w:val="00000483"/>
    <w:rsid w:val="00001AE4"/>
    <w:rsid w:val="00002571"/>
    <w:rsid w:val="00003DF7"/>
    <w:rsid w:val="00004DA6"/>
    <w:rsid w:val="00004DC6"/>
    <w:rsid w:val="00007187"/>
    <w:rsid w:val="00007DCA"/>
    <w:rsid w:val="00012D9A"/>
    <w:rsid w:val="0001533E"/>
    <w:rsid w:val="000166FB"/>
    <w:rsid w:val="00017715"/>
    <w:rsid w:val="000212E1"/>
    <w:rsid w:val="00024706"/>
    <w:rsid w:val="000279C5"/>
    <w:rsid w:val="00027C7C"/>
    <w:rsid w:val="000317C3"/>
    <w:rsid w:val="00033AC5"/>
    <w:rsid w:val="00034274"/>
    <w:rsid w:val="00034BCE"/>
    <w:rsid w:val="00040877"/>
    <w:rsid w:val="000501E4"/>
    <w:rsid w:val="000504D8"/>
    <w:rsid w:val="0005198E"/>
    <w:rsid w:val="00054799"/>
    <w:rsid w:val="000605B6"/>
    <w:rsid w:val="00062E21"/>
    <w:rsid w:val="00067338"/>
    <w:rsid w:val="00073E68"/>
    <w:rsid w:val="00074328"/>
    <w:rsid w:val="00074EA6"/>
    <w:rsid w:val="00077545"/>
    <w:rsid w:val="00080847"/>
    <w:rsid w:val="00083124"/>
    <w:rsid w:val="00083BB7"/>
    <w:rsid w:val="00086CC1"/>
    <w:rsid w:val="00087ADE"/>
    <w:rsid w:val="0009297E"/>
    <w:rsid w:val="00093CF8"/>
    <w:rsid w:val="000943C2"/>
    <w:rsid w:val="00094FD5"/>
    <w:rsid w:val="00096B8E"/>
    <w:rsid w:val="0009701B"/>
    <w:rsid w:val="000A1333"/>
    <w:rsid w:val="000A2A31"/>
    <w:rsid w:val="000A4A27"/>
    <w:rsid w:val="000A61B8"/>
    <w:rsid w:val="000A75C3"/>
    <w:rsid w:val="000B69EA"/>
    <w:rsid w:val="000B7A99"/>
    <w:rsid w:val="000C14F8"/>
    <w:rsid w:val="000C21D0"/>
    <w:rsid w:val="000C5516"/>
    <w:rsid w:val="000D0A01"/>
    <w:rsid w:val="000D0ADB"/>
    <w:rsid w:val="000D158E"/>
    <w:rsid w:val="000D1BF0"/>
    <w:rsid w:val="000D299B"/>
    <w:rsid w:val="000D2ED2"/>
    <w:rsid w:val="000D5418"/>
    <w:rsid w:val="000D59DF"/>
    <w:rsid w:val="000D76DD"/>
    <w:rsid w:val="000E1848"/>
    <w:rsid w:val="000E28B6"/>
    <w:rsid w:val="000E2964"/>
    <w:rsid w:val="000E2DDF"/>
    <w:rsid w:val="000E3570"/>
    <w:rsid w:val="000E3B66"/>
    <w:rsid w:val="000E440B"/>
    <w:rsid w:val="000E4BD6"/>
    <w:rsid w:val="000F5BF6"/>
    <w:rsid w:val="000F6581"/>
    <w:rsid w:val="000F7764"/>
    <w:rsid w:val="0010105D"/>
    <w:rsid w:val="00101444"/>
    <w:rsid w:val="00101F8D"/>
    <w:rsid w:val="001040E0"/>
    <w:rsid w:val="001050F4"/>
    <w:rsid w:val="00106965"/>
    <w:rsid w:val="00110477"/>
    <w:rsid w:val="0011068E"/>
    <w:rsid w:val="00111475"/>
    <w:rsid w:val="00113C19"/>
    <w:rsid w:val="00114477"/>
    <w:rsid w:val="00114FB0"/>
    <w:rsid w:val="001233F3"/>
    <w:rsid w:val="00124B8E"/>
    <w:rsid w:val="00124FB4"/>
    <w:rsid w:val="00126E48"/>
    <w:rsid w:val="00127423"/>
    <w:rsid w:val="001323B5"/>
    <w:rsid w:val="001325F5"/>
    <w:rsid w:val="00132BBC"/>
    <w:rsid w:val="00133AF4"/>
    <w:rsid w:val="00134977"/>
    <w:rsid w:val="00134CFC"/>
    <w:rsid w:val="00137001"/>
    <w:rsid w:val="0014071C"/>
    <w:rsid w:val="001437ED"/>
    <w:rsid w:val="001479F4"/>
    <w:rsid w:val="00150AFD"/>
    <w:rsid w:val="00154579"/>
    <w:rsid w:val="001566DE"/>
    <w:rsid w:val="0016109C"/>
    <w:rsid w:val="0016195F"/>
    <w:rsid w:val="00163491"/>
    <w:rsid w:val="00166127"/>
    <w:rsid w:val="0016756F"/>
    <w:rsid w:val="00167F4E"/>
    <w:rsid w:val="00171B71"/>
    <w:rsid w:val="00180BFF"/>
    <w:rsid w:val="00181DFD"/>
    <w:rsid w:val="001840AF"/>
    <w:rsid w:val="00187583"/>
    <w:rsid w:val="00190096"/>
    <w:rsid w:val="00190A8A"/>
    <w:rsid w:val="00191863"/>
    <w:rsid w:val="00191A02"/>
    <w:rsid w:val="0019207C"/>
    <w:rsid w:val="001976DB"/>
    <w:rsid w:val="001A0F62"/>
    <w:rsid w:val="001A1D0E"/>
    <w:rsid w:val="001A323C"/>
    <w:rsid w:val="001A7FE0"/>
    <w:rsid w:val="001B13D2"/>
    <w:rsid w:val="001B3E31"/>
    <w:rsid w:val="001C0060"/>
    <w:rsid w:val="001C3623"/>
    <w:rsid w:val="001C6C30"/>
    <w:rsid w:val="001C7AC6"/>
    <w:rsid w:val="001D01BC"/>
    <w:rsid w:val="001D2B9B"/>
    <w:rsid w:val="001D365F"/>
    <w:rsid w:val="001D3EE6"/>
    <w:rsid w:val="001D4FC0"/>
    <w:rsid w:val="001D5E12"/>
    <w:rsid w:val="001D5FF9"/>
    <w:rsid w:val="001D66D5"/>
    <w:rsid w:val="001D79CA"/>
    <w:rsid w:val="001E0132"/>
    <w:rsid w:val="001E09B1"/>
    <w:rsid w:val="001E32BE"/>
    <w:rsid w:val="001E4E6D"/>
    <w:rsid w:val="001E626D"/>
    <w:rsid w:val="001F1995"/>
    <w:rsid w:val="001F2DAE"/>
    <w:rsid w:val="001F3F29"/>
    <w:rsid w:val="002012CE"/>
    <w:rsid w:val="00201962"/>
    <w:rsid w:val="002039D2"/>
    <w:rsid w:val="00206829"/>
    <w:rsid w:val="00207655"/>
    <w:rsid w:val="00211864"/>
    <w:rsid w:val="00211B0B"/>
    <w:rsid w:val="00221722"/>
    <w:rsid w:val="00223650"/>
    <w:rsid w:val="00227899"/>
    <w:rsid w:val="00232A4E"/>
    <w:rsid w:val="002333BB"/>
    <w:rsid w:val="002339E6"/>
    <w:rsid w:val="00236632"/>
    <w:rsid w:val="0023765C"/>
    <w:rsid w:val="00237EBB"/>
    <w:rsid w:val="002502F3"/>
    <w:rsid w:val="00250A88"/>
    <w:rsid w:val="0025195D"/>
    <w:rsid w:val="00252830"/>
    <w:rsid w:val="00253EAC"/>
    <w:rsid w:val="0025516B"/>
    <w:rsid w:val="00255F88"/>
    <w:rsid w:val="00260B7A"/>
    <w:rsid w:val="00262594"/>
    <w:rsid w:val="00271610"/>
    <w:rsid w:val="00286997"/>
    <w:rsid w:val="0029074A"/>
    <w:rsid w:val="00291844"/>
    <w:rsid w:val="0029236F"/>
    <w:rsid w:val="00293A72"/>
    <w:rsid w:val="00293AEB"/>
    <w:rsid w:val="002940D6"/>
    <w:rsid w:val="002949C4"/>
    <w:rsid w:val="0029669E"/>
    <w:rsid w:val="002A125F"/>
    <w:rsid w:val="002A193B"/>
    <w:rsid w:val="002A2657"/>
    <w:rsid w:val="002A2B74"/>
    <w:rsid w:val="002A49D4"/>
    <w:rsid w:val="002A559A"/>
    <w:rsid w:val="002A6734"/>
    <w:rsid w:val="002A6C5E"/>
    <w:rsid w:val="002B18B6"/>
    <w:rsid w:val="002B2874"/>
    <w:rsid w:val="002B42D7"/>
    <w:rsid w:val="002B77B7"/>
    <w:rsid w:val="002C0E47"/>
    <w:rsid w:val="002C2D55"/>
    <w:rsid w:val="002C35EE"/>
    <w:rsid w:val="002C65A7"/>
    <w:rsid w:val="002C6BD5"/>
    <w:rsid w:val="002C7201"/>
    <w:rsid w:val="002C74FF"/>
    <w:rsid w:val="002C7D85"/>
    <w:rsid w:val="002D209B"/>
    <w:rsid w:val="002D237C"/>
    <w:rsid w:val="002D618D"/>
    <w:rsid w:val="002D6CD1"/>
    <w:rsid w:val="002D73C6"/>
    <w:rsid w:val="002E1C2D"/>
    <w:rsid w:val="002E307F"/>
    <w:rsid w:val="002F0AD0"/>
    <w:rsid w:val="002F1234"/>
    <w:rsid w:val="002F40D1"/>
    <w:rsid w:val="002F4447"/>
    <w:rsid w:val="002F4DE8"/>
    <w:rsid w:val="002F6455"/>
    <w:rsid w:val="002F6E81"/>
    <w:rsid w:val="00300440"/>
    <w:rsid w:val="00304CEB"/>
    <w:rsid w:val="00307641"/>
    <w:rsid w:val="0031140D"/>
    <w:rsid w:val="003120BA"/>
    <w:rsid w:val="00313493"/>
    <w:rsid w:val="00314636"/>
    <w:rsid w:val="0031491D"/>
    <w:rsid w:val="00314AB0"/>
    <w:rsid w:val="00315340"/>
    <w:rsid w:val="003154E1"/>
    <w:rsid w:val="00316067"/>
    <w:rsid w:val="00316559"/>
    <w:rsid w:val="00323097"/>
    <w:rsid w:val="00323454"/>
    <w:rsid w:val="003236A5"/>
    <w:rsid w:val="0032459A"/>
    <w:rsid w:val="00324846"/>
    <w:rsid w:val="0032775D"/>
    <w:rsid w:val="0032785A"/>
    <w:rsid w:val="00332833"/>
    <w:rsid w:val="00333B95"/>
    <w:rsid w:val="00337A8D"/>
    <w:rsid w:val="003409C2"/>
    <w:rsid w:val="00344C74"/>
    <w:rsid w:val="00346E6F"/>
    <w:rsid w:val="00346EA9"/>
    <w:rsid w:val="00350CB2"/>
    <w:rsid w:val="00351058"/>
    <w:rsid w:val="00351573"/>
    <w:rsid w:val="00360079"/>
    <w:rsid w:val="003620F5"/>
    <w:rsid w:val="00362D2F"/>
    <w:rsid w:val="0036352B"/>
    <w:rsid w:val="003716A1"/>
    <w:rsid w:val="003758E0"/>
    <w:rsid w:val="00376647"/>
    <w:rsid w:val="003829F5"/>
    <w:rsid w:val="00387688"/>
    <w:rsid w:val="0039371C"/>
    <w:rsid w:val="003964C1"/>
    <w:rsid w:val="00396D39"/>
    <w:rsid w:val="003A1E34"/>
    <w:rsid w:val="003A2F87"/>
    <w:rsid w:val="003A5E80"/>
    <w:rsid w:val="003B122D"/>
    <w:rsid w:val="003B1450"/>
    <w:rsid w:val="003B151F"/>
    <w:rsid w:val="003B2058"/>
    <w:rsid w:val="003B4FF7"/>
    <w:rsid w:val="003B5CC1"/>
    <w:rsid w:val="003C021E"/>
    <w:rsid w:val="003C3283"/>
    <w:rsid w:val="003C392B"/>
    <w:rsid w:val="003C523D"/>
    <w:rsid w:val="003C660A"/>
    <w:rsid w:val="003D388A"/>
    <w:rsid w:val="003D3A30"/>
    <w:rsid w:val="003D53C0"/>
    <w:rsid w:val="003D5752"/>
    <w:rsid w:val="003E032B"/>
    <w:rsid w:val="003E0BD1"/>
    <w:rsid w:val="003E1E90"/>
    <w:rsid w:val="003E37A8"/>
    <w:rsid w:val="003E4912"/>
    <w:rsid w:val="003E670A"/>
    <w:rsid w:val="003E7247"/>
    <w:rsid w:val="003F0D16"/>
    <w:rsid w:val="003F36A0"/>
    <w:rsid w:val="00406E34"/>
    <w:rsid w:val="00407DEE"/>
    <w:rsid w:val="00411472"/>
    <w:rsid w:val="00411563"/>
    <w:rsid w:val="0041392D"/>
    <w:rsid w:val="004173AC"/>
    <w:rsid w:val="004173B4"/>
    <w:rsid w:val="00422637"/>
    <w:rsid w:val="0042314F"/>
    <w:rsid w:val="00424A29"/>
    <w:rsid w:val="00425D7B"/>
    <w:rsid w:val="00432CB4"/>
    <w:rsid w:val="00432D62"/>
    <w:rsid w:val="00435B6F"/>
    <w:rsid w:val="00436F66"/>
    <w:rsid w:val="00441EF4"/>
    <w:rsid w:val="0044278E"/>
    <w:rsid w:val="00444B09"/>
    <w:rsid w:val="00444CDA"/>
    <w:rsid w:val="004477A5"/>
    <w:rsid w:val="00450FD7"/>
    <w:rsid w:val="0045418D"/>
    <w:rsid w:val="00454ACB"/>
    <w:rsid w:val="004600BD"/>
    <w:rsid w:val="0046231E"/>
    <w:rsid w:val="00465B0C"/>
    <w:rsid w:val="00467CBA"/>
    <w:rsid w:val="004713BB"/>
    <w:rsid w:val="00473D31"/>
    <w:rsid w:val="00475A45"/>
    <w:rsid w:val="0048066D"/>
    <w:rsid w:val="00484808"/>
    <w:rsid w:val="0048657C"/>
    <w:rsid w:val="00487049"/>
    <w:rsid w:val="004878ED"/>
    <w:rsid w:val="00490BDC"/>
    <w:rsid w:val="004936A1"/>
    <w:rsid w:val="00495BB0"/>
    <w:rsid w:val="004977D7"/>
    <w:rsid w:val="004A0125"/>
    <w:rsid w:val="004A3C14"/>
    <w:rsid w:val="004A4218"/>
    <w:rsid w:val="004A6949"/>
    <w:rsid w:val="004B0AE4"/>
    <w:rsid w:val="004B2F00"/>
    <w:rsid w:val="004B33D7"/>
    <w:rsid w:val="004B475C"/>
    <w:rsid w:val="004B52F8"/>
    <w:rsid w:val="004C0A9B"/>
    <w:rsid w:val="004C6605"/>
    <w:rsid w:val="004C76F8"/>
    <w:rsid w:val="004C7B28"/>
    <w:rsid w:val="004C7C08"/>
    <w:rsid w:val="004D0BFC"/>
    <w:rsid w:val="004D2B91"/>
    <w:rsid w:val="004D5C77"/>
    <w:rsid w:val="004D5EF2"/>
    <w:rsid w:val="004D71A7"/>
    <w:rsid w:val="004D7E30"/>
    <w:rsid w:val="004E0D30"/>
    <w:rsid w:val="004E22F7"/>
    <w:rsid w:val="004E45CA"/>
    <w:rsid w:val="004E502E"/>
    <w:rsid w:val="004E7F30"/>
    <w:rsid w:val="004F0D1F"/>
    <w:rsid w:val="004F0F7C"/>
    <w:rsid w:val="004F2E2B"/>
    <w:rsid w:val="004F5EE3"/>
    <w:rsid w:val="004F6167"/>
    <w:rsid w:val="004F6867"/>
    <w:rsid w:val="005008B3"/>
    <w:rsid w:val="005064DC"/>
    <w:rsid w:val="005108F6"/>
    <w:rsid w:val="0051102B"/>
    <w:rsid w:val="00511728"/>
    <w:rsid w:val="00511D15"/>
    <w:rsid w:val="005121E1"/>
    <w:rsid w:val="00513449"/>
    <w:rsid w:val="00514261"/>
    <w:rsid w:val="00516379"/>
    <w:rsid w:val="00521D7A"/>
    <w:rsid w:val="0052478D"/>
    <w:rsid w:val="0052663A"/>
    <w:rsid w:val="00526A8A"/>
    <w:rsid w:val="00531453"/>
    <w:rsid w:val="00532178"/>
    <w:rsid w:val="00533983"/>
    <w:rsid w:val="005346D2"/>
    <w:rsid w:val="00540D0E"/>
    <w:rsid w:val="00541771"/>
    <w:rsid w:val="00546535"/>
    <w:rsid w:val="00547B42"/>
    <w:rsid w:val="00547E0A"/>
    <w:rsid w:val="00554B78"/>
    <w:rsid w:val="00560AEF"/>
    <w:rsid w:val="00560C12"/>
    <w:rsid w:val="0056443B"/>
    <w:rsid w:val="00566109"/>
    <w:rsid w:val="00570349"/>
    <w:rsid w:val="005719D5"/>
    <w:rsid w:val="00573E4F"/>
    <w:rsid w:val="00574971"/>
    <w:rsid w:val="00574BFE"/>
    <w:rsid w:val="0057520F"/>
    <w:rsid w:val="00576D2C"/>
    <w:rsid w:val="005770B7"/>
    <w:rsid w:val="00577D14"/>
    <w:rsid w:val="005808F3"/>
    <w:rsid w:val="00580F55"/>
    <w:rsid w:val="005824D9"/>
    <w:rsid w:val="005838C8"/>
    <w:rsid w:val="005900FA"/>
    <w:rsid w:val="0059148D"/>
    <w:rsid w:val="00594C20"/>
    <w:rsid w:val="00594FB3"/>
    <w:rsid w:val="005957B6"/>
    <w:rsid w:val="00595F64"/>
    <w:rsid w:val="00596A73"/>
    <w:rsid w:val="005A016B"/>
    <w:rsid w:val="005A161D"/>
    <w:rsid w:val="005A26F4"/>
    <w:rsid w:val="005A41DB"/>
    <w:rsid w:val="005A644E"/>
    <w:rsid w:val="005A6E02"/>
    <w:rsid w:val="005B0B7D"/>
    <w:rsid w:val="005B63DE"/>
    <w:rsid w:val="005B717D"/>
    <w:rsid w:val="005C1FA0"/>
    <w:rsid w:val="005C236B"/>
    <w:rsid w:val="005C255E"/>
    <w:rsid w:val="005C2C00"/>
    <w:rsid w:val="005C542C"/>
    <w:rsid w:val="005C5C53"/>
    <w:rsid w:val="005C7E20"/>
    <w:rsid w:val="005D62BE"/>
    <w:rsid w:val="005E0BBC"/>
    <w:rsid w:val="005E6AD2"/>
    <w:rsid w:val="005E7A4E"/>
    <w:rsid w:val="005F0451"/>
    <w:rsid w:val="005F0FAE"/>
    <w:rsid w:val="005F3B41"/>
    <w:rsid w:val="005F5900"/>
    <w:rsid w:val="005F596A"/>
    <w:rsid w:val="006003EF"/>
    <w:rsid w:val="006009B6"/>
    <w:rsid w:val="00600CF1"/>
    <w:rsid w:val="00605CF3"/>
    <w:rsid w:val="0061496F"/>
    <w:rsid w:val="006168B3"/>
    <w:rsid w:val="00616C34"/>
    <w:rsid w:val="00622CF1"/>
    <w:rsid w:val="00622FC2"/>
    <w:rsid w:val="00624CC2"/>
    <w:rsid w:val="00626473"/>
    <w:rsid w:val="00633F4A"/>
    <w:rsid w:val="0063494E"/>
    <w:rsid w:val="006350B0"/>
    <w:rsid w:val="006350DB"/>
    <w:rsid w:val="006354FB"/>
    <w:rsid w:val="006361B7"/>
    <w:rsid w:val="006411E9"/>
    <w:rsid w:val="006428A9"/>
    <w:rsid w:val="0064376A"/>
    <w:rsid w:val="00643EA2"/>
    <w:rsid w:val="00645182"/>
    <w:rsid w:val="00650124"/>
    <w:rsid w:val="006557A7"/>
    <w:rsid w:val="006560ED"/>
    <w:rsid w:val="00656862"/>
    <w:rsid w:val="0066192F"/>
    <w:rsid w:val="00664022"/>
    <w:rsid w:val="00664489"/>
    <w:rsid w:val="00664A61"/>
    <w:rsid w:val="006658F7"/>
    <w:rsid w:val="00670220"/>
    <w:rsid w:val="006735A5"/>
    <w:rsid w:val="00675E7F"/>
    <w:rsid w:val="00682E74"/>
    <w:rsid w:val="00685232"/>
    <w:rsid w:val="00685985"/>
    <w:rsid w:val="00687925"/>
    <w:rsid w:val="006879A0"/>
    <w:rsid w:val="0069042E"/>
    <w:rsid w:val="0069511C"/>
    <w:rsid w:val="006A0FFB"/>
    <w:rsid w:val="006A3C37"/>
    <w:rsid w:val="006B184C"/>
    <w:rsid w:val="006B4092"/>
    <w:rsid w:val="006B43A8"/>
    <w:rsid w:val="006B4439"/>
    <w:rsid w:val="006B611B"/>
    <w:rsid w:val="006B6442"/>
    <w:rsid w:val="006B6FE0"/>
    <w:rsid w:val="006B751F"/>
    <w:rsid w:val="006C374F"/>
    <w:rsid w:val="006C4349"/>
    <w:rsid w:val="006C435E"/>
    <w:rsid w:val="006C4C00"/>
    <w:rsid w:val="006D2859"/>
    <w:rsid w:val="006D43D1"/>
    <w:rsid w:val="006D6FCF"/>
    <w:rsid w:val="006D790F"/>
    <w:rsid w:val="006E039D"/>
    <w:rsid w:val="006E2CA1"/>
    <w:rsid w:val="006E76DF"/>
    <w:rsid w:val="006E7848"/>
    <w:rsid w:val="006F0E0F"/>
    <w:rsid w:val="006F22A3"/>
    <w:rsid w:val="006F3AE7"/>
    <w:rsid w:val="006F6478"/>
    <w:rsid w:val="006F6CC7"/>
    <w:rsid w:val="006F7086"/>
    <w:rsid w:val="006F73F2"/>
    <w:rsid w:val="007025D2"/>
    <w:rsid w:val="00704FBA"/>
    <w:rsid w:val="00705A8D"/>
    <w:rsid w:val="007074AF"/>
    <w:rsid w:val="007114AA"/>
    <w:rsid w:val="00712ACB"/>
    <w:rsid w:val="00713041"/>
    <w:rsid w:val="007148CF"/>
    <w:rsid w:val="0071679A"/>
    <w:rsid w:val="00717683"/>
    <w:rsid w:val="007177D2"/>
    <w:rsid w:val="00722FA0"/>
    <w:rsid w:val="00724339"/>
    <w:rsid w:val="00724D50"/>
    <w:rsid w:val="00730321"/>
    <w:rsid w:val="007318AF"/>
    <w:rsid w:val="0073267A"/>
    <w:rsid w:val="00732EA1"/>
    <w:rsid w:val="00733D39"/>
    <w:rsid w:val="00734F71"/>
    <w:rsid w:val="0073617D"/>
    <w:rsid w:val="00737208"/>
    <w:rsid w:val="0074162B"/>
    <w:rsid w:val="00741DC2"/>
    <w:rsid w:val="007429F7"/>
    <w:rsid w:val="0074572D"/>
    <w:rsid w:val="00751330"/>
    <w:rsid w:val="00754787"/>
    <w:rsid w:val="00761D2C"/>
    <w:rsid w:val="00766ECD"/>
    <w:rsid w:val="00772551"/>
    <w:rsid w:val="00774FA0"/>
    <w:rsid w:val="00776A49"/>
    <w:rsid w:val="00776CA9"/>
    <w:rsid w:val="0077762D"/>
    <w:rsid w:val="00777B49"/>
    <w:rsid w:val="0078084E"/>
    <w:rsid w:val="00783507"/>
    <w:rsid w:val="00785E25"/>
    <w:rsid w:val="007871C3"/>
    <w:rsid w:val="00790736"/>
    <w:rsid w:val="00792D0D"/>
    <w:rsid w:val="00794279"/>
    <w:rsid w:val="00797502"/>
    <w:rsid w:val="007A3509"/>
    <w:rsid w:val="007A55CF"/>
    <w:rsid w:val="007A6CDA"/>
    <w:rsid w:val="007A7BB4"/>
    <w:rsid w:val="007B04D0"/>
    <w:rsid w:val="007B11E6"/>
    <w:rsid w:val="007B19AE"/>
    <w:rsid w:val="007B3ADA"/>
    <w:rsid w:val="007B3FBD"/>
    <w:rsid w:val="007B40C9"/>
    <w:rsid w:val="007B56DA"/>
    <w:rsid w:val="007B5CD7"/>
    <w:rsid w:val="007B6FBE"/>
    <w:rsid w:val="007C23F1"/>
    <w:rsid w:val="007C30A0"/>
    <w:rsid w:val="007C533B"/>
    <w:rsid w:val="007C7756"/>
    <w:rsid w:val="007D5FF8"/>
    <w:rsid w:val="007E11B5"/>
    <w:rsid w:val="007E2A90"/>
    <w:rsid w:val="007E36CA"/>
    <w:rsid w:val="007E57FF"/>
    <w:rsid w:val="007E5AB0"/>
    <w:rsid w:val="007E7722"/>
    <w:rsid w:val="007F1156"/>
    <w:rsid w:val="007F25DF"/>
    <w:rsid w:val="007F358F"/>
    <w:rsid w:val="00800AC2"/>
    <w:rsid w:val="008015F6"/>
    <w:rsid w:val="0080429E"/>
    <w:rsid w:val="00806A65"/>
    <w:rsid w:val="00806BFA"/>
    <w:rsid w:val="00807A00"/>
    <w:rsid w:val="008109B8"/>
    <w:rsid w:val="008118F5"/>
    <w:rsid w:val="0081257D"/>
    <w:rsid w:val="0081391E"/>
    <w:rsid w:val="00817580"/>
    <w:rsid w:val="0082267C"/>
    <w:rsid w:val="008264B0"/>
    <w:rsid w:val="0082695B"/>
    <w:rsid w:val="00827C44"/>
    <w:rsid w:val="008304FB"/>
    <w:rsid w:val="008338E2"/>
    <w:rsid w:val="00837061"/>
    <w:rsid w:val="008446B0"/>
    <w:rsid w:val="0085083A"/>
    <w:rsid w:val="00851DB8"/>
    <w:rsid w:val="00853C7E"/>
    <w:rsid w:val="00854385"/>
    <w:rsid w:val="00860DC9"/>
    <w:rsid w:val="008623D8"/>
    <w:rsid w:val="008640EE"/>
    <w:rsid w:val="00864C29"/>
    <w:rsid w:val="00866C7E"/>
    <w:rsid w:val="008715A6"/>
    <w:rsid w:val="008729F7"/>
    <w:rsid w:val="00874093"/>
    <w:rsid w:val="00874813"/>
    <w:rsid w:val="008775BC"/>
    <w:rsid w:val="00881770"/>
    <w:rsid w:val="0088344C"/>
    <w:rsid w:val="0088471E"/>
    <w:rsid w:val="0088599E"/>
    <w:rsid w:val="00885C85"/>
    <w:rsid w:val="00890EEE"/>
    <w:rsid w:val="00892698"/>
    <w:rsid w:val="00894D45"/>
    <w:rsid w:val="008958BE"/>
    <w:rsid w:val="00896413"/>
    <w:rsid w:val="00897D83"/>
    <w:rsid w:val="008A0843"/>
    <w:rsid w:val="008A1358"/>
    <w:rsid w:val="008A1CFC"/>
    <w:rsid w:val="008B1A2B"/>
    <w:rsid w:val="008B3727"/>
    <w:rsid w:val="008B69C5"/>
    <w:rsid w:val="008B6E8B"/>
    <w:rsid w:val="008B7846"/>
    <w:rsid w:val="008C047F"/>
    <w:rsid w:val="008C2109"/>
    <w:rsid w:val="008C2D68"/>
    <w:rsid w:val="008C34A3"/>
    <w:rsid w:val="008C5143"/>
    <w:rsid w:val="008C520D"/>
    <w:rsid w:val="008D4A33"/>
    <w:rsid w:val="008D5954"/>
    <w:rsid w:val="008D6E38"/>
    <w:rsid w:val="008E6DE9"/>
    <w:rsid w:val="008F1CF9"/>
    <w:rsid w:val="008F3CDD"/>
    <w:rsid w:val="00900E1D"/>
    <w:rsid w:val="00901DE0"/>
    <w:rsid w:val="00901E60"/>
    <w:rsid w:val="00907D6C"/>
    <w:rsid w:val="00910224"/>
    <w:rsid w:val="0091245E"/>
    <w:rsid w:val="009154C6"/>
    <w:rsid w:val="00916603"/>
    <w:rsid w:val="00920A24"/>
    <w:rsid w:val="00921FD4"/>
    <w:rsid w:val="0092292F"/>
    <w:rsid w:val="00924933"/>
    <w:rsid w:val="009265CE"/>
    <w:rsid w:val="0092684D"/>
    <w:rsid w:val="009314D6"/>
    <w:rsid w:val="00932A31"/>
    <w:rsid w:val="00933ABB"/>
    <w:rsid w:val="00934887"/>
    <w:rsid w:val="0094217E"/>
    <w:rsid w:val="00943821"/>
    <w:rsid w:val="00943FE0"/>
    <w:rsid w:val="00944423"/>
    <w:rsid w:val="00945921"/>
    <w:rsid w:val="00945FA1"/>
    <w:rsid w:val="00961601"/>
    <w:rsid w:val="00962586"/>
    <w:rsid w:val="00963AD2"/>
    <w:rsid w:val="0096494A"/>
    <w:rsid w:val="009662E7"/>
    <w:rsid w:val="00967688"/>
    <w:rsid w:val="00971AB5"/>
    <w:rsid w:val="00971B86"/>
    <w:rsid w:val="009743B7"/>
    <w:rsid w:val="00975038"/>
    <w:rsid w:val="00985EE9"/>
    <w:rsid w:val="0098605B"/>
    <w:rsid w:val="0098640D"/>
    <w:rsid w:val="009972FC"/>
    <w:rsid w:val="009A05CD"/>
    <w:rsid w:val="009A125D"/>
    <w:rsid w:val="009A2274"/>
    <w:rsid w:val="009A3ABB"/>
    <w:rsid w:val="009A40AF"/>
    <w:rsid w:val="009A5EB2"/>
    <w:rsid w:val="009A7E22"/>
    <w:rsid w:val="009A7EB4"/>
    <w:rsid w:val="009B1EC3"/>
    <w:rsid w:val="009B3863"/>
    <w:rsid w:val="009B529B"/>
    <w:rsid w:val="009B5C22"/>
    <w:rsid w:val="009B5E6B"/>
    <w:rsid w:val="009B7558"/>
    <w:rsid w:val="009D2204"/>
    <w:rsid w:val="009D4E47"/>
    <w:rsid w:val="009D5B90"/>
    <w:rsid w:val="009D6168"/>
    <w:rsid w:val="009D68D0"/>
    <w:rsid w:val="009D6935"/>
    <w:rsid w:val="009D7A9E"/>
    <w:rsid w:val="009E0374"/>
    <w:rsid w:val="009E1E6D"/>
    <w:rsid w:val="009E3DDE"/>
    <w:rsid w:val="009E7010"/>
    <w:rsid w:val="009F2ABE"/>
    <w:rsid w:val="009F78AA"/>
    <w:rsid w:val="00A01166"/>
    <w:rsid w:val="00A01BBF"/>
    <w:rsid w:val="00A0284F"/>
    <w:rsid w:val="00A03580"/>
    <w:rsid w:val="00A0392D"/>
    <w:rsid w:val="00A1231C"/>
    <w:rsid w:val="00A13767"/>
    <w:rsid w:val="00A1692C"/>
    <w:rsid w:val="00A16B64"/>
    <w:rsid w:val="00A2018E"/>
    <w:rsid w:val="00A22F15"/>
    <w:rsid w:val="00A23964"/>
    <w:rsid w:val="00A266D1"/>
    <w:rsid w:val="00A26AC3"/>
    <w:rsid w:val="00A32A33"/>
    <w:rsid w:val="00A33598"/>
    <w:rsid w:val="00A35814"/>
    <w:rsid w:val="00A37EA1"/>
    <w:rsid w:val="00A40CAA"/>
    <w:rsid w:val="00A4382C"/>
    <w:rsid w:val="00A43B92"/>
    <w:rsid w:val="00A446DC"/>
    <w:rsid w:val="00A4551A"/>
    <w:rsid w:val="00A45CB5"/>
    <w:rsid w:val="00A45FA9"/>
    <w:rsid w:val="00A46081"/>
    <w:rsid w:val="00A46C94"/>
    <w:rsid w:val="00A47121"/>
    <w:rsid w:val="00A51204"/>
    <w:rsid w:val="00A52A24"/>
    <w:rsid w:val="00A568A0"/>
    <w:rsid w:val="00A620FC"/>
    <w:rsid w:val="00A626EF"/>
    <w:rsid w:val="00A648AB"/>
    <w:rsid w:val="00A67408"/>
    <w:rsid w:val="00A72224"/>
    <w:rsid w:val="00A7308B"/>
    <w:rsid w:val="00A73A71"/>
    <w:rsid w:val="00A75923"/>
    <w:rsid w:val="00A75F6B"/>
    <w:rsid w:val="00A81A6E"/>
    <w:rsid w:val="00A82D84"/>
    <w:rsid w:val="00A8439B"/>
    <w:rsid w:val="00A875E2"/>
    <w:rsid w:val="00A91F6B"/>
    <w:rsid w:val="00A927E7"/>
    <w:rsid w:val="00A93319"/>
    <w:rsid w:val="00A963C4"/>
    <w:rsid w:val="00A96A9A"/>
    <w:rsid w:val="00A9798A"/>
    <w:rsid w:val="00AA2BE5"/>
    <w:rsid w:val="00AA484B"/>
    <w:rsid w:val="00AB05BF"/>
    <w:rsid w:val="00AB0A82"/>
    <w:rsid w:val="00AB29B8"/>
    <w:rsid w:val="00AB3268"/>
    <w:rsid w:val="00AB4586"/>
    <w:rsid w:val="00AB6512"/>
    <w:rsid w:val="00AC46CA"/>
    <w:rsid w:val="00AC4F3E"/>
    <w:rsid w:val="00AD2441"/>
    <w:rsid w:val="00AD323A"/>
    <w:rsid w:val="00AE0EA9"/>
    <w:rsid w:val="00AE21E9"/>
    <w:rsid w:val="00AE2347"/>
    <w:rsid w:val="00AE2E28"/>
    <w:rsid w:val="00AE3016"/>
    <w:rsid w:val="00AF053E"/>
    <w:rsid w:val="00AF09F3"/>
    <w:rsid w:val="00AF2AC5"/>
    <w:rsid w:val="00AF3485"/>
    <w:rsid w:val="00AF351D"/>
    <w:rsid w:val="00AF55C3"/>
    <w:rsid w:val="00AF7157"/>
    <w:rsid w:val="00AF76CE"/>
    <w:rsid w:val="00B00E5D"/>
    <w:rsid w:val="00B03498"/>
    <w:rsid w:val="00B038D6"/>
    <w:rsid w:val="00B045B9"/>
    <w:rsid w:val="00B13BEB"/>
    <w:rsid w:val="00B14A0D"/>
    <w:rsid w:val="00B15337"/>
    <w:rsid w:val="00B15A39"/>
    <w:rsid w:val="00B16A30"/>
    <w:rsid w:val="00B21E27"/>
    <w:rsid w:val="00B2207A"/>
    <w:rsid w:val="00B223F4"/>
    <w:rsid w:val="00B226AD"/>
    <w:rsid w:val="00B24D2A"/>
    <w:rsid w:val="00B25B8A"/>
    <w:rsid w:val="00B2725F"/>
    <w:rsid w:val="00B279C5"/>
    <w:rsid w:val="00B3357F"/>
    <w:rsid w:val="00B33ECA"/>
    <w:rsid w:val="00B35DDE"/>
    <w:rsid w:val="00B379C2"/>
    <w:rsid w:val="00B409FE"/>
    <w:rsid w:val="00B40F9C"/>
    <w:rsid w:val="00B410B5"/>
    <w:rsid w:val="00B43A55"/>
    <w:rsid w:val="00B468B9"/>
    <w:rsid w:val="00B46F88"/>
    <w:rsid w:val="00B53005"/>
    <w:rsid w:val="00B53E45"/>
    <w:rsid w:val="00B53E5C"/>
    <w:rsid w:val="00B57E06"/>
    <w:rsid w:val="00B62DC6"/>
    <w:rsid w:val="00B63742"/>
    <w:rsid w:val="00B72D1E"/>
    <w:rsid w:val="00B749F0"/>
    <w:rsid w:val="00B771CA"/>
    <w:rsid w:val="00B80DD8"/>
    <w:rsid w:val="00B82281"/>
    <w:rsid w:val="00B83F79"/>
    <w:rsid w:val="00B84CAE"/>
    <w:rsid w:val="00B84F0A"/>
    <w:rsid w:val="00B90E50"/>
    <w:rsid w:val="00B965C2"/>
    <w:rsid w:val="00BA01D3"/>
    <w:rsid w:val="00BA0A4B"/>
    <w:rsid w:val="00BA297D"/>
    <w:rsid w:val="00BA4BB9"/>
    <w:rsid w:val="00BA6624"/>
    <w:rsid w:val="00BA7ECD"/>
    <w:rsid w:val="00BB111E"/>
    <w:rsid w:val="00BB3905"/>
    <w:rsid w:val="00BB5922"/>
    <w:rsid w:val="00BB7129"/>
    <w:rsid w:val="00BB7C70"/>
    <w:rsid w:val="00BC21CA"/>
    <w:rsid w:val="00BC2F4A"/>
    <w:rsid w:val="00BC34F0"/>
    <w:rsid w:val="00BC554E"/>
    <w:rsid w:val="00BD57CC"/>
    <w:rsid w:val="00BD5AD4"/>
    <w:rsid w:val="00BD5C9C"/>
    <w:rsid w:val="00BE2B9F"/>
    <w:rsid w:val="00BE6858"/>
    <w:rsid w:val="00BE6C86"/>
    <w:rsid w:val="00BF014E"/>
    <w:rsid w:val="00BF1641"/>
    <w:rsid w:val="00BF1AF8"/>
    <w:rsid w:val="00BF1FA8"/>
    <w:rsid w:val="00BF4CC4"/>
    <w:rsid w:val="00BF59FA"/>
    <w:rsid w:val="00BF7A46"/>
    <w:rsid w:val="00C005EC"/>
    <w:rsid w:val="00C0143D"/>
    <w:rsid w:val="00C016B8"/>
    <w:rsid w:val="00C031A8"/>
    <w:rsid w:val="00C04AB2"/>
    <w:rsid w:val="00C05699"/>
    <w:rsid w:val="00C0599B"/>
    <w:rsid w:val="00C062B4"/>
    <w:rsid w:val="00C06E4F"/>
    <w:rsid w:val="00C126D2"/>
    <w:rsid w:val="00C127E8"/>
    <w:rsid w:val="00C132F2"/>
    <w:rsid w:val="00C13C40"/>
    <w:rsid w:val="00C145B3"/>
    <w:rsid w:val="00C155AC"/>
    <w:rsid w:val="00C1610E"/>
    <w:rsid w:val="00C16339"/>
    <w:rsid w:val="00C23109"/>
    <w:rsid w:val="00C23A3D"/>
    <w:rsid w:val="00C266CD"/>
    <w:rsid w:val="00C268F0"/>
    <w:rsid w:val="00C26E13"/>
    <w:rsid w:val="00C26F8F"/>
    <w:rsid w:val="00C277CF"/>
    <w:rsid w:val="00C27B40"/>
    <w:rsid w:val="00C27B6A"/>
    <w:rsid w:val="00C3420C"/>
    <w:rsid w:val="00C343FD"/>
    <w:rsid w:val="00C34C1F"/>
    <w:rsid w:val="00C35741"/>
    <w:rsid w:val="00C42E7D"/>
    <w:rsid w:val="00C4326D"/>
    <w:rsid w:val="00C46299"/>
    <w:rsid w:val="00C4633A"/>
    <w:rsid w:val="00C476DA"/>
    <w:rsid w:val="00C50051"/>
    <w:rsid w:val="00C50258"/>
    <w:rsid w:val="00C5080A"/>
    <w:rsid w:val="00C532D6"/>
    <w:rsid w:val="00C53454"/>
    <w:rsid w:val="00C539C6"/>
    <w:rsid w:val="00C566A1"/>
    <w:rsid w:val="00C57CD4"/>
    <w:rsid w:val="00C61C78"/>
    <w:rsid w:val="00C62A0F"/>
    <w:rsid w:val="00C717B4"/>
    <w:rsid w:val="00C73046"/>
    <w:rsid w:val="00C7310E"/>
    <w:rsid w:val="00C756B5"/>
    <w:rsid w:val="00C757DC"/>
    <w:rsid w:val="00C7676C"/>
    <w:rsid w:val="00C771DE"/>
    <w:rsid w:val="00C7720A"/>
    <w:rsid w:val="00C81D0A"/>
    <w:rsid w:val="00C82C7A"/>
    <w:rsid w:val="00C855A7"/>
    <w:rsid w:val="00C8650A"/>
    <w:rsid w:val="00C87620"/>
    <w:rsid w:val="00C91010"/>
    <w:rsid w:val="00C91FBB"/>
    <w:rsid w:val="00C95988"/>
    <w:rsid w:val="00C95BD1"/>
    <w:rsid w:val="00CA0417"/>
    <w:rsid w:val="00CA0EED"/>
    <w:rsid w:val="00CA193D"/>
    <w:rsid w:val="00CA2D3F"/>
    <w:rsid w:val="00CA45CF"/>
    <w:rsid w:val="00CB0649"/>
    <w:rsid w:val="00CB2DCE"/>
    <w:rsid w:val="00CC0C90"/>
    <w:rsid w:val="00CC1F3C"/>
    <w:rsid w:val="00CC25FA"/>
    <w:rsid w:val="00CC2F03"/>
    <w:rsid w:val="00CC4894"/>
    <w:rsid w:val="00CC7964"/>
    <w:rsid w:val="00CD197A"/>
    <w:rsid w:val="00CD3CBA"/>
    <w:rsid w:val="00CD5437"/>
    <w:rsid w:val="00CD5EFA"/>
    <w:rsid w:val="00CE1289"/>
    <w:rsid w:val="00CE2D1F"/>
    <w:rsid w:val="00CE7029"/>
    <w:rsid w:val="00CF0FAE"/>
    <w:rsid w:val="00CF73DD"/>
    <w:rsid w:val="00CF7E31"/>
    <w:rsid w:val="00D02CC0"/>
    <w:rsid w:val="00D036A4"/>
    <w:rsid w:val="00D0456F"/>
    <w:rsid w:val="00D04A53"/>
    <w:rsid w:val="00D13572"/>
    <w:rsid w:val="00D138BC"/>
    <w:rsid w:val="00D14801"/>
    <w:rsid w:val="00D14DAB"/>
    <w:rsid w:val="00D161A6"/>
    <w:rsid w:val="00D17541"/>
    <w:rsid w:val="00D215DA"/>
    <w:rsid w:val="00D23561"/>
    <w:rsid w:val="00D24308"/>
    <w:rsid w:val="00D27CFF"/>
    <w:rsid w:val="00D32AB9"/>
    <w:rsid w:val="00D330CD"/>
    <w:rsid w:val="00D3513C"/>
    <w:rsid w:val="00D41B13"/>
    <w:rsid w:val="00D4217F"/>
    <w:rsid w:val="00D4743C"/>
    <w:rsid w:val="00D51997"/>
    <w:rsid w:val="00D55436"/>
    <w:rsid w:val="00D55CD9"/>
    <w:rsid w:val="00D57294"/>
    <w:rsid w:val="00D576A4"/>
    <w:rsid w:val="00D664BA"/>
    <w:rsid w:val="00D75468"/>
    <w:rsid w:val="00D7565A"/>
    <w:rsid w:val="00D76666"/>
    <w:rsid w:val="00D934D7"/>
    <w:rsid w:val="00D940FC"/>
    <w:rsid w:val="00D97207"/>
    <w:rsid w:val="00D975D8"/>
    <w:rsid w:val="00D97689"/>
    <w:rsid w:val="00DA7574"/>
    <w:rsid w:val="00DB004D"/>
    <w:rsid w:val="00DB4DD4"/>
    <w:rsid w:val="00DB5B25"/>
    <w:rsid w:val="00DC067A"/>
    <w:rsid w:val="00DC1029"/>
    <w:rsid w:val="00DC15C0"/>
    <w:rsid w:val="00DC2850"/>
    <w:rsid w:val="00DC3401"/>
    <w:rsid w:val="00DC3B46"/>
    <w:rsid w:val="00DC4B11"/>
    <w:rsid w:val="00DC5D7E"/>
    <w:rsid w:val="00DC62DE"/>
    <w:rsid w:val="00DC7C35"/>
    <w:rsid w:val="00DD16C5"/>
    <w:rsid w:val="00DD20DB"/>
    <w:rsid w:val="00DD553A"/>
    <w:rsid w:val="00DD6E28"/>
    <w:rsid w:val="00DD7C8A"/>
    <w:rsid w:val="00DD7F15"/>
    <w:rsid w:val="00DE018F"/>
    <w:rsid w:val="00DE1F17"/>
    <w:rsid w:val="00DE275B"/>
    <w:rsid w:val="00DE3B1A"/>
    <w:rsid w:val="00DE3BB7"/>
    <w:rsid w:val="00DE4EED"/>
    <w:rsid w:val="00DE5EBE"/>
    <w:rsid w:val="00DF1960"/>
    <w:rsid w:val="00DF19FD"/>
    <w:rsid w:val="00DF3666"/>
    <w:rsid w:val="00DF3929"/>
    <w:rsid w:val="00DF3C87"/>
    <w:rsid w:val="00DF71E4"/>
    <w:rsid w:val="00E0230D"/>
    <w:rsid w:val="00E03721"/>
    <w:rsid w:val="00E05FC9"/>
    <w:rsid w:val="00E10355"/>
    <w:rsid w:val="00E108E9"/>
    <w:rsid w:val="00E116D1"/>
    <w:rsid w:val="00E119FB"/>
    <w:rsid w:val="00E1220B"/>
    <w:rsid w:val="00E12631"/>
    <w:rsid w:val="00E13CA5"/>
    <w:rsid w:val="00E156DA"/>
    <w:rsid w:val="00E21D78"/>
    <w:rsid w:val="00E237B0"/>
    <w:rsid w:val="00E257D8"/>
    <w:rsid w:val="00E2706F"/>
    <w:rsid w:val="00E310E1"/>
    <w:rsid w:val="00E31563"/>
    <w:rsid w:val="00E321EF"/>
    <w:rsid w:val="00E33498"/>
    <w:rsid w:val="00E36928"/>
    <w:rsid w:val="00E37D1E"/>
    <w:rsid w:val="00E4227C"/>
    <w:rsid w:val="00E4232A"/>
    <w:rsid w:val="00E42B17"/>
    <w:rsid w:val="00E43410"/>
    <w:rsid w:val="00E44B14"/>
    <w:rsid w:val="00E450BE"/>
    <w:rsid w:val="00E4665B"/>
    <w:rsid w:val="00E47EB7"/>
    <w:rsid w:val="00E50459"/>
    <w:rsid w:val="00E5270E"/>
    <w:rsid w:val="00E60A5B"/>
    <w:rsid w:val="00E61865"/>
    <w:rsid w:val="00E62FBB"/>
    <w:rsid w:val="00E64604"/>
    <w:rsid w:val="00E6619A"/>
    <w:rsid w:val="00E67098"/>
    <w:rsid w:val="00E7131E"/>
    <w:rsid w:val="00E71B9B"/>
    <w:rsid w:val="00E7752B"/>
    <w:rsid w:val="00E777CD"/>
    <w:rsid w:val="00E81688"/>
    <w:rsid w:val="00E81745"/>
    <w:rsid w:val="00E82F8C"/>
    <w:rsid w:val="00E832FA"/>
    <w:rsid w:val="00E83421"/>
    <w:rsid w:val="00E85FE0"/>
    <w:rsid w:val="00E90799"/>
    <w:rsid w:val="00E90E21"/>
    <w:rsid w:val="00E92360"/>
    <w:rsid w:val="00E9640D"/>
    <w:rsid w:val="00E96750"/>
    <w:rsid w:val="00E96E80"/>
    <w:rsid w:val="00EA5B3D"/>
    <w:rsid w:val="00EA6EA5"/>
    <w:rsid w:val="00EB11C7"/>
    <w:rsid w:val="00EB1437"/>
    <w:rsid w:val="00EB19A6"/>
    <w:rsid w:val="00EB28D8"/>
    <w:rsid w:val="00EB3E56"/>
    <w:rsid w:val="00EB604A"/>
    <w:rsid w:val="00EB79C2"/>
    <w:rsid w:val="00EC13D8"/>
    <w:rsid w:val="00EC45D2"/>
    <w:rsid w:val="00ED233E"/>
    <w:rsid w:val="00ED3DEC"/>
    <w:rsid w:val="00ED4EB9"/>
    <w:rsid w:val="00ED5555"/>
    <w:rsid w:val="00ED659F"/>
    <w:rsid w:val="00ED751A"/>
    <w:rsid w:val="00ED7CDD"/>
    <w:rsid w:val="00EE0BB3"/>
    <w:rsid w:val="00EE18EB"/>
    <w:rsid w:val="00EE456C"/>
    <w:rsid w:val="00EE4D72"/>
    <w:rsid w:val="00EE5FCF"/>
    <w:rsid w:val="00EE60C6"/>
    <w:rsid w:val="00EE7614"/>
    <w:rsid w:val="00EE7BE3"/>
    <w:rsid w:val="00EF1013"/>
    <w:rsid w:val="00EF1A2C"/>
    <w:rsid w:val="00EF2B66"/>
    <w:rsid w:val="00EF320F"/>
    <w:rsid w:val="00EF42B0"/>
    <w:rsid w:val="00EF4CFD"/>
    <w:rsid w:val="00EF4F5C"/>
    <w:rsid w:val="00EF7E79"/>
    <w:rsid w:val="00F02C6A"/>
    <w:rsid w:val="00F03183"/>
    <w:rsid w:val="00F06203"/>
    <w:rsid w:val="00F06B93"/>
    <w:rsid w:val="00F107EE"/>
    <w:rsid w:val="00F12D58"/>
    <w:rsid w:val="00F14D23"/>
    <w:rsid w:val="00F16B46"/>
    <w:rsid w:val="00F17627"/>
    <w:rsid w:val="00F21D6E"/>
    <w:rsid w:val="00F2303A"/>
    <w:rsid w:val="00F24235"/>
    <w:rsid w:val="00F2481A"/>
    <w:rsid w:val="00F30141"/>
    <w:rsid w:val="00F30894"/>
    <w:rsid w:val="00F3091B"/>
    <w:rsid w:val="00F3296C"/>
    <w:rsid w:val="00F347E7"/>
    <w:rsid w:val="00F34E0A"/>
    <w:rsid w:val="00F355B9"/>
    <w:rsid w:val="00F35BF0"/>
    <w:rsid w:val="00F37885"/>
    <w:rsid w:val="00F422A3"/>
    <w:rsid w:val="00F422AA"/>
    <w:rsid w:val="00F4471B"/>
    <w:rsid w:val="00F448B0"/>
    <w:rsid w:val="00F476A7"/>
    <w:rsid w:val="00F51213"/>
    <w:rsid w:val="00F55159"/>
    <w:rsid w:val="00F56369"/>
    <w:rsid w:val="00F57219"/>
    <w:rsid w:val="00F61B0F"/>
    <w:rsid w:val="00F624D0"/>
    <w:rsid w:val="00F62DD7"/>
    <w:rsid w:val="00F6408B"/>
    <w:rsid w:val="00F71B49"/>
    <w:rsid w:val="00F725A4"/>
    <w:rsid w:val="00F747A2"/>
    <w:rsid w:val="00F77D32"/>
    <w:rsid w:val="00F804CD"/>
    <w:rsid w:val="00F8128E"/>
    <w:rsid w:val="00F81A10"/>
    <w:rsid w:val="00F86EA4"/>
    <w:rsid w:val="00F87A6B"/>
    <w:rsid w:val="00F9068A"/>
    <w:rsid w:val="00F92B47"/>
    <w:rsid w:val="00F96A7E"/>
    <w:rsid w:val="00FA03A6"/>
    <w:rsid w:val="00FA0ED2"/>
    <w:rsid w:val="00FA128D"/>
    <w:rsid w:val="00FA193C"/>
    <w:rsid w:val="00FB1520"/>
    <w:rsid w:val="00FB2233"/>
    <w:rsid w:val="00FB24BD"/>
    <w:rsid w:val="00FB6831"/>
    <w:rsid w:val="00FC4148"/>
    <w:rsid w:val="00FC5044"/>
    <w:rsid w:val="00FC50AF"/>
    <w:rsid w:val="00FC53B9"/>
    <w:rsid w:val="00FC566B"/>
    <w:rsid w:val="00FC6432"/>
    <w:rsid w:val="00FD1E6F"/>
    <w:rsid w:val="00FD24DA"/>
    <w:rsid w:val="00FD355C"/>
    <w:rsid w:val="00FD696F"/>
    <w:rsid w:val="00FE1E42"/>
    <w:rsid w:val="00FE37CB"/>
    <w:rsid w:val="00FE5A56"/>
    <w:rsid w:val="00FF7963"/>
    <w:rsid w:val="015632CE"/>
    <w:rsid w:val="01E815D6"/>
    <w:rsid w:val="02734363"/>
    <w:rsid w:val="02F2032F"/>
    <w:rsid w:val="04C8E87D"/>
    <w:rsid w:val="05A9C966"/>
    <w:rsid w:val="06A97ED8"/>
    <w:rsid w:val="07C57452"/>
    <w:rsid w:val="0881083F"/>
    <w:rsid w:val="0A364C00"/>
    <w:rsid w:val="0A5507A6"/>
    <w:rsid w:val="0A78CCDD"/>
    <w:rsid w:val="0ADCD0A7"/>
    <w:rsid w:val="0BB8A901"/>
    <w:rsid w:val="0CC01C39"/>
    <w:rsid w:val="103D8D0D"/>
    <w:rsid w:val="10C83D99"/>
    <w:rsid w:val="1316D21A"/>
    <w:rsid w:val="132A062A"/>
    <w:rsid w:val="1405392E"/>
    <w:rsid w:val="14136CBA"/>
    <w:rsid w:val="148E4881"/>
    <w:rsid w:val="14C5D68B"/>
    <w:rsid w:val="14F25C33"/>
    <w:rsid w:val="15A1098F"/>
    <w:rsid w:val="15D03220"/>
    <w:rsid w:val="1667F58B"/>
    <w:rsid w:val="1773D7B1"/>
    <w:rsid w:val="177C297E"/>
    <w:rsid w:val="182ADA6C"/>
    <w:rsid w:val="19E53C1F"/>
    <w:rsid w:val="1AC9B55E"/>
    <w:rsid w:val="1B330C9E"/>
    <w:rsid w:val="1B832DB2"/>
    <w:rsid w:val="1C9CEDFB"/>
    <w:rsid w:val="1D09C94A"/>
    <w:rsid w:val="1D0C3FC2"/>
    <w:rsid w:val="1E2C8835"/>
    <w:rsid w:val="1EF08461"/>
    <w:rsid w:val="1F532398"/>
    <w:rsid w:val="1FD865BD"/>
    <w:rsid w:val="20416A0C"/>
    <w:rsid w:val="2136FA56"/>
    <w:rsid w:val="221F723D"/>
    <w:rsid w:val="252596D4"/>
    <w:rsid w:val="26AC3DE4"/>
    <w:rsid w:val="26F2645B"/>
    <w:rsid w:val="28058584"/>
    <w:rsid w:val="286A00A4"/>
    <w:rsid w:val="28D44402"/>
    <w:rsid w:val="2A2D8ED7"/>
    <w:rsid w:val="2B327C16"/>
    <w:rsid w:val="2C03714B"/>
    <w:rsid w:val="2C2AF61B"/>
    <w:rsid w:val="2CC05F06"/>
    <w:rsid w:val="2D4C3A74"/>
    <w:rsid w:val="2D753B01"/>
    <w:rsid w:val="2D8BC6DD"/>
    <w:rsid w:val="2DABA994"/>
    <w:rsid w:val="2EC84CE3"/>
    <w:rsid w:val="2EFB17C8"/>
    <w:rsid w:val="2FEFB803"/>
    <w:rsid w:val="3067D2C6"/>
    <w:rsid w:val="3170D283"/>
    <w:rsid w:val="31BACEB4"/>
    <w:rsid w:val="332BE035"/>
    <w:rsid w:val="353BD5E8"/>
    <w:rsid w:val="35B39058"/>
    <w:rsid w:val="3695CA56"/>
    <w:rsid w:val="3699D1D8"/>
    <w:rsid w:val="3702F4EA"/>
    <w:rsid w:val="375861C7"/>
    <w:rsid w:val="37D358B4"/>
    <w:rsid w:val="37E7B552"/>
    <w:rsid w:val="37F0DE6B"/>
    <w:rsid w:val="380A2B58"/>
    <w:rsid w:val="38DA1DC4"/>
    <w:rsid w:val="3AB19230"/>
    <w:rsid w:val="3D2B5BBE"/>
    <w:rsid w:val="3F548042"/>
    <w:rsid w:val="40B628C1"/>
    <w:rsid w:val="4279B07F"/>
    <w:rsid w:val="432CDFA4"/>
    <w:rsid w:val="433C6C76"/>
    <w:rsid w:val="44C4B658"/>
    <w:rsid w:val="4507B509"/>
    <w:rsid w:val="45E31541"/>
    <w:rsid w:val="48434A3A"/>
    <w:rsid w:val="48592205"/>
    <w:rsid w:val="48594776"/>
    <w:rsid w:val="48E23A2B"/>
    <w:rsid w:val="4909426A"/>
    <w:rsid w:val="49170C62"/>
    <w:rsid w:val="49A60DB7"/>
    <w:rsid w:val="4B02047D"/>
    <w:rsid w:val="4B76F68D"/>
    <w:rsid w:val="4BCFEBD0"/>
    <w:rsid w:val="4D6BBC31"/>
    <w:rsid w:val="4D9CC580"/>
    <w:rsid w:val="4F2DF45C"/>
    <w:rsid w:val="50FB2BF2"/>
    <w:rsid w:val="52425EB7"/>
    <w:rsid w:val="52768DE2"/>
    <w:rsid w:val="5349C9A8"/>
    <w:rsid w:val="5370A6F6"/>
    <w:rsid w:val="5475CB65"/>
    <w:rsid w:val="54768A5E"/>
    <w:rsid w:val="54AEB9ED"/>
    <w:rsid w:val="55A93607"/>
    <w:rsid w:val="58F62D16"/>
    <w:rsid w:val="58F7E525"/>
    <w:rsid w:val="592BBC28"/>
    <w:rsid w:val="59BCB43B"/>
    <w:rsid w:val="5B739ADD"/>
    <w:rsid w:val="5B9BC578"/>
    <w:rsid w:val="5CE0F52E"/>
    <w:rsid w:val="5CEDFB57"/>
    <w:rsid w:val="5F66973E"/>
    <w:rsid w:val="617E4AB1"/>
    <w:rsid w:val="64A25334"/>
    <w:rsid w:val="65BE43C9"/>
    <w:rsid w:val="65D4EA12"/>
    <w:rsid w:val="660E9733"/>
    <w:rsid w:val="673368BD"/>
    <w:rsid w:val="6751ADB5"/>
    <w:rsid w:val="679F124D"/>
    <w:rsid w:val="6827E864"/>
    <w:rsid w:val="691F44C1"/>
    <w:rsid w:val="69F8B523"/>
    <w:rsid w:val="6B77E733"/>
    <w:rsid w:val="6BF99080"/>
    <w:rsid w:val="6C097EFF"/>
    <w:rsid w:val="6C56E583"/>
    <w:rsid w:val="6EC562F4"/>
    <w:rsid w:val="6F9F358F"/>
    <w:rsid w:val="705C5FC0"/>
    <w:rsid w:val="708A7BC2"/>
    <w:rsid w:val="7126AA6D"/>
    <w:rsid w:val="71B6DC1D"/>
    <w:rsid w:val="72EFE0FD"/>
    <w:rsid w:val="75FA0C5B"/>
    <w:rsid w:val="7659A6FB"/>
    <w:rsid w:val="76A2E40A"/>
    <w:rsid w:val="77D5881B"/>
    <w:rsid w:val="782DFFBB"/>
    <w:rsid w:val="79567761"/>
    <w:rsid w:val="796D9887"/>
    <w:rsid w:val="7AF53569"/>
    <w:rsid w:val="7C5EB25A"/>
    <w:rsid w:val="7E5AA4F3"/>
    <w:rsid w:val="7EA59630"/>
    <w:rsid w:val="7EB39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A68C7"/>
  <w15:docId w15:val="{208F5ECF-3022-45CF-A87A-F6F1937C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5"/>
      <w:outlineLvl w:val="0"/>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25"/>
    <w:pPr>
      <w:tabs>
        <w:tab w:val="center" w:pos="4680"/>
        <w:tab w:val="right" w:pos="9360"/>
      </w:tabs>
    </w:pPr>
  </w:style>
  <w:style w:type="character" w:customStyle="1" w:styleId="HeaderChar">
    <w:name w:val="Header Char"/>
    <w:basedOn w:val="DefaultParagraphFont"/>
    <w:link w:val="Header"/>
    <w:uiPriority w:val="99"/>
    <w:rsid w:val="00DB5B25"/>
  </w:style>
  <w:style w:type="paragraph" w:styleId="Footer">
    <w:name w:val="footer"/>
    <w:basedOn w:val="Normal"/>
    <w:link w:val="FooterChar"/>
    <w:uiPriority w:val="99"/>
    <w:unhideWhenUsed/>
    <w:rsid w:val="00DB5B25"/>
    <w:pPr>
      <w:tabs>
        <w:tab w:val="center" w:pos="4680"/>
        <w:tab w:val="right" w:pos="9360"/>
      </w:tabs>
    </w:pPr>
  </w:style>
  <w:style w:type="character" w:customStyle="1" w:styleId="FooterChar">
    <w:name w:val="Footer Char"/>
    <w:basedOn w:val="DefaultParagraphFont"/>
    <w:link w:val="Footer"/>
    <w:uiPriority w:val="99"/>
    <w:rsid w:val="00DB5B25"/>
  </w:style>
  <w:style w:type="paragraph" w:styleId="NoSpacing">
    <w:name w:val="No Spacing"/>
    <w:uiPriority w:val="1"/>
    <w:qFormat/>
    <w:rsid w:val="00866C7E"/>
  </w:style>
  <w:style w:type="paragraph" w:styleId="BalloonText">
    <w:name w:val="Balloon Text"/>
    <w:basedOn w:val="Normal"/>
    <w:link w:val="BalloonTextChar"/>
    <w:uiPriority w:val="99"/>
    <w:semiHidden/>
    <w:unhideWhenUsed/>
    <w:rsid w:val="000A61B8"/>
    <w:rPr>
      <w:rFonts w:ascii="Tahoma" w:hAnsi="Tahoma" w:cs="Tahoma"/>
      <w:sz w:val="16"/>
      <w:szCs w:val="16"/>
    </w:rPr>
  </w:style>
  <w:style w:type="character" w:customStyle="1" w:styleId="BalloonTextChar">
    <w:name w:val="Balloon Text Char"/>
    <w:basedOn w:val="DefaultParagraphFont"/>
    <w:link w:val="BalloonText"/>
    <w:uiPriority w:val="99"/>
    <w:semiHidden/>
    <w:rsid w:val="000A61B8"/>
    <w:rPr>
      <w:rFonts w:ascii="Tahoma" w:hAnsi="Tahoma" w:cs="Tahoma"/>
      <w:sz w:val="16"/>
      <w:szCs w:val="16"/>
    </w:rPr>
  </w:style>
  <w:style w:type="character" w:styleId="CommentReference">
    <w:name w:val="annotation reference"/>
    <w:basedOn w:val="DefaultParagraphFont"/>
    <w:uiPriority w:val="99"/>
    <w:semiHidden/>
    <w:unhideWhenUsed/>
    <w:rsid w:val="00E62FBB"/>
    <w:rPr>
      <w:sz w:val="16"/>
      <w:szCs w:val="16"/>
    </w:rPr>
  </w:style>
  <w:style w:type="paragraph" w:styleId="CommentText">
    <w:name w:val="annotation text"/>
    <w:basedOn w:val="Normal"/>
    <w:link w:val="CommentTextChar"/>
    <w:uiPriority w:val="99"/>
    <w:unhideWhenUsed/>
    <w:rsid w:val="00E62FBB"/>
    <w:rPr>
      <w:sz w:val="20"/>
      <w:szCs w:val="20"/>
    </w:rPr>
  </w:style>
  <w:style w:type="character" w:customStyle="1" w:styleId="CommentTextChar">
    <w:name w:val="Comment Text Char"/>
    <w:basedOn w:val="DefaultParagraphFont"/>
    <w:link w:val="CommentText"/>
    <w:uiPriority w:val="99"/>
    <w:rsid w:val="00E62FBB"/>
    <w:rPr>
      <w:sz w:val="20"/>
      <w:szCs w:val="20"/>
    </w:rPr>
  </w:style>
  <w:style w:type="paragraph" w:styleId="CommentSubject">
    <w:name w:val="annotation subject"/>
    <w:basedOn w:val="CommentText"/>
    <w:next w:val="CommentText"/>
    <w:link w:val="CommentSubjectChar"/>
    <w:uiPriority w:val="99"/>
    <w:semiHidden/>
    <w:unhideWhenUsed/>
    <w:rsid w:val="00E62FBB"/>
    <w:rPr>
      <w:b/>
      <w:bCs/>
    </w:rPr>
  </w:style>
  <w:style w:type="character" w:customStyle="1" w:styleId="CommentSubjectChar">
    <w:name w:val="Comment Subject Char"/>
    <w:basedOn w:val="CommentTextChar"/>
    <w:link w:val="CommentSubject"/>
    <w:uiPriority w:val="99"/>
    <w:semiHidden/>
    <w:rsid w:val="00E62FBB"/>
    <w:rPr>
      <w:b/>
      <w:bCs/>
      <w:sz w:val="20"/>
      <w:szCs w:val="20"/>
    </w:rPr>
  </w:style>
  <w:style w:type="paragraph" w:styleId="Revision">
    <w:name w:val="Revision"/>
    <w:hidden/>
    <w:uiPriority w:val="99"/>
    <w:semiHidden/>
    <w:rsid w:val="00521D7A"/>
    <w:pPr>
      <w:widowControl/>
    </w:pPr>
  </w:style>
  <w:style w:type="paragraph" w:styleId="NormalWeb">
    <w:name w:val="Normal (Web)"/>
    <w:basedOn w:val="Normal"/>
    <w:uiPriority w:val="99"/>
    <w:unhideWhenUsed/>
    <w:rsid w:val="006C435E"/>
    <w:pPr>
      <w:widowControl/>
      <w:spacing w:before="100" w:beforeAutospacing="1" w:after="100" w:afterAutospacing="1"/>
    </w:pPr>
    <w:rPr>
      <w:rFonts w:ascii="Calibri" w:hAnsi="Calibri" w:cs="Calibr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5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21870">
      <w:bodyDiv w:val="1"/>
      <w:marLeft w:val="0"/>
      <w:marRight w:val="0"/>
      <w:marTop w:val="0"/>
      <w:marBottom w:val="0"/>
      <w:divBdr>
        <w:top w:val="none" w:sz="0" w:space="0" w:color="auto"/>
        <w:left w:val="none" w:sz="0" w:space="0" w:color="auto"/>
        <w:bottom w:val="none" w:sz="0" w:space="0" w:color="auto"/>
        <w:right w:val="none" w:sz="0" w:space="0" w:color="auto"/>
      </w:divBdr>
    </w:div>
    <w:div w:id="1455832934">
      <w:bodyDiv w:val="1"/>
      <w:marLeft w:val="0"/>
      <w:marRight w:val="0"/>
      <w:marTop w:val="0"/>
      <w:marBottom w:val="0"/>
      <w:divBdr>
        <w:top w:val="none" w:sz="0" w:space="0" w:color="auto"/>
        <w:left w:val="none" w:sz="0" w:space="0" w:color="auto"/>
        <w:bottom w:val="none" w:sz="0" w:space="0" w:color="auto"/>
        <w:right w:val="none" w:sz="0" w:space="0" w:color="auto"/>
      </w:divBdr>
    </w:div>
    <w:div w:id="1889679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2" ma:contentTypeDescription="Create a new document." ma:contentTypeScope="" ma:versionID="fcf60013fae87088e94a4222e535ed8d">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a820d3bc58011ff11f0395f46654c3e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373AE-5DBC-4D17-A485-4921CE955D7A}">
  <ds:schemaRefs>
    <ds:schemaRef ds:uri="http://schemas.openxmlformats.org/officeDocument/2006/bibliography"/>
  </ds:schemaRefs>
</ds:datastoreItem>
</file>

<file path=customXml/itemProps2.xml><?xml version="1.0" encoding="utf-8"?>
<ds:datastoreItem xmlns:ds="http://schemas.openxmlformats.org/officeDocument/2006/customXml" ds:itemID="{928DDA9F-4088-4E23-AC5E-54A63C914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7105B-E26B-4DD5-A132-81438EF5A9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A9634F-A4B1-474E-B9A4-54A6F3DB428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Janet (DDS)</dc:creator>
  <cp:keywords/>
  <dc:description/>
  <cp:lastModifiedBy>Hernandez, Victor (DDS)</cp:lastModifiedBy>
  <cp:revision>2</cp:revision>
  <cp:lastPrinted>2022-02-14T18:43:00Z</cp:lastPrinted>
  <dcterms:created xsi:type="dcterms:W3CDTF">2024-11-25T19:10:00Z</dcterms:created>
  <dcterms:modified xsi:type="dcterms:W3CDTF">2024-11-25T19:10:00Z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2019-02-01T00:00:00Z</vt:filetime>
  </property>
  <property fmtid="{D5CDD505-2E9C-101B-9397-08002B2CF9AE}" pid="4" name="ContentTypeId">
    <vt:lpwstr>0x0101004ACAA8BD88EB8945AAE04407B477030C</vt:lpwstr>
  </property>
  <property fmtid="{D5CDD505-2E9C-101B-9397-08002B2CF9AE}" pid="5" name="GrammarlyDocumentId">
    <vt:lpwstr>6f4e81adcf7b1288b2882fcfdcac2e499044f20d9a5bfc8c52e16ec9241fd991</vt:lpwstr>
  </property>
</Properties>
</file>