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151"/>
        <w:tblW w:w="0" w:type="auto"/>
        <w:tblBorders>
          <w:insideV w:val="none" w:sz="0" w:space="0" w:color="auto"/>
        </w:tblBorders>
        <w:tblLayout w:type="fixed"/>
        <w:tblLook w:val="04A0" w:firstRow="1" w:lastRow="0" w:firstColumn="1" w:lastColumn="0" w:noHBand="0" w:noVBand="1"/>
      </w:tblPr>
      <w:tblGrid>
        <w:gridCol w:w="2628"/>
        <w:gridCol w:w="19"/>
        <w:gridCol w:w="1164"/>
        <w:gridCol w:w="2506"/>
        <w:gridCol w:w="2881"/>
      </w:tblGrid>
      <w:tr w:rsidR="002056C3" w:rsidRPr="00C459E8" w14:paraId="5B1F454A" w14:textId="77777777" w:rsidTr="008910F7">
        <w:trPr>
          <w:trHeight w:val="545"/>
        </w:trPr>
        <w:tc>
          <w:tcPr>
            <w:tcW w:w="2628" w:type="dxa"/>
            <w:shd w:val="clear" w:color="auto" w:fill="1F497D" w:themeFill="text2"/>
            <w:vAlign w:val="center"/>
          </w:tcPr>
          <w:p w14:paraId="0850534C" w14:textId="77777777" w:rsidR="002056C3" w:rsidRPr="00C459E8" w:rsidRDefault="002056C3" w:rsidP="008910F7">
            <w:pPr>
              <w:jc w:val="center"/>
              <w:rPr>
                <w:rFonts w:ascii="Times New Roman" w:hAnsi="Times New Roman" w:cs="Times New Roman"/>
                <w:b/>
                <w:color w:val="FFFFFF" w:themeColor="background1"/>
                <w:sz w:val="24"/>
                <w:szCs w:val="24"/>
              </w:rPr>
            </w:pPr>
            <w:r w:rsidRPr="00C459E8">
              <w:rPr>
                <w:rFonts w:ascii="Times New Roman" w:hAnsi="Times New Roman" w:cs="Times New Roman"/>
                <w:b/>
                <w:noProof/>
                <w:sz w:val="24"/>
                <w:szCs w:val="24"/>
              </w:rPr>
              <w:drawing>
                <wp:anchor distT="0" distB="0" distL="114300" distR="114300" simplePos="0" relativeHeight="251659264" behindDoc="0" locked="0" layoutInCell="1" allowOverlap="1" wp14:anchorId="0370E3C4" wp14:editId="1CDE8423">
                  <wp:simplePos x="0" y="0"/>
                  <wp:positionH relativeFrom="column">
                    <wp:posOffset>624205</wp:posOffset>
                  </wp:positionH>
                  <wp:positionV relativeFrom="paragraph">
                    <wp:posOffset>42545</wp:posOffset>
                  </wp:positionV>
                  <wp:extent cx="414655" cy="414655"/>
                  <wp:effectExtent l="0" t="0" r="444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0px-Seal_of_Massachusetts.sv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4655" cy="414655"/>
                          </a:xfrm>
                          <a:prstGeom prst="rect">
                            <a:avLst/>
                          </a:prstGeom>
                        </pic:spPr>
                      </pic:pic>
                    </a:graphicData>
                  </a:graphic>
                  <wp14:sizeRelH relativeFrom="page">
                    <wp14:pctWidth>0</wp14:pctWidth>
                  </wp14:sizeRelH>
                  <wp14:sizeRelV relativeFrom="page">
                    <wp14:pctHeight>0</wp14:pctHeight>
                  </wp14:sizeRelV>
                </wp:anchor>
              </w:drawing>
            </w:r>
          </w:p>
          <w:p w14:paraId="0C984FC6" w14:textId="77777777" w:rsidR="002056C3" w:rsidRPr="00C459E8" w:rsidRDefault="002056C3" w:rsidP="008910F7">
            <w:pPr>
              <w:jc w:val="right"/>
              <w:rPr>
                <w:rFonts w:ascii="Times New Roman" w:hAnsi="Times New Roman" w:cs="Times New Roman"/>
                <w:b/>
                <w:color w:val="FFFFFF" w:themeColor="background1"/>
                <w:sz w:val="24"/>
                <w:szCs w:val="24"/>
              </w:rPr>
            </w:pPr>
          </w:p>
        </w:tc>
        <w:tc>
          <w:tcPr>
            <w:tcW w:w="6570" w:type="dxa"/>
            <w:gridSpan w:val="4"/>
            <w:shd w:val="clear" w:color="auto" w:fill="1F497D" w:themeFill="text2"/>
            <w:vAlign w:val="center"/>
          </w:tcPr>
          <w:p w14:paraId="4A390525" w14:textId="77777777" w:rsidR="002056C3" w:rsidRPr="00C459E8" w:rsidRDefault="002056C3" w:rsidP="008910F7">
            <w:pPr>
              <w:jc w:val="right"/>
              <w:rPr>
                <w:rFonts w:ascii="Times New Roman" w:hAnsi="Times New Roman" w:cs="Times New Roman"/>
                <w:b/>
                <w:color w:val="FFFFFF" w:themeColor="background1"/>
                <w:sz w:val="24"/>
                <w:szCs w:val="24"/>
              </w:rPr>
            </w:pPr>
          </w:p>
          <w:p w14:paraId="08872859" w14:textId="77777777" w:rsidR="002056C3" w:rsidRPr="00C459E8" w:rsidRDefault="002056C3" w:rsidP="008910F7">
            <w:pPr>
              <w:rPr>
                <w:rFonts w:ascii="Times New Roman" w:hAnsi="Times New Roman" w:cs="Times New Roman"/>
                <w:b/>
                <w:color w:val="FFFFFF" w:themeColor="background1"/>
                <w:sz w:val="24"/>
                <w:szCs w:val="24"/>
              </w:rPr>
            </w:pPr>
            <w:r w:rsidRPr="00C459E8">
              <w:rPr>
                <w:rFonts w:ascii="Times New Roman" w:hAnsi="Times New Roman" w:cs="Times New Roman"/>
                <w:b/>
                <w:color w:val="FFFFFF" w:themeColor="background1"/>
                <w:sz w:val="24"/>
                <w:szCs w:val="24"/>
              </w:rPr>
              <w:t xml:space="preserve">Executive Office of Health and Human Services </w:t>
            </w:r>
          </w:p>
          <w:p w14:paraId="442391E2" w14:textId="77777777" w:rsidR="002056C3" w:rsidRPr="00C459E8" w:rsidRDefault="002056C3" w:rsidP="008910F7">
            <w:pPr>
              <w:rPr>
                <w:rFonts w:ascii="Times New Roman" w:hAnsi="Times New Roman" w:cs="Times New Roman"/>
                <w:b/>
                <w:color w:val="FFFFFF" w:themeColor="background1"/>
                <w:sz w:val="24"/>
                <w:szCs w:val="24"/>
              </w:rPr>
            </w:pPr>
            <w:r w:rsidRPr="00C459E8">
              <w:rPr>
                <w:rFonts w:ascii="Times New Roman" w:hAnsi="Times New Roman" w:cs="Times New Roman"/>
                <w:b/>
                <w:color w:val="FFFFFF" w:themeColor="background1"/>
                <w:sz w:val="24"/>
                <w:szCs w:val="24"/>
              </w:rPr>
              <w:t>Department of Developmental Services</w:t>
            </w:r>
          </w:p>
          <w:p w14:paraId="23A063BE" w14:textId="77777777" w:rsidR="002056C3" w:rsidRPr="00C459E8" w:rsidRDefault="002056C3" w:rsidP="008910F7">
            <w:pPr>
              <w:jc w:val="center"/>
              <w:rPr>
                <w:rFonts w:ascii="Times New Roman" w:hAnsi="Times New Roman" w:cs="Times New Roman"/>
                <w:b/>
                <w:sz w:val="24"/>
                <w:szCs w:val="24"/>
              </w:rPr>
            </w:pPr>
          </w:p>
        </w:tc>
      </w:tr>
      <w:tr w:rsidR="002056C3" w:rsidRPr="00C459E8" w14:paraId="0376388D" w14:textId="77777777" w:rsidTr="008910F7">
        <w:trPr>
          <w:trHeight w:val="666"/>
        </w:trPr>
        <w:tc>
          <w:tcPr>
            <w:tcW w:w="3811" w:type="dxa"/>
            <w:gridSpan w:val="3"/>
            <w:vAlign w:val="center"/>
          </w:tcPr>
          <w:p w14:paraId="59B21CD8" w14:textId="77777777" w:rsidR="002056C3" w:rsidRPr="00C459E8" w:rsidRDefault="002056C3" w:rsidP="008910F7">
            <w:pPr>
              <w:rPr>
                <w:rFonts w:ascii="Times New Roman" w:hAnsi="Times New Roman" w:cs="Times New Roman"/>
                <w:b/>
                <w:sz w:val="24"/>
                <w:szCs w:val="24"/>
              </w:rPr>
            </w:pPr>
            <w:r w:rsidRPr="00C459E8">
              <w:rPr>
                <w:rFonts w:ascii="Times New Roman" w:eastAsia="Times New Roman" w:hAnsi="Times New Roman" w:cs="Times New Roman"/>
                <w:b/>
                <w:sz w:val="24"/>
                <w:szCs w:val="24"/>
              </w:rPr>
              <w:t>MEMORANDUM:</w:t>
            </w:r>
          </w:p>
        </w:tc>
        <w:tc>
          <w:tcPr>
            <w:tcW w:w="5387" w:type="dxa"/>
            <w:gridSpan w:val="2"/>
            <w:vAlign w:val="center"/>
          </w:tcPr>
          <w:p w14:paraId="21097911" w14:textId="449A5C63" w:rsidR="002056C3" w:rsidRPr="00C459E8" w:rsidRDefault="006069BA" w:rsidP="00D667FF">
            <w:pPr>
              <w:rPr>
                <w:rFonts w:ascii="Times New Roman" w:hAnsi="Times New Roman" w:cs="Times New Roman"/>
                <w:b/>
                <w:sz w:val="24"/>
                <w:szCs w:val="24"/>
              </w:rPr>
            </w:pPr>
            <w:r w:rsidRPr="00C459E8">
              <w:rPr>
                <w:rFonts w:ascii="Times New Roman" w:hAnsi="Times New Roman" w:cs="Times New Roman"/>
                <w:b/>
                <w:sz w:val="24"/>
                <w:szCs w:val="24"/>
              </w:rPr>
              <w:t xml:space="preserve">Guidance on </w:t>
            </w:r>
            <w:r w:rsidR="002D56A6" w:rsidRPr="00C459E8">
              <w:rPr>
                <w:rFonts w:ascii="Times New Roman" w:hAnsi="Times New Roman" w:cs="Times New Roman"/>
                <w:b/>
                <w:sz w:val="24"/>
                <w:szCs w:val="24"/>
              </w:rPr>
              <w:t>Locks</w:t>
            </w:r>
          </w:p>
        </w:tc>
      </w:tr>
      <w:tr w:rsidR="002056C3" w:rsidRPr="00C459E8" w14:paraId="6C103B39" w14:textId="77777777" w:rsidTr="008910F7">
        <w:trPr>
          <w:trHeight w:val="323"/>
        </w:trPr>
        <w:tc>
          <w:tcPr>
            <w:tcW w:w="3811" w:type="dxa"/>
            <w:gridSpan w:val="3"/>
            <w:vAlign w:val="center"/>
          </w:tcPr>
          <w:p w14:paraId="6964359D" w14:textId="77777777" w:rsidR="002056C3" w:rsidRPr="00C459E8" w:rsidRDefault="002056C3" w:rsidP="008910F7">
            <w:pPr>
              <w:rPr>
                <w:rFonts w:ascii="Times New Roman" w:eastAsia="Times New Roman" w:hAnsi="Times New Roman" w:cs="Times New Roman"/>
                <w:b/>
                <w:sz w:val="24"/>
                <w:szCs w:val="24"/>
              </w:rPr>
            </w:pPr>
            <w:r w:rsidRPr="00C459E8">
              <w:rPr>
                <w:rFonts w:ascii="Times New Roman" w:hAnsi="Times New Roman" w:cs="Times New Roman"/>
                <w:b/>
                <w:sz w:val="24"/>
                <w:szCs w:val="24"/>
              </w:rPr>
              <w:t>FROM:</w:t>
            </w:r>
          </w:p>
        </w:tc>
        <w:tc>
          <w:tcPr>
            <w:tcW w:w="5387" w:type="dxa"/>
            <w:gridSpan w:val="2"/>
            <w:vAlign w:val="center"/>
          </w:tcPr>
          <w:p w14:paraId="25C40568" w14:textId="0597D36E" w:rsidR="002056C3" w:rsidRPr="00C459E8" w:rsidRDefault="002E533A" w:rsidP="005835A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Office of Quality Management</w:t>
            </w:r>
          </w:p>
        </w:tc>
      </w:tr>
      <w:tr w:rsidR="002056C3" w:rsidRPr="00C459E8" w14:paraId="4CCA1B29" w14:textId="77777777" w:rsidTr="008910F7">
        <w:trPr>
          <w:trHeight w:val="343"/>
        </w:trPr>
        <w:tc>
          <w:tcPr>
            <w:tcW w:w="2647" w:type="dxa"/>
            <w:gridSpan w:val="2"/>
            <w:vAlign w:val="center"/>
          </w:tcPr>
          <w:p w14:paraId="45BCEEBF" w14:textId="77777777" w:rsidR="002056C3" w:rsidRPr="00C459E8" w:rsidRDefault="002056C3" w:rsidP="008910F7">
            <w:pPr>
              <w:rPr>
                <w:rFonts w:ascii="Times New Roman" w:hAnsi="Times New Roman" w:cs="Times New Roman"/>
                <w:b/>
                <w:sz w:val="24"/>
                <w:szCs w:val="24"/>
              </w:rPr>
            </w:pPr>
            <w:r w:rsidRPr="00C459E8">
              <w:rPr>
                <w:rFonts w:ascii="Times New Roman" w:eastAsia="Times New Roman" w:hAnsi="Times New Roman" w:cs="Times New Roman"/>
                <w:b/>
                <w:sz w:val="24"/>
                <w:szCs w:val="24"/>
              </w:rPr>
              <w:t xml:space="preserve">DATE ISSUED: </w:t>
            </w:r>
          </w:p>
        </w:tc>
        <w:tc>
          <w:tcPr>
            <w:tcW w:w="1164" w:type="dxa"/>
            <w:vAlign w:val="center"/>
          </w:tcPr>
          <w:p w14:paraId="7C1FE4BC" w14:textId="77777777" w:rsidR="002056C3" w:rsidRPr="00C459E8" w:rsidRDefault="002056C3" w:rsidP="008910F7">
            <w:pPr>
              <w:rPr>
                <w:rFonts w:ascii="Times New Roman" w:hAnsi="Times New Roman" w:cs="Times New Roman"/>
                <w:b/>
                <w:sz w:val="24"/>
                <w:szCs w:val="24"/>
              </w:rPr>
            </w:pPr>
          </w:p>
        </w:tc>
        <w:tc>
          <w:tcPr>
            <w:tcW w:w="2506" w:type="dxa"/>
            <w:vAlign w:val="center"/>
          </w:tcPr>
          <w:p w14:paraId="6E96E7D8" w14:textId="7C8651CB" w:rsidR="002056C3" w:rsidRPr="00C459E8" w:rsidRDefault="0028532D" w:rsidP="00FA58AC">
            <w:pPr>
              <w:rPr>
                <w:rFonts w:ascii="Times New Roman" w:hAnsi="Times New Roman" w:cs="Times New Roman"/>
                <w:b/>
                <w:sz w:val="24"/>
                <w:szCs w:val="24"/>
              </w:rPr>
            </w:pPr>
            <w:r>
              <w:rPr>
                <w:rFonts w:ascii="Times New Roman" w:hAnsi="Times New Roman" w:cs="Times New Roman"/>
                <w:b/>
                <w:sz w:val="24"/>
                <w:szCs w:val="24"/>
              </w:rPr>
              <w:t>October</w:t>
            </w:r>
            <w:r w:rsidR="0081382E">
              <w:rPr>
                <w:rFonts w:ascii="Times New Roman" w:hAnsi="Times New Roman" w:cs="Times New Roman"/>
                <w:b/>
                <w:sz w:val="24"/>
                <w:szCs w:val="24"/>
              </w:rPr>
              <w:t xml:space="preserve"> </w:t>
            </w:r>
            <w:r w:rsidR="00AB53BE">
              <w:rPr>
                <w:rFonts w:ascii="Times New Roman" w:hAnsi="Times New Roman" w:cs="Times New Roman"/>
                <w:b/>
                <w:sz w:val="24"/>
                <w:szCs w:val="24"/>
              </w:rPr>
              <w:t>2</w:t>
            </w:r>
            <w:r w:rsidR="0081382E">
              <w:rPr>
                <w:rFonts w:ascii="Times New Roman" w:hAnsi="Times New Roman" w:cs="Times New Roman"/>
                <w:b/>
                <w:sz w:val="24"/>
                <w:szCs w:val="24"/>
              </w:rPr>
              <w:t xml:space="preserve">7, </w:t>
            </w:r>
            <w:r w:rsidR="006069BA" w:rsidRPr="00C459E8">
              <w:rPr>
                <w:rFonts w:ascii="Times New Roman" w:hAnsi="Times New Roman" w:cs="Times New Roman"/>
                <w:b/>
                <w:sz w:val="24"/>
                <w:szCs w:val="24"/>
              </w:rPr>
              <w:t>2022</w:t>
            </w:r>
          </w:p>
        </w:tc>
        <w:tc>
          <w:tcPr>
            <w:tcW w:w="2881" w:type="dxa"/>
            <w:vAlign w:val="center"/>
          </w:tcPr>
          <w:p w14:paraId="2E494ADF" w14:textId="77777777" w:rsidR="002056C3" w:rsidRPr="00C459E8" w:rsidRDefault="002056C3" w:rsidP="008910F7">
            <w:pPr>
              <w:rPr>
                <w:rFonts w:ascii="Times New Roman" w:hAnsi="Times New Roman" w:cs="Times New Roman"/>
                <w:b/>
                <w:sz w:val="24"/>
                <w:szCs w:val="24"/>
              </w:rPr>
            </w:pPr>
          </w:p>
        </w:tc>
      </w:tr>
      <w:tr w:rsidR="002056C3" w:rsidRPr="00C459E8" w14:paraId="0C23EC68" w14:textId="77777777" w:rsidTr="008910F7">
        <w:trPr>
          <w:trHeight w:val="193"/>
        </w:trPr>
        <w:tc>
          <w:tcPr>
            <w:tcW w:w="9198" w:type="dxa"/>
            <w:gridSpan w:val="5"/>
            <w:shd w:val="clear" w:color="auto" w:fill="1F497D" w:themeFill="text2"/>
            <w:vAlign w:val="center"/>
          </w:tcPr>
          <w:p w14:paraId="553C8AA6" w14:textId="77777777" w:rsidR="002056C3" w:rsidRPr="00C459E8" w:rsidRDefault="002056C3" w:rsidP="008910F7">
            <w:pPr>
              <w:jc w:val="center"/>
              <w:rPr>
                <w:rFonts w:ascii="Times New Roman" w:hAnsi="Times New Roman" w:cs="Times New Roman"/>
                <w:b/>
                <w:color w:val="FFFFFF" w:themeColor="background1"/>
                <w:sz w:val="24"/>
                <w:szCs w:val="24"/>
              </w:rPr>
            </w:pPr>
          </w:p>
          <w:p w14:paraId="0E9FEB95" w14:textId="77777777" w:rsidR="002056C3" w:rsidRPr="00C459E8" w:rsidRDefault="002056C3" w:rsidP="008910F7">
            <w:pPr>
              <w:jc w:val="right"/>
              <w:rPr>
                <w:rFonts w:ascii="Times New Roman" w:hAnsi="Times New Roman" w:cs="Times New Roman"/>
                <w:b/>
                <w:i/>
                <w:color w:val="FFFFFF" w:themeColor="background1"/>
                <w:sz w:val="24"/>
                <w:szCs w:val="24"/>
              </w:rPr>
            </w:pPr>
            <w:r w:rsidRPr="00C459E8">
              <w:rPr>
                <w:rFonts w:ascii="Times New Roman" w:hAnsi="Times New Roman" w:cs="Times New Roman"/>
                <w:b/>
                <w:i/>
                <w:color w:val="FFFFFF" w:themeColor="background1"/>
                <w:sz w:val="24"/>
                <w:szCs w:val="24"/>
              </w:rPr>
              <w:t>Commonwealth of Massachusetts</w:t>
            </w:r>
          </w:p>
          <w:p w14:paraId="281D6E79" w14:textId="77777777" w:rsidR="002056C3" w:rsidRPr="00C459E8" w:rsidRDefault="002056C3" w:rsidP="008910F7">
            <w:pPr>
              <w:jc w:val="center"/>
              <w:rPr>
                <w:rFonts w:ascii="Times New Roman" w:hAnsi="Times New Roman" w:cs="Times New Roman"/>
                <w:b/>
                <w:color w:val="FFFFFF" w:themeColor="background1"/>
                <w:sz w:val="24"/>
                <w:szCs w:val="24"/>
              </w:rPr>
            </w:pPr>
          </w:p>
        </w:tc>
      </w:tr>
    </w:tbl>
    <w:p w14:paraId="5930FA17" w14:textId="77777777" w:rsidR="000550D3" w:rsidRPr="00C459E8" w:rsidRDefault="00AB53BE">
      <w:pPr>
        <w:rPr>
          <w:rFonts w:ascii="Times New Roman" w:hAnsi="Times New Roman" w:cs="Times New Roman"/>
          <w:sz w:val="24"/>
          <w:szCs w:val="24"/>
        </w:rPr>
      </w:pPr>
    </w:p>
    <w:p w14:paraId="2B1372D3" w14:textId="4346DFF2" w:rsidR="00447595" w:rsidRPr="00C459E8" w:rsidRDefault="00447595" w:rsidP="00447595">
      <w:pPr>
        <w:rPr>
          <w:rFonts w:ascii="Times New Roman" w:hAnsi="Times New Roman" w:cs="Times New Roman"/>
          <w:b/>
          <w:bCs/>
          <w:sz w:val="24"/>
          <w:szCs w:val="24"/>
        </w:rPr>
      </w:pPr>
      <w:r w:rsidRPr="00C459E8">
        <w:rPr>
          <w:rFonts w:ascii="Times New Roman" w:hAnsi="Times New Roman" w:cs="Times New Roman"/>
          <w:b/>
          <w:bCs/>
          <w:sz w:val="24"/>
          <w:szCs w:val="24"/>
        </w:rPr>
        <w:t>I.</w:t>
      </w:r>
      <w:r w:rsidRPr="00C459E8">
        <w:rPr>
          <w:rFonts w:ascii="Times New Roman" w:hAnsi="Times New Roman" w:cs="Times New Roman"/>
          <w:b/>
          <w:bCs/>
          <w:sz w:val="24"/>
          <w:szCs w:val="24"/>
        </w:rPr>
        <w:tab/>
        <w:t xml:space="preserve"> Overarching Governing Principles</w:t>
      </w:r>
    </w:p>
    <w:p w14:paraId="4A479D71" w14:textId="3D8AA988" w:rsidR="00447595" w:rsidRPr="00C459E8" w:rsidRDefault="00447595" w:rsidP="00C01059">
      <w:pPr>
        <w:jc w:val="both"/>
        <w:rPr>
          <w:rFonts w:ascii="Times New Roman" w:hAnsi="Times New Roman" w:cs="Times New Roman"/>
          <w:sz w:val="24"/>
          <w:szCs w:val="24"/>
        </w:rPr>
      </w:pPr>
      <w:r w:rsidRPr="00C459E8">
        <w:rPr>
          <w:rFonts w:ascii="Times New Roman" w:hAnsi="Times New Roman" w:cs="Times New Roman"/>
          <w:sz w:val="24"/>
          <w:szCs w:val="24"/>
        </w:rPr>
        <w:t xml:space="preserve">Promoting human dignity, independence, and ensuring privacy are fundamental to the mission of the Department of Developmental Services (“DDS” or the “Department”) and are responsibilities that the Department takes very seriously. Robust due process considerations are woven throughout DDS regulations and service delivery. DDS service providers are bound by the Commonwealth’s Standard Terms and Conditions in addition to their contract with the Department, and both DDS </w:t>
      </w:r>
      <w:r w:rsidR="00D707F6" w:rsidRPr="00C459E8">
        <w:rPr>
          <w:rFonts w:ascii="Times New Roman" w:hAnsi="Times New Roman" w:cs="Times New Roman"/>
          <w:sz w:val="24"/>
          <w:szCs w:val="24"/>
        </w:rPr>
        <w:t>S</w:t>
      </w:r>
      <w:r w:rsidRPr="00C459E8">
        <w:rPr>
          <w:rFonts w:ascii="Times New Roman" w:hAnsi="Times New Roman" w:cs="Times New Roman"/>
          <w:sz w:val="24"/>
          <w:szCs w:val="24"/>
        </w:rPr>
        <w:t xml:space="preserve">tandards to </w:t>
      </w:r>
      <w:r w:rsidR="00D707F6" w:rsidRPr="00C459E8">
        <w:rPr>
          <w:rFonts w:ascii="Times New Roman" w:hAnsi="Times New Roman" w:cs="Times New Roman"/>
          <w:sz w:val="24"/>
          <w:szCs w:val="24"/>
        </w:rPr>
        <w:t>P</w:t>
      </w:r>
      <w:r w:rsidRPr="00C459E8">
        <w:rPr>
          <w:rFonts w:ascii="Times New Roman" w:hAnsi="Times New Roman" w:cs="Times New Roman"/>
          <w:sz w:val="24"/>
          <w:szCs w:val="24"/>
        </w:rPr>
        <w:t xml:space="preserve">romote </w:t>
      </w:r>
      <w:r w:rsidR="00D707F6" w:rsidRPr="00C459E8">
        <w:rPr>
          <w:rFonts w:ascii="Times New Roman" w:hAnsi="Times New Roman" w:cs="Times New Roman"/>
          <w:sz w:val="24"/>
          <w:szCs w:val="24"/>
        </w:rPr>
        <w:t>D</w:t>
      </w:r>
      <w:r w:rsidRPr="00C459E8">
        <w:rPr>
          <w:rFonts w:ascii="Times New Roman" w:hAnsi="Times New Roman" w:cs="Times New Roman"/>
          <w:sz w:val="24"/>
          <w:szCs w:val="24"/>
        </w:rPr>
        <w:t xml:space="preserve">ignity and </w:t>
      </w:r>
      <w:r w:rsidR="00EE3F5B">
        <w:rPr>
          <w:rFonts w:ascii="Times New Roman" w:hAnsi="Times New Roman" w:cs="Times New Roman"/>
          <w:sz w:val="24"/>
          <w:szCs w:val="24"/>
        </w:rPr>
        <w:t>Individual Support Plan (</w:t>
      </w:r>
      <w:r w:rsidRPr="00C459E8">
        <w:rPr>
          <w:rFonts w:ascii="Times New Roman" w:hAnsi="Times New Roman" w:cs="Times New Roman"/>
          <w:sz w:val="24"/>
          <w:szCs w:val="24"/>
        </w:rPr>
        <w:t>ISP</w:t>
      </w:r>
      <w:r w:rsidR="00EE3F5B">
        <w:rPr>
          <w:rFonts w:ascii="Times New Roman" w:hAnsi="Times New Roman" w:cs="Times New Roman"/>
          <w:sz w:val="24"/>
          <w:szCs w:val="24"/>
        </w:rPr>
        <w:t>)</w:t>
      </w:r>
      <w:r w:rsidRPr="00C459E8">
        <w:rPr>
          <w:rFonts w:ascii="Times New Roman" w:hAnsi="Times New Roman" w:cs="Times New Roman"/>
          <w:sz w:val="24"/>
          <w:szCs w:val="24"/>
        </w:rPr>
        <w:t xml:space="preserve"> regulations contain due process protections and allow for judicial review after </w:t>
      </w:r>
      <w:r w:rsidR="00151EBF" w:rsidRPr="00C459E8">
        <w:rPr>
          <w:rFonts w:ascii="Times New Roman" w:hAnsi="Times New Roman" w:cs="Times New Roman"/>
          <w:sz w:val="24"/>
          <w:szCs w:val="24"/>
        </w:rPr>
        <w:t>the exhaustion of</w:t>
      </w:r>
      <w:r w:rsidRPr="00C459E8">
        <w:rPr>
          <w:rFonts w:ascii="Times New Roman" w:hAnsi="Times New Roman" w:cs="Times New Roman"/>
          <w:sz w:val="24"/>
          <w:szCs w:val="24"/>
        </w:rPr>
        <w:t xml:space="preserve"> administrative remedies. </w:t>
      </w:r>
    </w:p>
    <w:p w14:paraId="3657F80B" w14:textId="2CC9B4DA" w:rsidR="00447595" w:rsidRPr="00C459E8" w:rsidRDefault="00447595" w:rsidP="00C01059">
      <w:pPr>
        <w:jc w:val="both"/>
        <w:rPr>
          <w:rFonts w:ascii="Times New Roman" w:hAnsi="Times New Roman" w:cs="Times New Roman"/>
          <w:sz w:val="24"/>
          <w:szCs w:val="24"/>
        </w:rPr>
      </w:pPr>
      <w:r w:rsidRPr="00C459E8">
        <w:rPr>
          <w:rFonts w:ascii="Times New Roman" w:hAnsi="Times New Roman" w:cs="Times New Roman"/>
          <w:sz w:val="24"/>
          <w:szCs w:val="24"/>
        </w:rPr>
        <w:t xml:space="preserve">DDS is </w:t>
      </w:r>
      <w:r w:rsidR="00556324">
        <w:rPr>
          <w:rFonts w:ascii="Times New Roman" w:hAnsi="Times New Roman" w:cs="Times New Roman"/>
          <w:sz w:val="24"/>
          <w:szCs w:val="24"/>
        </w:rPr>
        <w:t xml:space="preserve">committed to </w:t>
      </w:r>
      <w:r w:rsidRPr="00C459E8">
        <w:rPr>
          <w:rFonts w:ascii="Times New Roman" w:hAnsi="Times New Roman" w:cs="Times New Roman"/>
          <w:sz w:val="24"/>
          <w:szCs w:val="24"/>
        </w:rPr>
        <w:t>ensur</w:t>
      </w:r>
      <w:r w:rsidR="00556324">
        <w:rPr>
          <w:rFonts w:ascii="Times New Roman" w:hAnsi="Times New Roman" w:cs="Times New Roman"/>
          <w:sz w:val="24"/>
          <w:szCs w:val="24"/>
        </w:rPr>
        <w:t>ing</w:t>
      </w:r>
      <w:r w:rsidRPr="00C459E8">
        <w:rPr>
          <w:rFonts w:ascii="Times New Roman" w:hAnsi="Times New Roman" w:cs="Times New Roman"/>
          <w:sz w:val="24"/>
          <w:szCs w:val="24"/>
        </w:rPr>
        <w:t xml:space="preserve"> the privacy and safety of every person served. </w:t>
      </w:r>
    </w:p>
    <w:p w14:paraId="3880C06D" w14:textId="1C10ED55" w:rsidR="00447595" w:rsidRPr="00C459E8" w:rsidRDefault="00447595" w:rsidP="00C01059">
      <w:pPr>
        <w:jc w:val="both"/>
        <w:rPr>
          <w:rFonts w:ascii="Times New Roman" w:hAnsi="Times New Roman" w:cs="Times New Roman"/>
          <w:b/>
          <w:bCs/>
          <w:sz w:val="24"/>
          <w:szCs w:val="24"/>
        </w:rPr>
      </w:pPr>
      <w:r w:rsidRPr="00C459E8">
        <w:rPr>
          <w:rFonts w:ascii="Times New Roman" w:hAnsi="Times New Roman" w:cs="Times New Roman"/>
          <w:b/>
          <w:bCs/>
          <w:sz w:val="24"/>
          <w:szCs w:val="24"/>
        </w:rPr>
        <w:t>II.</w:t>
      </w:r>
      <w:r w:rsidRPr="00C459E8">
        <w:rPr>
          <w:rFonts w:ascii="Times New Roman" w:hAnsi="Times New Roman" w:cs="Times New Roman"/>
          <w:b/>
          <w:bCs/>
          <w:sz w:val="24"/>
          <w:szCs w:val="24"/>
        </w:rPr>
        <w:tab/>
      </w:r>
      <w:r w:rsidR="002D56A6" w:rsidRPr="00C459E8">
        <w:rPr>
          <w:rFonts w:ascii="Times New Roman" w:hAnsi="Times New Roman" w:cs="Times New Roman"/>
          <w:b/>
          <w:bCs/>
          <w:sz w:val="24"/>
          <w:szCs w:val="24"/>
        </w:rPr>
        <w:t>Locks</w:t>
      </w:r>
    </w:p>
    <w:p w14:paraId="0290E1B7" w14:textId="01A71947" w:rsidR="00510D54" w:rsidRPr="00524528" w:rsidRDefault="00556324" w:rsidP="00510D54">
      <w:pPr>
        <w:rPr>
          <w:rFonts w:ascii="Times New Roman" w:hAnsi="Times New Roman" w:cs="Times New Roman"/>
          <w:sz w:val="24"/>
          <w:szCs w:val="24"/>
        </w:rPr>
      </w:pPr>
      <w:r>
        <w:rPr>
          <w:rFonts w:ascii="Times New Roman" w:hAnsi="Times New Roman" w:cs="Times New Roman"/>
          <w:color w:val="333333"/>
          <w:sz w:val="24"/>
          <w:szCs w:val="24"/>
          <w:shd w:val="clear" w:color="auto" w:fill="FFFFFF"/>
        </w:rPr>
        <w:t>DDS regulations</w:t>
      </w:r>
      <w:r w:rsidR="00EE3F5B">
        <w:rPr>
          <w:rFonts w:ascii="Times New Roman" w:hAnsi="Times New Roman" w:cs="Times New Roman"/>
          <w:color w:val="333333"/>
          <w:sz w:val="24"/>
          <w:szCs w:val="24"/>
          <w:shd w:val="clear" w:color="auto" w:fill="FFFFFF"/>
        </w:rPr>
        <w:t xml:space="preserve"> a</w:t>
      </w:r>
      <w:r w:rsidR="00C01059">
        <w:rPr>
          <w:rFonts w:ascii="Times New Roman" w:hAnsi="Times New Roman" w:cs="Times New Roman"/>
          <w:color w:val="333333"/>
          <w:sz w:val="24"/>
          <w:szCs w:val="24"/>
          <w:shd w:val="clear" w:color="auto" w:fill="FFFFFF"/>
        </w:rPr>
        <w:t>re</w:t>
      </w:r>
      <w:r>
        <w:rPr>
          <w:rFonts w:ascii="Times New Roman" w:hAnsi="Times New Roman" w:cs="Times New Roman"/>
          <w:color w:val="333333"/>
          <w:sz w:val="24"/>
          <w:szCs w:val="24"/>
          <w:shd w:val="clear" w:color="auto" w:fill="FFFFFF"/>
        </w:rPr>
        <w:t xml:space="preserve"> consistent with the Community Rule</w:t>
      </w:r>
      <w:r w:rsidR="00C01059">
        <w:rPr>
          <w:rFonts w:ascii="Times New Roman" w:hAnsi="Times New Roman" w:cs="Times New Roman"/>
          <w:color w:val="333333"/>
          <w:sz w:val="24"/>
          <w:szCs w:val="24"/>
          <w:shd w:val="clear" w:color="auto" w:fill="FFFFFF"/>
        </w:rPr>
        <w:t xml:space="preserve"> and</w:t>
      </w:r>
      <w:r>
        <w:rPr>
          <w:rFonts w:ascii="Times New Roman" w:hAnsi="Times New Roman" w:cs="Times New Roman"/>
          <w:color w:val="333333"/>
          <w:sz w:val="24"/>
          <w:szCs w:val="24"/>
          <w:shd w:val="clear" w:color="auto" w:fill="FFFFFF"/>
        </w:rPr>
        <w:t xml:space="preserve"> ensure that participants</w:t>
      </w:r>
      <w:r w:rsidR="000F0003">
        <w:rPr>
          <w:rFonts w:ascii="Times New Roman" w:hAnsi="Times New Roman" w:cs="Times New Roman"/>
          <w:sz w:val="24"/>
          <w:szCs w:val="24"/>
        </w:rPr>
        <w:t xml:space="preserve"> have “</w:t>
      </w:r>
      <w:r w:rsidR="002D56A6" w:rsidRPr="00C459E8">
        <w:rPr>
          <w:rFonts w:ascii="Times New Roman" w:hAnsi="Times New Roman" w:cs="Times New Roman"/>
          <w:sz w:val="24"/>
          <w:szCs w:val="24"/>
        </w:rPr>
        <w:t>privacy in their sleeping or living unit</w:t>
      </w:r>
      <w:r w:rsidR="000F0003">
        <w:rPr>
          <w:rFonts w:ascii="Times New Roman" w:hAnsi="Times New Roman" w:cs="Times New Roman"/>
          <w:sz w:val="24"/>
          <w:szCs w:val="24"/>
        </w:rPr>
        <w:t>… [and that]</w:t>
      </w:r>
      <w:r w:rsidR="002D56A6" w:rsidRPr="00C459E8">
        <w:rPr>
          <w:rFonts w:ascii="Times New Roman" w:hAnsi="Times New Roman" w:cs="Times New Roman"/>
          <w:sz w:val="24"/>
          <w:szCs w:val="24"/>
        </w:rPr>
        <w:t xml:space="preserve"> Units have entrance doors lockable by the individual, with </w:t>
      </w:r>
      <w:r w:rsidR="002D56A6" w:rsidRPr="002E533A">
        <w:rPr>
          <w:rFonts w:ascii="Times New Roman" w:hAnsi="Times New Roman" w:cs="Times New Roman"/>
          <w:sz w:val="24"/>
          <w:szCs w:val="24"/>
        </w:rPr>
        <w:t>only appropriate staff having keys to doors.</w:t>
      </w:r>
      <w:r w:rsidR="000F0003">
        <w:rPr>
          <w:rFonts w:ascii="Times New Roman" w:hAnsi="Times New Roman" w:cs="Times New Roman"/>
          <w:sz w:val="24"/>
          <w:szCs w:val="24"/>
        </w:rPr>
        <w:t>”</w:t>
      </w:r>
      <w:r w:rsidR="002D56A6" w:rsidRPr="00C459E8">
        <w:rPr>
          <w:rFonts w:ascii="Times New Roman" w:hAnsi="Times New Roman" w:cs="Times New Roman"/>
          <w:sz w:val="24"/>
          <w:szCs w:val="24"/>
        </w:rPr>
        <w:t xml:space="preserve"> </w:t>
      </w:r>
      <w:r w:rsidR="00D30D68" w:rsidRPr="00524528">
        <w:rPr>
          <w:rFonts w:ascii="Times New Roman" w:hAnsi="Times New Roman" w:cs="Times New Roman"/>
          <w:sz w:val="24"/>
          <w:szCs w:val="24"/>
        </w:rPr>
        <w:t xml:space="preserve">42 CFR </w:t>
      </w:r>
      <w:r w:rsidR="002D56A6" w:rsidRPr="00524528">
        <w:rPr>
          <w:rFonts w:ascii="Times New Roman" w:hAnsi="Times New Roman" w:cs="Times New Roman"/>
          <w:sz w:val="24"/>
          <w:szCs w:val="24"/>
        </w:rPr>
        <w:t>§ 441.301</w:t>
      </w:r>
      <w:r w:rsidR="000F0003" w:rsidRPr="00524528">
        <w:rPr>
          <w:rFonts w:ascii="Times New Roman" w:hAnsi="Times New Roman" w:cs="Times New Roman"/>
          <w:sz w:val="24"/>
          <w:szCs w:val="24"/>
        </w:rPr>
        <w:t>(c)(4)(B</w:t>
      </w:r>
      <w:r w:rsidR="002D56A6" w:rsidRPr="00524528">
        <w:rPr>
          <w:rFonts w:ascii="Times New Roman" w:hAnsi="Times New Roman" w:cs="Times New Roman"/>
          <w:sz w:val="24"/>
          <w:szCs w:val="24"/>
        </w:rPr>
        <w:t>)</w:t>
      </w:r>
      <w:r w:rsidR="00C459E8" w:rsidRPr="00524528">
        <w:rPr>
          <w:rFonts w:ascii="Times New Roman" w:hAnsi="Times New Roman" w:cs="Times New Roman"/>
          <w:sz w:val="24"/>
          <w:szCs w:val="24"/>
        </w:rPr>
        <w:t>.</w:t>
      </w:r>
      <w:r w:rsidR="000F0003" w:rsidRPr="00524528">
        <w:rPr>
          <w:rFonts w:ascii="Times New Roman" w:hAnsi="Times New Roman" w:cs="Times New Roman"/>
          <w:sz w:val="24"/>
          <w:szCs w:val="24"/>
        </w:rPr>
        <w:t xml:space="preserve"> </w:t>
      </w:r>
      <w:r w:rsidR="000F0003" w:rsidRPr="00524528">
        <w:rPr>
          <w:rFonts w:ascii="Times New Roman" w:hAnsi="Times New Roman" w:cs="Times New Roman"/>
          <w:i/>
          <w:iCs/>
          <w:sz w:val="24"/>
          <w:szCs w:val="24"/>
        </w:rPr>
        <w:t>See</w:t>
      </w:r>
      <w:r w:rsidR="000F0003" w:rsidRPr="00524528">
        <w:rPr>
          <w:rFonts w:ascii="Times New Roman" w:hAnsi="Times New Roman" w:cs="Times New Roman"/>
          <w:sz w:val="24"/>
          <w:szCs w:val="24"/>
        </w:rPr>
        <w:t xml:space="preserve"> 115 CMR 7.07.</w:t>
      </w:r>
      <w:r w:rsidR="00C459E8" w:rsidRPr="00524528">
        <w:rPr>
          <w:rFonts w:ascii="Times New Roman" w:hAnsi="Times New Roman" w:cs="Times New Roman"/>
          <w:sz w:val="24"/>
          <w:szCs w:val="24"/>
        </w:rPr>
        <w:t xml:space="preserve"> </w:t>
      </w:r>
      <w:r w:rsidR="000F0003" w:rsidRPr="00524528">
        <w:rPr>
          <w:rFonts w:ascii="Times New Roman" w:hAnsi="Times New Roman" w:cs="Times New Roman"/>
          <w:sz w:val="24"/>
          <w:szCs w:val="24"/>
        </w:rPr>
        <w:t xml:space="preserve"> </w:t>
      </w:r>
    </w:p>
    <w:p w14:paraId="66024589" w14:textId="11EAF5D6" w:rsidR="00C459E8" w:rsidRDefault="00347CB1" w:rsidP="0081382E">
      <w:pPr>
        <w:pStyle w:val="xxmsolistparagraph"/>
        <w:spacing w:after="200" w:line="276" w:lineRule="auto"/>
        <w:ind w:left="0"/>
        <w:rPr>
          <w:rFonts w:ascii="Times New Roman" w:eastAsia="Times New Roman" w:hAnsi="Times New Roman" w:cs="Times New Roman"/>
        </w:rPr>
      </w:pPr>
      <w:r w:rsidRPr="00524528">
        <w:rPr>
          <w:rFonts w:ascii="Times New Roman" w:hAnsi="Times New Roman" w:cs="Times New Roman"/>
          <w:color w:val="333333"/>
          <w:shd w:val="clear" w:color="auto" w:fill="FFFFFF"/>
        </w:rPr>
        <w:t xml:space="preserve">However, </w:t>
      </w:r>
      <w:r w:rsidR="000F0003" w:rsidRPr="00524528">
        <w:rPr>
          <w:rFonts w:ascii="Times New Roman" w:hAnsi="Times New Roman" w:cs="Times New Roman"/>
          <w:color w:val="333333"/>
          <w:shd w:val="clear" w:color="auto" w:fill="FFFFFF"/>
        </w:rPr>
        <w:t xml:space="preserve">DDS regulations </w:t>
      </w:r>
      <w:r w:rsidRPr="00524528">
        <w:rPr>
          <w:rFonts w:ascii="Times New Roman" w:hAnsi="Times New Roman" w:cs="Times New Roman"/>
          <w:color w:val="333333"/>
          <w:shd w:val="clear" w:color="auto" w:fill="FFFFFF"/>
        </w:rPr>
        <w:t xml:space="preserve">recognize that </w:t>
      </w:r>
      <w:r w:rsidR="000F0003" w:rsidRPr="00524528">
        <w:rPr>
          <w:rFonts w:ascii="Times New Roman" w:hAnsi="Times New Roman" w:cs="Times New Roman"/>
          <w:color w:val="333333"/>
          <w:shd w:val="clear" w:color="auto" w:fill="FFFFFF"/>
        </w:rPr>
        <w:t>some exceptions to the general rule</w:t>
      </w:r>
      <w:r w:rsidRPr="00524528">
        <w:rPr>
          <w:rFonts w:ascii="Times New Roman" w:hAnsi="Times New Roman" w:cs="Times New Roman"/>
          <w:color w:val="333333"/>
          <w:shd w:val="clear" w:color="auto" w:fill="FFFFFF"/>
        </w:rPr>
        <w:t xml:space="preserve"> may be </w:t>
      </w:r>
      <w:r w:rsidR="00313288" w:rsidRPr="00524528">
        <w:rPr>
          <w:rFonts w:ascii="Times New Roman" w:hAnsi="Times New Roman" w:cs="Times New Roman"/>
          <w:color w:val="333333"/>
          <w:shd w:val="clear" w:color="auto" w:fill="FFFFFF"/>
        </w:rPr>
        <w:t>necessary</w:t>
      </w:r>
      <w:r w:rsidR="00D8321D" w:rsidRPr="00524528">
        <w:rPr>
          <w:rFonts w:ascii="Times New Roman" w:hAnsi="Times New Roman" w:cs="Times New Roman"/>
          <w:color w:val="333333"/>
          <w:shd w:val="clear" w:color="auto" w:fill="FFFFFF"/>
        </w:rPr>
        <w:t>.</w:t>
      </w:r>
      <w:r w:rsidR="000F0003" w:rsidRPr="00524528">
        <w:rPr>
          <w:rFonts w:ascii="Times New Roman" w:hAnsi="Times New Roman" w:cs="Times New Roman"/>
          <w:color w:val="333333"/>
          <w:shd w:val="clear" w:color="auto" w:fill="FFFFFF"/>
        </w:rPr>
        <w:t xml:space="preserve"> </w:t>
      </w:r>
      <w:r w:rsidR="00D8321D" w:rsidRPr="00524528">
        <w:rPr>
          <w:rFonts w:ascii="Times New Roman" w:hAnsi="Times New Roman" w:cs="Times New Roman"/>
          <w:color w:val="333333"/>
          <w:shd w:val="clear" w:color="auto" w:fill="FFFFFF"/>
        </w:rPr>
        <w:t>S</w:t>
      </w:r>
      <w:r w:rsidR="000F0003" w:rsidRPr="00524528">
        <w:rPr>
          <w:rFonts w:ascii="Times New Roman" w:hAnsi="Times New Roman" w:cs="Times New Roman"/>
          <w:color w:val="333333"/>
          <w:shd w:val="clear" w:color="auto" w:fill="FFFFFF"/>
        </w:rPr>
        <w:t xml:space="preserve">uch modification is required to be supported by a specific assessed need and justified in the participant’s ISP. </w:t>
      </w:r>
      <w:r w:rsidR="00313288" w:rsidRPr="00524528">
        <w:rPr>
          <w:rFonts w:ascii="Times New Roman" w:hAnsi="Times New Roman" w:cs="Times New Roman"/>
          <w:color w:val="333333"/>
          <w:shd w:val="clear" w:color="auto" w:fill="FFFFFF"/>
        </w:rPr>
        <w:t xml:space="preserve"> </w:t>
      </w:r>
      <w:r w:rsidR="00A43AC8" w:rsidRPr="00524528">
        <w:rPr>
          <w:rFonts w:ascii="Times New Roman" w:hAnsi="Times New Roman" w:cs="Times New Roman"/>
        </w:rPr>
        <w:t xml:space="preserve">  </w:t>
      </w:r>
      <w:bookmarkStart w:id="0" w:name="_Hlk116655588"/>
      <w:r w:rsidRPr="00524528">
        <w:rPr>
          <w:rFonts w:ascii="Times New Roman" w:hAnsi="Times New Roman" w:cs="Times New Roman"/>
        </w:rPr>
        <w:t xml:space="preserve">DDS </w:t>
      </w:r>
      <w:r w:rsidRPr="00524528">
        <w:rPr>
          <w:rFonts w:ascii="Times New Roman" w:eastAsia="Times New Roman" w:hAnsi="Times New Roman" w:cs="Times New Roman"/>
        </w:rPr>
        <w:t xml:space="preserve">applies the person-centered planning process, which includes the requirements in the ISP </w:t>
      </w:r>
      <w:r w:rsidR="00313288" w:rsidRPr="00524528">
        <w:rPr>
          <w:rFonts w:ascii="Times New Roman" w:eastAsia="Times New Roman" w:hAnsi="Times New Roman" w:cs="Times New Roman"/>
        </w:rPr>
        <w:t xml:space="preserve">consistent with requirements of </w:t>
      </w:r>
      <w:r w:rsidRPr="00524528">
        <w:rPr>
          <w:rFonts w:ascii="Times New Roman" w:eastAsia="Times New Roman" w:hAnsi="Times New Roman" w:cs="Times New Roman"/>
        </w:rPr>
        <w:t>42 CFR 441.301(c)(4)(vi)(F) (1-8), to determine if restricting locks for a participant is supported by a specific assessed</w:t>
      </w:r>
      <w:r w:rsidRPr="00C459E8">
        <w:rPr>
          <w:rFonts w:ascii="Times New Roman" w:eastAsia="Times New Roman" w:hAnsi="Times New Roman" w:cs="Times New Roman"/>
        </w:rPr>
        <w:t xml:space="preserve"> need</w:t>
      </w:r>
      <w:r>
        <w:rPr>
          <w:rFonts w:ascii="Times New Roman" w:eastAsia="Times New Roman" w:hAnsi="Times New Roman" w:cs="Times New Roman"/>
        </w:rPr>
        <w:t xml:space="preserve">. </w:t>
      </w:r>
      <w:r w:rsidRPr="00C459E8">
        <w:rPr>
          <w:rFonts w:ascii="Times New Roman" w:eastAsia="Times New Roman" w:hAnsi="Times New Roman" w:cs="Times New Roman"/>
        </w:rPr>
        <w:t xml:space="preserve"> </w:t>
      </w:r>
      <w:bookmarkEnd w:id="0"/>
      <w:r w:rsidR="00313288">
        <w:rPr>
          <w:rFonts w:ascii="Times New Roman" w:hAnsi="Times New Roman" w:cs="Times New Roman"/>
          <w:color w:val="333333"/>
          <w:shd w:val="clear" w:color="auto" w:fill="FFFFFF"/>
        </w:rPr>
        <w:t xml:space="preserve">In the event </w:t>
      </w:r>
      <w:r w:rsidR="00F654C9">
        <w:rPr>
          <w:rFonts w:ascii="Times New Roman" w:hAnsi="Times New Roman" w:cs="Times New Roman"/>
          <w:color w:val="333333"/>
          <w:shd w:val="clear" w:color="auto" w:fill="FFFFFF"/>
        </w:rPr>
        <w:t xml:space="preserve">that </w:t>
      </w:r>
      <w:r w:rsidR="00313288">
        <w:rPr>
          <w:rFonts w:ascii="Times New Roman" w:hAnsi="Times New Roman" w:cs="Times New Roman"/>
          <w:color w:val="333333"/>
          <w:shd w:val="clear" w:color="auto" w:fill="FFFFFF"/>
        </w:rPr>
        <w:t>modification</w:t>
      </w:r>
      <w:r w:rsidR="00D8321D">
        <w:rPr>
          <w:rFonts w:ascii="Times New Roman" w:hAnsi="Times New Roman" w:cs="Times New Roman"/>
          <w:color w:val="333333"/>
          <w:shd w:val="clear" w:color="auto" w:fill="FFFFFF"/>
        </w:rPr>
        <w:t xml:space="preserve"> to</w:t>
      </w:r>
      <w:r w:rsidR="00313288">
        <w:rPr>
          <w:rFonts w:ascii="Times New Roman" w:hAnsi="Times New Roman" w:cs="Times New Roman"/>
          <w:color w:val="333333"/>
          <w:shd w:val="clear" w:color="auto" w:fill="FFFFFF"/>
        </w:rPr>
        <w:t xml:space="preserve"> the general rule is required</w:t>
      </w:r>
      <w:r w:rsidR="00110CA9">
        <w:rPr>
          <w:rFonts w:ascii="Times New Roman" w:hAnsi="Times New Roman" w:cs="Times New Roman"/>
          <w:color w:val="333333"/>
          <w:shd w:val="clear" w:color="auto" w:fill="FFFFFF"/>
        </w:rPr>
        <w:t>,</w:t>
      </w:r>
      <w:r w:rsidR="00313288">
        <w:rPr>
          <w:rFonts w:ascii="Times New Roman" w:hAnsi="Times New Roman" w:cs="Times New Roman"/>
          <w:color w:val="333333"/>
          <w:shd w:val="clear" w:color="auto" w:fill="FFFFFF"/>
        </w:rPr>
        <w:t xml:space="preserve"> it must be supported by a specific assessed need and justified in the participant’s ISP. </w:t>
      </w:r>
      <w:r w:rsidR="00C459E8" w:rsidRPr="00C459E8">
        <w:rPr>
          <w:rFonts w:ascii="Times New Roman" w:eastAsia="Times New Roman" w:hAnsi="Times New Roman" w:cs="Times New Roman"/>
        </w:rPr>
        <w:t xml:space="preserve"> </w:t>
      </w:r>
    </w:p>
    <w:p w14:paraId="47122B8F" w14:textId="101C8721" w:rsidR="00830962" w:rsidRDefault="00830962" w:rsidP="00510D54">
      <w:pPr>
        <w:jc w:val="both"/>
        <w:rPr>
          <w:rFonts w:ascii="Times New Roman" w:hAnsi="Times New Roman" w:cs="Times New Roman"/>
          <w:sz w:val="24"/>
          <w:szCs w:val="24"/>
        </w:rPr>
      </w:pPr>
      <w:r w:rsidRPr="00447595">
        <w:rPr>
          <w:rFonts w:ascii="Times New Roman" w:hAnsi="Times New Roman" w:cs="Times New Roman"/>
          <w:sz w:val="24"/>
          <w:szCs w:val="24"/>
        </w:rPr>
        <w:t xml:space="preserve">The DDS ISP manual addresses individual circumstances that may affect </w:t>
      </w:r>
      <w:r>
        <w:rPr>
          <w:rFonts w:ascii="Times New Roman" w:hAnsi="Times New Roman" w:cs="Times New Roman"/>
          <w:sz w:val="24"/>
          <w:szCs w:val="24"/>
        </w:rPr>
        <w:t>an</w:t>
      </w:r>
      <w:r w:rsidRPr="00447595">
        <w:rPr>
          <w:rFonts w:ascii="Times New Roman" w:hAnsi="Times New Roman" w:cs="Times New Roman"/>
          <w:sz w:val="24"/>
          <w:szCs w:val="24"/>
        </w:rPr>
        <w:t xml:space="preserve"> individual</w:t>
      </w:r>
      <w:r>
        <w:rPr>
          <w:rFonts w:ascii="Times New Roman" w:hAnsi="Times New Roman" w:cs="Times New Roman"/>
          <w:sz w:val="24"/>
          <w:szCs w:val="24"/>
        </w:rPr>
        <w:t xml:space="preserve">’s right to have a lock on their bedroom door while </w:t>
      </w:r>
      <w:r w:rsidRPr="00447595">
        <w:rPr>
          <w:rFonts w:ascii="Times New Roman" w:hAnsi="Times New Roman" w:cs="Times New Roman"/>
          <w:sz w:val="24"/>
          <w:szCs w:val="24"/>
        </w:rPr>
        <w:t xml:space="preserve">living in </w:t>
      </w:r>
      <w:r w:rsidR="002843CE">
        <w:rPr>
          <w:rFonts w:ascii="Times New Roman" w:hAnsi="Times New Roman" w:cs="Times New Roman"/>
          <w:sz w:val="24"/>
          <w:szCs w:val="24"/>
        </w:rPr>
        <w:t>settings</w:t>
      </w:r>
      <w:r w:rsidRPr="00447595">
        <w:rPr>
          <w:rFonts w:ascii="Times New Roman" w:hAnsi="Times New Roman" w:cs="Times New Roman"/>
          <w:sz w:val="24"/>
          <w:szCs w:val="24"/>
        </w:rPr>
        <w:t xml:space="preserve"> operated, certified, licensed, or contracted for, or otherwise funded by the Department. ISPs </w:t>
      </w:r>
      <w:r>
        <w:rPr>
          <w:rFonts w:ascii="Times New Roman" w:hAnsi="Times New Roman" w:cs="Times New Roman"/>
          <w:sz w:val="24"/>
          <w:szCs w:val="24"/>
        </w:rPr>
        <w:t>must</w:t>
      </w:r>
      <w:r w:rsidRPr="00447595">
        <w:rPr>
          <w:rFonts w:ascii="Times New Roman" w:hAnsi="Times New Roman" w:cs="Times New Roman"/>
          <w:sz w:val="24"/>
          <w:szCs w:val="24"/>
        </w:rPr>
        <w:t xml:space="preserve">, </w:t>
      </w:r>
      <w:r w:rsidR="00A43AC8">
        <w:rPr>
          <w:rFonts w:ascii="Times New Roman" w:hAnsi="Times New Roman" w:cs="Times New Roman"/>
          <w:sz w:val="24"/>
          <w:szCs w:val="24"/>
        </w:rPr>
        <w:t xml:space="preserve">identify </w:t>
      </w:r>
      <w:r w:rsidRPr="00447595">
        <w:rPr>
          <w:rFonts w:ascii="Times New Roman" w:hAnsi="Times New Roman" w:cs="Times New Roman"/>
          <w:sz w:val="24"/>
          <w:szCs w:val="24"/>
        </w:rPr>
        <w:t xml:space="preserve">“equipment or procedures, if any, in the individual’s home that restrict the rights of the individual to </w:t>
      </w:r>
      <w:r w:rsidR="00A43AC8">
        <w:rPr>
          <w:rFonts w:ascii="Times New Roman" w:hAnsi="Times New Roman" w:cs="Times New Roman"/>
          <w:sz w:val="24"/>
          <w:szCs w:val="24"/>
        </w:rPr>
        <w:t>…</w:t>
      </w:r>
      <w:r w:rsidRPr="00447595">
        <w:rPr>
          <w:rFonts w:ascii="Times New Roman" w:hAnsi="Times New Roman" w:cs="Times New Roman"/>
          <w:sz w:val="24"/>
          <w:szCs w:val="24"/>
        </w:rPr>
        <w:t xml:space="preserve"> privacy </w:t>
      </w:r>
      <w:r w:rsidRPr="00447595">
        <w:rPr>
          <w:rFonts w:ascii="Times New Roman" w:hAnsi="Times New Roman" w:cs="Times New Roman"/>
          <w:sz w:val="24"/>
          <w:szCs w:val="24"/>
        </w:rPr>
        <w:lastRenderedPageBreak/>
        <w:t>and the reason for the restriction. Please note that such restrictions are subject to due process procedures as defined in Chapter 5 of the DDS regulations</w:t>
      </w:r>
      <w:r w:rsidR="00313288">
        <w:rPr>
          <w:rFonts w:ascii="Times New Roman" w:hAnsi="Times New Roman" w:cs="Times New Roman"/>
          <w:sz w:val="24"/>
          <w:szCs w:val="24"/>
        </w:rPr>
        <w:t>,</w:t>
      </w:r>
      <w:r w:rsidRPr="00447595">
        <w:rPr>
          <w:rFonts w:ascii="Times New Roman" w:hAnsi="Times New Roman" w:cs="Times New Roman"/>
          <w:sz w:val="24"/>
          <w:szCs w:val="24"/>
        </w:rPr>
        <w:t>”</w:t>
      </w:r>
      <w:r w:rsidR="00313288">
        <w:rPr>
          <w:rFonts w:ascii="Times New Roman" w:hAnsi="Times New Roman" w:cs="Times New Roman"/>
          <w:sz w:val="24"/>
          <w:szCs w:val="24"/>
        </w:rPr>
        <w:t xml:space="preserve"> including appeal under the Massachusetts Administrative Procedures Act.</w:t>
      </w:r>
      <w:r w:rsidRPr="00447595">
        <w:rPr>
          <w:rFonts w:ascii="Times New Roman" w:hAnsi="Times New Roman" w:cs="Times New Roman"/>
          <w:sz w:val="24"/>
          <w:szCs w:val="24"/>
        </w:rPr>
        <w:t xml:space="preserve">  </w:t>
      </w:r>
      <w:r w:rsidRPr="001C0F1B">
        <w:rPr>
          <w:rFonts w:ascii="Times New Roman" w:hAnsi="Times New Roman" w:cs="Times New Roman"/>
          <w:i/>
          <w:iCs/>
          <w:sz w:val="24"/>
          <w:szCs w:val="24"/>
        </w:rPr>
        <w:t>See</w:t>
      </w:r>
      <w:r w:rsidRPr="00447595">
        <w:rPr>
          <w:rFonts w:ascii="Times New Roman" w:hAnsi="Times New Roman" w:cs="Times New Roman"/>
          <w:sz w:val="24"/>
          <w:szCs w:val="24"/>
        </w:rPr>
        <w:t xml:space="preserve"> ISP Manual, pg. 34, 4th Edition, November 1, 2012</w:t>
      </w:r>
      <w:r w:rsidR="00313288">
        <w:rPr>
          <w:rFonts w:ascii="Times New Roman" w:hAnsi="Times New Roman" w:cs="Times New Roman"/>
          <w:sz w:val="24"/>
          <w:szCs w:val="24"/>
        </w:rPr>
        <w:t>;</w:t>
      </w:r>
      <w:r>
        <w:rPr>
          <w:rStyle w:val="FootnoteReference"/>
          <w:rFonts w:ascii="Times New Roman" w:hAnsi="Times New Roman" w:cs="Times New Roman"/>
          <w:sz w:val="24"/>
          <w:szCs w:val="24"/>
        </w:rPr>
        <w:footnoteReference w:id="1"/>
      </w:r>
      <w:r w:rsidRPr="00447595">
        <w:rPr>
          <w:rFonts w:ascii="Times New Roman" w:hAnsi="Times New Roman" w:cs="Times New Roman"/>
          <w:sz w:val="24"/>
          <w:szCs w:val="24"/>
        </w:rPr>
        <w:t xml:space="preserve">  </w:t>
      </w:r>
      <w:r w:rsidR="00313288">
        <w:rPr>
          <w:rFonts w:ascii="Times New Roman" w:hAnsi="Times New Roman" w:cs="Times New Roman"/>
          <w:sz w:val="24"/>
          <w:szCs w:val="24"/>
        </w:rPr>
        <w:t xml:space="preserve">M.G.L. c.30A. </w:t>
      </w:r>
    </w:p>
    <w:p w14:paraId="5DC56061" w14:textId="531FF682" w:rsidR="00625A87" w:rsidRDefault="00625A87" w:rsidP="00510D54">
      <w:pPr>
        <w:jc w:val="both"/>
        <w:rPr>
          <w:rFonts w:ascii="Times New Roman" w:hAnsi="Times New Roman" w:cs="Times New Roman"/>
          <w:sz w:val="24"/>
          <w:szCs w:val="24"/>
        </w:rPr>
      </w:pPr>
      <w:r w:rsidRPr="00625A87">
        <w:rPr>
          <w:rFonts w:ascii="Times New Roman" w:hAnsi="Times New Roman" w:cs="Times New Roman"/>
          <w:sz w:val="24"/>
          <w:szCs w:val="24"/>
        </w:rPr>
        <w:t>Bedroom doors which do not provide access to an egress shall be lockable, unless contraindicated as documented in the person-centered plan, as noted above, and</w:t>
      </w:r>
      <w:r w:rsidR="00A4074B">
        <w:rPr>
          <w:rFonts w:ascii="Times New Roman" w:hAnsi="Times New Roman" w:cs="Times New Roman"/>
          <w:sz w:val="24"/>
          <w:szCs w:val="24"/>
        </w:rPr>
        <w:t xml:space="preserve"> appropriate</w:t>
      </w:r>
      <w:r w:rsidR="00713A4E">
        <w:rPr>
          <w:rFonts w:ascii="Times New Roman" w:hAnsi="Times New Roman" w:cs="Times New Roman"/>
          <w:sz w:val="24"/>
          <w:szCs w:val="24"/>
        </w:rPr>
        <w:t xml:space="preserve"> </w:t>
      </w:r>
      <w:r w:rsidRPr="00625A87">
        <w:rPr>
          <w:rFonts w:ascii="Times New Roman" w:hAnsi="Times New Roman" w:cs="Times New Roman"/>
          <w:sz w:val="24"/>
          <w:szCs w:val="24"/>
        </w:rPr>
        <w:t>staff will have access to a key to open the door in the event of an emergency.</w:t>
      </w:r>
    </w:p>
    <w:p w14:paraId="15483D59" w14:textId="12813C18" w:rsidR="00AF0B4A" w:rsidRPr="00447595" w:rsidRDefault="00AF0B4A" w:rsidP="00510D54">
      <w:pPr>
        <w:jc w:val="both"/>
        <w:rPr>
          <w:rFonts w:ascii="Times New Roman" w:hAnsi="Times New Roman" w:cs="Times New Roman"/>
          <w:sz w:val="24"/>
          <w:szCs w:val="24"/>
        </w:rPr>
      </w:pPr>
      <w:r w:rsidRPr="00AF0B4A">
        <w:rPr>
          <w:rFonts w:ascii="Times New Roman" w:hAnsi="Times New Roman" w:cs="Times New Roman"/>
          <w:sz w:val="24"/>
          <w:szCs w:val="24"/>
        </w:rPr>
        <w:t xml:space="preserve">DDS’ Licensure and Certification process monitors providers and settings to </w:t>
      </w:r>
      <w:r w:rsidR="00F637AA">
        <w:rPr>
          <w:rFonts w:ascii="Times New Roman" w:hAnsi="Times New Roman" w:cs="Times New Roman"/>
          <w:sz w:val="24"/>
          <w:szCs w:val="24"/>
        </w:rPr>
        <w:t>ensure</w:t>
      </w:r>
      <w:r w:rsidR="00F637AA" w:rsidRPr="00AF0B4A">
        <w:rPr>
          <w:rFonts w:ascii="Times New Roman" w:hAnsi="Times New Roman" w:cs="Times New Roman"/>
          <w:sz w:val="24"/>
          <w:szCs w:val="24"/>
        </w:rPr>
        <w:t xml:space="preserve"> </w:t>
      </w:r>
      <w:r w:rsidRPr="00AF0B4A">
        <w:rPr>
          <w:rFonts w:ascii="Times New Roman" w:hAnsi="Times New Roman" w:cs="Times New Roman"/>
          <w:sz w:val="24"/>
          <w:szCs w:val="24"/>
        </w:rPr>
        <w:t>privacy for individuals</w:t>
      </w:r>
      <w:r w:rsidR="00A35532">
        <w:rPr>
          <w:rFonts w:ascii="Times New Roman" w:hAnsi="Times New Roman" w:cs="Times New Roman"/>
          <w:sz w:val="24"/>
          <w:szCs w:val="24"/>
        </w:rPr>
        <w:t xml:space="preserve"> and conformance with requirements described above</w:t>
      </w:r>
      <w:r w:rsidRPr="00AF0B4A">
        <w:rPr>
          <w:rFonts w:ascii="Times New Roman" w:hAnsi="Times New Roman" w:cs="Times New Roman"/>
          <w:sz w:val="24"/>
          <w:szCs w:val="24"/>
        </w:rPr>
        <w:t>.</w:t>
      </w:r>
    </w:p>
    <w:p w14:paraId="38681E6B" w14:textId="77777777" w:rsidR="00830962" w:rsidRPr="00C459E8" w:rsidRDefault="00830962" w:rsidP="0081382E">
      <w:pPr>
        <w:pStyle w:val="xxmsolistparagraph"/>
        <w:spacing w:after="200" w:line="276" w:lineRule="auto"/>
        <w:ind w:left="0"/>
        <w:jc w:val="both"/>
        <w:rPr>
          <w:rFonts w:ascii="Times New Roman" w:eastAsia="Times New Roman" w:hAnsi="Times New Roman" w:cs="Times New Roman"/>
          <w:color w:val="4472C4"/>
        </w:rPr>
      </w:pPr>
    </w:p>
    <w:p w14:paraId="1A6BCD37" w14:textId="003276E2" w:rsidR="002D56A6" w:rsidRPr="00C459E8" w:rsidRDefault="002D56A6" w:rsidP="0081382E">
      <w:pPr>
        <w:jc w:val="both"/>
        <w:rPr>
          <w:rFonts w:ascii="Times New Roman" w:hAnsi="Times New Roman" w:cs="Times New Roman"/>
          <w:sz w:val="24"/>
          <w:szCs w:val="24"/>
        </w:rPr>
      </w:pPr>
    </w:p>
    <w:sectPr w:rsidR="002D56A6" w:rsidRPr="00C459E8" w:rsidSect="00D667F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CBCC5" w14:textId="77777777" w:rsidR="00C63C59" w:rsidRDefault="00C63C59" w:rsidP="002056C3">
      <w:pPr>
        <w:spacing w:after="0" w:line="240" w:lineRule="auto"/>
      </w:pPr>
      <w:r>
        <w:separator/>
      </w:r>
    </w:p>
  </w:endnote>
  <w:endnote w:type="continuationSeparator" w:id="0">
    <w:p w14:paraId="5BA61AA0" w14:textId="77777777" w:rsidR="00C63C59" w:rsidRDefault="00C63C59" w:rsidP="00205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799E8" w14:textId="77777777" w:rsidR="0045041F" w:rsidRDefault="004504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9371805"/>
      <w:docPartObj>
        <w:docPartGallery w:val="Page Numbers (Bottom of Page)"/>
        <w:docPartUnique/>
      </w:docPartObj>
    </w:sdtPr>
    <w:sdtEndPr/>
    <w:sdtContent>
      <w:sdt>
        <w:sdtPr>
          <w:id w:val="1728636285"/>
          <w:docPartObj>
            <w:docPartGallery w:val="Page Numbers (Top of Page)"/>
            <w:docPartUnique/>
          </w:docPartObj>
        </w:sdtPr>
        <w:sdtEndPr/>
        <w:sdtContent>
          <w:p w14:paraId="0612C50B" w14:textId="6DBCA7D0" w:rsidR="00D30D68" w:rsidRDefault="00D30D6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0C0F74D" w14:textId="79BBE72C" w:rsidR="00ED7AD7" w:rsidRDefault="00ED7A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905632"/>
      <w:docPartObj>
        <w:docPartGallery w:val="Page Numbers (Bottom of Page)"/>
        <w:docPartUnique/>
      </w:docPartObj>
    </w:sdtPr>
    <w:sdtEndPr/>
    <w:sdtContent>
      <w:sdt>
        <w:sdtPr>
          <w:id w:val="-289747374"/>
          <w:docPartObj>
            <w:docPartGallery w:val="Page Numbers (Top of Page)"/>
            <w:docPartUnique/>
          </w:docPartObj>
        </w:sdtPr>
        <w:sdtEndPr/>
        <w:sdtContent>
          <w:p w14:paraId="47B6BA41" w14:textId="53050DF6" w:rsidR="002E533A" w:rsidRDefault="002E533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4293477" w14:textId="77777777" w:rsidR="00ED7AD7" w:rsidRDefault="00ED7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EBF2E" w14:textId="77777777" w:rsidR="00C63C59" w:rsidRDefault="00C63C59" w:rsidP="002056C3">
      <w:pPr>
        <w:spacing w:after="0" w:line="240" w:lineRule="auto"/>
      </w:pPr>
      <w:r>
        <w:separator/>
      </w:r>
    </w:p>
  </w:footnote>
  <w:footnote w:type="continuationSeparator" w:id="0">
    <w:p w14:paraId="7EDCC271" w14:textId="77777777" w:rsidR="00C63C59" w:rsidRDefault="00C63C59" w:rsidP="002056C3">
      <w:pPr>
        <w:spacing w:after="0" w:line="240" w:lineRule="auto"/>
      </w:pPr>
      <w:r>
        <w:continuationSeparator/>
      </w:r>
    </w:p>
  </w:footnote>
  <w:footnote w:id="1">
    <w:p w14:paraId="57CFD4B4" w14:textId="77777777" w:rsidR="00830962" w:rsidRDefault="00830962" w:rsidP="00830962">
      <w:pPr>
        <w:pStyle w:val="FootnoteText"/>
      </w:pPr>
      <w:r>
        <w:rPr>
          <w:rStyle w:val="FootnoteReference"/>
        </w:rPr>
        <w:footnoteRef/>
      </w:r>
      <w:r>
        <w:t xml:space="preserve"> </w:t>
      </w:r>
      <w:hyperlink r:id="rId1" w:history="1">
        <w:r w:rsidRPr="004A2E50">
          <w:rPr>
            <w:rStyle w:val="Hyperlink"/>
          </w:rPr>
          <w:t>https://www.ddslearning.com/isp</w:t>
        </w:r>
      </w:hyperlink>
      <w:r>
        <w:t xml:space="preserve"> </w:t>
      </w:r>
      <w:r w:rsidRPr="00070F56">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6787B" w14:textId="77777777" w:rsidR="0045041F" w:rsidRDefault="004504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A4033" w14:textId="77777777" w:rsidR="0045041F" w:rsidRDefault="004504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8A8F" w14:textId="3B5C2042" w:rsidR="00397514" w:rsidRDefault="003975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FEF"/>
    <w:multiLevelType w:val="multilevel"/>
    <w:tmpl w:val="0AE08B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33678A"/>
    <w:multiLevelType w:val="hybridMultilevel"/>
    <w:tmpl w:val="B5E0FC8C"/>
    <w:lvl w:ilvl="0" w:tplc="04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65E220D"/>
    <w:multiLevelType w:val="hybridMultilevel"/>
    <w:tmpl w:val="E6583CDE"/>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2CEA3C2B"/>
    <w:multiLevelType w:val="hybridMultilevel"/>
    <w:tmpl w:val="208C05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08B581D"/>
    <w:multiLevelType w:val="hybridMultilevel"/>
    <w:tmpl w:val="3F6A2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F810C2"/>
    <w:multiLevelType w:val="hybridMultilevel"/>
    <w:tmpl w:val="A7365FD6"/>
    <w:lvl w:ilvl="0" w:tplc="04090011">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7284321">
    <w:abstractNumId w:val="4"/>
  </w:num>
  <w:num w:numId="2" w16cid:durableId="1413888304">
    <w:abstractNumId w:val="5"/>
  </w:num>
  <w:num w:numId="3" w16cid:durableId="1882090647">
    <w:abstractNumId w:val="3"/>
  </w:num>
  <w:num w:numId="4" w16cid:durableId="1862546021">
    <w:abstractNumId w:val="1"/>
  </w:num>
  <w:num w:numId="5" w16cid:durableId="676542363">
    <w:abstractNumId w:val="2"/>
  </w:num>
  <w:num w:numId="6" w16cid:durableId="1639530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6C3"/>
    <w:rsid w:val="000222D4"/>
    <w:rsid w:val="00042C46"/>
    <w:rsid w:val="00054900"/>
    <w:rsid w:val="00070F56"/>
    <w:rsid w:val="00076281"/>
    <w:rsid w:val="00097EA5"/>
    <w:rsid w:val="000D1F54"/>
    <w:rsid w:val="000F0003"/>
    <w:rsid w:val="000F4CBE"/>
    <w:rsid w:val="00103FE4"/>
    <w:rsid w:val="00110CA9"/>
    <w:rsid w:val="00151EBF"/>
    <w:rsid w:val="001537A7"/>
    <w:rsid w:val="00164984"/>
    <w:rsid w:val="00164B48"/>
    <w:rsid w:val="00165503"/>
    <w:rsid w:val="001A62E7"/>
    <w:rsid w:val="001B62E1"/>
    <w:rsid w:val="001B6F4E"/>
    <w:rsid w:val="001C0F1B"/>
    <w:rsid w:val="001F7FDA"/>
    <w:rsid w:val="002056C3"/>
    <w:rsid w:val="002127F2"/>
    <w:rsid w:val="00214433"/>
    <w:rsid w:val="00223670"/>
    <w:rsid w:val="00225CEF"/>
    <w:rsid w:val="0024387F"/>
    <w:rsid w:val="00247D20"/>
    <w:rsid w:val="002539ED"/>
    <w:rsid w:val="002843CE"/>
    <w:rsid w:val="0028532D"/>
    <w:rsid w:val="002B1BBA"/>
    <w:rsid w:val="002C223F"/>
    <w:rsid w:val="002D56A6"/>
    <w:rsid w:val="002E533A"/>
    <w:rsid w:val="002F2F0D"/>
    <w:rsid w:val="002F6B09"/>
    <w:rsid w:val="00303C02"/>
    <w:rsid w:val="00313288"/>
    <w:rsid w:val="003246E1"/>
    <w:rsid w:val="00327ED9"/>
    <w:rsid w:val="00336BBE"/>
    <w:rsid w:val="00344282"/>
    <w:rsid w:val="00345BFA"/>
    <w:rsid w:val="00347CB1"/>
    <w:rsid w:val="003561D1"/>
    <w:rsid w:val="00385DDD"/>
    <w:rsid w:val="00393C21"/>
    <w:rsid w:val="00397514"/>
    <w:rsid w:val="003A0FA9"/>
    <w:rsid w:val="003A2883"/>
    <w:rsid w:val="003A660E"/>
    <w:rsid w:val="003E1FCD"/>
    <w:rsid w:val="0043058F"/>
    <w:rsid w:val="00447595"/>
    <w:rsid w:val="0045041F"/>
    <w:rsid w:val="004568AD"/>
    <w:rsid w:val="00493F61"/>
    <w:rsid w:val="004C6898"/>
    <w:rsid w:val="00510D54"/>
    <w:rsid w:val="00524528"/>
    <w:rsid w:val="00556324"/>
    <w:rsid w:val="005835A0"/>
    <w:rsid w:val="00596AB5"/>
    <w:rsid w:val="005A583F"/>
    <w:rsid w:val="005B1AC9"/>
    <w:rsid w:val="005C23FB"/>
    <w:rsid w:val="005E403B"/>
    <w:rsid w:val="005E586C"/>
    <w:rsid w:val="005F6359"/>
    <w:rsid w:val="00601CBA"/>
    <w:rsid w:val="006069BA"/>
    <w:rsid w:val="00625A87"/>
    <w:rsid w:val="006604E0"/>
    <w:rsid w:val="00686197"/>
    <w:rsid w:val="006B3A3A"/>
    <w:rsid w:val="006C2860"/>
    <w:rsid w:val="006C406A"/>
    <w:rsid w:val="006F057A"/>
    <w:rsid w:val="00713A4E"/>
    <w:rsid w:val="00776F17"/>
    <w:rsid w:val="007D2A36"/>
    <w:rsid w:val="007E3A06"/>
    <w:rsid w:val="0081382E"/>
    <w:rsid w:val="00830134"/>
    <w:rsid w:val="00830962"/>
    <w:rsid w:val="00836A5A"/>
    <w:rsid w:val="008765D4"/>
    <w:rsid w:val="008937C3"/>
    <w:rsid w:val="008B5147"/>
    <w:rsid w:val="00927D01"/>
    <w:rsid w:val="00961783"/>
    <w:rsid w:val="009A555E"/>
    <w:rsid w:val="009C60A8"/>
    <w:rsid w:val="009C7565"/>
    <w:rsid w:val="009F0E87"/>
    <w:rsid w:val="009F3603"/>
    <w:rsid w:val="009F4864"/>
    <w:rsid w:val="00A15FBC"/>
    <w:rsid w:val="00A35532"/>
    <w:rsid w:val="00A4074B"/>
    <w:rsid w:val="00A4303B"/>
    <w:rsid w:val="00A43AC8"/>
    <w:rsid w:val="00A551B9"/>
    <w:rsid w:val="00A929F2"/>
    <w:rsid w:val="00AB46F4"/>
    <w:rsid w:val="00AB53BE"/>
    <w:rsid w:val="00AD4165"/>
    <w:rsid w:val="00AF0B4A"/>
    <w:rsid w:val="00B4108E"/>
    <w:rsid w:val="00B4303F"/>
    <w:rsid w:val="00B61D6A"/>
    <w:rsid w:val="00B93F76"/>
    <w:rsid w:val="00BA6075"/>
    <w:rsid w:val="00BA6E73"/>
    <w:rsid w:val="00BB6AE1"/>
    <w:rsid w:val="00C00AF5"/>
    <w:rsid w:val="00C01059"/>
    <w:rsid w:val="00C2708D"/>
    <w:rsid w:val="00C459E8"/>
    <w:rsid w:val="00C63C59"/>
    <w:rsid w:val="00C738BC"/>
    <w:rsid w:val="00C87377"/>
    <w:rsid w:val="00C90145"/>
    <w:rsid w:val="00C912FB"/>
    <w:rsid w:val="00CB245D"/>
    <w:rsid w:val="00CC3D71"/>
    <w:rsid w:val="00CC6FEF"/>
    <w:rsid w:val="00CE6C28"/>
    <w:rsid w:val="00CF43B5"/>
    <w:rsid w:val="00D30D68"/>
    <w:rsid w:val="00D522AD"/>
    <w:rsid w:val="00D667FF"/>
    <w:rsid w:val="00D707F6"/>
    <w:rsid w:val="00D8321D"/>
    <w:rsid w:val="00DA5C0D"/>
    <w:rsid w:val="00DE6336"/>
    <w:rsid w:val="00DE747C"/>
    <w:rsid w:val="00DF2A92"/>
    <w:rsid w:val="00E33D52"/>
    <w:rsid w:val="00E660F5"/>
    <w:rsid w:val="00E71816"/>
    <w:rsid w:val="00E7195B"/>
    <w:rsid w:val="00E72776"/>
    <w:rsid w:val="00E82661"/>
    <w:rsid w:val="00E8381D"/>
    <w:rsid w:val="00E962D5"/>
    <w:rsid w:val="00EA0B3D"/>
    <w:rsid w:val="00EB1B77"/>
    <w:rsid w:val="00EB3F0B"/>
    <w:rsid w:val="00EB71AF"/>
    <w:rsid w:val="00EC109E"/>
    <w:rsid w:val="00EC4562"/>
    <w:rsid w:val="00ED6D1A"/>
    <w:rsid w:val="00ED7AD7"/>
    <w:rsid w:val="00EE3F5B"/>
    <w:rsid w:val="00F03FE0"/>
    <w:rsid w:val="00F064CD"/>
    <w:rsid w:val="00F2129E"/>
    <w:rsid w:val="00F30542"/>
    <w:rsid w:val="00F42506"/>
    <w:rsid w:val="00F637AA"/>
    <w:rsid w:val="00F654C9"/>
    <w:rsid w:val="00FA0080"/>
    <w:rsid w:val="00FA58AC"/>
    <w:rsid w:val="00FA7426"/>
    <w:rsid w:val="00FB14DE"/>
    <w:rsid w:val="00FB1EB5"/>
    <w:rsid w:val="00FB3183"/>
    <w:rsid w:val="00FB34A6"/>
    <w:rsid w:val="00FD094D"/>
    <w:rsid w:val="00FE7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0D87F"/>
  <w15:docId w15:val="{271D7216-6763-46AE-A00E-D7C98B8A6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6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5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56C3"/>
    <w:pPr>
      <w:ind w:left="720"/>
      <w:contextualSpacing/>
    </w:pPr>
  </w:style>
  <w:style w:type="paragraph" w:styleId="Header">
    <w:name w:val="header"/>
    <w:basedOn w:val="Normal"/>
    <w:link w:val="HeaderChar"/>
    <w:uiPriority w:val="99"/>
    <w:unhideWhenUsed/>
    <w:rsid w:val="00205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6C3"/>
  </w:style>
  <w:style w:type="paragraph" w:styleId="Footer">
    <w:name w:val="footer"/>
    <w:basedOn w:val="Normal"/>
    <w:link w:val="FooterChar"/>
    <w:uiPriority w:val="99"/>
    <w:unhideWhenUsed/>
    <w:rsid w:val="00205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6C3"/>
  </w:style>
  <w:style w:type="paragraph" w:styleId="FootnoteText">
    <w:name w:val="footnote text"/>
    <w:basedOn w:val="Normal"/>
    <w:link w:val="FootnoteTextChar"/>
    <w:uiPriority w:val="99"/>
    <w:semiHidden/>
    <w:unhideWhenUsed/>
    <w:rsid w:val="00927D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7D01"/>
    <w:rPr>
      <w:sz w:val="20"/>
      <w:szCs w:val="20"/>
    </w:rPr>
  </w:style>
  <w:style w:type="character" w:styleId="FootnoteReference">
    <w:name w:val="footnote reference"/>
    <w:basedOn w:val="DefaultParagraphFont"/>
    <w:uiPriority w:val="99"/>
    <w:semiHidden/>
    <w:unhideWhenUsed/>
    <w:rsid w:val="00927D01"/>
    <w:rPr>
      <w:vertAlign w:val="superscript"/>
    </w:rPr>
  </w:style>
  <w:style w:type="paragraph" w:styleId="BalloonText">
    <w:name w:val="Balloon Text"/>
    <w:basedOn w:val="Normal"/>
    <w:link w:val="BalloonTextChar"/>
    <w:uiPriority w:val="99"/>
    <w:semiHidden/>
    <w:unhideWhenUsed/>
    <w:rsid w:val="006861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197"/>
    <w:rPr>
      <w:rFonts w:ascii="Tahoma" w:hAnsi="Tahoma" w:cs="Tahoma"/>
      <w:sz w:val="16"/>
      <w:szCs w:val="16"/>
    </w:rPr>
  </w:style>
  <w:style w:type="character" w:styleId="CommentReference">
    <w:name w:val="annotation reference"/>
    <w:basedOn w:val="DefaultParagraphFont"/>
    <w:uiPriority w:val="99"/>
    <w:semiHidden/>
    <w:unhideWhenUsed/>
    <w:rsid w:val="000D1F54"/>
    <w:rPr>
      <w:sz w:val="16"/>
      <w:szCs w:val="16"/>
    </w:rPr>
  </w:style>
  <w:style w:type="paragraph" w:styleId="CommentText">
    <w:name w:val="annotation text"/>
    <w:basedOn w:val="Normal"/>
    <w:link w:val="CommentTextChar"/>
    <w:uiPriority w:val="99"/>
    <w:unhideWhenUsed/>
    <w:rsid w:val="000D1F54"/>
    <w:pPr>
      <w:spacing w:line="240" w:lineRule="auto"/>
    </w:pPr>
    <w:rPr>
      <w:sz w:val="20"/>
      <w:szCs w:val="20"/>
    </w:rPr>
  </w:style>
  <w:style w:type="character" w:customStyle="1" w:styleId="CommentTextChar">
    <w:name w:val="Comment Text Char"/>
    <w:basedOn w:val="DefaultParagraphFont"/>
    <w:link w:val="CommentText"/>
    <w:uiPriority w:val="99"/>
    <w:rsid w:val="000D1F54"/>
    <w:rPr>
      <w:sz w:val="20"/>
      <w:szCs w:val="20"/>
    </w:rPr>
  </w:style>
  <w:style w:type="paragraph" w:styleId="CommentSubject">
    <w:name w:val="annotation subject"/>
    <w:basedOn w:val="CommentText"/>
    <w:next w:val="CommentText"/>
    <w:link w:val="CommentSubjectChar"/>
    <w:uiPriority w:val="99"/>
    <w:semiHidden/>
    <w:unhideWhenUsed/>
    <w:rsid w:val="000D1F54"/>
    <w:rPr>
      <w:b/>
      <w:bCs/>
    </w:rPr>
  </w:style>
  <w:style w:type="character" w:customStyle="1" w:styleId="CommentSubjectChar">
    <w:name w:val="Comment Subject Char"/>
    <w:basedOn w:val="CommentTextChar"/>
    <w:link w:val="CommentSubject"/>
    <w:uiPriority w:val="99"/>
    <w:semiHidden/>
    <w:rsid w:val="000D1F54"/>
    <w:rPr>
      <w:b/>
      <w:bCs/>
      <w:sz w:val="20"/>
      <w:szCs w:val="20"/>
    </w:rPr>
  </w:style>
  <w:style w:type="character" w:styleId="Hyperlink">
    <w:name w:val="Hyperlink"/>
    <w:basedOn w:val="DefaultParagraphFont"/>
    <w:uiPriority w:val="99"/>
    <w:unhideWhenUsed/>
    <w:rsid w:val="00A15FBC"/>
    <w:rPr>
      <w:color w:val="0000FF" w:themeColor="hyperlink"/>
      <w:u w:val="single"/>
    </w:rPr>
  </w:style>
  <w:style w:type="character" w:styleId="UnresolvedMention">
    <w:name w:val="Unresolved Mention"/>
    <w:basedOn w:val="DefaultParagraphFont"/>
    <w:uiPriority w:val="99"/>
    <w:semiHidden/>
    <w:unhideWhenUsed/>
    <w:rsid w:val="00A15FBC"/>
    <w:rPr>
      <w:color w:val="605E5C"/>
      <w:shd w:val="clear" w:color="auto" w:fill="E1DFDD"/>
    </w:rPr>
  </w:style>
  <w:style w:type="paragraph" w:styleId="Revision">
    <w:name w:val="Revision"/>
    <w:hidden/>
    <w:uiPriority w:val="99"/>
    <w:semiHidden/>
    <w:rsid w:val="00C00AF5"/>
    <w:pPr>
      <w:spacing w:after="0" w:line="240" w:lineRule="auto"/>
    </w:pPr>
  </w:style>
  <w:style w:type="paragraph" w:customStyle="1" w:styleId="xxmsolistparagraph">
    <w:name w:val="x_x_msolistparagraph"/>
    <w:basedOn w:val="Normal"/>
    <w:rsid w:val="00C459E8"/>
    <w:pPr>
      <w:spacing w:after="0" w:line="240" w:lineRule="auto"/>
      <w:ind w:left="720"/>
    </w:pPr>
    <w:rPr>
      <w:rFonts w:ascii="Times" w:hAnsi="Times" w:cs="Times"/>
      <w:sz w:val="24"/>
      <w:szCs w:val="24"/>
    </w:rPr>
  </w:style>
  <w:style w:type="character" w:styleId="FollowedHyperlink">
    <w:name w:val="FollowedHyperlink"/>
    <w:basedOn w:val="DefaultParagraphFont"/>
    <w:uiPriority w:val="99"/>
    <w:semiHidden/>
    <w:unhideWhenUsed/>
    <w:rsid w:val="00F305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69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ddslearning.com/i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EFE24-AA26-42E0-80B5-5BD02CB15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450</Words>
  <Characters>2565</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Gallagher, Kathleen H (DDS)</dc:creator>
  <cp:lastModifiedBy>Bruner-Canhoto, Laney (DDS)</cp:lastModifiedBy>
  <cp:revision>2</cp:revision>
  <cp:lastPrinted>2019-10-10T18:41:00Z</cp:lastPrinted>
  <dcterms:created xsi:type="dcterms:W3CDTF">2022-10-27T17:12:00Z</dcterms:created>
  <dcterms:modified xsi:type="dcterms:W3CDTF">2022-10-27T17:12:00Z</dcterms:modified>
</cp:coreProperties>
</file>