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151"/>
        <w:tblW w:w="0" w:type="auto"/>
        <w:tblBorders>
          <w:insideV w:val="none" w:sz="0" w:space="0" w:color="auto"/>
        </w:tblBorders>
        <w:tblLayout w:type="fixed"/>
        <w:tblLook w:val="04A0" w:firstRow="1" w:lastRow="0" w:firstColumn="1" w:lastColumn="0" w:noHBand="0" w:noVBand="1"/>
      </w:tblPr>
      <w:tblGrid>
        <w:gridCol w:w="2628"/>
        <w:gridCol w:w="19"/>
        <w:gridCol w:w="1164"/>
        <w:gridCol w:w="2506"/>
        <w:gridCol w:w="2881"/>
      </w:tblGrid>
      <w:tr w:rsidR="002056C3" w:rsidRPr="00DD41BF" w14:paraId="5B1F454A" w14:textId="77777777" w:rsidTr="008910F7">
        <w:trPr>
          <w:trHeight w:val="545"/>
        </w:trPr>
        <w:tc>
          <w:tcPr>
            <w:tcW w:w="2628" w:type="dxa"/>
            <w:shd w:val="clear" w:color="auto" w:fill="1F497D" w:themeFill="text2"/>
            <w:vAlign w:val="center"/>
          </w:tcPr>
          <w:p w14:paraId="0850534C" w14:textId="77777777" w:rsidR="002056C3" w:rsidRPr="00DD41BF" w:rsidRDefault="002056C3" w:rsidP="008910F7">
            <w:pPr>
              <w:jc w:val="center"/>
              <w:rPr>
                <w:rFonts w:ascii="Times New Roman" w:hAnsi="Times New Roman" w:cs="Times New Roman"/>
                <w:b/>
                <w:color w:val="FFFFFF" w:themeColor="background1"/>
                <w:sz w:val="12"/>
                <w:szCs w:val="12"/>
              </w:rPr>
            </w:pPr>
            <w:r w:rsidRPr="00DD41BF">
              <w:rPr>
                <w:rFonts w:ascii="Times New Roman" w:hAnsi="Times New Roman" w:cs="Times New Roman"/>
                <w:b/>
                <w:noProof/>
                <w:sz w:val="24"/>
                <w:szCs w:val="24"/>
              </w:rPr>
              <w:drawing>
                <wp:anchor distT="0" distB="0" distL="114300" distR="114300" simplePos="0" relativeHeight="251659264" behindDoc="0" locked="0" layoutInCell="1" allowOverlap="1" wp14:anchorId="0370E3C4" wp14:editId="1CDE8423">
                  <wp:simplePos x="0" y="0"/>
                  <wp:positionH relativeFrom="column">
                    <wp:posOffset>624205</wp:posOffset>
                  </wp:positionH>
                  <wp:positionV relativeFrom="paragraph">
                    <wp:posOffset>42545</wp:posOffset>
                  </wp:positionV>
                  <wp:extent cx="414655" cy="41465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px-Seal_of_Massachusetts.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655" cy="414655"/>
                          </a:xfrm>
                          <a:prstGeom prst="rect">
                            <a:avLst/>
                          </a:prstGeom>
                        </pic:spPr>
                      </pic:pic>
                    </a:graphicData>
                  </a:graphic>
                  <wp14:sizeRelH relativeFrom="page">
                    <wp14:pctWidth>0</wp14:pctWidth>
                  </wp14:sizeRelH>
                  <wp14:sizeRelV relativeFrom="page">
                    <wp14:pctHeight>0</wp14:pctHeight>
                  </wp14:sizeRelV>
                </wp:anchor>
              </w:drawing>
            </w:r>
          </w:p>
          <w:p w14:paraId="0C984FC6" w14:textId="77777777" w:rsidR="002056C3" w:rsidRPr="00DD41BF" w:rsidRDefault="002056C3" w:rsidP="008910F7">
            <w:pPr>
              <w:jc w:val="right"/>
              <w:rPr>
                <w:rFonts w:ascii="Times New Roman" w:hAnsi="Times New Roman" w:cs="Times New Roman"/>
                <w:b/>
                <w:color w:val="FFFFFF" w:themeColor="background1"/>
                <w:sz w:val="24"/>
                <w:szCs w:val="24"/>
              </w:rPr>
            </w:pPr>
          </w:p>
        </w:tc>
        <w:tc>
          <w:tcPr>
            <w:tcW w:w="6570" w:type="dxa"/>
            <w:gridSpan w:val="4"/>
            <w:shd w:val="clear" w:color="auto" w:fill="1F497D" w:themeFill="text2"/>
            <w:vAlign w:val="center"/>
          </w:tcPr>
          <w:p w14:paraId="4A390525" w14:textId="77777777" w:rsidR="002056C3" w:rsidRPr="00DD41BF" w:rsidRDefault="002056C3" w:rsidP="008910F7">
            <w:pPr>
              <w:jc w:val="right"/>
              <w:rPr>
                <w:rFonts w:ascii="Times New Roman" w:hAnsi="Times New Roman" w:cs="Times New Roman"/>
                <w:b/>
                <w:color w:val="FFFFFF" w:themeColor="background1"/>
                <w:sz w:val="12"/>
                <w:szCs w:val="12"/>
              </w:rPr>
            </w:pPr>
          </w:p>
          <w:p w14:paraId="08872859" w14:textId="77777777" w:rsidR="002056C3" w:rsidRPr="00DD41BF" w:rsidRDefault="002056C3" w:rsidP="008910F7">
            <w:pPr>
              <w:rPr>
                <w:rFonts w:ascii="Times New Roman" w:hAnsi="Times New Roman" w:cs="Times New Roman"/>
                <w:b/>
                <w:color w:val="FFFFFF" w:themeColor="background1"/>
                <w:sz w:val="28"/>
                <w:szCs w:val="24"/>
              </w:rPr>
            </w:pPr>
            <w:r w:rsidRPr="00DD41BF">
              <w:rPr>
                <w:rFonts w:ascii="Times New Roman" w:hAnsi="Times New Roman" w:cs="Times New Roman"/>
                <w:b/>
                <w:color w:val="FFFFFF" w:themeColor="background1"/>
                <w:sz w:val="24"/>
                <w:szCs w:val="24"/>
              </w:rPr>
              <w:t>Executive Office of Health and Human Services</w:t>
            </w:r>
            <w:r w:rsidRPr="00DD41BF">
              <w:rPr>
                <w:rFonts w:ascii="Times New Roman" w:hAnsi="Times New Roman" w:cs="Times New Roman"/>
                <w:b/>
                <w:color w:val="FFFFFF" w:themeColor="background1"/>
                <w:sz w:val="28"/>
                <w:szCs w:val="24"/>
              </w:rPr>
              <w:t xml:space="preserve"> </w:t>
            </w:r>
          </w:p>
          <w:p w14:paraId="442391E2" w14:textId="77777777" w:rsidR="002056C3" w:rsidRPr="00DD41BF" w:rsidRDefault="002056C3" w:rsidP="008910F7">
            <w:pPr>
              <w:rPr>
                <w:rFonts w:ascii="Times New Roman" w:hAnsi="Times New Roman" w:cs="Times New Roman"/>
                <w:b/>
                <w:color w:val="FFFFFF" w:themeColor="background1"/>
                <w:sz w:val="28"/>
                <w:szCs w:val="24"/>
              </w:rPr>
            </w:pPr>
            <w:r w:rsidRPr="00DD41BF">
              <w:rPr>
                <w:rFonts w:ascii="Times New Roman" w:hAnsi="Times New Roman" w:cs="Times New Roman"/>
                <w:b/>
                <w:color w:val="FFFFFF" w:themeColor="background1"/>
                <w:sz w:val="28"/>
                <w:szCs w:val="24"/>
              </w:rPr>
              <w:t>Department of Developmental Services</w:t>
            </w:r>
          </w:p>
          <w:p w14:paraId="23A063BE" w14:textId="77777777" w:rsidR="002056C3" w:rsidRPr="00DD41BF" w:rsidRDefault="002056C3" w:rsidP="008910F7">
            <w:pPr>
              <w:jc w:val="center"/>
              <w:rPr>
                <w:rFonts w:ascii="Times New Roman" w:hAnsi="Times New Roman" w:cs="Times New Roman"/>
                <w:b/>
                <w:sz w:val="12"/>
                <w:szCs w:val="12"/>
              </w:rPr>
            </w:pPr>
          </w:p>
        </w:tc>
      </w:tr>
      <w:tr w:rsidR="002056C3" w:rsidRPr="00DD41BF" w14:paraId="0376388D" w14:textId="77777777" w:rsidTr="008910F7">
        <w:trPr>
          <w:trHeight w:val="666"/>
        </w:trPr>
        <w:tc>
          <w:tcPr>
            <w:tcW w:w="3811" w:type="dxa"/>
            <w:gridSpan w:val="3"/>
            <w:vAlign w:val="center"/>
          </w:tcPr>
          <w:p w14:paraId="59B21CD8" w14:textId="77777777" w:rsidR="002056C3" w:rsidRPr="00DD41BF" w:rsidRDefault="002056C3" w:rsidP="008910F7">
            <w:pPr>
              <w:rPr>
                <w:rFonts w:ascii="Times New Roman" w:hAnsi="Times New Roman" w:cs="Times New Roman"/>
                <w:b/>
                <w:sz w:val="24"/>
                <w:szCs w:val="24"/>
              </w:rPr>
            </w:pPr>
            <w:r>
              <w:rPr>
                <w:rFonts w:ascii="Times New Roman" w:eastAsia="Times New Roman" w:hAnsi="Times New Roman" w:cs="Times New Roman"/>
                <w:b/>
                <w:sz w:val="24"/>
                <w:szCs w:val="24"/>
              </w:rPr>
              <w:t>MEMORANDUM:</w:t>
            </w:r>
          </w:p>
        </w:tc>
        <w:tc>
          <w:tcPr>
            <w:tcW w:w="5387" w:type="dxa"/>
            <w:gridSpan w:val="2"/>
            <w:vAlign w:val="center"/>
          </w:tcPr>
          <w:p w14:paraId="21097911" w14:textId="534A3584" w:rsidR="002056C3" w:rsidRPr="00DD41BF" w:rsidRDefault="006069BA" w:rsidP="00D667FF">
            <w:pPr>
              <w:rPr>
                <w:rFonts w:ascii="Times New Roman" w:hAnsi="Times New Roman" w:cs="Times New Roman"/>
                <w:b/>
                <w:sz w:val="24"/>
                <w:szCs w:val="24"/>
              </w:rPr>
            </w:pPr>
            <w:r>
              <w:rPr>
                <w:rFonts w:ascii="Times New Roman" w:hAnsi="Times New Roman" w:cs="Times New Roman"/>
                <w:b/>
                <w:sz w:val="24"/>
                <w:szCs w:val="24"/>
              </w:rPr>
              <w:t>Guidance on Visitation</w:t>
            </w:r>
          </w:p>
        </w:tc>
      </w:tr>
      <w:tr w:rsidR="002056C3" w:rsidRPr="00DD41BF" w14:paraId="6C103B39" w14:textId="77777777" w:rsidTr="008910F7">
        <w:trPr>
          <w:trHeight w:val="323"/>
        </w:trPr>
        <w:tc>
          <w:tcPr>
            <w:tcW w:w="3811" w:type="dxa"/>
            <w:gridSpan w:val="3"/>
            <w:vAlign w:val="center"/>
          </w:tcPr>
          <w:p w14:paraId="6964359D" w14:textId="77777777" w:rsidR="002056C3" w:rsidRPr="00DD41BF" w:rsidRDefault="002056C3" w:rsidP="008910F7">
            <w:pPr>
              <w:rPr>
                <w:rFonts w:ascii="Times New Roman" w:eastAsia="Times New Roman" w:hAnsi="Times New Roman" w:cs="Times New Roman"/>
                <w:b/>
                <w:sz w:val="24"/>
                <w:szCs w:val="24"/>
              </w:rPr>
            </w:pPr>
            <w:r>
              <w:rPr>
                <w:rFonts w:ascii="Times New Roman" w:hAnsi="Times New Roman" w:cs="Times New Roman"/>
                <w:b/>
                <w:sz w:val="24"/>
                <w:szCs w:val="24"/>
              </w:rPr>
              <w:t>FROM:</w:t>
            </w:r>
          </w:p>
        </w:tc>
        <w:tc>
          <w:tcPr>
            <w:tcW w:w="5387" w:type="dxa"/>
            <w:gridSpan w:val="2"/>
            <w:vAlign w:val="center"/>
          </w:tcPr>
          <w:p w14:paraId="25C40568" w14:textId="0A91F1EB" w:rsidR="002056C3" w:rsidRPr="00DD41BF" w:rsidRDefault="00857250" w:rsidP="005835A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Office of Quality Management</w:t>
            </w:r>
          </w:p>
        </w:tc>
      </w:tr>
      <w:tr w:rsidR="002056C3" w:rsidRPr="00DD41BF" w14:paraId="4CCA1B29" w14:textId="77777777" w:rsidTr="002B148D">
        <w:trPr>
          <w:trHeight w:val="437"/>
        </w:trPr>
        <w:tc>
          <w:tcPr>
            <w:tcW w:w="2647" w:type="dxa"/>
            <w:gridSpan w:val="2"/>
            <w:vAlign w:val="center"/>
          </w:tcPr>
          <w:p w14:paraId="45BCEEBF" w14:textId="77777777" w:rsidR="002056C3" w:rsidRPr="00DD41BF" w:rsidRDefault="002056C3" w:rsidP="008910F7">
            <w:pPr>
              <w:rPr>
                <w:rFonts w:ascii="Times New Roman" w:hAnsi="Times New Roman" w:cs="Times New Roman"/>
                <w:b/>
                <w:sz w:val="24"/>
                <w:szCs w:val="24"/>
              </w:rPr>
            </w:pPr>
            <w:r w:rsidRPr="00DD41BF">
              <w:rPr>
                <w:rFonts w:ascii="Times New Roman" w:eastAsia="Times New Roman" w:hAnsi="Times New Roman" w:cs="Times New Roman"/>
                <w:b/>
                <w:sz w:val="24"/>
                <w:szCs w:val="24"/>
              </w:rPr>
              <w:t xml:space="preserve">DATE ISSUED: </w:t>
            </w:r>
          </w:p>
        </w:tc>
        <w:tc>
          <w:tcPr>
            <w:tcW w:w="1164" w:type="dxa"/>
            <w:vAlign w:val="center"/>
          </w:tcPr>
          <w:p w14:paraId="7C1FE4BC" w14:textId="77777777" w:rsidR="002056C3" w:rsidRPr="00DD41BF" w:rsidRDefault="002056C3" w:rsidP="008910F7">
            <w:pPr>
              <w:rPr>
                <w:rFonts w:ascii="Times New Roman" w:hAnsi="Times New Roman" w:cs="Times New Roman"/>
                <w:b/>
                <w:sz w:val="24"/>
                <w:szCs w:val="24"/>
              </w:rPr>
            </w:pPr>
          </w:p>
        </w:tc>
        <w:tc>
          <w:tcPr>
            <w:tcW w:w="2506" w:type="dxa"/>
            <w:vAlign w:val="center"/>
          </w:tcPr>
          <w:p w14:paraId="6E96E7D8" w14:textId="3F0EFBDF" w:rsidR="002056C3" w:rsidRPr="00DD41BF" w:rsidRDefault="002B148D" w:rsidP="00FA58AC">
            <w:pPr>
              <w:rPr>
                <w:rFonts w:ascii="Times New Roman" w:hAnsi="Times New Roman" w:cs="Times New Roman"/>
                <w:b/>
                <w:sz w:val="24"/>
                <w:szCs w:val="24"/>
              </w:rPr>
            </w:pPr>
            <w:r>
              <w:rPr>
                <w:rFonts w:ascii="Times New Roman" w:hAnsi="Times New Roman" w:cs="Times New Roman"/>
                <w:b/>
                <w:sz w:val="24"/>
                <w:szCs w:val="24"/>
              </w:rPr>
              <w:t>October</w:t>
            </w:r>
            <w:r w:rsidR="00BA41C9">
              <w:rPr>
                <w:rFonts w:ascii="Times New Roman" w:hAnsi="Times New Roman" w:cs="Times New Roman"/>
                <w:b/>
                <w:sz w:val="24"/>
                <w:szCs w:val="24"/>
              </w:rPr>
              <w:t xml:space="preserve"> </w:t>
            </w:r>
            <w:r w:rsidR="0047325D">
              <w:rPr>
                <w:rFonts w:ascii="Times New Roman" w:hAnsi="Times New Roman" w:cs="Times New Roman"/>
                <w:b/>
                <w:sz w:val="24"/>
                <w:szCs w:val="24"/>
              </w:rPr>
              <w:t>2</w:t>
            </w:r>
            <w:r w:rsidR="00BA41C9">
              <w:rPr>
                <w:rFonts w:ascii="Times New Roman" w:hAnsi="Times New Roman" w:cs="Times New Roman"/>
                <w:b/>
                <w:sz w:val="24"/>
                <w:szCs w:val="24"/>
              </w:rPr>
              <w:t xml:space="preserve">7, </w:t>
            </w:r>
            <w:r w:rsidR="006069BA">
              <w:rPr>
                <w:rFonts w:ascii="Times New Roman" w:hAnsi="Times New Roman" w:cs="Times New Roman"/>
                <w:b/>
                <w:sz w:val="24"/>
                <w:szCs w:val="24"/>
              </w:rPr>
              <w:t>2022</w:t>
            </w:r>
          </w:p>
        </w:tc>
        <w:tc>
          <w:tcPr>
            <w:tcW w:w="2881" w:type="dxa"/>
            <w:vAlign w:val="center"/>
          </w:tcPr>
          <w:p w14:paraId="2E494ADF" w14:textId="77777777" w:rsidR="002056C3" w:rsidRPr="00DD41BF" w:rsidRDefault="002056C3" w:rsidP="008910F7">
            <w:pPr>
              <w:rPr>
                <w:rFonts w:ascii="Times New Roman" w:hAnsi="Times New Roman" w:cs="Times New Roman"/>
                <w:b/>
                <w:sz w:val="24"/>
                <w:szCs w:val="24"/>
              </w:rPr>
            </w:pPr>
          </w:p>
        </w:tc>
      </w:tr>
      <w:tr w:rsidR="002056C3" w:rsidRPr="00DD41BF" w14:paraId="0C23EC68" w14:textId="77777777" w:rsidTr="008910F7">
        <w:trPr>
          <w:trHeight w:val="193"/>
        </w:trPr>
        <w:tc>
          <w:tcPr>
            <w:tcW w:w="9198" w:type="dxa"/>
            <w:gridSpan w:val="5"/>
            <w:shd w:val="clear" w:color="auto" w:fill="1F497D" w:themeFill="text2"/>
            <w:vAlign w:val="center"/>
          </w:tcPr>
          <w:p w14:paraId="553C8AA6" w14:textId="77777777" w:rsidR="002056C3" w:rsidRPr="00AE2A50" w:rsidRDefault="002056C3" w:rsidP="008910F7">
            <w:pPr>
              <w:jc w:val="center"/>
              <w:rPr>
                <w:rFonts w:ascii="Times New Roman" w:hAnsi="Times New Roman" w:cs="Times New Roman"/>
                <w:b/>
                <w:color w:val="FFFFFF" w:themeColor="background1"/>
                <w:sz w:val="8"/>
                <w:szCs w:val="8"/>
              </w:rPr>
            </w:pPr>
          </w:p>
          <w:p w14:paraId="0E9FEB95" w14:textId="77777777" w:rsidR="002056C3" w:rsidRPr="00AE2A50" w:rsidRDefault="002056C3" w:rsidP="008910F7">
            <w:pPr>
              <w:jc w:val="right"/>
              <w:rPr>
                <w:rFonts w:ascii="Times New Roman" w:hAnsi="Times New Roman" w:cs="Times New Roman"/>
                <w:b/>
                <w:i/>
                <w:color w:val="FFFFFF" w:themeColor="background1"/>
                <w:szCs w:val="24"/>
              </w:rPr>
            </w:pPr>
            <w:r w:rsidRPr="00AE2A50">
              <w:rPr>
                <w:rFonts w:ascii="Times New Roman" w:hAnsi="Times New Roman" w:cs="Times New Roman"/>
                <w:b/>
                <w:i/>
                <w:color w:val="FFFFFF" w:themeColor="background1"/>
                <w:szCs w:val="24"/>
              </w:rPr>
              <w:t>Commonwealth of Massachusetts</w:t>
            </w:r>
          </w:p>
          <w:p w14:paraId="281D6E79" w14:textId="77777777" w:rsidR="002056C3" w:rsidRPr="00AE2A50" w:rsidRDefault="002056C3" w:rsidP="008910F7">
            <w:pPr>
              <w:jc w:val="center"/>
              <w:rPr>
                <w:rFonts w:ascii="Times New Roman" w:hAnsi="Times New Roman" w:cs="Times New Roman"/>
                <w:b/>
                <w:color w:val="FFFFFF" w:themeColor="background1"/>
                <w:sz w:val="8"/>
                <w:szCs w:val="8"/>
              </w:rPr>
            </w:pPr>
          </w:p>
        </w:tc>
      </w:tr>
    </w:tbl>
    <w:p w14:paraId="5930FA17" w14:textId="77777777" w:rsidR="000550D3" w:rsidRDefault="0047325D"/>
    <w:p w14:paraId="2B1372D3" w14:textId="4346DFF2" w:rsidR="00447595" w:rsidRPr="00447595" w:rsidRDefault="00447595" w:rsidP="00447595">
      <w:pPr>
        <w:rPr>
          <w:rFonts w:ascii="Times New Roman" w:hAnsi="Times New Roman" w:cs="Times New Roman"/>
          <w:b/>
          <w:bCs/>
          <w:sz w:val="24"/>
          <w:szCs w:val="24"/>
        </w:rPr>
      </w:pPr>
      <w:r w:rsidRPr="00447595">
        <w:rPr>
          <w:rFonts w:ascii="Times New Roman" w:hAnsi="Times New Roman" w:cs="Times New Roman"/>
          <w:b/>
          <w:bCs/>
          <w:sz w:val="24"/>
          <w:szCs w:val="24"/>
        </w:rPr>
        <w:t>I.</w:t>
      </w:r>
      <w:r w:rsidRPr="00447595">
        <w:rPr>
          <w:rFonts w:ascii="Times New Roman" w:hAnsi="Times New Roman" w:cs="Times New Roman"/>
          <w:b/>
          <w:bCs/>
          <w:sz w:val="24"/>
          <w:szCs w:val="24"/>
        </w:rPr>
        <w:tab/>
        <w:t xml:space="preserve"> Overarching Governing Principles</w:t>
      </w:r>
    </w:p>
    <w:p w14:paraId="795E231C" w14:textId="55B9D9C0" w:rsidR="00BA41C9" w:rsidRPr="00C459E8" w:rsidRDefault="00447595" w:rsidP="00BA41C9">
      <w:pPr>
        <w:jc w:val="both"/>
        <w:rPr>
          <w:rFonts w:ascii="Times New Roman" w:hAnsi="Times New Roman" w:cs="Times New Roman"/>
          <w:sz w:val="24"/>
          <w:szCs w:val="24"/>
        </w:rPr>
      </w:pPr>
      <w:r w:rsidRPr="00447595">
        <w:rPr>
          <w:rFonts w:ascii="Times New Roman" w:hAnsi="Times New Roman" w:cs="Times New Roman"/>
          <w:sz w:val="24"/>
          <w:szCs w:val="24"/>
        </w:rPr>
        <w:t xml:space="preserve">Promoting human dignity, independence, and ensuring privacy are fundamental to the mission of the Department of Developmental Services (“DDS” or the “Department”) and are responsibilities that the Department takes very seriously. Robust due process considerations are woven throughout DDS regulations and service delivery. </w:t>
      </w:r>
      <w:r w:rsidR="00BA41C9" w:rsidRPr="00C459E8">
        <w:rPr>
          <w:rFonts w:ascii="Times New Roman" w:hAnsi="Times New Roman" w:cs="Times New Roman"/>
          <w:sz w:val="24"/>
          <w:szCs w:val="24"/>
        </w:rPr>
        <w:t xml:space="preserve">DDS service providers are bound by the Commonwealth’s Standard Terms and Conditions in addition to their contract with the Department, and both DDS Standards to Promote Dignity and </w:t>
      </w:r>
      <w:r w:rsidR="00BA41C9">
        <w:rPr>
          <w:rFonts w:ascii="Times New Roman" w:hAnsi="Times New Roman" w:cs="Times New Roman"/>
          <w:sz w:val="24"/>
          <w:szCs w:val="24"/>
        </w:rPr>
        <w:t>Individual Support Plan (</w:t>
      </w:r>
      <w:r w:rsidR="00BA41C9" w:rsidRPr="00C459E8">
        <w:rPr>
          <w:rFonts w:ascii="Times New Roman" w:hAnsi="Times New Roman" w:cs="Times New Roman"/>
          <w:sz w:val="24"/>
          <w:szCs w:val="24"/>
        </w:rPr>
        <w:t>ISP</w:t>
      </w:r>
      <w:r w:rsidR="00BA41C9">
        <w:rPr>
          <w:rFonts w:ascii="Times New Roman" w:hAnsi="Times New Roman" w:cs="Times New Roman"/>
          <w:sz w:val="24"/>
          <w:szCs w:val="24"/>
        </w:rPr>
        <w:t>)</w:t>
      </w:r>
      <w:r w:rsidR="00BA41C9" w:rsidRPr="00C459E8">
        <w:rPr>
          <w:rFonts w:ascii="Times New Roman" w:hAnsi="Times New Roman" w:cs="Times New Roman"/>
          <w:sz w:val="24"/>
          <w:szCs w:val="24"/>
        </w:rPr>
        <w:t xml:space="preserve"> regulations contain due process protections and allow for judicial review after the exhaustion of administrative remedies. </w:t>
      </w:r>
    </w:p>
    <w:p w14:paraId="3657F80B" w14:textId="31DB275F" w:rsidR="00447595" w:rsidRPr="00447595" w:rsidRDefault="00447595" w:rsidP="001C0F1B">
      <w:pPr>
        <w:jc w:val="both"/>
        <w:rPr>
          <w:rFonts w:ascii="Times New Roman" w:hAnsi="Times New Roman" w:cs="Times New Roman"/>
          <w:sz w:val="24"/>
          <w:szCs w:val="24"/>
        </w:rPr>
      </w:pPr>
    </w:p>
    <w:p w14:paraId="3880C06D" w14:textId="6AB141C5" w:rsidR="00447595" w:rsidRPr="00447595" w:rsidRDefault="00447595" w:rsidP="001C0F1B">
      <w:pPr>
        <w:jc w:val="both"/>
        <w:rPr>
          <w:rFonts w:ascii="Times New Roman" w:hAnsi="Times New Roman" w:cs="Times New Roman"/>
          <w:b/>
          <w:bCs/>
          <w:sz w:val="24"/>
          <w:szCs w:val="24"/>
        </w:rPr>
      </w:pPr>
      <w:r w:rsidRPr="00447595">
        <w:rPr>
          <w:rFonts w:ascii="Times New Roman" w:hAnsi="Times New Roman" w:cs="Times New Roman"/>
          <w:b/>
          <w:bCs/>
          <w:sz w:val="24"/>
          <w:szCs w:val="24"/>
        </w:rPr>
        <w:t>II.</w:t>
      </w:r>
      <w:r w:rsidRPr="00447595">
        <w:rPr>
          <w:rFonts w:ascii="Times New Roman" w:hAnsi="Times New Roman" w:cs="Times New Roman"/>
          <w:b/>
          <w:bCs/>
          <w:sz w:val="24"/>
          <w:szCs w:val="24"/>
        </w:rPr>
        <w:tab/>
        <w:t>Visitation</w:t>
      </w:r>
    </w:p>
    <w:p w14:paraId="607FFA0D" w14:textId="02BA3A5E" w:rsidR="00BA41C9" w:rsidRDefault="00FA070C" w:rsidP="001C0F1B">
      <w:pPr>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DDS regulations </w:t>
      </w:r>
      <w:r w:rsidR="002035F5">
        <w:rPr>
          <w:rFonts w:ascii="Times New Roman" w:hAnsi="Times New Roman" w:cs="Times New Roman"/>
          <w:color w:val="333333"/>
          <w:sz w:val="24"/>
          <w:szCs w:val="24"/>
          <w:shd w:val="clear" w:color="auto" w:fill="FFFFFF"/>
        </w:rPr>
        <w:t>a</w:t>
      </w:r>
      <w:r w:rsidR="0066247B">
        <w:rPr>
          <w:rFonts w:ascii="Times New Roman" w:hAnsi="Times New Roman" w:cs="Times New Roman"/>
          <w:color w:val="333333"/>
          <w:sz w:val="24"/>
          <w:szCs w:val="24"/>
          <w:shd w:val="clear" w:color="auto" w:fill="FFFFFF"/>
        </w:rPr>
        <w:t>re</w:t>
      </w:r>
      <w:r w:rsidR="002035F5">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consistent with the Community Rule </w:t>
      </w:r>
      <w:r w:rsidR="0066247B">
        <w:rPr>
          <w:rFonts w:ascii="Times New Roman" w:hAnsi="Times New Roman" w:cs="Times New Roman"/>
          <w:color w:val="333333"/>
          <w:sz w:val="24"/>
          <w:szCs w:val="24"/>
          <w:shd w:val="clear" w:color="auto" w:fill="FFFFFF"/>
        </w:rPr>
        <w:t>and</w:t>
      </w:r>
      <w:r>
        <w:rPr>
          <w:rFonts w:ascii="Times New Roman" w:hAnsi="Times New Roman" w:cs="Times New Roman"/>
          <w:color w:val="333333"/>
          <w:sz w:val="24"/>
          <w:szCs w:val="24"/>
          <w:shd w:val="clear" w:color="auto" w:fill="FFFFFF"/>
        </w:rPr>
        <w:t xml:space="preserve"> </w:t>
      </w:r>
      <w:r w:rsidR="00857250">
        <w:rPr>
          <w:rFonts w:ascii="Times New Roman" w:hAnsi="Times New Roman" w:cs="Times New Roman"/>
          <w:color w:val="333333"/>
          <w:sz w:val="24"/>
          <w:szCs w:val="24"/>
          <w:shd w:val="clear" w:color="auto" w:fill="FFFFFF"/>
        </w:rPr>
        <w:t>ensure</w:t>
      </w:r>
      <w:r>
        <w:rPr>
          <w:rFonts w:ascii="Times New Roman" w:hAnsi="Times New Roman" w:cs="Times New Roman"/>
          <w:color w:val="333333"/>
          <w:sz w:val="24"/>
          <w:szCs w:val="24"/>
          <w:shd w:val="clear" w:color="auto" w:fill="FFFFFF"/>
        </w:rPr>
        <w:t xml:space="preserve"> participants “are able to have visitors of their choosing at any time.” </w:t>
      </w:r>
      <w:r w:rsidR="0042785E">
        <w:rPr>
          <w:rFonts w:ascii="Times New Roman" w:hAnsi="Times New Roman" w:cs="Times New Roman"/>
          <w:color w:val="333333"/>
          <w:sz w:val="24"/>
          <w:szCs w:val="24"/>
          <w:shd w:val="clear" w:color="auto" w:fill="FFFFFF"/>
        </w:rPr>
        <w:t>42 C</w:t>
      </w:r>
      <w:r w:rsidR="000401EC">
        <w:rPr>
          <w:rFonts w:ascii="Times New Roman" w:hAnsi="Times New Roman" w:cs="Times New Roman"/>
          <w:color w:val="333333"/>
          <w:sz w:val="24"/>
          <w:szCs w:val="24"/>
          <w:shd w:val="clear" w:color="auto" w:fill="FFFFFF"/>
        </w:rPr>
        <w:t>F</w:t>
      </w:r>
      <w:r w:rsidR="0042785E">
        <w:rPr>
          <w:rFonts w:ascii="Times New Roman" w:hAnsi="Times New Roman" w:cs="Times New Roman"/>
          <w:color w:val="333333"/>
          <w:sz w:val="24"/>
          <w:szCs w:val="24"/>
          <w:shd w:val="clear" w:color="auto" w:fill="FFFFFF"/>
        </w:rPr>
        <w:t xml:space="preserve">R 441.301(c)(4)(D). </w:t>
      </w:r>
      <w:r w:rsidR="0042785E" w:rsidRPr="00857250">
        <w:rPr>
          <w:rFonts w:ascii="Times New Roman" w:hAnsi="Times New Roman" w:cs="Times New Roman"/>
          <w:i/>
          <w:iCs/>
          <w:color w:val="333333"/>
          <w:sz w:val="24"/>
          <w:szCs w:val="24"/>
          <w:shd w:val="clear" w:color="auto" w:fill="FFFFFF"/>
        </w:rPr>
        <w:t xml:space="preserve">See </w:t>
      </w:r>
      <w:r w:rsidR="0042785E">
        <w:rPr>
          <w:rFonts w:ascii="Times New Roman" w:hAnsi="Times New Roman" w:cs="Times New Roman"/>
          <w:color w:val="333333"/>
          <w:sz w:val="24"/>
          <w:szCs w:val="24"/>
          <w:shd w:val="clear" w:color="auto" w:fill="FFFFFF"/>
        </w:rPr>
        <w:t>M.G.L. c.123B, §9; 115 CMR 5.04(3)</w:t>
      </w:r>
      <w:r w:rsidR="005E7AB9">
        <w:rPr>
          <w:rFonts w:ascii="Times New Roman" w:hAnsi="Times New Roman" w:cs="Times New Roman"/>
          <w:color w:val="333333"/>
          <w:sz w:val="24"/>
          <w:szCs w:val="24"/>
          <w:shd w:val="clear" w:color="auto" w:fill="FFFFFF"/>
        </w:rPr>
        <w:t xml:space="preserve"> and</w:t>
      </w:r>
      <w:r w:rsidR="0042785E">
        <w:rPr>
          <w:rFonts w:ascii="Times New Roman" w:hAnsi="Times New Roman" w:cs="Times New Roman"/>
          <w:color w:val="333333"/>
          <w:sz w:val="24"/>
          <w:szCs w:val="24"/>
          <w:shd w:val="clear" w:color="auto" w:fill="FFFFFF"/>
        </w:rPr>
        <w:t xml:space="preserve"> </w:t>
      </w:r>
      <w:r w:rsidR="00A46065">
        <w:rPr>
          <w:rFonts w:ascii="Times New Roman" w:hAnsi="Times New Roman" w:cs="Times New Roman"/>
          <w:color w:val="333333"/>
          <w:sz w:val="24"/>
          <w:szCs w:val="24"/>
          <w:shd w:val="clear" w:color="auto" w:fill="FFFFFF"/>
        </w:rPr>
        <w:t>Individual Support Plan (</w:t>
      </w:r>
      <w:r w:rsidR="005E7AB9" w:rsidRPr="00447595">
        <w:rPr>
          <w:rFonts w:ascii="Times New Roman" w:hAnsi="Times New Roman" w:cs="Times New Roman"/>
          <w:sz w:val="24"/>
          <w:szCs w:val="24"/>
        </w:rPr>
        <w:t>ISP</w:t>
      </w:r>
      <w:r w:rsidR="00A46065">
        <w:rPr>
          <w:rFonts w:ascii="Times New Roman" w:hAnsi="Times New Roman" w:cs="Times New Roman"/>
          <w:sz w:val="24"/>
          <w:szCs w:val="24"/>
        </w:rPr>
        <w:t>)</w:t>
      </w:r>
      <w:r w:rsidR="005E7AB9" w:rsidRPr="00447595">
        <w:rPr>
          <w:rFonts w:ascii="Times New Roman" w:hAnsi="Times New Roman" w:cs="Times New Roman"/>
          <w:sz w:val="24"/>
          <w:szCs w:val="24"/>
        </w:rPr>
        <w:t xml:space="preserve"> Manual, pg. 34, 4th Edition, November 1, 2012</w:t>
      </w:r>
      <w:r w:rsidR="005E7AB9">
        <w:rPr>
          <w:rFonts w:ascii="Times New Roman" w:hAnsi="Times New Roman" w:cs="Times New Roman"/>
          <w:sz w:val="24"/>
          <w:szCs w:val="24"/>
        </w:rPr>
        <w:t>.</w:t>
      </w:r>
      <w:r w:rsidR="0066247B">
        <w:rPr>
          <w:rFonts w:ascii="Times New Roman" w:hAnsi="Times New Roman" w:cs="Times New Roman"/>
          <w:sz w:val="24"/>
          <w:szCs w:val="24"/>
        </w:rPr>
        <w:t xml:space="preserve"> </w:t>
      </w:r>
      <w:r w:rsidR="005E7AB9">
        <w:rPr>
          <w:rFonts w:ascii="Times New Roman" w:hAnsi="Times New Roman" w:cs="Times New Roman"/>
          <w:sz w:val="24"/>
          <w:szCs w:val="24"/>
        </w:rPr>
        <w:t xml:space="preserve"> </w:t>
      </w:r>
    </w:p>
    <w:p w14:paraId="6E933618" w14:textId="0B59ACBB" w:rsidR="005E7AB9" w:rsidRDefault="0066247B" w:rsidP="001C0F1B">
      <w:pPr>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However, </w:t>
      </w:r>
      <w:r w:rsidR="00FA070C">
        <w:rPr>
          <w:rFonts w:ascii="Times New Roman" w:hAnsi="Times New Roman" w:cs="Times New Roman"/>
          <w:color w:val="333333"/>
          <w:sz w:val="24"/>
          <w:szCs w:val="24"/>
          <w:shd w:val="clear" w:color="auto" w:fill="FFFFFF"/>
        </w:rPr>
        <w:t xml:space="preserve">DDS regulations </w:t>
      </w:r>
      <w:r>
        <w:rPr>
          <w:rFonts w:ascii="Times New Roman" w:hAnsi="Times New Roman" w:cs="Times New Roman"/>
          <w:color w:val="333333"/>
          <w:sz w:val="24"/>
          <w:szCs w:val="24"/>
          <w:shd w:val="clear" w:color="auto" w:fill="FFFFFF"/>
        </w:rPr>
        <w:t xml:space="preserve">recognize that </w:t>
      </w:r>
      <w:r w:rsidR="0042785E">
        <w:rPr>
          <w:rFonts w:ascii="Times New Roman" w:hAnsi="Times New Roman" w:cs="Times New Roman"/>
          <w:color w:val="333333"/>
          <w:sz w:val="24"/>
          <w:szCs w:val="24"/>
          <w:shd w:val="clear" w:color="auto" w:fill="FFFFFF"/>
        </w:rPr>
        <w:t xml:space="preserve">some </w:t>
      </w:r>
      <w:r w:rsidR="00FA070C">
        <w:rPr>
          <w:rFonts w:ascii="Times New Roman" w:hAnsi="Times New Roman" w:cs="Times New Roman"/>
          <w:color w:val="333333"/>
          <w:sz w:val="24"/>
          <w:szCs w:val="24"/>
          <w:shd w:val="clear" w:color="auto" w:fill="FFFFFF"/>
        </w:rPr>
        <w:t>exceptions to the general rule</w:t>
      </w:r>
      <w:r>
        <w:rPr>
          <w:rFonts w:ascii="Times New Roman" w:hAnsi="Times New Roman" w:cs="Times New Roman"/>
          <w:color w:val="333333"/>
          <w:sz w:val="24"/>
          <w:szCs w:val="24"/>
          <w:shd w:val="clear" w:color="auto" w:fill="FFFFFF"/>
        </w:rPr>
        <w:t xml:space="preserve"> may be necessary</w:t>
      </w:r>
      <w:r w:rsidR="00C560C0">
        <w:rPr>
          <w:rFonts w:ascii="Times New Roman" w:hAnsi="Times New Roman" w:cs="Times New Roman"/>
          <w:color w:val="333333"/>
          <w:sz w:val="24"/>
          <w:szCs w:val="24"/>
          <w:shd w:val="clear" w:color="auto" w:fill="FFFFFF"/>
        </w:rPr>
        <w:t xml:space="preserve">. </w:t>
      </w:r>
      <w:r w:rsidR="00C560C0" w:rsidRPr="00C560C0">
        <w:rPr>
          <w:rFonts w:ascii="Times New Roman" w:hAnsi="Times New Roman" w:cs="Times New Roman"/>
        </w:rPr>
        <w:t xml:space="preserve"> </w:t>
      </w:r>
      <w:r w:rsidR="00C560C0">
        <w:rPr>
          <w:rFonts w:ascii="Times New Roman" w:hAnsi="Times New Roman" w:cs="Times New Roman"/>
        </w:rPr>
        <w:t xml:space="preserve">DDS </w:t>
      </w:r>
      <w:r w:rsidR="00C560C0" w:rsidRPr="00C459E8">
        <w:rPr>
          <w:rFonts w:ascii="Times New Roman" w:eastAsia="Times New Roman" w:hAnsi="Times New Roman" w:cs="Times New Roman"/>
        </w:rPr>
        <w:t>applies the person-centered planning process</w:t>
      </w:r>
      <w:r w:rsidR="00C560C0">
        <w:rPr>
          <w:rFonts w:ascii="Times New Roman" w:eastAsia="Times New Roman" w:hAnsi="Times New Roman" w:cs="Times New Roman"/>
        </w:rPr>
        <w:t>, which</w:t>
      </w:r>
      <w:r w:rsidR="00C560C0" w:rsidRPr="00C459E8">
        <w:rPr>
          <w:rFonts w:ascii="Times New Roman" w:eastAsia="Times New Roman" w:hAnsi="Times New Roman" w:cs="Times New Roman"/>
        </w:rPr>
        <w:t xml:space="preserve"> includes the requirements in the </w:t>
      </w:r>
      <w:r w:rsidR="00C560C0">
        <w:rPr>
          <w:rFonts w:ascii="Times New Roman" w:eastAsia="Times New Roman" w:hAnsi="Times New Roman" w:cs="Times New Roman"/>
        </w:rPr>
        <w:t>ISP</w:t>
      </w:r>
      <w:r w:rsidR="00C560C0" w:rsidRPr="00C459E8">
        <w:rPr>
          <w:rFonts w:ascii="Times New Roman" w:eastAsia="Times New Roman" w:hAnsi="Times New Roman" w:cs="Times New Roman"/>
        </w:rPr>
        <w:t xml:space="preserve"> </w:t>
      </w:r>
      <w:r w:rsidR="00C560C0">
        <w:rPr>
          <w:rFonts w:ascii="Times New Roman" w:eastAsia="Times New Roman" w:hAnsi="Times New Roman" w:cs="Times New Roman"/>
        </w:rPr>
        <w:t xml:space="preserve">consistent with requirements of 42 CFR </w:t>
      </w:r>
      <w:r w:rsidR="00C560C0" w:rsidRPr="00C459E8">
        <w:rPr>
          <w:rFonts w:ascii="Times New Roman" w:eastAsia="Times New Roman" w:hAnsi="Times New Roman" w:cs="Times New Roman"/>
        </w:rPr>
        <w:t>441.301(c)(4)(vi)(F) (1-8)</w:t>
      </w:r>
      <w:r w:rsidR="00C560C0">
        <w:rPr>
          <w:rFonts w:ascii="Times New Roman" w:eastAsia="Times New Roman" w:hAnsi="Times New Roman" w:cs="Times New Roman"/>
        </w:rPr>
        <w:t xml:space="preserve">, </w:t>
      </w:r>
      <w:r w:rsidR="00C560C0" w:rsidRPr="00C459E8">
        <w:rPr>
          <w:rFonts w:ascii="Times New Roman" w:eastAsia="Times New Roman" w:hAnsi="Times New Roman" w:cs="Times New Roman"/>
        </w:rPr>
        <w:t xml:space="preserve">to determine if restricting </w:t>
      </w:r>
      <w:r w:rsidR="00C560C0">
        <w:rPr>
          <w:rFonts w:ascii="Times New Roman" w:eastAsia="Times New Roman" w:hAnsi="Times New Roman" w:cs="Times New Roman"/>
        </w:rPr>
        <w:t>visitation</w:t>
      </w:r>
      <w:r w:rsidR="00C560C0" w:rsidRPr="00C459E8">
        <w:rPr>
          <w:rFonts w:ascii="Times New Roman" w:eastAsia="Times New Roman" w:hAnsi="Times New Roman" w:cs="Times New Roman"/>
        </w:rPr>
        <w:t xml:space="preserve"> for </w:t>
      </w:r>
      <w:r w:rsidR="00C560C0">
        <w:rPr>
          <w:rFonts w:ascii="Times New Roman" w:eastAsia="Times New Roman" w:hAnsi="Times New Roman" w:cs="Times New Roman"/>
        </w:rPr>
        <w:t>a participant</w:t>
      </w:r>
      <w:r w:rsidR="00C560C0" w:rsidRPr="00C459E8">
        <w:rPr>
          <w:rFonts w:ascii="Times New Roman" w:eastAsia="Times New Roman" w:hAnsi="Times New Roman" w:cs="Times New Roman"/>
        </w:rPr>
        <w:t xml:space="preserve"> is supported by a specific assessed need</w:t>
      </w:r>
      <w:r w:rsidR="00C560C0">
        <w:rPr>
          <w:rFonts w:ascii="Times New Roman" w:eastAsia="Times New Roman" w:hAnsi="Times New Roman" w:cs="Times New Roman"/>
        </w:rPr>
        <w:t xml:space="preserve">. </w:t>
      </w:r>
      <w:r w:rsidR="00BA41C9">
        <w:rPr>
          <w:rFonts w:ascii="Times New Roman" w:eastAsia="Times New Roman" w:hAnsi="Times New Roman" w:cs="Times New Roman"/>
        </w:rPr>
        <w:t>In the event that</w:t>
      </w:r>
      <w:r w:rsidR="00BA41C9">
        <w:rPr>
          <w:rFonts w:ascii="Times New Roman" w:hAnsi="Times New Roman" w:cs="Times New Roman"/>
          <w:color w:val="333333"/>
          <w:sz w:val="24"/>
          <w:szCs w:val="24"/>
          <w:shd w:val="clear" w:color="auto" w:fill="FFFFFF"/>
        </w:rPr>
        <w:t xml:space="preserve"> </w:t>
      </w:r>
      <w:r w:rsidR="00FA070C">
        <w:rPr>
          <w:rFonts w:ascii="Times New Roman" w:hAnsi="Times New Roman" w:cs="Times New Roman"/>
          <w:color w:val="333333"/>
          <w:sz w:val="24"/>
          <w:szCs w:val="24"/>
          <w:shd w:val="clear" w:color="auto" w:fill="FFFFFF"/>
        </w:rPr>
        <w:t>modification</w:t>
      </w:r>
      <w:r w:rsidR="00C560C0">
        <w:rPr>
          <w:rFonts w:ascii="Times New Roman" w:hAnsi="Times New Roman" w:cs="Times New Roman"/>
          <w:color w:val="333333"/>
          <w:sz w:val="24"/>
          <w:szCs w:val="24"/>
          <w:shd w:val="clear" w:color="auto" w:fill="FFFFFF"/>
        </w:rPr>
        <w:t xml:space="preserve"> to the general rule</w:t>
      </w:r>
      <w:r w:rsidR="00FA070C">
        <w:rPr>
          <w:rFonts w:ascii="Times New Roman" w:hAnsi="Times New Roman" w:cs="Times New Roman"/>
          <w:color w:val="333333"/>
          <w:sz w:val="24"/>
          <w:szCs w:val="24"/>
          <w:shd w:val="clear" w:color="auto" w:fill="FFFFFF"/>
        </w:rPr>
        <w:t xml:space="preserve"> </w:t>
      </w:r>
      <w:r w:rsidR="00326746">
        <w:rPr>
          <w:rFonts w:ascii="Times New Roman" w:hAnsi="Times New Roman" w:cs="Times New Roman"/>
          <w:color w:val="333333"/>
          <w:sz w:val="24"/>
          <w:szCs w:val="24"/>
          <w:shd w:val="clear" w:color="auto" w:fill="FFFFFF"/>
        </w:rPr>
        <w:t>is required</w:t>
      </w:r>
      <w:r w:rsidR="00BA41C9">
        <w:rPr>
          <w:rFonts w:ascii="Times New Roman" w:hAnsi="Times New Roman" w:cs="Times New Roman"/>
          <w:color w:val="333333"/>
          <w:sz w:val="24"/>
          <w:szCs w:val="24"/>
          <w:shd w:val="clear" w:color="auto" w:fill="FFFFFF"/>
        </w:rPr>
        <w:t>, it must be</w:t>
      </w:r>
      <w:r w:rsidR="00FA070C">
        <w:rPr>
          <w:rFonts w:ascii="Times New Roman" w:hAnsi="Times New Roman" w:cs="Times New Roman"/>
          <w:color w:val="333333"/>
          <w:sz w:val="24"/>
          <w:szCs w:val="24"/>
          <w:shd w:val="clear" w:color="auto" w:fill="FFFFFF"/>
        </w:rPr>
        <w:t xml:space="preserve"> supported by a specific assessed need and justified in the participant’s ISP. </w:t>
      </w:r>
      <w:r w:rsidR="00326746">
        <w:rPr>
          <w:rFonts w:ascii="Times New Roman" w:hAnsi="Times New Roman" w:cs="Times New Roman"/>
          <w:color w:val="333333"/>
          <w:sz w:val="24"/>
          <w:szCs w:val="24"/>
          <w:shd w:val="clear" w:color="auto" w:fill="FFFFFF"/>
        </w:rPr>
        <w:t xml:space="preserve"> Modifications </w:t>
      </w:r>
      <w:r w:rsidR="00C560C0">
        <w:rPr>
          <w:rFonts w:ascii="Times New Roman" w:hAnsi="Times New Roman" w:cs="Times New Roman"/>
          <w:color w:val="333333"/>
          <w:sz w:val="24"/>
          <w:szCs w:val="24"/>
          <w:shd w:val="clear" w:color="auto" w:fill="FFFFFF"/>
        </w:rPr>
        <w:t xml:space="preserve">pertaining to visitation </w:t>
      </w:r>
      <w:r w:rsidR="00326746">
        <w:rPr>
          <w:rFonts w:ascii="Times New Roman" w:hAnsi="Times New Roman" w:cs="Times New Roman"/>
          <w:color w:val="333333"/>
          <w:sz w:val="24"/>
          <w:szCs w:val="24"/>
          <w:shd w:val="clear" w:color="auto" w:fill="FFFFFF"/>
        </w:rPr>
        <w:t>also are subject the additional safeguard of Human Rights Committee review.  115 CMR 5.04(3)(c).</w:t>
      </w:r>
      <w:r w:rsidR="00FA070C">
        <w:rPr>
          <w:rFonts w:ascii="Times New Roman" w:hAnsi="Times New Roman" w:cs="Times New Roman"/>
          <w:color w:val="333333"/>
          <w:sz w:val="24"/>
          <w:szCs w:val="24"/>
          <w:shd w:val="clear" w:color="auto" w:fill="FFFFFF"/>
        </w:rPr>
        <w:t xml:space="preserve"> In cases</w:t>
      </w:r>
      <w:r w:rsidR="0042785E">
        <w:rPr>
          <w:rFonts w:ascii="Times New Roman" w:hAnsi="Times New Roman" w:cs="Times New Roman"/>
          <w:color w:val="333333"/>
          <w:sz w:val="24"/>
          <w:szCs w:val="24"/>
          <w:shd w:val="clear" w:color="auto" w:fill="FFFFFF"/>
        </w:rPr>
        <w:t xml:space="preserve"> where such modification has not been included in the current ISP</w:t>
      </w:r>
      <w:r w:rsidR="00FA070C">
        <w:rPr>
          <w:rFonts w:ascii="Times New Roman" w:hAnsi="Times New Roman" w:cs="Times New Roman"/>
          <w:color w:val="333333"/>
          <w:sz w:val="24"/>
          <w:szCs w:val="24"/>
          <w:shd w:val="clear" w:color="auto" w:fill="FFFFFF"/>
        </w:rPr>
        <w:t xml:space="preserve">, modification </w:t>
      </w:r>
      <w:r w:rsidR="00C560C0">
        <w:rPr>
          <w:rFonts w:ascii="Times New Roman" w:hAnsi="Times New Roman" w:cs="Times New Roman"/>
          <w:color w:val="333333"/>
          <w:sz w:val="24"/>
          <w:szCs w:val="24"/>
          <w:shd w:val="clear" w:color="auto" w:fill="FFFFFF"/>
        </w:rPr>
        <w:t xml:space="preserve">of </w:t>
      </w:r>
      <w:r w:rsidR="00FA070C">
        <w:rPr>
          <w:rFonts w:ascii="Times New Roman" w:hAnsi="Times New Roman" w:cs="Times New Roman"/>
          <w:color w:val="333333"/>
          <w:sz w:val="24"/>
          <w:szCs w:val="24"/>
          <w:shd w:val="clear" w:color="auto" w:fill="FFFFFF"/>
        </w:rPr>
        <w:t xml:space="preserve"> the ISP</w:t>
      </w:r>
      <w:r w:rsidR="00C560C0">
        <w:rPr>
          <w:rFonts w:ascii="Times New Roman" w:hAnsi="Times New Roman" w:cs="Times New Roman"/>
          <w:color w:val="333333"/>
          <w:sz w:val="24"/>
          <w:szCs w:val="24"/>
          <w:shd w:val="clear" w:color="auto" w:fill="FFFFFF"/>
        </w:rPr>
        <w:t xml:space="preserve"> is required</w:t>
      </w:r>
      <w:r w:rsidR="005E7AB9">
        <w:rPr>
          <w:rFonts w:ascii="Times New Roman" w:hAnsi="Times New Roman" w:cs="Times New Roman"/>
          <w:color w:val="333333"/>
          <w:sz w:val="24"/>
          <w:szCs w:val="24"/>
          <w:shd w:val="clear" w:color="auto" w:fill="FFFFFF"/>
        </w:rPr>
        <w:t>, including an ISP meeting and is</w:t>
      </w:r>
      <w:r w:rsidR="00FA070C">
        <w:rPr>
          <w:rFonts w:ascii="Times New Roman" w:hAnsi="Times New Roman" w:cs="Times New Roman"/>
          <w:color w:val="333333"/>
          <w:sz w:val="24"/>
          <w:szCs w:val="24"/>
          <w:shd w:val="clear" w:color="auto" w:fill="FFFFFF"/>
        </w:rPr>
        <w:t xml:space="preserve"> </w:t>
      </w:r>
      <w:r w:rsidR="0042785E">
        <w:rPr>
          <w:rFonts w:ascii="Times New Roman" w:hAnsi="Times New Roman" w:cs="Times New Roman"/>
          <w:color w:val="333333"/>
          <w:sz w:val="24"/>
          <w:szCs w:val="24"/>
          <w:shd w:val="clear" w:color="auto" w:fill="FFFFFF"/>
        </w:rPr>
        <w:t>subject to appeal in the event the participant objects.</w:t>
      </w:r>
      <w:r w:rsidR="00C560C0">
        <w:rPr>
          <w:rFonts w:ascii="Times New Roman" w:hAnsi="Times New Roman" w:cs="Times New Roman"/>
          <w:color w:val="333333"/>
          <w:sz w:val="24"/>
          <w:szCs w:val="24"/>
          <w:shd w:val="clear" w:color="auto" w:fill="FFFFFF"/>
        </w:rPr>
        <w:t xml:space="preserve"> 115 CMR 6.30-6.33.</w:t>
      </w:r>
      <w:r w:rsidR="0042785E">
        <w:rPr>
          <w:rFonts w:ascii="Times New Roman" w:hAnsi="Times New Roman" w:cs="Times New Roman"/>
          <w:color w:val="333333"/>
          <w:sz w:val="24"/>
          <w:szCs w:val="24"/>
          <w:shd w:val="clear" w:color="auto" w:fill="FFFFFF"/>
        </w:rPr>
        <w:t xml:space="preserve"> </w:t>
      </w:r>
      <w:r w:rsidR="005E7AB9">
        <w:rPr>
          <w:rFonts w:ascii="Times New Roman" w:hAnsi="Times New Roman" w:cs="Times New Roman"/>
          <w:color w:val="333333"/>
          <w:sz w:val="24"/>
          <w:szCs w:val="24"/>
          <w:shd w:val="clear" w:color="auto" w:fill="FFFFFF"/>
        </w:rPr>
        <w:t xml:space="preserve"> </w:t>
      </w:r>
      <w:r w:rsidR="0042785E">
        <w:rPr>
          <w:rFonts w:ascii="Times New Roman" w:hAnsi="Times New Roman" w:cs="Times New Roman"/>
          <w:color w:val="333333"/>
          <w:sz w:val="24"/>
          <w:szCs w:val="24"/>
          <w:shd w:val="clear" w:color="auto" w:fill="FFFFFF"/>
        </w:rPr>
        <w:t>Following an administrative appeal process before an impartial hearing office</w:t>
      </w:r>
      <w:r w:rsidR="00857250">
        <w:rPr>
          <w:rFonts w:ascii="Times New Roman" w:hAnsi="Times New Roman" w:cs="Times New Roman"/>
          <w:color w:val="333333"/>
          <w:sz w:val="24"/>
          <w:szCs w:val="24"/>
          <w:shd w:val="clear" w:color="auto" w:fill="FFFFFF"/>
        </w:rPr>
        <w:t>r</w:t>
      </w:r>
      <w:r w:rsidR="0042785E">
        <w:rPr>
          <w:rFonts w:ascii="Times New Roman" w:hAnsi="Times New Roman" w:cs="Times New Roman"/>
          <w:color w:val="333333"/>
          <w:sz w:val="24"/>
          <w:szCs w:val="24"/>
          <w:shd w:val="clear" w:color="auto" w:fill="FFFFFF"/>
        </w:rPr>
        <w:t>, a participant may also seek judicial review.</w:t>
      </w:r>
      <w:r w:rsidR="005E7AB9">
        <w:rPr>
          <w:rFonts w:ascii="Times New Roman" w:hAnsi="Times New Roman" w:cs="Times New Roman"/>
          <w:color w:val="333333"/>
          <w:sz w:val="24"/>
          <w:szCs w:val="24"/>
          <w:shd w:val="clear" w:color="auto" w:fill="FFFFFF"/>
        </w:rPr>
        <w:t xml:space="preserve"> </w:t>
      </w:r>
      <w:r w:rsidR="00C560C0" w:rsidRPr="00BD7E15">
        <w:rPr>
          <w:rFonts w:ascii="Times New Roman" w:hAnsi="Times New Roman" w:cs="Times New Roman"/>
          <w:i/>
          <w:iCs/>
          <w:color w:val="333333"/>
          <w:sz w:val="24"/>
          <w:szCs w:val="24"/>
          <w:shd w:val="clear" w:color="auto" w:fill="FFFFFF"/>
        </w:rPr>
        <w:t>See</w:t>
      </w:r>
      <w:r w:rsidR="005E7AB9">
        <w:rPr>
          <w:rFonts w:ascii="Times New Roman" w:hAnsi="Times New Roman" w:cs="Times New Roman"/>
          <w:color w:val="333333"/>
          <w:sz w:val="24"/>
          <w:szCs w:val="24"/>
          <w:shd w:val="clear" w:color="auto" w:fill="FFFFFF"/>
        </w:rPr>
        <w:t xml:space="preserve"> </w:t>
      </w:r>
      <w:r w:rsidR="00C560C0">
        <w:rPr>
          <w:rFonts w:ascii="Times New Roman" w:hAnsi="Times New Roman" w:cs="Times New Roman"/>
          <w:color w:val="333333"/>
          <w:sz w:val="24"/>
          <w:szCs w:val="24"/>
          <w:shd w:val="clear" w:color="auto" w:fill="FFFFFF"/>
        </w:rPr>
        <w:t xml:space="preserve">M.G.L. c. 30A </w:t>
      </w:r>
      <w:r w:rsidR="005E7AB9">
        <w:rPr>
          <w:rFonts w:ascii="Times New Roman" w:hAnsi="Times New Roman" w:cs="Times New Roman"/>
          <w:color w:val="333333"/>
          <w:sz w:val="24"/>
          <w:szCs w:val="24"/>
          <w:shd w:val="clear" w:color="auto" w:fill="FFFFFF"/>
        </w:rPr>
        <w:t xml:space="preserve">Of course, participants who reside together may agree with each other to have reasonable restrictions, such as any housemates or family members may in their homes. </w:t>
      </w:r>
      <w:r w:rsidR="0042785E">
        <w:rPr>
          <w:rFonts w:ascii="Times New Roman" w:hAnsi="Times New Roman" w:cs="Times New Roman"/>
          <w:color w:val="333333"/>
          <w:sz w:val="24"/>
          <w:szCs w:val="24"/>
          <w:shd w:val="clear" w:color="auto" w:fill="FFFFFF"/>
        </w:rPr>
        <w:t xml:space="preserve"> </w:t>
      </w:r>
      <w:r w:rsidR="00FA070C" w:rsidRPr="0045041F">
        <w:rPr>
          <w:rFonts w:ascii="Times New Roman" w:hAnsi="Times New Roman" w:cs="Times New Roman"/>
          <w:color w:val="333333"/>
          <w:sz w:val="24"/>
          <w:szCs w:val="24"/>
          <w:shd w:val="clear" w:color="auto" w:fill="FFFFFF"/>
        </w:rPr>
        <w:t xml:space="preserve"> </w:t>
      </w:r>
    </w:p>
    <w:p w14:paraId="694489B9" w14:textId="0A44430D" w:rsidR="00124A57" w:rsidRPr="006C2860" w:rsidRDefault="00124A57" w:rsidP="001C0F1B">
      <w:pPr>
        <w:jc w:val="both"/>
        <w:rPr>
          <w:rFonts w:ascii="Times New Roman" w:hAnsi="Times New Roman" w:cs="Times New Roman"/>
          <w:sz w:val="24"/>
          <w:szCs w:val="24"/>
        </w:rPr>
      </w:pPr>
      <w:r w:rsidRPr="00124A57">
        <w:rPr>
          <w:rFonts w:ascii="Times New Roman" w:hAnsi="Times New Roman" w:cs="Times New Roman"/>
          <w:sz w:val="24"/>
          <w:szCs w:val="24"/>
        </w:rPr>
        <w:lastRenderedPageBreak/>
        <w:t>DDS’ Licensure and Certification process</w:t>
      </w:r>
      <w:r>
        <w:rPr>
          <w:rFonts w:ascii="Times New Roman" w:hAnsi="Times New Roman" w:cs="Times New Roman"/>
          <w:sz w:val="24"/>
          <w:szCs w:val="24"/>
        </w:rPr>
        <w:t xml:space="preserve"> </w:t>
      </w:r>
      <w:r w:rsidRPr="00124A57">
        <w:rPr>
          <w:rFonts w:ascii="Times New Roman" w:hAnsi="Times New Roman" w:cs="Times New Roman"/>
          <w:sz w:val="24"/>
          <w:szCs w:val="24"/>
        </w:rPr>
        <w:t xml:space="preserve">monitors providers and settings to </w:t>
      </w:r>
      <w:r w:rsidR="00054505">
        <w:rPr>
          <w:rFonts w:ascii="Times New Roman" w:hAnsi="Times New Roman" w:cs="Times New Roman"/>
          <w:sz w:val="24"/>
          <w:szCs w:val="24"/>
        </w:rPr>
        <w:t>ensure</w:t>
      </w:r>
      <w:r w:rsidR="00054505" w:rsidRPr="00124A57">
        <w:rPr>
          <w:rFonts w:ascii="Times New Roman" w:hAnsi="Times New Roman" w:cs="Times New Roman"/>
          <w:sz w:val="24"/>
          <w:szCs w:val="24"/>
        </w:rPr>
        <w:t xml:space="preserve"> </w:t>
      </w:r>
      <w:r w:rsidRPr="00124A57">
        <w:rPr>
          <w:rFonts w:ascii="Times New Roman" w:hAnsi="Times New Roman" w:cs="Times New Roman"/>
          <w:sz w:val="24"/>
          <w:szCs w:val="24"/>
        </w:rPr>
        <w:t>that individuals can visit with family and friends and are supported to get together with family and friends.</w:t>
      </w:r>
    </w:p>
    <w:sectPr w:rsidR="00124A57" w:rsidRPr="006C2860" w:rsidSect="00D667FF">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E209" w14:textId="77777777" w:rsidR="00C53CB6" w:rsidRDefault="00C53CB6" w:rsidP="002056C3">
      <w:pPr>
        <w:spacing w:after="0" w:line="240" w:lineRule="auto"/>
      </w:pPr>
      <w:r>
        <w:separator/>
      </w:r>
    </w:p>
  </w:endnote>
  <w:endnote w:type="continuationSeparator" w:id="0">
    <w:p w14:paraId="6CFB9130" w14:textId="77777777" w:rsidR="00C53CB6" w:rsidRDefault="00C53CB6" w:rsidP="00205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E9D6" w14:textId="77777777" w:rsidR="00360670" w:rsidRDefault="00ED7AD7" w:rsidP="00360670">
    <w:pPr>
      <w:pStyle w:val="Footer"/>
      <w:jc w:val="center"/>
      <w:rPr>
        <w:rFonts w:ascii="Times New Roman" w:hAnsi="Times New Roman" w:cs="Times New Roman"/>
      </w:rPr>
    </w:pPr>
    <w:r w:rsidRPr="00ED7AD7">
      <w:t xml:space="preserve"> </w:t>
    </w:r>
    <w:r w:rsidR="00360670">
      <w:rPr>
        <w:rFonts w:ascii="Times New Roman" w:hAnsi="Times New Roman" w:cs="Times New Roman"/>
      </w:rPr>
      <w:t>Sub-Regulatory Guidance on Visitation</w:t>
    </w:r>
  </w:p>
  <w:p w14:paraId="4A0F6F03" w14:textId="215495C0" w:rsidR="00360670" w:rsidRDefault="0047325D" w:rsidP="00360670">
    <w:pPr>
      <w:pStyle w:val="Footer"/>
      <w:jc w:val="center"/>
      <w:rPr>
        <w:rFonts w:ascii="Times New Roman" w:hAnsi="Times New Roman" w:cs="Times New Roman"/>
        <w:color w:val="FF0000"/>
      </w:rPr>
    </w:pPr>
    <w:r>
      <w:rPr>
        <w:rFonts w:ascii="Times New Roman" w:hAnsi="Times New Roman" w:cs="Times New Roman"/>
      </w:rPr>
      <w:t>October 27,</w:t>
    </w:r>
    <w:r w:rsidR="00360670">
      <w:rPr>
        <w:rFonts w:ascii="Times New Roman" w:hAnsi="Times New Roman" w:cs="Times New Roman"/>
      </w:rPr>
      <w:t xml:space="preserve"> 2022</w:t>
    </w:r>
  </w:p>
  <w:p w14:paraId="4D22AFBD" w14:textId="77777777" w:rsidR="00360670" w:rsidRDefault="00360670" w:rsidP="00360670">
    <w:pPr>
      <w:pStyle w:val="Footer"/>
      <w:jc w:val="center"/>
      <w:rPr>
        <w:rFonts w:ascii="Times New Roman" w:hAnsi="Times New Roman" w:cs="Times New Roman"/>
        <w:color w:val="FF0000"/>
      </w:rPr>
    </w:pPr>
  </w:p>
  <w:sdt>
    <w:sdtPr>
      <w:rPr>
        <w:noProof/>
      </w:rPr>
      <w:id w:val="1261647225"/>
      <w:docPartObj>
        <w:docPartGallery w:val="Page Numbers (Bottom of Page)"/>
        <w:docPartUnique/>
      </w:docPartObj>
    </w:sdtPr>
    <w:sdtEndPr>
      <w:rPr>
        <w:rFonts w:ascii="Times New Roman" w:hAnsi="Times New Roman" w:cs="Times New Roman"/>
        <w:color w:val="FF0000"/>
      </w:rPr>
    </w:sdtEndPr>
    <w:sdtContent>
      <w:p w14:paraId="74716D12" w14:textId="2B8DA2AA" w:rsidR="00ED7AD7" w:rsidRDefault="00ED7AD7" w:rsidP="0045041F">
        <w:pPr>
          <w:pStyle w:val="Footer"/>
          <w:rPr>
            <w:rFonts w:ascii="Times New Roman" w:hAnsi="Times New Roman" w:cs="Times New Roman"/>
            <w:noProof/>
            <w:color w:val="FF0000"/>
          </w:rPr>
        </w:pPr>
      </w:p>
      <w:p w14:paraId="6E059AD9" w14:textId="44EB281E" w:rsidR="00ED7AD7" w:rsidRPr="00ED7AD7" w:rsidRDefault="00A15FBC" w:rsidP="00ED7AD7">
        <w:pPr>
          <w:pStyle w:val="Footer"/>
          <w:jc w:val="center"/>
          <w:rPr>
            <w:rFonts w:ascii="Times New Roman" w:hAnsi="Times New Roman" w:cs="Times New Roman"/>
            <w:noProof/>
            <w:color w:val="FF0000"/>
          </w:rPr>
        </w:pPr>
        <w:r>
          <w:rPr>
            <w:rFonts w:ascii="Times New Roman" w:hAnsi="Times New Roman" w:cs="Times New Roman"/>
            <w:noProof/>
          </w:rPr>
          <w:t>Page 2 of 2</w:t>
        </w:r>
      </w:p>
    </w:sdtContent>
  </w:sdt>
  <w:p w14:paraId="38A08283" w14:textId="6812704A" w:rsidR="00ED7AD7" w:rsidRDefault="00ED7AD7" w:rsidP="00ED7AD7">
    <w:pPr>
      <w:pStyle w:val="Footer"/>
    </w:pPr>
  </w:p>
  <w:p w14:paraId="40C0F74D" w14:textId="79BBE72C" w:rsidR="00ED7AD7" w:rsidRDefault="00ED7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649370"/>
      <w:docPartObj>
        <w:docPartGallery w:val="Page Numbers (Bottom of Page)"/>
        <w:docPartUnique/>
      </w:docPartObj>
    </w:sdtPr>
    <w:sdtEndPr>
      <w:rPr>
        <w:rFonts w:ascii="Times New Roman" w:hAnsi="Times New Roman" w:cs="Times New Roman"/>
        <w:noProof/>
      </w:rPr>
    </w:sdtEndPr>
    <w:sdtContent>
      <w:p w14:paraId="14C1C38F" w14:textId="1312B265" w:rsidR="00A15FBC" w:rsidRDefault="00447595" w:rsidP="003A2883">
        <w:pPr>
          <w:pStyle w:val="Footer"/>
          <w:jc w:val="center"/>
          <w:rPr>
            <w:rFonts w:ascii="Times New Roman" w:hAnsi="Times New Roman" w:cs="Times New Roman"/>
          </w:rPr>
        </w:pPr>
        <w:r>
          <w:rPr>
            <w:rFonts w:ascii="Times New Roman" w:hAnsi="Times New Roman" w:cs="Times New Roman"/>
          </w:rPr>
          <w:t>Sub-Regulatory Guidance</w:t>
        </w:r>
        <w:r w:rsidR="006B3A3A">
          <w:rPr>
            <w:rFonts w:ascii="Times New Roman" w:hAnsi="Times New Roman" w:cs="Times New Roman"/>
          </w:rPr>
          <w:t xml:space="preserve"> on Visitation</w:t>
        </w:r>
      </w:p>
      <w:p w14:paraId="55131F2A" w14:textId="7869217F" w:rsidR="00447595" w:rsidRDefault="002B148D" w:rsidP="003A2883">
        <w:pPr>
          <w:pStyle w:val="Footer"/>
          <w:jc w:val="center"/>
          <w:rPr>
            <w:rFonts w:ascii="Times New Roman" w:hAnsi="Times New Roman" w:cs="Times New Roman"/>
            <w:color w:val="FF0000"/>
          </w:rPr>
        </w:pPr>
        <w:r>
          <w:rPr>
            <w:rFonts w:ascii="Times New Roman" w:hAnsi="Times New Roman" w:cs="Times New Roman"/>
          </w:rPr>
          <w:t xml:space="preserve">October </w:t>
        </w:r>
        <w:r w:rsidR="0047325D">
          <w:rPr>
            <w:rFonts w:ascii="Times New Roman" w:hAnsi="Times New Roman" w:cs="Times New Roman"/>
          </w:rPr>
          <w:t>27</w:t>
        </w:r>
        <w:r w:rsidR="00447595">
          <w:rPr>
            <w:rFonts w:ascii="Times New Roman" w:hAnsi="Times New Roman" w:cs="Times New Roman"/>
          </w:rPr>
          <w:t>, 2022</w:t>
        </w:r>
      </w:p>
      <w:p w14:paraId="5F7C2882" w14:textId="77777777" w:rsidR="00A15FBC" w:rsidRDefault="00A15FBC" w:rsidP="00ED7AD7">
        <w:pPr>
          <w:pStyle w:val="Footer"/>
          <w:jc w:val="center"/>
          <w:rPr>
            <w:rFonts w:ascii="Times New Roman" w:hAnsi="Times New Roman" w:cs="Times New Roman"/>
            <w:color w:val="FF0000"/>
          </w:rPr>
        </w:pPr>
      </w:p>
      <w:p w14:paraId="7BCE9803" w14:textId="7F50E0C3" w:rsidR="00ED7AD7" w:rsidRPr="00A15FBC" w:rsidRDefault="00A15FBC" w:rsidP="00ED7AD7">
        <w:pPr>
          <w:pStyle w:val="Footer"/>
          <w:jc w:val="center"/>
          <w:rPr>
            <w:rFonts w:ascii="Times New Roman" w:hAnsi="Times New Roman" w:cs="Times New Roman"/>
          </w:rPr>
        </w:pPr>
        <w:r w:rsidRPr="00A15FBC">
          <w:rPr>
            <w:rFonts w:ascii="Times New Roman" w:hAnsi="Times New Roman" w:cs="Times New Roman"/>
          </w:rPr>
          <w:t>Page 1 of 2</w:t>
        </w:r>
      </w:p>
    </w:sdtContent>
  </w:sdt>
  <w:p w14:paraId="44293477" w14:textId="77777777" w:rsidR="00ED7AD7" w:rsidRDefault="00ED7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96691" w14:textId="77777777" w:rsidR="00C53CB6" w:rsidRDefault="00C53CB6" w:rsidP="002056C3">
      <w:pPr>
        <w:spacing w:after="0" w:line="240" w:lineRule="auto"/>
      </w:pPr>
      <w:r>
        <w:separator/>
      </w:r>
    </w:p>
  </w:footnote>
  <w:footnote w:type="continuationSeparator" w:id="0">
    <w:p w14:paraId="0F07F629" w14:textId="77777777" w:rsidR="00C53CB6" w:rsidRDefault="00C53CB6" w:rsidP="00205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A3C2B"/>
    <w:multiLevelType w:val="hybridMultilevel"/>
    <w:tmpl w:val="208C0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8B581D"/>
    <w:multiLevelType w:val="hybridMultilevel"/>
    <w:tmpl w:val="3F6A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810C2"/>
    <w:multiLevelType w:val="hybridMultilevel"/>
    <w:tmpl w:val="A7365FD6"/>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904225">
    <w:abstractNumId w:val="1"/>
  </w:num>
  <w:num w:numId="2" w16cid:durableId="334459667">
    <w:abstractNumId w:val="2"/>
  </w:num>
  <w:num w:numId="3" w16cid:durableId="95239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C3"/>
    <w:rsid w:val="000222D4"/>
    <w:rsid w:val="000401EC"/>
    <w:rsid w:val="00042C46"/>
    <w:rsid w:val="00054505"/>
    <w:rsid w:val="00054900"/>
    <w:rsid w:val="00070F56"/>
    <w:rsid w:val="00076281"/>
    <w:rsid w:val="000D1F54"/>
    <w:rsid w:val="000F4CBE"/>
    <w:rsid w:val="00103FE4"/>
    <w:rsid w:val="00110FC9"/>
    <w:rsid w:val="00124A57"/>
    <w:rsid w:val="00151EBF"/>
    <w:rsid w:val="001537A7"/>
    <w:rsid w:val="00164984"/>
    <w:rsid w:val="00164B48"/>
    <w:rsid w:val="00165503"/>
    <w:rsid w:val="001A62E7"/>
    <w:rsid w:val="001B62E1"/>
    <w:rsid w:val="001B6F4E"/>
    <w:rsid w:val="001C0F1B"/>
    <w:rsid w:val="001C1B48"/>
    <w:rsid w:val="002035F5"/>
    <w:rsid w:val="002056C3"/>
    <w:rsid w:val="002127F2"/>
    <w:rsid w:val="00223670"/>
    <w:rsid w:val="00225CEF"/>
    <w:rsid w:val="0024387F"/>
    <w:rsid w:val="00247D20"/>
    <w:rsid w:val="00272BAC"/>
    <w:rsid w:val="002B148D"/>
    <w:rsid w:val="002B1BBA"/>
    <w:rsid w:val="002C223F"/>
    <w:rsid w:val="002F2F0D"/>
    <w:rsid w:val="002F6B09"/>
    <w:rsid w:val="00303C02"/>
    <w:rsid w:val="00326746"/>
    <w:rsid w:val="00336BBE"/>
    <w:rsid w:val="00344282"/>
    <w:rsid w:val="00345BFA"/>
    <w:rsid w:val="00352823"/>
    <w:rsid w:val="003561D1"/>
    <w:rsid w:val="00360670"/>
    <w:rsid w:val="00385DDD"/>
    <w:rsid w:val="00393C21"/>
    <w:rsid w:val="00397514"/>
    <w:rsid w:val="003A0FA9"/>
    <w:rsid w:val="003A2883"/>
    <w:rsid w:val="003A660E"/>
    <w:rsid w:val="003E1FCD"/>
    <w:rsid w:val="0042785E"/>
    <w:rsid w:val="004426DE"/>
    <w:rsid w:val="00447595"/>
    <w:rsid w:val="0045041F"/>
    <w:rsid w:val="004568AD"/>
    <w:rsid w:val="0047325D"/>
    <w:rsid w:val="00493F61"/>
    <w:rsid w:val="004C1EEE"/>
    <w:rsid w:val="004C6898"/>
    <w:rsid w:val="004E66AF"/>
    <w:rsid w:val="005835A0"/>
    <w:rsid w:val="00596AB5"/>
    <w:rsid w:val="005A583F"/>
    <w:rsid w:val="005B1AC9"/>
    <w:rsid w:val="005C23FB"/>
    <w:rsid w:val="005E403B"/>
    <w:rsid w:val="005E7AB9"/>
    <w:rsid w:val="005F6359"/>
    <w:rsid w:val="00601CBA"/>
    <w:rsid w:val="006069BA"/>
    <w:rsid w:val="0066247B"/>
    <w:rsid w:val="00686197"/>
    <w:rsid w:val="006B3A3A"/>
    <w:rsid w:val="006C2860"/>
    <w:rsid w:val="006C406A"/>
    <w:rsid w:val="006F057A"/>
    <w:rsid w:val="00776F17"/>
    <w:rsid w:val="007E3A06"/>
    <w:rsid w:val="00812041"/>
    <w:rsid w:val="00836A5A"/>
    <w:rsid w:val="00857250"/>
    <w:rsid w:val="008765D4"/>
    <w:rsid w:val="008937C3"/>
    <w:rsid w:val="0089725B"/>
    <w:rsid w:val="008A5880"/>
    <w:rsid w:val="009126DD"/>
    <w:rsid w:val="00927D01"/>
    <w:rsid w:val="009A555E"/>
    <w:rsid w:val="009C60A8"/>
    <w:rsid w:val="009C7565"/>
    <w:rsid w:val="009F0E87"/>
    <w:rsid w:val="009F3603"/>
    <w:rsid w:val="00A15FBC"/>
    <w:rsid w:val="00A4303B"/>
    <w:rsid w:val="00A46065"/>
    <w:rsid w:val="00A53FE5"/>
    <w:rsid w:val="00A551B9"/>
    <w:rsid w:val="00A6219B"/>
    <w:rsid w:val="00A929F2"/>
    <w:rsid w:val="00AB46F4"/>
    <w:rsid w:val="00AE34A4"/>
    <w:rsid w:val="00B4108E"/>
    <w:rsid w:val="00B4303F"/>
    <w:rsid w:val="00B61D6A"/>
    <w:rsid w:val="00B93F76"/>
    <w:rsid w:val="00BA41C9"/>
    <w:rsid w:val="00BA6075"/>
    <w:rsid w:val="00BA6E73"/>
    <w:rsid w:val="00BB6AE1"/>
    <w:rsid w:val="00C00AF5"/>
    <w:rsid w:val="00C26029"/>
    <w:rsid w:val="00C2708D"/>
    <w:rsid w:val="00C53CB6"/>
    <w:rsid w:val="00C560C0"/>
    <w:rsid w:val="00C738BC"/>
    <w:rsid w:val="00C912FB"/>
    <w:rsid w:val="00CB245D"/>
    <w:rsid w:val="00CC6FEF"/>
    <w:rsid w:val="00CE6C28"/>
    <w:rsid w:val="00CF43B5"/>
    <w:rsid w:val="00D522AD"/>
    <w:rsid w:val="00D667FF"/>
    <w:rsid w:val="00D67619"/>
    <w:rsid w:val="00D707F6"/>
    <w:rsid w:val="00DE6336"/>
    <w:rsid w:val="00DE747C"/>
    <w:rsid w:val="00E33D52"/>
    <w:rsid w:val="00E660F5"/>
    <w:rsid w:val="00E71816"/>
    <w:rsid w:val="00E7195B"/>
    <w:rsid w:val="00E72776"/>
    <w:rsid w:val="00E8381D"/>
    <w:rsid w:val="00E962D5"/>
    <w:rsid w:val="00EA0B3D"/>
    <w:rsid w:val="00EB1B77"/>
    <w:rsid w:val="00EB3F0B"/>
    <w:rsid w:val="00EC109E"/>
    <w:rsid w:val="00EC4562"/>
    <w:rsid w:val="00ED6D1A"/>
    <w:rsid w:val="00ED7AD7"/>
    <w:rsid w:val="00F03FE0"/>
    <w:rsid w:val="00F064CD"/>
    <w:rsid w:val="00F2129E"/>
    <w:rsid w:val="00F42506"/>
    <w:rsid w:val="00FA0080"/>
    <w:rsid w:val="00FA070C"/>
    <w:rsid w:val="00FA58AC"/>
    <w:rsid w:val="00FA7426"/>
    <w:rsid w:val="00FB14DE"/>
    <w:rsid w:val="00FB1EB5"/>
    <w:rsid w:val="00FB3183"/>
    <w:rsid w:val="00FB34A6"/>
    <w:rsid w:val="00FD094D"/>
    <w:rsid w:val="00FE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D87F"/>
  <w15:docId w15:val="{271D7216-6763-46AE-A00E-D7C98B8A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56C3"/>
    <w:pPr>
      <w:ind w:left="720"/>
      <w:contextualSpacing/>
    </w:pPr>
  </w:style>
  <w:style w:type="paragraph" w:styleId="Header">
    <w:name w:val="header"/>
    <w:basedOn w:val="Normal"/>
    <w:link w:val="HeaderChar"/>
    <w:uiPriority w:val="99"/>
    <w:unhideWhenUsed/>
    <w:rsid w:val="00205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6C3"/>
  </w:style>
  <w:style w:type="paragraph" w:styleId="Footer">
    <w:name w:val="footer"/>
    <w:basedOn w:val="Normal"/>
    <w:link w:val="FooterChar"/>
    <w:uiPriority w:val="99"/>
    <w:unhideWhenUsed/>
    <w:rsid w:val="00205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6C3"/>
  </w:style>
  <w:style w:type="paragraph" w:styleId="FootnoteText">
    <w:name w:val="footnote text"/>
    <w:basedOn w:val="Normal"/>
    <w:link w:val="FootnoteTextChar"/>
    <w:uiPriority w:val="99"/>
    <w:semiHidden/>
    <w:unhideWhenUsed/>
    <w:rsid w:val="00927D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7D01"/>
    <w:rPr>
      <w:sz w:val="20"/>
      <w:szCs w:val="20"/>
    </w:rPr>
  </w:style>
  <w:style w:type="character" w:styleId="FootnoteReference">
    <w:name w:val="footnote reference"/>
    <w:basedOn w:val="DefaultParagraphFont"/>
    <w:uiPriority w:val="99"/>
    <w:semiHidden/>
    <w:unhideWhenUsed/>
    <w:rsid w:val="00927D01"/>
    <w:rPr>
      <w:vertAlign w:val="superscript"/>
    </w:rPr>
  </w:style>
  <w:style w:type="paragraph" w:styleId="BalloonText">
    <w:name w:val="Balloon Text"/>
    <w:basedOn w:val="Normal"/>
    <w:link w:val="BalloonTextChar"/>
    <w:uiPriority w:val="99"/>
    <w:semiHidden/>
    <w:unhideWhenUsed/>
    <w:rsid w:val="0068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197"/>
    <w:rPr>
      <w:rFonts w:ascii="Tahoma" w:hAnsi="Tahoma" w:cs="Tahoma"/>
      <w:sz w:val="16"/>
      <w:szCs w:val="16"/>
    </w:rPr>
  </w:style>
  <w:style w:type="character" w:styleId="CommentReference">
    <w:name w:val="annotation reference"/>
    <w:basedOn w:val="DefaultParagraphFont"/>
    <w:uiPriority w:val="99"/>
    <w:semiHidden/>
    <w:unhideWhenUsed/>
    <w:rsid w:val="000D1F54"/>
    <w:rPr>
      <w:sz w:val="16"/>
      <w:szCs w:val="16"/>
    </w:rPr>
  </w:style>
  <w:style w:type="paragraph" w:styleId="CommentText">
    <w:name w:val="annotation text"/>
    <w:basedOn w:val="Normal"/>
    <w:link w:val="CommentTextChar"/>
    <w:uiPriority w:val="99"/>
    <w:unhideWhenUsed/>
    <w:rsid w:val="000D1F54"/>
    <w:pPr>
      <w:spacing w:line="240" w:lineRule="auto"/>
    </w:pPr>
    <w:rPr>
      <w:sz w:val="20"/>
      <w:szCs w:val="20"/>
    </w:rPr>
  </w:style>
  <w:style w:type="character" w:customStyle="1" w:styleId="CommentTextChar">
    <w:name w:val="Comment Text Char"/>
    <w:basedOn w:val="DefaultParagraphFont"/>
    <w:link w:val="CommentText"/>
    <w:uiPriority w:val="99"/>
    <w:rsid w:val="000D1F54"/>
    <w:rPr>
      <w:sz w:val="20"/>
      <w:szCs w:val="20"/>
    </w:rPr>
  </w:style>
  <w:style w:type="paragraph" w:styleId="CommentSubject">
    <w:name w:val="annotation subject"/>
    <w:basedOn w:val="CommentText"/>
    <w:next w:val="CommentText"/>
    <w:link w:val="CommentSubjectChar"/>
    <w:uiPriority w:val="99"/>
    <w:semiHidden/>
    <w:unhideWhenUsed/>
    <w:rsid w:val="000D1F54"/>
    <w:rPr>
      <w:b/>
      <w:bCs/>
    </w:rPr>
  </w:style>
  <w:style w:type="character" w:customStyle="1" w:styleId="CommentSubjectChar">
    <w:name w:val="Comment Subject Char"/>
    <w:basedOn w:val="CommentTextChar"/>
    <w:link w:val="CommentSubject"/>
    <w:uiPriority w:val="99"/>
    <w:semiHidden/>
    <w:rsid w:val="000D1F54"/>
    <w:rPr>
      <w:b/>
      <w:bCs/>
      <w:sz w:val="20"/>
      <w:szCs w:val="20"/>
    </w:rPr>
  </w:style>
  <w:style w:type="character" w:styleId="Hyperlink">
    <w:name w:val="Hyperlink"/>
    <w:basedOn w:val="DefaultParagraphFont"/>
    <w:uiPriority w:val="99"/>
    <w:unhideWhenUsed/>
    <w:rsid w:val="00A15FBC"/>
    <w:rPr>
      <w:color w:val="0000FF" w:themeColor="hyperlink"/>
      <w:u w:val="single"/>
    </w:rPr>
  </w:style>
  <w:style w:type="character" w:styleId="UnresolvedMention">
    <w:name w:val="Unresolved Mention"/>
    <w:basedOn w:val="DefaultParagraphFont"/>
    <w:uiPriority w:val="99"/>
    <w:semiHidden/>
    <w:unhideWhenUsed/>
    <w:rsid w:val="00A15FBC"/>
    <w:rPr>
      <w:color w:val="605E5C"/>
      <w:shd w:val="clear" w:color="auto" w:fill="E1DFDD"/>
    </w:rPr>
  </w:style>
  <w:style w:type="paragraph" w:styleId="Revision">
    <w:name w:val="Revision"/>
    <w:hidden/>
    <w:uiPriority w:val="99"/>
    <w:semiHidden/>
    <w:rsid w:val="00C00A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16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EFE24-AA26-42E0-80B5-5BD02CB1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Kathleen H (DDS)</dc:creator>
  <cp:lastModifiedBy>Bruner-Canhoto, Laney (DDS)</cp:lastModifiedBy>
  <cp:revision>2</cp:revision>
  <cp:lastPrinted>2019-10-10T18:41:00Z</cp:lastPrinted>
  <dcterms:created xsi:type="dcterms:W3CDTF">2022-10-27T17:11:00Z</dcterms:created>
  <dcterms:modified xsi:type="dcterms:W3CDTF">2022-10-27T17:11:00Z</dcterms:modified>
</cp:coreProperties>
</file>