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1F5" w:rsidRPr="00AF0615" w:rsidRDefault="007571F5" w:rsidP="007571F5">
      <w:pPr>
        <w:spacing w:before="161" w:after="161"/>
        <w:jc w:val="both"/>
        <w:outlineLvl w:val="0"/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</w:pPr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M.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Chính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sách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Quyền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Tự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quyết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(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Chính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sách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>số</w:t>
      </w:r>
      <w:proofErr w:type="spellEnd"/>
      <w:r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  <w:t xml:space="preserve"> 2009-1)</w:t>
      </w:r>
    </w:p>
    <w:p w:rsidR="007571F5" w:rsidRDefault="007571F5" w:rsidP="007571F5">
      <w:pPr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Chính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sách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của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DDS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số</w:t>
      </w:r>
      <w:proofErr w:type="spellEnd"/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#: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 xml:space="preserve"> 2009 </w:t>
      </w:r>
      <w:r>
        <w:rPr>
          <w:rFonts w:ascii="Arial" w:eastAsia="Times New Roman" w:hAnsi="Arial" w:cs="Arial"/>
          <w:color w:val="222222"/>
          <w:sz w:val="20"/>
          <w:szCs w:val="20"/>
        </w:rPr>
        <w:t>–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 xml:space="preserve"> 1</w:t>
      </w:r>
    </w:p>
    <w:p w:rsidR="007571F5" w:rsidRDefault="007571F5" w:rsidP="007571F5">
      <w:pPr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Ngày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ban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hành</w:t>
      </w:r>
      <w:proofErr w:type="spellEnd"/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>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  14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tháng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1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năm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2010 (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Tái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ban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hành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chỉnh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sửa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kỹ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thuật</w:t>
      </w:r>
      <w:proofErr w:type="spellEnd"/>
      <w:r w:rsidRPr="00AF0615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E703D8" w:rsidRDefault="007571F5" w:rsidP="00E703D8">
      <w:pPr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Ngày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có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hiệu</w:t>
      </w:r>
      <w:proofErr w:type="spellEnd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lực</w:t>
      </w:r>
      <w:proofErr w:type="spellEnd"/>
      <w:r w:rsidRPr="00AF0615">
        <w:rPr>
          <w:rFonts w:ascii="Arial" w:eastAsia="Times New Roman" w:hAnsi="Arial" w:cs="Arial"/>
          <w:b/>
          <w:bCs/>
          <w:color w:val="222222"/>
          <w:sz w:val="20"/>
          <w:szCs w:val="20"/>
        </w:rPr>
        <w:t>:</w:t>
      </w:r>
      <w:r w:rsidRPr="00AF0615">
        <w:rPr>
          <w:rFonts w:ascii="Arial" w:eastAsia="Times New Roman" w:hAnsi="Arial" w:cs="Arial"/>
          <w:color w:val="222222"/>
          <w:sz w:val="20"/>
          <w:szCs w:val="20"/>
        </w:rPr>
        <w:t>  9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tháng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3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năm</w:t>
      </w:r>
      <w:proofErr w:type="spellEnd"/>
      <w:r w:rsidRPr="00AF0615">
        <w:rPr>
          <w:rFonts w:ascii="Arial" w:eastAsia="Times New Roman" w:hAnsi="Arial" w:cs="Arial"/>
          <w:color w:val="222222"/>
          <w:sz w:val="20"/>
          <w:szCs w:val="20"/>
        </w:rPr>
        <w:t xml:space="preserve"> 2009 (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Ngày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sách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ban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hành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lần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đầu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tiên</w:t>
      </w:r>
      <w:proofErr w:type="spellEnd"/>
      <w:r w:rsidRPr="00AF0615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7571F5" w:rsidRPr="004E0A9C" w:rsidRDefault="007571F5" w:rsidP="00E703D8">
      <w:pPr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bookmarkEnd w:id="0"/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quan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Phát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triển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(DDS) </w:t>
      </w:r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cam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thúc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đẩy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về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việc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trao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quyền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những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.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Trong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một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hệ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thống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nhằm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thúc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đẩy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đưa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ra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,</w:t>
      </w:r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cung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cấp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cơ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quan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truyền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thống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phục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họ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thông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qua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thỏa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thuận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với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quan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Phát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triển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tất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bao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gồm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việc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thuê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quản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lý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những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trực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tiếp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họ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hai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này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>.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sẵn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quản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lý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tài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/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trung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gian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tài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chi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trả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quỹ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với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ngân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sách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từng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7571F5" w:rsidRPr="004E0A9C" w:rsidRDefault="007571F5" w:rsidP="007571F5">
      <w:pPr>
        <w:spacing w:after="24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thúc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đẩy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r w:rsidR="004B7C9A">
        <w:rPr>
          <w:rFonts w:ascii="Arial" w:eastAsia="Times New Roman" w:hAnsi="Arial" w:cs="Arial"/>
          <w:color w:val="222222"/>
          <w:sz w:val="20"/>
          <w:szCs w:val="20"/>
        </w:rPr>
        <w:t>DDS</w:t>
      </w:r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mở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rộng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hội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nhằm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tạo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điều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kiện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nếu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cũng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như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họ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hướng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trong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việc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tìm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kiếm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giúp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dựa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trên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cầu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trị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sở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thích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.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Điều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này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thực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hiện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thông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qua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việc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thiết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triển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khai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nhằm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giúp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4B7C9A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="004B7C9A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kiểm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soát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tốt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hơn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hướng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dẫn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sử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dụng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những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nào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;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sử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dụng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khi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nào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ở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đâu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từ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ai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.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này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kết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yếu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tố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hướng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mang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tính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hoá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nhạy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cảm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cả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về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văn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hoá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bao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4E0A9C">
        <w:rPr>
          <w:rFonts w:ascii="Arial" w:eastAsia="Times New Roman" w:hAnsi="Arial" w:cs="Arial"/>
          <w:color w:val="222222"/>
          <w:sz w:val="20"/>
          <w:szCs w:val="20"/>
        </w:rPr>
        <w:t>gồm</w:t>
      </w:r>
      <w:proofErr w:type="spellEnd"/>
      <w:r w:rsidRPr="004E0A9C">
        <w:rPr>
          <w:rFonts w:ascii="Arial" w:eastAsia="Times New Roman" w:hAnsi="Arial" w:cs="Arial"/>
          <w:color w:val="222222"/>
          <w:sz w:val="20"/>
          <w:szCs w:val="20"/>
        </w:rPr>
        <w:t>:</w:t>
      </w:r>
    </w:p>
    <w:p w:rsidR="00112C93" w:rsidRPr="00AF0615" w:rsidRDefault="00112C93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Quy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trình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lập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hướng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tới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từng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đặt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con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làm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trung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tâm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tạo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điều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kiện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nếu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xác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tiếp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cận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kết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4B7C9A">
        <w:rPr>
          <w:rFonts w:ascii="Arial" w:eastAsia="Times New Roman" w:hAnsi="Arial" w:cs="Arial"/>
          <w:color w:val="222222"/>
          <w:sz w:val="20"/>
          <w:szCs w:val="20"/>
        </w:rPr>
        <w:t>bao</w:t>
      </w:r>
      <w:proofErr w:type="spellEnd"/>
      <w:r w:rsidR="004B7C9A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4B7C9A">
        <w:rPr>
          <w:rFonts w:ascii="Arial" w:eastAsia="Times New Roman" w:hAnsi="Arial" w:cs="Arial"/>
          <w:color w:val="222222"/>
          <w:sz w:val="20"/>
          <w:szCs w:val="20"/>
        </w:rPr>
        <w:t>gồm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giữa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không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phải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đáp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ứng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cầu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biệt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mục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tiêu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xác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một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112C93" w:rsidRPr="00AF0615" w:rsidRDefault="00112C93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Nhóm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đội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bởi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/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thường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xuyên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đáp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ứng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giúp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này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hoàn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thành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mục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tiêu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mình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112C93" w:rsidRPr="00AF0615" w:rsidRDefault="00112C93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môi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giới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trong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việc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giúp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/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phát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triển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thực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hiện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lấy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con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làm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trung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tâm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112C93" w:rsidRPr="00AF0615" w:rsidRDefault="00112C93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bằng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tiền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đô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la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dùng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mua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bán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hàng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sử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dụng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quy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trong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lấy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con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làm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trung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tâm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quản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lý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bởi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hoặc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họ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khi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112C93" w:rsidRPr="00AF0615" w:rsidRDefault="00112C93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sẵn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vụ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quản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lý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tài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>/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trung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gian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tài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sẽ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chi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trả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quỹ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phù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hợp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với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dịch</w:t>
      </w:r>
      <w:proofErr w:type="spellEnd"/>
      <w:r w:rsidRPr="00112C9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12C93">
        <w:rPr>
          <w:rFonts w:ascii="Arial" w:eastAsia="Times New Roman" w:hAnsi="Arial" w:cs="Arial"/>
          <w:color w:val="222222"/>
          <w:sz w:val="20"/>
          <w:szCs w:val="20"/>
        </w:rPr>
        <w:t>v</w:t>
      </w:r>
      <w:r>
        <w:rPr>
          <w:rFonts w:ascii="Arial" w:eastAsia="Times New Roman" w:hAnsi="Arial" w:cs="Arial"/>
          <w:color w:val="222222"/>
          <w:sz w:val="20"/>
          <w:szCs w:val="20"/>
        </w:rPr>
        <w:t>ụ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ngân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sách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từng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D234AD" w:rsidRPr="00AF0615" w:rsidRDefault="00D234AD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bị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khuyết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tật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trí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tuệ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tuyển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dụng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sa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thải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đào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tạo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chuyên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trực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tiếp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viên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khác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D234AD" w:rsidRPr="00AF0615" w:rsidRDefault="00D234AD" w:rsidP="00D234AD">
      <w:pPr>
        <w:numPr>
          <w:ilvl w:val="0"/>
          <w:numId w:val="1"/>
        </w:numPr>
        <w:spacing w:before="240" w:after="24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vận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động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đào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tạo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dựa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trên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lựa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chọn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khách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hàng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ở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cấp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độ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khác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nhau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quyền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hạn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trách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nhiệm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thực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hiện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hướng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D234AD" w:rsidRPr="00AF0615" w:rsidRDefault="00D234AD" w:rsidP="00236ECE">
      <w:pPr>
        <w:spacing w:after="24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Với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quyền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sự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khi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cần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thiết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;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các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cá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nhân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bệnh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người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giám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hộ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gia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đình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có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thể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tự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đưa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ra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;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lập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kế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hoạch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tương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lai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mình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;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dành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bao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nhiêu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tiền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để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hỗ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trợ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và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chịu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trách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nhiệm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cho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chính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những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quyết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định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của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D234AD">
        <w:rPr>
          <w:rFonts w:ascii="Arial" w:eastAsia="Times New Roman" w:hAnsi="Arial" w:cs="Arial"/>
          <w:color w:val="222222"/>
          <w:sz w:val="20"/>
          <w:szCs w:val="20"/>
        </w:rPr>
        <w:t>họ</w:t>
      </w:r>
      <w:proofErr w:type="spellEnd"/>
      <w:r w:rsidRPr="00D234AD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FC47BF" w:rsidRDefault="00E703D8" w:rsidP="00D234AD">
      <w:pPr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Thông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tin </w: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này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được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cung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cấp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bởi</w:t>
      </w:r>
      <w:proofErr w:type="spellEnd"/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hyperlink r:id="rId5" w:history="1"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Cơ</w:t>
        </w:r>
        <w:proofErr w:type="spellEnd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 xml:space="preserve"> </w:t>
        </w:r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quan</w:t>
        </w:r>
        <w:proofErr w:type="spellEnd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 xml:space="preserve"> </w:t>
        </w:r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Dịch</w:t>
        </w:r>
        <w:proofErr w:type="spellEnd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 xml:space="preserve"> </w:t>
        </w:r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vụ</w:t>
        </w:r>
        <w:proofErr w:type="spellEnd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 xml:space="preserve"> </w:t>
        </w:r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Phát</w:t>
        </w:r>
        <w:proofErr w:type="spellEnd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 xml:space="preserve"> </w:t>
        </w:r>
        <w:proofErr w:type="spellStart"/>
        <w:r w:rsidR="00D234AD" w:rsidRPr="00D234AD">
          <w:rPr>
            <w:rStyle w:val="Hyperlink"/>
            <w:rFonts w:ascii="Arial" w:eastAsia="Times New Roman" w:hAnsi="Arial" w:cs="Arial"/>
            <w:sz w:val="20"/>
            <w:szCs w:val="20"/>
          </w:rPr>
          <w:t>triển</w:t>
        </w:r>
        <w:proofErr w:type="spellEnd"/>
      </w:hyperlink>
      <w:r w:rsidR="00D234AD" w:rsidRPr="00D234AD">
        <w:rPr>
          <w:rFonts w:ascii="Arial" w:eastAsia="Times New Roman" w:hAnsi="Arial" w:cs="Arial"/>
          <w:color w:val="222222"/>
          <w:sz w:val="20"/>
          <w:szCs w:val="20"/>
        </w:rPr>
        <w:t>.</w:t>
      </w:r>
      <w:r w:rsidR="00D234AD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sectPr w:rsidR="00FC47BF" w:rsidSect="00D234AD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15"/>
    <w:rsid w:val="00112C93"/>
    <w:rsid w:val="00236ECE"/>
    <w:rsid w:val="004943E1"/>
    <w:rsid w:val="004B7C9A"/>
    <w:rsid w:val="007571F5"/>
    <w:rsid w:val="00AF0615"/>
    <w:rsid w:val="00BB265C"/>
    <w:rsid w:val="00C13FC2"/>
    <w:rsid w:val="00D234AD"/>
    <w:rsid w:val="00E703D8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22E7631-B20B-49BF-B8F2-281B9F62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3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http://www.mass.gov/dds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2017-03-24T16:04:00Z</dcterms:created>
  <dc:creator>Sullivan, Mary (DDS)</dc:creator>
  <lastModifiedBy>Ashley</lastModifiedBy>
  <lastPrinted>2017-03-23T12:50:00Z</lastPrinted>
  <dcterms:modified xsi:type="dcterms:W3CDTF">2017-03-24T16:06:00Z</dcterms:modified>
  <revision>3</revision>
</coreProperties>
</file>