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0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9900"/>
      </w:tblGrid>
      <w:tr w:rsidR="00A06AFF" w:rsidRPr="00A06AFF" w14:paraId="56DB1136" w14:textId="77777777" w:rsidTr="008F5256">
        <w:tc>
          <w:tcPr>
            <w:tcW w:w="9900" w:type="dxa"/>
          </w:tcPr>
          <w:p w14:paraId="719AB33D" w14:textId="77777777" w:rsidR="00A06AFF" w:rsidRPr="00A06AFF" w:rsidRDefault="00A06AFF" w:rsidP="00A06AFF">
            <w:pPr>
              <w:jc w:val="center"/>
              <w:rPr>
                <w:rFonts w:ascii="Monotype Corsiva" w:hAnsi="Monotype Corsiva"/>
                <w:sz w:val="44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05CE7AB" wp14:editId="5730547A">
                  <wp:simplePos x="0" y="0"/>
                  <wp:positionH relativeFrom="column">
                    <wp:posOffset>-335280</wp:posOffset>
                  </wp:positionH>
                  <wp:positionV relativeFrom="paragraph">
                    <wp:posOffset>-44450</wp:posOffset>
                  </wp:positionV>
                  <wp:extent cx="1200150" cy="1200150"/>
                  <wp:effectExtent l="0" t="0" r="0" b="0"/>
                  <wp:wrapNone/>
                  <wp:docPr id="5" name="Picture 2" descr="State 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ate 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06AFF">
              <w:rPr>
                <w:rFonts w:ascii="Monotype Corsiva" w:hAnsi="Monotype Corsiva"/>
                <w:sz w:val="44"/>
                <w:szCs w:val="20"/>
              </w:rPr>
              <w:t>The Commonwealth of Massachusetts</w:t>
            </w:r>
          </w:p>
        </w:tc>
      </w:tr>
      <w:tr w:rsidR="00A06AFF" w:rsidRPr="00A06AFF" w14:paraId="2C57A5CB" w14:textId="77777777" w:rsidTr="00DB1B66">
        <w:trPr>
          <w:trHeight w:val="405"/>
        </w:trPr>
        <w:tc>
          <w:tcPr>
            <w:tcW w:w="9900" w:type="dxa"/>
          </w:tcPr>
          <w:p w14:paraId="2D302DBE" w14:textId="77777777" w:rsidR="00A06AFF" w:rsidRPr="00A06AFF" w:rsidRDefault="00A06AFF" w:rsidP="00A06AFF">
            <w:pPr>
              <w:jc w:val="center"/>
              <w:rPr>
                <w:rFonts w:ascii="Monotype Corsiva" w:hAnsi="Monotype Corsiva"/>
                <w:sz w:val="44"/>
                <w:szCs w:val="20"/>
              </w:rPr>
            </w:pPr>
            <w:r w:rsidRPr="00A06AFF">
              <w:rPr>
                <w:rFonts w:ascii="Monotype Corsiva" w:hAnsi="Monotype Corsiva"/>
                <w:sz w:val="44"/>
                <w:szCs w:val="20"/>
              </w:rPr>
              <w:t>Department of Revenue</w:t>
            </w:r>
          </w:p>
        </w:tc>
      </w:tr>
      <w:tr w:rsidR="00A06AFF" w:rsidRPr="00A06AFF" w14:paraId="2A29DE7E" w14:textId="77777777" w:rsidTr="008F5256">
        <w:tc>
          <w:tcPr>
            <w:tcW w:w="9900" w:type="dxa"/>
          </w:tcPr>
          <w:p w14:paraId="3980396F" w14:textId="77777777" w:rsidR="00A06AFF" w:rsidRPr="00A06AFF" w:rsidRDefault="00A06AFF" w:rsidP="00A06AFF">
            <w:pPr>
              <w:keepNext/>
              <w:jc w:val="center"/>
              <w:outlineLvl w:val="0"/>
              <w:rPr>
                <w:rFonts w:ascii="Monotype Corsiva" w:hAnsi="Monotype Corsiva"/>
                <w:sz w:val="36"/>
                <w:szCs w:val="20"/>
              </w:rPr>
            </w:pPr>
            <w:r w:rsidRPr="00A06AFF">
              <w:rPr>
                <w:rFonts w:ascii="Monotype Corsiva" w:hAnsi="Monotype Corsiva"/>
                <w:sz w:val="36"/>
                <w:szCs w:val="20"/>
              </w:rPr>
              <w:t>Office of the Commissioner</w:t>
            </w:r>
          </w:p>
          <w:p w14:paraId="07282541" w14:textId="0CF19CCC" w:rsidR="00A06AFF" w:rsidRPr="00A06AFF" w:rsidRDefault="00A06AFF" w:rsidP="00A06AFF">
            <w:pPr>
              <w:keepNext/>
              <w:jc w:val="center"/>
              <w:outlineLvl w:val="0"/>
              <w:rPr>
                <w:rFonts w:ascii="Monotype Corsiva" w:hAnsi="Monotype Corsiva"/>
                <w:sz w:val="36"/>
                <w:szCs w:val="20"/>
              </w:rPr>
            </w:pPr>
            <w:r w:rsidRPr="00A06AFF">
              <w:rPr>
                <w:rFonts w:ascii="Monotype Corsiva" w:hAnsi="Monotype Corsiva"/>
                <w:sz w:val="36"/>
                <w:szCs w:val="20"/>
              </w:rPr>
              <w:t xml:space="preserve">PO Box </w:t>
            </w:r>
            <w:r w:rsidR="00C81277">
              <w:rPr>
                <w:rFonts w:ascii="Monotype Corsiva" w:hAnsi="Monotype Corsiva"/>
                <w:sz w:val="36"/>
                <w:szCs w:val="20"/>
              </w:rPr>
              <w:t>7091</w:t>
            </w:r>
          </w:p>
        </w:tc>
      </w:tr>
      <w:tr w:rsidR="00A06AFF" w:rsidRPr="00A06AFF" w14:paraId="5197312E" w14:textId="77777777" w:rsidTr="008F5256">
        <w:tc>
          <w:tcPr>
            <w:tcW w:w="9900" w:type="dxa"/>
          </w:tcPr>
          <w:p w14:paraId="2349643D" w14:textId="2B7BA66D" w:rsidR="00A06AFF" w:rsidRPr="00A06AFF" w:rsidRDefault="00A06AFF" w:rsidP="00A06AFF">
            <w:pPr>
              <w:keepNext/>
              <w:jc w:val="center"/>
              <w:outlineLvl w:val="0"/>
              <w:rPr>
                <w:rFonts w:ascii="Monotype Corsiva" w:hAnsi="Monotype Corsiva"/>
                <w:sz w:val="16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259F7D" wp14:editId="62647013">
                      <wp:simplePos x="0" y="0"/>
                      <wp:positionH relativeFrom="column">
                        <wp:posOffset>-657225</wp:posOffset>
                      </wp:positionH>
                      <wp:positionV relativeFrom="paragraph">
                        <wp:posOffset>157480</wp:posOffset>
                      </wp:positionV>
                      <wp:extent cx="1571625" cy="400050"/>
                      <wp:effectExtent l="0" t="0" r="9525" b="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162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262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628"/>
                                  </w:tblGrid>
                                  <w:tr w:rsidR="00A06AFF" w14:paraId="3A1E90AE" w14:textId="77777777" w:rsidTr="00937331">
                                    <w:tc>
                                      <w:tcPr>
                                        <w:tcW w:w="2628" w:type="dxa"/>
                                      </w:tcPr>
                                      <w:p w14:paraId="04011F68" w14:textId="330353B5" w:rsidR="00A06AFF" w:rsidRPr="007944E9" w:rsidRDefault="00214BA3" w:rsidP="00E800D6">
                                        <w:pPr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>GEOFFREY E. SNYDER</w:t>
                                        </w:r>
                                      </w:p>
                                    </w:tc>
                                  </w:tr>
                                  <w:tr w:rsidR="00A06AFF" w14:paraId="5ED5CE3E" w14:textId="77777777" w:rsidTr="00937331">
                                    <w:tc>
                                      <w:tcPr>
                                        <w:tcW w:w="2628" w:type="dxa"/>
                                      </w:tcPr>
                                      <w:p w14:paraId="41A12A05" w14:textId="77777777" w:rsidR="00A06AFF" w:rsidRPr="007944E9" w:rsidRDefault="00A06AFF" w:rsidP="00E800D6">
                                        <w:pPr>
                                          <w:jc w:val="center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7944E9">
                                          <w:rPr>
                                            <w:sz w:val="16"/>
                                            <w:szCs w:val="16"/>
                                          </w:rPr>
                                          <w:t>COMMISSIONER</w:t>
                                        </w:r>
                                      </w:p>
                                    </w:tc>
                                  </w:tr>
                                </w:tbl>
                                <w:p w14:paraId="4B5604DA" w14:textId="77777777" w:rsidR="00A06AFF" w:rsidRDefault="00A06AFF" w:rsidP="00A06AF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259F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51.75pt;margin-top:12.4pt;width:123.7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" stroked="f">
                      <v:textbox>
                        <w:txbxContent>
                          <w:tbl>
                            <w:tblPr>
                              <w:tblW w:w="262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628"/>
                            </w:tblGrid>
                            <w:tr w:rsidR="00A06AFF" w14:paraId="3A1E90AE" w14:textId="77777777" w:rsidTr="00937331">
                              <w:tc>
                                <w:tcPr>
                                  <w:tcW w:w="2628" w:type="dxa"/>
                                </w:tcPr>
                                <w:p w14:paraId="04011F68" w14:textId="330353B5" w:rsidR="00A06AFF" w:rsidRPr="007944E9" w:rsidRDefault="00214BA3" w:rsidP="00E800D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GEOFFREY E. SNYDER</w:t>
                                  </w:r>
                                </w:p>
                              </w:tc>
                            </w:tr>
                            <w:tr w:rsidR="00A06AFF" w14:paraId="5ED5CE3E" w14:textId="77777777" w:rsidTr="00937331">
                              <w:tc>
                                <w:tcPr>
                                  <w:tcW w:w="2628" w:type="dxa"/>
                                </w:tcPr>
                                <w:p w14:paraId="41A12A05" w14:textId="77777777" w:rsidR="00A06AFF" w:rsidRPr="007944E9" w:rsidRDefault="00A06AFF" w:rsidP="00E800D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944E9">
                                    <w:rPr>
                                      <w:sz w:val="16"/>
                                      <w:szCs w:val="16"/>
                                    </w:rPr>
                                    <w:t>COMMISSIONER</w:t>
                                  </w:r>
                                </w:p>
                              </w:tc>
                            </w:tr>
                          </w:tbl>
                          <w:p w14:paraId="4B5604DA" w14:textId="77777777" w:rsidR="00A06AFF" w:rsidRDefault="00A06AFF" w:rsidP="00A06AFF"/>
                        </w:txbxContent>
                      </v:textbox>
                    </v:shape>
                  </w:pict>
                </mc:Fallback>
              </mc:AlternateContent>
            </w:r>
            <w:r w:rsidRPr="00A06AFF">
              <w:rPr>
                <w:rFonts w:ascii="Monotype Corsiva" w:hAnsi="Monotype Corsiva"/>
                <w:sz w:val="36"/>
                <w:szCs w:val="20"/>
              </w:rPr>
              <w:t>Boston, MA  02</w:t>
            </w:r>
            <w:r w:rsidR="00C81277">
              <w:rPr>
                <w:rFonts w:ascii="Monotype Corsiva" w:hAnsi="Monotype Corsiva"/>
                <w:sz w:val="36"/>
                <w:szCs w:val="20"/>
              </w:rPr>
              <w:t>204</w:t>
            </w:r>
            <w:r w:rsidRPr="00A06AFF">
              <w:rPr>
                <w:rFonts w:ascii="Monotype Corsiva" w:hAnsi="Monotype Corsiva"/>
                <w:sz w:val="36"/>
                <w:szCs w:val="20"/>
              </w:rPr>
              <w:t>-</w:t>
            </w:r>
            <w:r w:rsidR="00C81277">
              <w:rPr>
                <w:rFonts w:ascii="Monotype Corsiva" w:hAnsi="Monotype Corsiva"/>
                <w:sz w:val="36"/>
                <w:szCs w:val="20"/>
              </w:rPr>
              <w:t>7091</w:t>
            </w:r>
          </w:p>
        </w:tc>
      </w:tr>
    </w:tbl>
    <w:p w14:paraId="30469451" w14:textId="77777777" w:rsidR="00A06AFF" w:rsidRPr="00A06AFF" w:rsidRDefault="00A06AFF" w:rsidP="00A06AFF">
      <w:pPr>
        <w:rPr>
          <w:vanish/>
          <w:sz w:val="20"/>
          <w:szCs w:val="20"/>
        </w:rPr>
      </w:pPr>
    </w:p>
    <w:p w14:paraId="1EB4C2C4" w14:textId="77777777" w:rsidR="00A06AFF" w:rsidRPr="00A06AFF" w:rsidRDefault="00A06AFF" w:rsidP="00A06AFF">
      <w:pPr>
        <w:rPr>
          <w:vanish/>
          <w:sz w:val="20"/>
          <w:szCs w:val="20"/>
        </w:rPr>
      </w:pP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9810"/>
      </w:tblGrid>
      <w:tr w:rsidR="00A06AFF" w:rsidRPr="00A06AFF" w14:paraId="07ABC515" w14:textId="77777777" w:rsidTr="008F5256">
        <w:trPr>
          <w:trHeight w:val="153"/>
        </w:trPr>
        <w:tc>
          <w:tcPr>
            <w:tcW w:w="9810" w:type="dxa"/>
          </w:tcPr>
          <w:p w14:paraId="17A09CCB" w14:textId="77777777" w:rsidR="00A06AFF" w:rsidRPr="00A06AFF" w:rsidRDefault="00A06AFF" w:rsidP="00A06AFF">
            <w:pPr>
              <w:keepNext/>
              <w:ind w:left="9594" w:right="-3078" w:hanging="9594"/>
              <w:outlineLvl w:val="0"/>
              <w:rPr>
                <w:rFonts w:ascii="Monotype Corsiva" w:hAnsi="Monotype Corsiva"/>
                <w:sz w:val="40"/>
                <w:szCs w:val="20"/>
              </w:rPr>
            </w:pPr>
            <w:r w:rsidRPr="00A06AFF">
              <w:rPr>
                <w:rFonts w:ascii="Monotype Corsiva" w:hAnsi="Monotype Corsiva"/>
                <w:sz w:val="36"/>
                <w:szCs w:val="20"/>
              </w:rPr>
              <w:t xml:space="preserve">                    </w:t>
            </w:r>
          </w:p>
        </w:tc>
      </w:tr>
    </w:tbl>
    <w:p w14:paraId="63B465FB" w14:textId="77777777" w:rsidR="00A06AFF" w:rsidRPr="00A06AFF" w:rsidRDefault="00A06AFF" w:rsidP="00A06AFF">
      <w:pPr>
        <w:rPr>
          <w:rFonts w:ascii="Courier New" w:hAnsi="Courier New"/>
          <w:sz w:val="22"/>
          <w:szCs w:val="20"/>
        </w:rPr>
      </w:pPr>
    </w:p>
    <w:p w14:paraId="282C5AFC" w14:textId="3718C580" w:rsidR="009D5574" w:rsidRDefault="00CB7793" w:rsidP="00CD214D">
      <w:pPr>
        <w:autoSpaceDE w:val="0"/>
        <w:autoSpaceDN w:val="0"/>
        <w:adjustRightInd w:val="0"/>
      </w:pPr>
      <w:r>
        <w:t xml:space="preserve">  </w:t>
      </w:r>
      <w:r w:rsidR="00A72BFD">
        <w:t xml:space="preserve"> </w:t>
      </w:r>
      <w:r w:rsidR="00A72BFD">
        <w:tab/>
      </w:r>
    </w:p>
    <w:p w14:paraId="4C5D89FA" w14:textId="77777777" w:rsidR="00CD214D" w:rsidRDefault="00CD214D" w:rsidP="00CD214D">
      <w:pPr>
        <w:autoSpaceDE w:val="0"/>
        <w:autoSpaceDN w:val="0"/>
        <w:adjustRightInd w:val="0"/>
      </w:pPr>
    </w:p>
    <w:p w14:paraId="75EA4C23" w14:textId="3D3F4D3F" w:rsidR="004B1CA8" w:rsidRDefault="000136D6" w:rsidP="0012308B">
      <w:pPr>
        <w:autoSpaceDE w:val="0"/>
        <w:autoSpaceDN w:val="0"/>
        <w:adjustRightInd w:val="0"/>
      </w:pPr>
      <w:r>
        <w:t xml:space="preserve">December </w:t>
      </w:r>
      <w:r w:rsidR="00B57011">
        <w:t>18</w:t>
      </w:r>
      <w:r>
        <w:t>, 2025</w:t>
      </w:r>
    </w:p>
    <w:p w14:paraId="54E45C20" w14:textId="77777777" w:rsidR="00CD214D" w:rsidRDefault="00CD214D" w:rsidP="0012308B">
      <w:pPr>
        <w:rPr>
          <w:color w:val="000000" w:themeColor="text1"/>
        </w:rPr>
      </w:pPr>
    </w:p>
    <w:p w14:paraId="5CE59A11" w14:textId="660442DF" w:rsidR="0012308B" w:rsidRPr="00022B55" w:rsidRDefault="0012308B" w:rsidP="0012308B">
      <w:pPr>
        <w:rPr>
          <w:color w:val="000000" w:themeColor="text1"/>
        </w:rPr>
      </w:pPr>
      <w:r w:rsidRPr="00022B55">
        <w:rPr>
          <w:color w:val="000000" w:themeColor="text1"/>
        </w:rPr>
        <w:t>The Honorable Aaron</w:t>
      </w:r>
      <w:r w:rsidR="002E0750">
        <w:rPr>
          <w:color w:val="000000" w:themeColor="text1"/>
        </w:rPr>
        <w:t xml:space="preserve"> </w:t>
      </w:r>
      <w:r w:rsidRPr="00022B55">
        <w:rPr>
          <w:color w:val="000000" w:themeColor="text1"/>
        </w:rPr>
        <w:t>Michlewitz, Chair</w:t>
      </w:r>
    </w:p>
    <w:p w14:paraId="6F546101" w14:textId="77777777" w:rsidR="0012308B" w:rsidRPr="00022B55" w:rsidRDefault="0012308B" w:rsidP="0012308B">
      <w:pPr>
        <w:rPr>
          <w:color w:val="000000" w:themeColor="text1"/>
        </w:rPr>
      </w:pPr>
      <w:r w:rsidRPr="00022B55">
        <w:rPr>
          <w:color w:val="000000" w:themeColor="text1"/>
        </w:rPr>
        <w:t>House Committee on Ways and Means</w:t>
      </w:r>
    </w:p>
    <w:p w14:paraId="131A539C" w14:textId="77777777" w:rsidR="0012308B" w:rsidRPr="00022B55" w:rsidRDefault="0012308B" w:rsidP="0012308B">
      <w:pPr>
        <w:rPr>
          <w:color w:val="000000" w:themeColor="text1"/>
        </w:rPr>
      </w:pPr>
      <w:r w:rsidRPr="00022B55">
        <w:rPr>
          <w:color w:val="000000" w:themeColor="text1"/>
        </w:rPr>
        <w:t>State House</w:t>
      </w:r>
    </w:p>
    <w:p w14:paraId="74063F0B" w14:textId="77777777" w:rsidR="0012308B" w:rsidRPr="00CD214D" w:rsidRDefault="0012308B" w:rsidP="0012308B">
      <w:pPr>
        <w:rPr>
          <w:rStyle w:val="Hyperlink"/>
          <w:color w:val="000000" w:themeColor="text1"/>
          <w:u w:val="none"/>
        </w:rPr>
      </w:pPr>
      <w:hyperlink r:id="rId9" w:tgtFrame="_blank" w:history="1">
        <w:r w:rsidRPr="00CD214D">
          <w:rPr>
            <w:rStyle w:val="Hyperlink"/>
            <w:color w:val="000000" w:themeColor="text1"/>
            <w:u w:val="none"/>
          </w:rPr>
          <w:t>Room 243</w:t>
        </w:r>
        <w:r w:rsidRPr="00CD214D">
          <w:rPr>
            <w:color w:val="000000" w:themeColor="text1"/>
          </w:rPr>
          <w:br/>
        </w:r>
        <w:r w:rsidRPr="00CD214D">
          <w:rPr>
            <w:rStyle w:val="Hyperlink"/>
            <w:color w:val="000000" w:themeColor="text1"/>
            <w:u w:val="none"/>
          </w:rPr>
          <w:t>Boston, MA 02133</w:t>
        </w:r>
      </w:hyperlink>
    </w:p>
    <w:p w14:paraId="2EAD6BC1" w14:textId="77777777" w:rsidR="0012308B" w:rsidRPr="00022B55" w:rsidRDefault="0012308B" w:rsidP="0012308B">
      <w:pPr>
        <w:rPr>
          <w:color w:val="000000" w:themeColor="text1"/>
        </w:rPr>
      </w:pPr>
    </w:p>
    <w:p w14:paraId="4E0B8E2C" w14:textId="77777777" w:rsidR="0012308B" w:rsidRPr="00022B55" w:rsidRDefault="0012308B" w:rsidP="0012308B">
      <w:pPr>
        <w:rPr>
          <w:color w:val="000000" w:themeColor="text1"/>
        </w:rPr>
      </w:pPr>
      <w:r w:rsidRPr="00022B55">
        <w:rPr>
          <w:color w:val="000000" w:themeColor="text1"/>
        </w:rPr>
        <w:t>The Honorable Todd M. Smola, Ranking Member</w:t>
      </w:r>
    </w:p>
    <w:p w14:paraId="2C5A1DA1" w14:textId="77777777" w:rsidR="0012308B" w:rsidRPr="00022B55" w:rsidRDefault="0012308B" w:rsidP="0012308B">
      <w:pPr>
        <w:rPr>
          <w:color w:val="000000" w:themeColor="text1"/>
        </w:rPr>
      </w:pPr>
      <w:r w:rsidRPr="00022B55">
        <w:rPr>
          <w:color w:val="000000" w:themeColor="text1"/>
        </w:rPr>
        <w:t>House Committee on Ways and Means</w:t>
      </w:r>
    </w:p>
    <w:p w14:paraId="182F75B1" w14:textId="77777777" w:rsidR="0012308B" w:rsidRPr="00022B55" w:rsidRDefault="0012308B" w:rsidP="0012308B">
      <w:pPr>
        <w:tabs>
          <w:tab w:val="left" w:pos="5392"/>
        </w:tabs>
        <w:rPr>
          <w:color w:val="000000" w:themeColor="text1"/>
        </w:rPr>
      </w:pPr>
      <w:r w:rsidRPr="00022B55">
        <w:rPr>
          <w:color w:val="000000" w:themeColor="text1"/>
        </w:rPr>
        <w:t xml:space="preserve">State House </w:t>
      </w:r>
      <w:r w:rsidRPr="00022B55">
        <w:rPr>
          <w:color w:val="000000" w:themeColor="text1"/>
        </w:rPr>
        <w:tab/>
      </w:r>
    </w:p>
    <w:p w14:paraId="6FC2D6B9" w14:textId="77777777" w:rsidR="0012308B" w:rsidRPr="00022B55" w:rsidRDefault="0012308B" w:rsidP="0012308B">
      <w:pPr>
        <w:rPr>
          <w:color w:val="000000" w:themeColor="text1"/>
        </w:rPr>
      </w:pPr>
      <w:r w:rsidRPr="00022B55">
        <w:rPr>
          <w:color w:val="000000" w:themeColor="text1"/>
        </w:rPr>
        <w:t>Room 124</w:t>
      </w:r>
    </w:p>
    <w:p w14:paraId="20B465BA" w14:textId="778B18C9" w:rsidR="0012308B" w:rsidRPr="00022B55" w:rsidRDefault="0012308B" w:rsidP="00502686">
      <w:pPr>
        <w:tabs>
          <w:tab w:val="left" w:pos="5384"/>
          <w:tab w:val="right" w:pos="9360"/>
        </w:tabs>
        <w:rPr>
          <w:color w:val="000000" w:themeColor="text1"/>
        </w:rPr>
      </w:pPr>
      <w:r w:rsidRPr="00022B55">
        <w:rPr>
          <w:color w:val="000000" w:themeColor="text1"/>
        </w:rPr>
        <w:t>Boston, MA 02133</w:t>
      </w:r>
      <w:r w:rsidRPr="00022B55">
        <w:rPr>
          <w:color w:val="000000" w:themeColor="text1"/>
        </w:rPr>
        <w:tab/>
      </w:r>
      <w:r w:rsidR="00502686">
        <w:rPr>
          <w:color w:val="000000" w:themeColor="text1"/>
        </w:rPr>
        <w:tab/>
      </w:r>
    </w:p>
    <w:p w14:paraId="43AF676A" w14:textId="77777777" w:rsidR="0012308B" w:rsidRPr="00022B55" w:rsidRDefault="0012308B" w:rsidP="0012308B">
      <w:pPr>
        <w:rPr>
          <w:color w:val="000000" w:themeColor="text1"/>
        </w:rPr>
      </w:pPr>
    </w:p>
    <w:p w14:paraId="3B1F14FD" w14:textId="77777777" w:rsidR="0012308B" w:rsidRPr="00022B55" w:rsidRDefault="0012308B" w:rsidP="0012308B">
      <w:pPr>
        <w:rPr>
          <w:color w:val="000000" w:themeColor="text1"/>
        </w:rPr>
      </w:pPr>
      <w:r w:rsidRPr="00022B55">
        <w:rPr>
          <w:color w:val="000000" w:themeColor="text1"/>
        </w:rPr>
        <w:t>The Honorable Michael J. Rodrigues, Chair</w:t>
      </w:r>
    </w:p>
    <w:p w14:paraId="327512B1" w14:textId="77777777" w:rsidR="0012308B" w:rsidRPr="00022B55" w:rsidRDefault="0012308B" w:rsidP="0012308B">
      <w:pPr>
        <w:rPr>
          <w:color w:val="000000" w:themeColor="text1"/>
        </w:rPr>
      </w:pPr>
      <w:r w:rsidRPr="00022B55">
        <w:rPr>
          <w:color w:val="000000" w:themeColor="text1"/>
        </w:rPr>
        <w:t>Senate Committee on Ways and Means</w:t>
      </w:r>
    </w:p>
    <w:p w14:paraId="505ACF8A" w14:textId="77777777" w:rsidR="0012308B" w:rsidRPr="00022B55" w:rsidRDefault="0012308B" w:rsidP="0012308B">
      <w:pPr>
        <w:rPr>
          <w:color w:val="000000" w:themeColor="text1"/>
        </w:rPr>
      </w:pPr>
      <w:r w:rsidRPr="00022B55">
        <w:rPr>
          <w:color w:val="000000" w:themeColor="text1"/>
        </w:rPr>
        <w:t xml:space="preserve">State House </w:t>
      </w:r>
    </w:p>
    <w:p w14:paraId="46D8C6A9" w14:textId="77777777" w:rsidR="0012308B" w:rsidRPr="00022B55" w:rsidRDefault="0012308B" w:rsidP="0012308B">
      <w:pPr>
        <w:rPr>
          <w:color w:val="000000" w:themeColor="text1"/>
        </w:rPr>
      </w:pPr>
      <w:r w:rsidRPr="00022B55">
        <w:rPr>
          <w:color w:val="000000" w:themeColor="text1"/>
        </w:rPr>
        <w:t>Room 212</w:t>
      </w:r>
    </w:p>
    <w:p w14:paraId="054A1FF5" w14:textId="77777777" w:rsidR="0012308B" w:rsidRPr="00022B55" w:rsidRDefault="0012308B" w:rsidP="0012308B">
      <w:pPr>
        <w:rPr>
          <w:color w:val="000000" w:themeColor="text1"/>
        </w:rPr>
      </w:pPr>
      <w:r w:rsidRPr="00022B55">
        <w:rPr>
          <w:color w:val="000000" w:themeColor="text1"/>
        </w:rPr>
        <w:t>Boston, MA 02133</w:t>
      </w:r>
    </w:p>
    <w:p w14:paraId="07B8B653" w14:textId="77777777" w:rsidR="0012308B" w:rsidRPr="00ED555F" w:rsidRDefault="0012308B" w:rsidP="0012308B">
      <w:pPr>
        <w:autoSpaceDE w:val="0"/>
        <w:autoSpaceDN w:val="0"/>
        <w:adjustRightInd w:val="0"/>
        <w:rPr>
          <w:color w:val="000000"/>
        </w:rPr>
      </w:pPr>
    </w:p>
    <w:p w14:paraId="54374A18" w14:textId="77777777" w:rsidR="0012308B" w:rsidRPr="00E15FC7" w:rsidRDefault="0012308B" w:rsidP="0012308B">
      <w:pPr>
        <w:rPr>
          <w:color w:val="000000" w:themeColor="text1"/>
        </w:rPr>
      </w:pPr>
      <w:r w:rsidRPr="00E15FC7">
        <w:rPr>
          <w:color w:val="000000"/>
        </w:rPr>
        <w:t xml:space="preserve">The Honorable </w:t>
      </w:r>
      <w:r w:rsidRPr="00E15FC7">
        <w:rPr>
          <w:color w:val="000000" w:themeColor="text1"/>
        </w:rPr>
        <w:t>Patrick M. O'Connor</w:t>
      </w:r>
      <w:r w:rsidRPr="00E15FC7">
        <w:rPr>
          <w:color w:val="000000"/>
        </w:rPr>
        <w:t xml:space="preserve">, Ranking Member </w:t>
      </w:r>
    </w:p>
    <w:p w14:paraId="6822608B" w14:textId="77777777" w:rsidR="0012308B" w:rsidRPr="00E15FC7" w:rsidRDefault="0012308B" w:rsidP="0012308B">
      <w:pPr>
        <w:autoSpaceDE w:val="0"/>
        <w:autoSpaceDN w:val="0"/>
        <w:adjustRightInd w:val="0"/>
        <w:rPr>
          <w:color w:val="000000"/>
        </w:rPr>
      </w:pPr>
      <w:r w:rsidRPr="00E15FC7">
        <w:rPr>
          <w:color w:val="000000"/>
        </w:rPr>
        <w:t xml:space="preserve">Senate Committee on Ways and Means </w:t>
      </w:r>
    </w:p>
    <w:p w14:paraId="09DEAEEF" w14:textId="77777777" w:rsidR="0012308B" w:rsidRPr="00E15FC7" w:rsidRDefault="0012308B" w:rsidP="0012308B">
      <w:pPr>
        <w:tabs>
          <w:tab w:val="left" w:pos="7320"/>
        </w:tabs>
        <w:autoSpaceDE w:val="0"/>
        <w:autoSpaceDN w:val="0"/>
        <w:adjustRightInd w:val="0"/>
        <w:rPr>
          <w:color w:val="000000"/>
        </w:rPr>
      </w:pPr>
      <w:r w:rsidRPr="00E15FC7">
        <w:rPr>
          <w:color w:val="000000"/>
        </w:rPr>
        <w:t xml:space="preserve">State House </w:t>
      </w:r>
      <w:r>
        <w:rPr>
          <w:color w:val="000000"/>
        </w:rPr>
        <w:tab/>
      </w:r>
    </w:p>
    <w:p w14:paraId="3EE9B2A8" w14:textId="77777777" w:rsidR="0012308B" w:rsidRPr="00E15FC7" w:rsidRDefault="0012308B" w:rsidP="0012308B">
      <w:pPr>
        <w:autoSpaceDE w:val="0"/>
        <w:autoSpaceDN w:val="0"/>
        <w:adjustRightInd w:val="0"/>
        <w:rPr>
          <w:color w:val="000000"/>
        </w:rPr>
      </w:pPr>
      <w:r w:rsidRPr="00E15FC7">
        <w:rPr>
          <w:color w:val="000000"/>
        </w:rPr>
        <w:t xml:space="preserve">Room 419 </w:t>
      </w:r>
    </w:p>
    <w:p w14:paraId="2677BAD6" w14:textId="77777777" w:rsidR="0012308B" w:rsidRPr="00E15FC7" w:rsidRDefault="0012308B" w:rsidP="0012308B">
      <w:pPr>
        <w:rPr>
          <w:color w:val="000000"/>
        </w:rPr>
      </w:pPr>
      <w:r w:rsidRPr="00E15FC7">
        <w:rPr>
          <w:color w:val="000000"/>
        </w:rPr>
        <w:t>Boston, MA 02133</w:t>
      </w:r>
    </w:p>
    <w:p w14:paraId="5A477B7B" w14:textId="77777777" w:rsidR="0012308B" w:rsidRPr="00022B55" w:rsidRDefault="0012308B" w:rsidP="0012308B">
      <w:pPr>
        <w:rPr>
          <w:color w:val="000000" w:themeColor="text1"/>
        </w:rPr>
      </w:pPr>
    </w:p>
    <w:p w14:paraId="0359126D" w14:textId="77777777" w:rsidR="0012308B" w:rsidRPr="00022B55" w:rsidRDefault="0012308B" w:rsidP="0012308B">
      <w:pPr>
        <w:spacing w:before="120" w:line="252" w:lineRule="auto"/>
        <w:rPr>
          <w:color w:val="000000" w:themeColor="text1"/>
        </w:rPr>
      </w:pPr>
      <w:r w:rsidRPr="00022B55">
        <w:rPr>
          <w:color w:val="000000" w:themeColor="text1"/>
        </w:rPr>
        <w:t>Honorable Chairs and Ranking Minority Members of the Committees on Ways and Means:</w:t>
      </w:r>
    </w:p>
    <w:p w14:paraId="0B2492ED" w14:textId="504EEAE9" w:rsidR="0012308B" w:rsidRDefault="0012308B" w:rsidP="00E735C0">
      <w:pPr>
        <w:spacing w:before="240" w:line="252" w:lineRule="auto"/>
        <w:rPr>
          <w:color w:val="000000" w:themeColor="text1"/>
        </w:rPr>
      </w:pPr>
      <w:r w:rsidRPr="00022B55">
        <w:rPr>
          <w:color w:val="000000" w:themeColor="text1"/>
        </w:rPr>
        <w:t>Pursuant to Section 6 of Chapter 14 of the General Laws</w:t>
      </w:r>
      <w:r w:rsidRPr="00022B55">
        <w:rPr>
          <w:color w:val="000000" w:themeColor="text1"/>
          <w:vertAlign w:val="superscript"/>
        </w:rPr>
        <w:footnoteReference w:id="1"/>
      </w:r>
      <w:r w:rsidRPr="00022B55">
        <w:rPr>
          <w:color w:val="000000" w:themeColor="text1"/>
        </w:rPr>
        <w:t xml:space="preserve">, the Department of Revenue (DOR) hereby submits its mid-month tax revenue report for the month of </w:t>
      </w:r>
      <w:bookmarkStart w:id="0" w:name="_Hlk216770506"/>
      <w:r w:rsidR="00BB009B">
        <w:rPr>
          <w:color w:val="000000" w:themeColor="text1"/>
        </w:rPr>
        <w:t>December</w:t>
      </w:r>
      <w:bookmarkEnd w:id="0"/>
      <w:r w:rsidR="0090102F">
        <w:rPr>
          <w:color w:val="000000" w:themeColor="text1"/>
        </w:rPr>
        <w:t xml:space="preserve"> </w:t>
      </w:r>
      <w:r w:rsidRPr="00022B55">
        <w:rPr>
          <w:color w:val="000000" w:themeColor="text1"/>
        </w:rPr>
        <w:t>202</w:t>
      </w:r>
      <w:r w:rsidR="00B30EDE">
        <w:rPr>
          <w:color w:val="000000" w:themeColor="text1"/>
        </w:rPr>
        <w:t>5</w:t>
      </w:r>
      <w:r w:rsidRPr="00022B55">
        <w:rPr>
          <w:color w:val="000000" w:themeColor="text1"/>
        </w:rPr>
        <w:t xml:space="preserve">, the </w:t>
      </w:r>
      <w:r w:rsidR="00BB009B">
        <w:rPr>
          <w:color w:val="000000" w:themeColor="text1"/>
        </w:rPr>
        <w:t>sixth</w:t>
      </w:r>
      <w:r w:rsidR="000144F3">
        <w:rPr>
          <w:color w:val="000000" w:themeColor="text1"/>
        </w:rPr>
        <w:t xml:space="preserve"> </w:t>
      </w:r>
      <w:r w:rsidRPr="00022B55">
        <w:rPr>
          <w:color w:val="000000" w:themeColor="text1"/>
        </w:rPr>
        <w:t>month of fiscal year 202</w:t>
      </w:r>
      <w:r w:rsidR="0006169F">
        <w:rPr>
          <w:color w:val="000000" w:themeColor="text1"/>
        </w:rPr>
        <w:t>6</w:t>
      </w:r>
      <w:r w:rsidRPr="00022B55">
        <w:rPr>
          <w:color w:val="000000" w:themeColor="text1"/>
        </w:rPr>
        <w:t xml:space="preserve">.  The attached table shows </w:t>
      </w:r>
      <w:r w:rsidR="00BB009B">
        <w:rPr>
          <w:color w:val="000000" w:themeColor="text1"/>
        </w:rPr>
        <w:t>December</w:t>
      </w:r>
      <w:r w:rsidR="00961EE1" w:rsidRPr="00022B55">
        <w:rPr>
          <w:color w:val="000000" w:themeColor="text1"/>
        </w:rPr>
        <w:t xml:space="preserve"> </w:t>
      </w:r>
      <w:r w:rsidRPr="00022B55">
        <w:rPr>
          <w:color w:val="000000" w:themeColor="text1"/>
        </w:rPr>
        <w:t>202</w:t>
      </w:r>
      <w:r w:rsidR="00B30EDE">
        <w:rPr>
          <w:color w:val="000000" w:themeColor="text1"/>
        </w:rPr>
        <w:t>5</w:t>
      </w:r>
      <w:r w:rsidRPr="00022B55">
        <w:rPr>
          <w:color w:val="000000" w:themeColor="text1"/>
        </w:rPr>
        <w:t xml:space="preserve"> month-to-date tax revenue collections through </w:t>
      </w:r>
      <w:r w:rsidR="00BB009B">
        <w:rPr>
          <w:color w:val="000000" w:themeColor="text1"/>
        </w:rPr>
        <w:t>December</w:t>
      </w:r>
      <w:r w:rsidR="001661E6" w:rsidRPr="00022B55">
        <w:rPr>
          <w:color w:val="000000" w:themeColor="text1"/>
        </w:rPr>
        <w:t xml:space="preserve"> </w:t>
      </w:r>
      <w:r w:rsidRPr="00022B55">
        <w:rPr>
          <w:color w:val="000000" w:themeColor="text1"/>
        </w:rPr>
        <w:t>1</w:t>
      </w:r>
      <w:r w:rsidR="00BB009B">
        <w:rPr>
          <w:color w:val="000000" w:themeColor="text1"/>
        </w:rPr>
        <w:t>5</w:t>
      </w:r>
      <w:r w:rsidRPr="00022B55">
        <w:rPr>
          <w:color w:val="000000" w:themeColor="text1"/>
        </w:rPr>
        <w:t>, 202</w:t>
      </w:r>
      <w:r w:rsidR="00B30EDE">
        <w:rPr>
          <w:color w:val="000000" w:themeColor="text1"/>
        </w:rPr>
        <w:t>5</w:t>
      </w:r>
      <w:r w:rsidRPr="00022B55">
        <w:rPr>
          <w:color w:val="000000" w:themeColor="text1"/>
        </w:rPr>
        <w:t xml:space="preserve">, along with </w:t>
      </w:r>
      <w:r w:rsidR="00431966">
        <w:rPr>
          <w:color w:val="000000" w:themeColor="text1"/>
        </w:rPr>
        <w:t>a comparison to</w:t>
      </w:r>
      <w:r w:rsidRPr="00022B55">
        <w:rPr>
          <w:color w:val="000000" w:themeColor="text1"/>
        </w:rPr>
        <w:t xml:space="preserve"> the equivalent period in </w:t>
      </w:r>
      <w:r w:rsidR="00BB009B">
        <w:rPr>
          <w:color w:val="000000" w:themeColor="text1"/>
        </w:rPr>
        <w:t>December</w:t>
      </w:r>
      <w:r w:rsidR="001635C5" w:rsidRPr="00022B55">
        <w:rPr>
          <w:color w:val="000000" w:themeColor="text1"/>
        </w:rPr>
        <w:t xml:space="preserve"> </w:t>
      </w:r>
      <w:r w:rsidRPr="00022B55">
        <w:rPr>
          <w:color w:val="000000" w:themeColor="text1"/>
        </w:rPr>
        <w:t>20</w:t>
      </w:r>
      <w:r>
        <w:rPr>
          <w:color w:val="000000" w:themeColor="text1"/>
        </w:rPr>
        <w:t>2</w:t>
      </w:r>
      <w:r w:rsidR="00B30EDE">
        <w:rPr>
          <w:color w:val="000000" w:themeColor="text1"/>
        </w:rPr>
        <w:t>4</w:t>
      </w:r>
      <w:r w:rsidRPr="00022B55">
        <w:rPr>
          <w:color w:val="000000" w:themeColor="text1"/>
        </w:rPr>
        <w:t>.</w:t>
      </w:r>
      <w:r w:rsidR="00E735C0">
        <w:rPr>
          <w:color w:val="000000" w:themeColor="text1"/>
        </w:rPr>
        <w:t xml:space="preserve"> </w:t>
      </w:r>
    </w:p>
    <w:p w14:paraId="1CBEE9F8" w14:textId="632299DF" w:rsidR="00FA049B" w:rsidRPr="00022B55" w:rsidRDefault="00FA049B" w:rsidP="00E735C0">
      <w:pPr>
        <w:spacing w:before="240" w:line="252" w:lineRule="auto"/>
        <w:rPr>
          <w:color w:val="000000" w:themeColor="text1"/>
        </w:rPr>
      </w:pPr>
      <w:r w:rsidRPr="00022B55">
        <w:rPr>
          <w:color w:val="000000" w:themeColor="text1"/>
        </w:rPr>
        <w:lastRenderedPageBreak/>
        <w:t>Revenue collections are uneven and</w:t>
      </w:r>
      <w:r>
        <w:rPr>
          <w:color w:val="000000" w:themeColor="text1"/>
        </w:rPr>
        <w:t xml:space="preserve"> usually</w:t>
      </w:r>
      <w:r w:rsidRPr="00022B55">
        <w:rPr>
          <w:color w:val="000000" w:themeColor="text1"/>
        </w:rPr>
        <w:t xml:space="preserve"> weighted toward the month-end</w:t>
      </w:r>
      <w:r>
        <w:rPr>
          <w:color w:val="000000" w:themeColor="text1"/>
        </w:rPr>
        <w:t>.</w:t>
      </w:r>
      <w:r w:rsidRPr="00022B55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T</w:t>
      </w:r>
      <w:r w:rsidRPr="00022B55">
        <w:rPr>
          <w:color w:val="000000" w:themeColor="text1"/>
        </w:rPr>
        <w:t xml:space="preserve">he brief period covered in the mid-month </w:t>
      </w:r>
      <w:r>
        <w:rPr>
          <w:color w:val="000000" w:themeColor="text1"/>
        </w:rPr>
        <w:t xml:space="preserve">report </w:t>
      </w:r>
      <w:r w:rsidRPr="00022B55">
        <w:rPr>
          <w:color w:val="000000" w:themeColor="text1"/>
        </w:rPr>
        <w:t xml:space="preserve">does not provide sufficient data </w:t>
      </w:r>
      <w:proofErr w:type="gramStart"/>
      <w:r w:rsidRPr="00022B55">
        <w:rPr>
          <w:color w:val="000000" w:themeColor="text1"/>
        </w:rPr>
        <w:t>for</w:t>
      </w:r>
      <w:proofErr w:type="gramEnd"/>
      <w:r w:rsidRPr="00022B55">
        <w:rPr>
          <w:color w:val="000000" w:themeColor="text1"/>
        </w:rPr>
        <w:t xml:space="preserve"> comparison to prior years</w:t>
      </w:r>
      <w:r>
        <w:rPr>
          <w:color w:val="000000" w:themeColor="text1"/>
        </w:rPr>
        <w:t xml:space="preserve">.  </w:t>
      </w:r>
      <w:r w:rsidRPr="00022B55">
        <w:rPr>
          <w:color w:val="000000" w:themeColor="text1"/>
        </w:rPr>
        <w:t xml:space="preserve">Therefore, mid-month figures </w:t>
      </w:r>
      <w:r>
        <w:rPr>
          <w:color w:val="000000" w:themeColor="text1"/>
        </w:rPr>
        <w:t xml:space="preserve">should not be </w:t>
      </w:r>
      <w:r w:rsidRPr="00022B55">
        <w:rPr>
          <w:color w:val="000000" w:themeColor="text1"/>
        </w:rPr>
        <w:t>used to assess trends or project future revenues.</w:t>
      </w:r>
    </w:p>
    <w:p w14:paraId="53C13A02" w14:textId="1FD91BF5" w:rsidR="0012308B" w:rsidRPr="00022B55" w:rsidRDefault="0012308B" w:rsidP="0012308B">
      <w:pPr>
        <w:pBdr>
          <w:bottom w:val="single" w:sz="4" w:space="1" w:color="auto"/>
        </w:pBdr>
        <w:spacing w:before="240" w:after="120" w:line="252" w:lineRule="auto"/>
        <w:rPr>
          <w:b/>
          <w:color w:val="000000" w:themeColor="text1"/>
        </w:rPr>
      </w:pPr>
      <w:r w:rsidRPr="00022B55">
        <w:rPr>
          <w:b/>
          <w:color w:val="000000" w:themeColor="text1"/>
        </w:rPr>
        <w:t xml:space="preserve">Context </w:t>
      </w:r>
      <w:r w:rsidR="009E37C6">
        <w:rPr>
          <w:b/>
          <w:color w:val="000000" w:themeColor="text1"/>
        </w:rPr>
        <w:t xml:space="preserve">for </w:t>
      </w:r>
      <w:r w:rsidR="00FB5DCC">
        <w:rPr>
          <w:b/>
          <w:color w:val="000000" w:themeColor="text1"/>
        </w:rPr>
        <w:t>December</w:t>
      </w:r>
      <w:r w:rsidR="00AD164C" w:rsidRPr="00275660">
        <w:rPr>
          <w:b/>
          <w:bCs/>
          <w:color w:val="000000" w:themeColor="text1"/>
        </w:rPr>
        <w:t xml:space="preserve"> </w:t>
      </w:r>
      <w:r>
        <w:rPr>
          <w:b/>
          <w:color w:val="000000" w:themeColor="text1"/>
        </w:rPr>
        <w:t>R</w:t>
      </w:r>
      <w:r w:rsidRPr="00022B55">
        <w:rPr>
          <w:b/>
          <w:color w:val="000000" w:themeColor="text1"/>
        </w:rPr>
        <w:t>evenues</w:t>
      </w:r>
    </w:p>
    <w:p w14:paraId="7D183023" w14:textId="15E3822F" w:rsidR="00D416F6" w:rsidRPr="003508EC" w:rsidRDefault="00FB5DCC" w:rsidP="008A6E2B">
      <w:pPr>
        <w:rPr>
          <w:rFonts w:eastAsia="Calibri"/>
          <w:color w:val="000000" w:themeColor="text1"/>
        </w:rPr>
      </w:pPr>
      <w:r w:rsidRPr="0014320F">
        <w:rPr>
          <w:rFonts w:eastAsia="Calibri"/>
          <w:bCs/>
        </w:rPr>
        <w:t>December is a significant month for revenues because many corporate and business taxpayers are required to make quarterly estimated payments. In addition, some quarterly personal income tax estimated payments due by January 15</w:t>
      </w:r>
      <w:r w:rsidRPr="009128AF">
        <w:rPr>
          <w:rFonts w:eastAsia="Calibri"/>
          <w:bCs/>
          <w:vertAlign w:val="superscript"/>
        </w:rPr>
        <w:t>th</w:t>
      </w:r>
      <w:r w:rsidRPr="0014320F">
        <w:rPr>
          <w:rFonts w:eastAsia="Calibri"/>
          <w:bCs/>
        </w:rPr>
        <w:t xml:space="preserve"> are received in December.</w:t>
      </w:r>
      <w:r w:rsidRPr="0014320F" w:rsidDel="00DD0059">
        <w:rPr>
          <w:rFonts w:eastAsia="Calibri"/>
          <w:bCs/>
        </w:rPr>
        <w:t xml:space="preserve"> </w:t>
      </w:r>
      <w:r w:rsidRPr="0014320F">
        <w:rPr>
          <w:rFonts w:eastAsia="Calibri"/>
          <w:bCs/>
        </w:rPr>
        <w:t xml:space="preserve">Historically, roughly 9.5% of annual revenue, on average, </w:t>
      </w:r>
      <w:proofErr w:type="gramStart"/>
      <w:r w:rsidRPr="0014320F">
        <w:rPr>
          <w:rFonts w:eastAsia="Calibri"/>
          <w:bCs/>
        </w:rPr>
        <w:t>has been</w:t>
      </w:r>
      <w:proofErr w:type="gramEnd"/>
      <w:r w:rsidRPr="0014320F">
        <w:rPr>
          <w:rFonts w:eastAsia="Calibri"/>
          <w:bCs/>
        </w:rPr>
        <w:t xml:space="preserve"> received during December.</w:t>
      </w:r>
    </w:p>
    <w:p w14:paraId="2ED74563" w14:textId="411880D7" w:rsidR="00B71B37" w:rsidRPr="00022B55" w:rsidRDefault="00B71B37" w:rsidP="00B71B37">
      <w:pPr>
        <w:pBdr>
          <w:bottom w:val="single" w:sz="4" w:space="1" w:color="auto"/>
        </w:pBdr>
        <w:spacing w:before="240" w:after="120" w:line="252" w:lineRule="auto"/>
        <w:rPr>
          <w:b/>
          <w:color w:val="000000" w:themeColor="text1"/>
        </w:rPr>
      </w:pPr>
      <w:r>
        <w:rPr>
          <w:b/>
          <w:color w:val="000000" w:themeColor="text1"/>
        </w:rPr>
        <w:t>Highlights</w:t>
      </w:r>
    </w:p>
    <w:p w14:paraId="65249EDE" w14:textId="0D94E42F" w:rsidR="00942C8D" w:rsidRPr="00B57011" w:rsidRDefault="0012308B" w:rsidP="00B57011">
      <w:pPr>
        <w:rPr>
          <w:color w:val="000000" w:themeColor="text1"/>
        </w:rPr>
      </w:pPr>
      <w:bookmarkStart w:id="1" w:name="_Hlk195709164"/>
      <w:r w:rsidRPr="0007177E">
        <w:rPr>
          <w:b/>
          <w:color w:val="000000" w:themeColor="text1"/>
        </w:rPr>
        <w:t xml:space="preserve">Total </w:t>
      </w:r>
      <w:r w:rsidR="000336A0">
        <w:rPr>
          <w:b/>
          <w:color w:val="000000" w:themeColor="text1"/>
        </w:rPr>
        <w:t>t</w:t>
      </w:r>
      <w:r w:rsidRPr="0007177E">
        <w:rPr>
          <w:b/>
          <w:color w:val="000000" w:themeColor="text1"/>
        </w:rPr>
        <w:t xml:space="preserve">ax </w:t>
      </w:r>
      <w:r w:rsidRPr="009B17C1">
        <w:rPr>
          <w:bCs/>
          <w:color w:val="000000" w:themeColor="text1"/>
        </w:rPr>
        <w:t>collections for the month-to-date period were $</w:t>
      </w:r>
      <w:r w:rsidR="001B3315">
        <w:rPr>
          <w:bCs/>
          <w:color w:val="000000" w:themeColor="text1"/>
        </w:rPr>
        <w:t>1.</w:t>
      </w:r>
      <w:r w:rsidR="00942C8D">
        <w:rPr>
          <w:bCs/>
          <w:color w:val="000000" w:themeColor="text1"/>
        </w:rPr>
        <w:t>569</w:t>
      </w:r>
      <w:r w:rsidR="00BC7721">
        <w:rPr>
          <w:bCs/>
          <w:color w:val="000000" w:themeColor="text1"/>
        </w:rPr>
        <w:t xml:space="preserve"> billion</w:t>
      </w:r>
      <w:r w:rsidRPr="00FF33EB">
        <w:rPr>
          <w:bCs/>
          <w:color w:val="000000" w:themeColor="text1"/>
        </w:rPr>
        <w:t>,</w:t>
      </w:r>
      <w:r w:rsidRPr="0007177E">
        <w:rPr>
          <w:b/>
          <w:color w:val="000000" w:themeColor="text1"/>
        </w:rPr>
        <w:t xml:space="preserve"> </w:t>
      </w:r>
      <w:r w:rsidR="00405198" w:rsidRPr="00405198">
        <w:rPr>
          <w:bCs/>
          <w:color w:val="000000" w:themeColor="text1"/>
        </w:rPr>
        <w:t>$</w:t>
      </w:r>
      <w:r w:rsidR="00942C8D">
        <w:rPr>
          <w:bCs/>
          <w:color w:val="000000" w:themeColor="text1"/>
        </w:rPr>
        <w:t>288</w:t>
      </w:r>
      <w:r w:rsidR="00AF0A34">
        <w:rPr>
          <w:bCs/>
          <w:color w:val="000000" w:themeColor="text1"/>
        </w:rPr>
        <w:t xml:space="preserve"> </w:t>
      </w:r>
      <w:r w:rsidR="00774C7B">
        <w:rPr>
          <w:bCs/>
          <w:color w:val="000000" w:themeColor="text1"/>
        </w:rPr>
        <w:t>m</w:t>
      </w:r>
      <w:r w:rsidR="00405198" w:rsidRPr="00405198">
        <w:rPr>
          <w:bCs/>
          <w:color w:val="000000" w:themeColor="text1"/>
        </w:rPr>
        <w:t>illion</w:t>
      </w:r>
      <w:r w:rsidR="00405198">
        <w:rPr>
          <w:bCs/>
          <w:color w:val="000000" w:themeColor="text1"/>
        </w:rPr>
        <w:t xml:space="preserve"> or </w:t>
      </w:r>
      <w:r w:rsidR="00D416F6">
        <w:rPr>
          <w:bCs/>
          <w:color w:val="000000" w:themeColor="text1"/>
        </w:rPr>
        <w:t>1</w:t>
      </w:r>
      <w:r w:rsidR="00942C8D">
        <w:rPr>
          <w:bCs/>
          <w:color w:val="000000" w:themeColor="text1"/>
        </w:rPr>
        <w:t>5.5</w:t>
      </w:r>
      <w:r w:rsidR="00405198">
        <w:rPr>
          <w:bCs/>
          <w:color w:val="000000" w:themeColor="text1"/>
        </w:rPr>
        <w:t xml:space="preserve">% </w:t>
      </w:r>
      <w:r w:rsidR="00942C8D">
        <w:rPr>
          <w:bCs/>
          <w:color w:val="000000" w:themeColor="text1"/>
        </w:rPr>
        <w:t>less</w:t>
      </w:r>
      <w:r w:rsidR="00171FB3">
        <w:rPr>
          <w:bCs/>
          <w:color w:val="000000" w:themeColor="text1"/>
        </w:rPr>
        <w:t xml:space="preserve"> </w:t>
      </w:r>
      <w:r w:rsidR="00405198">
        <w:rPr>
          <w:bCs/>
          <w:color w:val="000000" w:themeColor="text1"/>
        </w:rPr>
        <w:t xml:space="preserve">than </w:t>
      </w:r>
      <w:r w:rsidR="00EF3BE3" w:rsidRPr="00FF33EB">
        <w:rPr>
          <w:bCs/>
          <w:color w:val="000000" w:themeColor="text1"/>
        </w:rPr>
        <w:t>the collections during</w:t>
      </w:r>
      <w:r w:rsidRPr="00FF33EB">
        <w:rPr>
          <w:rFonts w:eastAsia="Calibri"/>
          <w:bCs/>
          <w:color w:val="000000" w:themeColor="text1"/>
        </w:rPr>
        <w:t xml:space="preserve"> the same period in </w:t>
      </w:r>
      <w:r w:rsidR="00942C8D">
        <w:rPr>
          <w:rFonts w:eastAsia="Calibri"/>
          <w:bCs/>
          <w:color w:val="000000" w:themeColor="text1"/>
        </w:rPr>
        <w:t>December</w:t>
      </w:r>
      <w:r w:rsidR="00F51479" w:rsidRPr="00FF33EB">
        <w:rPr>
          <w:rFonts w:eastAsia="Calibri"/>
          <w:bCs/>
          <w:color w:val="000000" w:themeColor="text1"/>
        </w:rPr>
        <w:t xml:space="preserve"> </w:t>
      </w:r>
      <w:r w:rsidRPr="00FF33EB">
        <w:rPr>
          <w:rFonts w:eastAsia="Calibri"/>
          <w:bCs/>
          <w:color w:val="000000" w:themeColor="text1"/>
        </w:rPr>
        <w:t>202</w:t>
      </w:r>
      <w:r w:rsidR="00D608B5">
        <w:rPr>
          <w:rFonts w:eastAsia="Calibri"/>
          <w:bCs/>
          <w:color w:val="000000" w:themeColor="text1"/>
        </w:rPr>
        <w:t>4</w:t>
      </w:r>
      <w:r w:rsidRPr="00FF33EB">
        <w:rPr>
          <w:rFonts w:eastAsia="Calibri"/>
          <w:bCs/>
          <w:color w:val="000000" w:themeColor="text1"/>
        </w:rPr>
        <w:t xml:space="preserve">. </w:t>
      </w:r>
      <w:r w:rsidR="00431966">
        <w:rPr>
          <w:rFonts w:eastAsia="Calibri"/>
          <w:bCs/>
          <w:color w:val="000000" w:themeColor="text1"/>
        </w:rPr>
        <w:t xml:space="preserve">Mid-month </w:t>
      </w:r>
      <w:r w:rsidR="00942C8D">
        <w:rPr>
          <w:rFonts w:eastAsia="Calibri"/>
          <w:bCs/>
          <w:color w:val="000000" w:themeColor="text1"/>
        </w:rPr>
        <w:t>December</w:t>
      </w:r>
      <w:r w:rsidR="00F97873" w:rsidRPr="0006214C">
        <w:rPr>
          <w:rFonts w:eastAsia="Calibri"/>
          <w:bCs/>
        </w:rPr>
        <w:t xml:space="preserve"> </w:t>
      </w:r>
      <w:r w:rsidR="005661C0" w:rsidRPr="0006214C">
        <w:rPr>
          <w:rFonts w:eastAsia="Calibri"/>
          <w:bCs/>
        </w:rPr>
        <w:t>results show</w:t>
      </w:r>
      <w:r w:rsidR="00FB4DDD">
        <w:rPr>
          <w:rFonts w:eastAsia="Calibri"/>
          <w:bCs/>
        </w:rPr>
        <w:t xml:space="preserve"> </w:t>
      </w:r>
      <w:r w:rsidR="00942C8D">
        <w:rPr>
          <w:rFonts w:eastAsia="Calibri"/>
          <w:bCs/>
        </w:rPr>
        <w:t>de</w:t>
      </w:r>
      <w:r w:rsidR="00FB4DDD">
        <w:rPr>
          <w:rFonts w:eastAsia="Calibri"/>
          <w:bCs/>
        </w:rPr>
        <w:t>crease</w:t>
      </w:r>
      <w:r w:rsidR="00AF0A34">
        <w:rPr>
          <w:rFonts w:eastAsia="Calibri"/>
          <w:bCs/>
        </w:rPr>
        <w:t>s</w:t>
      </w:r>
      <w:r w:rsidR="00FB4DDD">
        <w:rPr>
          <w:rFonts w:eastAsia="Calibri"/>
          <w:bCs/>
        </w:rPr>
        <w:t xml:space="preserve"> in </w:t>
      </w:r>
      <w:r w:rsidR="00942C8D">
        <w:rPr>
          <w:rFonts w:eastAsia="Calibri"/>
          <w:bCs/>
        </w:rPr>
        <w:t xml:space="preserve">non-withholding income tax, </w:t>
      </w:r>
      <w:r w:rsidR="00D416F6">
        <w:rPr>
          <w:rFonts w:eastAsia="Calibri"/>
          <w:bCs/>
        </w:rPr>
        <w:t>corporate and business tax</w:t>
      </w:r>
      <w:r w:rsidR="00D03CFA">
        <w:rPr>
          <w:rFonts w:eastAsia="Calibri"/>
          <w:bCs/>
        </w:rPr>
        <w:t xml:space="preserve">, </w:t>
      </w:r>
      <w:r w:rsidR="00942C8D">
        <w:rPr>
          <w:rFonts w:eastAsia="Calibri"/>
          <w:bCs/>
        </w:rPr>
        <w:t xml:space="preserve">sales &amp; use tax, and “all other” tax, </w:t>
      </w:r>
      <w:r w:rsidR="00D03CFA">
        <w:rPr>
          <w:rFonts w:eastAsia="Calibri"/>
          <w:bCs/>
        </w:rPr>
        <w:t>partially offset by a</w:t>
      </w:r>
      <w:r w:rsidR="00942C8D">
        <w:rPr>
          <w:rFonts w:eastAsia="Calibri"/>
          <w:bCs/>
        </w:rPr>
        <w:t xml:space="preserve">n increase in </w:t>
      </w:r>
      <w:r w:rsidR="001B3315">
        <w:rPr>
          <w:rFonts w:eastAsia="Calibri"/>
          <w:bCs/>
        </w:rPr>
        <w:t>withholding income tax</w:t>
      </w:r>
      <w:r w:rsidR="00942C8D">
        <w:rPr>
          <w:rFonts w:eastAsia="Calibri"/>
          <w:bCs/>
        </w:rPr>
        <w:t>.</w:t>
      </w:r>
      <w:r w:rsidR="000136D6">
        <w:rPr>
          <w:rFonts w:eastAsia="Calibri"/>
          <w:bCs/>
        </w:rPr>
        <w:t xml:space="preserve"> </w:t>
      </w:r>
      <w:r w:rsidR="000136D6" w:rsidRPr="000136D6">
        <w:rPr>
          <w:color w:val="000000" w:themeColor="text1"/>
        </w:rPr>
        <w:t>Some of the month-to-date decline may be due, in part, to deposit day differences between this December and last December</w:t>
      </w:r>
      <w:r w:rsidR="004903B3">
        <w:rPr>
          <w:color w:val="000000" w:themeColor="text1"/>
        </w:rPr>
        <w:t>,</w:t>
      </w:r>
      <w:r w:rsidR="000136D6" w:rsidRPr="000136D6">
        <w:rPr>
          <w:color w:val="000000" w:themeColor="text1"/>
        </w:rPr>
        <w:t xml:space="preserve"> such as corporate estimated and return payments</w:t>
      </w:r>
      <w:r w:rsidR="004903B3">
        <w:rPr>
          <w:color w:val="000000" w:themeColor="text1"/>
        </w:rPr>
        <w:t>,</w:t>
      </w:r>
      <w:r w:rsidR="000136D6" w:rsidRPr="000136D6">
        <w:rPr>
          <w:color w:val="000000" w:themeColor="text1"/>
        </w:rPr>
        <w:t xml:space="preserve"> as well as one </w:t>
      </w:r>
      <w:r w:rsidR="004903B3">
        <w:rPr>
          <w:color w:val="000000" w:themeColor="text1"/>
        </w:rPr>
        <w:t>significant</w:t>
      </w:r>
      <w:r w:rsidR="004903B3" w:rsidRPr="000136D6">
        <w:rPr>
          <w:color w:val="000000" w:themeColor="text1"/>
        </w:rPr>
        <w:t xml:space="preserve"> </w:t>
      </w:r>
      <w:r w:rsidR="000136D6" w:rsidRPr="000136D6">
        <w:rPr>
          <w:color w:val="000000" w:themeColor="text1"/>
        </w:rPr>
        <w:t xml:space="preserve">estate tax payment </w:t>
      </w:r>
      <w:r w:rsidR="004903B3">
        <w:rPr>
          <w:color w:val="000000" w:themeColor="text1"/>
        </w:rPr>
        <w:t xml:space="preserve">that was received </w:t>
      </w:r>
      <w:r w:rsidR="000136D6" w:rsidRPr="000136D6">
        <w:rPr>
          <w:color w:val="000000" w:themeColor="text1"/>
        </w:rPr>
        <w:t>last December.</w:t>
      </w:r>
    </w:p>
    <w:bookmarkEnd w:id="1"/>
    <w:p w14:paraId="714F95FE" w14:textId="714F0E21" w:rsidR="0019583E" w:rsidRPr="003B122E" w:rsidRDefault="0012308B" w:rsidP="003B122E">
      <w:pPr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right" w:pos="9360"/>
        </w:tabs>
        <w:spacing w:before="120" w:line="252" w:lineRule="auto"/>
        <w:ind w:right="634"/>
        <w:rPr>
          <w:bCs/>
          <w:color w:val="000000" w:themeColor="text1"/>
        </w:rPr>
      </w:pPr>
      <w:r w:rsidRPr="003B122E">
        <w:rPr>
          <w:b/>
          <w:color w:val="000000" w:themeColor="text1"/>
        </w:rPr>
        <w:t xml:space="preserve">Income </w:t>
      </w:r>
      <w:r w:rsidR="000336A0">
        <w:rPr>
          <w:bCs/>
          <w:color w:val="000000" w:themeColor="text1"/>
        </w:rPr>
        <w:t>t</w:t>
      </w:r>
      <w:r w:rsidRPr="000336A0">
        <w:rPr>
          <w:bCs/>
          <w:color w:val="000000" w:themeColor="text1"/>
        </w:rPr>
        <w:t>ax</w:t>
      </w:r>
      <w:r w:rsidRPr="003B122E">
        <w:rPr>
          <w:bCs/>
          <w:color w:val="000000" w:themeColor="text1"/>
        </w:rPr>
        <w:t xml:space="preserve"> totaled $</w:t>
      </w:r>
      <w:r w:rsidR="00942C8D">
        <w:rPr>
          <w:bCs/>
          <w:color w:val="000000" w:themeColor="text1"/>
        </w:rPr>
        <w:t>981</w:t>
      </w:r>
      <w:r w:rsidR="00171FB3" w:rsidRPr="003B122E">
        <w:rPr>
          <w:bCs/>
          <w:color w:val="000000" w:themeColor="text1"/>
        </w:rPr>
        <w:t xml:space="preserve"> </w:t>
      </w:r>
      <w:r w:rsidR="001B3315">
        <w:rPr>
          <w:bCs/>
          <w:color w:val="000000" w:themeColor="text1"/>
        </w:rPr>
        <w:t>m</w:t>
      </w:r>
      <w:r w:rsidR="00916AFB">
        <w:rPr>
          <w:bCs/>
          <w:color w:val="000000" w:themeColor="text1"/>
        </w:rPr>
        <w:t>illion</w:t>
      </w:r>
      <w:r w:rsidRPr="003B122E">
        <w:rPr>
          <w:bCs/>
          <w:color w:val="000000" w:themeColor="text1"/>
        </w:rPr>
        <w:t xml:space="preserve">, </w:t>
      </w:r>
      <w:r w:rsidR="00D62F93">
        <w:rPr>
          <w:bCs/>
          <w:color w:val="000000" w:themeColor="text1"/>
        </w:rPr>
        <w:t>down</w:t>
      </w:r>
      <w:r w:rsidRPr="003B122E">
        <w:rPr>
          <w:bCs/>
          <w:color w:val="000000" w:themeColor="text1"/>
        </w:rPr>
        <w:t xml:space="preserve"> $</w:t>
      </w:r>
      <w:r w:rsidR="00D62F93">
        <w:rPr>
          <w:bCs/>
          <w:color w:val="000000" w:themeColor="text1"/>
        </w:rPr>
        <w:t>40</w:t>
      </w:r>
      <w:r w:rsidR="00774C7B">
        <w:rPr>
          <w:bCs/>
          <w:color w:val="000000" w:themeColor="text1"/>
        </w:rPr>
        <w:t xml:space="preserve"> million</w:t>
      </w:r>
      <w:r w:rsidRPr="003B122E">
        <w:rPr>
          <w:bCs/>
          <w:color w:val="000000" w:themeColor="text1"/>
        </w:rPr>
        <w:t xml:space="preserve"> or </w:t>
      </w:r>
      <w:r w:rsidR="00D62F93">
        <w:rPr>
          <w:bCs/>
          <w:color w:val="000000" w:themeColor="text1"/>
        </w:rPr>
        <w:t>3.9</w:t>
      </w:r>
      <w:r w:rsidRPr="003B122E">
        <w:rPr>
          <w:bCs/>
          <w:color w:val="000000" w:themeColor="text1"/>
        </w:rPr>
        <w:t xml:space="preserve">% versus the same period in </w:t>
      </w:r>
      <w:bookmarkStart w:id="2" w:name="_Hlk61949077"/>
      <w:r w:rsidR="00BB009B">
        <w:rPr>
          <w:color w:val="000000" w:themeColor="text1"/>
        </w:rPr>
        <w:t>December</w:t>
      </w:r>
      <w:r w:rsidR="00F274E4" w:rsidRPr="003B122E">
        <w:rPr>
          <w:bCs/>
          <w:color w:val="000000" w:themeColor="text1"/>
        </w:rPr>
        <w:t xml:space="preserve"> </w:t>
      </w:r>
      <w:r w:rsidRPr="003B122E">
        <w:rPr>
          <w:bCs/>
          <w:color w:val="000000" w:themeColor="text1"/>
        </w:rPr>
        <w:t>202</w:t>
      </w:r>
      <w:bookmarkEnd w:id="2"/>
      <w:r w:rsidR="00B30EDE">
        <w:rPr>
          <w:bCs/>
          <w:color w:val="000000" w:themeColor="text1"/>
        </w:rPr>
        <w:t>4</w:t>
      </w:r>
      <w:r w:rsidRPr="003B122E">
        <w:rPr>
          <w:bCs/>
          <w:color w:val="000000" w:themeColor="text1"/>
        </w:rPr>
        <w:t xml:space="preserve">. </w:t>
      </w:r>
    </w:p>
    <w:p w14:paraId="24F82B77" w14:textId="318A27D4" w:rsidR="0012308B" w:rsidRPr="003B122E" w:rsidRDefault="0012308B" w:rsidP="00BA32F0">
      <w:pPr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right" w:pos="9360"/>
        </w:tabs>
        <w:spacing w:before="120" w:after="120" w:line="252" w:lineRule="auto"/>
        <w:ind w:right="634"/>
        <w:rPr>
          <w:bCs/>
          <w:color w:val="000000" w:themeColor="text1"/>
        </w:rPr>
      </w:pPr>
      <w:r w:rsidRPr="003B122E">
        <w:rPr>
          <w:b/>
          <w:color w:val="000000" w:themeColor="text1"/>
        </w:rPr>
        <w:t xml:space="preserve">Sales &amp; </w:t>
      </w:r>
      <w:r w:rsidR="000336A0">
        <w:rPr>
          <w:b/>
          <w:color w:val="000000" w:themeColor="text1"/>
        </w:rPr>
        <w:t>u</w:t>
      </w:r>
      <w:r w:rsidRPr="003B122E">
        <w:rPr>
          <w:b/>
          <w:color w:val="000000" w:themeColor="text1"/>
        </w:rPr>
        <w:t xml:space="preserve">se </w:t>
      </w:r>
      <w:r w:rsidR="000336A0">
        <w:rPr>
          <w:bCs/>
          <w:color w:val="000000" w:themeColor="text1"/>
        </w:rPr>
        <w:t>t</w:t>
      </w:r>
      <w:r w:rsidRPr="000336A0">
        <w:rPr>
          <w:bCs/>
          <w:color w:val="000000" w:themeColor="text1"/>
        </w:rPr>
        <w:t>ax</w:t>
      </w:r>
      <w:r w:rsidRPr="003B122E">
        <w:rPr>
          <w:bCs/>
          <w:color w:val="000000" w:themeColor="text1"/>
        </w:rPr>
        <w:t xml:space="preserve"> totaled $</w:t>
      </w:r>
      <w:r w:rsidR="00BC7721">
        <w:rPr>
          <w:bCs/>
          <w:color w:val="000000" w:themeColor="text1"/>
        </w:rPr>
        <w:t>1</w:t>
      </w:r>
      <w:r w:rsidR="00D62F93">
        <w:rPr>
          <w:bCs/>
          <w:color w:val="000000" w:themeColor="text1"/>
        </w:rPr>
        <w:t>62</w:t>
      </w:r>
      <w:r w:rsidR="00171FB3" w:rsidRPr="003B122E">
        <w:rPr>
          <w:bCs/>
          <w:color w:val="000000" w:themeColor="text1"/>
        </w:rPr>
        <w:t xml:space="preserve"> </w:t>
      </w:r>
      <w:r w:rsidRPr="003B122E">
        <w:rPr>
          <w:bCs/>
          <w:color w:val="000000" w:themeColor="text1"/>
        </w:rPr>
        <w:t xml:space="preserve">million, </w:t>
      </w:r>
      <w:r w:rsidR="00D03CFA">
        <w:rPr>
          <w:bCs/>
          <w:color w:val="000000" w:themeColor="text1"/>
        </w:rPr>
        <w:t>down</w:t>
      </w:r>
      <w:r w:rsidR="00266699">
        <w:rPr>
          <w:bCs/>
          <w:color w:val="000000" w:themeColor="text1"/>
        </w:rPr>
        <w:t xml:space="preserve"> $</w:t>
      </w:r>
      <w:r w:rsidR="00D62F93">
        <w:rPr>
          <w:bCs/>
          <w:color w:val="000000" w:themeColor="text1"/>
        </w:rPr>
        <w:t>17</w:t>
      </w:r>
      <w:r w:rsidR="00266699">
        <w:rPr>
          <w:bCs/>
          <w:color w:val="000000" w:themeColor="text1"/>
        </w:rPr>
        <w:t xml:space="preserve"> million</w:t>
      </w:r>
      <w:r w:rsidR="00A715D2">
        <w:rPr>
          <w:bCs/>
          <w:color w:val="000000" w:themeColor="text1"/>
        </w:rPr>
        <w:t xml:space="preserve"> or </w:t>
      </w:r>
      <w:r w:rsidR="00D62F93">
        <w:rPr>
          <w:bCs/>
          <w:color w:val="000000" w:themeColor="text1"/>
        </w:rPr>
        <w:t>9.5</w:t>
      </w:r>
      <w:r w:rsidR="00A715D2">
        <w:rPr>
          <w:bCs/>
          <w:color w:val="000000" w:themeColor="text1"/>
        </w:rPr>
        <w:t>%</w:t>
      </w:r>
      <w:r w:rsidR="00266699">
        <w:rPr>
          <w:bCs/>
          <w:color w:val="000000" w:themeColor="text1"/>
        </w:rPr>
        <w:t xml:space="preserve"> versus </w:t>
      </w:r>
      <w:r w:rsidR="00774C7B">
        <w:rPr>
          <w:bCs/>
          <w:color w:val="000000" w:themeColor="text1"/>
        </w:rPr>
        <w:t xml:space="preserve">the </w:t>
      </w:r>
      <w:r w:rsidR="00774C7B" w:rsidRPr="003B122E">
        <w:rPr>
          <w:bCs/>
          <w:color w:val="000000" w:themeColor="text1"/>
        </w:rPr>
        <w:t>same</w:t>
      </w:r>
      <w:r w:rsidRPr="003B122E">
        <w:rPr>
          <w:bCs/>
          <w:color w:val="000000" w:themeColor="text1"/>
        </w:rPr>
        <w:t xml:space="preserve"> period in </w:t>
      </w:r>
      <w:r w:rsidR="00BB009B">
        <w:rPr>
          <w:color w:val="000000" w:themeColor="text1"/>
        </w:rPr>
        <w:t>December</w:t>
      </w:r>
      <w:r w:rsidR="00F274E4" w:rsidRPr="003B122E">
        <w:rPr>
          <w:bCs/>
          <w:color w:val="000000" w:themeColor="text1"/>
        </w:rPr>
        <w:t xml:space="preserve"> </w:t>
      </w:r>
      <w:r w:rsidRPr="003B122E">
        <w:rPr>
          <w:bCs/>
          <w:color w:val="000000" w:themeColor="text1"/>
        </w:rPr>
        <w:t>202</w:t>
      </w:r>
      <w:r w:rsidR="00B30EDE">
        <w:rPr>
          <w:bCs/>
          <w:color w:val="000000" w:themeColor="text1"/>
        </w:rPr>
        <w:t>4</w:t>
      </w:r>
      <w:r w:rsidR="00B71F8F" w:rsidRPr="003B122E">
        <w:rPr>
          <w:bCs/>
          <w:color w:val="000000" w:themeColor="text1"/>
        </w:rPr>
        <w:t>.</w:t>
      </w:r>
    </w:p>
    <w:p w14:paraId="1C72AA7C" w14:textId="19CF7CCD" w:rsidR="00345905" w:rsidRPr="00345905" w:rsidRDefault="0012308B" w:rsidP="00BA32F0">
      <w:pPr>
        <w:pStyle w:val="ListParagraph"/>
        <w:numPr>
          <w:ilvl w:val="0"/>
          <w:numId w:val="1"/>
        </w:numPr>
        <w:spacing w:after="1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A32F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Corporate &amp; </w:t>
      </w:r>
      <w:r w:rsidR="000336A0" w:rsidRPr="00BA32F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b</w:t>
      </w:r>
      <w:r w:rsidRPr="00BA32F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usiness</w:t>
      </w:r>
      <w:r w:rsidRPr="00345905">
        <w:rPr>
          <w:b/>
          <w:color w:val="000000" w:themeColor="text1"/>
        </w:rPr>
        <w:t xml:space="preserve"> </w:t>
      </w:r>
      <w:r w:rsidR="000336A0" w:rsidRPr="00BA32F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t</w:t>
      </w:r>
      <w:r w:rsidRPr="00BA32F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ax totaled $</w:t>
      </w:r>
      <w:r w:rsidR="00D62F9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375</w:t>
      </w:r>
      <w:r w:rsidR="00171FB3" w:rsidRPr="00BA32F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8F449A" w:rsidRPr="00BA32F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m</w:t>
      </w:r>
      <w:r w:rsidRPr="00BA32F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illion, </w:t>
      </w:r>
      <w:r w:rsidR="00D62F9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down</w:t>
      </w:r>
      <w:r w:rsidR="00171FB3" w:rsidRPr="00BA32F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BA32F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$</w:t>
      </w:r>
      <w:r w:rsidR="00D03CF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</w:t>
      </w:r>
      <w:r w:rsidR="00D62F9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06</w:t>
      </w:r>
      <w:r w:rsidR="00774C7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2122C4" w:rsidRPr="00BA32F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million</w:t>
      </w:r>
      <w:r w:rsidR="00D62F9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or 22.0%</w:t>
      </w:r>
      <w:r w:rsidR="002122C4" w:rsidRPr="00BA32F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BA32F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versus the same period in </w:t>
      </w:r>
      <w:r w:rsidR="00BB009B" w:rsidRPr="000136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December</w:t>
      </w:r>
      <w:r w:rsidR="00C92923" w:rsidRPr="00C92923" w:rsidDel="00B3424B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BA32F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202</w:t>
      </w:r>
      <w:r w:rsidR="00B30EDE" w:rsidRPr="00BA32F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4</w:t>
      </w:r>
      <w:r w:rsidRPr="00BA32F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</w:p>
    <w:p w14:paraId="52F0C671" w14:textId="49964DD8" w:rsidR="0012308B" w:rsidRPr="0007177E" w:rsidRDefault="00E64E0D" w:rsidP="0012308B">
      <w:pPr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right" w:pos="9360"/>
        </w:tabs>
        <w:spacing w:before="120" w:line="252" w:lineRule="auto"/>
        <w:ind w:right="634"/>
        <w:rPr>
          <w:b/>
          <w:color w:val="000000" w:themeColor="text1"/>
        </w:rPr>
      </w:pPr>
      <w:r>
        <w:rPr>
          <w:b/>
          <w:color w:val="000000" w:themeColor="text1"/>
        </w:rPr>
        <w:t xml:space="preserve">All </w:t>
      </w:r>
      <w:r w:rsidR="000336A0">
        <w:rPr>
          <w:b/>
          <w:color w:val="000000" w:themeColor="text1"/>
        </w:rPr>
        <w:t>o</w:t>
      </w:r>
      <w:r w:rsidR="0012308B" w:rsidRPr="00022B55">
        <w:rPr>
          <w:b/>
          <w:color w:val="000000" w:themeColor="text1"/>
        </w:rPr>
        <w:t xml:space="preserve">ther </w:t>
      </w:r>
      <w:r w:rsidR="000336A0">
        <w:rPr>
          <w:bCs/>
          <w:color w:val="000000" w:themeColor="text1"/>
        </w:rPr>
        <w:t>t</w:t>
      </w:r>
      <w:r w:rsidR="0012308B" w:rsidRPr="000336A0">
        <w:rPr>
          <w:bCs/>
          <w:color w:val="000000" w:themeColor="text1"/>
        </w:rPr>
        <w:t>ax</w:t>
      </w:r>
      <w:r w:rsidR="00FE7C40">
        <w:rPr>
          <w:bCs/>
          <w:color w:val="000000" w:themeColor="text1"/>
        </w:rPr>
        <w:t>es</w:t>
      </w:r>
      <w:r w:rsidR="0012308B" w:rsidRPr="00022B55">
        <w:rPr>
          <w:color w:val="000000" w:themeColor="text1"/>
        </w:rPr>
        <w:t xml:space="preserve"> totaled $</w:t>
      </w:r>
      <w:r w:rsidR="00D62F93">
        <w:rPr>
          <w:color w:val="000000" w:themeColor="text1"/>
        </w:rPr>
        <w:t>50</w:t>
      </w:r>
      <w:r w:rsidR="00171FB3" w:rsidRPr="00022B55">
        <w:rPr>
          <w:color w:val="000000" w:themeColor="text1"/>
        </w:rPr>
        <w:t xml:space="preserve"> </w:t>
      </w:r>
      <w:r w:rsidR="0012308B" w:rsidRPr="00022B55">
        <w:rPr>
          <w:color w:val="000000" w:themeColor="text1"/>
        </w:rPr>
        <w:t xml:space="preserve">million, </w:t>
      </w:r>
      <w:r w:rsidR="00D03CFA">
        <w:rPr>
          <w:color w:val="000000" w:themeColor="text1"/>
        </w:rPr>
        <w:t>down</w:t>
      </w:r>
      <w:r w:rsidR="0012308B">
        <w:rPr>
          <w:color w:val="000000" w:themeColor="text1"/>
        </w:rPr>
        <w:t xml:space="preserve"> </w:t>
      </w:r>
      <w:r w:rsidR="0012308B" w:rsidRPr="00022B55">
        <w:rPr>
          <w:color w:val="000000" w:themeColor="text1"/>
        </w:rPr>
        <w:t>$</w:t>
      </w:r>
      <w:r w:rsidR="00D62F93">
        <w:rPr>
          <w:color w:val="000000" w:themeColor="text1"/>
        </w:rPr>
        <w:t>125</w:t>
      </w:r>
      <w:r w:rsidR="00171FB3" w:rsidRPr="00022B55">
        <w:rPr>
          <w:color w:val="000000" w:themeColor="text1"/>
        </w:rPr>
        <w:t xml:space="preserve"> </w:t>
      </w:r>
      <w:r w:rsidR="0012308B" w:rsidRPr="00022B55">
        <w:rPr>
          <w:color w:val="000000" w:themeColor="text1"/>
        </w:rPr>
        <w:t xml:space="preserve">million or </w:t>
      </w:r>
      <w:r w:rsidR="00D62F93">
        <w:rPr>
          <w:color w:val="000000" w:themeColor="text1"/>
        </w:rPr>
        <w:t>71.4</w:t>
      </w:r>
      <w:r w:rsidR="00C974C5">
        <w:rPr>
          <w:color w:val="000000" w:themeColor="text1"/>
        </w:rPr>
        <w:t>%</w:t>
      </w:r>
      <w:r w:rsidR="0012308B" w:rsidRPr="00022B55">
        <w:rPr>
          <w:color w:val="000000" w:themeColor="text1"/>
        </w:rPr>
        <w:t xml:space="preserve"> versus the same period in </w:t>
      </w:r>
      <w:r w:rsidR="00BB009B">
        <w:rPr>
          <w:color w:val="000000" w:themeColor="text1"/>
        </w:rPr>
        <w:t>December</w:t>
      </w:r>
      <w:r w:rsidR="00252B87" w:rsidRPr="00022B55">
        <w:rPr>
          <w:color w:val="000000" w:themeColor="text1"/>
        </w:rPr>
        <w:t xml:space="preserve"> </w:t>
      </w:r>
      <w:r w:rsidR="0012308B" w:rsidRPr="00022B55">
        <w:rPr>
          <w:color w:val="000000" w:themeColor="text1"/>
        </w:rPr>
        <w:t>20</w:t>
      </w:r>
      <w:r w:rsidR="0012308B">
        <w:rPr>
          <w:color w:val="000000" w:themeColor="text1"/>
        </w:rPr>
        <w:t>2</w:t>
      </w:r>
      <w:r w:rsidR="00B30EDE">
        <w:rPr>
          <w:color w:val="000000" w:themeColor="text1"/>
        </w:rPr>
        <w:t>4</w:t>
      </w:r>
      <w:r w:rsidR="0012308B" w:rsidRPr="00022B55">
        <w:rPr>
          <w:color w:val="000000" w:themeColor="text1"/>
        </w:rPr>
        <w:t>.</w:t>
      </w:r>
    </w:p>
    <w:p w14:paraId="79F9AC66" w14:textId="77777777" w:rsidR="0012308B" w:rsidRPr="00022B55" w:rsidRDefault="0012308B" w:rsidP="00652E11">
      <w:pPr>
        <w:pBdr>
          <w:bottom w:val="single" w:sz="4" w:space="1" w:color="auto"/>
        </w:pBdr>
        <w:spacing w:before="240" w:after="120" w:line="252" w:lineRule="auto"/>
        <w:rPr>
          <w:b/>
          <w:color w:val="000000" w:themeColor="text1"/>
        </w:rPr>
      </w:pPr>
      <w:r w:rsidRPr="00022B55">
        <w:rPr>
          <w:b/>
          <w:color w:val="000000" w:themeColor="text1"/>
        </w:rPr>
        <w:t>Detail</w:t>
      </w:r>
      <w:r>
        <w:rPr>
          <w:b/>
          <w:color w:val="000000" w:themeColor="text1"/>
        </w:rPr>
        <w:t>s</w:t>
      </w:r>
    </w:p>
    <w:p w14:paraId="7A57AC9A" w14:textId="772773DE" w:rsidR="0012308B" w:rsidRPr="00022B55" w:rsidRDefault="0012308B" w:rsidP="00652E11">
      <w:pPr>
        <w:spacing w:line="252" w:lineRule="auto"/>
        <w:rPr>
          <w:color w:val="000000" w:themeColor="text1"/>
        </w:rPr>
      </w:pPr>
      <w:r w:rsidRPr="00022B55">
        <w:rPr>
          <w:b/>
          <w:color w:val="000000" w:themeColor="text1"/>
        </w:rPr>
        <w:t xml:space="preserve">Total </w:t>
      </w:r>
      <w:r w:rsidR="000336A0">
        <w:rPr>
          <w:b/>
          <w:color w:val="000000" w:themeColor="text1"/>
        </w:rPr>
        <w:t>i</w:t>
      </w:r>
      <w:r w:rsidRPr="00022B55">
        <w:rPr>
          <w:b/>
          <w:color w:val="000000" w:themeColor="text1"/>
        </w:rPr>
        <w:t xml:space="preserve">ncome </w:t>
      </w:r>
      <w:r w:rsidR="000336A0" w:rsidRPr="000336A0">
        <w:rPr>
          <w:bCs/>
          <w:color w:val="000000" w:themeColor="text1"/>
        </w:rPr>
        <w:t>t</w:t>
      </w:r>
      <w:r w:rsidRPr="000336A0">
        <w:rPr>
          <w:bCs/>
          <w:color w:val="000000" w:themeColor="text1"/>
        </w:rPr>
        <w:t>ax</w:t>
      </w:r>
      <w:r w:rsidRPr="00022B55">
        <w:rPr>
          <w:b/>
          <w:color w:val="000000" w:themeColor="text1"/>
        </w:rPr>
        <w:t xml:space="preserve"> </w:t>
      </w:r>
      <w:r w:rsidRPr="00022B55">
        <w:rPr>
          <w:color w:val="000000" w:themeColor="text1"/>
        </w:rPr>
        <w:t>of $</w:t>
      </w:r>
      <w:r w:rsidR="00D62F93">
        <w:rPr>
          <w:color w:val="000000" w:themeColor="text1"/>
        </w:rPr>
        <w:t>981</w:t>
      </w:r>
      <w:r w:rsidR="00171FB3">
        <w:rPr>
          <w:color w:val="000000" w:themeColor="text1"/>
        </w:rPr>
        <w:t xml:space="preserve"> </w:t>
      </w:r>
      <w:r w:rsidR="001B3315">
        <w:rPr>
          <w:color w:val="000000" w:themeColor="text1"/>
        </w:rPr>
        <w:t>m</w:t>
      </w:r>
      <w:r w:rsidR="0044034D">
        <w:rPr>
          <w:color w:val="000000" w:themeColor="text1"/>
        </w:rPr>
        <w:t>illion</w:t>
      </w:r>
      <w:r w:rsidRPr="00022B55">
        <w:rPr>
          <w:color w:val="000000" w:themeColor="text1"/>
        </w:rPr>
        <w:t xml:space="preserve"> for mid-month </w:t>
      </w:r>
      <w:r w:rsidR="00BB009B">
        <w:rPr>
          <w:color w:val="000000" w:themeColor="text1"/>
        </w:rPr>
        <w:t>December</w:t>
      </w:r>
      <w:r w:rsidR="0090102F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is comprised of </w:t>
      </w:r>
      <w:r w:rsidRPr="00022B55">
        <w:rPr>
          <w:color w:val="000000" w:themeColor="text1"/>
        </w:rPr>
        <w:t>the following:</w:t>
      </w:r>
    </w:p>
    <w:p w14:paraId="1085915A" w14:textId="76507DF5" w:rsidR="0012308B" w:rsidRPr="00C93DA4" w:rsidRDefault="00F90BA8" w:rsidP="0012308B">
      <w:pPr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right" w:pos="9360"/>
        </w:tabs>
        <w:spacing w:before="120" w:line="252" w:lineRule="auto"/>
        <w:ind w:right="634"/>
        <w:rPr>
          <w:rFonts w:eastAsia="Calibri"/>
          <w:color w:val="000000" w:themeColor="text1"/>
        </w:rPr>
      </w:pPr>
      <w:r w:rsidRPr="00022B55">
        <w:rPr>
          <w:rFonts w:eastAsia="Calibri"/>
          <w:b/>
          <w:color w:val="000000" w:themeColor="text1"/>
        </w:rPr>
        <w:t>Withholding</w:t>
      </w:r>
      <w:r w:rsidR="0012308B" w:rsidRPr="00022B55">
        <w:rPr>
          <w:rFonts w:eastAsia="Calibri"/>
          <w:color w:val="000000" w:themeColor="text1"/>
        </w:rPr>
        <w:t xml:space="preserve"> </w:t>
      </w:r>
      <w:r w:rsidR="009F6AE8">
        <w:rPr>
          <w:rFonts w:eastAsia="Calibri"/>
          <w:color w:val="000000" w:themeColor="text1"/>
        </w:rPr>
        <w:t>of</w:t>
      </w:r>
      <w:r w:rsidR="00F93338">
        <w:rPr>
          <w:rFonts w:eastAsia="Calibri"/>
          <w:color w:val="000000" w:themeColor="text1"/>
        </w:rPr>
        <w:t xml:space="preserve"> </w:t>
      </w:r>
      <w:r w:rsidR="0012308B" w:rsidRPr="00022B55">
        <w:rPr>
          <w:rFonts w:eastAsia="Calibri"/>
          <w:color w:val="000000" w:themeColor="text1"/>
        </w:rPr>
        <w:t>$</w:t>
      </w:r>
      <w:r w:rsidR="00D03CFA">
        <w:rPr>
          <w:rFonts w:eastAsia="Calibri"/>
          <w:color w:val="000000" w:themeColor="text1"/>
        </w:rPr>
        <w:t>85</w:t>
      </w:r>
      <w:r w:rsidR="00D62F93">
        <w:rPr>
          <w:rFonts w:eastAsia="Calibri"/>
          <w:color w:val="000000" w:themeColor="text1"/>
        </w:rPr>
        <w:t>5</w:t>
      </w:r>
      <w:r w:rsidR="00171FB3" w:rsidRPr="00022B55">
        <w:rPr>
          <w:rFonts w:eastAsia="Calibri"/>
          <w:color w:val="000000" w:themeColor="text1"/>
        </w:rPr>
        <w:t xml:space="preserve"> </w:t>
      </w:r>
      <w:r w:rsidR="0012308B" w:rsidRPr="00022B55">
        <w:rPr>
          <w:rFonts w:eastAsia="Calibri"/>
          <w:color w:val="000000" w:themeColor="text1"/>
        </w:rPr>
        <w:t xml:space="preserve">million, </w:t>
      </w:r>
      <w:r w:rsidR="001B3315">
        <w:rPr>
          <w:rFonts w:eastAsia="Calibri"/>
          <w:color w:val="000000" w:themeColor="text1"/>
        </w:rPr>
        <w:t>up</w:t>
      </w:r>
      <w:r w:rsidR="00C354FE">
        <w:rPr>
          <w:rFonts w:eastAsia="Calibri"/>
          <w:color w:val="000000" w:themeColor="text1"/>
        </w:rPr>
        <w:t xml:space="preserve"> </w:t>
      </w:r>
      <w:r w:rsidR="0012308B" w:rsidRPr="00022B55">
        <w:rPr>
          <w:rFonts w:eastAsia="Calibri"/>
          <w:color w:val="000000" w:themeColor="text1"/>
        </w:rPr>
        <w:t>$</w:t>
      </w:r>
      <w:r w:rsidR="00D03CFA">
        <w:rPr>
          <w:rFonts w:eastAsia="Calibri"/>
          <w:color w:val="000000" w:themeColor="text1"/>
        </w:rPr>
        <w:t>1</w:t>
      </w:r>
      <w:r w:rsidR="00D62F93">
        <w:rPr>
          <w:rFonts w:eastAsia="Calibri"/>
          <w:color w:val="000000" w:themeColor="text1"/>
        </w:rPr>
        <w:t>8</w:t>
      </w:r>
      <w:r w:rsidR="00B86159">
        <w:rPr>
          <w:rFonts w:eastAsia="Calibri"/>
          <w:color w:val="000000" w:themeColor="text1"/>
        </w:rPr>
        <w:t xml:space="preserve"> </w:t>
      </w:r>
      <w:r w:rsidR="0012308B" w:rsidRPr="00022B55">
        <w:rPr>
          <w:rFonts w:eastAsia="Calibri"/>
          <w:color w:val="000000" w:themeColor="text1"/>
        </w:rPr>
        <w:t>million</w:t>
      </w:r>
      <w:r w:rsidR="00B86159">
        <w:rPr>
          <w:rFonts w:eastAsia="Calibri"/>
          <w:color w:val="000000" w:themeColor="text1"/>
        </w:rPr>
        <w:t xml:space="preserve"> </w:t>
      </w:r>
      <w:r w:rsidR="0012308B">
        <w:rPr>
          <w:rFonts w:eastAsia="Calibri"/>
        </w:rPr>
        <w:t xml:space="preserve">versus </w:t>
      </w:r>
      <w:r w:rsidR="0012308B" w:rsidRPr="00D302AD">
        <w:rPr>
          <w:rFonts w:eastAsia="Calibri"/>
        </w:rPr>
        <w:t xml:space="preserve">the same period in </w:t>
      </w:r>
      <w:r w:rsidR="00BB009B">
        <w:rPr>
          <w:color w:val="000000" w:themeColor="text1"/>
        </w:rPr>
        <w:t>December</w:t>
      </w:r>
      <w:r w:rsidR="00D75DF9" w:rsidRPr="00022B55">
        <w:rPr>
          <w:color w:val="000000" w:themeColor="text1"/>
        </w:rPr>
        <w:t xml:space="preserve"> </w:t>
      </w:r>
      <w:proofErr w:type="gramStart"/>
      <w:r w:rsidR="0012308B" w:rsidRPr="00022B55">
        <w:rPr>
          <w:color w:val="000000" w:themeColor="text1"/>
        </w:rPr>
        <w:t>20</w:t>
      </w:r>
      <w:r w:rsidR="0012308B">
        <w:rPr>
          <w:color w:val="000000" w:themeColor="text1"/>
        </w:rPr>
        <w:t>2</w:t>
      </w:r>
      <w:r w:rsidR="00B30EDE">
        <w:rPr>
          <w:color w:val="000000" w:themeColor="text1"/>
        </w:rPr>
        <w:t>4</w:t>
      </w:r>
      <w:r w:rsidR="00AD164C">
        <w:rPr>
          <w:rFonts w:eastAsia="Calibri"/>
        </w:rPr>
        <w:t>;</w:t>
      </w:r>
      <w:proofErr w:type="gramEnd"/>
    </w:p>
    <w:p w14:paraId="6F25D17B" w14:textId="6E6AA306" w:rsidR="0012308B" w:rsidRPr="00022B55" w:rsidRDefault="0012308B" w:rsidP="0012308B">
      <w:pPr>
        <w:numPr>
          <w:ilvl w:val="0"/>
          <w:numId w:val="2"/>
        </w:numPr>
        <w:tabs>
          <w:tab w:val="left" w:pos="720"/>
          <w:tab w:val="left" w:pos="1080"/>
          <w:tab w:val="left" w:pos="1440"/>
          <w:tab w:val="right" w:pos="9360"/>
        </w:tabs>
        <w:spacing w:before="120" w:line="252" w:lineRule="auto"/>
        <w:rPr>
          <w:rFonts w:eastAsia="Calibri"/>
          <w:color w:val="000000" w:themeColor="text1"/>
        </w:rPr>
      </w:pPr>
      <w:r w:rsidRPr="00022B55">
        <w:rPr>
          <w:rFonts w:eastAsia="Calibri"/>
          <w:b/>
          <w:color w:val="000000" w:themeColor="text1"/>
        </w:rPr>
        <w:t xml:space="preserve">Estimated </w:t>
      </w:r>
      <w:r w:rsidR="000336A0">
        <w:rPr>
          <w:rFonts w:eastAsia="Calibri"/>
          <w:b/>
          <w:color w:val="000000" w:themeColor="text1"/>
        </w:rPr>
        <w:t>p</w:t>
      </w:r>
      <w:r w:rsidRPr="00022B55">
        <w:rPr>
          <w:rFonts w:eastAsia="Calibri"/>
          <w:b/>
          <w:color w:val="000000" w:themeColor="text1"/>
        </w:rPr>
        <w:t xml:space="preserve">ayments </w:t>
      </w:r>
      <w:r w:rsidRPr="00022B55">
        <w:rPr>
          <w:rFonts w:eastAsia="Calibri"/>
          <w:color w:val="000000" w:themeColor="text1"/>
        </w:rPr>
        <w:t>of $</w:t>
      </w:r>
      <w:r w:rsidR="00D62F93">
        <w:rPr>
          <w:rFonts w:eastAsia="Calibri"/>
          <w:color w:val="000000" w:themeColor="text1"/>
        </w:rPr>
        <w:t>149</w:t>
      </w:r>
      <w:r w:rsidR="00171FB3">
        <w:rPr>
          <w:rFonts w:eastAsia="Calibri"/>
          <w:color w:val="000000" w:themeColor="text1"/>
        </w:rPr>
        <w:t xml:space="preserve"> </w:t>
      </w:r>
      <w:r w:rsidRPr="00022B55">
        <w:rPr>
          <w:rFonts w:eastAsia="Calibri"/>
          <w:color w:val="000000" w:themeColor="text1"/>
        </w:rPr>
        <w:t>million,</w:t>
      </w:r>
      <w:r w:rsidR="00BC7721">
        <w:rPr>
          <w:rFonts w:eastAsia="Calibri"/>
          <w:color w:val="000000" w:themeColor="text1"/>
        </w:rPr>
        <w:t xml:space="preserve"> </w:t>
      </w:r>
      <w:r w:rsidR="00D03CFA">
        <w:rPr>
          <w:rFonts w:eastAsia="Calibri"/>
          <w:color w:val="000000" w:themeColor="text1"/>
        </w:rPr>
        <w:t>down</w:t>
      </w:r>
      <w:r w:rsidR="002D0674">
        <w:rPr>
          <w:rFonts w:eastAsia="Calibri"/>
          <w:color w:val="000000" w:themeColor="text1"/>
        </w:rPr>
        <w:t xml:space="preserve"> $</w:t>
      </w:r>
      <w:r w:rsidR="00D62F93">
        <w:rPr>
          <w:rFonts w:eastAsia="Calibri"/>
          <w:color w:val="000000" w:themeColor="text1"/>
        </w:rPr>
        <w:t>6</w:t>
      </w:r>
      <w:r w:rsidR="002D0674">
        <w:rPr>
          <w:rFonts w:eastAsia="Calibri"/>
          <w:color w:val="000000" w:themeColor="text1"/>
        </w:rPr>
        <w:t xml:space="preserve"> million versus </w:t>
      </w:r>
      <w:r w:rsidR="00BC7721">
        <w:rPr>
          <w:rFonts w:eastAsia="Calibri"/>
          <w:color w:val="000000" w:themeColor="text1"/>
        </w:rPr>
        <w:t>the</w:t>
      </w:r>
      <w:r w:rsidRPr="00D302AD">
        <w:rPr>
          <w:rFonts w:eastAsia="Calibri"/>
        </w:rPr>
        <w:t xml:space="preserve"> same period in</w:t>
      </w:r>
      <w:r w:rsidR="00E34007">
        <w:rPr>
          <w:rFonts w:eastAsia="Calibri"/>
        </w:rPr>
        <w:t xml:space="preserve"> </w:t>
      </w:r>
      <w:r w:rsidR="00BB009B">
        <w:rPr>
          <w:color w:val="000000" w:themeColor="text1"/>
        </w:rPr>
        <w:t>December</w:t>
      </w:r>
      <w:r w:rsidR="00D75DF9" w:rsidRPr="00022B55">
        <w:rPr>
          <w:color w:val="000000" w:themeColor="text1"/>
        </w:rPr>
        <w:t xml:space="preserve"> </w:t>
      </w:r>
      <w:proofErr w:type="gramStart"/>
      <w:r w:rsidRPr="00022B55">
        <w:rPr>
          <w:color w:val="000000" w:themeColor="text1"/>
        </w:rPr>
        <w:t>20</w:t>
      </w:r>
      <w:r>
        <w:rPr>
          <w:color w:val="000000" w:themeColor="text1"/>
        </w:rPr>
        <w:t>2</w:t>
      </w:r>
      <w:r w:rsidR="00B30EDE">
        <w:rPr>
          <w:color w:val="000000" w:themeColor="text1"/>
        </w:rPr>
        <w:t>4</w:t>
      </w:r>
      <w:r w:rsidR="00E34007">
        <w:rPr>
          <w:rFonts w:eastAsia="Calibri"/>
        </w:rPr>
        <w:t>;</w:t>
      </w:r>
      <w:proofErr w:type="gramEnd"/>
      <w:r>
        <w:rPr>
          <w:rFonts w:eastAsia="Calibri"/>
          <w:color w:val="000000" w:themeColor="text1"/>
        </w:rPr>
        <w:t xml:space="preserve"> </w:t>
      </w:r>
    </w:p>
    <w:p w14:paraId="18E246D5" w14:textId="7603872D" w:rsidR="0012308B" w:rsidRPr="00022B55" w:rsidRDefault="0012308B" w:rsidP="0012308B">
      <w:pPr>
        <w:numPr>
          <w:ilvl w:val="0"/>
          <w:numId w:val="2"/>
        </w:numPr>
        <w:tabs>
          <w:tab w:val="left" w:pos="720"/>
          <w:tab w:val="left" w:pos="1080"/>
          <w:tab w:val="left" w:pos="1440"/>
          <w:tab w:val="right" w:pos="9360"/>
        </w:tabs>
        <w:spacing w:before="120" w:line="252" w:lineRule="auto"/>
        <w:rPr>
          <w:rFonts w:eastAsia="Calibri"/>
          <w:color w:val="000000" w:themeColor="text1"/>
        </w:rPr>
      </w:pPr>
      <w:r w:rsidRPr="00022B55">
        <w:rPr>
          <w:rFonts w:eastAsia="Calibri"/>
          <w:b/>
          <w:color w:val="000000" w:themeColor="text1"/>
        </w:rPr>
        <w:t>Returns/</w:t>
      </w:r>
      <w:r w:rsidR="000336A0">
        <w:rPr>
          <w:rFonts w:eastAsia="Calibri"/>
          <w:b/>
          <w:color w:val="000000" w:themeColor="text1"/>
        </w:rPr>
        <w:t>b</w:t>
      </w:r>
      <w:r w:rsidRPr="00022B55">
        <w:rPr>
          <w:rFonts w:eastAsia="Calibri"/>
          <w:b/>
          <w:color w:val="000000" w:themeColor="text1"/>
        </w:rPr>
        <w:t>ills</w:t>
      </w:r>
      <w:r w:rsidRPr="00022B55">
        <w:rPr>
          <w:rFonts w:eastAsia="Calibri"/>
          <w:color w:val="000000" w:themeColor="text1"/>
        </w:rPr>
        <w:t xml:space="preserve"> of $</w:t>
      </w:r>
      <w:r w:rsidR="00D62F93">
        <w:rPr>
          <w:rFonts w:eastAsia="Calibri"/>
          <w:color w:val="000000" w:themeColor="text1"/>
        </w:rPr>
        <w:t>55</w:t>
      </w:r>
      <w:r w:rsidR="00171FB3">
        <w:rPr>
          <w:rFonts w:eastAsia="Calibri"/>
          <w:color w:val="000000" w:themeColor="text1"/>
        </w:rPr>
        <w:t xml:space="preserve"> </w:t>
      </w:r>
      <w:r w:rsidR="00AE6EB6">
        <w:rPr>
          <w:rFonts w:eastAsia="Calibri"/>
          <w:color w:val="000000" w:themeColor="text1"/>
        </w:rPr>
        <w:t>m</w:t>
      </w:r>
      <w:r w:rsidRPr="00022B55">
        <w:rPr>
          <w:rFonts w:eastAsia="Calibri"/>
          <w:color w:val="000000" w:themeColor="text1"/>
        </w:rPr>
        <w:t xml:space="preserve">illion, </w:t>
      </w:r>
      <w:r w:rsidR="00D62F93">
        <w:rPr>
          <w:rFonts w:eastAsia="Calibri"/>
          <w:color w:val="000000" w:themeColor="text1"/>
        </w:rPr>
        <w:t xml:space="preserve">virtually equal to </w:t>
      </w:r>
      <w:r w:rsidRPr="00D302AD">
        <w:rPr>
          <w:rFonts w:eastAsia="Calibri"/>
        </w:rPr>
        <w:t xml:space="preserve">the same period in </w:t>
      </w:r>
      <w:r w:rsidR="00BB009B">
        <w:rPr>
          <w:color w:val="000000" w:themeColor="text1"/>
        </w:rPr>
        <w:t>December</w:t>
      </w:r>
      <w:r w:rsidR="0090102F">
        <w:rPr>
          <w:color w:val="000000" w:themeColor="text1"/>
        </w:rPr>
        <w:t xml:space="preserve"> </w:t>
      </w:r>
      <w:r w:rsidR="004903B5">
        <w:rPr>
          <w:color w:val="000000" w:themeColor="text1"/>
        </w:rPr>
        <w:t>202</w:t>
      </w:r>
      <w:r w:rsidR="00B30EDE">
        <w:rPr>
          <w:color w:val="000000" w:themeColor="text1"/>
        </w:rPr>
        <w:t>4</w:t>
      </w:r>
      <w:r w:rsidR="00E34007">
        <w:rPr>
          <w:rFonts w:eastAsia="Calibri"/>
        </w:rPr>
        <w:t>;</w:t>
      </w:r>
      <w:r>
        <w:rPr>
          <w:rFonts w:eastAsia="Calibri"/>
          <w:color w:val="000000" w:themeColor="text1"/>
        </w:rPr>
        <w:t xml:space="preserve"> </w:t>
      </w:r>
      <w:bookmarkStart w:id="3" w:name="_Hlk43212387"/>
      <w:r w:rsidR="00E34007">
        <w:rPr>
          <w:rFonts w:eastAsia="Calibri"/>
          <w:color w:val="000000" w:themeColor="text1"/>
        </w:rPr>
        <w:t>and</w:t>
      </w:r>
    </w:p>
    <w:bookmarkEnd w:id="3"/>
    <w:p w14:paraId="3BC429A1" w14:textId="72B77F1D" w:rsidR="0012308B" w:rsidRPr="000F11C3" w:rsidRDefault="0012308B" w:rsidP="000F11C3">
      <w:pPr>
        <w:numPr>
          <w:ilvl w:val="0"/>
          <w:numId w:val="2"/>
        </w:numPr>
        <w:tabs>
          <w:tab w:val="left" w:pos="720"/>
          <w:tab w:val="left" w:pos="1080"/>
          <w:tab w:val="left" w:pos="1440"/>
          <w:tab w:val="right" w:pos="9360"/>
        </w:tabs>
        <w:spacing w:before="120" w:line="252" w:lineRule="auto"/>
        <w:rPr>
          <w:rFonts w:eastAsia="Calibri"/>
          <w:b/>
          <w:color w:val="000000" w:themeColor="text1"/>
        </w:rPr>
      </w:pPr>
      <w:r w:rsidRPr="000F11C3">
        <w:rPr>
          <w:rFonts w:eastAsia="Calibri"/>
          <w:b/>
          <w:color w:val="000000" w:themeColor="text1"/>
        </w:rPr>
        <w:t xml:space="preserve">Refunds </w:t>
      </w:r>
      <w:r w:rsidRPr="000F11C3">
        <w:rPr>
          <w:rFonts w:eastAsia="Calibri"/>
          <w:bCs/>
          <w:color w:val="000000" w:themeColor="text1"/>
        </w:rPr>
        <w:t>of $</w:t>
      </w:r>
      <w:r w:rsidR="00D03CFA">
        <w:rPr>
          <w:rFonts w:eastAsia="Calibri"/>
          <w:bCs/>
          <w:color w:val="000000" w:themeColor="text1"/>
        </w:rPr>
        <w:t>7</w:t>
      </w:r>
      <w:r w:rsidR="00D62F93">
        <w:rPr>
          <w:rFonts w:eastAsia="Calibri"/>
          <w:bCs/>
          <w:color w:val="000000" w:themeColor="text1"/>
        </w:rPr>
        <w:t>8</w:t>
      </w:r>
      <w:r w:rsidR="00171FB3" w:rsidRPr="000F11C3">
        <w:rPr>
          <w:rFonts w:eastAsia="Calibri"/>
          <w:bCs/>
          <w:color w:val="000000" w:themeColor="text1"/>
        </w:rPr>
        <w:t xml:space="preserve"> </w:t>
      </w:r>
      <w:r w:rsidRPr="000F11C3">
        <w:rPr>
          <w:rFonts w:eastAsia="Calibri"/>
          <w:bCs/>
          <w:color w:val="000000" w:themeColor="text1"/>
        </w:rPr>
        <w:t xml:space="preserve">million, </w:t>
      </w:r>
      <w:r w:rsidR="00D62F93">
        <w:rPr>
          <w:rFonts w:eastAsia="Calibri"/>
          <w:bCs/>
          <w:color w:val="000000" w:themeColor="text1"/>
        </w:rPr>
        <w:t>up</w:t>
      </w:r>
      <w:r w:rsidR="00EB4FB5">
        <w:rPr>
          <w:rFonts w:eastAsia="Calibri"/>
          <w:bCs/>
          <w:color w:val="000000" w:themeColor="text1"/>
        </w:rPr>
        <w:t xml:space="preserve"> $</w:t>
      </w:r>
      <w:r w:rsidR="00D62F93">
        <w:rPr>
          <w:rFonts w:eastAsia="Calibri"/>
          <w:bCs/>
          <w:color w:val="000000" w:themeColor="text1"/>
        </w:rPr>
        <w:t>51</w:t>
      </w:r>
      <w:r w:rsidR="00171FB3">
        <w:rPr>
          <w:rFonts w:eastAsia="Calibri"/>
          <w:bCs/>
          <w:color w:val="000000" w:themeColor="text1"/>
        </w:rPr>
        <w:t xml:space="preserve"> </w:t>
      </w:r>
      <w:r w:rsidR="00EB4FB5">
        <w:rPr>
          <w:rFonts w:eastAsia="Calibri"/>
          <w:bCs/>
          <w:color w:val="000000" w:themeColor="text1"/>
        </w:rPr>
        <w:t>million (</w:t>
      </w:r>
      <w:r w:rsidR="00D62F93">
        <w:rPr>
          <w:rFonts w:eastAsia="Calibri"/>
          <w:bCs/>
          <w:color w:val="000000" w:themeColor="text1"/>
        </w:rPr>
        <w:t>un</w:t>
      </w:r>
      <w:r w:rsidR="00EB4FB5">
        <w:rPr>
          <w:rFonts w:eastAsia="Calibri"/>
          <w:bCs/>
          <w:color w:val="000000" w:themeColor="text1"/>
        </w:rPr>
        <w:t>favorable) versus</w:t>
      </w:r>
      <w:r w:rsidR="00EB4FB5" w:rsidRPr="000F11C3">
        <w:rPr>
          <w:rFonts w:eastAsia="Calibri"/>
          <w:bCs/>
          <w:color w:val="000000" w:themeColor="text1"/>
        </w:rPr>
        <w:t xml:space="preserve"> the same period in</w:t>
      </w:r>
      <w:r w:rsidR="00C92923" w:rsidRPr="00C92923">
        <w:rPr>
          <w:color w:val="000000" w:themeColor="text1"/>
        </w:rPr>
        <w:t xml:space="preserve"> </w:t>
      </w:r>
      <w:r w:rsidR="00BB009B">
        <w:rPr>
          <w:color w:val="000000" w:themeColor="text1"/>
        </w:rPr>
        <w:t>December</w:t>
      </w:r>
      <w:r w:rsidR="00D75DF9" w:rsidRPr="000F11C3">
        <w:rPr>
          <w:rFonts w:eastAsia="Calibri"/>
          <w:bCs/>
          <w:color w:val="000000" w:themeColor="text1"/>
        </w:rPr>
        <w:t xml:space="preserve"> </w:t>
      </w:r>
      <w:r w:rsidRPr="000F11C3">
        <w:rPr>
          <w:rFonts w:eastAsia="Calibri"/>
          <w:bCs/>
          <w:color w:val="000000" w:themeColor="text1"/>
        </w:rPr>
        <w:t>202</w:t>
      </w:r>
      <w:r w:rsidR="00B30EDE">
        <w:rPr>
          <w:rFonts w:eastAsia="Calibri"/>
          <w:bCs/>
          <w:color w:val="000000" w:themeColor="text1"/>
        </w:rPr>
        <w:t>4</w:t>
      </w:r>
      <w:r w:rsidRPr="000F11C3">
        <w:rPr>
          <w:rFonts w:eastAsia="Calibri"/>
          <w:bCs/>
          <w:color w:val="000000" w:themeColor="text1"/>
        </w:rPr>
        <w:t>.</w:t>
      </w:r>
      <w:r w:rsidRPr="000F11C3">
        <w:rPr>
          <w:rFonts w:eastAsia="Calibri"/>
          <w:b/>
          <w:color w:val="000000" w:themeColor="text1"/>
        </w:rPr>
        <w:t xml:space="preserve"> </w:t>
      </w:r>
    </w:p>
    <w:p w14:paraId="6F7DCD91" w14:textId="038CA5BC" w:rsidR="0012308B" w:rsidRPr="00D907F4" w:rsidRDefault="0012308B" w:rsidP="00464BD8">
      <w:pPr>
        <w:tabs>
          <w:tab w:val="left" w:pos="720"/>
          <w:tab w:val="left" w:pos="1080"/>
          <w:tab w:val="left" w:pos="1440"/>
          <w:tab w:val="right" w:pos="9360"/>
        </w:tabs>
        <w:spacing w:before="240" w:line="252" w:lineRule="auto"/>
        <w:ind w:right="634"/>
        <w:rPr>
          <w:color w:val="000000" w:themeColor="text1"/>
        </w:rPr>
      </w:pPr>
      <w:r w:rsidRPr="00D907F4">
        <w:rPr>
          <w:b/>
          <w:color w:val="000000" w:themeColor="text1"/>
        </w:rPr>
        <w:t xml:space="preserve">Sales &amp; </w:t>
      </w:r>
      <w:r w:rsidR="000336A0">
        <w:rPr>
          <w:b/>
          <w:color w:val="000000" w:themeColor="text1"/>
        </w:rPr>
        <w:t>u</w:t>
      </w:r>
      <w:r w:rsidRPr="00D907F4">
        <w:rPr>
          <w:b/>
          <w:color w:val="000000" w:themeColor="text1"/>
        </w:rPr>
        <w:t xml:space="preserve">se </w:t>
      </w:r>
      <w:r w:rsidR="000336A0" w:rsidRPr="000336A0">
        <w:rPr>
          <w:bCs/>
          <w:color w:val="000000" w:themeColor="text1"/>
        </w:rPr>
        <w:t>t</w:t>
      </w:r>
      <w:r w:rsidRPr="000336A0">
        <w:rPr>
          <w:bCs/>
          <w:color w:val="000000" w:themeColor="text1"/>
        </w:rPr>
        <w:t>ax</w:t>
      </w:r>
      <w:r w:rsidRPr="00D907F4">
        <w:rPr>
          <w:b/>
          <w:color w:val="000000" w:themeColor="text1"/>
        </w:rPr>
        <w:t xml:space="preserve"> </w:t>
      </w:r>
      <w:r w:rsidRPr="00D907F4">
        <w:rPr>
          <w:color w:val="000000" w:themeColor="text1"/>
        </w:rPr>
        <w:t>of $</w:t>
      </w:r>
      <w:r w:rsidR="00BC7721">
        <w:rPr>
          <w:color w:val="000000" w:themeColor="text1"/>
        </w:rPr>
        <w:t>1</w:t>
      </w:r>
      <w:r w:rsidR="00D62F93">
        <w:rPr>
          <w:color w:val="000000" w:themeColor="text1"/>
        </w:rPr>
        <w:t>62</w:t>
      </w:r>
      <w:r w:rsidR="00171FB3" w:rsidRPr="00D907F4">
        <w:rPr>
          <w:color w:val="000000" w:themeColor="text1"/>
        </w:rPr>
        <w:t xml:space="preserve"> </w:t>
      </w:r>
      <w:r w:rsidRPr="00D907F4">
        <w:rPr>
          <w:color w:val="000000" w:themeColor="text1"/>
        </w:rPr>
        <w:t xml:space="preserve">million </w:t>
      </w:r>
      <w:r w:rsidR="00C22855">
        <w:rPr>
          <w:color w:val="000000" w:themeColor="text1"/>
        </w:rPr>
        <w:t xml:space="preserve">is </w:t>
      </w:r>
      <w:r w:rsidR="00CA4CF4">
        <w:rPr>
          <w:color w:val="000000" w:themeColor="text1"/>
        </w:rPr>
        <w:t>down</w:t>
      </w:r>
      <w:r w:rsidR="00DC108C">
        <w:rPr>
          <w:color w:val="000000" w:themeColor="text1"/>
        </w:rPr>
        <w:t xml:space="preserve"> $</w:t>
      </w:r>
      <w:r w:rsidR="00D62F93">
        <w:rPr>
          <w:color w:val="000000" w:themeColor="text1"/>
        </w:rPr>
        <w:t>17</w:t>
      </w:r>
      <w:r w:rsidR="00DC108C">
        <w:rPr>
          <w:color w:val="000000" w:themeColor="text1"/>
        </w:rPr>
        <w:t xml:space="preserve"> million versus </w:t>
      </w:r>
      <w:r w:rsidRPr="00D302AD">
        <w:rPr>
          <w:rFonts w:eastAsia="Calibri"/>
        </w:rPr>
        <w:t xml:space="preserve">the same period in </w:t>
      </w:r>
      <w:r w:rsidR="00BB009B">
        <w:rPr>
          <w:color w:val="000000" w:themeColor="text1"/>
        </w:rPr>
        <w:t>December</w:t>
      </w:r>
      <w:r w:rsidR="00230E08" w:rsidRPr="00022B55">
        <w:rPr>
          <w:color w:val="000000" w:themeColor="text1"/>
        </w:rPr>
        <w:t xml:space="preserve"> </w:t>
      </w:r>
      <w:r w:rsidRPr="00022B55">
        <w:rPr>
          <w:color w:val="000000" w:themeColor="text1"/>
        </w:rPr>
        <w:t>20</w:t>
      </w:r>
      <w:r>
        <w:rPr>
          <w:color w:val="000000" w:themeColor="text1"/>
        </w:rPr>
        <w:t>2</w:t>
      </w:r>
      <w:r w:rsidR="00B30EDE">
        <w:rPr>
          <w:color w:val="000000" w:themeColor="text1"/>
        </w:rPr>
        <w:t>4</w:t>
      </w:r>
      <w:r w:rsidRPr="00D302AD">
        <w:rPr>
          <w:rFonts w:eastAsia="Calibri"/>
        </w:rPr>
        <w:t>.</w:t>
      </w:r>
      <w:r w:rsidR="00464BD8">
        <w:rPr>
          <w:rFonts w:eastAsia="Calibri"/>
        </w:rPr>
        <w:t xml:space="preserve"> </w:t>
      </w:r>
      <w:r w:rsidRPr="00D907F4">
        <w:rPr>
          <w:color w:val="000000" w:themeColor="text1"/>
        </w:rPr>
        <w:t>Typically, only a small proportion of expected regular sales and meals tax remittance</w:t>
      </w:r>
      <w:r w:rsidR="002E0750">
        <w:rPr>
          <w:color w:val="000000" w:themeColor="text1"/>
        </w:rPr>
        <w:t>s</w:t>
      </w:r>
      <w:r w:rsidRPr="00D907F4">
        <w:rPr>
          <w:color w:val="000000" w:themeColor="text1"/>
        </w:rPr>
        <w:t xml:space="preserve"> </w:t>
      </w:r>
      <w:proofErr w:type="gramStart"/>
      <w:r w:rsidR="00D81FAC">
        <w:rPr>
          <w:color w:val="000000" w:themeColor="text1"/>
        </w:rPr>
        <w:t>is</w:t>
      </w:r>
      <w:proofErr w:type="gramEnd"/>
      <w:r w:rsidR="00464BD8">
        <w:rPr>
          <w:color w:val="000000" w:themeColor="text1"/>
        </w:rPr>
        <w:t xml:space="preserve"> </w:t>
      </w:r>
      <w:r w:rsidRPr="00D907F4">
        <w:rPr>
          <w:color w:val="000000" w:themeColor="text1"/>
        </w:rPr>
        <w:t>received by the mid-month</w:t>
      </w:r>
      <w:r w:rsidR="00ED3515">
        <w:rPr>
          <w:color w:val="000000" w:themeColor="text1"/>
        </w:rPr>
        <w:t xml:space="preserve"> </w:t>
      </w:r>
      <w:r w:rsidRPr="00D907F4">
        <w:rPr>
          <w:color w:val="000000" w:themeColor="text1"/>
        </w:rPr>
        <w:t xml:space="preserve">date. </w:t>
      </w:r>
      <w:r>
        <w:rPr>
          <w:bCs/>
          <w:iCs/>
          <w:color w:val="000000" w:themeColor="text1"/>
        </w:rPr>
        <w:t xml:space="preserve">The </w:t>
      </w:r>
      <w:r w:rsidRPr="00D907F4">
        <w:rPr>
          <w:bCs/>
          <w:iCs/>
          <w:color w:val="000000" w:themeColor="text1"/>
        </w:rPr>
        <w:t xml:space="preserve">month-to-date sales and use tax </w:t>
      </w:r>
      <w:r>
        <w:rPr>
          <w:bCs/>
          <w:iCs/>
          <w:color w:val="000000" w:themeColor="text1"/>
        </w:rPr>
        <w:t>of $</w:t>
      </w:r>
      <w:r w:rsidR="00CA4CF4">
        <w:rPr>
          <w:bCs/>
          <w:iCs/>
          <w:color w:val="000000" w:themeColor="text1"/>
        </w:rPr>
        <w:t>1</w:t>
      </w:r>
      <w:r w:rsidR="00D62F93">
        <w:rPr>
          <w:bCs/>
          <w:iCs/>
          <w:color w:val="000000" w:themeColor="text1"/>
        </w:rPr>
        <w:t>62</w:t>
      </w:r>
      <w:r w:rsidR="00171FB3">
        <w:rPr>
          <w:bCs/>
          <w:iCs/>
          <w:color w:val="000000" w:themeColor="text1"/>
        </w:rPr>
        <w:t xml:space="preserve"> </w:t>
      </w:r>
      <w:r>
        <w:rPr>
          <w:bCs/>
          <w:iCs/>
          <w:color w:val="000000" w:themeColor="text1"/>
        </w:rPr>
        <w:t>million</w:t>
      </w:r>
      <w:r w:rsidRPr="00D907F4">
        <w:rPr>
          <w:bCs/>
          <w:iCs/>
          <w:color w:val="000000" w:themeColor="text1"/>
        </w:rPr>
        <w:t xml:space="preserve"> is comprised of the following:</w:t>
      </w:r>
    </w:p>
    <w:p w14:paraId="4C2C56F0" w14:textId="12126754" w:rsidR="004C4DA3" w:rsidRPr="00AD164C" w:rsidRDefault="00AD15DD" w:rsidP="004C4DA3">
      <w:pPr>
        <w:numPr>
          <w:ilvl w:val="0"/>
          <w:numId w:val="2"/>
        </w:numPr>
        <w:tabs>
          <w:tab w:val="left" w:pos="720"/>
          <w:tab w:val="left" w:pos="1080"/>
          <w:tab w:val="left" w:pos="1440"/>
          <w:tab w:val="right" w:pos="9360"/>
        </w:tabs>
        <w:spacing w:before="120" w:line="252" w:lineRule="auto"/>
        <w:rPr>
          <w:rFonts w:eastAsia="Calibri"/>
          <w:color w:val="000000" w:themeColor="text1"/>
        </w:rPr>
      </w:pPr>
      <w:r w:rsidRPr="00AD164C">
        <w:rPr>
          <w:rFonts w:eastAsia="Calibri"/>
          <w:b/>
          <w:bCs/>
          <w:color w:val="000000" w:themeColor="text1"/>
        </w:rPr>
        <w:lastRenderedPageBreak/>
        <w:t>Regular sales</w:t>
      </w:r>
      <w:r w:rsidRPr="00AD164C">
        <w:rPr>
          <w:rFonts w:eastAsia="Calibri"/>
          <w:color w:val="000000" w:themeColor="text1"/>
        </w:rPr>
        <w:t xml:space="preserve"> tax of </w:t>
      </w:r>
      <w:r w:rsidR="0012308B" w:rsidRPr="00AD164C">
        <w:rPr>
          <w:rFonts w:eastAsia="Calibri"/>
          <w:color w:val="000000" w:themeColor="text1"/>
        </w:rPr>
        <w:t>$</w:t>
      </w:r>
      <w:r w:rsidR="00D62F93">
        <w:rPr>
          <w:rFonts w:eastAsia="Calibri"/>
          <w:color w:val="000000" w:themeColor="text1"/>
        </w:rPr>
        <w:t>80</w:t>
      </w:r>
      <w:r w:rsidR="00171FB3" w:rsidRPr="00AD164C">
        <w:rPr>
          <w:rFonts w:eastAsia="Calibri"/>
          <w:color w:val="000000" w:themeColor="text1"/>
        </w:rPr>
        <w:t xml:space="preserve"> </w:t>
      </w:r>
      <w:r w:rsidR="00172B22" w:rsidRPr="00AD164C">
        <w:rPr>
          <w:rFonts w:eastAsia="Calibri"/>
          <w:color w:val="000000" w:themeColor="text1"/>
        </w:rPr>
        <w:t>million</w:t>
      </w:r>
      <w:r w:rsidR="006F1E92">
        <w:rPr>
          <w:rFonts w:eastAsia="Calibri"/>
          <w:color w:val="000000" w:themeColor="text1"/>
        </w:rPr>
        <w:t>,</w:t>
      </w:r>
      <w:r w:rsidR="00AE6EB6">
        <w:rPr>
          <w:rFonts w:eastAsia="Calibri"/>
          <w:color w:val="000000" w:themeColor="text1"/>
        </w:rPr>
        <w:t xml:space="preserve"> </w:t>
      </w:r>
      <w:r w:rsidR="00D62F93">
        <w:rPr>
          <w:rFonts w:eastAsia="Calibri"/>
          <w:color w:val="000000" w:themeColor="text1"/>
        </w:rPr>
        <w:t>down</w:t>
      </w:r>
      <w:r w:rsidR="006F1E92">
        <w:rPr>
          <w:rFonts w:eastAsia="Calibri"/>
          <w:color w:val="000000" w:themeColor="text1"/>
        </w:rPr>
        <w:t xml:space="preserve"> $</w:t>
      </w:r>
      <w:r w:rsidR="00D62F93">
        <w:rPr>
          <w:rFonts w:eastAsia="Calibri"/>
          <w:color w:val="000000" w:themeColor="text1"/>
        </w:rPr>
        <w:t>4</w:t>
      </w:r>
      <w:r w:rsidR="006F1E92">
        <w:rPr>
          <w:rFonts w:eastAsia="Calibri"/>
          <w:color w:val="000000" w:themeColor="text1"/>
        </w:rPr>
        <w:t xml:space="preserve"> million versus </w:t>
      </w:r>
      <w:r w:rsidR="004C4DA3" w:rsidRPr="00AD164C">
        <w:rPr>
          <w:rFonts w:eastAsia="Calibri"/>
        </w:rPr>
        <w:t xml:space="preserve">the same period in </w:t>
      </w:r>
      <w:r w:rsidR="00BB009B">
        <w:rPr>
          <w:color w:val="000000" w:themeColor="text1"/>
        </w:rPr>
        <w:t>December</w:t>
      </w:r>
      <w:r w:rsidR="00230E08" w:rsidRPr="00AD164C">
        <w:rPr>
          <w:color w:val="000000" w:themeColor="text1"/>
        </w:rPr>
        <w:t xml:space="preserve"> </w:t>
      </w:r>
      <w:proofErr w:type="gramStart"/>
      <w:r w:rsidR="004C4DA3" w:rsidRPr="00AD164C">
        <w:rPr>
          <w:color w:val="000000" w:themeColor="text1"/>
        </w:rPr>
        <w:t>202</w:t>
      </w:r>
      <w:r w:rsidR="00B30EDE">
        <w:rPr>
          <w:color w:val="000000" w:themeColor="text1"/>
        </w:rPr>
        <w:t>4</w:t>
      </w:r>
      <w:r w:rsidR="004C4DA3" w:rsidRPr="00AD164C">
        <w:rPr>
          <w:rFonts w:eastAsia="Calibri"/>
        </w:rPr>
        <w:t>;</w:t>
      </w:r>
      <w:proofErr w:type="gramEnd"/>
      <w:r w:rsidR="004C4DA3" w:rsidRPr="00AD164C">
        <w:rPr>
          <w:rFonts w:eastAsia="Calibri"/>
        </w:rPr>
        <w:t xml:space="preserve"> </w:t>
      </w:r>
    </w:p>
    <w:p w14:paraId="7A05E1D0" w14:textId="31AD668C" w:rsidR="0012308B" w:rsidRPr="00AD164C" w:rsidRDefault="00AD15DD" w:rsidP="00DE019E">
      <w:pPr>
        <w:numPr>
          <w:ilvl w:val="0"/>
          <w:numId w:val="2"/>
        </w:numPr>
        <w:tabs>
          <w:tab w:val="left" w:pos="720"/>
          <w:tab w:val="left" w:pos="1080"/>
          <w:tab w:val="left" w:pos="1440"/>
          <w:tab w:val="right" w:pos="9360"/>
        </w:tabs>
        <w:spacing w:before="120" w:line="252" w:lineRule="auto"/>
        <w:rPr>
          <w:rFonts w:eastAsia="Calibri"/>
          <w:color w:val="000000" w:themeColor="text1"/>
        </w:rPr>
      </w:pPr>
      <w:proofErr w:type="gramStart"/>
      <w:r w:rsidRPr="00AD164C">
        <w:rPr>
          <w:rFonts w:eastAsia="Calibri"/>
          <w:b/>
          <w:bCs/>
          <w:color w:val="000000" w:themeColor="text1"/>
        </w:rPr>
        <w:t>Meals</w:t>
      </w:r>
      <w:proofErr w:type="gramEnd"/>
      <w:r w:rsidRPr="00AD164C">
        <w:rPr>
          <w:rFonts w:eastAsia="Calibri"/>
          <w:color w:val="000000" w:themeColor="text1"/>
        </w:rPr>
        <w:t xml:space="preserve"> tax of </w:t>
      </w:r>
      <w:r w:rsidR="0012308B" w:rsidRPr="00AD164C">
        <w:rPr>
          <w:rFonts w:eastAsia="Calibri"/>
          <w:color w:val="000000" w:themeColor="text1"/>
        </w:rPr>
        <w:t>$</w:t>
      </w:r>
      <w:r w:rsidR="00D62F93">
        <w:rPr>
          <w:rFonts w:eastAsia="Calibri"/>
          <w:color w:val="000000" w:themeColor="text1"/>
        </w:rPr>
        <w:t>39</w:t>
      </w:r>
      <w:r w:rsidR="00171FB3" w:rsidRPr="00AD164C">
        <w:rPr>
          <w:rFonts w:eastAsia="Calibri"/>
          <w:color w:val="000000" w:themeColor="text1"/>
        </w:rPr>
        <w:t xml:space="preserve"> </w:t>
      </w:r>
      <w:r w:rsidR="0012308B" w:rsidRPr="00AD164C">
        <w:rPr>
          <w:rFonts w:eastAsia="Calibri"/>
          <w:color w:val="000000" w:themeColor="text1"/>
        </w:rPr>
        <w:t xml:space="preserve">million, </w:t>
      </w:r>
      <w:r w:rsidR="004F0EA4">
        <w:rPr>
          <w:rFonts w:eastAsia="Calibri"/>
          <w:color w:val="000000" w:themeColor="text1"/>
        </w:rPr>
        <w:t xml:space="preserve">down </w:t>
      </w:r>
      <w:r w:rsidR="002D0674">
        <w:rPr>
          <w:rFonts w:eastAsia="Calibri"/>
          <w:color w:val="000000" w:themeColor="text1"/>
        </w:rPr>
        <w:t>$</w:t>
      </w:r>
      <w:r w:rsidR="00D62F93">
        <w:rPr>
          <w:rFonts w:eastAsia="Calibri"/>
          <w:color w:val="000000" w:themeColor="text1"/>
        </w:rPr>
        <w:t>3</w:t>
      </w:r>
      <w:r w:rsidR="002D0674">
        <w:rPr>
          <w:rFonts w:eastAsia="Calibri"/>
          <w:color w:val="000000" w:themeColor="text1"/>
        </w:rPr>
        <w:t xml:space="preserve"> million</w:t>
      </w:r>
      <w:r w:rsidR="00DB237C">
        <w:rPr>
          <w:rFonts w:eastAsia="Calibri"/>
          <w:color w:val="000000" w:themeColor="text1"/>
        </w:rPr>
        <w:t xml:space="preserve"> versus</w:t>
      </w:r>
      <w:r w:rsidR="00B355F6" w:rsidRPr="00AD164C">
        <w:rPr>
          <w:rFonts w:eastAsia="Calibri"/>
        </w:rPr>
        <w:t xml:space="preserve"> the same period in </w:t>
      </w:r>
      <w:r w:rsidR="00BB009B">
        <w:rPr>
          <w:color w:val="000000" w:themeColor="text1"/>
        </w:rPr>
        <w:t>December</w:t>
      </w:r>
      <w:r w:rsidR="00BB009B" w:rsidRPr="00AD164C">
        <w:rPr>
          <w:color w:val="000000" w:themeColor="text1"/>
        </w:rPr>
        <w:t xml:space="preserve"> </w:t>
      </w:r>
      <w:r w:rsidR="00B355F6" w:rsidRPr="00AD164C">
        <w:rPr>
          <w:color w:val="000000" w:themeColor="text1"/>
        </w:rPr>
        <w:t>202</w:t>
      </w:r>
      <w:r w:rsidR="00B30EDE">
        <w:rPr>
          <w:color w:val="000000" w:themeColor="text1"/>
        </w:rPr>
        <w:t>4</w:t>
      </w:r>
      <w:r w:rsidR="00E34007" w:rsidRPr="00AD164C">
        <w:rPr>
          <w:rFonts w:eastAsia="Calibri"/>
        </w:rPr>
        <w:t>; and</w:t>
      </w:r>
    </w:p>
    <w:p w14:paraId="1AE9BF03" w14:textId="018A1E00" w:rsidR="00C97A02" w:rsidRPr="00C97A02" w:rsidRDefault="00AD15DD" w:rsidP="00C97A02">
      <w:pPr>
        <w:numPr>
          <w:ilvl w:val="0"/>
          <w:numId w:val="2"/>
        </w:numPr>
        <w:tabs>
          <w:tab w:val="left" w:pos="720"/>
          <w:tab w:val="left" w:pos="1080"/>
          <w:tab w:val="left" w:pos="1440"/>
          <w:tab w:val="right" w:pos="9360"/>
        </w:tabs>
        <w:spacing w:before="120" w:line="252" w:lineRule="auto"/>
        <w:rPr>
          <w:rFonts w:eastAsia="Calibri"/>
          <w:color w:val="000000" w:themeColor="text1"/>
        </w:rPr>
      </w:pPr>
      <w:r w:rsidRPr="00C97A02">
        <w:rPr>
          <w:rFonts w:eastAsia="Calibri"/>
          <w:b/>
          <w:bCs/>
          <w:color w:val="000000" w:themeColor="text1"/>
        </w:rPr>
        <w:t>Motor vehicle</w:t>
      </w:r>
      <w:r w:rsidR="000336A0">
        <w:rPr>
          <w:rFonts w:eastAsia="Calibri"/>
          <w:b/>
          <w:bCs/>
          <w:color w:val="000000" w:themeColor="text1"/>
        </w:rPr>
        <w:t>s</w:t>
      </w:r>
      <w:r w:rsidRPr="00C97A02">
        <w:rPr>
          <w:rFonts w:eastAsia="Calibri"/>
          <w:b/>
          <w:bCs/>
          <w:color w:val="000000" w:themeColor="text1"/>
        </w:rPr>
        <w:t xml:space="preserve"> </w:t>
      </w:r>
      <w:r w:rsidRPr="00AB2AFD">
        <w:rPr>
          <w:rFonts w:eastAsia="Calibri"/>
          <w:b/>
          <w:bCs/>
          <w:color w:val="000000" w:themeColor="text1"/>
        </w:rPr>
        <w:t>sales</w:t>
      </w:r>
      <w:r w:rsidRPr="00C97A02">
        <w:rPr>
          <w:rFonts w:eastAsia="Calibri"/>
          <w:color w:val="000000" w:themeColor="text1"/>
        </w:rPr>
        <w:t xml:space="preserve"> tax of </w:t>
      </w:r>
      <w:r w:rsidR="0012308B" w:rsidRPr="00C97A02">
        <w:rPr>
          <w:rFonts w:eastAsia="Calibri"/>
          <w:color w:val="000000" w:themeColor="text1"/>
        </w:rPr>
        <w:t>$</w:t>
      </w:r>
      <w:r w:rsidR="00D62F93">
        <w:rPr>
          <w:rFonts w:eastAsia="Calibri"/>
          <w:color w:val="000000" w:themeColor="text1"/>
        </w:rPr>
        <w:t>43</w:t>
      </w:r>
      <w:r w:rsidR="0012308B" w:rsidRPr="00C97A02">
        <w:rPr>
          <w:rFonts w:eastAsia="Calibri"/>
          <w:color w:val="000000" w:themeColor="text1"/>
        </w:rPr>
        <w:t xml:space="preserve"> million</w:t>
      </w:r>
      <w:r w:rsidR="006F1E92">
        <w:rPr>
          <w:rFonts w:eastAsia="Calibri"/>
          <w:color w:val="000000" w:themeColor="text1"/>
        </w:rPr>
        <w:t xml:space="preserve">, </w:t>
      </w:r>
      <w:r w:rsidR="004F0EA4">
        <w:rPr>
          <w:rFonts w:eastAsia="Calibri"/>
          <w:color w:val="000000" w:themeColor="text1"/>
        </w:rPr>
        <w:t>down</w:t>
      </w:r>
      <w:r w:rsidR="006F1E92">
        <w:rPr>
          <w:rFonts w:eastAsia="Calibri"/>
          <w:color w:val="000000" w:themeColor="text1"/>
        </w:rPr>
        <w:t xml:space="preserve"> $</w:t>
      </w:r>
      <w:r w:rsidR="00B03BC0">
        <w:rPr>
          <w:rFonts w:eastAsia="Calibri"/>
          <w:color w:val="000000" w:themeColor="text1"/>
        </w:rPr>
        <w:t>1</w:t>
      </w:r>
      <w:r w:rsidR="00D62F93">
        <w:rPr>
          <w:rFonts w:eastAsia="Calibri"/>
          <w:color w:val="000000" w:themeColor="text1"/>
        </w:rPr>
        <w:t>1</w:t>
      </w:r>
      <w:r w:rsidR="006F1E92">
        <w:rPr>
          <w:rFonts w:eastAsia="Calibri"/>
          <w:color w:val="000000" w:themeColor="text1"/>
        </w:rPr>
        <w:t xml:space="preserve"> million versus the same </w:t>
      </w:r>
      <w:r w:rsidR="004C4DA3" w:rsidRPr="00AD164C">
        <w:rPr>
          <w:rFonts w:eastAsia="Calibri"/>
        </w:rPr>
        <w:t xml:space="preserve">period in </w:t>
      </w:r>
      <w:r w:rsidR="00BB009B">
        <w:rPr>
          <w:color w:val="000000" w:themeColor="text1"/>
        </w:rPr>
        <w:t>December</w:t>
      </w:r>
      <w:r w:rsidR="004C4DA3" w:rsidRPr="00AD164C">
        <w:rPr>
          <w:color w:val="000000" w:themeColor="text1"/>
        </w:rPr>
        <w:t xml:space="preserve"> 202</w:t>
      </w:r>
      <w:r w:rsidR="00B30EDE">
        <w:rPr>
          <w:color w:val="000000" w:themeColor="text1"/>
        </w:rPr>
        <w:t>4</w:t>
      </w:r>
      <w:r w:rsidR="00B66F3D">
        <w:rPr>
          <w:rFonts w:eastAsia="Calibri"/>
          <w:color w:val="000000" w:themeColor="text1"/>
        </w:rPr>
        <w:t>.</w:t>
      </w:r>
      <w:r w:rsidR="00C97A02" w:rsidRPr="00C97A02">
        <w:rPr>
          <w:rFonts w:eastAsia="Calibri"/>
          <w:color w:val="000000" w:themeColor="text1"/>
        </w:rPr>
        <w:t xml:space="preserve"> </w:t>
      </w:r>
    </w:p>
    <w:p w14:paraId="0AD175B8" w14:textId="36F6970C" w:rsidR="0012308B" w:rsidRPr="00C97A02" w:rsidRDefault="0012308B" w:rsidP="00B06E7E">
      <w:pPr>
        <w:tabs>
          <w:tab w:val="left" w:pos="720"/>
          <w:tab w:val="left" w:pos="1080"/>
          <w:tab w:val="left" w:pos="1440"/>
          <w:tab w:val="right" w:pos="9360"/>
        </w:tabs>
        <w:spacing w:before="240" w:after="120" w:line="252" w:lineRule="auto"/>
        <w:rPr>
          <w:bCs/>
          <w:iCs/>
          <w:color w:val="FF0000"/>
        </w:rPr>
      </w:pPr>
      <w:r w:rsidRPr="00C97A02">
        <w:rPr>
          <w:b/>
          <w:color w:val="000000" w:themeColor="text1"/>
        </w:rPr>
        <w:t xml:space="preserve">Corporate &amp; </w:t>
      </w:r>
      <w:r w:rsidR="000336A0">
        <w:rPr>
          <w:b/>
          <w:color w:val="000000" w:themeColor="text1"/>
        </w:rPr>
        <w:t>b</w:t>
      </w:r>
      <w:r w:rsidRPr="00C97A02">
        <w:rPr>
          <w:b/>
          <w:color w:val="000000" w:themeColor="text1"/>
        </w:rPr>
        <w:t>usiness</w:t>
      </w:r>
      <w:r w:rsidRPr="00C97A02">
        <w:rPr>
          <w:color w:val="000000" w:themeColor="text1"/>
        </w:rPr>
        <w:t xml:space="preserve"> </w:t>
      </w:r>
      <w:r w:rsidR="000336A0" w:rsidRPr="000336A0">
        <w:rPr>
          <w:color w:val="000000" w:themeColor="text1"/>
        </w:rPr>
        <w:t>t</w:t>
      </w:r>
      <w:r w:rsidRPr="000336A0">
        <w:rPr>
          <w:color w:val="000000" w:themeColor="text1"/>
        </w:rPr>
        <w:t>ax</w:t>
      </w:r>
      <w:r w:rsidRPr="00C97A02">
        <w:rPr>
          <w:color w:val="000000" w:themeColor="text1"/>
        </w:rPr>
        <w:t xml:space="preserve"> of $</w:t>
      </w:r>
      <w:r w:rsidR="00D62F93">
        <w:rPr>
          <w:color w:val="000000" w:themeColor="text1"/>
        </w:rPr>
        <w:t>375</w:t>
      </w:r>
      <w:r w:rsidR="00171FB3" w:rsidRPr="00C97A02">
        <w:rPr>
          <w:color w:val="000000" w:themeColor="text1"/>
        </w:rPr>
        <w:t xml:space="preserve"> </w:t>
      </w:r>
      <w:r w:rsidR="008F449A">
        <w:rPr>
          <w:color w:val="000000" w:themeColor="text1"/>
        </w:rPr>
        <w:t>m</w:t>
      </w:r>
      <w:r w:rsidRPr="00C97A02">
        <w:rPr>
          <w:color w:val="000000" w:themeColor="text1"/>
        </w:rPr>
        <w:t xml:space="preserve">illion </w:t>
      </w:r>
      <w:r w:rsidR="00C22855" w:rsidRPr="00C97A02">
        <w:rPr>
          <w:color w:val="000000" w:themeColor="text1"/>
        </w:rPr>
        <w:t xml:space="preserve">is </w:t>
      </w:r>
      <w:r w:rsidR="00D62F93">
        <w:rPr>
          <w:color w:val="000000" w:themeColor="text1"/>
        </w:rPr>
        <w:t>down</w:t>
      </w:r>
      <w:r w:rsidR="00171FB3" w:rsidRPr="000746CB">
        <w:t xml:space="preserve"> </w:t>
      </w:r>
      <w:r w:rsidRPr="000746CB">
        <w:t>$</w:t>
      </w:r>
      <w:r w:rsidR="00B03BC0">
        <w:t>1</w:t>
      </w:r>
      <w:r w:rsidR="00D62F93">
        <w:t>06</w:t>
      </w:r>
      <w:r w:rsidR="00171FB3" w:rsidRPr="000746CB">
        <w:t xml:space="preserve"> </w:t>
      </w:r>
      <w:r w:rsidRPr="000746CB">
        <w:t xml:space="preserve">million </w:t>
      </w:r>
      <w:r w:rsidRPr="00C97A02">
        <w:rPr>
          <w:rFonts w:eastAsia="Calibri"/>
        </w:rPr>
        <w:t xml:space="preserve">versus the same period in </w:t>
      </w:r>
      <w:r w:rsidR="00BB009B">
        <w:rPr>
          <w:color w:val="000000" w:themeColor="text1"/>
        </w:rPr>
        <w:t>December</w:t>
      </w:r>
      <w:r w:rsidR="00BB009B" w:rsidRPr="00C97A02">
        <w:rPr>
          <w:color w:val="000000" w:themeColor="text1"/>
        </w:rPr>
        <w:t xml:space="preserve"> </w:t>
      </w:r>
      <w:r w:rsidRPr="00C97A02">
        <w:rPr>
          <w:color w:val="000000" w:themeColor="text1"/>
        </w:rPr>
        <w:t>202</w:t>
      </w:r>
      <w:r w:rsidR="00B30EDE">
        <w:rPr>
          <w:color w:val="000000" w:themeColor="text1"/>
        </w:rPr>
        <w:t>4</w:t>
      </w:r>
      <w:r w:rsidRPr="00C97A02">
        <w:rPr>
          <w:rFonts w:eastAsia="Calibri"/>
        </w:rPr>
        <w:t>.</w:t>
      </w:r>
      <w:r w:rsidR="00356B17" w:rsidRPr="00C97A02">
        <w:rPr>
          <w:color w:val="000000" w:themeColor="text1"/>
        </w:rPr>
        <w:t xml:space="preserve"> </w:t>
      </w:r>
      <w:r w:rsidR="00B43D49" w:rsidRPr="00B43D49">
        <w:rPr>
          <w:color w:val="000000" w:themeColor="text1"/>
        </w:rPr>
        <w:t xml:space="preserve">The month-to-date </w:t>
      </w:r>
      <w:r w:rsidR="00D713A1">
        <w:rPr>
          <w:color w:val="000000" w:themeColor="text1"/>
        </w:rPr>
        <w:t>de</w:t>
      </w:r>
      <w:r w:rsidR="00B43D49" w:rsidRPr="00B43D49">
        <w:rPr>
          <w:color w:val="000000" w:themeColor="text1"/>
        </w:rPr>
        <w:t xml:space="preserve">crease is </w:t>
      </w:r>
      <w:r w:rsidR="00D713A1">
        <w:rPr>
          <w:color w:val="000000" w:themeColor="text1"/>
        </w:rPr>
        <w:t xml:space="preserve">primarily </w:t>
      </w:r>
      <w:r w:rsidR="00B43D49" w:rsidRPr="00B43D49">
        <w:rPr>
          <w:color w:val="000000" w:themeColor="text1"/>
        </w:rPr>
        <w:t>due to</w:t>
      </w:r>
      <w:r w:rsidR="00CE399A">
        <w:rPr>
          <w:color w:val="000000" w:themeColor="text1"/>
        </w:rPr>
        <w:t xml:space="preserve"> </w:t>
      </w:r>
      <w:r w:rsidR="00D713A1">
        <w:rPr>
          <w:color w:val="000000" w:themeColor="text1"/>
        </w:rPr>
        <w:t>a de</w:t>
      </w:r>
      <w:r w:rsidR="00B03BC0">
        <w:rPr>
          <w:color w:val="000000" w:themeColor="text1"/>
        </w:rPr>
        <w:t>crease in estimated and return payments, and</w:t>
      </w:r>
      <w:r w:rsidR="00D21BA5">
        <w:rPr>
          <w:color w:val="000000" w:themeColor="text1"/>
        </w:rPr>
        <w:t xml:space="preserve"> a</w:t>
      </w:r>
      <w:r w:rsidR="00D713A1">
        <w:rPr>
          <w:color w:val="000000" w:themeColor="text1"/>
        </w:rPr>
        <w:t>n</w:t>
      </w:r>
      <w:r w:rsidR="00D9480C">
        <w:rPr>
          <w:color w:val="000000" w:themeColor="text1"/>
        </w:rPr>
        <w:t xml:space="preserve"> </w:t>
      </w:r>
      <w:r w:rsidR="00D713A1">
        <w:rPr>
          <w:color w:val="000000" w:themeColor="text1"/>
        </w:rPr>
        <w:t>in</w:t>
      </w:r>
      <w:r w:rsidR="00D9480C">
        <w:rPr>
          <w:color w:val="000000" w:themeColor="text1"/>
        </w:rPr>
        <w:t>crease</w:t>
      </w:r>
      <w:r w:rsidR="00D713A1">
        <w:rPr>
          <w:color w:val="000000" w:themeColor="text1"/>
        </w:rPr>
        <w:t xml:space="preserve"> (unfavorable) </w:t>
      </w:r>
      <w:r w:rsidR="00D9480C">
        <w:rPr>
          <w:color w:val="000000" w:themeColor="text1"/>
        </w:rPr>
        <w:t>in refunds.</w:t>
      </w:r>
    </w:p>
    <w:p w14:paraId="209DC526" w14:textId="47862214" w:rsidR="0012308B" w:rsidRPr="00022B55" w:rsidRDefault="006D6AEC" w:rsidP="0012308B">
      <w:pPr>
        <w:tabs>
          <w:tab w:val="left" w:pos="360"/>
          <w:tab w:val="left" w:pos="720"/>
          <w:tab w:val="left" w:pos="1080"/>
          <w:tab w:val="left" w:pos="1440"/>
          <w:tab w:val="right" w:pos="9360"/>
        </w:tabs>
        <w:spacing w:before="240" w:line="252" w:lineRule="auto"/>
        <w:ind w:right="634"/>
        <w:rPr>
          <w:color w:val="000000" w:themeColor="text1"/>
        </w:rPr>
      </w:pPr>
      <w:r>
        <w:rPr>
          <w:b/>
          <w:color w:val="000000" w:themeColor="text1"/>
        </w:rPr>
        <w:t xml:space="preserve">All </w:t>
      </w:r>
      <w:r w:rsidR="000336A0">
        <w:rPr>
          <w:b/>
          <w:color w:val="000000" w:themeColor="text1"/>
        </w:rPr>
        <w:t>o</w:t>
      </w:r>
      <w:r w:rsidR="0012308B" w:rsidRPr="00022B55">
        <w:rPr>
          <w:b/>
          <w:color w:val="000000" w:themeColor="text1"/>
        </w:rPr>
        <w:t>ther</w:t>
      </w:r>
      <w:r w:rsidR="0012308B" w:rsidRPr="00022B55">
        <w:rPr>
          <w:color w:val="000000" w:themeColor="text1"/>
        </w:rPr>
        <w:t xml:space="preserve"> </w:t>
      </w:r>
      <w:r w:rsidR="000336A0" w:rsidRPr="000336A0">
        <w:rPr>
          <w:bCs/>
          <w:color w:val="000000" w:themeColor="text1"/>
        </w:rPr>
        <w:t>t</w:t>
      </w:r>
      <w:r w:rsidR="0012308B" w:rsidRPr="000336A0">
        <w:rPr>
          <w:bCs/>
          <w:color w:val="000000" w:themeColor="text1"/>
        </w:rPr>
        <w:t>ax</w:t>
      </w:r>
      <w:r w:rsidR="002D6DDC">
        <w:rPr>
          <w:bCs/>
          <w:color w:val="000000" w:themeColor="text1"/>
        </w:rPr>
        <w:t>es</w:t>
      </w:r>
      <w:r w:rsidR="0012308B" w:rsidRPr="00022B55">
        <w:rPr>
          <w:color w:val="000000" w:themeColor="text1"/>
        </w:rPr>
        <w:t xml:space="preserve"> </w:t>
      </w:r>
      <w:r w:rsidR="0012308B">
        <w:rPr>
          <w:color w:val="000000" w:themeColor="text1"/>
        </w:rPr>
        <w:t xml:space="preserve">of </w:t>
      </w:r>
      <w:r w:rsidR="0012308B" w:rsidRPr="00022B55">
        <w:rPr>
          <w:color w:val="000000" w:themeColor="text1"/>
        </w:rPr>
        <w:t>$</w:t>
      </w:r>
      <w:r w:rsidR="00D62F93">
        <w:rPr>
          <w:color w:val="000000" w:themeColor="text1"/>
        </w:rPr>
        <w:t>50</w:t>
      </w:r>
      <w:r w:rsidR="00171FB3" w:rsidRPr="00022B55">
        <w:rPr>
          <w:color w:val="000000" w:themeColor="text1"/>
        </w:rPr>
        <w:t xml:space="preserve"> </w:t>
      </w:r>
      <w:r w:rsidR="0012308B" w:rsidRPr="00022B55">
        <w:rPr>
          <w:color w:val="000000" w:themeColor="text1"/>
        </w:rPr>
        <w:t xml:space="preserve">million, </w:t>
      </w:r>
      <w:r w:rsidR="00B03BC0">
        <w:rPr>
          <w:color w:val="000000" w:themeColor="text1"/>
        </w:rPr>
        <w:t>down</w:t>
      </w:r>
      <w:r w:rsidR="0012308B" w:rsidRPr="00022B55">
        <w:rPr>
          <w:color w:val="000000" w:themeColor="text1"/>
        </w:rPr>
        <w:t xml:space="preserve"> $</w:t>
      </w:r>
      <w:r w:rsidR="00DB237C">
        <w:rPr>
          <w:color w:val="000000" w:themeColor="text1"/>
        </w:rPr>
        <w:t>1</w:t>
      </w:r>
      <w:r w:rsidR="00D62F93">
        <w:rPr>
          <w:color w:val="000000" w:themeColor="text1"/>
        </w:rPr>
        <w:t>25</w:t>
      </w:r>
      <w:r w:rsidR="00171FB3" w:rsidRPr="00022B55">
        <w:rPr>
          <w:color w:val="000000" w:themeColor="text1"/>
        </w:rPr>
        <w:t xml:space="preserve"> </w:t>
      </w:r>
      <w:r w:rsidR="0012308B" w:rsidRPr="00022B55">
        <w:rPr>
          <w:color w:val="000000" w:themeColor="text1"/>
        </w:rPr>
        <w:t xml:space="preserve">million </w:t>
      </w:r>
      <w:r w:rsidR="0012308B">
        <w:rPr>
          <w:rFonts w:eastAsia="Calibri"/>
        </w:rPr>
        <w:t xml:space="preserve">versus </w:t>
      </w:r>
      <w:r w:rsidR="0012308B" w:rsidRPr="00D302AD">
        <w:rPr>
          <w:rFonts w:eastAsia="Calibri"/>
        </w:rPr>
        <w:t xml:space="preserve">the same period in </w:t>
      </w:r>
      <w:r w:rsidR="00BB009B">
        <w:rPr>
          <w:color w:val="000000" w:themeColor="text1"/>
        </w:rPr>
        <w:t>December</w:t>
      </w:r>
      <w:r w:rsidR="00BB009B" w:rsidRPr="00022B55">
        <w:rPr>
          <w:color w:val="000000" w:themeColor="text1"/>
        </w:rPr>
        <w:t xml:space="preserve"> </w:t>
      </w:r>
      <w:r w:rsidR="0012308B" w:rsidRPr="00022B55">
        <w:rPr>
          <w:color w:val="000000" w:themeColor="text1"/>
        </w:rPr>
        <w:t>20</w:t>
      </w:r>
      <w:r w:rsidR="0012308B">
        <w:rPr>
          <w:color w:val="000000" w:themeColor="text1"/>
        </w:rPr>
        <w:t>2</w:t>
      </w:r>
      <w:r w:rsidR="00B30EDE">
        <w:rPr>
          <w:color w:val="000000" w:themeColor="text1"/>
        </w:rPr>
        <w:t>4</w:t>
      </w:r>
      <w:r w:rsidR="0012308B">
        <w:rPr>
          <w:color w:val="000000" w:themeColor="text1"/>
        </w:rPr>
        <w:t xml:space="preserve">, </w:t>
      </w:r>
      <w:r w:rsidR="00172B22" w:rsidRPr="00022B55">
        <w:rPr>
          <w:color w:val="000000" w:themeColor="text1"/>
        </w:rPr>
        <w:t>include</w:t>
      </w:r>
      <w:r w:rsidR="0012308B" w:rsidRPr="00022B55">
        <w:rPr>
          <w:color w:val="000000" w:themeColor="text1"/>
        </w:rPr>
        <w:t xml:space="preserve"> </w:t>
      </w:r>
      <w:proofErr w:type="gramStart"/>
      <w:r w:rsidR="0012308B" w:rsidRPr="00022B55">
        <w:rPr>
          <w:color w:val="000000" w:themeColor="text1"/>
        </w:rPr>
        <w:t>a</w:t>
      </w:r>
      <w:r w:rsidR="0012308B">
        <w:rPr>
          <w:color w:val="000000" w:themeColor="text1"/>
        </w:rPr>
        <w:t xml:space="preserve"> </w:t>
      </w:r>
      <w:r w:rsidR="0012308B" w:rsidRPr="00022B55">
        <w:rPr>
          <w:color w:val="000000" w:themeColor="text1"/>
        </w:rPr>
        <w:t>number of</w:t>
      </w:r>
      <w:proofErr w:type="gramEnd"/>
      <w:r w:rsidR="0012308B" w:rsidRPr="00022B55">
        <w:rPr>
          <w:color w:val="000000" w:themeColor="text1"/>
        </w:rPr>
        <w:t xml:space="preserve"> tax categories</w:t>
      </w:r>
      <w:r w:rsidR="00B66F3D">
        <w:rPr>
          <w:color w:val="000000" w:themeColor="text1"/>
        </w:rPr>
        <w:t>,</w:t>
      </w:r>
      <w:r w:rsidR="0012308B" w:rsidRPr="00022B55">
        <w:rPr>
          <w:color w:val="000000" w:themeColor="text1"/>
        </w:rPr>
        <w:t xml:space="preserve"> </w:t>
      </w:r>
      <w:r w:rsidR="0012308B">
        <w:rPr>
          <w:color w:val="000000" w:themeColor="text1"/>
        </w:rPr>
        <w:t xml:space="preserve">such as </w:t>
      </w:r>
      <w:r w:rsidR="0012308B" w:rsidRPr="00022B55">
        <w:rPr>
          <w:color w:val="000000" w:themeColor="text1"/>
        </w:rPr>
        <w:t xml:space="preserve">motor fuels, </w:t>
      </w:r>
      <w:proofErr w:type="gramStart"/>
      <w:r w:rsidR="0012308B" w:rsidRPr="00022B55">
        <w:rPr>
          <w:color w:val="000000" w:themeColor="text1"/>
        </w:rPr>
        <w:t>cigarette</w:t>
      </w:r>
      <w:proofErr w:type="gramEnd"/>
      <w:r w:rsidR="0012308B" w:rsidRPr="00022B55">
        <w:rPr>
          <w:color w:val="000000" w:themeColor="text1"/>
        </w:rPr>
        <w:t xml:space="preserve">, estate tax, </w:t>
      </w:r>
      <w:r w:rsidR="0012308B">
        <w:rPr>
          <w:color w:val="000000" w:themeColor="text1"/>
        </w:rPr>
        <w:t xml:space="preserve">room occupancy, </w:t>
      </w:r>
      <w:r w:rsidR="00A2314A">
        <w:rPr>
          <w:color w:val="000000" w:themeColor="text1"/>
        </w:rPr>
        <w:t xml:space="preserve">and </w:t>
      </w:r>
      <w:r w:rsidR="0012308B" w:rsidRPr="00022B55">
        <w:rPr>
          <w:color w:val="000000" w:themeColor="text1"/>
        </w:rPr>
        <w:t>deeds.</w:t>
      </w:r>
      <w:r w:rsidR="00E0187E">
        <w:rPr>
          <w:color w:val="000000" w:themeColor="text1"/>
        </w:rPr>
        <w:t xml:space="preserve"> </w:t>
      </w:r>
    </w:p>
    <w:p w14:paraId="5FA10A36" w14:textId="77777777" w:rsidR="0012308B" w:rsidRPr="00022B55" w:rsidRDefault="0012308B" w:rsidP="0012308B">
      <w:pPr>
        <w:rPr>
          <w:color w:val="000000" w:themeColor="text1"/>
        </w:rPr>
      </w:pPr>
    </w:p>
    <w:p w14:paraId="4011976D" w14:textId="77777777" w:rsidR="0012308B" w:rsidRPr="00022B55" w:rsidRDefault="0012308B" w:rsidP="0012308B">
      <w:pPr>
        <w:rPr>
          <w:color w:val="000000" w:themeColor="text1"/>
        </w:rPr>
      </w:pPr>
      <w:r w:rsidRPr="00022B55">
        <w:rPr>
          <w:color w:val="000000" w:themeColor="text1"/>
        </w:rPr>
        <w:t xml:space="preserve">If you have any questions concerning this report, please contact either me </w:t>
      </w:r>
      <w:r>
        <w:rPr>
          <w:color w:val="000000" w:themeColor="text1"/>
        </w:rPr>
        <w:t>(</w:t>
      </w:r>
      <w:r w:rsidRPr="00B7117E">
        <w:rPr>
          <w:color w:val="000000" w:themeColor="text1"/>
        </w:rPr>
        <w:t>snyderge@dor.state.ma.us</w:t>
      </w:r>
      <w:r>
        <w:rPr>
          <w:color w:val="000000" w:themeColor="text1"/>
        </w:rPr>
        <w:t xml:space="preserve">) </w:t>
      </w:r>
      <w:r w:rsidRPr="00022B55">
        <w:rPr>
          <w:color w:val="000000" w:themeColor="text1"/>
        </w:rPr>
        <w:t>or Kazim P. Ozyurt, Director of the Office of Tax Analysis</w:t>
      </w:r>
      <w:r>
        <w:rPr>
          <w:color w:val="000000" w:themeColor="text1"/>
        </w:rPr>
        <w:t xml:space="preserve"> (ozyurtk@dor.state.ma.us).</w:t>
      </w:r>
    </w:p>
    <w:p w14:paraId="7DEB1A51" w14:textId="77777777" w:rsidR="0012308B" w:rsidRDefault="0012308B" w:rsidP="0012308B">
      <w:pPr>
        <w:tabs>
          <w:tab w:val="left" w:pos="720"/>
          <w:tab w:val="right" w:pos="9360"/>
        </w:tabs>
        <w:jc w:val="both"/>
        <w:rPr>
          <w:rFonts w:eastAsia="Calibri"/>
          <w:color w:val="000000" w:themeColor="text1"/>
        </w:rPr>
      </w:pPr>
    </w:p>
    <w:p w14:paraId="3F5DA0F1" w14:textId="77777777" w:rsidR="0012308B" w:rsidRDefault="0012308B" w:rsidP="0012308B">
      <w:pPr>
        <w:tabs>
          <w:tab w:val="left" w:pos="720"/>
          <w:tab w:val="right" w:pos="9360"/>
        </w:tabs>
        <w:ind w:left="5040"/>
        <w:jc w:val="both"/>
        <w:rPr>
          <w:rFonts w:eastAsia="Calibri"/>
          <w:color w:val="000000" w:themeColor="text1"/>
        </w:rPr>
      </w:pPr>
    </w:p>
    <w:p w14:paraId="05F41FC9" w14:textId="77777777" w:rsidR="0012308B" w:rsidRDefault="0012308B" w:rsidP="0012308B">
      <w:pPr>
        <w:tabs>
          <w:tab w:val="left" w:pos="720"/>
          <w:tab w:val="left" w:pos="5760"/>
          <w:tab w:val="right" w:pos="9360"/>
        </w:tabs>
        <w:ind w:left="5040"/>
        <w:jc w:val="both"/>
        <w:rPr>
          <w:rFonts w:eastAsia="Calibri"/>
          <w:color w:val="000000" w:themeColor="text1"/>
        </w:rPr>
      </w:pPr>
    </w:p>
    <w:p w14:paraId="01741A85" w14:textId="77777777" w:rsidR="0012308B" w:rsidRPr="007604D0" w:rsidRDefault="0012308B" w:rsidP="0012308B">
      <w:pPr>
        <w:tabs>
          <w:tab w:val="left" w:pos="720"/>
          <w:tab w:val="left" w:pos="5760"/>
          <w:tab w:val="right" w:pos="9360"/>
        </w:tabs>
        <w:ind w:left="5040"/>
        <w:jc w:val="both"/>
        <w:rPr>
          <w:rFonts w:eastAsia="Calibri"/>
          <w:color w:val="000000" w:themeColor="text1"/>
        </w:rPr>
      </w:pPr>
      <w:r w:rsidRPr="00022B55">
        <w:rPr>
          <w:rFonts w:eastAsia="Calibri"/>
          <w:color w:val="000000" w:themeColor="text1"/>
        </w:rPr>
        <w:t xml:space="preserve">Sincerely, </w:t>
      </w:r>
    </w:p>
    <w:p w14:paraId="79DAD932" w14:textId="02D52091" w:rsidR="00567468" w:rsidRDefault="00CF3264" w:rsidP="0012308B">
      <w:pPr>
        <w:tabs>
          <w:tab w:val="left" w:pos="720"/>
          <w:tab w:val="left" w:pos="5760"/>
          <w:tab w:val="right" w:pos="9360"/>
        </w:tabs>
        <w:ind w:left="4320"/>
        <w:jc w:val="both"/>
        <w:rPr>
          <w:noProof/>
          <w:color w:val="000000" w:themeColor="text1"/>
        </w:rPr>
      </w:pPr>
      <w:r w:rsidRPr="00022B55">
        <w:rPr>
          <w:noProof/>
          <w:color w:val="000000" w:themeColor="text1"/>
        </w:rPr>
        <w:drawing>
          <wp:inline distT="0" distB="0" distL="0" distR="0" wp14:anchorId="454F08AF" wp14:editId="3867781E">
            <wp:extent cx="1840759" cy="771525"/>
            <wp:effectExtent l="0" t="0" r="7620" b="0"/>
            <wp:docPr id="2" name="Picture 2" descr="Picture of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Picture of Signatur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57" cy="792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D433C" w14:textId="77777777" w:rsidR="00786761" w:rsidRDefault="00786761" w:rsidP="0012308B">
      <w:pPr>
        <w:tabs>
          <w:tab w:val="left" w:pos="720"/>
          <w:tab w:val="left" w:pos="5760"/>
          <w:tab w:val="right" w:pos="9360"/>
        </w:tabs>
        <w:ind w:left="4320"/>
        <w:jc w:val="both"/>
        <w:rPr>
          <w:noProof/>
          <w:color w:val="000000" w:themeColor="text1"/>
        </w:rPr>
      </w:pPr>
    </w:p>
    <w:p w14:paraId="19F01E52" w14:textId="77777777" w:rsidR="0012308B" w:rsidRPr="00022B55" w:rsidRDefault="0012308B" w:rsidP="0012308B">
      <w:pPr>
        <w:tabs>
          <w:tab w:val="left" w:pos="720"/>
          <w:tab w:val="left" w:pos="5760"/>
          <w:tab w:val="right" w:pos="9360"/>
        </w:tabs>
        <w:jc w:val="both"/>
        <w:rPr>
          <w:rFonts w:eastAsia="Calibri"/>
          <w:color w:val="000000" w:themeColor="text1"/>
        </w:rPr>
      </w:pPr>
      <w:r w:rsidRPr="00022B55">
        <w:rPr>
          <w:rFonts w:eastAsia="Calibri"/>
          <w:color w:val="000000" w:themeColor="text1"/>
        </w:rPr>
        <w:tab/>
        <w:t xml:space="preserve">                                        </w:t>
      </w:r>
      <w:r>
        <w:rPr>
          <w:rFonts w:eastAsia="Calibri"/>
          <w:color w:val="000000" w:themeColor="text1"/>
        </w:rPr>
        <w:t xml:space="preserve">                                </w:t>
      </w:r>
      <w:r w:rsidRPr="00022B55">
        <w:rPr>
          <w:rFonts w:eastAsia="Calibri"/>
          <w:color w:val="000000" w:themeColor="text1"/>
        </w:rPr>
        <w:t>Geoffrey E. Snyder</w:t>
      </w:r>
    </w:p>
    <w:p w14:paraId="2BC7EB95" w14:textId="77777777" w:rsidR="0012308B" w:rsidRPr="00022B55" w:rsidRDefault="0012308B" w:rsidP="0012308B">
      <w:pPr>
        <w:tabs>
          <w:tab w:val="left" w:pos="720"/>
          <w:tab w:val="left" w:pos="5760"/>
          <w:tab w:val="right" w:pos="9360"/>
        </w:tabs>
        <w:ind w:left="5040"/>
        <w:jc w:val="both"/>
        <w:rPr>
          <w:rFonts w:eastAsia="Calibri"/>
          <w:color w:val="000000" w:themeColor="text1"/>
        </w:rPr>
      </w:pPr>
      <w:r w:rsidRPr="00022B55">
        <w:rPr>
          <w:rFonts w:eastAsia="Calibri"/>
          <w:color w:val="000000" w:themeColor="text1"/>
        </w:rPr>
        <w:t>Commissioner</w:t>
      </w:r>
    </w:p>
    <w:p w14:paraId="2FA58B05" w14:textId="77777777" w:rsidR="0012308B" w:rsidRDefault="0012308B" w:rsidP="0012308B">
      <w:pPr>
        <w:tabs>
          <w:tab w:val="left" w:pos="720"/>
          <w:tab w:val="right" w:pos="9360"/>
        </w:tabs>
        <w:jc w:val="both"/>
        <w:rPr>
          <w:rFonts w:eastAsia="Calibri"/>
          <w:color w:val="000000" w:themeColor="text1"/>
        </w:rPr>
      </w:pPr>
    </w:p>
    <w:p w14:paraId="6D48988E" w14:textId="77777777" w:rsidR="0012308B" w:rsidRDefault="0012308B" w:rsidP="0012308B">
      <w:pPr>
        <w:tabs>
          <w:tab w:val="left" w:pos="720"/>
          <w:tab w:val="right" w:pos="9360"/>
        </w:tabs>
        <w:jc w:val="both"/>
        <w:rPr>
          <w:rFonts w:eastAsia="Calibri"/>
          <w:color w:val="000000" w:themeColor="text1"/>
        </w:rPr>
      </w:pPr>
    </w:p>
    <w:p w14:paraId="151165B7" w14:textId="77777777" w:rsidR="0012308B" w:rsidRDefault="0012308B" w:rsidP="0012308B">
      <w:pPr>
        <w:tabs>
          <w:tab w:val="left" w:pos="720"/>
          <w:tab w:val="right" w:pos="9360"/>
        </w:tabs>
        <w:jc w:val="both"/>
        <w:rPr>
          <w:rFonts w:eastAsia="Calibri"/>
          <w:color w:val="000000" w:themeColor="text1"/>
        </w:rPr>
      </w:pPr>
    </w:p>
    <w:p w14:paraId="5777E722" w14:textId="77777777" w:rsidR="0012308B" w:rsidRDefault="0012308B" w:rsidP="0012308B">
      <w:pPr>
        <w:tabs>
          <w:tab w:val="left" w:pos="720"/>
          <w:tab w:val="right" w:pos="9360"/>
        </w:tabs>
        <w:jc w:val="both"/>
        <w:rPr>
          <w:rFonts w:eastAsia="Calibri"/>
          <w:color w:val="000000" w:themeColor="text1"/>
        </w:rPr>
      </w:pPr>
      <w:r w:rsidRPr="00022B55">
        <w:rPr>
          <w:rFonts w:eastAsia="Calibri"/>
          <w:color w:val="000000" w:themeColor="text1"/>
        </w:rPr>
        <w:t>Attachment</w:t>
      </w:r>
      <w:r>
        <w:rPr>
          <w:rFonts w:eastAsia="Calibri"/>
          <w:color w:val="000000" w:themeColor="text1"/>
        </w:rPr>
        <w:t>: 1</w:t>
      </w:r>
    </w:p>
    <w:p w14:paraId="2DEAF266" w14:textId="77777777" w:rsidR="0012308B" w:rsidRPr="00022B55" w:rsidRDefault="0012308B" w:rsidP="0012308B">
      <w:pPr>
        <w:tabs>
          <w:tab w:val="left" w:pos="720"/>
          <w:tab w:val="right" w:pos="9360"/>
        </w:tabs>
        <w:jc w:val="both"/>
        <w:rPr>
          <w:rFonts w:eastAsia="Calibri"/>
          <w:color w:val="000000" w:themeColor="text1"/>
        </w:rPr>
      </w:pPr>
    </w:p>
    <w:p w14:paraId="0E9597AB" w14:textId="77777777" w:rsidR="005956BB" w:rsidRDefault="0012308B" w:rsidP="0012308B">
      <w:pPr>
        <w:tabs>
          <w:tab w:val="right" w:pos="9360"/>
        </w:tabs>
        <w:ind w:left="720" w:hanging="720"/>
        <w:rPr>
          <w:color w:val="000000" w:themeColor="text1"/>
        </w:rPr>
      </w:pPr>
      <w:r w:rsidRPr="00022B55">
        <w:rPr>
          <w:color w:val="000000" w:themeColor="text1"/>
        </w:rPr>
        <w:t>cc:</w:t>
      </w:r>
      <w:r w:rsidRPr="00022B55">
        <w:rPr>
          <w:color w:val="000000" w:themeColor="text1"/>
        </w:rPr>
        <w:tab/>
      </w:r>
      <w:r w:rsidR="005956BB" w:rsidRPr="00022B55">
        <w:rPr>
          <w:color w:val="000000" w:themeColor="text1"/>
        </w:rPr>
        <w:t>Deborah B. Goldberg, Treasurer and Receiver General</w:t>
      </w:r>
      <w:r w:rsidR="005956BB">
        <w:rPr>
          <w:color w:val="000000" w:themeColor="text1"/>
        </w:rPr>
        <w:t xml:space="preserve"> </w:t>
      </w:r>
    </w:p>
    <w:p w14:paraId="0DCFF842" w14:textId="77777777" w:rsidR="005956BB" w:rsidRDefault="005956BB" w:rsidP="0012308B">
      <w:pPr>
        <w:tabs>
          <w:tab w:val="right" w:pos="9360"/>
        </w:tabs>
        <w:ind w:left="720" w:hanging="720"/>
        <w:rPr>
          <w:color w:val="000000" w:themeColor="text1"/>
        </w:rPr>
      </w:pPr>
      <w:r>
        <w:rPr>
          <w:color w:val="000000" w:themeColor="text1"/>
        </w:rPr>
        <w:tab/>
      </w:r>
      <w:r w:rsidR="00277169">
        <w:rPr>
          <w:color w:val="000000" w:themeColor="text1"/>
        </w:rPr>
        <w:t>Matthew Gorzkowicz</w:t>
      </w:r>
      <w:r w:rsidR="0012308B" w:rsidRPr="00022B55">
        <w:rPr>
          <w:color w:val="000000" w:themeColor="text1"/>
        </w:rPr>
        <w:t>, Secretary of Administration and Finance</w:t>
      </w:r>
      <w:r w:rsidR="0012308B" w:rsidRPr="00022B55">
        <w:rPr>
          <w:color w:val="000000" w:themeColor="text1"/>
        </w:rPr>
        <w:br/>
      </w:r>
      <w:r w:rsidRPr="00022B55">
        <w:rPr>
          <w:color w:val="000000" w:themeColor="text1"/>
        </w:rPr>
        <w:t xml:space="preserve">Senator Karen E. Spilka, Senate President </w:t>
      </w:r>
    </w:p>
    <w:p w14:paraId="43CC81F2" w14:textId="15A2028A" w:rsidR="005956BB" w:rsidRDefault="005956BB" w:rsidP="005956BB">
      <w:pPr>
        <w:tabs>
          <w:tab w:val="right" w:pos="9360"/>
        </w:tabs>
        <w:ind w:left="720" w:hanging="720"/>
        <w:rPr>
          <w:color w:val="000000" w:themeColor="text1"/>
        </w:rPr>
      </w:pPr>
      <w:r>
        <w:rPr>
          <w:color w:val="000000" w:themeColor="text1"/>
        </w:rPr>
        <w:tab/>
      </w:r>
      <w:r w:rsidR="0012308B" w:rsidRPr="00022B55">
        <w:rPr>
          <w:color w:val="000000" w:themeColor="text1"/>
        </w:rPr>
        <w:t xml:space="preserve">Representative </w:t>
      </w:r>
      <w:r w:rsidR="0012308B">
        <w:rPr>
          <w:color w:val="000000" w:themeColor="text1"/>
        </w:rPr>
        <w:t xml:space="preserve">Ronald Mariano, </w:t>
      </w:r>
      <w:r w:rsidR="0012308B" w:rsidRPr="00022B55">
        <w:rPr>
          <w:color w:val="000000" w:themeColor="text1"/>
        </w:rPr>
        <w:t>House Speaker</w:t>
      </w:r>
      <w:r w:rsidR="0012308B" w:rsidRPr="00022B55">
        <w:rPr>
          <w:color w:val="000000" w:themeColor="text1"/>
        </w:rPr>
        <w:br/>
      </w:r>
      <w:r w:rsidRPr="00022B55">
        <w:rPr>
          <w:color w:val="000000" w:themeColor="text1"/>
        </w:rPr>
        <w:t xml:space="preserve">Senator Bruce </w:t>
      </w:r>
      <w:r>
        <w:rPr>
          <w:color w:val="000000" w:themeColor="text1"/>
        </w:rPr>
        <w:t xml:space="preserve">E. </w:t>
      </w:r>
      <w:r w:rsidRPr="00022B55">
        <w:rPr>
          <w:color w:val="000000" w:themeColor="text1"/>
        </w:rPr>
        <w:t xml:space="preserve">Tarr, Senate Minority Leader </w:t>
      </w:r>
    </w:p>
    <w:p w14:paraId="1A345503" w14:textId="77777777" w:rsidR="005956BB" w:rsidRDefault="005956BB" w:rsidP="005956BB">
      <w:pPr>
        <w:tabs>
          <w:tab w:val="right" w:pos="9360"/>
        </w:tabs>
        <w:ind w:left="720" w:hanging="720"/>
        <w:rPr>
          <w:color w:val="000000" w:themeColor="text1"/>
        </w:rPr>
      </w:pPr>
      <w:r>
        <w:rPr>
          <w:color w:val="000000" w:themeColor="text1"/>
        </w:rPr>
        <w:tab/>
      </w:r>
      <w:r w:rsidRPr="00022B55">
        <w:rPr>
          <w:color w:val="000000" w:themeColor="text1"/>
        </w:rPr>
        <w:t xml:space="preserve">Representative Bradley H. Jones, Jr., House Minority Leader </w:t>
      </w:r>
    </w:p>
    <w:p w14:paraId="74A551ED" w14:textId="4C931585" w:rsidR="005956BB" w:rsidRDefault="005956BB" w:rsidP="005956BB">
      <w:pPr>
        <w:tabs>
          <w:tab w:val="right" w:pos="9360"/>
        </w:tabs>
        <w:ind w:left="720" w:hanging="720"/>
        <w:rPr>
          <w:color w:val="000000" w:themeColor="text1"/>
        </w:rPr>
      </w:pPr>
      <w:r>
        <w:rPr>
          <w:color w:val="000000" w:themeColor="text1"/>
        </w:rPr>
        <w:tab/>
      </w:r>
      <w:r w:rsidRPr="009C00DF">
        <w:rPr>
          <w:color w:val="000000" w:themeColor="text1"/>
        </w:rPr>
        <w:t xml:space="preserve">Senator </w:t>
      </w:r>
      <w:r w:rsidR="00FC568D" w:rsidRPr="00FC568D">
        <w:rPr>
          <w:color w:val="000000" w:themeColor="text1"/>
        </w:rPr>
        <w:t>James B. Eldridge</w:t>
      </w:r>
      <w:r w:rsidRPr="009C00DF">
        <w:rPr>
          <w:color w:val="000000" w:themeColor="text1"/>
        </w:rPr>
        <w:t>, Senate Chair, Joint Committee on Revenue</w:t>
      </w:r>
      <w:r w:rsidRPr="00022B55">
        <w:rPr>
          <w:color w:val="000000" w:themeColor="text1"/>
        </w:rPr>
        <w:t xml:space="preserve"> </w:t>
      </w:r>
    </w:p>
    <w:p w14:paraId="74B8C2DD" w14:textId="60A5FA40" w:rsidR="006E3D7F" w:rsidRDefault="005956BB" w:rsidP="004C29C1">
      <w:pPr>
        <w:tabs>
          <w:tab w:val="right" w:pos="9360"/>
        </w:tabs>
        <w:ind w:left="720" w:hanging="720"/>
        <w:rPr>
          <w:color w:val="000000" w:themeColor="text1"/>
        </w:rPr>
      </w:pPr>
      <w:r>
        <w:rPr>
          <w:color w:val="000000" w:themeColor="text1"/>
        </w:rPr>
        <w:tab/>
      </w:r>
      <w:r w:rsidR="0012308B" w:rsidRPr="00022B55">
        <w:rPr>
          <w:color w:val="000000" w:themeColor="text1"/>
        </w:rPr>
        <w:t xml:space="preserve">Representative </w:t>
      </w:r>
      <w:r w:rsidR="00FC568D" w:rsidRPr="00FC568D">
        <w:rPr>
          <w:color w:val="000000" w:themeColor="text1"/>
        </w:rPr>
        <w:t>Adrian C. Madaro</w:t>
      </w:r>
      <w:r w:rsidR="0012308B" w:rsidRPr="00022B55">
        <w:rPr>
          <w:color w:val="000000" w:themeColor="text1"/>
        </w:rPr>
        <w:t>, House Chair, Joint Committee on Revenue</w:t>
      </w:r>
      <w:r w:rsidR="009C00DF" w:rsidRPr="00022B55" w:rsidDel="009C00DF">
        <w:rPr>
          <w:color w:val="000000" w:themeColor="text1"/>
        </w:rPr>
        <w:t xml:space="preserve"> </w:t>
      </w:r>
    </w:p>
    <w:p w14:paraId="52FFFB0E" w14:textId="77777777" w:rsidR="00C12A92" w:rsidRDefault="00C12A92" w:rsidP="004C29C1">
      <w:pPr>
        <w:tabs>
          <w:tab w:val="right" w:pos="9360"/>
        </w:tabs>
        <w:ind w:left="720" w:hanging="720"/>
        <w:rPr>
          <w:color w:val="000000" w:themeColor="text1"/>
        </w:rPr>
      </w:pPr>
    </w:p>
    <w:p w14:paraId="15FA5A12" w14:textId="77777777" w:rsidR="00C12A92" w:rsidRDefault="00C12A92" w:rsidP="004C29C1">
      <w:pPr>
        <w:tabs>
          <w:tab w:val="right" w:pos="9360"/>
        </w:tabs>
        <w:ind w:left="720" w:hanging="720"/>
        <w:rPr>
          <w:color w:val="000000" w:themeColor="text1"/>
        </w:rPr>
      </w:pPr>
    </w:p>
    <w:p w14:paraId="2F055DFB" w14:textId="77777777" w:rsidR="00445455" w:rsidRDefault="00445455" w:rsidP="004C29C1">
      <w:pPr>
        <w:tabs>
          <w:tab w:val="right" w:pos="9360"/>
        </w:tabs>
        <w:ind w:left="720" w:hanging="720"/>
        <w:rPr>
          <w:color w:val="000000" w:themeColor="text1"/>
        </w:rPr>
      </w:pPr>
    </w:p>
    <w:p w14:paraId="7D6530C4" w14:textId="77777777" w:rsidR="00E11DDF" w:rsidRDefault="00E11DDF" w:rsidP="004C29C1">
      <w:pPr>
        <w:tabs>
          <w:tab w:val="right" w:pos="9360"/>
        </w:tabs>
        <w:ind w:left="720" w:hanging="720"/>
        <w:rPr>
          <w:color w:val="000000" w:themeColor="text1"/>
        </w:rPr>
      </w:pPr>
    </w:p>
    <w:p w14:paraId="3CF0955B" w14:textId="174FB546" w:rsidR="00E11DDF" w:rsidRDefault="00E11DDF" w:rsidP="004C29C1">
      <w:pPr>
        <w:tabs>
          <w:tab w:val="right" w:pos="9360"/>
        </w:tabs>
        <w:ind w:left="720" w:hanging="720"/>
        <w:rPr>
          <w:color w:val="000000" w:themeColor="text1"/>
        </w:rPr>
      </w:pPr>
    </w:p>
    <w:p w14:paraId="0F0726BE" w14:textId="0067313A" w:rsidR="002F47D3" w:rsidRDefault="005015C8" w:rsidP="004C29C1">
      <w:pPr>
        <w:tabs>
          <w:tab w:val="right" w:pos="9360"/>
        </w:tabs>
        <w:ind w:left="720" w:hanging="720"/>
        <w:rPr>
          <w:color w:val="000000" w:themeColor="text1"/>
        </w:rPr>
      </w:pPr>
      <w:r w:rsidRPr="005015C8">
        <w:rPr>
          <w:noProof/>
        </w:rPr>
        <w:lastRenderedPageBreak/>
        <w:drawing>
          <wp:inline distT="0" distB="0" distL="0" distR="0" wp14:anchorId="52636575" wp14:editId="7D183159">
            <wp:extent cx="5943600" cy="4037965"/>
            <wp:effectExtent l="0" t="0" r="0" b="635"/>
            <wp:docPr id="1890743295" name="Picture 3" descr="December mid-month reven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743295" name="Picture 3" descr="December mid-month revenue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3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885A3" w14:textId="24DD55A4" w:rsidR="00AF031C" w:rsidRDefault="00AF031C" w:rsidP="004C29C1">
      <w:pPr>
        <w:tabs>
          <w:tab w:val="right" w:pos="9360"/>
        </w:tabs>
        <w:ind w:left="720" w:hanging="720"/>
        <w:rPr>
          <w:color w:val="000000" w:themeColor="text1"/>
        </w:rPr>
      </w:pPr>
    </w:p>
    <w:sectPr w:rsidR="00AF031C" w:rsidSect="00CF246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080" w:right="1440" w:bottom="108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0B352" w14:textId="77777777" w:rsidR="00971A51" w:rsidRDefault="00971A51" w:rsidP="00D548EB">
      <w:r>
        <w:separator/>
      </w:r>
    </w:p>
  </w:endnote>
  <w:endnote w:type="continuationSeparator" w:id="0">
    <w:p w14:paraId="3E2EB482" w14:textId="77777777" w:rsidR="00971A51" w:rsidRDefault="00971A51" w:rsidP="00D54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CF33B" w14:textId="77777777" w:rsidR="008D18AC" w:rsidRDefault="008D18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B4F3F" w14:textId="77777777" w:rsidR="008D18AC" w:rsidRDefault="008D18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DBEB4" w14:textId="77777777" w:rsidR="008D18AC" w:rsidRDefault="008D18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6F0A1" w14:textId="77777777" w:rsidR="00971A51" w:rsidRDefault="00971A51" w:rsidP="00D548EB">
      <w:r>
        <w:separator/>
      </w:r>
    </w:p>
  </w:footnote>
  <w:footnote w:type="continuationSeparator" w:id="0">
    <w:p w14:paraId="0AD33D63" w14:textId="77777777" w:rsidR="00971A51" w:rsidRDefault="00971A51" w:rsidP="00D548EB">
      <w:r>
        <w:continuationSeparator/>
      </w:r>
    </w:p>
  </w:footnote>
  <w:footnote w:id="1">
    <w:p w14:paraId="79517EF0" w14:textId="77777777" w:rsidR="0012308B" w:rsidRDefault="0012308B" w:rsidP="0012308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E15FC7">
          <w:rPr>
            <w:rFonts w:ascii="Times New Roman" w:eastAsia="Times New Roman" w:hAnsi="Times New Roman" w:cs="Times New Roman"/>
            <w:color w:val="0000FF"/>
            <w:u w:val="single"/>
          </w:rPr>
          <w:t>http://www.malegislature.gov/Laws/GeneralLaws/PartI/TitleII/Chapter14/Section6</w:t>
        </w:r>
      </w:hyperlink>
      <w:r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91B81" w14:textId="77777777" w:rsidR="008D18AC" w:rsidRDefault="008D18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1B724" w14:textId="3DE47400" w:rsidR="008C5078" w:rsidRDefault="008C50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A0831" w14:textId="77777777" w:rsidR="008D18AC" w:rsidRDefault="008D18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C4F6A"/>
    <w:multiLevelType w:val="hybridMultilevel"/>
    <w:tmpl w:val="B02C0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F78BF"/>
    <w:multiLevelType w:val="hybridMultilevel"/>
    <w:tmpl w:val="19B200D6"/>
    <w:lvl w:ilvl="0" w:tplc="55CCEF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BE4057"/>
    <w:multiLevelType w:val="hybridMultilevel"/>
    <w:tmpl w:val="FBDCB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7267A5"/>
    <w:multiLevelType w:val="hybridMultilevel"/>
    <w:tmpl w:val="ED7C4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512C69"/>
    <w:multiLevelType w:val="hybridMultilevel"/>
    <w:tmpl w:val="E424D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350478">
    <w:abstractNumId w:val="1"/>
  </w:num>
  <w:num w:numId="2" w16cid:durableId="1830827841">
    <w:abstractNumId w:val="2"/>
  </w:num>
  <w:num w:numId="3" w16cid:durableId="527182226">
    <w:abstractNumId w:val="3"/>
  </w:num>
  <w:num w:numId="4" w16cid:durableId="1163013530">
    <w:abstractNumId w:val="0"/>
  </w:num>
  <w:num w:numId="5" w16cid:durableId="20560760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360"/>
    <w:rsid w:val="0000199C"/>
    <w:rsid w:val="0000463B"/>
    <w:rsid w:val="00004FEF"/>
    <w:rsid w:val="000058BF"/>
    <w:rsid w:val="000066C6"/>
    <w:rsid w:val="00010BAF"/>
    <w:rsid w:val="000119DC"/>
    <w:rsid w:val="00012228"/>
    <w:rsid w:val="00012263"/>
    <w:rsid w:val="00012C6F"/>
    <w:rsid w:val="000136D6"/>
    <w:rsid w:val="000144F3"/>
    <w:rsid w:val="000158E1"/>
    <w:rsid w:val="00015D07"/>
    <w:rsid w:val="00017BA3"/>
    <w:rsid w:val="00020336"/>
    <w:rsid w:val="000255F3"/>
    <w:rsid w:val="00026806"/>
    <w:rsid w:val="0003136E"/>
    <w:rsid w:val="00031B3A"/>
    <w:rsid w:val="0003223C"/>
    <w:rsid w:val="0003326E"/>
    <w:rsid w:val="000336A0"/>
    <w:rsid w:val="000344EE"/>
    <w:rsid w:val="00034A84"/>
    <w:rsid w:val="00036F2C"/>
    <w:rsid w:val="000379CE"/>
    <w:rsid w:val="000459EB"/>
    <w:rsid w:val="00046704"/>
    <w:rsid w:val="00047666"/>
    <w:rsid w:val="000511A2"/>
    <w:rsid w:val="00052744"/>
    <w:rsid w:val="0005448A"/>
    <w:rsid w:val="0005732B"/>
    <w:rsid w:val="00057588"/>
    <w:rsid w:val="000575B3"/>
    <w:rsid w:val="00057BD0"/>
    <w:rsid w:val="0006169F"/>
    <w:rsid w:val="0006214C"/>
    <w:rsid w:val="00062FB2"/>
    <w:rsid w:val="000667DB"/>
    <w:rsid w:val="000672A9"/>
    <w:rsid w:val="00070868"/>
    <w:rsid w:val="00075F20"/>
    <w:rsid w:val="0008043F"/>
    <w:rsid w:val="0008125D"/>
    <w:rsid w:val="000825E3"/>
    <w:rsid w:val="00083BCF"/>
    <w:rsid w:val="00087215"/>
    <w:rsid w:val="00091214"/>
    <w:rsid w:val="0009244F"/>
    <w:rsid w:val="00094204"/>
    <w:rsid w:val="000951DF"/>
    <w:rsid w:val="00095979"/>
    <w:rsid w:val="0009780B"/>
    <w:rsid w:val="00097EB3"/>
    <w:rsid w:val="000A43CF"/>
    <w:rsid w:val="000A6CAC"/>
    <w:rsid w:val="000A7C03"/>
    <w:rsid w:val="000B00AD"/>
    <w:rsid w:val="000B0A60"/>
    <w:rsid w:val="000B37B2"/>
    <w:rsid w:val="000B46D9"/>
    <w:rsid w:val="000C07BE"/>
    <w:rsid w:val="000C1A98"/>
    <w:rsid w:val="000C1D8E"/>
    <w:rsid w:val="000C3E42"/>
    <w:rsid w:val="000C5AA3"/>
    <w:rsid w:val="000D1AC9"/>
    <w:rsid w:val="000D30CE"/>
    <w:rsid w:val="000D426D"/>
    <w:rsid w:val="000D537F"/>
    <w:rsid w:val="000D54EA"/>
    <w:rsid w:val="000D55D8"/>
    <w:rsid w:val="000D69ED"/>
    <w:rsid w:val="000E0B5B"/>
    <w:rsid w:val="000E0B82"/>
    <w:rsid w:val="000E3882"/>
    <w:rsid w:val="000F11C3"/>
    <w:rsid w:val="000F20C5"/>
    <w:rsid w:val="000F24C8"/>
    <w:rsid w:val="000F5924"/>
    <w:rsid w:val="000F59F9"/>
    <w:rsid w:val="000F64A6"/>
    <w:rsid w:val="000F745B"/>
    <w:rsid w:val="001009E3"/>
    <w:rsid w:val="00103F53"/>
    <w:rsid w:val="00105BC8"/>
    <w:rsid w:val="00105EF2"/>
    <w:rsid w:val="00110DBE"/>
    <w:rsid w:val="001110FB"/>
    <w:rsid w:val="00111FAE"/>
    <w:rsid w:val="0011530A"/>
    <w:rsid w:val="00116381"/>
    <w:rsid w:val="00116B01"/>
    <w:rsid w:val="00116EB5"/>
    <w:rsid w:val="00117C98"/>
    <w:rsid w:val="00120543"/>
    <w:rsid w:val="001208DF"/>
    <w:rsid w:val="0012308B"/>
    <w:rsid w:val="0012532D"/>
    <w:rsid w:val="001260AA"/>
    <w:rsid w:val="00133752"/>
    <w:rsid w:val="00134323"/>
    <w:rsid w:val="00136156"/>
    <w:rsid w:val="00136416"/>
    <w:rsid w:val="0013679F"/>
    <w:rsid w:val="00137A77"/>
    <w:rsid w:val="00142531"/>
    <w:rsid w:val="001431B0"/>
    <w:rsid w:val="0014320F"/>
    <w:rsid w:val="00147304"/>
    <w:rsid w:val="00151057"/>
    <w:rsid w:val="001532E9"/>
    <w:rsid w:val="00153448"/>
    <w:rsid w:val="00153EA5"/>
    <w:rsid w:val="0015449F"/>
    <w:rsid w:val="00155CB6"/>
    <w:rsid w:val="00161DA3"/>
    <w:rsid w:val="001635C5"/>
    <w:rsid w:val="00163892"/>
    <w:rsid w:val="00164FE0"/>
    <w:rsid w:val="001661E6"/>
    <w:rsid w:val="0016665E"/>
    <w:rsid w:val="0016723E"/>
    <w:rsid w:val="001675BA"/>
    <w:rsid w:val="00167929"/>
    <w:rsid w:val="001711F6"/>
    <w:rsid w:val="00171FB3"/>
    <w:rsid w:val="00172B22"/>
    <w:rsid w:val="001732D9"/>
    <w:rsid w:val="001760AA"/>
    <w:rsid w:val="00176884"/>
    <w:rsid w:val="0017773E"/>
    <w:rsid w:val="00180E5D"/>
    <w:rsid w:val="0018121F"/>
    <w:rsid w:val="001817FB"/>
    <w:rsid w:val="001825A5"/>
    <w:rsid w:val="001835F6"/>
    <w:rsid w:val="0018467E"/>
    <w:rsid w:val="001846AB"/>
    <w:rsid w:val="00186123"/>
    <w:rsid w:val="00186C88"/>
    <w:rsid w:val="00186CE5"/>
    <w:rsid w:val="00190259"/>
    <w:rsid w:val="00191138"/>
    <w:rsid w:val="00191BA3"/>
    <w:rsid w:val="0019209A"/>
    <w:rsid w:val="001932E8"/>
    <w:rsid w:val="001936FE"/>
    <w:rsid w:val="001947E0"/>
    <w:rsid w:val="0019583E"/>
    <w:rsid w:val="001A07F6"/>
    <w:rsid w:val="001A35F4"/>
    <w:rsid w:val="001B152A"/>
    <w:rsid w:val="001B2266"/>
    <w:rsid w:val="001B3208"/>
    <w:rsid w:val="001B3315"/>
    <w:rsid w:val="001B7B60"/>
    <w:rsid w:val="001C2AAB"/>
    <w:rsid w:val="001C4889"/>
    <w:rsid w:val="001C5D23"/>
    <w:rsid w:val="001C6894"/>
    <w:rsid w:val="001D03C2"/>
    <w:rsid w:val="001D2494"/>
    <w:rsid w:val="001D2775"/>
    <w:rsid w:val="001D5A2D"/>
    <w:rsid w:val="001D6C0C"/>
    <w:rsid w:val="001E1FB7"/>
    <w:rsid w:val="001E5D70"/>
    <w:rsid w:val="001E6A8A"/>
    <w:rsid w:val="001E6DB3"/>
    <w:rsid w:val="001E7452"/>
    <w:rsid w:val="001F4EE0"/>
    <w:rsid w:val="001F6420"/>
    <w:rsid w:val="001F7087"/>
    <w:rsid w:val="00202FEF"/>
    <w:rsid w:val="00205125"/>
    <w:rsid w:val="002052AC"/>
    <w:rsid w:val="00205FCF"/>
    <w:rsid w:val="0020681E"/>
    <w:rsid w:val="002122C4"/>
    <w:rsid w:val="00212FFF"/>
    <w:rsid w:val="0021410F"/>
    <w:rsid w:val="00214798"/>
    <w:rsid w:val="00214904"/>
    <w:rsid w:val="00214BA3"/>
    <w:rsid w:val="00214C90"/>
    <w:rsid w:val="00215A73"/>
    <w:rsid w:val="00216B63"/>
    <w:rsid w:val="002175EF"/>
    <w:rsid w:val="00224B73"/>
    <w:rsid w:val="00230E08"/>
    <w:rsid w:val="00230E87"/>
    <w:rsid w:val="00233159"/>
    <w:rsid w:val="002348EC"/>
    <w:rsid w:val="00235665"/>
    <w:rsid w:val="00236866"/>
    <w:rsid w:val="002438B4"/>
    <w:rsid w:val="002461CB"/>
    <w:rsid w:val="002509CA"/>
    <w:rsid w:val="0025239F"/>
    <w:rsid w:val="00252B87"/>
    <w:rsid w:val="00255046"/>
    <w:rsid w:val="002563A3"/>
    <w:rsid w:val="00257B7F"/>
    <w:rsid w:val="00257F5E"/>
    <w:rsid w:val="00260EAC"/>
    <w:rsid w:val="00263081"/>
    <w:rsid w:val="00266699"/>
    <w:rsid w:val="00267318"/>
    <w:rsid w:val="00267EE7"/>
    <w:rsid w:val="00271820"/>
    <w:rsid w:val="00274987"/>
    <w:rsid w:val="00275660"/>
    <w:rsid w:val="00275E0D"/>
    <w:rsid w:val="0027637D"/>
    <w:rsid w:val="00276B2B"/>
    <w:rsid w:val="00276B33"/>
    <w:rsid w:val="00276C47"/>
    <w:rsid w:val="00277169"/>
    <w:rsid w:val="00277F7F"/>
    <w:rsid w:val="00282487"/>
    <w:rsid w:val="00282584"/>
    <w:rsid w:val="00283FE8"/>
    <w:rsid w:val="00286EDC"/>
    <w:rsid w:val="002907F1"/>
    <w:rsid w:val="00291D6A"/>
    <w:rsid w:val="00294455"/>
    <w:rsid w:val="002951CB"/>
    <w:rsid w:val="002A0315"/>
    <w:rsid w:val="002A1D7F"/>
    <w:rsid w:val="002A4085"/>
    <w:rsid w:val="002A4AF7"/>
    <w:rsid w:val="002A502B"/>
    <w:rsid w:val="002A5D18"/>
    <w:rsid w:val="002A5E26"/>
    <w:rsid w:val="002B26AE"/>
    <w:rsid w:val="002B2A38"/>
    <w:rsid w:val="002B51C0"/>
    <w:rsid w:val="002B5EAC"/>
    <w:rsid w:val="002C0E1F"/>
    <w:rsid w:val="002C11F6"/>
    <w:rsid w:val="002C44A6"/>
    <w:rsid w:val="002C4C21"/>
    <w:rsid w:val="002C683E"/>
    <w:rsid w:val="002D050E"/>
    <w:rsid w:val="002D0674"/>
    <w:rsid w:val="002D080D"/>
    <w:rsid w:val="002D1288"/>
    <w:rsid w:val="002D2ADE"/>
    <w:rsid w:val="002D3182"/>
    <w:rsid w:val="002D39E7"/>
    <w:rsid w:val="002D51B0"/>
    <w:rsid w:val="002D6DDC"/>
    <w:rsid w:val="002D79EA"/>
    <w:rsid w:val="002E00A3"/>
    <w:rsid w:val="002E0368"/>
    <w:rsid w:val="002E042B"/>
    <w:rsid w:val="002E0750"/>
    <w:rsid w:val="002E5036"/>
    <w:rsid w:val="002F0E0E"/>
    <w:rsid w:val="002F2A2E"/>
    <w:rsid w:val="002F3203"/>
    <w:rsid w:val="002F327B"/>
    <w:rsid w:val="002F4373"/>
    <w:rsid w:val="002F45EA"/>
    <w:rsid w:val="002F47D3"/>
    <w:rsid w:val="002F77FE"/>
    <w:rsid w:val="003014C2"/>
    <w:rsid w:val="00301804"/>
    <w:rsid w:val="00301C71"/>
    <w:rsid w:val="0030273F"/>
    <w:rsid w:val="00305CD7"/>
    <w:rsid w:val="0030795C"/>
    <w:rsid w:val="003127F0"/>
    <w:rsid w:val="00320E0C"/>
    <w:rsid w:val="00322105"/>
    <w:rsid w:val="003246D4"/>
    <w:rsid w:val="0032536E"/>
    <w:rsid w:val="0032755C"/>
    <w:rsid w:val="0033137A"/>
    <w:rsid w:val="00332C28"/>
    <w:rsid w:val="003330F4"/>
    <w:rsid w:val="00334A09"/>
    <w:rsid w:val="003367AA"/>
    <w:rsid w:val="003400A9"/>
    <w:rsid w:val="00345905"/>
    <w:rsid w:val="00345A42"/>
    <w:rsid w:val="00345F57"/>
    <w:rsid w:val="00347B11"/>
    <w:rsid w:val="003506F3"/>
    <w:rsid w:val="003508EC"/>
    <w:rsid w:val="00351171"/>
    <w:rsid w:val="003511CC"/>
    <w:rsid w:val="00351B64"/>
    <w:rsid w:val="00352C0A"/>
    <w:rsid w:val="00354000"/>
    <w:rsid w:val="00354482"/>
    <w:rsid w:val="003553C0"/>
    <w:rsid w:val="00356B17"/>
    <w:rsid w:val="0036086D"/>
    <w:rsid w:val="00362C12"/>
    <w:rsid w:val="003630EE"/>
    <w:rsid w:val="003640D5"/>
    <w:rsid w:val="003667AF"/>
    <w:rsid w:val="003702C7"/>
    <w:rsid w:val="003703A7"/>
    <w:rsid w:val="00370BD9"/>
    <w:rsid w:val="003723B0"/>
    <w:rsid w:val="00372D8D"/>
    <w:rsid w:val="003731F5"/>
    <w:rsid w:val="003742F9"/>
    <w:rsid w:val="00376324"/>
    <w:rsid w:val="00377450"/>
    <w:rsid w:val="003816E7"/>
    <w:rsid w:val="003823CC"/>
    <w:rsid w:val="00385233"/>
    <w:rsid w:val="00385A0D"/>
    <w:rsid w:val="00386E5C"/>
    <w:rsid w:val="003917D5"/>
    <w:rsid w:val="003928AD"/>
    <w:rsid w:val="0039394C"/>
    <w:rsid w:val="00393D61"/>
    <w:rsid w:val="0039687F"/>
    <w:rsid w:val="003A0C35"/>
    <w:rsid w:val="003A309F"/>
    <w:rsid w:val="003A3343"/>
    <w:rsid w:val="003A3D64"/>
    <w:rsid w:val="003A4D07"/>
    <w:rsid w:val="003A500F"/>
    <w:rsid w:val="003A696E"/>
    <w:rsid w:val="003A6C90"/>
    <w:rsid w:val="003A7E95"/>
    <w:rsid w:val="003B122E"/>
    <w:rsid w:val="003B1CF2"/>
    <w:rsid w:val="003B1CF8"/>
    <w:rsid w:val="003B467F"/>
    <w:rsid w:val="003B57E1"/>
    <w:rsid w:val="003B7D09"/>
    <w:rsid w:val="003C0CC1"/>
    <w:rsid w:val="003C36EE"/>
    <w:rsid w:val="003C6FB7"/>
    <w:rsid w:val="003C712B"/>
    <w:rsid w:val="003D08FD"/>
    <w:rsid w:val="003D1C94"/>
    <w:rsid w:val="003D4379"/>
    <w:rsid w:val="003E3037"/>
    <w:rsid w:val="003E4999"/>
    <w:rsid w:val="003E5F0F"/>
    <w:rsid w:val="003E6B92"/>
    <w:rsid w:val="003F0D76"/>
    <w:rsid w:val="003F127E"/>
    <w:rsid w:val="003F1519"/>
    <w:rsid w:val="003F3D77"/>
    <w:rsid w:val="003F4053"/>
    <w:rsid w:val="003F425A"/>
    <w:rsid w:val="003F45A9"/>
    <w:rsid w:val="003F78B5"/>
    <w:rsid w:val="003F7AB8"/>
    <w:rsid w:val="00400811"/>
    <w:rsid w:val="004023A9"/>
    <w:rsid w:val="00403A67"/>
    <w:rsid w:val="0040494B"/>
    <w:rsid w:val="00404A1D"/>
    <w:rsid w:val="00405198"/>
    <w:rsid w:val="00406274"/>
    <w:rsid w:val="00406372"/>
    <w:rsid w:val="004070DC"/>
    <w:rsid w:val="0041202C"/>
    <w:rsid w:val="00412262"/>
    <w:rsid w:val="00413EAB"/>
    <w:rsid w:val="00417328"/>
    <w:rsid w:val="00421195"/>
    <w:rsid w:val="004234AC"/>
    <w:rsid w:val="0042410A"/>
    <w:rsid w:val="00425B0F"/>
    <w:rsid w:val="0042775B"/>
    <w:rsid w:val="00430733"/>
    <w:rsid w:val="00431966"/>
    <w:rsid w:val="00431D6A"/>
    <w:rsid w:val="0043206C"/>
    <w:rsid w:val="00432740"/>
    <w:rsid w:val="004335E3"/>
    <w:rsid w:val="004337CF"/>
    <w:rsid w:val="00434F01"/>
    <w:rsid w:val="0044034D"/>
    <w:rsid w:val="00445455"/>
    <w:rsid w:val="00447613"/>
    <w:rsid w:val="00447FE0"/>
    <w:rsid w:val="004504E7"/>
    <w:rsid w:val="00451917"/>
    <w:rsid w:val="00451AFC"/>
    <w:rsid w:val="004545CC"/>
    <w:rsid w:val="004558C4"/>
    <w:rsid w:val="00460222"/>
    <w:rsid w:val="0046340A"/>
    <w:rsid w:val="00463B41"/>
    <w:rsid w:val="00464BD8"/>
    <w:rsid w:val="00466A6F"/>
    <w:rsid w:val="00466AE6"/>
    <w:rsid w:val="00466F24"/>
    <w:rsid w:val="00475C08"/>
    <w:rsid w:val="00476DC7"/>
    <w:rsid w:val="004811E8"/>
    <w:rsid w:val="00482556"/>
    <w:rsid w:val="004825AC"/>
    <w:rsid w:val="00483621"/>
    <w:rsid w:val="004843D0"/>
    <w:rsid w:val="0048727A"/>
    <w:rsid w:val="004903B3"/>
    <w:rsid w:val="004903B5"/>
    <w:rsid w:val="004914AC"/>
    <w:rsid w:val="0049246A"/>
    <w:rsid w:val="004927B8"/>
    <w:rsid w:val="0049280C"/>
    <w:rsid w:val="00493A57"/>
    <w:rsid w:val="00495433"/>
    <w:rsid w:val="00497C03"/>
    <w:rsid w:val="004A149D"/>
    <w:rsid w:val="004A23CD"/>
    <w:rsid w:val="004A33FE"/>
    <w:rsid w:val="004A3E06"/>
    <w:rsid w:val="004A4442"/>
    <w:rsid w:val="004A5FCD"/>
    <w:rsid w:val="004A6A3D"/>
    <w:rsid w:val="004A70DB"/>
    <w:rsid w:val="004B0740"/>
    <w:rsid w:val="004B1CA8"/>
    <w:rsid w:val="004B21A9"/>
    <w:rsid w:val="004B35A9"/>
    <w:rsid w:val="004B55FD"/>
    <w:rsid w:val="004B5DD6"/>
    <w:rsid w:val="004B61EB"/>
    <w:rsid w:val="004C1A34"/>
    <w:rsid w:val="004C1AE4"/>
    <w:rsid w:val="004C1C63"/>
    <w:rsid w:val="004C29C1"/>
    <w:rsid w:val="004C4598"/>
    <w:rsid w:val="004C4DA3"/>
    <w:rsid w:val="004C6321"/>
    <w:rsid w:val="004D0B09"/>
    <w:rsid w:val="004D1759"/>
    <w:rsid w:val="004D3605"/>
    <w:rsid w:val="004D5866"/>
    <w:rsid w:val="004D5F37"/>
    <w:rsid w:val="004D69BF"/>
    <w:rsid w:val="004E3AA0"/>
    <w:rsid w:val="004E4669"/>
    <w:rsid w:val="004E5666"/>
    <w:rsid w:val="004E5787"/>
    <w:rsid w:val="004E6563"/>
    <w:rsid w:val="004E7478"/>
    <w:rsid w:val="004F00BB"/>
    <w:rsid w:val="004F0716"/>
    <w:rsid w:val="004F0BAE"/>
    <w:rsid w:val="004F0C82"/>
    <w:rsid w:val="004F0EA4"/>
    <w:rsid w:val="004F5463"/>
    <w:rsid w:val="004F5778"/>
    <w:rsid w:val="00500F0A"/>
    <w:rsid w:val="0050147E"/>
    <w:rsid w:val="005015C8"/>
    <w:rsid w:val="00502686"/>
    <w:rsid w:val="00502CBD"/>
    <w:rsid w:val="005035AE"/>
    <w:rsid w:val="0050376D"/>
    <w:rsid w:val="0050427D"/>
    <w:rsid w:val="00505928"/>
    <w:rsid w:val="00505D1E"/>
    <w:rsid w:val="00505DEB"/>
    <w:rsid w:val="0050744C"/>
    <w:rsid w:val="00507658"/>
    <w:rsid w:val="005176AF"/>
    <w:rsid w:val="0052215A"/>
    <w:rsid w:val="00522512"/>
    <w:rsid w:val="0052261B"/>
    <w:rsid w:val="00524C21"/>
    <w:rsid w:val="00525F58"/>
    <w:rsid w:val="005262DB"/>
    <w:rsid w:val="00527CFF"/>
    <w:rsid w:val="00530FC5"/>
    <w:rsid w:val="00532D5A"/>
    <w:rsid w:val="00532E76"/>
    <w:rsid w:val="00533738"/>
    <w:rsid w:val="00534296"/>
    <w:rsid w:val="00535089"/>
    <w:rsid w:val="00535BA2"/>
    <w:rsid w:val="0054113E"/>
    <w:rsid w:val="00541799"/>
    <w:rsid w:val="00541A62"/>
    <w:rsid w:val="0054463A"/>
    <w:rsid w:val="00544829"/>
    <w:rsid w:val="00547525"/>
    <w:rsid w:val="0055070B"/>
    <w:rsid w:val="005508CD"/>
    <w:rsid w:val="005534A1"/>
    <w:rsid w:val="0055484D"/>
    <w:rsid w:val="0055495C"/>
    <w:rsid w:val="00554E66"/>
    <w:rsid w:val="005578E8"/>
    <w:rsid w:val="00557D59"/>
    <w:rsid w:val="005620B4"/>
    <w:rsid w:val="005624FD"/>
    <w:rsid w:val="0056326E"/>
    <w:rsid w:val="005661C0"/>
    <w:rsid w:val="00566BD0"/>
    <w:rsid w:val="00567468"/>
    <w:rsid w:val="0057211B"/>
    <w:rsid w:val="0057332E"/>
    <w:rsid w:val="005734A0"/>
    <w:rsid w:val="005752C1"/>
    <w:rsid w:val="00575A48"/>
    <w:rsid w:val="00575E9B"/>
    <w:rsid w:val="005804EA"/>
    <w:rsid w:val="00581DD6"/>
    <w:rsid w:val="005839A9"/>
    <w:rsid w:val="00584041"/>
    <w:rsid w:val="00590A1D"/>
    <w:rsid w:val="005956BB"/>
    <w:rsid w:val="005A0C96"/>
    <w:rsid w:val="005A207C"/>
    <w:rsid w:val="005A3802"/>
    <w:rsid w:val="005A5F67"/>
    <w:rsid w:val="005A6C00"/>
    <w:rsid w:val="005A7E02"/>
    <w:rsid w:val="005B11D0"/>
    <w:rsid w:val="005B237F"/>
    <w:rsid w:val="005B74F2"/>
    <w:rsid w:val="005B752D"/>
    <w:rsid w:val="005B7F25"/>
    <w:rsid w:val="005C0D8F"/>
    <w:rsid w:val="005C26E8"/>
    <w:rsid w:val="005C5282"/>
    <w:rsid w:val="005C5372"/>
    <w:rsid w:val="005C5BC1"/>
    <w:rsid w:val="005C6D0C"/>
    <w:rsid w:val="005D061A"/>
    <w:rsid w:val="005D2242"/>
    <w:rsid w:val="005D69AC"/>
    <w:rsid w:val="005D7E7F"/>
    <w:rsid w:val="005E39C4"/>
    <w:rsid w:val="005E4C76"/>
    <w:rsid w:val="005E5435"/>
    <w:rsid w:val="005E6D49"/>
    <w:rsid w:val="005E7B2E"/>
    <w:rsid w:val="005F0560"/>
    <w:rsid w:val="005F0AD8"/>
    <w:rsid w:val="005F51E1"/>
    <w:rsid w:val="00600378"/>
    <w:rsid w:val="006060A6"/>
    <w:rsid w:val="00606335"/>
    <w:rsid w:val="00611F3F"/>
    <w:rsid w:val="006125C3"/>
    <w:rsid w:val="00612AC7"/>
    <w:rsid w:val="00613E6F"/>
    <w:rsid w:val="00614183"/>
    <w:rsid w:val="00614DBE"/>
    <w:rsid w:val="00615583"/>
    <w:rsid w:val="00616D37"/>
    <w:rsid w:val="006174C1"/>
    <w:rsid w:val="00624457"/>
    <w:rsid w:val="00624885"/>
    <w:rsid w:val="00626132"/>
    <w:rsid w:val="006266C3"/>
    <w:rsid w:val="006332AC"/>
    <w:rsid w:val="00634CDD"/>
    <w:rsid w:val="00634F87"/>
    <w:rsid w:val="00637FDD"/>
    <w:rsid w:val="00640335"/>
    <w:rsid w:val="00641AF3"/>
    <w:rsid w:val="00644185"/>
    <w:rsid w:val="006459FF"/>
    <w:rsid w:val="00645A1F"/>
    <w:rsid w:val="00651F6C"/>
    <w:rsid w:val="00652E11"/>
    <w:rsid w:val="006545D2"/>
    <w:rsid w:val="00656E81"/>
    <w:rsid w:val="00660861"/>
    <w:rsid w:val="006609F1"/>
    <w:rsid w:val="00660CF0"/>
    <w:rsid w:val="00661B89"/>
    <w:rsid w:val="00665271"/>
    <w:rsid w:val="0066674C"/>
    <w:rsid w:val="00666A92"/>
    <w:rsid w:val="00666B16"/>
    <w:rsid w:val="00667BFB"/>
    <w:rsid w:val="0067195C"/>
    <w:rsid w:val="00676686"/>
    <w:rsid w:val="0067786C"/>
    <w:rsid w:val="00677F9F"/>
    <w:rsid w:val="006810F1"/>
    <w:rsid w:val="00690E5A"/>
    <w:rsid w:val="00690ECF"/>
    <w:rsid w:val="00690F90"/>
    <w:rsid w:val="00692810"/>
    <w:rsid w:val="0069427A"/>
    <w:rsid w:val="0069489D"/>
    <w:rsid w:val="00696137"/>
    <w:rsid w:val="00697E0B"/>
    <w:rsid w:val="006A0260"/>
    <w:rsid w:val="006A0494"/>
    <w:rsid w:val="006A1720"/>
    <w:rsid w:val="006A7796"/>
    <w:rsid w:val="006B1D30"/>
    <w:rsid w:val="006B5968"/>
    <w:rsid w:val="006B634B"/>
    <w:rsid w:val="006B7C29"/>
    <w:rsid w:val="006B7D87"/>
    <w:rsid w:val="006C1A0C"/>
    <w:rsid w:val="006C3ED5"/>
    <w:rsid w:val="006C4E0D"/>
    <w:rsid w:val="006C4F51"/>
    <w:rsid w:val="006C551A"/>
    <w:rsid w:val="006D0B2F"/>
    <w:rsid w:val="006D220C"/>
    <w:rsid w:val="006D29A2"/>
    <w:rsid w:val="006D6AEC"/>
    <w:rsid w:val="006E16CC"/>
    <w:rsid w:val="006E3D7F"/>
    <w:rsid w:val="006E53C6"/>
    <w:rsid w:val="006F0C7E"/>
    <w:rsid w:val="006F1E92"/>
    <w:rsid w:val="006F2F87"/>
    <w:rsid w:val="006F3987"/>
    <w:rsid w:val="006F45E3"/>
    <w:rsid w:val="006F799A"/>
    <w:rsid w:val="007025E6"/>
    <w:rsid w:val="00704AB4"/>
    <w:rsid w:val="0071178F"/>
    <w:rsid w:val="00712994"/>
    <w:rsid w:val="00712ABD"/>
    <w:rsid w:val="00714A2A"/>
    <w:rsid w:val="00717451"/>
    <w:rsid w:val="00717D69"/>
    <w:rsid w:val="0072095A"/>
    <w:rsid w:val="00720F0C"/>
    <w:rsid w:val="00721DE9"/>
    <w:rsid w:val="007246BA"/>
    <w:rsid w:val="00725A30"/>
    <w:rsid w:val="0073019A"/>
    <w:rsid w:val="00731F7F"/>
    <w:rsid w:val="00732697"/>
    <w:rsid w:val="00732F0A"/>
    <w:rsid w:val="007344B1"/>
    <w:rsid w:val="00736EB5"/>
    <w:rsid w:val="00737EA3"/>
    <w:rsid w:val="00740F85"/>
    <w:rsid w:val="00745643"/>
    <w:rsid w:val="00746593"/>
    <w:rsid w:val="00750952"/>
    <w:rsid w:val="00751B88"/>
    <w:rsid w:val="007533C9"/>
    <w:rsid w:val="00756EF9"/>
    <w:rsid w:val="007612D6"/>
    <w:rsid w:val="00767648"/>
    <w:rsid w:val="00772F03"/>
    <w:rsid w:val="00773AE1"/>
    <w:rsid w:val="00774C7B"/>
    <w:rsid w:val="00776AA9"/>
    <w:rsid w:val="007770B8"/>
    <w:rsid w:val="00781C79"/>
    <w:rsid w:val="00783ED1"/>
    <w:rsid w:val="00786761"/>
    <w:rsid w:val="00787B98"/>
    <w:rsid w:val="007944E9"/>
    <w:rsid w:val="007951F0"/>
    <w:rsid w:val="007954CC"/>
    <w:rsid w:val="007966FC"/>
    <w:rsid w:val="00797852"/>
    <w:rsid w:val="007A3EA4"/>
    <w:rsid w:val="007A492D"/>
    <w:rsid w:val="007B3173"/>
    <w:rsid w:val="007B4AC7"/>
    <w:rsid w:val="007B503F"/>
    <w:rsid w:val="007B6F38"/>
    <w:rsid w:val="007C1FE6"/>
    <w:rsid w:val="007C557A"/>
    <w:rsid w:val="007C6042"/>
    <w:rsid w:val="007D0DE9"/>
    <w:rsid w:val="007D279E"/>
    <w:rsid w:val="007D797C"/>
    <w:rsid w:val="007E10E6"/>
    <w:rsid w:val="007E16A2"/>
    <w:rsid w:val="007E1F9C"/>
    <w:rsid w:val="007E261D"/>
    <w:rsid w:val="007E6793"/>
    <w:rsid w:val="007F158C"/>
    <w:rsid w:val="007F1931"/>
    <w:rsid w:val="007F1C51"/>
    <w:rsid w:val="007F36B6"/>
    <w:rsid w:val="007F3748"/>
    <w:rsid w:val="007F4072"/>
    <w:rsid w:val="007F5C85"/>
    <w:rsid w:val="00802EE5"/>
    <w:rsid w:val="00803008"/>
    <w:rsid w:val="00805EAE"/>
    <w:rsid w:val="00807DF6"/>
    <w:rsid w:val="00810DDC"/>
    <w:rsid w:val="00817402"/>
    <w:rsid w:val="00832579"/>
    <w:rsid w:val="00832D0E"/>
    <w:rsid w:val="008368AC"/>
    <w:rsid w:val="00840048"/>
    <w:rsid w:val="0084219E"/>
    <w:rsid w:val="008447C9"/>
    <w:rsid w:val="0084486E"/>
    <w:rsid w:val="00845AED"/>
    <w:rsid w:val="00845C7D"/>
    <w:rsid w:val="00845CA5"/>
    <w:rsid w:val="008601BD"/>
    <w:rsid w:val="008607D9"/>
    <w:rsid w:val="00861E58"/>
    <w:rsid w:val="00862BA9"/>
    <w:rsid w:val="00864CAB"/>
    <w:rsid w:val="008707FB"/>
    <w:rsid w:val="008726BD"/>
    <w:rsid w:val="008728B3"/>
    <w:rsid w:val="008804D9"/>
    <w:rsid w:val="00880BED"/>
    <w:rsid w:val="00881130"/>
    <w:rsid w:val="00881438"/>
    <w:rsid w:val="00881D11"/>
    <w:rsid w:val="00882F72"/>
    <w:rsid w:val="00886566"/>
    <w:rsid w:val="00886DDB"/>
    <w:rsid w:val="008955FC"/>
    <w:rsid w:val="008975EF"/>
    <w:rsid w:val="00897642"/>
    <w:rsid w:val="008A295B"/>
    <w:rsid w:val="008A2B0E"/>
    <w:rsid w:val="008A5675"/>
    <w:rsid w:val="008A571D"/>
    <w:rsid w:val="008A6E2B"/>
    <w:rsid w:val="008A6E81"/>
    <w:rsid w:val="008B026C"/>
    <w:rsid w:val="008B30D9"/>
    <w:rsid w:val="008B3A2D"/>
    <w:rsid w:val="008B51BC"/>
    <w:rsid w:val="008C0CBB"/>
    <w:rsid w:val="008C150B"/>
    <w:rsid w:val="008C1765"/>
    <w:rsid w:val="008C1830"/>
    <w:rsid w:val="008C188E"/>
    <w:rsid w:val="008C349F"/>
    <w:rsid w:val="008C5078"/>
    <w:rsid w:val="008C567E"/>
    <w:rsid w:val="008C643C"/>
    <w:rsid w:val="008C77F3"/>
    <w:rsid w:val="008D18AC"/>
    <w:rsid w:val="008D3E26"/>
    <w:rsid w:val="008D4517"/>
    <w:rsid w:val="008D5104"/>
    <w:rsid w:val="008D5451"/>
    <w:rsid w:val="008D62EC"/>
    <w:rsid w:val="008E01FD"/>
    <w:rsid w:val="008E041A"/>
    <w:rsid w:val="008E150C"/>
    <w:rsid w:val="008E1938"/>
    <w:rsid w:val="008E19D3"/>
    <w:rsid w:val="008E3DFB"/>
    <w:rsid w:val="008E5B6B"/>
    <w:rsid w:val="008E5D09"/>
    <w:rsid w:val="008F01F0"/>
    <w:rsid w:val="008F1C02"/>
    <w:rsid w:val="008F392C"/>
    <w:rsid w:val="008F3FC6"/>
    <w:rsid w:val="008F443F"/>
    <w:rsid w:val="008F449A"/>
    <w:rsid w:val="008F5E98"/>
    <w:rsid w:val="008F68AC"/>
    <w:rsid w:val="008F7328"/>
    <w:rsid w:val="008F7374"/>
    <w:rsid w:val="0090102F"/>
    <w:rsid w:val="0090116C"/>
    <w:rsid w:val="009016A5"/>
    <w:rsid w:val="00904296"/>
    <w:rsid w:val="00906189"/>
    <w:rsid w:val="00911602"/>
    <w:rsid w:val="00911BBA"/>
    <w:rsid w:val="00911C4D"/>
    <w:rsid w:val="009128AF"/>
    <w:rsid w:val="00913761"/>
    <w:rsid w:val="00915909"/>
    <w:rsid w:val="00916208"/>
    <w:rsid w:val="009169D8"/>
    <w:rsid w:val="00916AFB"/>
    <w:rsid w:val="00917BAC"/>
    <w:rsid w:val="00917FF7"/>
    <w:rsid w:val="00922EDA"/>
    <w:rsid w:val="00925C3C"/>
    <w:rsid w:val="00926A68"/>
    <w:rsid w:val="00927D46"/>
    <w:rsid w:val="00933FEF"/>
    <w:rsid w:val="0093422A"/>
    <w:rsid w:val="00934329"/>
    <w:rsid w:val="009350C1"/>
    <w:rsid w:val="00935E88"/>
    <w:rsid w:val="00935E9A"/>
    <w:rsid w:val="00936145"/>
    <w:rsid w:val="00936395"/>
    <w:rsid w:val="00937B2B"/>
    <w:rsid w:val="00942C8D"/>
    <w:rsid w:val="00943AEF"/>
    <w:rsid w:val="00944343"/>
    <w:rsid w:val="00946B6A"/>
    <w:rsid w:val="009520D2"/>
    <w:rsid w:val="00952A87"/>
    <w:rsid w:val="00953A38"/>
    <w:rsid w:val="00953C5E"/>
    <w:rsid w:val="00954AD4"/>
    <w:rsid w:val="00961191"/>
    <w:rsid w:val="00961675"/>
    <w:rsid w:val="009618D4"/>
    <w:rsid w:val="00961EE1"/>
    <w:rsid w:val="00963570"/>
    <w:rsid w:val="00964B08"/>
    <w:rsid w:val="009653A1"/>
    <w:rsid w:val="00970BA4"/>
    <w:rsid w:val="00970C45"/>
    <w:rsid w:val="00971125"/>
    <w:rsid w:val="00971A51"/>
    <w:rsid w:val="00973511"/>
    <w:rsid w:val="00973E9B"/>
    <w:rsid w:val="009740CE"/>
    <w:rsid w:val="00974760"/>
    <w:rsid w:val="009748A6"/>
    <w:rsid w:val="00976793"/>
    <w:rsid w:val="009767F0"/>
    <w:rsid w:val="0098072C"/>
    <w:rsid w:val="00987AA6"/>
    <w:rsid w:val="00987DDA"/>
    <w:rsid w:val="00990713"/>
    <w:rsid w:val="0099216E"/>
    <w:rsid w:val="00992D14"/>
    <w:rsid w:val="0099348F"/>
    <w:rsid w:val="00994490"/>
    <w:rsid w:val="009964E7"/>
    <w:rsid w:val="00996766"/>
    <w:rsid w:val="009970FB"/>
    <w:rsid w:val="009A34C4"/>
    <w:rsid w:val="009A40AF"/>
    <w:rsid w:val="009B1249"/>
    <w:rsid w:val="009B17C1"/>
    <w:rsid w:val="009B1AD9"/>
    <w:rsid w:val="009B6735"/>
    <w:rsid w:val="009C00DF"/>
    <w:rsid w:val="009C1919"/>
    <w:rsid w:val="009C3CB7"/>
    <w:rsid w:val="009C425C"/>
    <w:rsid w:val="009C5F0E"/>
    <w:rsid w:val="009C63F2"/>
    <w:rsid w:val="009D07B2"/>
    <w:rsid w:val="009D5574"/>
    <w:rsid w:val="009D6402"/>
    <w:rsid w:val="009E1403"/>
    <w:rsid w:val="009E2945"/>
    <w:rsid w:val="009E37C6"/>
    <w:rsid w:val="009E4575"/>
    <w:rsid w:val="009F1FD0"/>
    <w:rsid w:val="009F34B4"/>
    <w:rsid w:val="009F3ED8"/>
    <w:rsid w:val="009F4838"/>
    <w:rsid w:val="009F656E"/>
    <w:rsid w:val="009F6AE8"/>
    <w:rsid w:val="00A00791"/>
    <w:rsid w:val="00A0344F"/>
    <w:rsid w:val="00A03E7F"/>
    <w:rsid w:val="00A04C3C"/>
    <w:rsid w:val="00A06AFF"/>
    <w:rsid w:val="00A07556"/>
    <w:rsid w:val="00A0773F"/>
    <w:rsid w:val="00A136A1"/>
    <w:rsid w:val="00A16DBF"/>
    <w:rsid w:val="00A200DB"/>
    <w:rsid w:val="00A21D9A"/>
    <w:rsid w:val="00A22B68"/>
    <w:rsid w:val="00A2314A"/>
    <w:rsid w:val="00A24C7B"/>
    <w:rsid w:val="00A25BFB"/>
    <w:rsid w:val="00A25E78"/>
    <w:rsid w:val="00A30C30"/>
    <w:rsid w:val="00A3189D"/>
    <w:rsid w:val="00A3632C"/>
    <w:rsid w:val="00A36363"/>
    <w:rsid w:val="00A375C2"/>
    <w:rsid w:val="00A42908"/>
    <w:rsid w:val="00A432D2"/>
    <w:rsid w:val="00A43FB3"/>
    <w:rsid w:val="00A4471D"/>
    <w:rsid w:val="00A46257"/>
    <w:rsid w:val="00A505B9"/>
    <w:rsid w:val="00A505EE"/>
    <w:rsid w:val="00A515FE"/>
    <w:rsid w:val="00A528A8"/>
    <w:rsid w:val="00A52CE5"/>
    <w:rsid w:val="00A572B8"/>
    <w:rsid w:val="00A6163D"/>
    <w:rsid w:val="00A618A4"/>
    <w:rsid w:val="00A62B60"/>
    <w:rsid w:val="00A63984"/>
    <w:rsid w:val="00A655DC"/>
    <w:rsid w:val="00A656AC"/>
    <w:rsid w:val="00A71070"/>
    <w:rsid w:val="00A715D2"/>
    <w:rsid w:val="00A71CB2"/>
    <w:rsid w:val="00A72BFD"/>
    <w:rsid w:val="00A817F5"/>
    <w:rsid w:val="00A84F1E"/>
    <w:rsid w:val="00A95791"/>
    <w:rsid w:val="00A959F0"/>
    <w:rsid w:val="00A96B31"/>
    <w:rsid w:val="00AA18F4"/>
    <w:rsid w:val="00AA3408"/>
    <w:rsid w:val="00AA51F6"/>
    <w:rsid w:val="00AB03E8"/>
    <w:rsid w:val="00AB114F"/>
    <w:rsid w:val="00AB2AFD"/>
    <w:rsid w:val="00AB3524"/>
    <w:rsid w:val="00AB6ADA"/>
    <w:rsid w:val="00AB7B2F"/>
    <w:rsid w:val="00AB7EBD"/>
    <w:rsid w:val="00AC0884"/>
    <w:rsid w:val="00AC132B"/>
    <w:rsid w:val="00AC3356"/>
    <w:rsid w:val="00AC40B8"/>
    <w:rsid w:val="00AD0E71"/>
    <w:rsid w:val="00AD15DD"/>
    <w:rsid w:val="00AD164C"/>
    <w:rsid w:val="00AD4AB8"/>
    <w:rsid w:val="00AD5AC2"/>
    <w:rsid w:val="00AD5CA5"/>
    <w:rsid w:val="00AE0A82"/>
    <w:rsid w:val="00AE1E8A"/>
    <w:rsid w:val="00AE2149"/>
    <w:rsid w:val="00AE2F92"/>
    <w:rsid w:val="00AE404B"/>
    <w:rsid w:val="00AE6EB6"/>
    <w:rsid w:val="00AF02EE"/>
    <w:rsid w:val="00AF031C"/>
    <w:rsid w:val="00AF03D8"/>
    <w:rsid w:val="00AF0A34"/>
    <w:rsid w:val="00AF1619"/>
    <w:rsid w:val="00AF2215"/>
    <w:rsid w:val="00AF2BED"/>
    <w:rsid w:val="00AF5252"/>
    <w:rsid w:val="00B00BD5"/>
    <w:rsid w:val="00B01697"/>
    <w:rsid w:val="00B02251"/>
    <w:rsid w:val="00B023FC"/>
    <w:rsid w:val="00B03BC0"/>
    <w:rsid w:val="00B04726"/>
    <w:rsid w:val="00B05699"/>
    <w:rsid w:val="00B06E7E"/>
    <w:rsid w:val="00B10B6B"/>
    <w:rsid w:val="00B117BA"/>
    <w:rsid w:val="00B120BE"/>
    <w:rsid w:val="00B2153D"/>
    <w:rsid w:val="00B21F63"/>
    <w:rsid w:val="00B225F0"/>
    <w:rsid w:val="00B22739"/>
    <w:rsid w:val="00B234B6"/>
    <w:rsid w:val="00B242D0"/>
    <w:rsid w:val="00B24486"/>
    <w:rsid w:val="00B25DF3"/>
    <w:rsid w:val="00B26B80"/>
    <w:rsid w:val="00B30046"/>
    <w:rsid w:val="00B301CF"/>
    <w:rsid w:val="00B30520"/>
    <w:rsid w:val="00B30EDE"/>
    <w:rsid w:val="00B321C3"/>
    <w:rsid w:val="00B3424B"/>
    <w:rsid w:val="00B355F6"/>
    <w:rsid w:val="00B358F1"/>
    <w:rsid w:val="00B36543"/>
    <w:rsid w:val="00B36D36"/>
    <w:rsid w:val="00B3719F"/>
    <w:rsid w:val="00B4384B"/>
    <w:rsid w:val="00B43D49"/>
    <w:rsid w:val="00B44883"/>
    <w:rsid w:val="00B467AC"/>
    <w:rsid w:val="00B46D9B"/>
    <w:rsid w:val="00B500E0"/>
    <w:rsid w:val="00B50909"/>
    <w:rsid w:val="00B54856"/>
    <w:rsid w:val="00B56879"/>
    <w:rsid w:val="00B57011"/>
    <w:rsid w:val="00B6217A"/>
    <w:rsid w:val="00B6409F"/>
    <w:rsid w:val="00B66F3D"/>
    <w:rsid w:val="00B71B37"/>
    <w:rsid w:val="00B71F8F"/>
    <w:rsid w:val="00B73610"/>
    <w:rsid w:val="00B7390A"/>
    <w:rsid w:val="00B74A00"/>
    <w:rsid w:val="00B75510"/>
    <w:rsid w:val="00B7787E"/>
    <w:rsid w:val="00B77E68"/>
    <w:rsid w:val="00B808D6"/>
    <w:rsid w:val="00B83258"/>
    <w:rsid w:val="00B83E67"/>
    <w:rsid w:val="00B842D5"/>
    <w:rsid w:val="00B847B3"/>
    <w:rsid w:val="00B84AA8"/>
    <w:rsid w:val="00B86159"/>
    <w:rsid w:val="00B86180"/>
    <w:rsid w:val="00B87A64"/>
    <w:rsid w:val="00B94257"/>
    <w:rsid w:val="00BA0324"/>
    <w:rsid w:val="00BA1561"/>
    <w:rsid w:val="00BA32F0"/>
    <w:rsid w:val="00BA5D90"/>
    <w:rsid w:val="00BA5FEF"/>
    <w:rsid w:val="00BB009B"/>
    <w:rsid w:val="00BB080F"/>
    <w:rsid w:val="00BB197F"/>
    <w:rsid w:val="00BB1FEC"/>
    <w:rsid w:val="00BB2188"/>
    <w:rsid w:val="00BB2B3C"/>
    <w:rsid w:val="00BB2C2C"/>
    <w:rsid w:val="00BB37F8"/>
    <w:rsid w:val="00BB762A"/>
    <w:rsid w:val="00BC0DF3"/>
    <w:rsid w:val="00BC18EF"/>
    <w:rsid w:val="00BC3FC7"/>
    <w:rsid w:val="00BC7721"/>
    <w:rsid w:val="00BD0ABC"/>
    <w:rsid w:val="00BD5CCB"/>
    <w:rsid w:val="00BE1A64"/>
    <w:rsid w:val="00BE1F00"/>
    <w:rsid w:val="00BE382F"/>
    <w:rsid w:val="00BE6D3E"/>
    <w:rsid w:val="00BF073E"/>
    <w:rsid w:val="00BF33CC"/>
    <w:rsid w:val="00BF7103"/>
    <w:rsid w:val="00C023EE"/>
    <w:rsid w:val="00C04105"/>
    <w:rsid w:val="00C04DB3"/>
    <w:rsid w:val="00C07092"/>
    <w:rsid w:val="00C07725"/>
    <w:rsid w:val="00C07DB0"/>
    <w:rsid w:val="00C106C4"/>
    <w:rsid w:val="00C12562"/>
    <w:rsid w:val="00C12A92"/>
    <w:rsid w:val="00C13246"/>
    <w:rsid w:val="00C13371"/>
    <w:rsid w:val="00C139BE"/>
    <w:rsid w:val="00C13AB9"/>
    <w:rsid w:val="00C14237"/>
    <w:rsid w:val="00C16CCF"/>
    <w:rsid w:val="00C209EA"/>
    <w:rsid w:val="00C221CD"/>
    <w:rsid w:val="00C22855"/>
    <w:rsid w:val="00C271F7"/>
    <w:rsid w:val="00C27F29"/>
    <w:rsid w:val="00C30766"/>
    <w:rsid w:val="00C32771"/>
    <w:rsid w:val="00C346AA"/>
    <w:rsid w:val="00C354FE"/>
    <w:rsid w:val="00C37856"/>
    <w:rsid w:val="00C4036B"/>
    <w:rsid w:val="00C40424"/>
    <w:rsid w:val="00C412E6"/>
    <w:rsid w:val="00C445FA"/>
    <w:rsid w:val="00C47354"/>
    <w:rsid w:val="00C50AEF"/>
    <w:rsid w:val="00C56635"/>
    <w:rsid w:val="00C56A0F"/>
    <w:rsid w:val="00C57412"/>
    <w:rsid w:val="00C64472"/>
    <w:rsid w:val="00C70863"/>
    <w:rsid w:val="00C72DC0"/>
    <w:rsid w:val="00C72E44"/>
    <w:rsid w:val="00C75006"/>
    <w:rsid w:val="00C77C2A"/>
    <w:rsid w:val="00C81277"/>
    <w:rsid w:val="00C83DE0"/>
    <w:rsid w:val="00C9106D"/>
    <w:rsid w:val="00C92923"/>
    <w:rsid w:val="00C943D4"/>
    <w:rsid w:val="00C94419"/>
    <w:rsid w:val="00C95DEB"/>
    <w:rsid w:val="00C974C5"/>
    <w:rsid w:val="00C97A02"/>
    <w:rsid w:val="00C97AAD"/>
    <w:rsid w:val="00CA32D6"/>
    <w:rsid w:val="00CA3CF7"/>
    <w:rsid w:val="00CA4067"/>
    <w:rsid w:val="00CA4AF4"/>
    <w:rsid w:val="00CA4CF4"/>
    <w:rsid w:val="00CA5322"/>
    <w:rsid w:val="00CA6B55"/>
    <w:rsid w:val="00CB10BD"/>
    <w:rsid w:val="00CB48CE"/>
    <w:rsid w:val="00CB7793"/>
    <w:rsid w:val="00CB7EED"/>
    <w:rsid w:val="00CC2693"/>
    <w:rsid w:val="00CC2CC9"/>
    <w:rsid w:val="00CC3969"/>
    <w:rsid w:val="00CC472C"/>
    <w:rsid w:val="00CC73C9"/>
    <w:rsid w:val="00CD214D"/>
    <w:rsid w:val="00CD4437"/>
    <w:rsid w:val="00CD4BC3"/>
    <w:rsid w:val="00CD56E2"/>
    <w:rsid w:val="00CD5895"/>
    <w:rsid w:val="00CD66E7"/>
    <w:rsid w:val="00CD77DA"/>
    <w:rsid w:val="00CE03AC"/>
    <w:rsid w:val="00CE1EC1"/>
    <w:rsid w:val="00CE3582"/>
    <w:rsid w:val="00CE3827"/>
    <w:rsid w:val="00CE399A"/>
    <w:rsid w:val="00CE43B9"/>
    <w:rsid w:val="00CE569B"/>
    <w:rsid w:val="00CF0A7B"/>
    <w:rsid w:val="00CF2465"/>
    <w:rsid w:val="00CF301A"/>
    <w:rsid w:val="00CF3264"/>
    <w:rsid w:val="00CF4BCC"/>
    <w:rsid w:val="00CF5A80"/>
    <w:rsid w:val="00CF7940"/>
    <w:rsid w:val="00CF7F7B"/>
    <w:rsid w:val="00D00AAD"/>
    <w:rsid w:val="00D02BE5"/>
    <w:rsid w:val="00D03B5C"/>
    <w:rsid w:val="00D03C1E"/>
    <w:rsid w:val="00D03CFA"/>
    <w:rsid w:val="00D045B4"/>
    <w:rsid w:val="00D05BD9"/>
    <w:rsid w:val="00D061AA"/>
    <w:rsid w:val="00D069E4"/>
    <w:rsid w:val="00D06CE1"/>
    <w:rsid w:val="00D078F9"/>
    <w:rsid w:val="00D102D9"/>
    <w:rsid w:val="00D10552"/>
    <w:rsid w:val="00D1208A"/>
    <w:rsid w:val="00D1398D"/>
    <w:rsid w:val="00D1486A"/>
    <w:rsid w:val="00D153DD"/>
    <w:rsid w:val="00D16E7C"/>
    <w:rsid w:val="00D21BA5"/>
    <w:rsid w:val="00D22EE3"/>
    <w:rsid w:val="00D24D12"/>
    <w:rsid w:val="00D25940"/>
    <w:rsid w:val="00D26914"/>
    <w:rsid w:val="00D272C8"/>
    <w:rsid w:val="00D327ED"/>
    <w:rsid w:val="00D354DE"/>
    <w:rsid w:val="00D368F1"/>
    <w:rsid w:val="00D406D6"/>
    <w:rsid w:val="00D40947"/>
    <w:rsid w:val="00D411F3"/>
    <w:rsid w:val="00D416F6"/>
    <w:rsid w:val="00D42FB4"/>
    <w:rsid w:val="00D4337B"/>
    <w:rsid w:val="00D44AB8"/>
    <w:rsid w:val="00D4781F"/>
    <w:rsid w:val="00D50D63"/>
    <w:rsid w:val="00D50DC9"/>
    <w:rsid w:val="00D53362"/>
    <w:rsid w:val="00D548EB"/>
    <w:rsid w:val="00D5533E"/>
    <w:rsid w:val="00D55684"/>
    <w:rsid w:val="00D56881"/>
    <w:rsid w:val="00D57CB6"/>
    <w:rsid w:val="00D608B5"/>
    <w:rsid w:val="00D62F93"/>
    <w:rsid w:val="00D65548"/>
    <w:rsid w:val="00D70C7D"/>
    <w:rsid w:val="00D713A1"/>
    <w:rsid w:val="00D725A2"/>
    <w:rsid w:val="00D7425F"/>
    <w:rsid w:val="00D7466E"/>
    <w:rsid w:val="00D75DF9"/>
    <w:rsid w:val="00D75FFB"/>
    <w:rsid w:val="00D77D28"/>
    <w:rsid w:val="00D80E4A"/>
    <w:rsid w:val="00D8144B"/>
    <w:rsid w:val="00D81FAC"/>
    <w:rsid w:val="00D82764"/>
    <w:rsid w:val="00D86011"/>
    <w:rsid w:val="00D860E1"/>
    <w:rsid w:val="00D86BDA"/>
    <w:rsid w:val="00D8757F"/>
    <w:rsid w:val="00D9480C"/>
    <w:rsid w:val="00D95024"/>
    <w:rsid w:val="00D952AA"/>
    <w:rsid w:val="00D95964"/>
    <w:rsid w:val="00D95D74"/>
    <w:rsid w:val="00D966E0"/>
    <w:rsid w:val="00D974CC"/>
    <w:rsid w:val="00D97541"/>
    <w:rsid w:val="00DA1622"/>
    <w:rsid w:val="00DA239E"/>
    <w:rsid w:val="00DA256B"/>
    <w:rsid w:val="00DA29D3"/>
    <w:rsid w:val="00DA416C"/>
    <w:rsid w:val="00DA63B4"/>
    <w:rsid w:val="00DA6B96"/>
    <w:rsid w:val="00DA779F"/>
    <w:rsid w:val="00DB1B66"/>
    <w:rsid w:val="00DB237C"/>
    <w:rsid w:val="00DB4A5A"/>
    <w:rsid w:val="00DB51E0"/>
    <w:rsid w:val="00DB5720"/>
    <w:rsid w:val="00DC0926"/>
    <w:rsid w:val="00DC108C"/>
    <w:rsid w:val="00DC3598"/>
    <w:rsid w:val="00DC5A96"/>
    <w:rsid w:val="00DC7A37"/>
    <w:rsid w:val="00DD12D0"/>
    <w:rsid w:val="00DD4C1D"/>
    <w:rsid w:val="00DE14E1"/>
    <w:rsid w:val="00DE2D1B"/>
    <w:rsid w:val="00DE3187"/>
    <w:rsid w:val="00DE470C"/>
    <w:rsid w:val="00DE5305"/>
    <w:rsid w:val="00DE5386"/>
    <w:rsid w:val="00DF2DCB"/>
    <w:rsid w:val="00DF48FF"/>
    <w:rsid w:val="00DF4A11"/>
    <w:rsid w:val="00DF724D"/>
    <w:rsid w:val="00E00AD7"/>
    <w:rsid w:val="00E0187E"/>
    <w:rsid w:val="00E02ADF"/>
    <w:rsid w:val="00E0377C"/>
    <w:rsid w:val="00E06A2B"/>
    <w:rsid w:val="00E07F66"/>
    <w:rsid w:val="00E1192F"/>
    <w:rsid w:val="00E11DDF"/>
    <w:rsid w:val="00E15A91"/>
    <w:rsid w:val="00E1696B"/>
    <w:rsid w:val="00E17CDB"/>
    <w:rsid w:val="00E20ED3"/>
    <w:rsid w:val="00E225A5"/>
    <w:rsid w:val="00E22821"/>
    <w:rsid w:val="00E265EF"/>
    <w:rsid w:val="00E31C89"/>
    <w:rsid w:val="00E32FEA"/>
    <w:rsid w:val="00E339E6"/>
    <w:rsid w:val="00E34007"/>
    <w:rsid w:val="00E34464"/>
    <w:rsid w:val="00E41B16"/>
    <w:rsid w:val="00E41ECC"/>
    <w:rsid w:val="00E42AF1"/>
    <w:rsid w:val="00E4594C"/>
    <w:rsid w:val="00E504C7"/>
    <w:rsid w:val="00E505ED"/>
    <w:rsid w:val="00E50AE1"/>
    <w:rsid w:val="00E52C48"/>
    <w:rsid w:val="00E5361E"/>
    <w:rsid w:val="00E56318"/>
    <w:rsid w:val="00E56C2B"/>
    <w:rsid w:val="00E577DB"/>
    <w:rsid w:val="00E6272D"/>
    <w:rsid w:val="00E64376"/>
    <w:rsid w:val="00E6492C"/>
    <w:rsid w:val="00E64D3A"/>
    <w:rsid w:val="00E64E0D"/>
    <w:rsid w:val="00E66094"/>
    <w:rsid w:val="00E67212"/>
    <w:rsid w:val="00E714AF"/>
    <w:rsid w:val="00E71671"/>
    <w:rsid w:val="00E735C0"/>
    <w:rsid w:val="00E802A0"/>
    <w:rsid w:val="00E83F04"/>
    <w:rsid w:val="00E877E4"/>
    <w:rsid w:val="00E87A83"/>
    <w:rsid w:val="00E901C3"/>
    <w:rsid w:val="00E90C13"/>
    <w:rsid w:val="00E91CDA"/>
    <w:rsid w:val="00E922B7"/>
    <w:rsid w:val="00E93171"/>
    <w:rsid w:val="00EA1177"/>
    <w:rsid w:val="00EA117F"/>
    <w:rsid w:val="00EA14DE"/>
    <w:rsid w:val="00EA1817"/>
    <w:rsid w:val="00EA2B70"/>
    <w:rsid w:val="00EA3542"/>
    <w:rsid w:val="00EB3017"/>
    <w:rsid w:val="00EB357D"/>
    <w:rsid w:val="00EB3FD0"/>
    <w:rsid w:val="00EB41E5"/>
    <w:rsid w:val="00EB4FB5"/>
    <w:rsid w:val="00EB5FFB"/>
    <w:rsid w:val="00EB6775"/>
    <w:rsid w:val="00EB6C95"/>
    <w:rsid w:val="00EB723C"/>
    <w:rsid w:val="00EC0052"/>
    <w:rsid w:val="00EC0475"/>
    <w:rsid w:val="00EC21F2"/>
    <w:rsid w:val="00EC4175"/>
    <w:rsid w:val="00EC6F6B"/>
    <w:rsid w:val="00ED0AA8"/>
    <w:rsid w:val="00ED3515"/>
    <w:rsid w:val="00ED4482"/>
    <w:rsid w:val="00ED4DBB"/>
    <w:rsid w:val="00ED64F2"/>
    <w:rsid w:val="00ED6B81"/>
    <w:rsid w:val="00EE02BB"/>
    <w:rsid w:val="00EE1EA1"/>
    <w:rsid w:val="00EE2AF9"/>
    <w:rsid w:val="00EE5C3E"/>
    <w:rsid w:val="00EE7360"/>
    <w:rsid w:val="00EF1743"/>
    <w:rsid w:val="00EF1B3B"/>
    <w:rsid w:val="00EF2F27"/>
    <w:rsid w:val="00EF3BE3"/>
    <w:rsid w:val="00EF5810"/>
    <w:rsid w:val="00F0020D"/>
    <w:rsid w:val="00F02164"/>
    <w:rsid w:val="00F06DC9"/>
    <w:rsid w:val="00F1259B"/>
    <w:rsid w:val="00F132A9"/>
    <w:rsid w:val="00F16AC0"/>
    <w:rsid w:val="00F17037"/>
    <w:rsid w:val="00F1740A"/>
    <w:rsid w:val="00F20EB8"/>
    <w:rsid w:val="00F22D2E"/>
    <w:rsid w:val="00F23864"/>
    <w:rsid w:val="00F274E4"/>
    <w:rsid w:val="00F3018E"/>
    <w:rsid w:val="00F30DCF"/>
    <w:rsid w:val="00F3619C"/>
    <w:rsid w:val="00F3697A"/>
    <w:rsid w:val="00F36C28"/>
    <w:rsid w:val="00F4009D"/>
    <w:rsid w:val="00F40AFB"/>
    <w:rsid w:val="00F41EBD"/>
    <w:rsid w:val="00F422B9"/>
    <w:rsid w:val="00F4432B"/>
    <w:rsid w:val="00F5039E"/>
    <w:rsid w:val="00F50520"/>
    <w:rsid w:val="00F50708"/>
    <w:rsid w:val="00F51479"/>
    <w:rsid w:val="00F56AAA"/>
    <w:rsid w:val="00F56FB2"/>
    <w:rsid w:val="00F648B7"/>
    <w:rsid w:val="00F65DE2"/>
    <w:rsid w:val="00F71213"/>
    <w:rsid w:val="00F74240"/>
    <w:rsid w:val="00F81A6F"/>
    <w:rsid w:val="00F81AE3"/>
    <w:rsid w:val="00F84CB6"/>
    <w:rsid w:val="00F86760"/>
    <w:rsid w:val="00F86C2E"/>
    <w:rsid w:val="00F90BA8"/>
    <w:rsid w:val="00F92226"/>
    <w:rsid w:val="00F92617"/>
    <w:rsid w:val="00F9293E"/>
    <w:rsid w:val="00F93338"/>
    <w:rsid w:val="00F93702"/>
    <w:rsid w:val="00F93DBA"/>
    <w:rsid w:val="00F96525"/>
    <w:rsid w:val="00F96F85"/>
    <w:rsid w:val="00F97873"/>
    <w:rsid w:val="00FA049B"/>
    <w:rsid w:val="00FA338F"/>
    <w:rsid w:val="00FA5FA9"/>
    <w:rsid w:val="00FA74FC"/>
    <w:rsid w:val="00FB0DF8"/>
    <w:rsid w:val="00FB1271"/>
    <w:rsid w:val="00FB22F1"/>
    <w:rsid w:val="00FB3677"/>
    <w:rsid w:val="00FB4DD0"/>
    <w:rsid w:val="00FB4DDD"/>
    <w:rsid w:val="00FB5DCC"/>
    <w:rsid w:val="00FB5F4E"/>
    <w:rsid w:val="00FC0017"/>
    <w:rsid w:val="00FC1D4E"/>
    <w:rsid w:val="00FC2A16"/>
    <w:rsid w:val="00FC39E6"/>
    <w:rsid w:val="00FC4E00"/>
    <w:rsid w:val="00FC568D"/>
    <w:rsid w:val="00FD162D"/>
    <w:rsid w:val="00FD319C"/>
    <w:rsid w:val="00FD6B9F"/>
    <w:rsid w:val="00FE1584"/>
    <w:rsid w:val="00FE1985"/>
    <w:rsid w:val="00FE1D0D"/>
    <w:rsid w:val="00FE314F"/>
    <w:rsid w:val="00FE3203"/>
    <w:rsid w:val="00FE3EEF"/>
    <w:rsid w:val="00FE5727"/>
    <w:rsid w:val="00FE7C40"/>
    <w:rsid w:val="00FF0783"/>
    <w:rsid w:val="00FF1F81"/>
    <w:rsid w:val="00FF209D"/>
    <w:rsid w:val="00FF33EB"/>
    <w:rsid w:val="00FF5266"/>
    <w:rsid w:val="00FF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56E749"/>
  <w15:docId w15:val="{CA48066D-92A2-40CF-A49C-9D27FBCBD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55F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E7360"/>
    <w:rPr>
      <w:color w:val="0000FF"/>
      <w:u w:val="single"/>
    </w:rPr>
  </w:style>
  <w:style w:type="character" w:styleId="FollowedHyperlink">
    <w:name w:val="FollowedHyperlink"/>
    <w:rsid w:val="00EE7360"/>
    <w:rPr>
      <w:color w:val="FF0080"/>
      <w:u w:val="single"/>
    </w:rPr>
  </w:style>
  <w:style w:type="paragraph" w:styleId="BalloonText">
    <w:name w:val="Balloon Text"/>
    <w:basedOn w:val="Normal"/>
    <w:semiHidden/>
    <w:rsid w:val="00EE7360"/>
    <w:rPr>
      <w:rFonts w:ascii="Tahoma" w:hAnsi="Tahoma" w:cs="Tahoma"/>
      <w:sz w:val="16"/>
      <w:szCs w:val="16"/>
    </w:rPr>
  </w:style>
  <w:style w:type="paragraph" w:styleId="EnvelopeAddress">
    <w:name w:val="envelope address"/>
    <w:basedOn w:val="Normal"/>
    <w:rsid w:val="002348EC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E32FEA"/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rsid w:val="00D548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548EB"/>
    <w:rPr>
      <w:sz w:val="24"/>
      <w:szCs w:val="24"/>
    </w:rPr>
  </w:style>
  <w:style w:type="paragraph" w:styleId="Footer">
    <w:name w:val="footer"/>
    <w:basedOn w:val="Normal"/>
    <w:link w:val="FooterChar"/>
    <w:rsid w:val="00D548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548EB"/>
    <w:rPr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12308B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2308B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semiHidden/>
    <w:unhideWhenUsed/>
    <w:rsid w:val="0012308B"/>
    <w:rPr>
      <w:vertAlign w:val="superscript"/>
    </w:rPr>
  </w:style>
  <w:style w:type="paragraph" w:styleId="ListParagraph">
    <w:name w:val="List Paragraph"/>
    <w:basedOn w:val="Normal"/>
    <w:uiPriority w:val="34"/>
    <w:qFormat/>
    <w:rsid w:val="0012308B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C023E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023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023E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023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023EE"/>
    <w:rPr>
      <w:b/>
      <w:bCs/>
    </w:rPr>
  </w:style>
  <w:style w:type="paragraph" w:styleId="Revision">
    <w:name w:val="Revision"/>
    <w:hidden/>
    <w:uiPriority w:val="99"/>
    <w:semiHidden/>
    <w:rsid w:val="008C18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4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95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52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25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38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57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82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6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38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1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41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9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56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86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28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1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1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9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02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34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93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1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5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53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4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69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8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2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2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07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16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12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88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0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4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84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72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3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2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40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aps.google.com/?daddr=24%20Beacon%20St+Boston+MASSACHUSETTS+02133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legislature.gov/Laws/GeneralLaws/PartI/TitleII/Chapter14/Section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7320D-12A1-4A67-B463-1A4F9E220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August2025MidMonthReport.docx</vt:lpstr>
    </vt:vector>
  </TitlesOfParts>
  <Company>Commonwealth of MA</Company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December2025MidMonthReport.docx</dc:title>
  <dc:creator>MA Dept of Revenue</dc:creator>
  <cp:lastModifiedBy>MADOR</cp:lastModifiedBy>
  <cp:revision>2</cp:revision>
  <cp:lastPrinted>2025-12-18T19:06:00Z</cp:lastPrinted>
  <dcterms:created xsi:type="dcterms:W3CDTF">2025-12-18T19:06:00Z</dcterms:created>
  <dcterms:modified xsi:type="dcterms:W3CDTF">2025-12-18T19:06:00Z</dcterms:modified>
</cp:coreProperties>
</file>