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6D06D9" w:rsidRDefault="00BE46CD" w:rsidP="000F315B">
      <w:pPr>
        <w:pStyle w:val="ExecOffice"/>
        <w:framePr w:w="6926" w:wrap="notBeside" w:vAnchor="page" w:x="2884" w:y="711"/>
      </w:pPr>
      <w:r>
        <w:t xml:space="preserve">250 Washington </w:t>
      </w:r>
      <w:r w:rsidR="000537DA">
        <w:t>Street, Boston, MA 021</w:t>
      </w:r>
      <w:r>
        <w:t>08</w:t>
      </w:r>
    </w:p>
    <w:p w:rsidR="00BA4055" w:rsidRDefault="00C05E37"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0944CCA" wp14:editId="24528A12">
            <wp:extent cx="965200" cy="1149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rsidR="009908FF" w:rsidRDefault="00CF52C1" w:rsidP="0072610D">
      <w:r>
        <w:rPr>
          <w:noProof/>
        </w:rPr>
        <mc:AlternateContent>
          <mc:Choice Requires="wps">
            <w:drawing>
              <wp:anchor distT="0" distB="0" distL="114300" distR="114300" simplePos="0" relativeHeight="251657216" behindDoc="0" locked="0" layoutInCell="1" allowOverlap="1" wp14:anchorId="7D3BB733" wp14:editId="76F016CF">
                <wp:simplePos x="0" y="0"/>
                <wp:positionH relativeFrom="column">
                  <wp:posOffset>-1640011</wp:posOffset>
                </wp:positionH>
                <wp:positionV relativeFrom="paragraph">
                  <wp:posOffset>550628</wp:posOffset>
                </wp:positionV>
                <wp:extent cx="1359370"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370"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654" w:rsidRDefault="003C2654" w:rsidP="00FC6B42">
                            <w:pPr>
                              <w:pStyle w:val="Governor"/>
                              <w:spacing w:after="0"/>
                              <w:rPr>
                                <w:sz w:val="16"/>
                              </w:rPr>
                            </w:pPr>
                          </w:p>
                          <w:p w:rsidR="003C2654" w:rsidRDefault="003C2654" w:rsidP="00FC6B42">
                            <w:pPr>
                              <w:pStyle w:val="Governor"/>
                              <w:spacing w:after="0"/>
                              <w:rPr>
                                <w:sz w:val="16"/>
                              </w:rPr>
                            </w:pPr>
                            <w:r>
                              <w:rPr>
                                <w:sz w:val="16"/>
                              </w:rPr>
                              <w:t>CHARLES D. BAKER</w:t>
                            </w:r>
                          </w:p>
                          <w:p w:rsidR="003C2654" w:rsidRDefault="003C2654" w:rsidP="00FC6B42">
                            <w:pPr>
                              <w:pStyle w:val="Governor"/>
                            </w:pPr>
                            <w:r>
                              <w:t>Governor</w:t>
                            </w:r>
                          </w:p>
                          <w:p w:rsidR="003C2654" w:rsidRDefault="003C2654" w:rsidP="00FC6B42">
                            <w:pPr>
                              <w:pStyle w:val="Governor"/>
                              <w:spacing w:after="0"/>
                              <w:rPr>
                                <w:sz w:val="16"/>
                              </w:rPr>
                            </w:pPr>
                            <w:r>
                              <w:rPr>
                                <w:sz w:val="16"/>
                              </w:rPr>
                              <w:t>KARYN E. POLITO</w:t>
                            </w:r>
                          </w:p>
                          <w:p w:rsidR="003C2654" w:rsidRDefault="003C2654"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15pt;margin-top:43.35pt;width:107.0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" stroked="f">
                <v:textbox style="mso-fit-shape-to-text:t">
                  <w:txbxContent>
                    <w:p w:rsidR="003C2654" w:rsidRDefault="003C2654" w:rsidP="00FC6B42">
                      <w:pPr>
                        <w:pStyle w:val="Governor"/>
                        <w:spacing w:after="0"/>
                        <w:rPr>
                          <w:sz w:val="16"/>
                        </w:rPr>
                      </w:pPr>
                    </w:p>
                    <w:p w:rsidR="003C2654" w:rsidRDefault="003C2654" w:rsidP="00FC6B42">
                      <w:pPr>
                        <w:pStyle w:val="Governor"/>
                        <w:spacing w:after="0"/>
                        <w:rPr>
                          <w:sz w:val="16"/>
                        </w:rPr>
                      </w:pPr>
                      <w:r>
                        <w:rPr>
                          <w:sz w:val="16"/>
                        </w:rPr>
                        <w:t>CHARLES D. BAKER</w:t>
                      </w:r>
                    </w:p>
                    <w:p w:rsidR="003C2654" w:rsidRDefault="003C2654" w:rsidP="00FC6B42">
                      <w:pPr>
                        <w:pStyle w:val="Governor"/>
                      </w:pPr>
                      <w:r>
                        <w:t>Governor</w:t>
                      </w:r>
                    </w:p>
                    <w:p w:rsidR="003C2654" w:rsidRDefault="003C2654" w:rsidP="00FC6B42">
                      <w:pPr>
                        <w:pStyle w:val="Governor"/>
                        <w:spacing w:after="0"/>
                        <w:rPr>
                          <w:sz w:val="16"/>
                        </w:rPr>
                      </w:pPr>
                      <w:r>
                        <w:rPr>
                          <w:sz w:val="16"/>
                        </w:rPr>
                        <w:t>KARYN E. POLITO</w:t>
                      </w:r>
                    </w:p>
                    <w:p w:rsidR="003C2654" w:rsidRDefault="003C2654" w:rsidP="00FC6B42">
                      <w:pPr>
                        <w:pStyle w:val="Governor"/>
                      </w:pPr>
                      <w:r>
                        <w:t>Lieutenant Governor</w:t>
                      </w:r>
                    </w:p>
                  </w:txbxContent>
                </v:textbox>
              </v:shape>
            </w:pict>
          </mc:Fallback>
        </mc:AlternateContent>
      </w:r>
      <w:r w:rsidR="00C05E37">
        <w:rPr>
          <w:noProof/>
        </w:rPr>
        <mc:AlternateContent>
          <mc:Choice Requires="wps">
            <w:drawing>
              <wp:anchor distT="0" distB="0" distL="114300" distR="114300" simplePos="0" relativeHeight="251658240" behindDoc="0" locked="0" layoutInCell="1" allowOverlap="1" wp14:anchorId="38C964FF" wp14:editId="21345C16">
                <wp:simplePos x="0" y="0"/>
                <wp:positionH relativeFrom="column">
                  <wp:posOffset>4141470</wp:posOffset>
                </wp:positionH>
                <wp:positionV relativeFrom="paragraph">
                  <wp:posOffset>539750</wp:posOffset>
                </wp:positionV>
                <wp:extent cx="1572895" cy="1136015"/>
                <wp:effectExtent l="0" t="0" r="63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654" w:rsidRDefault="003C2654" w:rsidP="00FC6B42">
                            <w:pPr>
                              <w:pStyle w:val="Governor"/>
                              <w:spacing w:after="0"/>
                              <w:rPr>
                                <w:sz w:val="16"/>
                              </w:rPr>
                            </w:pPr>
                          </w:p>
                          <w:p w:rsidR="003C2654" w:rsidRPr="003A7AFC" w:rsidRDefault="003C2654" w:rsidP="00FC6B42">
                            <w:pPr>
                              <w:pStyle w:val="Weld"/>
                            </w:pPr>
                            <w:r>
                              <w:t>MARYLOU SUDDERS</w:t>
                            </w:r>
                          </w:p>
                          <w:p w:rsidR="003C2654" w:rsidRDefault="003C2654" w:rsidP="00FC6B42">
                            <w:pPr>
                              <w:pStyle w:val="Governor"/>
                            </w:pPr>
                            <w:r>
                              <w:t>Secretary</w:t>
                            </w:r>
                          </w:p>
                          <w:p w:rsidR="003C2654" w:rsidRDefault="003C2654" w:rsidP="00553529">
                            <w:pPr>
                              <w:jc w:val="center"/>
                              <w:rPr>
                                <w:rFonts w:ascii="Arial Rounded MT Bold" w:hAnsi="Arial Rounded MT Bold"/>
                                <w:sz w:val="14"/>
                                <w:szCs w:val="14"/>
                              </w:rPr>
                            </w:pPr>
                            <w:r>
                              <w:rPr>
                                <w:rFonts w:ascii="Arial Rounded MT Bold" w:hAnsi="Arial Rounded MT Bold"/>
                                <w:sz w:val="16"/>
                                <w:szCs w:val="16"/>
                              </w:rPr>
                              <w:t xml:space="preserve">MONICA BHAREL, MD, MPH </w:t>
                            </w:r>
                            <w:r>
                              <w:rPr>
                                <w:rFonts w:ascii="Arial Rounded MT Bold" w:hAnsi="Arial Rounded MT Bold"/>
                                <w:sz w:val="14"/>
                                <w:szCs w:val="14"/>
                              </w:rPr>
                              <w:t>Commissioner</w:t>
                            </w:r>
                          </w:p>
                          <w:p w:rsidR="003C2654" w:rsidRDefault="003C2654" w:rsidP="00553529">
                            <w:pPr>
                              <w:jc w:val="center"/>
                              <w:rPr>
                                <w:rFonts w:ascii="Arial Rounded MT Bold" w:hAnsi="Arial Rounded MT Bold"/>
                                <w:sz w:val="14"/>
                                <w:szCs w:val="14"/>
                              </w:rPr>
                            </w:pPr>
                          </w:p>
                          <w:p w:rsidR="003C2654" w:rsidRDefault="003C2654" w:rsidP="00553529">
                            <w:pPr>
                              <w:jc w:val="center"/>
                              <w:rPr>
                                <w:rFonts w:ascii="Arial" w:hAnsi="Arial" w:cs="Arial"/>
                                <w:b/>
                                <w:sz w:val="14"/>
                                <w:szCs w:val="14"/>
                              </w:rPr>
                            </w:pPr>
                            <w:r>
                              <w:rPr>
                                <w:rFonts w:ascii="Arial" w:hAnsi="Arial" w:cs="Arial"/>
                                <w:b/>
                                <w:sz w:val="14"/>
                                <w:szCs w:val="14"/>
                              </w:rPr>
                              <w:t>Tel: 617-624-6000</w:t>
                            </w:r>
                          </w:p>
                          <w:p w:rsidR="003C2654" w:rsidRDefault="003C2654" w:rsidP="00553529">
                            <w:pPr>
                              <w:jc w:val="center"/>
                              <w:rPr>
                                <w:rFonts w:ascii="Arial" w:hAnsi="Arial" w:cs="Arial"/>
                                <w:b/>
                                <w:sz w:val="14"/>
                                <w:szCs w:val="14"/>
                                <w:lang w:val="fr-FR"/>
                              </w:rPr>
                            </w:pPr>
                            <w:r>
                              <w:rPr>
                                <w:rFonts w:ascii="Arial" w:hAnsi="Arial" w:cs="Arial"/>
                                <w:b/>
                                <w:sz w:val="14"/>
                                <w:szCs w:val="14"/>
                                <w:lang w:val="fr-FR"/>
                              </w:rPr>
                              <w:t>www.mass.gov/dph</w:t>
                            </w:r>
                          </w:p>
                          <w:p w:rsidR="003C2654" w:rsidRDefault="003C2654" w:rsidP="00FC6B42">
                            <w:pPr>
                              <w:jc w:val="center"/>
                              <w:rPr>
                                <w:rFonts w:ascii="Arial Rounded MT Bold" w:hAnsi="Arial Rounded MT Bold"/>
                                <w:sz w:val="14"/>
                                <w:szCs w:val="14"/>
                              </w:rPr>
                            </w:pPr>
                          </w:p>
                          <w:p w:rsidR="003C2654" w:rsidRPr="00FC6B42" w:rsidRDefault="003C2654"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E2414" id="_x0000_s1027" type="#_x0000_t202" style="position:absolute;margin-left:326.1pt;margin-top:42.5pt;width:123.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" stroked="f">
                <v:textbox style="mso-fit-shape-to-text:t">
                  <w:txbxContent>
                    <w:p w:rsidR="003C2654" w:rsidRDefault="003C2654" w:rsidP="00FC6B42">
                      <w:pPr>
                        <w:pStyle w:val="Governor"/>
                        <w:spacing w:after="0"/>
                        <w:rPr>
                          <w:sz w:val="16"/>
                        </w:rPr>
                      </w:pPr>
                    </w:p>
                    <w:p w:rsidR="003C2654" w:rsidRPr="003A7AFC" w:rsidRDefault="003C2654" w:rsidP="00FC6B42">
                      <w:pPr>
                        <w:pStyle w:val="Weld"/>
                      </w:pPr>
                      <w:r>
                        <w:t>MARYLOU SUDDERS</w:t>
                      </w:r>
                    </w:p>
                    <w:p w:rsidR="003C2654" w:rsidRDefault="003C2654" w:rsidP="00FC6B42">
                      <w:pPr>
                        <w:pStyle w:val="Governor"/>
                      </w:pPr>
                      <w:r>
                        <w:t>Secretary</w:t>
                      </w:r>
                    </w:p>
                    <w:p w:rsidR="003C2654" w:rsidRDefault="003C2654" w:rsidP="00553529">
                      <w:pPr>
                        <w:jc w:val="center"/>
                        <w:rPr>
                          <w:rFonts w:ascii="Arial Rounded MT Bold" w:hAnsi="Arial Rounded MT Bold"/>
                          <w:sz w:val="14"/>
                          <w:szCs w:val="14"/>
                        </w:rPr>
                      </w:pPr>
                      <w:r>
                        <w:rPr>
                          <w:rFonts w:ascii="Arial Rounded MT Bold" w:hAnsi="Arial Rounded MT Bold"/>
                          <w:sz w:val="16"/>
                          <w:szCs w:val="16"/>
                        </w:rPr>
                        <w:t xml:space="preserve">MONICA BHAREL, MD, MPH </w:t>
                      </w:r>
                      <w:r>
                        <w:rPr>
                          <w:rFonts w:ascii="Arial Rounded MT Bold" w:hAnsi="Arial Rounded MT Bold"/>
                          <w:sz w:val="14"/>
                          <w:szCs w:val="14"/>
                        </w:rPr>
                        <w:t>Commissioner</w:t>
                      </w:r>
                    </w:p>
                    <w:p w:rsidR="003C2654" w:rsidRDefault="003C2654" w:rsidP="00553529">
                      <w:pPr>
                        <w:jc w:val="center"/>
                        <w:rPr>
                          <w:rFonts w:ascii="Arial Rounded MT Bold" w:hAnsi="Arial Rounded MT Bold"/>
                          <w:sz w:val="14"/>
                          <w:szCs w:val="14"/>
                        </w:rPr>
                      </w:pPr>
                    </w:p>
                    <w:p w:rsidR="003C2654" w:rsidRDefault="003C2654" w:rsidP="00553529">
                      <w:pPr>
                        <w:jc w:val="center"/>
                        <w:rPr>
                          <w:rFonts w:ascii="Arial" w:hAnsi="Arial" w:cs="Arial"/>
                          <w:b/>
                          <w:sz w:val="14"/>
                          <w:szCs w:val="14"/>
                        </w:rPr>
                      </w:pPr>
                      <w:r>
                        <w:rPr>
                          <w:rFonts w:ascii="Arial" w:hAnsi="Arial" w:cs="Arial"/>
                          <w:b/>
                          <w:sz w:val="14"/>
                          <w:szCs w:val="14"/>
                        </w:rPr>
                        <w:t>Tel: 617-624-6000</w:t>
                      </w:r>
                    </w:p>
                    <w:p w:rsidR="003C2654" w:rsidRDefault="003C2654" w:rsidP="00553529">
                      <w:pPr>
                        <w:jc w:val="center"/>
                        <w:rPr>
                          <w:rFonts w:ascii="Arial" w:hAnsi="Arial" w:cs="Arial"/>
                          <w:b/>
                          <w:sz w:val="14"/>
                          <w:szCs w:val="14"/>
                          <w:lang w:val="fr-FR"/>
                        </w:rPr>
                      </w:pPr>
                      <w:r>
                        <w:rPr>
                          <w:rFonts w:ascii="Arial" w:hAnsi="Arial" w:cs="Arial"/>
                          <w:b/>
                          <w:sz w:val="14"/>
                          <w:szCs w:val="14"/>
                          <w:lang w:val="fr-FR"/>
                        </w:rPr>
                        <w:t>www.mass.gov/dph</w:t>
                      </w:r>
                    </w:p>
                    <w:p w:rsidR="003C2654" w:rsidRDefault="003C2654" w:rsidP="00FC6B42">
                      <w:pPr>
                        <w:jc w:val="center"/>
                        <w:rPr>
                          <w:rFonts w:ascii="Arial Rounded MT Bold" w:hAnsi="Arial Rounded MT Bold"/>
                          <w:sz w:val="14"/>
                          <w:szCs w:val="14"/>
                        </w:rPr>
                      </w:pPr>
                    </w:p>
                    <w:p w:rsidR="003C2654" w:rsidRPr="00FC6B42" w:rsidRDefault="003C2654" w:rsidP="00FC6B42">
                      <w:pPr>
                        <w:jc w:val="center"/>
                        <w:rPr>
                          <w:rFonts w:ascii="Arial Rounded MT Bold" w:hAnsi="Arial Rounded MT Bold"/>
                          <w:sz w:val="14"/>
                          <w:szCs w:val="14"/>
                        </w:rPr>
                      </w:pPr>
                    </w:p>
                  </w:txbxContent>
                </v:textbox>
              </v:shape>
            </w:pict>
          </mc:Fallback>
        </mc:AlternateContent>
      </w:r>
    </w:p>
    <w:p w:rsidR="00FC6B42" w:rsidRDefault="00FC6B42" w:rsidP="0072610D"/>
    <w:p w:rsidR="00FC6B42" w:rsidRDefault="000A7338" w:rsidP="000A7338">
      <w:pPr>
        <w:tabs>
          <w:tab w:val="left" w:pos="6300"/>
        </w:tabs>
      </w:pPr>
      <w:r>
        <w:tab/>
      </w:r>
    </w:p>
    <w:p w:rsidR="005A2347" w:rsidRDefault="005A2347" w:rsidP="005A2347">
      <w:pPr>
        <w:tabs>
          <w:tab w:val="left" w:pos="6300"/>
        </w:tabs>
      </w:pPr>
    </w:p>
    <w:p w:rsidR="005A2347" w:rsidRDefault="005A2347" w:rsidP="005A2347">
      <w:pPr>
        <w:tabs>
          <w:tab w:val="left" w:pos="6300"/>
        </w:tabs>
      </w:pPr>
    </w:p>
    <w:p w:rsidR="00CF52C1" w:rsidRDefault="00CF52C1" w:rsidP="000F62A5">
      <w:pPr>
        <w:spacing w:after="200" w:line="276" w:lineRule="auto"/>
      </w:pPr>
      <w:bookmarkStart w:id="0" w:name="_GoBack"/>
      <w:bookmarkEnd w:id="0"/>
    </w:p>
    <w:p w:rsidR="000F62A5" w:rsidRPr="000F62A5" w:rsidRDefault="000F62A5" w:rsidP="000F62A5">
      <w:pPr>
        <w:spacing w:after="200" w:line="276" w:lineRule="auto"/>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December </w:t>
      </w:r>
      <w:r w:rsidR="00B15350">
        <w:rPr>
          <w:rFonts w:asciiTheme="minorHAnsi" w:eastAsiaTheme="minorHAnsi" w:hAnsiTheme="minorHAnsi" w:cstheme="minorBidi"/>
          <w:sz w:val="22"/>
          <w:szCs w:val="22"/>
        </w:rPr>
        <w:t>30</w:t>
      </w:r>
      <w:r w:rsidR="00BE7C14">
        <w:rPr>
          <w:rFonts w:asciiTheme="minorHAnsi" w:eastAsiaTheme="minorHAnsi" w:hAnsiTheme="minorHAnsi" w:cstheme="minorBidi"/>
          <w:sz w:val="22"/>
          <w:szCs w:val="22"/>
        </w:rPr>
        <w:t xml:space="preserve">, </w:t>
      </w:r>
      <w:r w:rsidRPr="000F62A5">
        <w:rPr>
          <w:rFonts w:asciiTheme="minorHAnsi" w:eastAsiaTheme="minorHAnsi" w:hAnsiTheme="minorHAnsi" w:cstheme="minorBidi"/>
          <w:sz w:val="22"/>
          <w:szCs w:val="22"/>
        </w:rPr>
        <w:t xml:space="preserve">2020 </w:t>
      </w:r>
    </w:p>
    <w:p w:rsidR="000F62A5" w:rsidRPr="000F62A5" w:rsidRDefault="000F62A5" w:rsidP="000F62A5">
      <w:pPr>
        <w:spacing w:after="200" w:line="276" w:lineRule="auto"/>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VIA EMAIL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Andrew Levine Esq.</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One Beacon Street, Suite 1320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Boston, MA, 02108 </w:t>
      </w:r>
    </w:p>
    <w:p w:rsidR="000F62A5" w:rsidRPr="000F62A5" w:rsidRDefault="000F62A5" w:rsidP="000F62A5">
      <w:pPr>
        <w:spacing w:after="200" w:line="276" w:lineRule="auto"/>
        <w:rPr>
          <w:rFonts w:asciiTheme="minorHAnsi" w:eastAsiaTheme="minorHAnsi" w:hAnsiTheme="minorHAnsi" w:cstheme="minorBidi"/>
          <w:sz w:val="22"/>
          <w:szCs w:val="22"/>
        </w:rPr>
      </w:pPr>
    </w:p>
    <w:p w:rsidR="000F62A5" w:rsidRPr="000F62A5" w:rsidRDefault="000F62A5" w:rsidP="000F62A5">
      <w:pPr>
        <w:spacing w:after="200" w:line="276" w:lineRule="auto"/>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RE: Notice of Determination of Need </w:t>
      </w:r>
    </w:p>
    <w:p w:rsidR="00B15350" w:rsidRDefault="00B15350" w:rsidP="000F62A5">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Baystate Health, Inc.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Baystate Medical Center</w:t>
      </w:r>
      <w:r w:rsidR="00973A0B">
        <w:rPr>
          <w:rFonts w:asciiTheme="minorHAnsi" w:eastAsiaTheme="minorHAnsi" w:hAnsiTheme="minorHAnsi" w:cstheme="minorBidi"/>
          <w:sz w:val="22"/>
          <w:szCs w:val="22"/>
        </w:rPr>
        <w:t>, Inc.</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Significant Change </w:t>
      </w:r>
      <w:r w:rsidR="00A83C34" w:rsidRPr="00A83C34">
        <w:rPr>
          <w:rFonts w:asciiTheme="minorHAnsi" w:eastAsiaTheme="minorHAnsi" w:hAnsiTheme="minorHAnsi" w:cstheme="minorBidi"/>
          <w:sz w:val="22"/>
          <w:szCs w:val="22"/>
        </w:rPr>
        <w:t>3B36.8</w:t>
      </w:r>
    </w:p>
    <w:p w:rsidR="00A83C34"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Project Number </w:t>
      </w:r>
      <w:r w:rsidR="00A83C34" w:rsidRPr="00A83C34">
        <w:rPr>
          <w:rFonts w:asciiTheme="minorHAnsi" w:eastAsiaTheme="minorHAnsi" w:hAnsiTheme="minorHAnsi" w:cstheme="minorBidi"/>
          <w:sz w:val="22"/>
          <w:szCs w:val="22"/>
          <w:lang w:bidi="en-US"/>
        </w:rPr>
        <w:t>BH-20062607-AM</w:t>
      </w:r>
      <w:r w:rsidR="00A83C34" w:rsidRPr="00A83C34">
        <w:rPr>
          <w:rFonts w:asciiTheme="minorHAnsi" w:eastAsiaTheme="minorHAnsi" w:hAnsiTheme="minorHAnsi" w:cstheme="minorBidi"/>
          <w:sz w:val="22"/>
          <w:szCs w:val="22"/>
        </w:rPr>
        <w:t xml:space="preserve">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 </w:t>
      </w:r>
    </w:p>
    <w:p w:rsidR="000F62A5" w:rsidRPr="000F62A5" w:rsidRDefault="000F62A5" w:rsidP="000F62A5">
      <w:pPr>
        <w:rPr>
          <w:rFonts w:asciiTheme="minorHAnsi" w:eastAsiaTheme="minorHAnsi" w:hAnsiTheme="minorHAnsi" w:cstheme="minorBidi"/>
          <w:sz w:val="22"/>
          <w:szCs w:val="22"/>
        </w:rPr>
      </w:pPr>
    </w:p>
    <w:p w:rsidR="000F62A5" w:rsidRPr="000F62A5" w:rsidRDefault="000F62A5" w:rsidP="000F62A5">
      <w:pPr>
        <w:spacing w:after="200" w:line="276" w:lineRule="auto"/>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Dear Mr. Levine, </w:t>
      </w:r>
    </w:p>
    <w:p w:rsidR="000F62A5" w:rsidRPr="000F62A5" w:rsidRDefault="000F62A5" w:rsidP="000F62A5">
      <w:pPr>
        <w:spacing w:after="200" w:line="276" w:lineRule="auto"/>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At their meeting December 10, 2018, the Commissioner and the Public Health Council, acting together as the Department, voted pursuant to 105 C.M.R. 100.635(A)(3) to approve the request for a Significant Change to </w:t>
      </w:r>
      <w:r w:rsidR="003C2654">
        <w:rPr>
          <w:rFonts w:asciiTheme="minorHAnsi" w:eastAsiaTheme="minorHAnsi" w:hAnsiTheme="minorHAnsi" w:cstheme="minorBidi"/>
          <w:sz w:val="22"/>
          <w:szCs w:val="22"/>
        </w:rPr>
        <w:t>a</w:t>
      </w:r>
      <w:r w:rsidR="003C2654" w:rsidRPr="000F62A5">
        <w:rPr>
          <w:rFonts w:asciiTheme="minorHAnsi" w:eastAsiaTheme="minorHAnsi" w:hAnsiTheme="minorHAnsi" w:cstheme="minorBidi"/>
          <w:sz w:val="22"/>
          <w:szCs w:val="22"/>
        </w:rPr>
        <w:t xml:space="preserve"> </w:t>
      </w:r>
      <w:r w:rsidRPr="000F62A5">
        <w:rPr>
          <w:rFonts w:asciiTheme="minorHAnsi" w:eastAsiaTheme="minorHAnsi" w:hAnsiTheme="minorHAnsi" w:cstheme="minorBidi"/>
          <w:sz w:val="22"/>
          <w:szCs w:val="22"/>
        </w:rPr>
        <w:t>previously approved DoN Project</w:t>
      </w:r>
      <w:r w:rsidR="003C2654">
        <w:rPr>
          <w:rFonts w:asciiTheme="minorHAnsi" w:eastAsiaTheme="minorHAnsi" w:hAnsiTheme="minorHAnsi" w:cstheme="minorBidi"/>
          <w:sz w:val="22"/>
          <w:szCs w:val="22"/>
        </w:rPr>
        <w:t xml:space="preserve"> at </w:t>
      </w:r>
      <w:proofErr w:type="spellStart"/>
      <w:r w:rsidR="003C2654" w:rsidRPr="000F62A5">
        <w:rPr>
          <w:rFonts w:asciiTheme="minorHAnsi" w:eastAsiaTheme="minorHAnsi" w:hAnsiTheme="minorHAnsi" w:cstheme="minorBidi"/>
          <w:sz w:val="22"/>
          <w:szCs w:val="22"/>
        </w:rPr>
        <w:t>Baystate</w:t>
      </w:r>
      <w:proofErr w:type="spellEnd"/>
      <w:r w:rsidR="003C2654" w:rsidRPr="000F62A5">
        <w:rPr>
          <w:rFonts w:asciiTheme="minorHAnsi" w:eastAsiaTheme="minorHAnsi" w:hAnsiTheme="minorHAnsi" w:cstheme="minorBidi"/>
          <w:sz w:val="22"/>
          <w:szCs w:val="22"/>
        </w:rPr>
        <w:t xml:space="preserve"> Medical Center (Baystate) in Springfield MA</w:t>
      </w:r>
      <w:r w:rsidRPr="000F62A5">
        <w:rPr>
          <w:rFonts w:asciiTheme="minorHAnsi" w:eastAsiaTheme="minorHAnsi" w:hAnsiTheme="minorHAnsi" w:cstheme="minorBidi"/>
          <w:sz w:val="22"/>
          <w:szCs w:val="22"/>
        </w:rPr>
        <w:t>; specifically to replace and construct  1</w:t>
      </w:r>
      <w:r w:rsidR="00D5374A">
        <w:rPr>
          <w:rFonts w:asciiTheme="minorHAnsi" w:eastAsiaTheme="minorHAnsi" w:hAnsiTheme="minorHAnsi" w:cstheme="minorBidi"/>
          <w:sz w:val="22"/>
          <w:szCs w:val="22"/>
        </w:rPr>
        <w:t>7</w:t>
      </w:r>
      <w:r w:rsidRPr="000F62A5">
        <w:rPr>
          <w:rFonts w:asciiTheme="minorHAnsi" w:eastAsiaTheme="minorHAnsi" w:hAnsiTheme="minorHAnsi" w:cstheme="minorBidi"/>
          <w:sz w:val="22"/>
          <w:szCs w:val="22"/>
        </w:rPr>
        <w:t xml:space="preserve"> operating rooms and support space, add two interventional procedure rooms and one computed tomography unit, through a build-out of shell space in </w:t>
      </w:r>
      <w:proofErr w:type="spellStart"/>
      <w:r w:rsidRPr="000F62A5">
        <w:rPr>
          <w:rFonts w:asciiTheme="minorHAnsi" w:eastAsiaTheme="minorHAnsi" w:hAnsiTheme="minorHAnsi" w:cstheme="minorBidi"/>
          <w:sz w:val="22"/>
          <w:szCs w:val="22"/>
        </w:rPr>
        <w:t>Baystate’s</w:t>
      </w:r>
      <w:proofErr w:type="spellEnd"/>
      <w:r w:rsidRPr="000F62A5">
        <w:rPr>
          <w:rFonts w:asciiTheme="minorHAnsi" w:eastAsiaTheme="minorHAnsi" w:hAnsiTheme="minorHAnsi" w:cstheme="minorBidi"/>
          <w:sz w:val="22"/>
          <w:szCs w:val="22"/>
        </w:rPr>
        <w:t xml:space="preserve"> DoN approved seven-story addition (Addition) at 759 Chestnut Street, in Springfield. This approval incorporates the Memorandum to the Public Health Council (Memorandum) and the Public Health Council proceedings concerning this Request. </w:t>
      </w:r>
    </w:p>
    <w:p w:rsidR="000F62A5" w:rsidRPr="000F62A5" w:rsidRDefault="000F62A5" w:rsidP="000F62A5">
      <w:pPr>
        <w:spacing w:after="200" w:line="276" w:lineRule="auto"/>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Based upon a review of the materials submitted the Department found that this Request falls within the definition of Significant Change that includes “… Any build out of shell space that was subject to a Notice of Determination of Need” and that the proposed change is both within the scope of the Notice of Determination of Need and is reasonable. </w:t>
      </w:r>
    </w:p>
    <w:p w:rsidR="000F62A5" w:rsidRPr="000F62A5" w:rsidRDefault="000F62A5" w:rsidP="000F62A5">
      <w:pPr>
        <w:spacing w:after="200" w:line="276" w:lineRule="auto"/>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Under 100.635(a</w:t>
      </w:r>
      <w:proofErr w:type="gramStart"/>
      <w:r w:rsidRPr="000F62A5">
        <w:rPr>
          <w:rFonts w:asciiTheme="minorHAnsi" w:eastAsiaTheme="minorHAnsi" w:hAnsiTheme="minorHAnsi" w:cstheme="minorBidi"/>
          <w:sz w:val="22"/>
          <w:szCs w:val="22"/>
        </w:rPr>
        <w:t>)(</w:t>
      </w:r>
      <w:proofErr w:type="gramEnd"/>
      <w:r w:rsidRPr="000F62A5">
        <w:rPr>
          <w:rFonts w:asciiTheme="minorHAnsi" w:eastAsiaTheme="minorHAnsi" w:hAnsiTheme="minorHAnsi" w:cstheme="minorBidi"/>
          <w:sz w:val="22"/>
          <w:szCs w:val="22"/>
        </w:rPr>
        <w:t>3)”… Final Actions may include additional terms and Conditions to be attached to the Notice of Determination of Need.” This approval is conditioned as described in the Memorandum, a copy of which is attached hereto and made a part hereof.</w:t>
      </w:r>
      <w:r w:rsidRPr="000F62A5">
        <w:rPr>
          <w:rFonts w:asciiTheme="minorHAnsi" w:eastAsiaTheme="minorHAnsi" w:hAnsiTheme="minorHAnsi" w:cstheme="minorBidi"/>
          <w:sz w:val="22"/>
          <w:szCs w:val="22"/>
          <w:lang w:bidi="en-US"/>
        </w:rPr>
        <w:t xml:space="preserve"> All other conditions in DoN 1-3B36 and subsequent Amendments remain in effect.</w:t>
      </w:r>
    </w:p>
    <w:p w:rsidR="000F62A5" w:rsidRPr="000F62A5" w:rsidRDefault="000F62A5" w:rsidP="000F62A5">
      <w:pPr>
        <w:spacing w:after="200" w:line="276" w:lineRule="auto"/>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lastRenderedPageBreak/>
        <w:t xml:space="preserve">In compliance with the provisions of 105 CMR 100.310 A (2) and (11) </w:t>
      </w:r>
      <w:r w:rsidR="003C2654">
        <w:rPr>
          <w:rFonts w:asciiTheme="minorHAnsi" w:eastAsiaTheme="minorHAnsi" w:hAnsiTheme="minorHAnsi" w:cstheme="minorBidi"/>
          <w:sz w:val="22"/>
          <w:szCs w:val="22"/>
        </w:rPr>
        <w:t>Baystate Health, Inc. (</w:t>
      </w:r>
      <w:r w:rsidRPr="000F62A5">
        <w:rPr>
          <w:rFonts w:asciiTheme="minorHAnsi" w:eastAsiaTheme="minorHAnsi" w:hAnsiTheme="minorHAnsi" w:cstheme="minorBidi"/>
          <w:sz w:val="22"/>
          <w:szCs w:val="22"/>
        </w:rPr>
        <w:t>the Holder</w:t>
      </w:r>
      <w:r w:rsidR="003C2654">
        <w:rPr>
          <w:rFonts w:asciiTheme="minorHAnsi" w:eastAsiaTheme="minorHAnsi" w:hAnsiTheme="minorHAnsi" w:cstheme="minorBidi"/>
          <w:sz w:val="22"/>
          <w:szCs w:val="22"/>
        </w:rPr>
        <w:t>)</w:t>
      </w:r>
      <w:r w:rsidRPr="000F62A5">
        <w:rPr>
          <w:rFonts w:asciiTheme="minorHAnsi" w:eastAsiaTheme="minorHAnsi" w:hAnsiTheme="minorHAnsi" w:cstheme="minorBidi"/>
          <w:sz w:val="22"/>
          <w:szCs w:val="22"/>
        </w:rPr>
        <w:t xml:space="preserve"> shall submit an acknowledgment of receipt to the Department (attached) and also include a written attestation of participation or intent to participate in MassHealth.</w:t>
      </w:r>
    </w:p>
    <w:p w:rsidR="000F62A5" w:rsidRDefault="000F62A5" w:rsidP="000F62A5">
      <w:pPr>
        <w:spacing w:after="200" w:line="276" w:lineRule="auto"/>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Finally, to comply with the obligation to contribute to the Statewide Community Health Initiative, , please submit a check for </w:t>
      </w:r>
      <w:r w:rsidRPr="000F62A5">
        <w:rPr>
          <w:rFonts w:asciiTheme="minorHAnsi" w:eastAsiaTheme="minorHAnsi" w:hAnsiTheme="minorHAnsi" w:cstheme="minorBidi"/>
          <w:sz w:val="22"/>
          <w:szCs w:val="22"/>
          <w:lang w:bidi="en-US"/>
        </w:rPr>
        <w:t>$</w:t>
      </w:r>
      <w:r w:rsidR="0094366E">
        <w:rPr>
          <w:rFonts w:asciiTheme="minorHAnsi" w:eastAsiaTheme="minorHAnsi" w:hAnsiTheme="minorHAnsi" w:cstheme="minorBidi"/>
          <w:sz w:val="22"/>
          <w:szCs w:val="22"/>
          <w:lang w:bidi="en-US"/>
        </w:rPr>
        <w:t>847,314</w:t>
      </w:r>
      <w:r w:rsidRPr="000F62A5">
        <w:rPr>
          <w:rFonts w:asciiTheme="minorHAnsi" w:eastAsiaTheme="minorHAnsi" w:hAnsiTheme="minorHAnsi" w:cstheme="minorBidi"/>
          <w:sz w:val="22"/>
          <w:szCs w:val="22"/>
          <w:lang w:bidi="en-US"/>
        </w:rPr>
        <w:t xml:space="preserve"> </w:t>
      </w:r>
      <w:r w:rsidRPr="000F62A5">
        <w:rPr>
          <w:rFonts w:asciiTheme="minorHAnsi" w:eastAsiaTheme="minorHAnsi" w:hAnsiTheme="minorHAnsi" w:cstheme="minorBidi"/>
          <w:sz w:val="22"/>
          <w:szCs w:val="22"/>
        </w:rPr>
        <w:t xml:space="preserve">to Health Resources in Action (the fiscal agent for the CHI Statewide Initiative) within 30 days from the date of this Notice of Approval. Please notify DPH (CHI contact staff) when the payment has been made. Payment should be sent to: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Health Resources in Action, Inc., (HRiA)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2 Boylston Street, 4th Floor</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Boston, MA 02116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Attn: Ms. Bora Toro</w:t>
      </w:r>
    </w:p>
    <w:p w:rsidR="000F62A5" w:rsidRPr="000F62A5" w:rsidRDefault="000F62A5" w:rsidP="000F62A5">
      <w:pPr>
        <w:rPr>
          <w:rFonts w:asciiTheme="minorHAnsi" w:eastAsiaTheme="minorHAnsi" w:hAnsiTheme="minorHAnsi" w:cstheme="minorBidi"/>
          <w:sz w:val="22"/>
          <w:szCs w:val="22"/>
        </w:rPr>
      </w:pPr>
    </w:p>
    <w:p w:rsidR="00A83C34" w:rsidRDefault="00A83C34" w:rsidP="000F62A5">
      <w:pPr>
        <w:rPr>
          <w:rFonts w:asciiTheme="minorHAnsi" w:eastAsiaTheme="minorHAnsi" w:hAnsiTheme="minorHAnsi" w:cstheme="minorBidi"/>
          <w:sz w:val="22"/>
          <w:szCs w:val="22"/>
        </w:rPr>
      </w:pPr>
    </w:p>
    <w:p w:rsid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Sincerely,</w:t>
      </w:r>
    </w:p>
    <w:p w:rsidR="00D5374A" w:rsidRPr="000F62A5" w:rsidRDefault="00D5374A" w:rsidP="000F62A5">
      <w:pPr>
        <w:rPr>
          <w:rFonts w:asciiTheme="minorHAnsi" w:eastAsiaTheme="minorHAnsi" w:hAnsiTheme="minorHAnsi" w:cstheme="minorBidi"/>
          <w:sz w:val="22"/>
          <w:szCs w:val="22"/>
        </w:rPr>
      </w:pPr>
    </w:p>
    <w:p w:rsidR="000F62A5" w:rsidRPr="000F62A5" w:rsidRDefault="00D5374A" w:rsidP="000F62A5">
      <w:pPr>
        <w:rPr>
          <w:rFonts w:asciiTheme="minorHAnsi" w:eastAsiaTheme="minorHAnsi" w:hAnsiTheme="minorHAnsi" w:cstheme="minorBidi"/>
          <w:sz w:val="22"/>
          <w:szCs w:val="22"/>
        </w:rPr>
      </w:pPr>
      <w:r w:rsidRPr="00D5374A">
        <w:rPr>
          <w:rFonts w:asciiTheme="minorHAnsi" w:eastAsiaTheme="minorHAnsi" w:hAnsiTheme="minorHAnsi" w:cstheme="minorBidi"/>
          <w:noProof/>
          <w:sz w:val="22"/>
          <w:szCs w:val="22"/>
        </w:rPr>
        <w:drawing>
          <wp:inline distT="0" distB="0" distL="0" distR="0" wp14:anchorId="6616D904" wp14:editId="159055DB">
            <wp:extent cx="1397783" cy="4143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56420" cy="431719"/>
                    </a:xfrm>
                    <a:prstGeom prst="rect">
                      <a:avLst/>
                    </a:prstGeom>
                  </pic:spPr>
                </pic:pic>
              </a:graphicData>
            </a:graphic>
          </wp:inline>
        </w:drawing>
      </w:r>
    </w:p>
    <w:p w:rsidR="000F62A5" w:rsidRPr="000F62A5" w:rsidRDefault="000F62A5" w:rsidP="000F62A5">
      <w:pPr>
        <w:rPr>
          <w:rFonts w:asciiTheme="minorHAnsi" w:eastAsiaTheme="minorHAnsi" w:hAnsiTheme="minorHAnsi" w:cstheme="minorBidi"/>
          <w:sz w:val="22"/>
          <w:szCs w:val="22"/>
        </w:rPr>
      </w:pP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Lara Szent-Gyorgyi</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Director, Determination of Need Program</w:t>
      </w:r>
    </w:p>
    <w:p w:rsidR="000F62A5" w:rsidRPr="000F62A5" w:rsidRDefault="000F62A5" w:rsidP="000F62A5">
      <w:pPr>
        <w:rPr>
          <w:rFonts w:asciiTheme="minorHAnsi" w:eastAsiaTheme="minorHAnsi" w:hAnsiTheme="minorHAnsi" w:cstheme="minorBidi"/>
          <w:sz w:val="22"/>
          <w:szCs w:val="22"/>
        </w:rPr>
      </w:pPr>
    </w:p>
    <w:p w:rsidR="000F62A5" w:rsidRPr="000F62A5" w:rsidRDefault="000F62A5" w:rsidP="000F62A5">
      <w:pPr>
        <w:rPr>
          <w:rFonts w:asciiTheme="minorHAnsi" w:eastAsiaTheme="minorHAnsi" w:hAnsiTheme="minorHAnsi" w:cstheme="minorBidi"/>
          <w:sz w:val="22"/>
          <w:szCs w:val="22"/>
        </w:rPr>
      </w:pPr>
    </w:p>
    <w:p w:rsidR="000F62A5" w:rsidRPr="000F62A5" w:rsidRDefault="000F62A5" w:rsidP="000F62A5">
      <w:pPr>
        <w:rPr>
          <w:rFonts w:asciiTheme="minorHAnsi" w:eastAsiaTheme="minorHAnsi" w:hAnsiTheme="minorHAnsi" w:cstheme="minorBidi"/>
          <w:sz w:val="22"/>
          <w:szCs w:val="22"/>
        </w:rPr>
      </w:pPr>
    </w:p>
    <w:p w:rsidR="000F62A5" w:rsidRPr="000F62A5" w:rsidRDefault="000F62A5" w:rsidP="000F62A5">
      <w:pPr>
        <w:rPr>
          <w:rFonts w:asciiTheme="minorHAnsi" w:eastAsiaTheme="minorHAnsi" w:hAnsiTheme="minorHAnsi" w:cstheme="minorBidi"/>
          <w:sz w:val="22"/>
          <w:szCs w:val="22"/>
        </w:rPr>
        <w:sectPr w:rsidR="000F62A5" w:rsidRPr="000F62A5" w:rsidSect="00C46CA9">
          <w:footerReference w:type="default" r:id="rId11"/>
          <w:type w:val="continuous"/>
          <w:pgSz w:w="12240" w:h="15840"/>
          <w:pgMar w:top="1440" w:right="990" w:bottom="360" w:left="900" w:header="720" w:footer="720" w:gutter="0"/>
          <w:cols w:space="720"/>
        </w:sectPr>
      </w:pPr>
      <w:r w:rsidRPr="000F62A5">
        <w:rPr>
          <w:rFonts w:asciiTheme="minorHAnsi" w:eastAsiaTheme="minorHAnsi" w:hAnsiTheme="minorHAnsi" w:cstheme="minorBidi"/>
          <w:sz w:val="22"/>
          <w:szCs w:val="22"/>
        </w:rPr>
        <w:t xml:space="preserve">cc: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lastRenderedPageBreak/>
        <w:t xml:space="preserve">Elizabeth D. Kelley, Director, Bureau of Health Care Safety and Quality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Sherman Lohnes, Director, Division of Health Care Facility Licensure and Certification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Rebecca Rodman, Deputy General Counsel </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Daniel Gent, Health Care Facility Licensure and Certification</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Ben Wood, Director, Division of Community Health Planning and Engagement</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Samuel Louis, Health Care Interpretive Services Coordinator</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Suzanne Barry, Manager Health Care Finance, Center for Health Information and Analysis</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 xml:space="preserve">Pavel </w:t>
      </w:r>
      <w:proofErr w:type="spellStart"/>
      <w:r w:rsidRPr="000F62A5">
        <w:rPr>
          <w:rFonts w:asciiTheme="minorHAnsi" w:eastAsiaTheme="minorHAnsi" w:hAnsiTheme="minorHAnsi" w:cstheme="minorBidi"/>
          <w:sz w:val="22"/>
          <w:szCs w:val="22"/>
        </w:rPr>
        <w:t>Terpelets</w:t>
      </w:r>
      <w:proofErr w:type="spellEnd"/>
      <w:r w:rsidRPr="000F62A5">
        <w:rPr>
          <w:rFonts w:asciiTheme="minorHAnsi" w:eastAsiaTheme="minorHAnsi" w:hAnsiTheme="minorHAnsi" w:cstheme="minorBidi"/>
          <w:sz w:val="22"/>
          <w:szCs w:val="22"/>
        </w:rPr>
        <w:t>, Deputy Director of Institutional Programs OLTSS, MassHealth</w:t>
      </w:r>
    </w:p>
    <w:p w:rsidR="000F62A5" w:rsidRPr="000F62A5" w:rsidRDefault="000F62A5" w:rsidP="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Katherine Mills, Health Policy Commission</w:t>
      </w:r>
    </w:p>
    <w:p w:rsidR="00A83C34" w:rsidRDefault="000F62A5">
      <w:pPr>
        <w:rPr>
          <w:rFonts w:asciiTheme="minorHAnsi" w:eastAsiaTheme="minorHAnsi" w:hAnsiTheme="minorHAnsi" w:cstheme="minorBidi"/>
          <w:sz w:val="22"/>
          <w:szCs w:val="22"/>
        </w:rPr>
      </w:pPr>
      <w:r w:rsidRPr="000F62A5">
        <w:rPr>
          <w:rFonts w:asciiTheme="minorHAnsi" w:eastAsiaTheme="minorHAnsi" w:hAnsiTheme="minorHAnsi" w:cstheme="minorBidi"/>
          <w:sz w:val="22"/>
          <w:szCs w:val="22"/>
        </w:rPr>
        <w:t>Eric Gold, Office of the Attorney General</w:t>
      </w:r>
      <w:r w:rsidR="00A83C34">
        <w:rPr>
          <w:rFonts w:asciiTheme="minorHAnsi" w:eastAsiaTheme="minorHAnsi" w:hAnsiTheme="minorHAnsi" w:cstheme="minorBidi"/>
          <w:sz w:val="22"/>
          <w:szCs w:val="22"/>
        </w:rPr>
        <w:br w:type="page"/>
      </w:r>
    </w:p>
    <w:p w:rsidR="0094366E" w:rsidRPr="0094366E" w:rsidRDefault="0094366E" w:rsidP="0094366E">
      <w:pPr>
        <w:widowControl w:val="0"/>
        <w:autoSpaceDE w:val="0"/>
        <w:autoSpaceDN w:val="0"/>
        <w:spacing w:before="19"/>
        <w:ind w:left="2778"/>
        <w:rPr>
          <w:rFonts w:ascii="Calibri" w:eastAsia="Calibri" w:hAnsi="Calibri" w:cs="Calibri"/>
          <w:b/>
          <w:sz w:val="28"/>
          <w:szCs w:val="22"/>
          <w:lang w:bidi="en-US"/>
        </w:rPr>
      </w:pPr>
      <w:r w:rsidRPr="0094366E">
        <w:rPr>
          <w:rFonts w:ascii="Calibri" w:eastAsia="Calibri" w:hAnsi="Calibri" w:cs="Calibri"/>
          <w:b/>
          <w:sz w:val="28"/>
          <w:szCs w:val="22"/>
          <w:lang w:bidi="en-US"/>
        </w:rPr>
        <w:lastRenderedPageBreak/>
        <w:t>Memorandum to the Public Health Council</w:t>
      </w:r>
    </w:p>
    <w:p w:rsidR="0094366E" w:rsidRPr="0094366E" w:rsidRDefault="0094366E" w:rsidP="0094366E">
      <w:pPr>
        <w:widowControl w:val="0"/>
        <w:autoSpaceDE w:val="0"/>
        <w:autoSpaceDN w:val="0"/>
        <w:spacing w:before="11"/>
        <w:rPr>
          <w:rFonts w:ascii="Calibri" w:eastAsia="Calibri" w:hAnsi="Calibri" w:cs="Calibri"/>
          <w:b/>
          <w:sz w:val="23"/>
          <w:szCs w:val="22"/>
          <w:lang w:bidi="en-US"/>
        </w:rPr>
      </w:pPr>
    </w:p>
    <w:p w:rsidR="0094366E" w:rsidRPr="0094366E" w:rsidRDefault="0094366E" w:rsidP="0094366E">
      <w:pPr>
        <w:widowControl w:val="0"/>
        <w:autoSpaceDE w:val="0"/>
        <w:autoSpaceDN w:val="0"/>
        <w:ind w:left="900"/>
        <w:rPr>
          <w:rFonts w:ascii="Calibri" w:eastAsia="Calibri" w:hAnsi="Calibri" w:cs="Calibri"/>
          <w:szCs w:val="22"/>
          <w:lang w:bidi="en-US"/>
        </w:rPr>
      </w:pPr>
      <w:r w:rsidRPr="0094366E">
        <w:rPr>
          <w:rFonts w:ascii="Calibri" w:eastAsia="Calibri" w:hAnsi="Calibri" w:cs="Calibri"/>
          <w:b/>
          <w:szCs w:val="22"/>
          <w:lang w:bidi="en-US"/>
        </w:rPr>
        <w:t xml:space="preserve">APPLICANT: </w:t>
      </w:r>
      <w:r w:rsidRPr="0094366E">
        <w:rPr>
          <w:rFonts w:ascii="Calibri" w:eastAsia="Calibri" w:hAnsi="Calibri" w:cs="Calibri"/>
          <w:szCs w:val="22"/>
          <w:lang w:bidi="en-US"/>
        </w:rPr>
        <w:t>Baystate Medical Center</w:t>
      </w:r>
    </w:p>
    <w:p w:rsidR="0094366E" w:rsidRPr="0094366E" w:rsidRDefault="0094366E" w:rsidP="0094366E">
      <w:pPr>
        <w:widowControl w:val="0"/>
        <w:autoSpaceDE w:val="0"/>
        <w:autoSpaceDN w:val="0"/>
        <w:spacing w:before="2"/>
        <w:ind w:left="2160"/>
        <w:rPr>
          <w:rFonts w:ascii="Calibri" w:eastAsia="Calibri" w:hAnsi="Calibri" w:cs="Calibri"/>
          <w:szCs w:val="22"/>
          <w:lang w:bidi="en-US"/>
        </w:rPr>
      </w:pPr>
      <w:r w:rsidRPr="0094366E">
        <w:rPr>
          <w:rFonts w:ascii="Calibri" w:eastAsia="Calibri" w:hAnsi="Calibri" w:cs="Calibri"/>
          <w:szCs w:val="22"/>
          <w:lang w:bidi="en-US"/>
        </w:rPr>
        <w:t>759 Chestnut Street</w:t>
      </w:r>
    </w:p>
    <w:p w:rsidR="0094366E" w:rsidRPr="0094366E" w:rsidRDefault="0094366E" w:rsidP="0094366E">
      <w:pPr>
        <w:widowControl w:val="0"/>
        <w:autoSpaceDE w:val="0"/>
        <w:autoSpaceDN w:val="0"/>
        <w:ind w:left="2160"/>
        <w:rPr>
          <w:rFonts w:ascii="Calibri" w:eastAsia="Calibri" w:hAnsi="Calibri" w:cs="Calibri"/>
          <w:szCs w:val="22"/>
          <w:lang w:bidi="en-US"/>
        </w:rPr>
      </w:pPr>
      <w:r w:rsidRPr="0094366E">
        <w:rPr>
          <w:rFonts w:ascii="Calibri" w:eastAsia="Calibri" w:hAnsi="Calibri" w:cs="Calibri"/>
          <w:szCs w:val="22"/>
          <w:lang w:bidi="en-US"/>
        </w:rPr>
        <w:t>Springfield, MA 01199</w:t>
      </w:r>
    </w:p>
    <w:p w:rsidR="0094366E" w:rsidRPr="0094366E" w:rsidRDefault="0094366E" w:rsidP="0094366E">
      <w:pPr>
        <w:widowControl w:val="0"/>
        <w:autoSpaceDE w:val="0"/>
        <w:autoSpaceDN w:val="0"/>
        <w:ind w:left="900"/>
        <w:rPr>
          <w:rFonts w:ascii="Calibri" w:eastAsia="Calibri" w:hAnsi="Calibri" w:cs="Calibri"/>
          <w:szCs w:val="22"/>
          <w:lang w:bidi="en-US"/>
        </w:rPr>
      </w:pPr>
    </w:p>
    <w:p w:rsidR="0094366E" w:rsidRPr="0094366E" w:rsidRDefault="0094366E" w:rsidP="0094366E">
      <w:pPr>
        <w:widowControl w:val="0"/>
        <w:autoSpaceDE w:val="0"/>
        <w:autoSpaceDN w:val="0"/>
        <w:ind w:left="900"/>
        <w:rPr>
          <w:rFonts w:ascii="Calibri" w:eastAsia="Calibri" w:hAnsi="Calibri" w:cs="Calibri"/>
          <w:szCs w:val="22"/>
          <w:lang w:bidi="en-US"/>
        </w:rPr>
      </w:pPr>
      <w:r w:rsidRPr="0094366E">
        <w:rPr>
          <w:rFonts w:ascii="Calibri" w:eastAsia="Calibri" w:hAnsi="Calibri" w:cs="Calibri"/>
          <w:b/>
          <w:szCs w:val="22"/>
          <w:lang w:bidi="en-US"/>
        </w:rPr>
        <w:t xml:space="preserve">PROJECT NUMBER: </w:t>
      </w:r>
      <w:r w:rsidRPr="0094366E">
        <w:rPr>
          <w:rFonts w:ascii="Calibri" w:eastAsia="Calibri" w:hAnsi="Calibri" w:cs="Calibri"/>
          <w:szCs w:val="22"/>
          <w:lang w:bidi="en-US"/>
        </w:rPr>
        <w:t>1-3B36.8 (Significant Change)</w:t>
      </w:r>
    </w:p>
    <w:p w:rsidR="0094366E" w:rsidRPr="0094366E" w:rsidRDefault="0094366E" w:rsidP="0094366E">
      <w:pPr>
        <w:widowControl w:val="0"/>
        <w:autoSpaceDE w:val="0"/>
        <w:autoSpaceDN w:val="0"/>
        <w:spacing w:before="11"/>
        <w:ind w:left="900"/>
        <w:rPr>
          <w:rFonts w:ascii="Calibri" w:eastAsia="Calibri" w:hAnsi="Calibri" w:cs="Calibri"/>
          <w:sz w:val="23"/>
          <w:szCs w:val="22"/>
          <w:lang w:bidi="en-US"/>
        </w:rPr>
      </w:pPr>
      <w:r w:rsidRPr="0094366E">
        <w:rPr>
          <w:rFonts w:ascii="Calibri" w:eastAsia="Calibri" w:hAnsi="Calibri" w:cs="Calibri"/>
          <w:sz w:val="23"/>
          <w:szCs w:val="22"/>
          <w:lang w:bidi="en-US"/>
        </w:rPr>
        <w:tab/>
      </w:r>
      <w:r w:rsidRPr="0094366E">
        <w:rPr>
          <w:rFonts w:ascii="Calibri" w:eastAsia="Calibri" w:hAnsi="Calibri" w:cs="Calibri"/>
          <w:sz w:val="23"/>
          <w:szCs w:val="22"/>
          <w:lang w:bidi="en-US"/>
        </w:rPr>
        <w:tab/>
        <w:t xml:space="preserve">             BH-20062607-AM</w:t>
      </w:r>
    </w:p>
    <w:p w:rsidR="0094366E" w:rsidRPr="0094366E" w:rsidRDefault="0094366E" w:rsidP="0094366E">
      <w:pPr>
        <w:widowControl w:val="0"/>
        <w:autoSpaceDE w:val="0"/>
        <w:autoSpaceDN w:val="0"/>
        <w:spacing w:before="11"/>
        <w:ind w:left="900"/>
        <w:rPr>
          <w:rFonts w:ascii="Calibri" w:eastAsia="Calibri" w:hAnsi="Calibri" w:cs="Calibri"/>
          <w:sz w:val="23"/>
          <w:szCs w:val="22"/>
          <w:lang w:bidi="en-US"/>
        </w:rPr>
      </w:pPr>
    </w:p>
    <w:p w:rsidR="0094366E" w:rsidRPr="0094366E" w:rsidRDefault="0094366E" w:rsidP="0094366E">
      <w:pPr>
        <w:widowControl w:val="0"/>
        <w:autoSpaceDE w:val="0"/>
        <w:autoSpaceDN w:val="0"/>
        <w:spacing w:before="1"/>
        <w:ind w:left="900"/>
        <w:rPr>
          <w:rFonts w:ascii="Calibri" w:eastAsia="Calibri" w:hAnsi="Calibri" w:cs="Calibri"/>
          <w:szCs w:val="22"/>
          <w:lang w:bidi="en-US"/>
        </w:rPr>
      </w:pPr>
      <w:r w:rsidRPr="0094366E">
        <w:rPr>
          <w:rFonts w:ascii="Calibri" w:eastAsia="Calibri" w:hAnsi="Calibri" w:cs="Calibri"/>
          <w:b/>
          <w:szCs w:val="22"/>
          <w:lang w:bidi="en-US"/>
        </w:rPr>
        <w:t xml:space="preserve">Filing DATE: </w:t>
      </w:r>
      <w:r w:rsidRPr="0094366E">
        <w:rPr>
          <w:rFonts w:ascii="Calibri" w:eastAsia="Calibri" w:hAnsi="Calibri" w:cs="Calibri"/>
          <w:szCs w:val="22"/>
          <w:lang w:bidi="en-US"/>
        </w:rPr>
        <w:t>October 14, 2020</w:t>
      </w:r>
    </w:p>
    <w:p w:rsidR="0094366E" w:rsidRPr="0094366E" w:rsidRDefault="0094366E" w:rsidP="0094366E">
      <w:pPr>
        <w:widowControl w:val="0"/>
        <w:autoSpaceDE w:val="0"/>
        <w:autoSpaceDN w:val="0"/>
        <w:spacing w:before="11"/>
        <w:ind w:left="900"/>
        <w:rPr>
          <w:rFonts w:ascii="Calibri" w:eastAsia="Calibri" w:hAnsi="Calibri" w:cs="Calibri"/>
          <w:sz w:val="23"/>
          <w:szCs w:val="22"/>
          <w:lang w:bidi="en-US"/>
        </w:rPr>
      </w:pPr>
    </w:p>
    <w:p w:rsidR="0094366E" w:rsidRPr="0094366E" w:rsidRDefault="0094366E" w:rsidP="0094366E">
      <w:pPr>
        <w:widowControl w:val="0"/>
        <w:autoSpaceDE w:val="0"/>
        <w:autoSpaceDN w:val="0"/>
        <w:spacing w:before="1"/>
        <w:ind w:left="900"/>
        <w:outlineLvl w:val="0"/>
        <w:rPr>
          <w:rFonts w:ascii="Calibri" w:eastAsia="Calibri" w:hAnsi="Calibri" w:cs="Calibri"/>
          <w:b/>
          <w:bCs/>
          <w:szCs w:val="24"/>
          <w:u w:color="000000"/>
          <w:lang w:bidi="en-US"/>
        </w:rPr>
      </w:pPr>
      <w:r w:rsidRPr="0094366E">
        <w:rPr>
          <w:rFonts w:ascii="Calibri" w:eastAsia="Calibri" w:hAnsi="Calibri" w:cs="Calibri"/>
          <w:b/>
          <w:bCs/>
          <w:szCs w:val="24"/>
          <w:u w:val="single" w:color="000000"/>
          <w:lang w:bidi="en-US"/>
        </w:rPr>
        <w:t>Introduction</w:t>
      </w:r>
    </w:p>
    <w:p w:rsidR="0094366E" w:rsidRPr="0094366E" w:rsidRDefault="0094366E" w:rsidP="0094366E">
      <w:pPr>
        <w:widowControl w:val="0"/>
        <w:autoSpaceDE w:val="0"/>
        <w:autoSpaceDN w:val="0"/>
        <w:spacing w:before="9"/>
        <w:ind w:left="900"/>
        <w:rPr>
          <w:rFonts w:ascii="Calibri" w:eastAsia="Calibri" w:hAnsi="Calibri" w:cs="Calibri"/>
          <w:b/>
          <w:sz w:val="19"/>
          <w:szCs w:val="22"/>
          <w:lang w:bidi="en-US"/>
        </w:rPr>
      </w:pPr>
    </w:p>
    <w:p w:rsidR="0094366E" w:rsidRPr="0094366E" w:rsidRDefault="0094366E" w:rsidP="0094366E">
      <w:pPr>
        <w:widowControl w:val="0"/>
        <w:autoSpaceDE w:val="0"/>
        <w:autoSpaceDN w:val="0"/>
        <w:spacing w:before="51"/>
        <w:ind w:left="900" w:right="-10"/>
        <w:rPr>
          <w:rFonts w:ascii="Calibri" w:eastAsia="Calibri" w:hAnsi="Calibri" w:cs="Calibri"/>
          <w:szCs w:val="22"/>
          <w:lang w:bidi="en-US"/>
        </w:rPr>
      </w:pPr>
      <w:r w:rsidRPr="0094366E">
        <w:rPr>
          <w:rFonts w:ascii="Calibri" w:eastAsia="Calibri" w:hAnsi="Calibri" w:cs="Calibri"/>
          <w:szCs w:val="22"/>
          <w:lang w:bidi="en-US"/>
        </w:rPr>
        <w:t>This memorandum presents, for Public Health Council (PHC) action, the Determination of Need (DoN) Program’s recommendation pertaining to a request by Baystate Medical Center (Baystate or Holder) in Springfield, MA, for a Significant Change to its previously approved DoN Project (#1-3B36). As described further herein, Baystate seeks approval for a project that includes a total of 82,254 gross square feet (GSF) to continue with the buildout of DoN approved shell space, with associated renovations and minor new construction located at 759 Chestnut Street in Springfield. The proposed project would generate an incremental increase in the maximum capital expenditure of $69,881,577 (March 2020 dollars), and the community health initiatives (CHI) contribution will increase by $3,494,078.</w:t>
      </w:r>
    </w:p>
    <w:p w:rsidR="0094366E" w:rsidRPr="0094366E" w:rsidRDefault="0094366E" w:rsidP="0094366E">
      <w:pPr>
        <w:widowControl w:val="0"/>
        <w:autoSpaceDE w:val="0"/>
        <w:autoSpaceDN w:val="0"/>
        <w:spacing w:before="1"/>
        <w:ind w:left="900" w:right="-10"/>
        <w:rPr>
          <w:rFonts w:ascii="Calibri" w:eastAsia="Calibri" w:hAnsi="Calibri" w:cs="Calibri"/>
          <w:szCs w:val="22"/>
          <w:lang w:bidi="en-US"/>
        </w:rPr>
      </w:pPr>
    </w:p>
    <w:p w:rsidR="0094366E" w:rsidRPr="0094366E" w:rsidRDefault="0094366E" w:rsidP="0094366E">
      <w:pPr>
        <w:widowControl w:val="0"/>
        <w:autoSpaceDE w:val="0"/>
        <w:autoSpaceDN w:val="0"/>
        <w:ind w:left="900" w:right="-10"/>
        <w:rPr>
          <w:rFonts w:ascii="Calibri" w:eastAsia="Calibri" w:hAnsi="Calibri" w:cs="Calibri"/>
          <w:szCs w:val="22"/>
          <w:lang w:bidi="en-US"/>
        </w:rPr>
      </w:pPr>
      <w:r w:rsidRPr="0094366E">
        <w:rPr>
          <w:rFonts w:ascii="Calibri" w:eastAsia="Calibri" w:hAnsi="Calibri" w:cs="Calibri"/>
          <w:szCs w:val="22"/>
          <w:lang w:bidi="en-US"/>
        </w:rPr>
        <w:t>This request falls within the definition for Significant Change that includes “… Any build out of shell space that was subject to a Notice of Determination of Need” and will be reviewed pursuant to 105 C.M.R. 100.635(A), which requires that the proposed change falls within the scope of the Notice of Determination of Need and is reasonable. The Department has received no public comment on this request for Significant Change.</w:t>
      </w:r>
    </w:p>
    <w:p w:rsidR="0094366E" w:rsidRPr="0094366E" w:rsidRDefault="0094366E" w:rsidP="0094366E">
      <w:pPr>
        <w:widowControl w:val="0"/>
        <w:autoSpaceDE w:val="0"/>
        <w:autoSpaceDN w:val="0"/>
        <w:ind w:left="900" w:right="-10"/>
        <w:rPr>
          <w:rFonts w:ascii="Calibri" w:eastAsia="Calibri" w:hAnsi="Calibri" w:cs="Calibri"/>
          <w:szCs w:val="22"/>
          <w:lang w:bidi="en-US"/>
        </w:rPr>
      </w:pPr>
    </w:p>
    <w:p w:rsidR="0094366E" w:rsidRPr="0094366E" w:rsidRDefault="0094366E" w:rsidP="0094366E">
      <w:pPr>
        <w:widowControl w:val="0"/>
        <w:autoSpaceDE w:val="0"/>
        <w:autoSpaceDN w:val="0"/>
        <w:ind w:left="900" w:right="-10"/>
        <w:rPr>
          <w:rFonts w:ascii="Calibri" w:eastAsia="Calibri" w:hAnsi="Calibri" w:cs="Calibri"/>
          <w:b/>
          <w:szCs w:val="22"/>
          <w:u w:val="single"/>
          <w:lang w:bidi="en-US"/>
        </w:rPr>
      </w:pPr>
      <w:r w:rsidRPr="0094366E">
        <w:rPr>
          <w:rFonts w:ascii="Calibri" w:eastAsia="Calibri" w:hAnsi="Calibri" w:cs="Calibri"/>
          <w:b/>
          <w:szCs w:val="22"/>
          <w:u w:val="single"/>
          <w:lang w:bidi="en-US"/>
        </w:rPr>
        <w:t>Background</w:t>
      </w:r>
    </w:p>
    <w:p w:rsidR="0094366E" w:rsidRPr="0094366E" w:rsidRDefault="0094366E" w:rsidP="0094366E">
      <w:pPr>
        <w:widowControl w:val="0"/>
        <w:autoSpaceDE w:val="0"/>
        <w:autoSpaceDN w:val="0"/>
        <w:rPr>
          <w:rFonts w:ascii="Calibri" w:eastAsia="Calibri" w:hAnsi="Calibri" w:cs="Calibri"/>
          <w:szCs w:val="22"/>
          <w:lang w:bidi="en-US"/>
        </w:rPr>
      </w:pPr>
    </w:p>
    <w:p w:rsidR="0094366E" w:rsidRPr="0094366E" w:rsidRDefault="0094366E" w:rsidP="0094366E">
      <w:pPr>
        <w:widowControl w:val="0"/>
        <w:autoSpaceDE w:val="0"/>
        <w:autoSpaceDN w:val="0"/>
        <w:ind w:left="900" w:right="-10"/>
        <w:rPr>
          <w:rFonts w:ascii="Calibri" w:eastAsia="Calibri" w:hAnsi="Calibri" w:cs="Calibri"/>
          <w:szCs w:val="22"/>
          <w:lang w:bidi="en-US"/>
        </w:rPr>
      </w:pPr>
      <w:r w:rsidRPr="0094366E">
        <w:rPr>
          <w:rFonts w:ascii="Calibri" w:eastAsia="Calibri" w:hAnsi="Calibri" w:cs="Calibri"/>
          <w:szCs w:val="22"/>
          <w:lang w:bidi="en-US"/>
        </w:rPr>
        <w:t xml:space="preserve">Baystate is a licensed 716-bed academic medical center that operates the only Level 1 Trauma Center and the only Pediatric Trauma Center in western Massachusetts. In November 2007, the Department approved a DoN at </w:t>
      </w:r>
      <w:proofErr w:type="spellStart"/>
      <w:r w:rsidRPr="0094366E">
        <w:rPr>
          <w:rFonts w:ascii="Calibri" w:eastAsia="Calibri" w:hAnsi="Calibri" w:cs="Calibri"/>
          <w:szCs w:val="22"/>
          <w:lang w:bidi="en-US"/>
        </w:rPr>
        <w:t>Baystate</w:t>
      </w:r>
      <w:proofErr w:type="spellEnd"/>
      <w:r w:rsidRPr="0094366E">
        <w:rPr>
          <w:rFonts w:ascii="Calibri" w:eastAsia="Calibri" w:hAnsi="Calibri" w:cs="Calibri"/>
          <w:szCs w:val="22"/>
          <w:lang w:bidi="en-US"/>
        </w:rPr>
        <w:t xml:space="preserve"> for construction of an addition at its main campus at 759 Chestnut Street in Springfield, MA - what they called the “Hospital of the Future” (HOF). As part of Baystate’s long-term strategic plan, the approved addition included 295,800 gross square feet (GSF) of shell space to be built out, </w:t>
      </w:r>
      <w:r w:rsidRPr="0094366E">
        <w:rPr>
          <w:rFonts w:ascii="Calibri" w:eastAsia="Calibri" w:hAnsi="Calibri" w:cs="Calibri"/>
          <w:szCs w:val="24"/>
          <w:lang w:bidi="en-US"/>
        </w:rPr>
        <w:t>inclusive of replacement and expansion of clinical ancillary services, over a</w:t>
      </w:r>
      <w:r w:rsidRPr="0094366E">
        <w:rPr>
          <w:rFonts w:ascii="Calibri" w:eastAsia="Calibri" w:hAnsi="Calibri" w:cs="Calibri"/>
          <w:szCs w:val="22"/>
          <w:lang w:bidi="en-US"/>
        </w:rPr>
        <w:t xml:space="preserve"> period of 15 to 20 years. This shell space afforded design flexibility to assure for continued modernization of the physical plant and compliance with current construction standards while meeting the Hospital patients’ changing needs. Since 2007, seven amendments have been approved by the Department, each </w:t>
      </w:r>
      <w:r w:rsidRPr="0094366E">
        <w:rPr>
          <w:rFonts w:ascii="Calibri" w:eastAsia="Calibri" w:hAnsi="Calibri" w:cs="Calibri"/>
          <w:szCs w:val="22"/>
          <w:lang w:bidi="en-US"/>
        </w:rPr>
        <w:lastRenderedPageBreak/>
        <w:t xml:space="preserve">authorizing build-outs designed to meet identified service needs of the Baystate patient panel. The chart below depicts the changes related to the original Approval, the most recent amendment of the HOF build-out and the impact of this Amendment #8 including associated renovations and limited new construction. A brief summary of each amendment is in Attachment 1. </w:t>
      </w:r>
    </w:p>
    <w:p w:rsidR="0094366E" w:rsidRPr="0094366E" w:rsidRDefault="0094366E" w:rsidP="0094366E">
      <w:pPr>
        <w:widowControl w:val="0"/>
        <w:autoSpaceDE w:val="0"/>
        <w:autoSpaceDN w:val="0"/>
        <w:ind w:left="900" w:right="-10"/>
        <w:rPr>
          <w:rFonts w:ascii="Calibri" w:eastAsia="Calibri" w:hAnsi="Calibri" w:cs="Calibri"/>
          <w:szCs w:val="22"/>
          <w:lang w:bidi="en-US"/>
        </w:rPr>
      </w:pPr>
    </w:p>
    <w:tbl>
      <w:tblPr>
        <w:tblW w:w="0" w:type="auto"/>
        <w:jc w:val="center"/>
        <w:tblLayout w:type="fixed"/>
        <w:tblCellMar>
          <w:left w:w="0" w:type="dxa"/>
          <w:right w:w="0" w:type="dxa"/>
        </w:tblCellMar>
        <w:tblLook w:val="01E0" w:firstRow="1" w:lastRow="1" w:firstColumn="1" w:lastColumn="1" w:noHBand="0" w:noVBand="0"/>
      </w:tblPr>
      <w:tblGrid>
        <w:gridCol w:w="1406"/>
        <w:gridCol w:w="1170"/>
        <w:gridCol w:w="1064"/>
        <w:gridCol w:w="1535"/>
        <w:gridCol w:w="1201"/>
        <w:gridCol w:w="1254"/>
        <w:gridCol w:w="1800"/>
      </w:tblGrid>
      <w:tr w:rsidR="0094366E" w:rsidRPr="0094366E" w:rsidTr="0094366E">
        <w:trPr>
          <w:trHeight w:val="262"/>
          <w:jc w:val="center"/>
        </w:trPr>
        <w:tc>
          <w:tcPr>
            <w:tcW w:w="9430" w:type="dxa"/>
            <w:gridSpan w:val="7"/>
            <w:shd w:val="clear" w:color="auto" w:fill="CBD7FD"/>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b/>
                <w:szCs w:val="24"/>
                <w:lang w:bidi="en-US"/>
              </w:rPr>
            </w:pPr>
            <w:r w:rsidRPr="0094366E">
              <w:rPr>
                <w:rFonts w:ascii="Calibri" w:eastAsia="Calibri" w:hAnsi="Calibri" w:cs="Calibri"/>
                <w:b/>
                <w:szCs w:val="24"/>
                <w:u w:val="single"/>
                <w:lang w:bidi="en-US"/>
              </w:rPr>
              <w:t>Summary of the Seven Previous Amendments</w:t>
            </w:r>
          </w:p>
        </w:tc>
      </w:tr>
      <w:tr w:rsidR="0094366E" w:rsidRPr="0094366E" w:rsidTr="0094366E">
        <w:trPr>
          <w:trHeight w:val="262"/>
          <w:jc w:val="center"/>
        </w:trPr>
        <w:tc>
          <w:tcPr>
            <w:tcW w:w="1406" w:type="dxa"/>
            <w:shd w:val="clear" w:color="auto" w:fill="CBD7FD"/>
            <w:vAlign w:val="center"/>
          </w:tcPr>
          <w:p w:rsidR="0094366E" w:rsidRPr="0094366E" w:rsidRDefault="0094366E" w:rsidP="0094366E">
            <w:pPr>
              <w:widowControl w:val="0"/>
              <w:autoSpaceDE w:val="0"/>
              <w:autoSpaceDN w:val="0"/>
              <w:spacing w:before="9"/>
              <w:ind w:right="-10"/>
              <w:rPr>
                <w:rFonts w:ascii="Calibri" w:eastAsia="Calibri" w:hAnsi="Calibri" w:cs="Calibri"/>
                <w:b/>
                <w:sz w:val="20"/>
                <w:lang w:bidi="en-US"/>
              </w:rPr>
            </w:pPr>
          </w:p>
        </w:tc>
        <w:tc>
          <w:tcPr>
            <w:tcW w:w="1170" w:type="dxa"/>
            <w:shd w:val="clear" w:color="auto" w:fill="CBD7FD"/>
            <w:vAlign w:val="center"/>
          </w:tcPr>
          <w:p w:rsidR="0094366E" w:rsidRPr="0094366E" w:rsidRDefault="0094366E" w:rsidP="0094366E">
            <w:pPr>
              <w:widowControl w:val="0"/>
              <w:autoSpaceDE w:val="0"/>
              <w:autoSpaceDN w:val="0"/>
              <w:spacing w:before="9"/>
              <w:ind w:right="-10"/>
              <w:rPr>
                <w:rFonts w:ascii="Calibri" w:eastAsia="Calibri" w:hAnsi="Calibri" w:cs="Calibri"/>
                <w:b/>
                <w:sz w:val="20"/>
                <w:lang w:bidi="en-US"/>
              </w:rPr>
            </w:pPr>
          </w:p>
        </w:tc>
        <w:tc>
          <w:tcPr>
            <w:tcW w:w="1064" w:type="dxa"/>
            <w:shd w:val="clear" w:color="auto" w:fill="CBD7FD"/>
            <w:vAlign w:val="center"/>
          </w:tcPr>
          <w:p w:rsidR="0094366E" w:rsidRPr="0094366E" w:rsidRDefault="0094366E" w:rsidP="0094366E">
            <w:pPr>
              <w:widowControl w:val="0"/>
              <w:autoSpaceDE w:val="0"/>
              <w:autoSpaceDN w:val="0"/>
              <w:spacing w:before="9"/>
              <w:ind w:right="-10"/>
              <w:rPr>
                <w:rFonts w:ascii="Calibri" w:eastAsia="Calibri" w:hAnsi="Calibri" w:cs="Calibri"/>
                <w:b/>
                <w:sz w:val="20"/>
                <w:lang w:bidi="en-US"/>
              </w:rPr>
            </w:pPr>
          </w:p>
        </w:tc>
        <w:tc>
          <w:tcPr>
            <w:tcW w:w="3990" w:type="dxa"/>
            <w:gridSpan w:val="3"/>
            <w:shd w:val="clear" w:color="auto" w:fill="CBD7FD"/>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b/>
                <w:sz w:val="20"/>
                <w:lang w:bidi="en-US"/>
              </w:rPr>
            </w:pPr>
            <w:r w:rsidRPr="0094366E">
              <w:rPr>
                <w:rFonts w:ascii="Calibri" w:eastAsia="Calibri" w:hAnsi="Calibri" w:cs="Calibri"/>
                <w:b/>
                <w:sz w:val="20"/>
                <w:lang w:bidi="en-US"/>
              </w:rPr>
              <w:t>Approved Gross Square Footage (“GSF”)</w:t>
            </w:r>
          </w:p>
        </w:tc>
        <w:tc>
          <w:tcPr>
            <w:tcW w:w="1800" w:type="dxa"/>
            <w:shd w:val="clear" w:color="auto" w:fill="CBD7FD"/>
            <w:vAlign w:val="center"/>
          </w:tcPr>
          <w:p w:rsidR="0094366E" w:rsidRPr="0094366E" w:rsidRDefault="0094366E" w:rsidP="0094366E">
            <w:pPr>
              <w:widowControl w:val="0"/>
              <w:autoSpaceDE w:val="0"/>
              <w:autoSpaceDN w:val="0"/>
              <w:spacing w:before="9"/>
              <w:ind w:right="-10"/>
              <w:rPr>
                <w:rFonts w:ascii="Calibri" w:eastAsia="Calibri" w:hAnsi="Calibri" w:cs="Calibri"/>
                <w:b/>
                <w:sz w:val="20"/>
                <w:lang w:bidi="en-US"/>
              </w:rPr>
            </w:pPr>
          </w:p>
        </w:tc>
      </w:tr>
      <w:tr w:rsidR="0094366E" w:rsidRPr="0094366E" w:rsidTr="0094366E">
        <w:trPr>
          <w:trHeight w:val="469"/>
          <w:jc w:val="center"/>
        </w:trPr>
        <w:tc>
          <w:tcPr>
            <w:tcW w:w="1406" w:type="dxa"/>
            <w:shd w:val="clear" w:color="auto" w:fill="CBD7FD"/>
            <w:vAlign w:val="center"/>
          </w:tcPr>
          <w:p w:rsidR="0094366E" w:rsidRPr="0094366E" w:rsidRDefault="0094366E" w:rsidP="0094366E">
            <w:pPr>
              <w:widowControl w:val="0"/>
              <w:autoSpaceDE w:val="0"/>
              <w:autoSpaceDN w:val="0"/>
              <w:spacing w:before="9"/>
              <w:ind w:right="-10"/>
              <w:jc w:val="center"/>
              <w:rPr>
                <w:rFonts w:ascii="Calibri" w:eastAsia="Calibri" w:hAnsi="Calibri" w:cs="Calibri"/>
                <w:b/>
                <w:sz w:val="20"/>
                <w:lang w:bidi="en-US"/>
              </w:rPr>
            </w:pPr>
          </w:p>
        </w:tc>
        <w:tc>
          <w:tcPr>
            <w:tcW w:w="1170" w:type="dxa"/>
            <w:shd w:val="clear" w:color="auto" w:fill="CBD7FD"/>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Approval</w:t>
            </w:r>
          </w:p>
          <w:p w:rsidR="0094366E" w:rsidRPr="0094366E" w:rsidRDefault="0094366E" w:rsidP="0094366E">
            <w:pPr>
              <w:widowControl w:val="0"/>
              <w:autoSpaceDE w:val="0"/>
              <w:autoSpaceDN w:val="0"/>
              <w:spacing w:before="9"/>
              <w:ind w:right="-10"/>
              <w:jc w:val="center"/>
              <w:rPr>
                <w:rFonts w:ascii="Calibri" w:eastAsia="Calibri" w:hAnsi="Calibri" w:cs="Calibri"/>
                <w:b/>
                <w:sz w:val="20"/>
                <w:lang w:bidi="en-US"/>
              </w:rPr>
            </w:pPr>
            <w:r w:rsidRPr="0094366E">
              <w:rPr>
                <w:rFonts w:ascii="Calibri" w:eastAsia="Calibri" w:hAnsi="Calibri" w:cs="Calibri"/>
                <w:b/>
                <w:sz w:val="22"/>
                <w:szCs w:val="22"/>
                <w:lang w:bidi="en-US"/>
              </w:rPr>
              <w:t>Date</w:t>
            </w:r>
          </w:p>
        </w:tc>
        <w:tc>
          <w:tcPr>
            <w:tcW w:w="1064" w:type="dxa"/>
            <w:shd w:val="clear" w:color="auto" w:fill="CBD7FD"/>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Total GSF</w:t>
            </w:r>
          </w:p>
        </w:tc>
        <w:tc>
          <w:tcPr>
            <w:tcW w:w="1535" w:type="dxa"/>
            <w:shd w:val="clear" w:color="auto" w:fill="CBD7FD"/>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New Const GSF</w:t>
            </w:r>
          </w:p>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(without shell)</w:t>
            </w:r>
          </w:p>
        </w:tc>
        <w:tc>
          <w:tcPr>
            <w:tcW w:w="1201" w:type="dxa"/>
            <w:shd w:val="clear" w:color="auto" w:fill="CBD7FD"/>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Shell Space</w:t>
            </w:r>
          </w:p>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GSF</w:t>
            </w:r>
          </w:p>
        </w:tc>
        <w:tc>
          <w:tcPr>
            <w:tcW w:w="1254" w:type="dxa"/>
            <w:shd w:val="clear" w:color="auto" w:fill="CBD7FD"/>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Renovation</w:t>
            </w:r>
          </w:p>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GSF</w:t>
            </w:r>
          </w:p>
        </w:tc>
        <w:tc>
          <w:tcPr>
            <w:tcW w:w="1800" w:type="dxa"/>
            <w:shd w:val="clear" w:color="auto" w:fill="CBD7FD"/>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Approved</w:t>
            </w:r>
          </w:p>
          <w:p w:rsidR="0094366E" w:rsidRPr="0094366E" w:rsidRDefault="0094366E" w:rsidP="0094366E">
            <w:pPr>
              <w:widowControl w:val="0"/>
              <w:autoSpaceDE w:val="0"/>
              <w:autoSpaceDN w:val="0"/>
              <w:spacing w:before="9"/>
              <w:ind w:right="-10"/>
              <w:jc w:val="center"/>
              <w:rPr>
                <w:rFonts w:ascii="Calibri" w:eastAsia="Calibri" w:hAnsi="Calibri" w:cs="Calibri"/>
                <w:b/>
                <w:sz w:val="22"/>
                <w:szCs w:val="22"/>
                <w:lang w:bidi="en-US"/>
              </w:rPr>
            </w:pPr>
            <w:r w:rsidRPr="0094366E">
              <w:rPr>
                <w:rFonts w:ascii="Calibri" w:eastAsia="Calibri" w:hAnsi="Calibri" w:cs="Calibri"/>
                <w:b/>
                <w:sz w:val="22"/>
                <w:szCs w:val="22"/>
                <w:lang w:bidi="en-US"/>
              </w:rPr>
              <w:t>MCE</w:t>
            </w:r>
          </w:p>
        </w:tc>
      </w:tr>
      <w:tr w:rsidR="0094366E" w:rsidRPr="0094366E" w:rsidTr="0094366E">
        <w:trPr>
          <w:trHeight w:val="262"/>
          <w:jc w:val="center"/>
        </w:trPr>
        <w:tc>
          <w:tcPr>
            <w:tcW w:w="1406" w:type="dxa"/>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DoN #1-3B36</w:t>
            </w:r>
          </w:p>
        </w:tc>
        <w:tc>
          <w:tcPr>
            <w:tcW w:w="1170"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11/2007</w:t>
            </w:r>
          </w:p>
        </w:tc>
        <w:tc>
          <w:tcPr>
            <w:tcW w:w="106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641,250</w:t>
            </w:r>
          </w:p>
        </w:tc>
        <w:tc>
          <w:tcPr>
            <w:tcW w:w="1535"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303,300</w:t>
            </w:r>
          </w:p>
        </w:tc>
        <w:tc>
          <w:tcPr>
            <w:tcW w:w="1201"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295,800</w:t>
            </w:r>
          </w:p>
        </w:tc>
        <w:tc>
          <w:tcPr>
            <w:tcW w:w="125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42,150</w:t>
            </w:r>
          </w:p>
        </w:tc>
        <w:tc>
          <w:tcPr>
            <w:tcW w:w="1800" w:type="dxa"/>
            <w:vAlign w:val="center"/>
            <w:hideMark/>
          </w:tcPr>
          <w:p w:rsidR="0094366E" w:rsidRPr="0094366E" w:rsidRDefault="0094366E" w:rsidP="0094366E">
            <w:pPr>
              <w:widowControl w:val="0"/>
              <w:autoSpaceDE w:val="0"/>
              <w:autoSpaceDN w:val="0"/>
              <w:spacing w:before="9"/>
              <w:ind w:right="-10"/>
              <w:jc w:val="right"/>
              <w:rPr>
                <w:rFonts w:ascii="Calibri" w:eastAsia="Calibri" w:hAnsi="Calibri" w:cs="Calibri"/>
                <w:sz w:val="22"/>
                <w:szCs w:val="22"/>
                <w:lang w:bidi="en-US"/>
              </w:rPr>
            </w:pPr>
            <w:r w:rsidRPr="0094366E">
              <w:rPr>
                <w:rFonts w:ascii="Calibri" w:eastAsia="Calibri" w:hAnsi="Calibri" w:cs="Calibri"/>
                <w:sz w:val="22"/>
                <w:szCs w:val="22"/>
                <w:lang w:bidi="en-US"/>
              </w:rPr>
              <w:t>$239,318,527</w:t>
            </w:r>
          </w:p>
        </w:tc>
      </w:tr>
      <w:tr w:rsidR="0094366E" w:rsidRPr="0094366E" w:rsidTr="0094366E">
        <w:trPr>
          <w:trHeight w:val="244"/>
          <w:jc w:val="center"/>
        </w:trPr>
        <w:tc>
          <w:tcPr>
            <w:tcW w:w="1406" w:type="dxa"/>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Amendment 1</w:t>
            </w:r>
          </w:p>
        </w:tc>
        <w:tc>
          <w:tcPr>
            <w:tcW w:w="1170"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08/2009</w:t>
            </w:r>
          </w:p>
        </w:tc>
        <w:tc>
          <w:tcPr>
            <w:tcW w:w="106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630,504</w:t>
            </w:r>
          </w:p>
        </w:tc>
        <w:tc>
          <w:tcPr>
            <w:tcW w:w="1535"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303,300</w:t>
            </w:r>
          </w:p>
        </w:tc>
        <w:tc>
          <w:tcPr>
            <w:tcW w:w="1201"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282,304</w:t>
            </w:r>
          </w:p>
        </w:tc>
        <w:tc>
          <w:tcPr>
            <w:tcW w:w="125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44,900</w:t>
            </w:r>
          </w:p>
        </w:tc>
        <w:tc>
          <w:tcPr>
            <w:tcW w:w="1800" w:type="dxa"/>
            <w:vAlign w:val="center"/>
            <w:hideMark/>
          </w:tcPr>
          <w:p w:rsidR="0094366E" w:rsidRPr="0094366E" w:rsidRDefault="0094366E" w:rsidP="0094366E">
            <w:pPr>
              <w:widowControl w:val="0"/>
              <w:autoSpaceDE w:val="0"/>
              <w:autoSpaceDN w:val="0"/>
              <w:spacing w:before="9"/>
              <w:ind w:right="-10"/>
              <w:jc w:val="right"/>
              <w:rPr>
                <w:rFonts w:ascii="Calibri" w:eastAsia="Calibri" w:hAnsi="Calibri" w:cs="Calibri"/>
                <w:sz w:val="22"/>
                <w:szCs w:val="22"/>
                <w:lang w:bidi="en-US"/>
              </w:rPr>
            </w:pPr>
            <w:r w:rsidRPr="0094366E">
              <w:rPr>
                <w:rFonts w:ascii="Calibri" w:eastAsia="Calibri" w:hAnsi="Calibri" w:cs="Calibri"/>
                <w:sz w:val="22"/>
                <w:szCs w:val="22"/>
                <w:lang w:bidi="en-US"/>
              </w:rPr>
              <w:t>$239,318,527</w:t>
            </w:r>
          </w:p>
        </w:tc>
      </w:tr>
      <w:tr w:rsidR="0094366E" w:rsidRPr="0094366E" w:rsidTr="0094366E">
        <w:trPr>
          <w:trHeight w:val="243"/>
          <w:jc w:val="center"/>
        </w:trPr>
        <w:tc>
          <w:tcPr>
            <w:tcW w:w="1406" w:type="dxa"/>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Amendment 2</w:t>
            </w:r>
          </w:p>
        </w:tc>
        <w:tc>
          <w:tcPr>
            <w:tcW w:w="1170"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11/2009</w:t>
            </w:r>
          </w:p>
        </w:tc>
        <w:tc>
          <w:tcPr>
            <w:tcW w:w="106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686,086</w:t>
            </w:r>
          </w:p>
        </w:tc>
        <w:tc>
          <w:tcPr>
            <w:tcW w:w="1535"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303,300</w:t>
            </w:r>
          </w:p>
        </w:tc>
        <w:tc>
          <w:tcPr>
            <w:tcW w:w="1201"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337,886</w:t>
            </w:r>
          </w:p>
        </w:tc>
        <w:tc>
          <w:tcPr>
            <w:tcW w:w="125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44,900</w:t>
            </w:r>
          </w:p>
        </w:tc>
        <w:tc>
          <w:tcPr>
            <w:tcW w:w="1800" w:type="dxa"/>
            <w:vAlign w:val="center"/>
            <w:hideMark/>
          </w:tcPr>
          <w:p w:rsidR="0094366E" w:rsidRPr="0094366E" w:rsidRDefault="0094366E" w:rsidP="0094366E">
            <w:pPr>
              <w:widowControl w:val="0"/>
              <w:autoSpaceDE w:val="0"/>
              <w:autoSpaceDN w:val="0"/>
              <w:spacing w:before="9"/>
              <w:ind w:right="-10"/>
              <w:jc w:val="right"/>
              <w:rPr>
                <w:rFonts w:ascii="Calibri" w:eastAsia="Calibri" w:hAnsi="Calibri" w:cs="Calibri"/>
                <w:sz w:val="22"/>
                <w:szCs w:val="22"/>
                <w:lang w:bidi="en-US"/>
              </w:rPr>
            </w:pPr>
            <w:r w:rsidRPr="0094366E">
              <w:rPr>
                <w:rFonts w:ascii="Calibri" w:eastAsia="Calibri" w:hAnsi="Calibri" w:cs="Calibri"/>
                <w:sz w:val="22"/>
                <w:szCs w:val="22"/>
                <w:lang w:bidi="en-US"/>
              </w:rPr>
              <w:t>$239,318,527</w:t>
            </w:r>
          </w:p>
        </w:tc>
      </w:tr>
      <w:tr w:rsidR="0094366E" w:rsidRPr="0094366E" w:rsidTr="0094366E">
        <w:trPr>
          <w:trHeight w:val="243"/>
          <w:jc w:val="center"/>
        </w:trPr>
        <w:tc>
          <w:tcPr>
            <w:tcW w:w="1406" w:type="dxa"/>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Amendment 3</w:t>
            </w:r>
          </w:p>
        </w:tc>
        <w:tc>
          <w:tcPr>
            <w:tcW w:w="1170"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02/2011</w:t>
            </w:r>
          </w:p>
        </w:tc>
        <w:tc>
          <w:tcPr>
            <w:tcW w:w="106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692,276</w:t>
            </w:r>
          </w:p>
        </w:tc>
        <w:tc>
          <w:tcPr>
            <w:tcW w:w="1535"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381,857</w:t>
            </w:r>
          </w:p>
        </w:tc>
        <w:tc>
          <w:tcPr>
            <w:tcW w:w="1201"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261,445</w:t>
            </w:r>
          </w:p>
        </w:tc>
        <w:tc>
          <w:tcPr>
            <w:tcW w:w="125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48,974</w:t>
            </w:r>
          </w:p>
        </w:tc>
        <w:tc>
          <w:tcPr>
            <w:tcW w:w="1800" w:type="dxa"/>
            <w:vAlign w:val="center"/>
            <w:hideMark/>
          </w:tcPr>
          <w:p w:rsidR="0094366E" w:rsidRPr="0094366E" w:rsidRDefault="0094366E" w:rsidP="0094366E">
            <w:pPr>
              <w:widowControl w:val="0"/>
              <w:autoSpaceDE w:val="0"/>
              <w:autoSpaceDN w:val="0"/>
              <w:spacing w:before="9"/>
              <w:ind w:right="-10"/>
              <w:jc w:val="right"/>
              <w:rPr>
                <w:rFonts w:ascii="Calibri" w:eastAsia="Calibri" w:hAnsi="Calibri" w:cs="Calibri"/>
                <w:sz w:val="22"/>
                <w:szCs w:val="22"/>
                <w:lang w:bidi="en-US"/>
              </w:rPr>
            </w:pPr>
            <w:r w:rsidRPr="0094366E">
              <w:rPr>
                <w:rFonts w:ascii="Calibri" w:eastAsia="Calibri" w:hAnsi="Calibri" w:cs="Calibri"/>
                <w:sz w:val="22"/>
                <w:szCs w:val="22"/>
                <w:lang w:bidi="en-US"/>
              </w:rPr>
              <w:t>$314,083,474</w:t>
            </w:r>
          </w:p>
        </w:tc>
      </w:tr>
      <w:tr w:rsidR="0094366E" w:rsidRPr="0094366E" w:rsidTr="0094366E">
        <w:trPr>
          <w:trHeight w:val="244"/>
          <w:jc w:val="center"/>
        </w:trPr>
        <w:tc>
          <w:tcPr>
            <w:tcW w:w="1406" w:type="dxa"/>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Amendment 4</w:t>
            </w:r>
          </w:p>
        </w:tc>
        <w:tc>
          <w:tcPr>
            <w:tcW w:w="1170"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09/2012</w:t>
            </w:r>
          </w:p>
        </w:tc>
        <w:tc>
          <w:tcPr>
            <w:tcW w:w="106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692,276</w:t>
            </w:r>
          </w:p>
        </w:tc>
        <w:tc>
          <w:tcPr>
            <w:tcW w:w="1535"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461,973</w:t>
            </w:r>
          </w:p>
        </w:tc>
        <w:tc>
          <w:tcPr>
            <w:tcW w:w="1201"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181,329</w:t>
            </w:r>
          </w:p>
        </w:tc>
        <w:tc>
          <w:tcPr>
            <w:tcW w:w="125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48,974</w:t>
            </w:r>
          </w:p>
        </w:tc>
        <w:tc>
          <w:tcPr>
            <w:tcW w:w="1800" w:type="dxa"/>
            <w:vAlign w:val="center"/>
            <w:hideMark/>
          </w:tcPr>
          <w:p w:rsidR="0094366E" w:rsidRPr="0094366E" w:rsidRDefault="0094366E" w:rsidP="0094366E">
            <w:pPr>
              <w:widowControl w:val="0"/>
              <w:autoSpaceDE w:val="0"/>
              <w:autoSpaceDN w:val="0"/>
              <w:spacing w:before="9"/>
              <w:ind w:right="-10"/>
              <w:jc w:val="right"/>
              <w:rPr>
                <w:rFonts w:ascii="Calibri" w:eastAsia="Calibri" w:hAnsi="Calibri" w:cs="Calibri"/>
                <w:sz w:val="22"/>
                <w:szCs w:val="22"/>
                <w:lang w:bidi="en-US"/>
              </w:rPr>
            </w:pPr>
            <w:r w:rsidRPr="0094366E">
              <w:rPr>
                <w:rFonts w:ascii="Calibri" w:eastAsia="Calibri" w:hAnsi="Calibri" w:cs="Calibri"/>
                <w:sz w:val="22"/>
                <w:szCs w:val="22"/>
                <w:lang w:bidi="en-US"/>
              </w:rPr>
              <w:t>$359,423,474</w:t>
            </w:r>
          </w:p>
        </w:tc>
      </w:tr>
      <w:tr w:rsidR="0094366E" w:rsidRPr="0094366E" w:rsidTr="0094366E">
        <w:trPr>
          <w:trHeight w:val="244"/>
          <w:jc w:val="center"/>
        </w:trPr>
        <w:tc>
          <w:tcPr>
            <w:tcW w:w="1406" w:type="dxa"/>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Amendment 5</w:t>
            </w:r>
          </w:p>
        </w:tc>
        <w:tc>
          <w:tcPr>
            <w:tcW w:w="1170"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08/2014</w:t>
            </w:r>
          </w:p>
        </w:tc>
        <w:tc>
          <w:tcPr>
            <w:tcW w:w="106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692,276</w:t>
            </w:r>
          </w:p>
        </w:tc>
        <w:tc>
          <w:tcPr>
            <w:tcW w:w="1535"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475,616</w:t>
            </w:r>
          </w:p>
        </w:tc>
        <w:tc>
          <w:tcPr>
            <w:tcW w:w="1201"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167,686</w:t>
            </w:r>
          </w:p>
        </w:tc>
        <w:tc>
          <w:tcPr>
            <w:tcW w:w="125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48,974</w:t>
            </w:r>
          </w:p>
        </w:tc>
        <w:tc>
          <w:tcPr>
            <w:tcW w:w="1800" w:type="dxa"/>
            <w:vAlign w:val="center"/>
            <w:hideMark/>
          </w:tcPr>
          <w:p w:rsidR="0094366E" w:rsidRPr="0094366E" w:rsidRDefault="0094366E" w:rsidP="0094366E">
            <w:pPr>
              <w:widowControl w:val="0"/>
              <w:autoSpaceDE w:val="0"/>
              <w:autoSpaceDN w:val="0"/>
              <w:spacing w:before="9"/>
              <w:ind w:right="-10"/>
              <w:jc w:val="right"/>
              <w:rPr>
                <w:rFonts w:ascii="Calibri" w:eastAsia="Calibri" w:hAnsi="Calibri" w:cs="Calibri"/>
                <w:sz w:val="22"/>
                <w:szCs w:val="22"/>
                <w:lang w:bidi="en-US"/>
              </w:rPr>
            </w:pPr>
            <w:r w:rsidRPr="0094366E">
              <w:rPr>
                <w:rFonts w:ascii="Calibri" w:eastAsia="Calibri" w:hAnsi="Calibri" w:cs="Calibri"/>
                <w:sz w:val="22"/>
                <w:szCs w:val="22"/>
                <w:lang w:bidi="en-US"/>
              </w:rPr>
              <w:t>$366,266,390</w:t>
            </w:r>
          </w:p>
        </w:tc>
      </w:tr>
      <w:tr w:rsidR="0094366E" w:rsidRPr="0094366E" w:rsidTr="0094366E">
        <w:trPr>
          <w:trHeight w:val="225"/>
          <w:jc w:val="center"/>
        </w:trPr>
        <w:tc>
          <w:tcPr>
            <w:tcW w:w="1406" w:type="dxa"/>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Amendment 6</w:t>
            </w:r>
          </w:p>
        </w:tc>
        <w:tc>
          <w:tcPr>
            <w:tcW w:w="1170"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01/2017</w:t>
            </w:r>
          </w:p>
        </w:tc>
        <w:tc>
          <w:tcPr>
            <w:tcW w:w="106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698,634</w:t>
            </w:r>
          </w:p>
        </w:tc>
        <w:tc>
          <w:tcPr>
            <w:tcW w:w="1535"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486,749</w:t>
            </w:r>
          </w:p>
        </w:tc>
        <w:tc>
          <w:tcPr>
            <w:tcW w:w="1201"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156,553</w:t>
            </w:r>
          </w:p>
        </w:tc>
        <w:tc>
          <w:tcPr>
            <w:tcW w:w="125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55,332</w:t>
            </w:r>
          </w:p>
        </w:tc>
        <w:tc>
          <w:tcPr>
            <w:tcW w:w="1800" w:type="dxa"/>
            <w:vAlign w:val="center"/>
            <w:hideMark/>
          </w:tcPr>
          <w:p w:rsidR="0094366E" w:rsidRPr="0094366E" w:rsidRDefault="0094366E" w:rsidP="0094366E">
            <w:pPr>
              <w:widowControl w:val="0"/>
              <w:autoSpaceDE w:val="0"/>
              <w:autoSpaceDN w:val="0"/>
              <w:spacing w:before="9"/>
              <w:ind w:right="-10"/>
              <w:jc w:val="right"/>
              <w:rPr>
                <w:rFonts w:ascii="Calibri" w:eastAsia="Calibri" w:hAnsi="Calibri" w:cs="Calibri"/>
                <w:sz w:val="22"/>
                <w:szCs w:val="22"/>
                <w:lang w:bidi="en-US"/>
              </w:rPr>
            </w:pPr>
            <w:r w:rsidRPr="0094366E">
              <w:rPr>
                <w:rFonts w:ascii="Calibri" w:eastAsia="Calibri" w:hAnsi="Calibri" w:cs="Calibri"/>
                <w:sz w:val="22"/>
                <w:szCs w:val="22"/>
                <w:lang w:bidi="en-US"/>
              </w:rPr>
              <w:t>$373,520,390</w:t>
            </w:r>
          </w:p>
        </w:tc>
      </w:tr>
      <w:tr w:rsidR="0094366E" w:rsidRPr="0094366E" w:rsidTr="0094366E">
        <w:trPr>
          <w:trHeight w:val="207"/>
          <w:jc w:val="center"/>
        </w:trPr>
        <w:tc>
          <w:tcPr>
            <w:tcW w:w="1406" w:type="dxa"/>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Amendment 7</w:t>
            </w:r>
          </w:p>
        </w:tc>
        <w:tc>
          <w:tcPr>
            <w:tcW w:w="1170"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11/2018</w:t>
            </w:r>
          </w:p>
        </w:tc>
        <w:tc>
          <w:tcPr>
            <w:tcW w:w="106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703,560</w:t>
            </w:r>
          </w:p>
        </w:tc>
        <w:tc>
          <w:tcPr>
            <w:tcW w:w="1535"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509,389</w:t>
            </w:r>
          </w:p>
        </w:tc>
        <w:tc>
          <w:tcPr>
            <w:tcW w:w="1201"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133,913</w:t>
            </w:r>
          </w:p>
        </w:tc>
        <w:tc>
          <w:tcPr>
            <w:tcW w:w="1254" w:type="dxa"/>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60,258</w:t>
            </w:r>
          </w:p>
        </w:tc>
        <w:tc>
          <w:tcPr>
            <w:tcW w:w="1800" w:type="dxa"/>
            <w:vAlign w:val="center"/>
            <w:hideMark/>
          </w:tcPr>
          <w:p w:rsidR="0094366E" w:rsidRPr="0094366E" w:rsidRDefault="0094366E" w:rsidP="0094366E">
            <w:pPr>
              <w:widowControl w:val="0"/>
              <w:autoSpaceDE w:val="0"/>
              <w:autoSpaceDN w:val="0"/>
              <w:spacing w:before="9"/>
              <w:ind w:right="-10"/>
              <w:jc w:val="right"/>
              <w:rPr>
                <w:rFonts w:ascii="Calibri" w:eastAsia="Calibri" w:hAnsi="Calibri" w:cs="Calibri"/>
                <w:sz w:val="22"/>
                <w:szCs w:val="22"/>
                <w:lang w:bidi="en-US"/>
              </w:rPr>
            </w:pPr>
            <w:r w:rsidRPr="0094366E">
              <w:rPr>
                <w:rFonts w:ascii="Calibri" w:eastAsia="Calibri" w:hAnsi="Calibri" w:cs="Calibri"/>
                <w:sz w:val="22"/>
                <w:szCs w:val="22"/>
                <w:lang w:bidi="en-US"/>
              </w:rPr>
              <w:t>$411,125,829</w:t>
            </w:r>
          </w:p>
        </w:tc>
      </w:tr>
      <w:tr w:rsidR="0094366E" w:rsidRPr="0094366E" w:rsidTr="0094366E">
        <w:trPr>
          <w:trHeight w:val="315"/>
          <w:jc w:val="center"/>
        </w:trPr>
        <w:tc>
          <w:tcPr>
            <w:tcW w:w="1406" w:type="dxa"/>
            <w:shd w:val="clear" w:color="auto" w:fill="DAEEF3"/>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Proposed Project</w:t>
            </w:r>
          </w:p>
        </w:tc>
        <w:tc>
          <w:tcPr>
            <w:tcW w:w="1170" w:type="dxa"/>
            <w:shd w:val="clear" w:color="auto" w:fill="DAEEF3"/>
            <w:vAlign w:val="center"/>
            <w:hideMark/>
          </w:tcPr>
          <w:p w:rsidR="0094366E" w:rsidRPr="0094366E" w:rsidRDefault="0094366E" w:rsidP="0094366E">
            <w:pPr>
              <w:widowControl w:val="0"/>
              <w:autoSpaceDE w:val="0"/>
              <w:autoSpaceDN w:val="0"/>
              <w:spacing w:before="9"/>
              <w:ind w:right="-10"/>
              <w:rPr>
                <w:rFonts w:ascii="Calibri" w:eastAsia="Calibri" w:hAnsi="Calibri" w:cs="Calibri"/>
                <w:sz w:val="22"/>
                <w:szCs w:val="22"/>
                <w:lang w:bidi="en-US"/>
              </w:rPr>
            </w:pPr>
            <w:r w:rsidRPr="0094366E">
              <w:rPr>
                <w:rFonts w:ascii="Calibri" w:eastAsia="Calibri" w:hAnsi="Calibri" w:cs="Calibri"/>
                <w:sz w:val="22"/>
                <w:szCs w:val="22"/>
                <w:lang w:bidi="en-US"/>
              </w:rPr>
              <w:t>-</w:t>
            </w:r>
          </w:p>
        </w:tc>
        <w:tc>
          <w:tcPr>
            <w:tcW w:w="1064" w:type="dxa"/>
            <w:shd w:val="clear" w:color="auto" w:fill="DAEEF3"/>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724,893</w:t>
            </w:r>
          </w:p>
        </w:tc>
        <w:tc>
          <w:tcPr>
            <w:tcW w:w="1535" w:type="dxa"/>
            <w:shd w:val="clear" w:color="auto" w:fill="DAEEF3"/>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575,729</w:t>
            </w:r>
          </w:p>
        </w:tc>
        <w:tc>
          <w:tcPr>
            <w:tcW w:w="1201" w:type="dxa"/>
            <w:shd w:val="clear" w:color="auto" w:fill="DAEEF3"/>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72,992</w:t>
            </w:r>
          </w:p>
        </w:tc>
        <w:tc>
          <w:tcPr>
            <w:tcW w:w="1254" w:type="dxa"/>
            <w:shd w:val="clear" w:color="auto" w:fill="DAEEF3"/>
            <w:vAlign w:val="center"/>
            <w:hideMark/>
          </w:tcPr>
          <w:p w:rsidR="0094366E" w:rsidRPr="0094366E" w:rsidRDefault="0094366E" w:rsidP="0094366E">
            <w:pPr>
              <w:widowControl w:val="0"/>
              <w:autoSpaceDE w:val="0"/>
              <w:autoSpaceDN w:val="0"/>
              <w:spacing w:before="9"/>
              <w:ind w:right="-10"/>
              <w:jc w:val="center"/>
              <w:rPr>
                <w:rFonts w:ascii="Calibri" w:eastAsia="Calibri" w:hAnsi="Calibri" w:cs="Calibri"/>
                <w:sz w:val="22"/>
                <w:szCs w:val="22"/>
                <w:lang w:bidi="en-US"/>
              </w:rPr>
            </w:pPr>
            <w:r w:rsidRPr="0094366E">
              <w:rPr>
                <w:rFonts w:ascii="Calibri" w:eastAsia="Calibri" w:hAnsi="Calibri" w:cs="Calibri"/>
                <w:sz w:val="22"/>
                <w:szCs w:val="22"/>
                <w:lang w:bidi="en-US"/>
              </w:rPr>
              <w:t>76,172</w:t>
            </w:r>
          </w:p>
        </w:tc>
        <w:tc>
          <w:tcPr>
            <w:tcW w:w="1800" w:type="dxa"/>
            <w:shd w:val="clear" w:color="auto" w:fill="DAEEF3"/>
            <w:vAlign w:val="center"/>
            <w:hideMark/>
          </w:tcPr>
          <w:p w:rsidR="0094366E" w:rsidRPr="0094366E" w:rsidRDefault="0094366E" w:rsidP="0094366E">
            <w:pPr>
              <w:widowControl w:val="0"/>
              <w:autoSpaceDE w:val="0"/>
              <w:autoSpaceDN w:val="0"/>
              <w:spacing w:before="9"/>
              <w:ind w:right="-10"/>
              <w:jc w:val="right"/>
              <w:rPr>
                <w:rFonts w:ascii="Calibri" w:eastAsia="Calibri" w:hAnsi="Calibri" w:cs="Calibri"/>
                <w:sz w:val="22"/>
                <w:szCs w:val="22"/>
                <w:lang w:bidi="en-US"/>
              </w:rPr>
            </w:pPr>
            <w:r w:rsidRPr="0094366E">
              <w:rPr>
                <w:rFonts w:ascii="Calibri" w:eastAsia="Calibri" w:hAnsi="Calibri" w:cs="Calibri"/>
                <w:sz w:val="22"/>
                <w:szCs w:val="22"/>
                <w:lang w:bidi="en-US"/>
              </w:rPr>
              <w:t>$481,007,406</w:t>
            </w:r>
          </w:p>
        </w:tc>
      </w:tr>
    </w:tbl>
    <w:p w:rsidR="0094366E" w:rsidRPr="0094366E" w:rsidRDefault="0094366E" w:rsidP="0094366E">
      <w:pPr>
        <w:widowControl w:val="0"/>
        <w:autoSpaceDE w:val="0"/>
        <w:autoSpaceDN w:val="0"/>
        <w:ind w:left="900" w:right="-10"/>
        <w:rPr>
          <w:rFonts w:ascii="Calibri" w:eastAsia="Calibri" w:hAnsi="Calibri" w:cs="Calibri"/>
          <w:szCs w:val="22"/>
          <w:lang w:bidi="en-US"/>
        </w:rPr>
      </w:pPr>
    </w:p>
    <w:p w:rsidR="0094366E" w:rsidRPr="0094366E" w:rsidRDefault="0094366E" w:rsidP="0094366E">
      <w:pPr>
        <w:widowControl w:val="0"/>
        <w:autoSpaceDE w:val="0"/>
        <w:autoSpaceDN w:val="0"/>
        <w:ind w:left="900" w:right="-10"/>
        <w:rPr>
          <w:rFonts w:ascii="Calibri" w:eastAsia="Calibri" w:hAnsi="Calibri" w:cs="Calibri"/>
          <w:szCs w:val="22"/>
          <w:lang w:bidi="en-US"/>
        </w:rPr>
      </w:pPr>
      <w:r w:rsidRPr="0094366E">
        <w:rPr>
          <w:rFonts w:ascii="Calibri" w:eastAsia="Calibri" w:hAnsi="Calibri" w:cs="Calibri"/>
          <w:szCs w:val="22"/>
          <w:lang w:bidi="en-US"/>
        </w:rPr>
        <w:t>Approval of this project would leave 72,992 GSF of as yet undeveloped shell-space. Three areas in the HOF will remain to be built out that are eligible for subsequent consideration as an Amendment under this DoN Approval as shown in the chart below. At this time, the Applicant anticipates that these will be used for inpatient beds.</w:t>
      </w:r>
    </w:p>
    <w:p w:rsidR="0094366E" w:rsidRPr="0094366E" w:rsidRDefault="0094366E" w:rsidP="0094366E">
      <w:pPr>
        <w:widowControl w:val="0"/>
        <w:autoSpaceDE w:val="0"/>
        <w:autoSpaceDN w:val="0"/>
        <w:ind w:left="900" w:right="-10"/>
        <w:rPr>
          <w:rFonts w:ascii="Calibri" w:eastAsia="Calibri" w:hAnsi="Calibri" w:cs="Calibri"/>
          <w:szCs w:val="22"/>
          <w:lang w:bidi="en-US"/>
        </w:rPr>
      </w:pPr>
    </w:p>
    <w:tbl>
      <w:tblPr>
        <w:tblW w:w="3840" w:type="dxa"/>
        <w:jc w:val="center"/>
        <w:tblLook w:val="04A0" w:firstRow="1" w:lastRow="0" w:firstColumn="1" w:lastColumn="0" w:noHBand="0" w:noVBand="1"/>
      </w:tblPr>
      <w:tblGrid>
        <w:gridCol w:w="709"/>
        <w:gridCol w:w="2127"/>
        <w:gridCol w:w="1092"/>
      </w:tblGrid>
      <w:tr w:rsidR="0094366E" w:rsidRPr="0094366E" w:rsidTr="0094366E">
        <w:trPr>
          <w:trHeight w:val="395"/>
          <w:jc w:val="center"/>
        </w:trPr>
        <w:tc>
          <w:tcPr>
            <w:tcW w:w="3840" w:type="dxa"/>
            <w:gridSpan w:val="3"/>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94366E" w:rsidRPr="0094366E" w:rsidRDefault="0094366E" w:rsidP="0094366E">
            <w:pPr>
              <w:autoSpaceDN w:val="0"/>
              <w:ind w:right="-10"/>
              <w:jc w:val="center"/>
              <w:rPr>
                <w:rFonts w:ascii="Calibri" w:hAnsi="Calibri"/>
                <w:b/>
                <w:color w:val="000000"/>
                <w:szCs w:val="24"/>
              </w:rPr>
            </w:pPr>
            <w:r w:rsidRPr="0094366E">
              <w:rPr>
                <w:rFonts w:ascii="Calibri" w:hAnsi="Calibri"/>
                <w:b/>
                <w:color w:val="000000"/>
                <w:szCs w:val="24"/>
              </w:rPr>
              <w:t>Remaining Shell Space</w:t>
            </w:r>
          </w:p>
        </w:tc>
      </w:tr>
      <w:tr w:rsidR="0094366E" w:rsidRPr="0094366E" w:rsidTr="0094366E">
        <w:trPr>
          <w:trHeight w:val="300"/>
          <w:jc w:val="center"/>
        </w:trPr>
        <w:tc>
          <w:tcPr>
            <w:tcW w:w="621"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Floor</w:t>
            </w:r>
          </w:p>
        </w:tc>
        <w:tc>
          <w:tcPr>
            <w:tcW w:w="2127" w:type="dxa"/>
            <w:tcBorders>
              <w:top w:val="single" w:sz="4" w:space="0" w:color="auto"/>
              <w:left w:val="nil"/>
              <w:bottom w:val="single" w:sz="4" w:space="0" w:color="auto"/>
              <w:right w:val="single" w:sz="4" w:space="0" w:color="000000"/>
            </w:tcBorders>
            <w:shd w:val="clear" w:color="auto" w:fill="C6D9F1" w:themeFill="text2" w:themeFillTint="33"/>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Wing</w:t>
            </w:r>
          </w:p>
        </w:tc>
        <w:tc>
          <w:tcPr>
            <w:tcW w:w="1092" w:type="dxa"/>
            <w:tcBorders>
              <w:top w:val="nil"/>
              <w:left w:val="nil"/>
              <w:bottom w:val="single" w:sz="4" w:space="0" w:color="auto"/>
              <w:right w:val="single" w:sz="4" w:space="0" w:color="auto"/>
            </w:tcBorders>
            <w:shd w:val="clear" w:color="auto" w:fill="C6D9F1" w:themeFill="text2" w:themeFillTint="3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GSF</w:t>
            </w:r>
          </w:p>
        </w:tc>
      </w:tr>
      <w:tr w:rsidR="0094366E" w:rsidRPr="0094366E" w:rsidTr="0094366E">
        <w:trPr>
          <w:trHeight w:val="300"/>
          <w:jc w:val="center"/>
        </w:trPr>
        <w:tc>
          <w:tcPr>
            <w:tcW w:w="621" w:type="dxa"/>
            <w:tcBorders>
              <w:top w:val="nil"/>
              <w:left w:val="single" w:sz="4" w:space="0" w:color="auto"/>
              <w:bottom w:val="single" w:sz="4" w:space="0" w:color="auto"/>
              <w:right w:val="single" w:sz="4" w:space="0" w:color="auto"/>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 xml:space="preserve">3rd </w:t>
            </w:r>
          </w:p>
        </w:tc>
        <w:tc>
          <w:tcPr>
            <w:tcW w:w="2127" w:type="dxa"/>
            <w:tcBorders>
              <w:top w:val="single" w:sz="4" w:space="0" w:color="auto"/>
              <w:left w:val="nil"/>
              <w:bottom w:val="single" w:sz="4" w:space="0" w:color="auto"/>
              <w:right w:val="single" w:sz="4" w:space="0" w:color="000000"/>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 xml:space="preserve">North </w:t>
            </w:r>
          </w:p>
        </w:tc>
        <w:tc>
          <w:tcPr>
            <w:tcW w:w="1092"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20,777</w:t>
            </w:r>
          </w:p>
        </w:tc>
      </w:tr>
      <w:tr w:rsidR="0094366E" w:rsidRPr="0094366E" w:rsidTr="0094366E">
        <w:trPr>
          <w:trHeight w:val="300"/>
          <w:jc w:val="center"/>
        </w:trPr>
        <w:tc>
          <w:tcPr>
            <w:tcW w:w="621" w:type="dxa"/>
            <w:tcBorders>
              <w:top w:val="nil"/>
              <w:left w:val="single" w:sz="4" w:space="0" w:color="auto"/>
              <w:bottom w:val="single" w:sz="4" w:space="0" w:color="auto"/>
              <w:right w:val="single" w:sz="4" w:space="0" w:color="auto"/>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4th</w:t>
            </w:r>
          </w:p>
        </w:tc>
        <w:tc>
          <w:tcPr>
            <w:tcW w:w="2127" w:type="dxa"/>
            <w:tcBorders>
              <w:top w:val="single" w:sz="4" w:space="0" w:color="auto"/>
              <w:left w:val="nil"/>
              <w:bottom w:val="single" w:sz="4" w:space="0" w:color="auto"/>
              <w:right w:val="single" w:sz="4" w:space="0" w:color="000000"/>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 xml:space="preserve">North </w:t>
            </w:r>
          </w:p>
        </w:tc>
        <w:tc>
          <w:tcPr>
            <w:tcW w:w="1092"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23,196</w:t>
            </w:r>
          </w:p>
        </w:tc>
      </w:tr>
      <w:tr w:rsidR="0094366E" w:rsidRPr="0094366E" w:rsidTr="0094366E">
        <w:trPr>
          <w:trHeight w:val="300"/>
          <w:jc w:val="center"/>
        </w:trPr>
        <w:tc>
          <w:tcPr>
            <w:tcW w:w="621" w:type="dxa"/>
            <w:tcBorders>
              <w:top w:val="nil"/>
              <w:left w:val="single" w:sz="4" w:space="0" w:color="auto"/>
              <w:bottom w:val="single" w:sz="4" w:space="0" w:color="auto"/>
              <w:right w:val="single" w:sz="4" w:space="0" w:color="auto"/>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 xml:space="preserve">4th </w:t>
            </w:r>
          </w:p>
        </w:tc>
        <w:tc>
          <w:tcPr>
            <w:tcW w:w="2127" w:type="dxa"/>
            <w:tcBorders>
              <w:top w:val="single" w:sz="4" w:space="0" w:color="auto"/>
              <w:left w:val="nil"/>
              <w:bottom w:val="single" w:sz="4" w:space="0" w:color="auto"/>
              <w:right w:val="single" w:sz="4" w:space="0" w:color="000000"/>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MassMutual</w:t>
            </w:r>
          </w:p>
        </w:tc>
        <w:tc>
          <w:tcPr>
            <w:tcW w:w="1092"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29,019</w:t>
            </w:r>
          </w:p>
        </w:tc>
      </w:tr>
      <w:tr w:rsidR="0094366E" w:rsidRPr="0094366E" w:rsidTr="0094366E">
        <w:trPr>
          <w:trHeight w:val="300"/>
          <w:jc w:val="center"/>
        </w:trPr>
        <w:tc>
          <w:tcPr>
            <w:tcW w:w="2748" w:type="dxa"/>
            <w:gridSpan w:val="2"/>
            <w:tcBorders>
              <w:top w:val="single" w:sz="4" w:space="0" w:color="auto"/>
              <w:left w:val="single" w:sz="4" w:space="0" w:color="auto"/>
              <w:bottom w:val="single" w:sz="4" w:space="0" w:color="auto"/>
              <w:right w:val="single" w:sz="4" w:space="0" w:color="000000"/>
            </w:tcBorders>
            <w:shd w:val="clear" w:color="auto" w:fill="DAEEF3"/>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Total</w:t>
            </w:r>
          </w:p>
        </w:tc>
        <w:tc>
          <w:tcPr>
            <w:tcW w:w="1092" w:type="dxa"/>
            <w:tcBorders>
              <w:top w:val="nil"/>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72,992</w:t>
            </w:r>
          </w:p>
        </w:tc>
      </w:tr>
    </w:tbl>
    <w:p w:rsidR="0094366E" w:rsidRPr="0094366E" w:rsidRDefault="0094366E" w:rsidP="0094366E">
      <w:pPr>
        <w:widowControl w:val="0"/>
        <w:autoSpaceDE w:val="0"/>
        <w:autoSpaceDN w:val="0"/>
        <w:ind w:left="900" w:right="-10"/>
        <w:rPr>
          <w:rFonts w:ascii="Calibri" w:eastAsia="Calibri" w:hAnsi="Calibri" w:cs="Calibri"/>
          <w:szCs w:val="22"/>
          <w:lang w:bidi="en-US"/>
        </w:rPr>
      </w:pPr>
    </w:p>
    <w:p w:rsidR="0094366E" w:rsidRPr="0094366E" w:rsidRDefault="0094366E" w:rsidP="0094366E">
      <w:pPr>
        <w:widowControl w:val="0"/>
        <w:autoSpaceDE w:val="0"/>
        <w:autoSpaceDN w:val="0"/>
        <w:spacing w:before="52"/>
        <w:ind w:left="900" w:right="-10"/>
        <w:rPr>
          <w:rFonts w:ascii="Calibri" w:eastAsia="Calibri" w:hAnsi="Calibri" w:cs="Calibri"/>
          <w:b/>
          <w:szCs w:val="22"/>
          <w:u w:val="single"/>
          <w:lang w:bidi="en-US"/>
        </w:rPr>
      </w:pPr>
    </w:p>
    <w:p w:rsidR="0094366E" w:rsidRPr="0094366E" w:rsidRDefault="0094366E" w:rsidP="0094366E">
      <w:pPr>
        <w:widowControl w:val="0"/>
        <w:autoSpaceDE w:val="0"/>
        <w:autoSpaceDN w:val="0"/>
        <w:spacing w:before="52"/>
        <w:ind w:left="900" w:right="-10"/>
        <w:rPr>
          <w:rFonts w:ascii="Calibri" w:eastAsia="Calibri" w:hAnsi="Calibri" w:cs="Calibri"/>
          <w:b/>
          <w:szCs w:val="22"/>
          <w:lang w:bidi="en-US"/>
        </w:rPr>
      </w:pPr>
      <w:r w:rsidRPr="0094366E">
        <w:rPr>
          <w:rFonts w:ascii="Calibri" w:eastAsia="Calibri" w:hAnsi="Calibri" w:cs="Calibri"/>
          <w:b/>
          <w:szCs w:val="22"/>
          <w:u w:val="single"/>
          <w:lang w:bidi="en-US"/>
        </w:rPr>
        <w:t>Proposed Amendment: To Relocate Operating Room Services to Existing Shell Space.</w:t>
      </w:r>
    </w:p>
    <w:p w:rsidR="0094366E" w:rsidRPr="0094366E" w:rsidRDefault="0094366E" w:rsidP="0094366E">
      <w:pPr>
        <w:widowControl w:val="0"/>
        <w:autoSpaceDE w:val="0"/>
        <w:autoSpaceDN w:val="0"/>
        <w:spacing w:before="9"/>
        <w:ind w:left="900" w:right="-10"/>
        <w:rPr>
          <w:rFonts w:ascii="Calibri" w:eastAsia="Calibri" w:hAnsi="Calibri" w:cs="Calibri"/>
          <w:b/>
          <w:sz w:val="19"/>
          <w:szCs w:val="22"/>
          <w:lang w:bidi="en-US"/>
        </w:rPr>
      </w:pPr>
    </w:p>
    <w:p w:rsidR="0094366E" w:rsidRPr="0094366E" w:rsidRDefault="0094366E" w:rsidP="0094366E">
      <w:pPr>
        <w:widowControl w:val="0"/>
        <w:autoSpaceDE w:val="0"/>
        <w:autoSpaceDN w:val="0"/>
        <w:spacing w:before="52"/>
        <w:ind w:left="900" w:right="-10"/>
        <w:rPr>
          <w:rFonts w:ascii="Calibri" w:eastAsia="Calibri" w:hAnsi="Calibri" w:cs="Calibri"/>
          <w:szCs w:val="22"/>
          <w:lang w:bidi="en-US"/>
        </w:rPr>
      </w:pPr>
      <w:r w:rsidRPr="0094366E">
        <w:rPr>
          <w:rFonts w:ascii="Calibri" w:eastAsia="Calibri" w:hAnsi="Calibri" w:cs="Calibri"/>
          <w:szCs w:val="22"/>
          <w:lang w:bidi="en-US"/>
        </w:rPr>
        <w:t xml:space="preserve">The Holder is seeking authorization to build-out shell space </w:t>
      </w:r>
      <w:r w:rsidRPr="0094366E">
        <w:rPr>
          <w:rFonts w:ascii="Calibri" w:eastAsia="Calibri" w:hAnsi="Calibri" w:cs="Calibri"/>
          <w:spacing w:val="3"/>
          <w:szCs w:val="22"/>
          <w:lang w:bidi="en-US"/>
        </w:rPr>
        <w:t xml:space="preserve">to </w:t>
      </w:r>
      <w:r w:rsidRPr="0094366E">
        <w:rPr>
          <w:rFonts w:ascii="Calibri" w:eastAsia="Calibri" w:hAnsi="Calibri" w:cs="Calibri"/>
          <w:szCs w:val="22"/>
          <w:lang w:bidi="en-US"/>
        </w:rPr>
        <w:t>relocate 17 existing operating rooms (ORs) from the adjacent Daly Building to the second floor of the HOF. This build-out includes additional pre-procedure preparation and post-procedure recovery space. As proposed, this amendment will result in a one-for-one (1:1) replacement of these ORs on a single floor, with no increase in the number of operating</w:t>
      </w:r>
      <w:r w:rsidRPr="0094366E">
        <w:rPr>
          <w:rFonts w:ascii="Calibri" w:eastAsia="Calibri" w:hAnsi="Calibri" w:cs="Calibri"/>
          <w:spacing w:val="-2"/>
          <w:szCs w:val="22"/>
          <w:lang w:bidi="en-US"/>
        </w:rPr>
        <w:t xml:space="preserve"> </w:t>
      </w:r>
      <w:r w:rsidRPr="0094366E">
        <w:rPr>
          <w:rFonts w:ascii="Calibri" w:eastAsia="Calibri" w:hAnsi="Calibri" w:cs="Calibri"/>
          <w:szCs w:val="22"/>
          <w:lang w:bidi="en-US"/>
        </w:rPr>
        <w:t xml:space="preserve">rooms. </w:t>
      </w:r>
    </w:p>
    <w:p w:rsidR="0094366E" w:rsidRPr="0094366E" w:rsidRDefault="0094366E" w:rsidP="0094366E">
      <w:pPr>
        <w:widowControl w:val="0"/>
        <w:autoSpaceDE w:val="0"/>
        <w:autoSpaceDN w:val="0"/>
        <w:ind w:left="900" w:right="-10"/>
        <w:rPr>
          <w:rFonts w:ascii="Calibri" w:eastAsia="Calibri" w:hAnsi="Calibri" w:cs="Calibri"/>
          <w:szCs w:val="22"/>
          <w:lang w:bidi="en-US"/>
        </w:rPr>
      </w:pPr>
    </w:p>
    <w:p w:rsidR="0094366E" w:rsidRPr="0094366E" w:rsidRDefault="0094366E" w:rsidP="0094366E">
      <w:pPr>
        <w:widowControl w:val="0"/>
        <w:autoSpaceDE w:val="0"/>
        <w:autoSpaceDN w:val="0"/>
        <w:ind w:left="900" w:right="-10"/>
        <w:rPr>
          <w:rFonts w:ascii="Calibri" w:eastAsia="Calibri" w:hAnsi="Calibri" w:cs="Calibri"/>
          <w:szCs w:val="22"/>
          <w:lang w:bidi="en-US"/>
        </w:rPr>
      </w:pPr>
      <w:r w:rsidRPr="0094366E">
        <w:rPr>
          <w:rFonts w:ascii="Calibri" w:eastAsia="Calibri" w:hAnsi="Calibri" w:cs="Calibri"/>
          <w:szCs w:val="22"/>
          <w:lang w:bidi="en-US"/>
        </w:rPr>
        <w:t>Baystate asserts the existing areas are inefficient to operate, undersized,</w:t>
      </w:r>
      <w:r w:rsidRPr="0094366E">
        <w:rPr>
          <w:rFonts w:ascii="Calibri" w:eastAsia="Calibri" w:hAnsi="Calibri" w:cs="Calibri"/>
          <w:szCs w:val="22"/>
          <w:vertAlign w:val="superscript"/>
          <w:lang w:bidi="en-US"/>
        </w:rPr>
        <w:footnoteReference w:id="1"/>
      </w:r>
      <w:r w:rsidRPr="0094366E">
        <w:rPr>
          <w:rFonts w:ascii="Calibri" w:eastAsia="Calibri" w:hAnsi="Calibri" w:cs="Calibri"/>
          <w:szCs w:val="22"/>
          <w:lang w:bidi="en-US"/>
        </w:rPr>
        <w:t xml:space="preserve"> and lack a sufficient number of pre- and post- operative bays and support space. In addition to being undersized, the majority of the existing ORs are fitted with specialized equipment that is nearing the end of its useful life. </w:t>
      </w:r>
    </w:p>
    <w:p w:rsidR="0094366E" w:rsidRPr="0094366E" w:rsidRDefault="0094366E" w:rsidP="0094366E">
      <w:pPr>
        <w:widowControl w:val="0"/>
        <w:autoSpaceDE w:val="0"/>
        <w:autoSpaceDN w:val="0"/>
        <w:ind w:left="900" w:right="-10"/>
        <w:rPr>
          <w:rFonts w:ascii="Calibri" w:eastAsia="Calibri" w:hAnsi="Calibri" w:cs="Calibri"/>
          <w:szCs w:val="22"/>
          <w:lang w:bidi="en-US"/>
        </w:rPr>
      </w:pPr>
    </w:p>
    <w:p w:rsidR="0094366E" w:rsidRPr="0094366E" w:rsidRDefault="0094366E" w:rsidP="0094366E">
      <w:pPr>
        <w:widowControl w:val="0"/>
        <w:autoSpaceDE w:val="0"/>
        <w:autoSpaceDN w:val="0"/>
        <w:ind w:left="900" w:right="-10"/>
        <w:rPr>
          <w:rFonts w:ascii="Calibri" w:eastAsia="Calibri" w:hAnsi="Calibri" w:cs="Calibri"/>
          <w:szCs w:val="22"/>
          <w:lang w:bidi="en-US"/>
        </w:rPr>
      </w:pPr>
      <w:r w:rsidRPr="0094366E">
        <w:rPr>
          <w:rFonts w:ascii="Calibri" w:eastAsia="Calibri" w:hAnsi="Calibri" w:cs="Calibri"/>
          <w:szCs w:val="22"/>
          <w:lang w:bidi="en-US"/>
        </w:rPr>
        <w:t>The Hospital states that because of the increased gross square footage requirements of current building standards, the alternative option of renovating existing space would yield a reduction in existing OR capacity as all 17 ORs would not fit within the same footprint.</w:t>
      </w:r>
    </w:p>
    <w:p w:rsidR="0094366E" w:rsidRPr="0094366E" w:rsidRDefault="0094366E" w:rsidP="0094366E">
      <w:pPr>
        <w:widowControl w:val="0"/>
        <w:autoSpaceDE w:val="0"/>
        <w:autoSpaceDN w:val="0"/>
        <w:spacing w:before="200"/>
        <w:ind w:left="900" w:right="-10"/>
        <w:rPr>
          <w:rFonts w:ascii="Calibri" w:eastAsia="Calibri" w:hAnsi="Calibri" w:cs="Calibri"/>
          <w:szCs w:val="22"/>
          <w:lang w:bidi="en-US"/>
        </w:rPr>
      </w:pPr>
      <w:r w:rsidRPr="0094366E">
        <w:rPr>
          <w:rFonts w:ascii="Calibri" w:eastAsia="Calibri" w:hAnsi="Calibri" w:cs="Calibri"/>
          <w:szCs w:val="22"/>
          <w:lang w:bidi="en-US"/>
        </w:rPr>
        <w:t>The Hospital states that co-location of the operative areas within the previously approved (2018) heart and vascular ORs, and the critical care beds will lead to “improved communication among physicians, minimized redundancies in the provision of services and resources, more efficient staffing patterns, and improved quality outcomes for patients.” For patients within its patient panel and patient service area, consolidating these services will improve access, convenience, coordination and continuity of care.</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The Applicant asserts that as the only tertiary referral center within Western Massachusetts, approval of the Proposed Project will allow it to accommodate a continued and steady demand for the in- and out-patient surgical services. Surgical volume data provided by the Hospital reports an annual 5% growth for inpatient surgical services and fluctuating but steady volume for outpatient surgery. Part of the project includes new construction to expand the lobby that includes additional space for patient registration and seating for outpatient surgical patients which is intended to improve the patient experience.</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The Hospital’s projected demand is based on its strong network of local affiliated hospitals and providers who refer to it for the tertiary services that it offers in those ORs.</w:t>
      </w:r>
      <w:r w:rsidRPr="0094366E">
        <w:rPr>
          <w:rFonts w:ascii="Calibri" w:eastAsia="Calibri" w:hAnsi="Calibri" w:cs="Calibri"/>
          <w:szCs w:val="22"/>
          <w:vertAlign w:val="superscript"/>
          <w:lang w:bidi="en-US"/>
        </w:rPr>
        <w:footnoteReference w:id="2"/>
      </w:r>
      <w:r w:rsidRPr="0094366E">
        <w:rPr>
          <w:rFonts w:ascii="Calibri" w:eastAsia="Calibri" w:hAnsi="Calibri" w:cs="Calibri"/>
          <w:szCs w:val="22"/>
          <w:lang w:bidi="en-US"/>
        </w:rPr>
        <w:t xml:space="preserve"> Baystate stated that the continued increase in demand is a result of the increased incidence of age related diseases requiring surgical intervention, pointing out that in 2015 the 65+ age cohort grew to 16% of the population in Massachusetts. Additionally, because of its location at the nexus of two interstate highways, it provides access to services from all of Western Massachusetts, and some parts of Connecticut. As a result of the aging population, their strong referral network for tertiary services, and strategic location, it is projecting a 3% year annual growth rate from 2019</w:t>
      </w:r>
      <w:r w:rsidRPr="0094366E">
        <w:rPr>
          <w:rFonts w:ascii="Calibri" w:eastAsia="Calibri" w:hAnsi="Calibri" w:cs="Calibri"/>
          <w:szCs w:val="22"/>
          <w:vertAlign w:val="superscript"/>
          <w:lang w:bidi="en-US"/>
        </w:rPr>
        <w:footnoteReference w:id="3"/>
      </w:r>
      <w:r w:rsidRPr="0094366E">
        <w:rPr>
          <w:rFonts w:ascii="Calibri" w:eastAsia="Calibri" w:hAnsi="Calibri" w:cs="Calibri"/>
          <w:szCs w:val="22"/>
          <w:lang w:bidi="en-US"/>
        </w:rPr>
        <w:t xml:space="preserve"> thru 2025.</w:t>
      </w:r>
    </w:p>
    <w:p w:rsidR="0094366E" w:rsidRPr="0094366E" w:rsidRDefault="0094366E" w:rsidP="0094366E">
      <w:pPr>
        <w:widowControl w:val="0"/>
        <w:autoSpaceDE w:val="0"/>
        <w:autoSpaceDN w:val="0"/>
        <w:spacing w:before="199"/>
        <w:ind w:left="900" w:right="-10"/>
        <w:rPr>
          <w:rFonts w:ascii="Calibri" w:eastAsia="Calibri" w:hAnsi="Calibri" w:cs="Calibri"/>
          <w:b/>
          <w:i/>
          <w:szCs w:val="22"/>
          <w:lang w:bidi="en-US"/>
        </w:rPr>
      </w:pPr>
      <w:r w:rsidRPr="0094366E">
        <w:rPr>
          <w:rFonts w:ascii="Calibri" w:eastAsia="Calibri" w:hAnsi="Calibri" w:cs="Calibri"/>
          <w:b/>
          <w:i/>
          <w:szCs w:val="22"/>
          <w:lang w:bidi="en-US"/>
        </w:rPr>
        <w:t>Staff Findings</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 xml:space="preserve">Staff reviewed the 2007 Staff Summary and Decision Letter of Approval for DoN #1-3B36 to determine whether the request to relocate the operating rooms to the HOF falls within the scope of that Approval and finds that it was part of the original plans for Baystate Medical </w:t>
      </w:r>
      <w:r w:rsidRPr="0094366E">
        <w:rPr>
          <w:rFonts w:ascii="Calibri" w:eastAsia="Calibri" w:hAnsi="Calibri" w:cs="Calibri"/>
          <w:szCs w:val="22"/>
          <w:lang w:bidi="en-US"/>
        </w:rPr>
        <w:lastRenderedPageBreak/>
        <w:t>Center. As such, this 1:1 replacement of ORs falls within the scope of an Amendment and Staff recommends approval of this portion of the Applicant’s request.</w:t>
      </w:r>
    </w:p>
    <w:p w:rsidR="0094366E" w:rsidRPr="0094366E" w:rsidRDefault="0094366E" w:rsidP="0094366E">
      <w:pPr>
        <w:widowControl w:val="0"/>
        <w:autoSpaceDE w:val="0"/>
        <w:autoSpaceDN w:val="0"/>
        <w:spacing w:before="199"/>
        <w:ind w:left="900" w:right="-10"/>
        <w:rPr>
          <w:rFonts w:ascii="Calibri" w:eastAsia="Calibri" w:hAnsi="Calibri" w:cs="Calibri"/>
          <w:b/>
          <w:szCs w:val="22"/>
          <w:lang w:bidi="en-US"/>
        </w:rPr>
      </w:pPr>
    </w:p>
    <w:p w:rsidR="0094366E" w:rsidRPr="0094366E" w:rsidRDefault="0094366E" w:rsidP="0094366E">
      <w:pPr>
        <w:widowControl w:val="0"/>
        <w:autoSpaceDE w:val="0"/>
        <w:autoSpaceDN w:val="0"/>
        <w:spacing w:before="199"/>
        <w:ind w:left="900" w:right="-10"/>
        <w:rPr>
          <w:rFonts w:ascii="Calibri" w:eastAsia="Calibri" w:hAnsi="Calibri" w:cs="Calibri"/>
          <w:b/>
          <w:szCs w:val="22"/>
          <w:u w:val="single"/>
          <w:lang w:bidi="en-US"/>
        </w:rPr>
      </w:pPr>
      <w:r w:rsidRPr="0094366E">
        <w:rPr>
          <w:rFonts w:ascii="Calibri" w:eastAsia="Calibri" w:hAnsi="Calibri" w:cs="Calibri"/>
          <w:b/>
          <w:szCs w:val="22"/>
          <w:u w:val="single"/>
          <w:lang w:bidi="en-US"/>
        </w:rPr>
        <w:t>Proposed Amendment: Need to Expand Interventional Procedure Rooms</w:t>
      </w:r>
    </w:p>
    <w:p w:rsidR="0094366E" w:rsidRPr="0094366E" w:rsidRDefault="0094366E" w:rsidP="0094366E">
      <w:pPr>
        <w:widowControl w:val="0"/>
        <w:autoSpaceDE w:val="0"/>
        <w:autoSpaceDN w:val="0"/>
        <w:spacing w:before="199"/>
        <w:ind w:left="900" w:right="-10"/>
        <w:rPr>
          <w:rFonts w:ascii="Calibri" w:eastAsia="Calibri" w:hAnsi="Calibri" w:cs="Calibri"/>
          <w:b/>
          <w:szCs w:val="22"/>
          <w:lang w:bidi="en-US"/>
        </w:rPr>
      </w:pPr>
    </w:p>
    <w:p w:rsidR="0094366E" w:rsidRPr="0094366E" w:rsidRDefault="0094366E" w:rsidP="0094366E">
      <w:pPr>
        <w:widowControl w:val="0"/>
        <w:autoSpaceDE w:val="0"/>
        <w:autoSpaceDN w:val="0"/>
        <w:ind w:left="900"/>
        <w:rPr>
          <w:rFonts w:ascii="Calibri" w:eastAsia="Calibri" w:hAnsi="Calibri" w:cs="Calibri"/>
          <w:szCs w:val="22"/>
          <w:lang w:bidi="en-US"/>
        </w:rPr>
      </w:pPr>
      <w:r w:rsidRPr="0094366E">
        <w:rPr>
          <w:rFonts w:ascii="Calibri" w:eastAsia="Calibri" w:hAnsi="Calibri" w:cs="Calibri"/>
          <w:szCs w:val="24"/>
          <w:lang w:bidi="en-US"/>
        </w:rPr>
        <w:t>In accordance with the original 2007 DoN Approval, which included allowance for future</w:t>
      </w:r>
      <w:r w:rsidRPr="0094366E">
        <w:rPr>
          <w:rFonts w:ascii="Calibri" w:eastAsia="Calibri" w:hAnsi="Calibri" w:cs="Calibri"/>
          <w:color w:val="212121"/>
          <w:szCs w:val="24"/>
          <w:lang w:bidi="en-US"/>
        </w:rPr>
        <w:t xml:space="preserve"> replacement and expansion, </w:t>
      </w:r>
      <w:r w:rsidRPr="0094366E">
        <w:rPr>
          <w:rFonts w:ascii="Calibri" w:eastAsia="Calibri" w:hAnsi="Calibri" w:cs="Calibri"/>
          <w:szCs w:val="22"/>
          <w:lang w:bidi="en-US"/>
        </w:rPr>
        <w:t xml:space="preserve">Baystate is requesting to expand its interventional radiology capacity on the second floor of the HOF which is co-located with the ORs and the existing cardiac catheterization and electrophysiology (“EP”) procedure area. Along with the six replacement rooms (four cardiac catheterization labs and two EP labs) approved in the 2018 Amendment, this will bring the total number of interventional procedure rooms in the HOF Building to eight. In the original DoN (2007), approval included the potentiality that radiology services would be expanded or changed to remain in alignment with the needs of the service area population. The Holder states this will meet its patients’ projected needs related primarily in two specialties: Neurology and Cardiology. One of the new interventional procedure rooms will be dedicated to neurovascular interventions, while the other will be a shared room which will provide flexibility to facilitate the timely completion of all interventional services, as described further below. </w:t>
      </w:r>
    </w:p>
    <w:p w:rsidR="0094366E" w:rsidRPr="0094366E" w:rsidRDefault="0094366E" w:rsidP="0094366E">
      <w:pPr>
        <w:widowControl w:val="0"/>
        <w:autoSpaceDE w:val="0"/>
        <w:autoSpaceDN w:val="0"/>
        <w:spacing w:before="199"/>
        <w:ind w:left="900" w:right="-10"/>
        <w:rPr>
          <w:rFonts w:ascii="Calibri" w:eastAsia="Calibri" w:hAnsi="Calibri" w:cs="Calibri"/>
          <w:b/>
          <w:i/>
          <w:sz w:val="22"/>
          <w:szCs w:val="22"/>
          <w:lang w:bidi="en-US"/>
        </w:rPr>
      </w:pPr>
      <w:r w:rsidRPr="0094366E">
        <w:rPr>
          <w:rFonts w:ascii="Calibri" w:eastAsia="Calibri" w:hAnsi="Calibri" w:cs="Calibri"/>
          <w:b/>
          <w:i/>
          <w:sz w:val="22"/>
          <w:szCs w:val="22"/>
          <w:lang w:bidi="en-US"/>
        </w:rPr>
        <w:t>Dedicated Neurovascular Interventional Room</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As the only tertiary academic medical center in Western Massachusetts, Baystate performs procedures and services that are not offered at other facilities in the region. To date, the neurovascular procedures</w:t>
      </w:r>
      <w:r w:rsidRPr="0094366E">
        <w:rPr>
          <w:rFonts w:ascii="Calibri" w:eastAsia="Calibri" w:hAnsi="Calibri" w:cs="Calibri"/>
          <w:szCs w:val="24"/>
          <w:vertAlign w:val="superscript"/>
          <w:lang w:bidi="en-US"/>
        </w:rPr>
        <w:footnoteReference w:id="4"/>
      </w:r>
      <w:r w:rsidRPr="0094366E">
        <w:rPr>
          <w:rFonts w:ascii="Calibri" w:eastAsia="Calibri" w:hAnsi="Calibri" w:cs="Calibri"/>
          <w:szCs w:val="24"/>
          <w:lang w:bidi="en-US"/>
        </w:rPr>
        <w:t xml:space="preserve"> have been provided in an existing cardiac catheterization lab by neurovascular physicians 4-5 days per week. Because neurovascular interventions are emergent by nature, this has implications for the Hospital’s other services. There are times when patients scheduled for diagnostic cardiac catheterization are delayed while neurovascular interventional cases, which can be of long duration, are completed.</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Baystate plans to pursue Joint Commission accreditation as a Comprehensive Stroke Center which requires the availability of two neuro-interventional radiology suites to care for two acute stroke patients simultaneously. The plans for a dedicated neuro-interventional suite in addition to a shared suite with cardiology will allow it to meet the current accreditation standards.</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The historical volume and growth projections for Baystate’s neuro-vascular service are shown below. The 2019 fiscal year (FY) shows a 43% decline in cases occurred following the departure of one of the Hospital’s two physicians performing these procedures.</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p>
    <w:tbl>
      <w:tblPr>
        <w:tblW w:w="7800" w:type="dxa"/>
        <w:jc w:val="center"/>
        <w:tblLayout w:type="fixed"/>
        <w:tblLook w:val="04A0" w:firstRow="1" w:lastRow="0" w:firstColumn="1" w:lastColumn="0" w:noHBand="0" w:noVBand="1"/>
      </w:tblPr>
      <w:tblGrid>
        <w:gridCol w:w="866"/>
        <w:gridCol w:w="866"/>
        <w:gridCol w:w="867"/>
        <w:gridCol w:w="867"/>
        <w:gridCol w:w="867"/>
        <w:gridCol w:w="867"/>
        <w:gridCol w:w="867"/>
        <w:gridCol w:w="867"/>
        <w:gridCol w:w="866"/>
      </w:tblGrid>
      <w:tr w:rsidR="0094366E" w:rsidRPr="0094366E" w:rsidTr="0094366E">
        <w:trPr>
          <w:trHeight w:val="449"/>
          <w:jc w:val="center"/>
        </w:trPr>
        <w:tc>
          <w:tcPr>
            <w:tcW w:w="7802" w:type="dxa"/>
            <w:gridSpan w:val="9"/>
            <w:tcBorders>
              <w:top w:val="single" w:sz="4" w:space="0" w:color="auto"/>
              <w:left w:val="single" w:sz="4" w:space="0" w:color="auto"/>
              <w:bottom w:val="nil"/>
              <w:right w:val="single" w:sz="4" w:space="0" w:color="000000"/>
            </w:tcBorders>
            <w:shd w:val="clear" w:color="auto" w:fill="4BACC6"/>
            <w:noWrap/>
            <w:vAlign w:val="center"/>
            <w:hideMark/>
          </w:tcPr>
          <w:p w:rsidR="0094366E" w:rsidRPr="0094366E" w:rsidRDefault="0094366E" w:rsidP="0094366E">
            <w:pPr>
              <w:autoSpaceDN w:val="0"/>
              <w:ind w:right="-10"/>
              <w:jc w:val="center"/>
              <w:rPr>
                <w:rFonts w:ascii="Calibri" w:hAnsi="Calibri"/>
                <w:b/>
                <w:bCs/>
                <w:color w:val="000000"/>
                <w:szCs w:val="24"/>
              </w:rPr>
            </w:pPr>
            <w:r w:rsidRPr="0094366E">
              <w:rPr>
                <w:rFonts w:ascii="Calibri" w:hAnsi="Calibri"/>
                <w:b/>
                <w:bCs/>
                <w:color w:val="000000"/>
                <w:szCs w:val="24"/>
              </w:rPr>
              <w:t>Historical and Projected Neurovascular Case Volume</w:t>
            </w:r>
          </w:p>
        </w:tc>
      </w:tr>
      <w:tr w:rsidR="0094366E" w:rsidRPr="0094366E" w:rsidTr="0094366E">
        <w:trPr>
          <w:trHeight w:val="300"/>
          <w:jc w:val="center"/>
        </w:trPr>
        <w:tc>
          <w:tcPr>
            <w:tcW w:w="867" w:type="dxa"/>
            <w:tcBorders>
              <w:top w:val="single" w:sz="4" w:space="0" w:color="auto"/>
              <w:left w:val="single" w:sz="4" w:space="0" w:color="auto"/>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 xml:space="preserve">FY17 </w:t>
            </w:r>
          </w:p>
        </w:tc>
        <w:tc>
          <w:tcPr>
            <w:tcW w:w="867"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 xml:space="preserve">FY18 </w:t>
            </w:r>
          </w:p>
        </w:tc>
        <w:tc>
          <w:tcPr>
            <w:tcW w:w="867"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 xml:space="preserve"> FY19 </w:t>
            </w:r>
          </w:p>
        </w:tc>
        <w:tc>
          <w:tcPr>
            <w:tcW w:w="867"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 xml:space="preserve">FY20 </w:t>
            </w:r>
          </w:p>
        </w:tc>
        <w:tc>
          <w:tcPr>
            <w:tcW w:w="867"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 xml:space="preserve">FY21 </w:t>
            </w:r>
          </w:p>
        </w:tc>
        <w:tc>
          <w:tcPr>
            <w:tcW w:w="867"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 xml:space="preserve">FY22* </w:t>
            </w:r>
          </w:p>
        </w:tc>
        <w:tc>
          <w:tcPr>
            <w:tcW w:w="867"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FY23</w:t>
            </w:r>
          </w:p>
        </w:tc>
        <w:tc>
          <w:tcPr>
            <w:tcW w:w="867"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 xml:space="preserve"> FY24 </w:t>
            </w:r>
          </w:p>
        </w:tc>
        <w:tc>
          <w:tcPr>
            <w:tcW w:w="866"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FY25</w:t>
            </w:r>
          </w:p>
        </w:tc>
      </w:tr>
      <w:tr w:rsidR="0094366E" w:rsidRPr="0094366E" w:rsidTr="0094366E">
        <w:trPr>
          <w:trHeight w:val="300"/>
          <w:jc w:val="center"/>
        </w:trPr>
        <w:tc>
          <w:tcPr>
            <w:tcW w:w="867" w:type="dxa"/>
            <w:tcBorders>
              <w:top w:val="nil"/>
              <w:left w:val="single" w:sz="4" w:space="0" w:color="auto"/>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335</w:t>
            </w:r>
          </w:p>
        </w:tc>
        <w:tc>
          <w:tcPr>
            <w:tcW w:w="86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350</w:t>
            </w:r>
          </w:p>
        </w:tc>
        <w:tc>
          <w:tcPr>
            <w:tcW w:w="86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198</w:t>
            </w:r>
          </w:p>
        </w:tc>
        <w:tc>
          <w:tcPr>
            <w:tcW w:w="86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400</w:t>
            </w:r>
          </w:p>
        </w:tc>
        <w:tc>
          <w:tcPr>
            <w:tcW w:w="86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450</w:t>
            </w:r>
          </w:p>
        </w:tc>
        <w:tc>
          <w:tcPr>
            <w:tcW w:w="86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475</w:t>
            </w:r>
          </w:p>
        </w:tc>
        <w:tc>
          <w:tcPr>
            <w:tcW w:w="86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500</w:t>
            </w:r>
          </w:p>
        </w:tc>
        <w:tc>
          <w:tcPr>
            <w:tcW w:w="86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525</w:t>
            </w:r>
          </w:p>
        </w:tc>
        <w:tc>
          <w:tcPr>
            <w:tcW w:w="866"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550</w:t>
            </w:r>
          </w:p>
        </w:tc>
      </w:tr>
      <w:tr w:rsidR="0094366E" w:rsidRPr="0094366E" w:rsidTr="0094366E">
        <w:trPr>
          <w:trHeight w:val="300"/>
          <w:jc w:val="center"/>
        </w:trPr>
        <w:tc>
          <w:tcPr>
            <w:tcW w:w="7802" w:type="dxa"/>
            <w:gridSpan w:val="9"/>
            <w:tcBorders>
              <w:top w:val="nil"/>
              <w:left w:val="single" w:sz="4" w:space="0" w:color="auto"/>
              <w:bottom w:val="single" w:sz="4" w:space="0" w:color="auto"/>
              <w:right w:val="single" w:sz="4" w:space="0" w:color="000000"/>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w:t>
            </w:r>
            <w:r w:rsidRPr="0094366E">
              <w:rPr>
                <w:rFonts w:ascii="Calibri" w:hAnsi="Calibri"/>
                <w:color w:val="000000"/>
                <w:sz w:val="22"/>
                <w:szCs w:val="22"/>
              </w:rPr>
              <w:t>The new dedicated neurovascular interventional room will come online in FY22.</w:t>
            </w:r>
          </w:p>
        </w:tc>
      </w:tr>
    </w:tbl>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Following the physician’s departure, the hospital entered into a long-term arrangement for neuro-interventional radiology physician services.  Prior to this arrangement the Hospital reports that annually approximately 100-150 patients were referred to other regional neurovascular centers located in Hartford, Albany, Boston, or Worcester thereby requiring patients in need of ongoing services to travel outside the Hospital’s service area. The Hospital reports that this travel is inconvenient for patients and can lead to non-compliance with regular appointments and poor outcomes. The arrangement with radiology physician services will support the Hospital’s existing acute stroke service that serves emergent cases, while also allowing it to develop an elective service for patients who have had, or are at risk of stroke and may require further evaluation and intervention. Once treated, such neurovascular patients require regular, follow-up radiology studies to assure that their condition remains stable. The Hospital believes that access to elective neuro-interventional radiology and related physician services will ensure improved health outcomes and quality of life for current stroke patients, patients at risk for stroke and other neurological conditions.</w:t>
      </w:r>
    </w:p>
    <w:p w:rsidR="0094366E" w:rsidRPr="0094366E" w:rsidRDefault="0094366E" w:rsidP="0094366E">
      <w:pPr>
        <w:widowControl w:val="0"/>
        <w:autoSpaceDE w:val="0"/>
        <w:autoSpaceDN w:val="0"/>
        <w:spacing w:before="199"/>
        <w:ind w:left="900" w:right="-10"/>
        <w:rPr>
          <w:rFonts w:ascii="Calibri" w:eastAsia="Calibri" w:hAnsi="Calibri" w:cs="Calibri"/>
          <w:b/>
          <w:i/>
          <w:szCs w:val="24"/>
          <w:lang w:bidi="en-US"/>
        </w:rPr>
      </w:pPr>
      <w:r w:rsidRPr="0094366E">
        <w:rPr>
          <w:rFonts w:ascii="Calibri" w:eastAsia="Calibri" w:hAnsi="Calibri" w:cs="Calibri"/>
          <w:b/>
          <w:i/>
          <w:szCs w:val="24"/>
          <w:lang w:bidi="en-US"/>
        </w:rPr>
        <w:t>Shared “Flex” Interventional Room</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Baystate states that the second new interventional room will be a “flex” room to meet the needs of two services, neurology and cardiology and will be equipped to accommodate overflow neurovascular, EP,</w:t>
      </w:r>
      <w:r w:rsidRPr="0094366E">
        <w:rPr>
          <w:rFonts w:ascii="Calibri" w:eastAsia="Calibri" w:hAnsi="Calibri" w:cs="Calibri"/>
          <w:szCs w:val="24"/>
          <w:vertAlign w:val="superscript"/>
          <w:lang w:bidi="en-US"/>
        </w:rPr>
        <w:footnoteReference w:id="5"/>
      </w:r>
      <w:r w:rsidRPr="0094366E">
        <w:rPr>
          <w:rFonts w:ascii="Calibri" w:eastAsia="Calibri" w:hAnsi="Calibri" w:cs="Calibri"/>
          <w:szCs w:val="24"/>
          <w:lang w:bidi="en-US"/>
        </w:rPr>
        <w:t xml:space="preserve"> and cardiac procedures.</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First, the “flex” room will address the Comprehensive Stroke Center certification requirement that a facility have the capability to simultaneously perform two neurovascular interventional cases for acute stroke patients in an emergency.</w:t>
      </w:r>
      <w:r w:rsidRPr="0094366E">
        <w:rPr>
          <w:rFonts w:ascii="Calibri" w:eastAsia="Calibri" w:hAnsi="Calibri" w:cs="Calibri"/>
          <w:szCs w:val="24"/>
          <w:vertAlign w:val="superscript"/>
          <w:lang w:bidi="en-US"/>
        </w:rPr>
        <w:footnoteReference w:id="6"/>
      </w:r>
      <w:r w:rsidRPr="0094366E">
        <w:rPr>
          <w:rFonts w:ascii="Calibri" w:eastAsia="Calibri" w:hAnsi="Calibri" w:cs="Calibri"/>
          <w:szCs w:val="24"/>
          <w:lang w:bidi="en-US"/>
        </w:rPr>
        <w:t xml:space="preserve"> </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 xml:space="preserve">Additionally, Baystate states the need for the new flex interventional room is based on new patient panel demand for interventional cases in cardiology that was not anticipated when Amendment #7 for the procedure rooms was filed. The increase is attributable to improvements in technology and changes in clinical indications that have expanded the pool of patients eligible to receive these cardiac procedures. These include EP ablation procedures and structural heart procedures, such as left atrial appendage occlusion (“Watchman”) and transcatheter aortic valve replacement (“TAVR”). </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lastRenderedPageBreak/>
        <w:t>The Watchman is a small implantable device placed into the heart that can reduce the risk of stroke in patients with atrial fibrillation. It was originally approved by the Food and Drug Administration for use only in those patients who were deemed suitable for long-term oral anticoagulants (“OACs”).</w:t>
      </w:r>
      <w:r w:rsidRPr="0094366E">
        <w:rPr>
          <w:rFonts w:ascii="Calibri" w:eastAsia="Calibri" w:hAnsi="Calibri" w:cs="Calibri"/>
          <w:szCs w:val="24"/>
          <w:vertAlign w:val="superscript"/>
          <w:lang w:bidi="en-US"/>
        </w:rPr>
        <w:footnoteReference w:id="7"/>
      </w:r>
      <w:r w:rsidRPr="0094366E">
        <w:rPr>
          <w:rFonts w:ascii="Calibri" w:eastAsia="Calibri" w:hAnsi="Calibri" w:cs="Calibri"/>
          <w:szCs w:val="24"/>
          <w:lang w:bidi="en-US"/>
        </w:rPr>
        <w:t xml:space="preserve"> Subsequently, studies suggest the Watchman device implantation is effective and safe for patients with a contraindication to OACs, and those with a high risk of bleeding or have bleeding while on OACs.</w:t>
      </w:r>
      <w:r w:rsidRPr="0094366E">
        <w:rPr>
          <w:rFonts w:ascii="Calibri" w:eastAsia="Calibri" w:hAnsi="Calibri" w:cs="Calibri"/>
          <w:szCs w:val="24"/>
          <w:vertAlign w:val="superscript"/>
          <w:lang w:bidi="en-US"/>
        </w:rPr>
        <w:endnoteReference w:id="1"/>
      </w:r>
      <w:r w:rsidRPr="0094366E">
        <w:rPr>
          <w:rFonts w:ascii="Calibri" w:eastAsia="Calibri" w:hAnsi="Calibri" w:cs="Calibri"/>
          <w:szCs w:val="24"/>
          <w:lang w:bidi="en-US"/>
        </w:rPr>
        <w:t xml:space="preserve">  Consequently, it is now approved for reimbursement by the Centers for Medicare &amp; Medicaid Services and by an increasing number of commercial insurers for an expanded number of patients, including those deemed not suitable for long-term OACs. As a result, ablation/Watchman volume has grown approximately 16% from FY17-FY19 (from 345 to 400 cases).</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TAVR was previously only utilized in cases involving patients at intermediate to high surgical risk, or those who were inoperable.  This procedure has been explored in the literature as an alternative to open valve replacement surgery in low risk patients</w:t>
      </w:r>
      <w:r w:rsidRPr="0094366E">
        <w:rPr>
          <w:rFonts w:ascii="Calibri" w:eastAsia="Calibri" w:hAnsi="Calibri" w:cs="Calibri"/>
          <w:szCs w:val="24"/>
          <w:vertAlign w:val="superscript"/>
          <w:lang w:bidi="en-US"/>
        </w:rPr>
        <w:endnoteReference w:id="2"/>
      </w:r>
      <w:r w:rsidRPr="0094366E">
        <w:rPr>
          <w:rFonts w:ascii="Calibri" w:eastAsia="Calibri" w:hAnsi="Calibri" w:cs="Calibri"/>
          <w:szCs w:val="24"/>
          <w:lang w:bidi="en-US"/>
        </w:rPr>
        <w:t xml:space="preserve">. Consequently, TAVR volume has grown 28% from FY17-FY19 (from 186 to 238 cases). </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p>
    <w:tbl>
      <w:tblPr>
        <w:tblW w:w="6601" w:type="dxa"/>
        <w:jc w:val="center"/>
        <w:tblLook w:val="04A0" w:firstRow="1" w:lastRow="0" w:firstColumn="1" w:lastColumn="0" w:noHBand="0" w:noVBand="1"/>
      </w:tblPr>
      <w:tblGrid>
        <w:gridCol w:w="2285"/>
        <w:gridCol w:w="798"/>
        <w:gridCol w:w="762"/>
        <w:gridCol w:w="916"/>
        <w:gridCol w:w="753"/>
        <w:gridCol w:w="753"/>
        <w:gridCol w:w="753"/>
      </w:tblGrid>
      <w:tr w:rsidR="0094366E" w:rsidRPr="0094366E" w:rsidTr="0094366E">
        <w:trPr>
          <w:trHeight w:val="413"/>
          <w:jc w:val="center"/>
        </w:trPr>
        <w:tc>
          <w:tcPr>
            <w:tcW w:w="6601" w:type="dxa"/>
            <w:gridSpan w:val="7"/>
            <w:tcBorders>
              <w:top w:val="single" w:sz="4" w:space="0" w:color="auto"/>
              <w:left w:val="single" w:sz="4" w:space="0" w:color="auto"/>
              <w:bottom w:val="single" w:sz="4" w:space="0" w:color="auto"/>
              <w:right w:val="single" w:sz="4" w:space="0" w:color="000000"/>
            </w:tcBorders>
            <w:shd w:val="clear" w:color="auto" w:fill="C5D9F1"/>
            <w:noWrap/>
            <w:vAlign w:val="bottom"/>
            <w:hideMark/>
          </w:tcPr>
          <w:p w:rsidR="0094366E" w:rsidRPr="0094366E" w:rsidRDefault="0094366E" w:rsidP="0094366E">
            <w:pPr>
              <w:autoSpaceDN w:val="0"/>
              <w:ind w:right="-10"/>
              <w:jc w:val="center"/>
              <w:rPr>
                <w:rFonts w:ascii="Calibri" w:hAnsi="Calibri"/>
                <w:b/>
                <w:color w:val="000000"/>
                <w:szCs w:val="24"/>
              </w:rPr>
            </w:pPr>
            <w:r w:rsidRPr="0094366E">
              <w:rPr>
                <w:rFonts w:ascii="Calibri" w:hAnsi="Calibri"/>
                <w:b/>
                <w:color w:val="000000"/>
                <w:szCs w:val="24"/>
              </w:rPr>
              <w:t xml:space="preserve">Projected High-Acuity Specialty Interventional Case Volume </w:t>
            </w:r>
          </w:p>
        </w:tc>
      </w:tr>
      <w:tr w:rsidR="0094366E" w:rsidRPr="0094366E" w:rsidTr="0094366E">
        <w:trPr>
          <w:trHeight w:val="300"/>
          <w:jc w:val="center"/>
        </w:trPr>
        <w:tc>
          <w:tcPr>
            <w:tcW w:w="2150" w:type="dxa"/>
            <w:tcBorders>
              <w:top w:val="nil"/>
              <w:left w:val="single" w:sz="4" w:space="0" w:color="auto"/>
              <w:bottom w:val="single" w:sz="4" w:space="0" w:color="auto"/>
              <w:right w:val="single" w:sz="4" w:space="0" w:color="auto"/>
            </w:tcBorders>
            <w:noWrap/>
            <w:vAlign w:val="bottom"/>
          </w:tcPr>
          <w:p w:rsidR="0094366E" w:rsidRPr="0094366E" w:rsidRDefault="0094366E" w:rsidP="0094366E">
            <w:pPr>
              <w:autoSpaceDN w:val="0"/>
              <w:ind w:right="-10"/>
              <w:rPr>
                <w:rFonts w:ascii="Calibri" w:hAnsi="Calibri"/>
                <w:color w:val="000000"/>
                <w:szCs w:val="24"/>
              </w:rPr>
            </w:pPr>
          </w:p>
        </w:tc>
        <w:tc>
          <w:tcPr>
            <w:tcW w:w="798"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FY20</w:t>
            </w:r>
          </w:p>
        </w:tc>
        <w:tc>
          <w:tcPr>
            <w:tcW w:w="762"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FY21</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FY22**</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FY23</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FY24</w:t>
            </w:r>
          </w:p>
        </w:tc>
        <w:tc>
          <w:tcPr>
            <w:tcW w:w="74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FY25</w:t>
            </w:r>
          </w:p>
        </w:tc>
      </w:tr>
      <w:tr w:rsidR="0094366E" w:rsidRPr="0094366E" w:rsidTr="0094366E">
        <w:trPr>
          <w:trHeight w:val="300"/>
          <w:jc w:val="center"/>
        </w:trPr>
        <w:tc>
          <w:tcPr>
            <w:tcW w:w="2150" w:type="dxa"/>
            <w:tcBorders>
              <w:top w:val="nil"/>
              <w:left w:val="single" w:sz="4" w:space="0" w:color="auto"/>
              <w:bottom w:val="single" w:sz="4" w:space="0" w:color="auto"/>
              <w:right w:val="single" w:sz="4" w:space="0" w:color="auto"/>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Neurovascular Procedures*</w:t>
            </w:r>
          </w:p>
        </w:tc>
        <w:tc>
          <w:tcPr>
            <w:tcW w:w="798"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400</w:t>
            </w:r>
          </w:p>
        </w:tc>
        <w:tc>
          <w:tcPr>
            <w:tcW w:w="762"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450</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475</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500</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525</w:t>
            </w:r>
          </w:p>
        </w:tc>
        <w:tc>
          <w:tcPr>
            <w:tcW w:w="74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550</w:t>
            </w:r>
          </w:p>
        </w:tc>
      </w:tr>
      <w:tr w:rsidR="0094366E" w:rsidRPr="0094366E" w:rsidTr="0094366E">
        <w:trPr>
          <w:trHeight w:val="300"/>
          <w:jc w:val="center"/>
        </w:trPr>
        <w:tc>
          <w:tcPr>
            <w:tcW w:w="2150" w:type="dxa"/>
            <w:tcBorders>
              <w:top w:val="nil"/>
              <w:left w:val="single" w:sz="4" w:space="0" w:color="auto"/>
              <w:bottom w:val="single" w:sz="4" w:space="0" w:color="auto"/>
              <w:right w:val="single" w:sz="4" w:space="0" w:color="auto"/>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 xml:space="preserve">Ablations/Watchman </w:t>
            </w:r>
          </w:p>
        </w:tc>
        <w:tc>
          <w:tcPr>
            <w:tcW w:w="798"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389</w:t>
            </w:r>
          </w:p>
        </w:tc>
        <w:tc>
          <w:tcPr>
            <w:tcW w:w="762"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480</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521</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582</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582</w:t>
            </w:r>
          </w:p>
        </w:tc>
        <w:tc>
          <w:tcPr>
            <w:tcW w:w="74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582</w:t>
            </w:r>
          </w:p>
        </w:tc>
      </w:tr>
      <w:tr w:rsidR="0094366E" w:rsidRPr="0094366E" w:rsidTr="0094366E">
        <w:trPr>
          <w:trHeight w:val="300"/>
          <w:jc w:val="center"/>
        </w:trPr>
        <w:tc>
          <w:tcPr>
            <w:tcW w:w="2150" w:type="dxa"/>
            <w:tcBorders>
              <w:top w:val="nil"/>
              <w:left w:val="single" w:sz="4" w:space="0" w:color="auto"/>
              <w:bottom w:val="single" w:sz="4" w:space="0" w:color="auto"/>
              <w:right w:val="single" w:sz="4" w:space="0" w:color="auto"/>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 xml:space="preserve">TAVR </w:t>
            </w:r>
          </w:p>
        </w:tc>
        <w:tc>
          <w:tcPr>
            <w:tcW w:w="798"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300</w:t>
            </w:r>
          </w:p>
        </w:tc>
        <w:tc>
          <w:tcPr>
            <w:tcW w:w="762"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356</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423</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450</w:t>
            </w:r>
          </w:p>
        </w:tc>
        <w:tc>
          <w:tcPr>
            <w:tcW w:w="717"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450</w:t>
            </w:r>
          </w:p>
        </w:tc>
        <w:tc>
          <w:tcPr>
            <w:tcW w:w="74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450</w:t>
            </w:r>
          </w:p>
        </w:tc>
      </w:tr>
      <w:tr w:rsidR="0094366E" w:rsidRPr="0094366E" w:rsidTr="0094366E">
        <w:trPr>
          <w:trHeight w:val="440"/>
          <w:jc w:val="center"/>
        </w:trPr>
        <w:tc>
          <w:tcPr>
            <w:tcW w:w="2150" w:type="dxa"/>
            <w:tcBorders>
              <w:top w:val="single" w:sz="4" w:space="0" w:color="auto"/>
              <w:left w:val="single" w:sz="4" w:space="0" w:color="auto"/>
              <w:bottom w:val="single" w:sz="4" w:space="0" w:color="auto"/>
              <w:right w:val="single" w:sz="4" w:space="0" w:color="auto"/>
            </w:tcBorders>
            <w:shd w:val="clear" w:color="auto" w:fill="95B3D7"/>
            <w:noWrap/>
            <w:vAlign w:val="bottom"/>
            <w:hideMark/>
          </w:tcPr>
          <w:p w:rsidR="0094366E" w:rsidRPr="0094366E" w:rsidRDefault="0094366E" w:rsidP="0094366E">
            <w:pPr>
              <w:autoSpaceDN w:val="0"/>
              <w:ind w:right="-10"/>
              <w:rPr>
                <w:rFonts w:ascii="Calibri" w:hAnsi="Calibri"/>
                <w:b/>
                <w:color w:val="000000"/>
                <w:szCs w:val="24"/>
              </w:rPr>
            </w:pPr>
            <w:r w:rsidRPr="0094366E">
              <w:rPr>
                <w:rFonts w:ascii="Calibri" w:hAnsi="Calibri"/>
                <w:b/>
                <w:color w:val="000000"/>
                <w:szCs w:val="24"/>
              </w:rPr>
              <w:t>Total</w:t>
            </w:r>
          </w:p>
        </w:tc>
        <w:tc>
          <w:tcPr>
            <w:tcW w:w="798" w:type="dxa"/>
            <w:tcBorders>
              <w:top w:val="single" w:sz="4" w:space="0" w:color="auto"/>
              <w:left w:val="nil"/>
              <w:bottom w:val="single" w:sz="4" w:space="0" w:color="auto"/>
              <w:right w:val="single" w:sz="4" w:space="0" w:color="auto"/>
            </w:tcBorders>
            <w:shd w:val="clear" w:color="auto" w:fill="95B3D7"/>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1,089 </w:t>
            </w:r>
          </w:p>
        </w:tc>
        <w:tc>
          <w:tcPr>
            <w:tcW w:w="762" w:type="dxa"/>
            <w:tcBorders>
              <w:top w:val="single" w:sz="4" w:space="0" w:color="auto"/>
              <w:left w:val="nil"/>
              <w:bottom w:val="single" w:sz="4" w:space="0" w:color="auto"/>
              <w:right w:val="single" w:sz="4" w:space="0" w:color="auto"/>
            </w:tcBorders>
            <w:shd w:val="clear" w:color="auto" w:fill="95B3D7"/>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1,286 </w:t>
            </w:r>
          </w:p>
        </w:tc>
        <w:tc>
          <w:tcPr>
            <w:tcW w:w="717" w:type="dxa"/>
            <w:tcBorders>
              <w:top w:val="single" w:sz="4" w:space="0" w:color="auto"/>
              <w:left w:val="nil"/>
              <w:bottom w:val="single" w:sz="4" w:space="0" w:color="auto"/>
              <w:right w:val="single" w:sz="4" w:space="0" w:color="auto"/>
            </w:tcBorders>
            <w:shd w:val="clear" w:color="auto" w:fill="95B3D7"/>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1,419 </w:t>
            </w:r>
          </w:p>
        </w:tc>
        <w:tc>
          <w:tcPr>
            <w:tcW w:w="717" w:type="dxa"/>
            <w:tcBorders>
              <w:top w:val="single" w:sz="4" w:space="0" w:color="auto"/>
              <w:left w:val="nil"/>
              <w:bottom w:val="single" w:sz="4" w:space="0" w:color="auto"/>
              <w:right w:val="single" w:sz="4" w:space="0" w:color="auto"/>
            </w:tcBorders>
            <w:shd w:val="clear" w:color="auto" w:fill="95B3D7"/>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1,532 </w:t>
            </w:r>
          </w:p>
        </w:tc>
        <w:tc>
          <w:tcPr>
            <w:tcW w:w="717" w:type="dxa"/>
            <w:tcBorders>
              <w:top w:val="single" w:sz="4" w:space="0" w:color="auto"/>
              <w:left w:val="nil"/>
              <w:bottom w:val="single" w:sz="4" w:space="0" w:color="auto"/>
              <w:right w:val="single" w:sz="4" w:space="0" w:color="auto"/>
            </w:tcBorders>
            <w:shd w:val="clear" w:color="auto" w:fill="95B3D7"/>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1,557 </w:t>
            </w:r>
          </w:p>
        </w:tc>
        <w:tc>
          <w:tcPr>
            <w:tcW w:w="740" w:type="dxa"/>
            <w:tcBorders>
              <w:top w:val="single" w:sz="4" w:space="0" w:color="auto"/>
              <w:left w:val="nil"/>
              <w:bottom w:val="single" w:sz="4" w:space="0" w:color="auto"/>
              <w:right w:val="single" w:sz="4" w:space="0" w:color="auto"/>
            </w:tcBorders>
            <w:shd w:val="clear" w:color="auto" w:fill="95B3D7"/>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1,582 </w:t>
            </w:r>
          </w:p>
        </w:tc>
      </w:tr>
      <w:tr w:rsidR="0094366E" w:rsidRPr="0094366E" w:rsidTr="0094366E">
        <w:trPr>
          <w:trHeight w:val="314"/>
          <w:jc w:val="center"/>
        </w:trPr>
        <w:tc>
          <w:tcPr>
            <w:tcW w:w="6601" w:type="dxa"/>
            <w:gridSpan w:val="7"/>
            <w:tcBorders>
              <w:top w:val="single" w:sz="4" w:space="0" w:color="auto"/>
              <w:left w:val="single" w:sz="4" w:space="0" w:color="auto"/>
              <w:bottom w:val="single" w:sz="4" w:space="0" w:color="auto"/>
              <w:right w:val="single" w:sz="4" w:space="0" w:color="auto"/>
            </w:tcBorders>
            <w:shd w:val="clear" w:color="auto" w:fill="95B3D7"/>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*These neuro procedures are the same as in the chart above</w:t>
            </w:r>
          </w:p>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**The Flex room will come online in FY22</w:t>
            </w:r>
          </w:p>
        </w:tc>
      </w:tr>
    </w:tbl>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 xml:space="preserve">As shown above, the five year projected growth of 37.5% for neurovascular cases; and 50% growth each for Ablation/Watchman and TAVR is attributable to advances in technology and clinical applications, and the increasing incidence of cardiologic and neurologic conditions associated with age. </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The applicant notes that during normal business hours,</w:t>
      </w:r>
      <w:r w:rsidRPr="0094366E">
        <w:rPr>
          <w:rFonts w:ascii="Calibri" w:eastAsia="Calibri" w:hAnsi="Calibri" w:cs="Calibri"/>
          <w:szCs w:val="24"/>
          <w:vertAlign w:val="superscript"/>
          <w:lang w:bidi="en-US"/>
        </w:rPr>
        <w:footnoteReference w:id="8"/>
      </w:r>
      <w:r w:rsidRPr="0094366E">
        <w:rPr>
          <w:rFonts w:ascii="Calibri" w:eastAsia="Calibri" w:hAnsi="Calibri" w:cs="Calibri"/>
          <w:szCs w:val="24"/>
          <w:lang w:bidi="en-US"/>
        </w:rPr>
        <w:t xml:space="preserve"> 90% capacity of a room is approximately 450 cases per year.  </w:t>
      </w:r>
    </w:p>
    <w:p w:rsidR="0094366E" w:rsidRPr="0094366E" w:rsidRDefault="0094366E" w:rsidP="0094366E">
      <w:pPr>
        <w:widowControl w:val="0"/>
        <w:autoSpaceDE w:val="0"/>
        <w:autoSpaceDN w:val="0"/>
        <w:spacing w:before="199"/>
        <w:ind w:left="900" w:right="-10"/>
        <w:rPr>
          <w:rFonts w:ascii="Calibri" w:eastAsia="Calibri" w:hAnsi="Calibri" w:cs="Calibri"/>
          <w:b/>
          <w:i/>
          <w:szCs w:val="24"/>
          <w:lang w:bidi="en-US"/>
        </w:rPr>
      </w:pPr>
      <w:r w:rsidRPr="0094366E">
        <w:rPr>
          <w:rFonts w:ascii="Calibri" w:eastAsia="Calibri" w:hAnsi="Calibri" w:cs="Calibri"/>
          <w:b/>
          <w:i/>
          <w:szCs w:val="24"/>
          <w:lang w:bidi="en-US"/>
        </w:rPr>
        <w:t>Staff Analysis and Findings</w:t>
      </w:r>
    </w:p>
    <w:p w:rsidR="0094366E" w:rsidRPr="0094366E" w:rsidRDefault="0094366E" w:rsidP="0094366E">
      <w:pPr>
        <w:widowControl w:val="0"/>
        <w:autoSpaceDE w:val="0"/>
        <w:autoSpaceDN w:val="0"/>
        <w:spacing w:before="199"/>
        <w:ind w:left="900" w:right="-10"/>
        <w:rPr>
          <w:rFonts w:ascii="Calibri" w:eastAsia="Calibri" w:hAnsi="Calibri" w:cs="Calibri"/>
          <w:szCs w:val="24"/>
          <w:lang w:bidi="en-US"/>
        </w:rPr>
      </w:pPr>
      <w:r w:rsidRPr="0094366E">
        <w:rPr>
          <w:rFonts w:ascii="Calibri" w:eastAsia="Calibri" w:hAnsi="Calibri" w:cs="Calibri"/>
          <w:szCs w:val="24"/>
          <w:lang w:bidi="en-US"/>
        </w:rPr>
        <w:t xml:space="preserve">Interventional procedure capabilities are integral for the diagnosis and treatment of cardiologic and neurologic patients. For example, in neurology its use includes diagnosis and treatment of strokes and aneurisms, and in both vascular disease and cardiology its use </w:t>
      </w:r>
      <w:r w:rsidRPr="0094366E">
        <w:rPr>
          <w:rFonts w:ascii="Calibri" w:eastAsia="Calibri" w:hAnsi="Calibri" w:cs="Calibri"/>
          <w:szCs w:val="24"/>
          <w:lang w:bidi="en-US"/>
        </w:rPr>
        <w:lastRenderedPageBreak/>
        <w:t>includes diagnosis and treatment of deep vein thrombosis, aneurisms, and placement of heart valves and stents.</w:t>
      </w:r>
      <w:r w:rsidRPr="0094366E">
        <w:rPr>
          <w:rFonts w:ascii="Calibri" w:eastAsia="Calibri" w:hAnsi="Calibri" w:cs="Calibri"/>
          <w:szCs w:val="24"/>
          <w:vertAlign w:val="superscript"/>
          <w:lang w:bidi="en-US"/>
        </w:rPr>
        <w:endnoteReference w:id="3"/>
      </w:r>
      <w:r w:rsidRPr="0094366E">
        <w:rPr>
          <w:rFonts w:ascii="Calibri" w:eastAsia="Calibri" w:hAnsi="Calibri" w:cs="Calibri"/>
          <w:szCs w:val="24"/>
          <w:lang w:bidi="en-US"/>
        </w:rPr>
        <w:t xml:space="preserve"> The use of appropriate interventional radiology is associated with better outcomes due to reduced pain, less risk and shorter recovery times than conventional surgery.</w:t>
      </w:r>
      <w:r w:rsidRPr="0094366E">
        <w:rPr>
          <w:rFonts w:ascii="Calibri" w:eastAsia="Calibri" w:hAnsi="Calibri" w:cs="Calibri"/>
          <w:szCs w:val="24"/>
          <w:vertAlign w:val="superscript"/>
          <w:lang w:bidi="en-US"/>
        </w:rPr>
        <w:endnoteReference w:id="4"/>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Staff notes that with the advances in technology and expansion of payments for these procedures, it is preferable for patients to receive their treatments closer to home as the improved outcomes have been demonstrated when care is available locally. Therefore, staff finds that the Hospital has made a reasonable argument for approval of this expansion of an existing service for two interventional procedure rooms to be located in the second floor of the HOF, that it is needed and within the scope of the original DoN approval.</w:t>
      </w:r>
    </w:p>
    <w:p w:rsidR="0094366E" w:rsidRPr="0094366E" w:rsidRDefault="0094366E" w:rsidP="0094366E">
      <w:pPr>
        <w:widowControl w:val="0"/>
        <w:autoSpaceDE w:val="0"/>
        <w:autoSpaceDN w:val="0"/>
        <w:spacing w:before="199"/>
        <w:ind w:left="900" w:right="-10"/>
        <w:rPr>
          <w:rFonts w:ascii="Calibri" w:eastAsia="Calibri" w:hAnsi="Calibri" w:cs="Calibri"/>
          <w:b/>
          <w:szCs w:val="22"/>
          <w:lang w:bidi="en-US"/>
        </w:rPr>
      </w:pPr>
    </w:p>
    <w:p w:rsidR="0094366E" w:rsidRPr="0094366E" w:rsidRDefault="0094366E" w:rsidP="0094366E">
      <w:pPr>
        <w:widowControl w:val="0"/>
        <w:autoSpaceDE w:val="0"/>
        <w:autoSpaceDN w:val="0"/>
        <w:spacing w:before="199"/>
        <w:ind w:left="900" w:right="-10"/>
        <w:rPr>
          <w:rFonts w:ascii="Calibri" w:eastAsia="Calibri" w:hAnsi="Calibri" w:cs="Calibri"/>
          <w:b/>
          <w:szCs w:val="22"/>
          <w:lang w:bidi="en-US"/>
        </w:rPr>
      </w:pPr>
      <w:r w:rsidRPr="0094366E">
        <w:rPr>
          <w:rFonts w:ascii="Calibri" w:eastAsia="Calibri" w:hAnsi="Calibri" w:cs="Calibri"/>
          <w:b/>
          <w:szCs w:val="22"/>
          <w:u w:val="single"/>
          <w:lang w:bidi="en-US"/>
        </w:rPr>
        <w:t>Proposed Amendment: Need to Expand CT services</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Baystate is requesting the addition of one additional Computed Tomography (CT) unit to its emergency department (ED). The addition of one CT unit in the ED will bring the total number of CT units in the HOF Building ED to three units and the total number of CT units on the Hospital’s main campus to five. At the time of this DoN approval (2007), CT was not included on the list of DoN-required equipment, and that approval included the potentiality that radiology services would be expanded or changed to remain in alignment with the needs of the service area population.</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 xml:space="preserve">Baystate cites four principal reasons that have driven historic growth and expects these will continue: </w:t>
      </w:r>
    </w:p>
    <w:p w:rsidR="0094366E" w:rsidRPr="0094366E" w:rsidRDefault="0094366E" w:rsidP="0094366E">
      <w:pPr>
        <w:widowControl w:val="0"/>
        <w:numPr>
          <w:ilvl w:val="0"/>
          <w:numId w:val="20"/>
        </w:numPr>
        <w:autoSpaceDE w:val="0"/>
        <w:autoSpaceDN w:val="0"/>
        <w:spacing w:before="199"/>
        <w:ind w:right="-10"/>
        <w:rPr>
          <w:rFonts w:ascii="Calibri" w:eastAsia="Calibri" w:hAnsi="Calibri" w:cs="Calibri"/>
          <w:szCs w:val="22"/>
          <w:lang w:bidi="en-US"/>
        </w:rPr>
      </w:pPr>
      <w:r w:rsidRPr="0094366E">
        <w:rPr>
          <w:rFonts w:ascii="Calibri" w:eastAsia="Calibri" w:hAnsi="Calibri" w:cs="Calibri"/>
          <w:szCs w:val="22"/>
          <w:lang w:bidi="en-US"/>
        </w:rPr>
        <w:t>It operates the only Level One Trauma center in the region bringing in a high volume of high-acuity patients in need of CT imaging.</w:t>
      </w:r>
    </w:p>
    <w:p w:rsidR="0094366E" w:rsidRPr="0094366E" w:rsidRDefault="0094366E" w:rsidP="0094366E">
      <w:pPr>
        <w:widowControl w:val="0"/>
        <w:numPr>
          <w:ilvl w:val="0"/>
          <w:numId w:val="20"/>
        </w:numPr>
        <w:autoSpaceDE w:val="0"/>
        <w:autoSpaceDN w:val="0"/>
        <w:spacing w:before="199"/>
        <w:ind w:right="-10"/>
        <w:rPr>
          <w:rFonts w:ascii="Calibri" w:eastAsia="Calibri" w:hAnsi="Calibri" w:cs="Calibri"/>
          <w:szCs w:val="22"/>
          <w:lang w:bidi="en-US"/>
        </w:rPr>
      </w:pPr>
      <w:r w:rsidRPr="0094366E">
        <w:rPr>
          <w:rFonts w:ascii="Calibri" w:eastAsia="Calibri" w:hAnsi="Calibri" w:cs="Calibri"/>
          <w:szCs w:val="22"/>
          <w:lang w:bidi="en-US"/>
        </w:rPr>
        <w:t>It operates a stroke center in which patients need immediate scans to determine the severity of the stoke and the appropriate treatment to mitigate the extent of the damage to the brain.</w:t>
      </w:r>
    </w:p>
    <w:p w:rsidR="0094366E" w:rsidRPr="0094366E" w:rsidRDefault="0094366E" w:rsidP="0094366E">
      <w:pPr>
        <w:widowControl w:val="0"/>
        <w:numPr>
          <w:ilvl w:val="0"/>
          <w:numId w:val="20"/>
        </w:numPr>
        <w:autoSpaceDE w:val="0"/>
        <w:autoSpaceDN w:val="0"/>
        <w:spacing w:before="199"/>
        <w:ind w:right="-10"/>
        <w:rPr>
          <w:rFonts w:ascii="Calibri" w:eastAsia="Calibri" w:hAnsi="Calibri" w:cs="Calibri"/>
          <w:szCs w:val="22"/>
          <w:lang w:bidi="en-US"/>
        </w:rPr>
      </w:pPr>
      <w:r w:rsidRPr="0094366E">
        <w:rPr>
          <w:rFonts w:ascii="Calibri" w:eastAsia="Calibri" w:hAnsi="Calibri" w:cs="Calibri"/>
          <w:szCs w:val="22"/>
          <w:lang w:bidi="en-US"/>
        </w:rPr>
        <w:t>As a tertiary acute care hospital, it experiences high inpatient demand for CT and utilizes CT units in the ED for inpatient cases as well.</w:t>
      </w:r>
    </w:p>
    <w:p w:rsidR="0094366E" w:rsidRPr="0094366E" w:rsidRDefault="0094366E" w:rsidP="0094366E">
      <w:pPr>
        <w:widowControl w:val="0"/>
        <w:numPr>
          <w:ilvl w:val="0"/>
          <w:numId w:val="20"/>
        </w:numPr>
        <w:autoSpaceDE w:val="0"/>
        <w:autoSpaceDN w:val="0"/>
        <w:spacing w:before="199"/>
        <w:ind w:right="-10"/>
        <w:rPr>
          <w:rFonts w:ascii="Calibri" w:eastAsia="Calibri" w:hAnsi="Calibri" w:cs="Calibri"/>
          <w:szCs w:val="22"/>
          <w:lang w:bidi="en-US"/>
        </w:rPr>
      </w:pPr>
      <w:r w:rsidRPr="0094366E">
        <w:rPr>
          <w:rFonts w:ascii="Calibri" w:eastAsia="Calibri" w:hAnsi="Calibri" w:cs="Calibri"/>
          <w:szCs w:val="22"/>
          <w:lang w:bidi="en-US"/>
        </w:rPr>
        <w:t xml:space="preserve">It has seen growth in cardiac and circulatory system CT scans system for inpatients and ED patients (and projects a growth rate of about 10% per year over the next few years). </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 xml:space="preserve">Similar to the interventional patient panel demand, the need for CT is expected to increase as the number of patients within the 65+ age cohort grows. Both statewide and local population projections provided by the University of Massachusetts Donahue Institute suggest that the 65+ cohort will increase at a rate higher than all other age cohorts over the next 10-15 years, </w:t>
      </w:r>
      <w:r w:rsidRPr="0094366E">
        <w:rPr>
          <w:rFonts w:ascii="Calibri" w:eastAsia="Calibri" w:hAnsi="Calibri" w:cs="Calibri"/>
          <w:szCs w:val="22"/>
          <w:lang w:bidi="en-US"/>
        </w:rPr>
        <w:lastRenderedPageBreak/>
        <w:t>such that residents that are 65+ will represent roughly a quarter of the state’s population by 2035. This increase in older adult patients is significant as it is well documented that CT is extremely beneficial with a variety of conditions that have higher incidence rates related to aging.</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As the only tertiary academic medical center, and the only Level 1 Trauma Center in Western Massachusetts, Baystate experiences a large volume of high-acuity patients in its emergency department (ED). Consequent to this role, the Hospital performs a high volume of critical (and non-critical) CT scans, which the hospital states, often overwhelms the two existing CT units located in the ED, causing delays. The Hospital reports that a non-critical ED CT scan at the Hospital currently averages two hours from order to completion, although its target turnaround is one hour. The Hospital anticipates that the addition of a third CT unit in the ED will reduce wait-times for non-emergent strokes to the target of one hour and improve access to care for ED patients and inpatients as well.</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 xml:space="preserve">The chart below shows the three year increase volume in ED CT scans relative to ED visits and the main campus wide CT volume. The growth is not attributable solely to patients in the ED. Baystate explains that currently, there is one non-ED CT unit designated for inpatient use. Inpatient cases are frequently diverted to the ED units, due to high inpatient demand and/or the proximity of the ED CT units to critical care areas. This adds to the demands on the two existing CT units in the ED, causing delays for patients requiring CT’s. </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 xml:space="preserve"> </w:t>
      </w:r>
    </w:p>
    <w:tbl>
      <w:tblPr>
        <w:tblW w:w="5550" w:type="dxa"/>
        <w:jc w:val="center"/>
        <w:tblLook w:val="04A0" w:firstRow="1" w:lastRow="0" w:firstColumn="1" w:lastColumn="0" w:noHBand="0" w:noVBand="1"/>
      </w:tblPr>
      <w:tblGrid>
        <w:gridCol w:w="2040"/>
        <w:gridCol w:w="1170"/>
        <w:gridCol w:w="996"/>
        <w:gridCol w:w="1350"/>
      </w:tblGrid>
      <w:tr w:rsidR="0094366E" w:rsidRPr="0094366E" w:rsidTr="0094366E">
        <w:trPr>
          <w:trHeight w:val="359"/>
          <w:jc w:val="center"/>
        </w:trPr>
        <w:tc>
          <w:tcPr>
            <w:tcW w:w="5550"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rsidR="0094366E" w:rsidRPr="0094366E" w:rsidRDefault="0094366E" w:rsidP="0094366E">
            <w:pPr>
              <w:autoSpaceDN w:val="0"/>
              <w:ind w:right="-10"/>
              <w:jc w:val="center"/>
              <w:rPr>
                <w:rFonts w:ascii="Calibri" w:hAnsi="Calibri"/>
                <w:b/>
                <w:color w:val="000000"/>
                <w:szCs w:val="24"/>
              </w:rPr>
            </w:pPr>
            <w:r w:rsidRPr="0094366E">
              <w:rPr>
                <w:rFonts w:ascii="Calibri" w:hAnsi="Calibri"/>
                <w:b/>
                <w:color w:val="000000"/>
                <w:szCs w:val="24"/>
              </w:rPr>
              <w:t>Historic Hospital-Based CT Demand</w:t>
            </w:r>
          </w:p>
        </w:tc>
      </w:tr>
      <w:tr w:rsidR="0094366E" w:rsidRPr="0094366E" w:rsidTr="0094366E">
        <w:trPr>
          <w:trHeight w:val="350"/>
          <w:jc w:val="center"/>
        </w:trPr>
        <w:tc>
          <w:tcPr>
            <w:tcW w:w="2040" w:type="dxa"/>
            <w:tcBorders>
              <w:top w:val="single" w:sz="4" w:space="0" w:color="auto"/>
              <w:left w:val="single" w:sz="4" w:space="0" w:color="auto"/>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Volume</w:t>
            </w:r>
          </w:p>
        </w:tc>
        <w:tc>
          <w:tcPr>
            <w:tcW w:w="1170"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FY17</w:t>
            </w:r>
          </w:p>
        </w:tc>
        <w:tc>
          <w:tcPr>
            <w:tcW w:w="990"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FY19</w:t>
            </w:r>
          </w:p>
        </w:tc>
        <w:tc>
          <w:tcPr>
            <w:tcW w:w="1350" w:type="dxa"/>
            <w:tcBorders>
              <w:top w:val="single" w:sz="4" w:space="0" w:color="auto"/>
              <w:left w:val="nil"/>
              <w:bottom w:val="single" w:sz="4" w:space="0" w:color="auto"/>
              <w:right w:val="single" w:sz="4" w:space="0" w:color="auto"/>
            </w:tcBorders>
            <w:shd w:val="clear" w:color="auto" w:fill="DAEEF3"/>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 growth</w:t>
            </w:r>
          </w:p>
        </w:tc>
      </w:tr>
      <w:tr w:rsidR="0094366E" w:rsidRPr="0094366E" w:rsidTr="0094366E">
        <w:trPr>
          <w:trHeight w:val="260"/>
          <w:jc w:val="center"/>
        </w:trPr>
        <w:tc>
          <w:tcPr>
            <w:tcW w:w="2040" w:type="dxa"/>
            <w:tcBorders>
              <w:top w:val="nil"/>
              <w:left w:val="single" w:sz="4" w:space="0" w:color="auto"/>
              <w:bottom w:val="single" w:sz="4" w:space="0" w:color="auto"/>
              <w:right w:val="single" w:sz="4" w:space="0" w:color="auto"/>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Total ED Visits</w:t>
            </w:r>
          </w:p>
        </w:tc>
        <w:tc>
          <w:tcPr>
            <w:tcW w:w="117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114,060 </w:t>
            </w:r>
          </w:p>
        </w:tc>
        <w:tc>
          <w:tcPr>
            <w:tcW w:w="99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116,392 </w:t>
            </w:r>
          </w:p>
        </w:tc>
        <w:tc>
          <w:tcPr>
            <w:tcW w:w="135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2%</w:t>
            </w:r>
          </w:p>
        </w:tc>
      </w:tr>
      <w:tr w:rsidR="0094366E" w:rsidRPr="0094366E" w:rsidTr="0094366E">
        <w:trPr>
          <w:trHeight w:val="251"/>
          <w:jc w:val="center"/>
        </w:trPr>
        <w:tc>
          <w:tcPr>
            <w:tcW w:w="2040" w:type="dxa"/>
            <w:tcBorders>
              <w:top w:val="nil"/>
              <w:left w:val="single" w:sz="4" w:space="0" w:color="auto"/>
              <w:bottom w:val="single" w:sz="4" w:space="0" w:color="auto"/>
              <w:right w:val="single" w:sz="4" w:space="0" w:color="auto"/>
            </w:tcBorders>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ED CT Scans</w:t>
            </w:r>
          </w:p>
        </w:tc>
        <w:tc>
          <w:tcPr>
            <w:tcW w:w="117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35,450 </w:t>
            </w:r>
          </w:p>
        </w:tc>
        <w:tc>
          <w:tcPr>
            <w:tcW w:w="99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42,901 </w:t>
            </w:r>
          </w:p>
        </w:tc>
        <w:tc>
          <w:tcPr>
            <w:tcW w:w="1350" w:type="dxa"/>
            <w:tcBorders>
              <w:top w:val="nil"/>
              <w:left w:val="nil"/>
              <w:bottom w:val="single" w:sz="4" w:space="0" w:color="auto"/>
              <w:right w:val="single" w:sz="4" w:space="0" w:color="auto"/>
            </w:tcBorders>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21%</w:t>
            </w:r>
          </w:p>
        </w:tc>
      </w:tr>
      <w:tr w:rsidR="0094366E" w:rsidRPr="0094366E" w:rsidTr="0094366E">
        <w:trPr>
          <w:trHeight w:val="431"/>
          <w:jc w:val="center"/>
        </w:trPr>
        <w:tc>
          <w:tcPr>
            <w:tcW w:w="2040"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rsidR="0094366E" w:rsidRPr="0094366E" w:rsidRDefault="0094366E" w:rsidP="0094366E">
            <w:pPr>
              <w:autoSpaceDN w:val="0"/>
              <w:ind w:right="-10"/>
              <w:rPr>
                <w:rFonts w:ascii="Calibri" w:hAnsi="Calibri"/>
                <w:color w:val="000000"/>
                <w:szCs w:val="24"/>
              </w:rPr>
            </w:pPr>
            <w:r w:rsidRPr="0094366E">
              <w:rPr>
                <w:rFonts w:ascii="Calibri" w:hAnsi="Calibri"/>
                <w:color w:val="000000"/>
                <w:szCs w:val="24"/>
              </w:rPr>
              <w:t>All CT Scans Main Campus</w:t>
            </w:r>
          </w:p>
        </w:tc>
        <w:tc>
          <w:tcPr>
            <w:tcW w:w="1170" w:type="dxa"/>
            <w:tcBorders>
              <w:top w:val="nil"/>
              <w:left w:val="nil"/>
              <w:bottom w:val="single" w:sz="4" w:space="0" w:color="auto"/>
              <w:right w:val="single" w:sz="4" w:space="0" w:color="auto"/>
            </w:tcBorders>
            <w:shd w:val="clear" w:color="auto" w:fill="B6DDE8" w:themeFill="accent5" w:themeFillTint="66"/>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           54,844 </w:t>
            </w:r>
          </w:p>
        </w:tc>
        <w:tc>
          <w:tcPr>
            <w:tcW w:w="990" w:type="dxa"/>
            <w:tcBorders>
              <w:top w:val="nil"/>
              <w:left w:val="nil"/>
              <w:bottom w:val="single" w:sz="4" w:space="0" w:color="auto"/>
              <w:right w:val="single" w:sz="4" w:space="0" w:color="auto"/>
            </w:tcBorders>
            <w:shd w:val="clear" w:color="auto" w:fill="B6DDE8" w:themeFill="accent5" w:themeFillTint="66"/>
            <w:noWrap/>
            <w:vAlign w:val="bottom"/>
            <w:hideMark/>
          </w:tcPr>
          <w:p w:rsidR="0094366E" w:rsidRPr="0094366E" w:rsidRDefault="0094366E" w:rsidP="0094366E">
            <w:pPr>
              <w:autoSpaceDN w:val="0"/>
              <w:ind w:right="-10"/>
              <w:jc w:val="right"/>
              <w:rPr>
                <w:rFonts w:ascii="Calibri" w:hAnsi="Calibri"/>
                <w:color w:val="000000"/>
                <w:szCs w:val="24"/>
              </w:rPr>
            </w:pPr>
            <w:r w:rsidRPr="0094366E">
              <w:rPr>
                <w:rFonts w:ascii="Calibri" w:hAnsi="Calibri"/>
                <w:color w:val="000000"/>
                <w:szCs w:val="24"/>
              </w:rPr>
              <w:t xml:space="preserve">           63,045 </w:t>
            </w:r>
          </w:p>
        </w:tc>
        <w:tc>
          <w:tcPr>
            <w:tcW w:w="1350" w:type="dxa"/>
            <w:tcBorders>
              <w:top w:val="nil"/>
              <w:left w:val="nil"/>
              <w:bottom w:val="single" w:sz="4" w:space="0" w:color="auto"/>
              <w:right w:val="single" w:sz="4" w:space="0" w:color="auto"/>
            </w:tcBorders>
            <w:shd w:val="clear" w:color="auto" w:fill="B6DDE8" w:themeFill="accent5" w:themeFillTint="66"/>
            <w:noWrap/>
            <w:vAlign w:val="bottom"/>
            <w:hideMark/>
          </w:tcPr>
          <w:p w:rsidR="0094366E" w:rsidRPr="0094366E" w:rsidRDefault="0094366E" w:rsidP="0094366E">
            <w:pPr>
              <w:autoSpaceDN w:val="0"/>
              <w:ind w:right="-10"/>
              <w:jc w:val="center"/>
              <w:rPr>
                <w:rFonts w:ascii="Calibri" w:hAnsi="Calibri"/>
                <w:color w:val="000000"/>
                <w:szCs w:val="24"/>
              </w:rPr>
            </w:pPr>
            <w:r w:rsidRPr="0094366E">
              <w:rPr>
                <w:rFonts w:ascii="Calibri" w:hAnsi="Calibri"/>
                <w:color w:val="000000"/>
                <w:szCs w:val="24"/>
              </w:rPr>
              <w:t>15%</w:t>
            </w:r>
          </w:p>
        </w:tc>
      </w:tr>
    </w:tbl>
    <w:p w:rsidR="001D4FC3"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 xml:space="preserve">In addition, for inpatients and ED patients, the Hospital is seeing an increase in the number of CT scans of the heart and circulatory system. It expects this type of scan volume to grow about 10% per year over the next few years. Cardiac scans take nearly twice as long as a more routine scan (1 hour versus 30 minutes) since these scans require medications that decrease the heart rate and are administered in the CT scan area while also determining the right phases to perform the exam. These protocols prolong the amount of time spent in the CT scan area. </w:t>
      </w:r>
    </w:p>
    <w:p w:rsidR="0094366E" w:rsidRDefault="0094366E" w:rsidP="0094366E">
      <w:pPr>
        <w:widowControl w:val="0"/>
        <w:autoSpaceDE w:val="0"/>
        <w:autoSpaceDN w:val="0"/>
        <w:spacing w:before="199"/>
        <w:ind w:left="900" w:right="-10"/>
        <w:rPr>
          <w:rFonts w:ascii="Calibri" w:eastAsia="Calibri" w:hAnsi="Calibri" w:cs="Calibri"/>
          <w:b/>
          <w:szCs w:val="22"/>
          <w:lang w:bidi="en-US"/>
        </w:rPr>
      </w:pPr>
      <w:r w:rsidRPr="0094366E">
        <w:rPr>
          <w:rFonts w:ascii="Calibri" w:eastAsia="Calibri" w:hAnsi="Calibri" w:cs="Calibri"/>
          <w:bCs/>
          <w:szCs w:val="22"/>
          <w:lang w:bidi="en-US"/>
        </w:rPr>
        <w:t>The number of cases by specialty at the main campus for FY19 is as follows:</w:t>
      </w:r>
      <w:r w:rsidRPr="0094366E">
        <w:rPr>
          <w:rFonts w:ascii="Calibri" w:eastAsia="Calibri" w:hAnsi="Calibri" w:cs="Calibri"/>
          <w:b/>
          <w:szCs w:val="22"/>
          <w:lang w:bidi="en-US"/>
        </w:rPr>
        <w:t xml:space="preserve"> </w:t>
      </w:r>
    </w:p>
    <w:p w:rsidR="001D4FC3" w:rsidRDefault="001D4FC3" w:rsidP="0094366E">
      <w:pPr>
        <w:widowControl w:val="0"/>
        <w:autoSpaceDE w:val="0"/>
        <w:autoSpaceDN w:val="0"/>
        <w:spacing w:before="199"/>
        <w:ind w:left="900" w:right="-10"/>
        <w:rPr>
          <w:rFonts w:ascii="Calibri" w:eastAsia="Calibri" w:hAnsi="Calibri" w:cs="Calibri"/>
          <w:b/>
          <w:szCs w:val="22"/>
          <w:lang w:bidi="en-US"/>
        </w:rPr>
      </w:pPr>
    </w:p>
    <w:p w:rsidR="001D4FC3" w:rsidRPr="0094366E" w:rsidRDefault="001D4FC3" w:rsidP="0094366E">
      <w:pPr>
        <w:widowControl w:val="0"/>
        <w:autoSpaceDE w:val="0"/>
        <w:autoSpaceDN w:val="0"/>
        <w:spacing w:before="199"/>
        <w:ind w:left="900" w:right="-10"/>
        <w:rPr>
          <w:rFonts w:ascii="Calibri" w:eastAsia="Calibri" w:hAnsi="Calibri" w:cs="Calibri"/>
          <w:b/>
          <w:szCs w:val="22"/>
          <w:lang w:bidi="en-US"/>
        </w:rPr>
      </w:pPr>
    </w:p>
    <w:p w:rsidR="00B15350" w:rsidRPr="00B15350" w:rsidRDefault="0094366E" w:rsidP="00B15350">
      <w:pPr>
        <w:widowControl w:val="0"/>
        <w:autoSpaceDE w:val="0"/>
        <w:autoSpaceDN w:val="0"/>
        <w:spacing w:before="199"/>
        <w:ind w:left="900" w:right="-10"/>
        <w:jc w:val="center"/>
        <w:rPr>
          <w:rFonts w:ascii="Calibri" w:eastAsia="Calibri" w:hAnsi="Calibri"/>
          <w:sz w:val="22"/>
          <w:szCs w:val="22"/>
        </w:rPr>
      </w:pPr>
      <w:r w:rsidRPr="0094366E">
        <w:rPr>
          <w:rFonts w:eastAsia="Calibri"/>
          <w:lang w:bidi="en-US"/>
        </w:rPr>
        <w:lastRenderedPageBreak/>
        <w:fldChar w:fldCharType="begin"/>
      </w:r>
      <w:r w:rsidRPr="0094366E">
        <w:rPr>
          <w:rFonts w:eastAsia="Calibri"/>
          <w:lang w:bidi="en-US"/>
        </w:rPr>
        <w:instrText xml:space="preserve"> LINK </w:instrText>
      </w:r>
      <w:r w:rsidR="00CF52C1">
        <w:rPr>
          <w:rFonts w:eastAsia="Calibri"/>
          <w:lang w:bidi="en-US"/>
        </w:rPr>
        <w:instrText xml:space="preserve">Excel.Sheet.12 "C:\\Users\\Lynn\\Documents\\Baystate IR volume  and remaining GSF.xlsx" Sheet1!R41C10:R48C11 </w:instrText>
      </w:r>
      <w:r w:rsidRPr="0094366E">
        <w:rPr>
          <w:rFonts w:eastAsia="Calibri"/>
          <w:lang w:bidi="en-US"/>
        </w:rPr>
        <w:instrText xml:space="preserve">\a \f 4 \h  \* MERGEFORMAT </w:instrText>
      </w:r>
      <w:r w:rsidRPr="0094366E">
        <w:rPr>
          <w:rFonts w:eastAsia="Calibri"/>
          <w:lang w:bidi="en-US"/>
        </w:rPr>
        <w:fldChar w:fldCharType="separate"/>
      </w:r>
    </w:p>
    <w:tbl>
      <w:tblPr>
        <w:tblW w:w="4338" w:type="dxa"/>
        <w:jc w:val="center"/>
        <w:tblLook w:val="04A0" w:firstRow="1" w:lastRow="0" w:firstColumn="1" w:lastColumn="0" w:noHBand="0" w:noVBand="1"/>
      </w:tblPr>
      <w:tblGrid>
        <w:gridCol w:w="3453"/>
        <w:gridCol w:w="885"/>
      </w:tblGrid>
      <w:tr w:rsidR="00B15350" w:rsidRPr="00B15350" w:rsidTr="00B15350">
        <w:trPr>
          <w:divId w:val="1051537544"/>
          <w:trHeight w:val="315"/>
          <w:jc w:val="center"/>
        </w:trPr>
        <w:tc>
          <w:tcPr>
            <w:tcW w:w="4338" w:type="dxa"/>
            <w:gridSpan w:val="2"/>
            <w:shd w:val="clear" w:color="auto" w:fill="C5D9F1"/>
            <w:noWrap/>
            <w:vAlign w:val="bottom"/>
            <w:hideMark/>
          </w:tcPr>
          <w:p w:rsidR="00B15350" w:rsidRPr="00B15350" w:rsidRDefault="00B15350" w:rsidP="00B15350">
            <w:pPr>
              <w:autoSpaceDN w:val="0"/>
              <w:jc w:val="center"/>
              <w:rPr>
                <w:rFonts w:ascii="Calibri" w:hAnsi="Calibri"/>
                <w:b/>
                <w:bCs/>
                <w:color w:val="000000"/>
                <w:szCs w:val="24"/>
              </w:rPr>
            </w:pPr>
            <w:r w:rsidRPr="00B15350">
              <w:rPr>
                <w:rFonts w:ascii="Calibri" w:hAnsi="Calibri"/>
                <w:b/>
                <w:bCs/>
                <w:color w:val="000000"/>
                <w:szCs w:val="24"/>
              </w:rPr>
              <w:t>Number of Scans by Specialty- 2019</w:t>
            </w:r>
          </w:p>
        </w:tc>
      </w:tr>
      <w:tr w:rsidR="00B15350" w:rsidRPr="00B15350" w:rsidTr="00B15350">
        <w:trPr>
          <w:divId w:val="1051537544"/>
          <w:trHeight w:val="300"/>
          <w:jc w:val="center"/>
        </w:trPr>
        <w:tc>
          <w:tcPr>
            <w:tcW w:w="3453" w:type="dxa"/>
            <w:noWrap/>
            <w:vAlign w:val="center"/>
            <w:hideMark/>
          </w:tcPr>
          <w:p w:rsidR="00B15350" w:rsidRPr="00B15350" w:rsidRDefault="00B15350" w:rsidP="00B15350">
            <w:pPr>
              <w:autoSpaceDN w:val="0"/>
              <w:ind w:firstLine="480"/>
              <w:rPr>
                <w:rFonts w:ascii="Calibri" w:hAnsi="Calibri"/>
                <w:color w:val="000000"/>
                <w:szCs w:val="24"/>
              </w:rPr>
            </w:pPr>
            <w:r w:rsidRPr="00B15350">
              <w:rPr>
                <w:rFonts w:ascii="Calibri" w:hAnsi="Calibri"/>
                <w:color w:val="000000"/>
                <w:szCs w:val="24"/>
              </w:rPr>
              <w:t>Neuroradiology</w:t>
            </w:r>
          </w:p>
        </w:tc>
        <w:tc>
          <w:tcPr>
            <w:tcW w:w="885" w:type="dxa"/>
            <w:noWrap/>
            <w:vAlign w:val="center"/>
            <w:hideMark/>
          </w:tcPr>
          <w:p w:rsidR="00B15350" w:rsidRPr="00B15350" w:rsidRDefault="00B15350" w:rsidP="00B15350">
            <w:pPr>
              <w:autoSpaceDN w:val="0"/>
              <w:jc w:val="right"/>
              <w:rPr>
                <w:rFonts w:ascii="Calibri" w:hAnsi="Calibri"/>
                <w:color w:val="000000"/>
                <w:szCs w:val="24"/>
              </w:rPr>
            </w:pPr>
            <w:r w:rsidRPr="00B15350">
              <w:rPr>
                <w:rFonts w:ascii="Calibri" w:hAnsi="Calibri"/>
                <w:color w:val="000000"/>
                <w:szCs w:val="24"/>
              </w:rPr>
              <w:t>32,848</w:t>
            </w:r>
          </w:p>
        </w:tc>
      </w:tr>
      <w:tr w:rsidR="00B15350" w:rsidRPr="00B15350" w:rsidTr="00B15350">
        <w:trPr>
          <w:divId w:val="1051537544"/>
          <w:trHeight w:val="300"/>
          <w:jc w:val="center"/>
        </w:trPr>
        <w:tc>
          <w:tcPr>
            <w:tcW w:w="3453" w:type="dxa"/>
            <w:noWrap/>
            <w:vAlign w:val="center"/>
            <w:hideMark/>
          </w:tcPr>
          <w:p w:rsidR="00B15350" w:rsidRPr="00B15350" w:rsidRDefault="00B15350" w:rsidP="00B15350">
            <w:pPr>
              <w:autoSpaceDN w:val="0"/>
              <w:ind w:firstLine="480"/>
              <w:rPr>
                <w:rFonts w:ascii="Calibri" w:hAnsi="Calibri"/>
                <w:color w:val="000000"/>
                <w:szCs w:val="24"/>
              </w:rPr>
            </w:pPr>
            <w:r w:rsidRPr="00B15350">
              <w:rPr>
                <w:rFonts w:ascii="Calibri" w:hAnsi="Calibri"/>
                <w:color w:val="000000"/>
                <w:szCs w:val="24"/>
              </w:rPr>
              <w:t xml:space="preserve">Abdomen </w:t>
            </w:r>
          </w:p>
        </w:tc>
        <w:tc>
          <w:tcPr>
            <w:tcW w:w="885" w:type="dxa"/>
            <w:noWrap/>
            <w:vAlign w:val="center"/>
            <w:hideMark/>
          </w:tcPr>
          <w:p w:rsidR="00B15350" w:rsidRPr="00B15350" w:rsidRDefault="00B15350" w:rsidP="00B15350">
            <w:pPr>
              <w:autoSpaceDN w:val="0"/>
              <w:jc w:val="right"/>
              <w:rPr>
                <w:rFonts w:ascii="Calibri" w:hAnsi="Calibri"/>
                <w:color w:val="000000"/>
                <w:szCs w:val="24"/>
              </w:rPr>
            </w:pPr>
            <w:r w:rsidRPr="00B15350">
              <w:rPr>
                <w:rFonts w:ascii="Calibri" w:hAnsi="Calibri"/>
                <w:color w:val="000000"/>
                <w:szCs w:val="24"/>
              </w:rPr>
              <w:t>15,201</w:t>
            </w:r>
          </w:p>
        </w:tc>
      </w:tr>
      <w:tr w:rsidR="00B15350" w:rsidRPr="00B15350" w:rsidTr="00B15350">
        <w:trPr>
          <w:divId w:val="1051537544"/>
          <w:trHeight w:val="300"/>
          <w:jc w:val="center"/>
        </w:trPr>
        <w:tc>
          <w:tcPr>
            <w:tcW w:w="3453" w:type="dxa"/>
            <w:noWrap/>
            <w:vAlign w:val="center"/>
            <w:hideMark/>
          </w:tcPr>
          <w:p w:rsidR="00B15350" w:rsidRPr="00B15350" w:rsidRDefault="00B15350" w:rsidP="00B15350">
            <w:pPr>
              <w:autoSpaceDN w:val="0"/>
              <w:ind w:firstLine="480"/>
              <w:rPr>
                <w:rFonts w:ascii="Calibri" w:hAnsi="Calibri"/>
                <w:color w:val="000000"/>
                <w:szCs w:val="24"/>
              </w:rPr>
            </w:pPr>
            <w:r w:rsidRPr="00B15350">
              <w:rPr>
                <w:rFonts w:ascii="Calibri" w:hAnsi="Calibri"/>
                <w:color w:val="000000"/>
                <w:szCs w:val="24"/>
              </w:rPr>
              <w:t xml:space="preserve">Cardiovascular </w:t>
            </w:r>
          </w:p>
        </w:tc>
        <w:tc>
          <w:tcPr>
            <w:tcW w:w="885" w:type="dxa"/>
            <w:noWrap/>
            <w:vAlign w:val="center"/>
            <w:hideMark/>
          </w:tcPr>
          <w:p w:rsidR="00B15350" w:rsidRPr="00B15350" w:rsidRDefault="00B15350" w:rsidP="00B15350">
            <w:pPr>
              <w:autoSpaceDN w:val="0"/>
              <w:jc w:val="right"/>
              <w:rPr>
                <w:rFonts w:ascii="Calibri" w:hAnsi="Calibri"/>
                <w:color w:val="000000"/>
                <w:szCs w:val="24"/>
              </w:rPr>
            </w:pPr>
            <w:r w:rsidRPr="00B15350">
              <w:rPr>
                <w:rFonts w:ascii="Calibri" w:hAnsi="Calibri"/>
                <w:color w:val="000000"/>
                <w:szCs w:val="24"/>
              </w:rPr>
              <w:t>6,397</w:t>
            </w:r>
          </w:p>
        </w:tc>
      </w:tr>
      <w:tr w:rsidR="00B15350" w:rsidRPr="00B15350" w:rsidTr="00B15350">
        <w:trPr>
          <w:divId w:val="1051537544"/>
          <w:trHeight w:val="300"/>
          <w:jc w:val="center"/>
        </w:trPr>
        <w:tc>
          <w:tcPr>
            <w:tcW w:w="3453" w:type="dxa"/>
            <w:noWrap/>
            <w:vAlign w:val="center"/>
            <w:hideMark/>
          </w:tcPr>
          <w:p w:rsidR="00B15350" w:rsidRPr="00B15350" w:rsidRDefault="00B15350" w:rsidP="00B15350">
            <w:pPr>
              <w:autoSpaceDN w:val="0"/>
              <w:ind w:firstLine="480"/>
              <w:rPr>
                <w:rFonts w:ascii="Calibri" w:hAnsi="Calibri"/>
                <w:color w:val="000000"/>
                <w:szCs w:val="24"/>
              </w:rPr>
            </w:pPr>
            <w:r w:rsidRPr="00B15350">
              <w:rPr>
                <w:rFonts w:ascii="Calibri" w:hAnsi="Calibri"/>
                <w:color w:val="000000"/>
                <w:szCs w:val="24"/>
              </w:rPr>
              <w:t xml:space="preserve">Chest </w:t>
            </w:r>
          </w:p>
        </w:tc>
        <w:tc>
          <w:tcPr>
            <w:tcW w:w="885" w:type="dxa"/>
            <w:noWrap/>
            <w:vAlign w:val="center"/>
            <w:hideMark/>
          </w:tcPr>
          <w:p w:rsidR="00B15350" w:rsidRPr="00B15350" w:rsidRDefault="00B15350" w:rsidP="00B15350">
            <w:pPr>
              <w:autoSpaceDN w:val="0"/>
              <w:jc w:val="right"/>
              <w:rPr>
                <w:rFonts w:ascii="Calibri" w:hAnsi="Calibri"/>
                <w:color w:val="000000"/>
                <w:szCs w:val="24"/>
              </w:rPr>
            </w:pPr>
            <w:r w:rsidRPr="00B15350">
              <w:rPr>
                <w:rFonts w:ascii="Calibri" w:hAnsi="Calibri"/>
                <w:color w:val="000000"/>
                <w:szCs w:val="24"/>
              </w:rPr>
              <w:t>6,594</w:t>
            </w:r>
          </w:p>
        </w:tc>
      </w:tr>
      <w:tr w:rsidR="00B15350" w:rsidRPr="00B15350" w:rsidTr="00B15350">
        <w:trPr>
          <w:divId w:val="1051537544"/>
          <w:trHeight w:val="300"/>
          <w:jc w:val="center"/>
        </w:trPr>
        <w:tc>
          <w:tcPr>
            <w:tcW w:w="3453" w:type="dxa"/>
            <w:noWrap/>
            <w:vAlign w:val="center"/>
            <w:hideMark/>
          </w:tcPr>
          <w:p w:rsidR="00B15350" w:rsidRPr="00B15350" w:rsidRDefault="00B15350" w:rsidP="00B15350">
            <w:pPr>
              <w:autoSpaceDN w:val="0"/>
              <w:ind w:firstLine="480"/>
              <w:rPr>
                <w:rFonts w:ascii="Calibri" w:hAnsi="Calibri"/>
                <w:color w:val="000000"/>
                <w:szCs w:val="24"/>
              </w:rPr>
            </w:pPr>
            <w:r w:rsidRPr="00B15350">
              <w:rPr>
                <w:rFonts w:ascii="Calibri" w:hAnsi="Calibri"/>
                <w:color w:val="000000"/>
                <w:szCs w:val="24"/>
              </w:rPr>
              <w:t>Musculoskeletal</w:t>
            </w:r>
          </w:p>
        </w:tc>
        <w:tc>
          <w:tcPr>
            <w:tcW w:w="885" w:type="dxa"/>
            <w:noWrap/>
            <w:vAlign w:val="center"/>
            <w:hideMark/>
          </w:tcPr>
          <w:p w:rsidR="00B15350" w:rsidRPr="00B15350" w:rsidRDefault="00B15350" w:rsidP="00B15350">
            <w:pPr>
              <w:autoSpaceDN w:val="0"/>
              <w:jc w:val="right"/>
              <w:rPr>
                <w:rFonts w:ascii="Calibri" w:hAnsi="Calibri"/>
                <w:color w:val="000000"/>
                <w:szCs w:val="24"/>
              </w:rPr>
            </w:pPr>
            <w:r w:rsidRPr="00B15350">
              <w:rPr>
                <w:rFonts w:ascii="Calibri" w:hAnsi="Calibri"/>
                <w:color w:val="000000"/>
                <w:szCs w:val="24"/>
              </w:rPr>
              <w:t>1,102</w:t>
            </w:r>
          </w:p>
        </w:tc>
      </w:tr>
      <w:tr w:rsidR="00B15350" w:rsidRPr="00B15350" w:rsidTr="00B15350">
        <w:trPr>
          <w:divId w:val="1051537544"/>
          <w:trHeight w:val="300"/>
          <w:jc w:val="center"/>
        </w:trPr>
        <w:tc>
          <w:tcPr>
            <w:tcW w:w="3453" w:type="dxa"/>
            <w:noWrap/>
            <w:vAlign w:val="center"/>
            <w:hideMark/>
          </w:tcPr>
          <w:p w:rsidR="00B15350" w:rsidRPr="00B15350" w:rsidRDefault="00B15350" w:rsidP="00B15350">
            <w:pPr>
              <w:autoSpaceDN w:val="0"/>
              <w:ind w:firstLine="480"/>
              <w:rPr>
                <w:rFonts w:ascii="Calibri" w:hAnsi="Calibri"/>
                <w:color w:val="000000"/>
                <w:szCs w:val="24"/>
              </w:rPr>
            </w:pPr>
            <w:r w:rsidRPr="00B15350">
              <w:rPr>
                <w:rFonts w:ascii="Calibri" w:hAnsi="Calibri"/>
                <w:color w:val="000000"/>
                <w:szCs w:val="24"/>
              </w:rPr>
              <w:t>CT guidance, unspecified</w:t>
            </w:r>
          </w:p>
        </w:tc>
        <w:tc>
          <w:tcPr>
            <w:tcW w:w="885" w:type="dxa"/>
            <w:noWrap/>
            <w:vAlign w:val="center"/>
            <w:hideMark/>
          </w:tcPr>
          <w:p w:rsidR="00B15350" w:rsidRPr="00B15350" w:rsidRDefault="00B15350" w:rsidP="00B15350">
            <w:pPr>
              <w:autoSpaceDN w:val="0"/>
              <w:jc w:val="right"/>
              <w:rPr>
                <w:rFonts w:ascii="Calibri" w:hAnsi="Calibri"/>
                <w:color w:val="000000"/>
                <w:szCs w:val="24"/>
              </w:rPr>
            </w:pPr>
            <w:r w:rsidRPr="00B15350">
              <w:rPr>
                <w:rFonts w:ascii="Calibri" w:hAnsi="Calibri"/>
                <w:color w:val="000000"/>
                <w:szCs w:val="24"/>
              </w:rPr>
              <w:t>903</w:t>
            </w:r>
          </w:p>
        </w:tc>
      </w:tr>
      <w:tr w:rsidR="00B15350" w:rsidRPr="00B15350" w:rsidTr="00B15350">
        <w:trPr>
          <w:divId w:val="1051537544"/>
          <w:trHeight w:val="300"/>
          <w:jc w:val="center"/>
        </w:trPr>
        <w:tc>
          <w:tcPr>
            <w:tcW w:w="3453" w:type="dxa"/>
            <w:shd w:val="clear" w:color="auto" w:fill="C5D9F1"/>
            <w:noWrap/>
            <w:vAlign w:val="center"/>
            <w:hideMark/>
          </w:tcPr>
          <w:p w:rsidR="00B15350" w:rsidRPr="00B15350" w:rsidRDefault="00B15350" w:rsidP="00B15350">
            <w:pPr>
              <w:autoSpaceDN w:val="0"/>
              <w:ind w:firstLine="482"/>
              <w:rPr>
                <w:rFonts w:ascii="Calibri" w:hAnsi="Calibri"/>
                <w:b/>
                <w:bCs/>
                <w:color w:val="000000"/>
                <w:szCs w:val="24"/>
              </w:rPr>
            </w:pPr>
            <w:r w:rsidRPr="00B15350">
              <w:rPr>
                <w:rFonts w:ascii="Calibri" w:hAnsi="Calibri"/>
                <w:b/>
                <w:bCs/>
                <w:color w:val="000000"/>
                <w:szCs w:val="24"/>
              </w:rPr>
              <w:t xml:space="preserve">Total </w:t>
            </w:r>
          </w:p>
        </w:tc>
        <w:tc>
          <w:tcPr>
            <w:tcW w:w="885" w:type="dxa"/>
            <w:shd w:val="clear" w:color="auto" w:fill="C5D9F1"/>
            <w:noWrap/>
            <w:vAlign w:val="bottom"/>
            <w:hideMark/>
          </w:tcPr>
          <w:p w:rsidR="00B15350" w:rsidRPr="00B15350" w:rsidRDefault="00B15350" w:rsidP="00B15350">
            <w:pPr>
              <w:autoSpaceDN w:val="0"/>
              <w:jc w:val="right"/>
              <w:rPr>
                <w:rFonts w:ascii="Calibri" w:hAnsi="Calibri"/>
                <w:color w:val="000000"/>
                <w:szCs w:val="24"/>
              </w:rPr>
            </w:pPr>
            <w:r w:rsidRPr="00B15350">
              <w:rPr>
                <w:rFonts w:ascii="Calibri" w:hAnsi="Calibri"/>
                <w:color w:val="000000"/>
                <w:szCs w:val="24"/>
              </w:rPr>
              <w:t>63,045</w:t>
            </w:r>
          </w:p>
        </w:tc>
      </w:tr>
    </w:tbl>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b/>
          <w:szCs w:val="22"/>
          <w:lang w:bidi="en-US"/>
        </w:rPr>
        <w:fldChar w:fldCharType="end"/>
      </w:r>
      <w:r w:rsidRPr="0094366E">
        <w:rPr>
          <w:rFonts w:ascii="Calibri" w:eastAsia="Calibri" w:hAnsi="Calibri" w:cs="Calibri"/>
          <w:szCs w:val="22"/>
          <w:lang w:bidi="en-US"/>
        </w:rPr>
        <w:t>The Applicant intends to acquire a dual energy or spectral CT,</w:t>
      </w:r>
      <w:r w:rsidRPr="0094366E">
        <w:rPr>
          <w:rFonts w:ascii="Calibri" w:eastAsia="Calibri" w:hAnsi="Calibri" w:cs="Calibri"/>
          <w:szCs w:val="22"/>
          <w:vertAlign w:val="superscript"/>
          <w:lang w:bidi="en-US"/>
        </w:rPr>
        <w:endnoteReference w:id="5"/>
      </w:r>
      <w:r w:rsidRPr="0094366E">
        <w:rPr>
          <w:rFonts w:ascii="Calibri" w:eastAsia="Calibri" w:hAnsi="Calibri" w:cs="Calibri"/>
          <w:szCs w:val="22"/>
          <w:lang w:bidi="en-US"/>
        </w:rPr>
        <w:t xml:space="preserve">  a type of CT that is becoming increasingly common in clinical practice due to advances in computer technology and expanding clinical applications.</w:t>
      </w:r>
      <w:r w:rsidRPr="0094366E">
        <w:rPr>
          <w:rFonts w:ascii="Calibri" w:eastAsia="Calibri" w:hAnsi="Calibri" w:cs="Calibri"/>
          <w:szCs w:val="22"/>
          <w:vertAlign w:val="superscript"/>
          <w:lang w:bidi="en-US"/>
        </w:rPr>
        <w:endnoteReference w:id="6"/>
      </w:r>
      <w:r w:rsidRPr="0094366E">
        <w:rPr>
          <w:rFonts w:ascii="Calibri" w:eastAsia="Calibri" w:hAnsi="Calibri" w:cs="Calibri"/>
          <w:szCs w:val="22"/>
          <w:lang w:bidi="en-US"/>
        </w:rPr>
        <w:t xml:space="preserve"> The Applicant states that this specific technology reduces “incidental findings” that with conventional abdominal CT scans would necessitate a second scan for accurate “characterization;” it estimates a potential reduction of 500-1,000 second abdominal scans. The Applicant states that spectral CT has several unique advantages that can be particularly useful in the ED. Specifically it offers the following advantages, including: (1)use of a lower dose of IV contrast, reducing the risk of renal toxicity, and thereby improving safety for pediatric patients in particular; (2) avoidance of MRI for some types of fractures, such as hip fractures; (3) avoidance of a second scan to confirm solid masses in the liver and kidneys; (4) near elimination of artifacts on the CT  associated with metallic implants and orthopedic hardware; and (5) improved quality of cardiac exams, thereby increasing the efficacy of coronary CT in triaging patients with acute chest pain. </w:t>
      </w:r>
    </w:p>
    <w:p w:rsidR="0094366E" w:rsidRPr="0094366E" w:rsidRDefault="0094366E" w:rsidP="0094366E">
      <w:pPr>
        <w:widowControl w:val="0"/>
        <w:autoSpaceDE w:val="0"/>
        <w:autoSpaceDN w:val="0"/>
        <w:spacing w:before="240"/>
        <w:ind w:left="900" w:right="-10"/>
        <w:rPr>
          <w:rFonts w:ascii="Calibri" w:eastAsia="Calibri" w:hAnsi="Calibri" w:cs="Calibri"/>
          <w:szCs w:val="22"/>
          <w:lang w:bidi="en-US"/>
        </w:rPr>
      </w:pPr>
      <w:r w:rsidRPr="0094366E">
        <w:rPr>
          <w:rFonts w:ascii="Calibri" w:eastAsia="Calibri" w:hAnsi="Calibri" w:cs="Calibri"/>
          <w:szCs w:val="22"/>
          <w:lang w:bidi="en-US"/>
        </w:rPr>
        <w:t>As the table below shows, the five year projections provided by Baystate conservatively anticipates a 5% growth rate.</w:t>
      </w:r>
    </w:p>
    <w:p w:rsidR="0094366E" w:rsidRPr="0094366E" w:rsidRDefault="0094366E" w:rsidP="0094366E">
      <w:pPr>
        <w:widowControl w:val="0"/>
        <w:autoSpaceDE w:val="0"/>
        <w:autoSpaceDN w:val="0"/>
        <w:spacing w:before="240"/>
        <w:ind w:left="900" w:right="-10"/>
        <w:rPr>
          <w:rFonts w:ascii="Calibri" w:eastAsia="Calibri" w:hAnsi="Calibri" w:cs="Calibri"/>
          <w:szCs w:val="22"/>
          <w:lang w:bidi="en-US"/>
        </w:rPr>
      </w:pPr>
    </w:p>
    <w:tbl>
      <w:tblPr>
        <w:tblW w:w="7861" w:type="dxa"/>
        <w:jc w:val="center"/>
        <w:tblLook w:val="04A0" w:firstRow="1" w:lastRow="0" w:firstColumn="1" w:lastColumn="0" w:noHBand="0" w:noVBand="1"/>
      </w:tblPr>
      <w:tblGrid>
        <w:gridCol w:w="3251"/>
        <w:gridCol w:w="922"/>
        <w:gridCol w:w="922"/>
        <w:gridCol w:w="922"/>
        <w:gridCol w:w="922"/>
        <w:gridCol w:w="922"/>
      </w:tblGrid>
      <w:tr w:rsidR="0094366E" w:rsidRPr="0094366E" w:rsidTr="0094366E">
        <w:trPr>
          <w:trHeight w:val="368"/>
          <w:jc w:val="center"/>
        </w:trPr>
        <w:tc>
          <w:tcPr>
            <w:tcW w:w="7861" w:type="dxa"/>
            <w:gridSpan w:val="6"/>
            <w:tcBorders>
              <w:top w:val="single" w:sz="4" w:space="0" w:color="auto"/>
              <w:left w:val="single" w:sz="4" w:space="0" w:color="auto"/>
              <w:bottom w:val="single" w:sz="4" w:space="0" w:color="auto"/>
              <w:right w:val="single" w:sz="4" w:space="0" w:color="auto"/>
            </w:tcBorders>
            <w:shd w:val="clear" w:color="auto" w:fill="92CDDC"/>
            <w:noWrap/>
            <w:vAlign w:val="center"/>
            <w:hideMark/>
          </w:tcPr>
          <w:p w:rsidR="0094366E" w:rsidRPr="0094366E" w:rsidRDefault="0094366E" w:rsidP="0094366E">
            <w:pPr>
              <w:autoSpaceDN w:val="0"/>
              <w:jc w:val="center"/>
              <w:rPr>
                <w:rFonts w:ascii="Calibri" w:hAnsi="Calibri"/>
                <w:b/>
                <w:color w:val="000000"/>
                <w:szCs w:val="24"/>
              </w:rPr>
            </w:pPr>
            <w:r w:rsidRPr="0094366E">
              <w:rPr>
                <w:rFonts w:ascii="Calibri" w:eastAsia="Calibri" w:hAnsi="Calibri" w:cs="Calibri"/>
                <w:szCs w:val="22"/>
                <w:lang w:bidi="en-US"/>
              </w:rPr>
              <w:t xml:space="preserve"> </w:t>
            </w:r>
            <w:r w:rsidRPr="0094366E">
              <w:rPr>
                <w:rFonts w:ascii="Calibri" w:hAnsi="Calibri"/>
                <w:b/>
                <w:color w:val="000000"/>
                <w:szCs w:val="24"/>
              </w:rPr>
              <w:t>Projected Hospital-Based CT Demand</w:t>
            </w:r>
          </w:p>
        </w:tc>
      </w:tr>
      <w:tr w:rsidR="0094366E" w:rsidRPr="0094366E" w:rsidTr="0094366E">
        <w:trPr>
          <w:trHeight w:val="300"/>
          <w:jc w:val="center"/>
        </w:trPr>
        <w:tc>
          <w:tcPr>
            <w:tcW w:w="3251" w:type="dxa"/>
            <w:tcBorders>
              <w:top w:val="nil"/>
              <w:left w:val="single" w:sz="4" w:space="0" w:color="auto"/>
              <w:bottom w:val="single" w:sz="4" w:space="0" w:color="auto"/>
              <w:right w:val="single" w:sz="4" w:space="0" w:color="auto"/>
            </w:tcBorders>
            <w:shd w:val="clear" w:color="auto" w:fill="DAEEF3"/>
            <w:noWrap/>
            <w:vAlign w:val="center"/>
            <w:hideMark/>
          </w:tcPr>
          <w:p w:rsidR="0094366E" w:rsidRPr="0094366E" w:rsidRDefault="0094366E" w:rsidP="0094366E">
            <w:pPr>
              <w:autoSpaceDN w:val="0"/>
              <w:rPr>
                <w:rFonts w:ascii="Calibri" w:hAnsi="Calibri"/>
                <w:b/>
                <w:bCs/>
                <w:color w:val="000000"/>
                <w:szCs w:val="24"/>
              </w:rPr>
            </w:pPr>
            <w:r w:rsidRPr="0094366E">
              <w:rPr>
                <w:rFonts w:ascii="Calibri" w:hAnsi="Calibri"/>
                <w:b/>
                <w:bCs/>
                <w:color w:val="000000"/>
                <w:szCs w:val="24"/>
              </w:rPr>
              <w:t xml:space="preserve">Hospital-Based Volume </w:t>
            </w:r>
          </w:p>
        </w:tc>
        <w:tc>
          <w:tcPr>
            <w:tcW w:w="922" w:type="dxa"/>
            <w:tcBorders>
              <w:top w:val="nil"/>
              <w:left w:val="nil"/>
              <w:bottom w:val="single" w:sz="4" w:space="0" w:color="auto"/>
              <w:right w:val="single" w:sz="4" w:space="0" w:color="auto"/>
            </w:tcBorders>
            <w:shd w:val="clear" w:color="auto" w:fill="DAEEF3"/>
            <w:noWrap/>
            <w:vAlign w:val="center"/>
            <w:hideMark/>
          </w:tcPr>
          <w:p w:rsidR="0094366E" w:rsidRPr="0094366E" w:rsidRDefault="0094366E" w:rsidP="0094366E">
            <w:pPr>
              <w:autoSpaceDN w:val="0"/>
              <w:jc w:val="center"/>
              <w:rPr>
                <w:rFonts w:ascii="Calibri" w:hAnsi="Calibri"/>
                <w:b/>
                <w:bCs/>
                <w:color w:val="000000"/>
                <w:szCs w:val="24"/>
              </w:rPr>
            </w:pPr>
            <w:r w:rsidRPr="0094366E">
              <w:rPr>
                <w:rFonts w:ascii="Calibri" w:hAnsi="Calibri"/>
                <w:b/>
                <w:bCs/>
                <w:color w:val="000000"/>
                <w:szCs w:val="24"/>
              </w:rPr>
              <w:t xml:space="preserve">FY21 </w:t>
            </w:r>
          </w:p>
        </w:tc>
        <w:tc>
          <w:tcPr>
            <w:tcW w:w="922" w:type="dxa"/>
            <w:tcBorders>
              <w:top w:val="nil"/>
              <w:left w:val="nil"/>
              <w:bottom w:val="single" w:sz="4" w:space="0" w:color="auto"/>
              <w:right w:val="single" w:sz="4" w:space="0" w:color="auto"/>
            </w:tcBorders>
            <w:shd w:val="clear" w:color="auto" w:fill="DAEEF3"/>
            <w:noWrap/>
            <w:vAlign w:val="center"/>
            <w:hideMark/>
          </w:tcPr>
          <w:p w:rsidR="0094366E" w:rsidRPr="0094366E" w:rsidRDefault="0094366E" w:rsidP="0094366E">
            <w:pPr>
              <w:autoSpaceDN w:val="0"/>
              <w:jc w:val="center"/>
              <w:rPr>
                <w:rFonts w:ascii="Calibri" w:hAnsi="Calibri"/>
                <w:b/>
                <w:bCs/>
                <w:color w:val="000000"/>
                <w:szCs w:val="24"/>
              </w:rPr>
            </w:pPr>
            <w:r w:rsidRPr="0094366E">
              <w:rPr>
                <w:rFonts w:ascii="Calibri" w:hAnsi="Calibri"/>
                <w:b/>
                <w:bCs/>
                <w:color w:val="000000"/>
                <w:szCs w:val="24"/>
              </w:rPr>
              <w:t xml:space="preserve">FY22 </w:t>
            </w:r>
          </w:p>
        </w:tc>
        <w:tc>
          <w:tcPr>
            <w:tcW w:w="922" w:type="dxa"/>
            <w:tcBorders>
              <w:top w:val="nil"/>
              <w:left w:val="nil"/>
              <w:bottom w:val="single" w:sz="4" w:space="0" w:color="auto"/>
              <w:right w:val="single" w:sz="4" w:space="0" w:color="auto"/>
            </w:tcBorders>
            <w:shd w:val="clear" w:color="auto" w:fill="DAEEF3"/>
            <w:noWrap/>
            <w:vAlign w:val="center"/>
            <w:hideMark/>
          </w:tcPr>
          <w:p w:rsidR="0094366E" w:rsidRPr="0094366E" w:rsidRDefault="0094366E" w:rsidP="0094366E">
            <w:pPr>
              <w:autoSpaceDN w:val="0"/>
              <w:jc w:val="center"/>
              <w:rPr>
                <w:rFonts w:ascii="Calibri" w:hAnsi="Calibri"/>
                <w:b/>
                <w:bCs/>
                <w:color w:val="000000"/>
                <w:szCs w:val="24"/>
              </w:rPr>
            </w:pPr>
            <w:r w:rsidRPr="0094366E">
              <w:rPr>
                <w:rFonts w:ascii="Calibri" w:hAnsi="Calibri"/>
                <w:b/>
                <w:bCs/>
                <w:color w:val="000000"/>
                <w:szCs w:val="24"/>
              </w:rPr>
              <w:t xml:space="preserve">FY23 </w:t>
            </w:r>
          </w:p>
        </w:tc>
        <w:tc>
          <w:tcPr>
            <w:tcW w:w="922" w:type="dxa"/>
            <w:tcBorders>
              <w:top w:val="nil"/>
              <w:left w:val="nil"/>
              <w:bottom w:val="single" w:sz="4" w:space="0" w:color="auto"/>
              <w:right w:val="single" w:sz="4" w:space="0" w:color="auto"/>
            </w:tcBorders>
            <w:shd w:val="clear" w:color="auto" w:fill="DAEEF3"/>
            <w:noWrap/>
            <w:vAlign w:val="center"/>
            <w:hideMark/>
          </w:tcPr>
          <w:p w:rsidR="0094366E" w:rsidRPr="0094366E" w:rsidRDefault="0094366E" w:rsidP="0094366E">
            <w:pPr>
              <w:autoSpaceDN w:val="0"/>
              <w:jc w:val="center"/>
              <w:rPr>
                <w:rFonts w:ascii="Calibri" w:hAnsi="Calibri"/>
                <w:b/>
                <w:bCs/>
                <w:color w:val="000000"/>
                <w:szCs w:val="24"/>
              </w:rPr>
            </w:pPr>
            <w:r w:rsidRPr="0094366E">
              <w:rPr>
                <w:rFonts w:ascii="Calibri" w:hAnsi="Calibri"/>
                <w:b/>
                <w:bCs/>
                <w:color w:val="000000"/>
                <w:szCs w:val="24"/>
              </w:rPr>
              <w:t>FY24</w:t>
            </w:r>
          </w:p>
        </w:tc>
        <w:tc>
          <w:tcPr>
            <w:tcW w:w="922" w:type="dxa"/>
            <w:tcBorders>
              <w:top w:val="nil"/>
              <w:left w:val="nil"/>
              <w:bottom w:val="single" w:sz="4" w:space="0" w:color="auto"/>
              <w:right w:val="single" w:sz="4" w:space="0" w:color="auto"/>
            </w:tcBorders>
            <w:shd w:val="clear" w:color="auto" w:fill="DAEEF3"/>
            <w:noWrap/>
            <w:vAlign w:val="center"/>
            <w:hideMark/>
          </w:tcPr>
          <w:p w:rsidR="0094366E" w:rsidRPr="0094366E" w:rsidRDefault="0094366E" w:rsidP="0094366E">
            <w:pPr>
              <w:autoSpaceDN w:val="0"/>
              <w:jc w:val="center"/>
              <w:rPr>
                <w:rFonts w:ascii="Calibri" w:hAnsi="Calibri"/>
                <w:b/>
                <w:bCs/>
                <w:color w:val="000000"/>
                <w:szCs w:val="24"/>
              </w:rPr>
            </w:pPr>
            <w:r w:rsidRPr="0094366E">
              <w:rPr>
                <w:rFonts w:ascii="Calibri" w:hAnsi="Calibri"/>
                <w:b/>
                <w:bCs/>
                <w:color w:val="000000"/>
                <w:szCs w:val="24"/>
              </w:rPr>
              <w:t xml:space="preserve"> FY25</w:t>
            </w:r>
          </w:p>
        </w:tc>
      </w:tr>
      <w:tr w:rsidR="0094366E" w:rsidRPr="0094366E" w:rsidTr="0094366E">
        <w:trPr>
          <w:trHeight w:val="300"/>
          <w:jc w:val="center"/>
        </w:trPr>
        <w:tc>
          <w:tcPr>
            <w:tcW w:w="3251" w:type="dxa"/>
            <w:tcBorders>
              <w:top w:val="nil"/>
              <w:left w:val="single" w:sz="4" w:space="0" w:color="auto"/>
              <w:bottom w:val="single" w:sz="4" w:space="0" w:color="auto"/>
              <w:right w:val="single" w:sz="4" w:space="0" w:color="auto"/>
            </w:tcBorders>
            <w:noWrap/>
            <w:vAlign w:val="center"/>
            <w:hideMark/>
          </w:tcPr>
          <w:p w:rsidR="0094366E" w:rsidRPr="0094366E" w:rsidRDefault="0094366E" w:rsidP="0094366E">
            <w:pPr>
              <w:autoSpaceDN w:val="0"/>
              <w:rPr>
                <w:rFonts w:ascii="Calibri" w:hAnsi="Calibri"/>
                <w:color w:val="000000"/>
                <w:szCs w:val="24"/>
              </w:rPr>
            </w:pPr>
            <w:r w:rsidRPr="0094366E">
              <w:rPr>
                <w:rFonts w:ascii="Calibri" w:hAnsi="Calibri"/>
                <w:color w:val="000000"/>
                <w:szCs w:val="24"/>
              </w:rPr>
              <w:t xml:space="preserve">ED Volume </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45,046</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47,298</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49,663</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52,146</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54,753</w:t>
            </w:r>
          </w:p>
        </w:tc>
      </w:tr>
      <w:tr w:rsidR="0094366E" w:rsidRPr="0094366E" w:rsidTr="0094366E">
        <w:trPr>
          <w:trHeight w:val="300"/>
          <w:jc w:val="center"/>
        </w:trPr>
        <w:tc>
          <w:tcPr>
            <w:tcW w:w="3251" w:type="dxa"/>
            <w:tcBorders>
              <w:top w:val="nil"/>
              <w:left w:val="single" w:sz="4" w:space="0" w:color="auto"/>
              <w:bottom w:val="single" w:sz="4" w:space="0" w:color="auto"/>
              <w:right w:val="single" w:sz="4" w:space="0" w:color="auto"/>
            </w:tcBorders>
            <w:noWrap/>
            <w:vAlign w:val="center"/>
            <w:hideMark/>
          </w:tcPr>
          <w:p w:rsidR="0094366E" w:rsidRPr="0094366E" w:rsidRDefault="0094366E" w:rsidP="0094366E">
            <w:pPr>
              <w:autoSpaceDN w:val="0"/>
              <w:rPr>
                <w:rFonts w:ascii="Calibri" w:hAnsi="Calibri"/>
                <w:color w:val="000000"/>
                <w:szCs w:val="24"/>
              </w:rPr>
            </w:pPr>
            <w:r w:rsidRPr="0094366E">
              <w:rPr>
                <w:rFonts w:ascii="Calibri" w:hAnsi="Calibri"/>
                <w:color w:val="000000"/>
                <w:szCs w:val="24"/>
              </w:rPr>
              <w:t xml:space="preserve">Inpatient Volume </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12,563</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13,191</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13,851</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14,544</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15,271</w:t>
            </w:r>
          </w:p>
        </w:tc>
      </w:tr>
      <w:tr w:rsidR="0094366E" w:rsidRPr="0094366E" w:rsidTr="0094366E">
        <w:trPr>
          <w:trHeight w:val="300"/>
          <w:jc w:val="center"/>
        </w:trPr>
        <w:tc>
          <w:tcPr>
            <w:tcW w:w="3251" w:type="dxa"/>
            <w:tcBorders>
              <w:top w:val="nil"/>
              <w:left w:val="single" w:sz="4" w:space="0" w:color="auto"/>
              <w:bottom w:val="single" w:sz="4" w:space="0" w:color="auto"/>
              <w:right w:val="single" w:sz="4" w:space="0" w:color="auto"/>
            </w:tcBorders>
            <w:noWrap/>
            <w:vAlign w:val="center"/>
            <w:hideMark/>
          </w:tcPr>
          <w:p w:rsidR="0094366E" w:rsidRPr="0094366E" w:rsidRDefault="0094366E" w:rsidP="0094366E">
            <w:pPr>
              <w:autoSpaceDN w:val="0"/>
              <w:rPr>
                <w:rFonts w:ascii="Calibri" w:hAnsi="Calibri"/>
                <w:color w:val="000000"/>
                <w:szCs w:val="24"/>
              </w:rPr>
            </w:pPr>
            <w:r w:rsidRPr="0094366E">
              <w:rPr>
                <w:rFonts w:ascii="Calibri" w:hAnsi="Calibri"/>
                <w:color w:val="000000"/>
                <w:szCs w:val="24"/>
              </w:rPr>
              <w:t xml:space="preserve">Outpatient Volume </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8,616</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9,047</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9,499</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9,974</w:t>
            </w:r>
          </w:p>
        </w:tc>
        <w:tc>
          <w:tcPr>
            <w:tcW w:w="922" w:type="dxa"/>
            <w:tcBorders>
              <w:top w:val="nil"/>
              <w:left w:val="nil"/>
              <w:bottom w:val="single" w:sz="4" w:space="0" w:color="auto"/>
              <w:right w:val="single" w:sz="4" w:space="0" w:color="auto"/>
            </w:tcBorders>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10,473</w:t>
            </w:r>
          </w:p>
        </w:tc>
      </w:tr>
      <w:tr w:rsidR="0094366E" w:rsidRPr="0094366E" w:rsidTr="0094366E">
        <w:trPr>
          <w:trHeight w:val="300"/>
          <w:jc w:val="center"/>
        </w:trPr>
        <w:tc>
          <w:tcPr>
            <w:tcW w:w="3251" w:type="dxa"/>
            <w:tcBorders>
              <w:top w:val="nil"/>
              <w:left w:val="single" w:sz="4" w:space="0" w:color="auto"/>
              <w:bottom w:val="single" w:sz="4" w:space="0" w:color="auto"/>
              <w:right w:val="single" w:sz="4" w:space="0" w:color="auto"/>
            </w:tcBorders>
            <w:shd w:val="clear" w:color="auto" w:fill="92CDDC"/>
            <w:noWrap/>
            <w:vAlign w:val="center"/>
            <w:hideMark/>
          </w:tcPr>
          <w:p w:rsidR="0094366E" w:rsidRPr="0094366E" w:rsidRDefault="0094366E" w:rsidP="0094366E">
            <w:pPr>
              <w:autoSpaceDN w:val="0"/>
              <w:rPr>
                <w:rFonts w:ascii="Calibri" w:hAnsi="Calibri"/>
                <w:color w:val="000000"/>
                <w:szCs w:val="24"/>
              </w:rPr>
            </w:pPr>
            <w:r w:rsidRPr="0094366E">
              <w:rPr>
                <w:rFonts w:ascii="Calibri" w:hAnsi="Calibri"/>
                <w:color w:val="000000"/>
                <w:szCs w:val="24"/>
              </w:rPr>
              <w:t>Total Hospital-Based Vol.</w:t>
            </w:r>
          </w:p>
        </w:tc>
        <w:tc>
          <w:tcPr>
            <w:tcW w:w="922" w:type="dxa"/>
            <w:tcBorders>
              <w:top w:val="nil"/>
              <w:left w:val="nil"/>
              <w:bottom w:val="single" w:sz="4" w:space="0" w:color="auto"/>
              <w:right w:val="single" w:sz="4" w:space="0" w:color="auto"/>
            </w:tcBorders>
            <w:shd w:val="clear" w:color="auto" w:fill="92CDDC"/>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66,225</w:t>
            </w:r>
          </w:p>
        </w:tc>
        <w:tc>
          <w:tcPr>
            <w:tcW w:w="922" w:type="dxa"/>
            <w:tcBorders>
              <w:top w:val="nil"/>
              <w:left w:val="nil"/>
              <w:bottom w:val="single" w:sz="4" w:space="0" w:color="auto"/>
              <w:right w:val="single" w:sz="4" w:space="0" w:color="auto"/>
            </w:tcBorders>
            <w:shd w:val="clear" w:color="auto" w:fill="92CDDC"/>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69,536</w:t>
            </w:r>
          </w:p>
        </w:tc>
        <w:tc>
          <w:tcPr>
            <w:tcW w:w="922" w:type="dxa"/>
            <w:tcBorders>
              <w:top w:val="nil"/>
              <w:left w:val="nil"/>
              <w:bottom w:val="single" w:sz="4" w:space="0" w:color="auto"/>
              <w:right w:val="single" w:sz="4" w:space="0" w:color="auto"/>
            </w:tcBorders>
            <w:shd w:val="clear" w:color="auto" w:fill="92CDDC"/>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73,013</w:t>
            </w:r>
          </w:p>
        </w:tc>
        <w:tc>
          <w:tcPr>
            <w:tcW w:w="922" w:type="dxa"/>
            <w:tcBorders>
              <w:top w:val="nil"/>
              <w:left w:val="nil"/>
              <w:bottom w:val="single" w:sz="4" w:space="0" w:color="auto"/>
              <w:right w:val="single" w:sz="4" w:space="0" w:color="auto"/>
            </w:tcBorders>
            <w:shd w:val="clear" w:color="auto" w:fill="92CDDC"/>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76,664</w:t>
            </w:r>
          </w:p>
        </w:tc>
        <w:tc>
          <w:tcPr>
            <w:tcW w:w="922" w:type="dxa"/>
            <w:tcBorders>
              <w:top w:val="nil"/>
              <w:left w:val="nil"/>
              <w:bottom w:val="single" w:sz="4" w:space="0" w:color="auto"/>
              <w:right w:val="single" w:sz="4" w:space="0" w:color="auto"/>
            </w:tcBorders>
            <w:shd w:val="clear" w:color="auto" w:fill="92CDDC"/>
            <w:noWrap/>
            <w:vAlign w:val="center"/>
            <w:hideMark/>
          </w:tcPr>
          <w:p w:rsidR="0094366E" w:rsidRPr="0094366E" w:rsidRDefault="0094366E" w:rsidP="0094366E">
            <w:pPr>
              <w:autoSpaceDN w:val="0"/>
              <w:jc w:val="right"/>
              <w:rPr>
                <w:rFonts w:ascii="Calibri" w:hAnsi="Calibri"/>
                <w:color w:val="000000"/>
                <w:szCs w:val="24"/>
              </w:rPr>
            </w:pPr>
            <w:r w:rsidRPr="0094366E">
              <w:rPr>
                <w:rFonts w:ascii="Calibri" w:hAnsi="Calibri"/>
                <w:color w:val="000000"/>
                <w:szCs w:val="24"/>
              </w:rPr>
              <w:t>80,497</w:t>
            </w:r>
          </w:p>
        </w:tc>
      </w:tr>
    </w:tbl>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b/>
          <w:i/>
          <w:szCs w:val="24"/>
          <w:lang w:bidi="en-US"/>
        </w:rPr>
        <w:t>Staff Analysis and Findings</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 xml:space="preserve">In accordance with the original DoN approval (2007) allowance for radiology services to be expanded or changed to remain in alignment with the needs of the service area population, staff finds that the Hospital has made a reasonable argument for need to expand this existing service by one additional CT in the ED and that it is within the scope of the original DoN approval. </w:t>
      </w:r>
    </w:p>
    <w:p w:rsidR="0094366E" w:rsidRPr="0094366E" w:rsidRDefault="0094366E" w:rsidP="0094366E">
      <w:pPr>
        <w:widowControl w:val="0"/>
        <w:autoSpaceDE w:val="0"/>
        <w:autoSpaceDN w:val="0"/>
        <w:spacing w:before="199"/>
        <w:ind w:left="900" w:right="-10"/>
        <w:rPr>
          <w:rFonts w:ascii="Calibri" w:eastAsia="Calibri" w:hAnsi="Calibri" w:cs="Calibri"/>
          <w:b/>
          <w:szCs w:val="22"/>
          <w:lang w:bidi="en-US"/>
        </w:rPr>
      </w:pPr>
      <w:r w:rsidRPr="0094366E">
        <w:rPr>
          <w:rFonts w:ascii="Calibri" w:eastAsia="Calibri" w:hAnsi="Calibri" w:cs="Calibri"/>
          <w:b/>
          <w:szCs w:val="22"/>
          <w:u w:val="single"/>
          <w:lang w:bidi="en-US"/>
        </w:rPr>
        <w:lastRenderedPageBreak/>
        <w:t>Proposed Amendment: Need to Expand Gross Square Footage</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r w:rsidRPr="0094366E">
        <w:rPr>
          <w:rFonts w:ascii="Calibri" w:eastAsia="Calibri" w:hAnsi="Calibri" w:cs="Calibri"/>
          <w:szCs w:val="22"/>
          <w:lang w:bidi="en-US"/>
        </w:rPr>
        <w:t>As illustrated in the chart below, approval of the Proposed Project will increase the total approved space for the DoN Project to 724,893 GSF. The total GSF for renovation will increase to 76,172 GSF, while the new construction GSF will increase to 575,729 GSF reflecting not only the transition of shell space to new construction and a small amount of space (5,419 GSF) for a surgical lobby and infrastructure related to accomplishing the goals of the project. As a result, the remaining shell space for DoN consideration will decrease to 72,992 GSF to reflect the space remaining for future amendments following this project.</w:t>
      </w:r>
    </w:p>
    <w:p w:rsidR="0094366E" w:rsidRPr="0094366E" w:rsidRDefault="0094366E" w:rsidP="0094366E">
      <w:pPr>
        <w:widowControl w:val="0"/>
        <w:autoSpaceDE w:val="0"/>
        <w:autoSpaceDN w:val="0"/>
        <w:spacing w:before="199"/>
        <w:ind w:left="900" w:right="-10"/>
        <w:rPr>
          <w:rFonts w:ascii="Calibri" w:eastAsia="Calibri" w:hAnsi="Calibri" w:cs="Calibri"/>
          <w:szCs w:val="22"/>
          <w:lang w:bidi="en-US"/>
        </w:rPr>
      </w:pPr>
    </w:p>
    <w:tbl>
      <w:tblPr>
        <w:tblW w:w="0" w:type="auto"/>
        <w:tblInd w:w="630" w:type="dxa"/>
        <w:tblLayout w:type="fixed"/>
        <w:tblCellMar>
          <w:left w:w="0" w:type="dxa"/>
          <w:right w:w="0" w:type="dxa"/>
        </w:tblCellMar>
        <w:tblLook w:val="01E0" w:firstRow="1" w:lastRow="1" w:firstColumn="1" w:lastColumn="1" w:noHBand="0" w:noVBand="0"/>
      </w:tblPr>
      <w:tblGrid>
        <w:gridCol w:w="1608"/>
        <w:gridCol w:w="1069"/>
        <w:gridCol w:w="1063"/>
        <w:gridCol w:w="1535"/>
        <w:gridCol w:w="1201"/>
        <w:gridCol w:w="1267"/>
        <w:gridCol w:w="1437"/>
      </w:tblGrid>
      <w:tr w:rsidR="0094366E" w:rsidRPr="0094366E" w:rsidTr="001D4FC3">
        <w:trPr>
          <w:trHeight w:val="262"/>
        </w:trPr>
        <w:tc>
          <w:tcPr>
            <w:tcW w:w="9180" w:type="dxa"/>
            <w:gridSpan w:val="7"/>
            <w:shd w:val="clear" w:color="auto" w:fill="CBD7FD"/>
            <w:hideMark/>
          </w:tcPr>
          <w:p w:rsidR="0094366E" w:rsidRPr="0094366E" w:rsidRDefault="0094366E" w:rsidP="0094366E">
            <w:pPr>
              <w:widowControl w:val="0"/>
              <w:autoSpaceDE w:val="0"/>
              <w:autoSpaceDN w:val="0"/>
              <w:spacing w:line="276" w:lineRule="auto"/>
              <w:ind w:right="-10"/>
              <w:jc w:val="center"/>
              <w:rPr>
                <w:rFonts w:ascii="Calibri" w:eastAsia="Arial" w:hAnsi="Calibri" w:cs="Arial"/>
                <w:b/>
                <w:szCs w:val="24"/>
                <w:lang w:bidi="en-US"/>
              </w:rPr>
            </w:pPr>
            <w:r w:rsidRPr="0094366E">
              <w:rPr>
                <w:rFonts w:ascii="Calibri" w:eastAsia="Arial" w:hAnsi="Calibri" w:cs="Arial"/>
                <w:b/>
                <w:szCs w:val="24"/>
                <w:lang w:bidi="en-US"/>
              </w:rPr>
              <w:t>Changes in Square Footage &amp; Maximum Capital Expenditures: Approval - Amendment #8</w:t>
            </w:r>
          </w:p>
        </w:tc>
      </w:tr>
      <w:tr w:rsidR="0094366E" w:rsidRPr="0094366E" w:rsidTr="001D4FC3">
        <w:trPr>
          <w:trHeight w:val="469"/>
        </w:trPr>
        <w:tc>
          <w:tcPr>
            <w:tcW w:w="1608" w:type="dxa"/>
            <w:shd w:val="clear" w:color="auto" w:fill="CBD7FD"/>
          </w:tcPr>
          <w:p w:rsidR="0094366E" w:rsidRPr="0094366E" w:rsidRDefault="0094366E" w:rsidP="0094366E">
            <w:pPr>
              <w:widowControl w:val="0"/>
              <w:autoSpaceDE w:val="0"/>
              <w:autoSpaceDN w:val="0"/>
              <w:spacing w:line="276" w:lineRule="auto"/>
              <w:ind w:right="-10"/>
              <w:rPr>
                <w:rFonts w:ascii="Calibri" w:eastAsia="Arial" w:hAnsi="Calibri" w:cs="Arial"/>
                <w:sz w:val="20"/>
                <w:lang w:bidi="en-US"/>
              </w:rPr>
            </w:pPr>
          </w:p>
        </w:tc>
        <w:tc>
          <w:tcPr>
            <w:tcW w:w="1069" w:type="dxa"/>
            <w:shd w:val="clear" w:color="auto" w:fill="CBD7FD"/>
            <w:hideMark/>
          </w:tcPr>
          <w:p w:rsidR="0094366E" w:rsidRPr="0094366E" w:rsidRDefault="0094366E" w:rsidP="0094366E">
            <w:pPr>
              <w:widowControl w:val="0"/>
              <w:autoSpaceDE w:val="0"/>
              <w:autoSpaceDN w:val="0"/>
              <w:ind w:left="153" w:right="-10"/>
              <w:jc w:val="center"/>
              <w:rPr>
                <w:rFonts w:ascii="Calibri" w:eastAsia="Arial" w:hAnsi="Calibri" w:cs="Arial"/>
                <w:b/>
                <w:sz w:val="22"/>
                <w:szCs w:val="22"/>
                <w:lang w:bidi="en-US"/>
              </w:rPr>
            </w:pPr>
            <w:r w:rsidRPr="0094366E">
              <w:rPr>
                <w:rFonts w:ascii="Calibri" w:eastAsia="Arial" w:hAnsi="Calibri" w:cs="Arial"/>
                <w:b/>
                <w:sz w:val="22"/>
                <w:szCs w:val="22"/>
                <w:lang w:bidi="en-US"/>
              </w:rPr>
              <w:t>Approval</w:t>
            </w:r>
          </w:p>
          <w:p w:rsidR="0094366E" w:rsidRPr="0094366E" w:rsidRDefault="0094366E" w:rsidP="0094366E">
            <w:pPr>
              <w:widowControl w:val="0"/>
              <w:autoSpaceDE w:val="0"/>
              <w:autoSpaceDN w:val="0"/>
              <w:ind w:left="150" w:right="-10"/>
              <w:jc w:val="center"/>
              <w:rPr>
                <w:rFonts w:ascii="Calibri" w:eastAsia="Arial" w:hAnsi="Calibri" w:cs="Arial"/>
                <w:b/>
                <w:sz w:val="22"/>
                <w:szCs w:val="22"/>
                <w:lang w:bidi="en-US"/>
              </w:rPr>
            </w:pPr>
            <w:r w:rsidRPr="0094366E">
              <w:rPr>
                <w:rFonts w:ascii="Calibri" w:eastAsia="Arial" w:hAnsi="Calibri" w:cs="Arial"/>
                <w:b/>
                <w:sz w:val="22"/>
                <w:szCs w:val="22"/>
                <w:lang w:bidi="en-US"/>
              </w:rPr>
              <w:t>Date</w:t>
            </w:r>
          </w:p>
        </w:tc>
        <w:tc>
          <w:tcPr>
            <w:tcW w:w="1063" w:type="dxa"/>
            <w:shd w:val="clear" w:color="auto" w:fill="CBD7FD"/>
            <w:hideMark/>
          </w:tcPr>
          <w:p w:rsidR="0094366E" w:rsidRPr="0094366E" w:rsidRDefault="0094366E" w:rsidP="0094366E">
            <w:pPr>
              <w:widowControl w:val="0"/>
              <w:autoSpaceDE w:val="0"/>
              <w:autoSpaceDN w:val="0"/>
              <w:spacing w:before="104"/>
              <w:ind w:left="116" w:right="-10"/>
              <w:jc w:val="center"/>
              <w:rPr>
                <w:rFonts w:ascii="Calibri" w:eastAsia="Arial" w:hAnsi="Calibri" w:cs="Arial"/>
                <w:b/>
                <w:sz w:val="22"/>
                <w:szCs w:val="22"/>
                <w:lang w:bidi="en-US"/>
              </w:rPr>
            </w:pPr>
            <w:r w:rsidRPr="0094366E">
              <w:rPr>
                <w:rFonts w:ascii="Calibri" w:eastAsia="Arial" w:hAnsi="Calibri" w:cs="Arial"/>
                <w:b/>
                <w:sz w:val="22"/>
                <w:szCs w:val="22"/>
                <w:lang w:bidi="en-US"/>
              </w:rPr>
              <w:t>Approved Total GSF</w:t>
            </w:r>
          </w:p>
        </w:tc>
        <w:tc>
          <w:tcPr>
            <w:tcW w:w="1535" w:type="dxa"/>
            <w:shd w:val="clear" w:color="auto" w:fill="CBD7FD"/>
            <w:hideMark/>
          </w:tcPr>
          <w:p w:rsidR="0094366E" w:rsidRPr="0094366E" w:rsidRDefault="0094366E" w:rsidP="0094366E">
            <w:pPr>
              <w:widowControl w:val="0"/>
              <w:autoSpaceDE w:val="0"/>
              <w:autoSpaceDN w:val="0"/>
              <w:ind w:left="141" w:right="-10"/>
              <w:rPr>
                <w:rFonts w:ascii="Calibri" w:eastAsia="Arial" w:hAnsi="Calibri" w:cs="Arial"/>
                <w:b/>
                <w:sz w:val="22"/>
                <w:szCs w:val="22"/>
                <w:lang w:bidi="en-US"/>
              </w:rPr>
            </w:pPr>
            <w:r w:rsidRPr="0094366E">
              <w:rPr>
                <w:rFonts w:ascii="Calibri" w:eastAsia="Arial" w:hAnsi="Calibri" w:cs="Arial"/>
                <w:b/>
                <w:sz w:val="22"/>
                <w:szCs w:val="22"/>
                <w:lang w:bidi="en-US"/>
              </w:rPr>
              <w:t>New Const</w:t>
            </w:r>
            <w:r w:rsidRPr="0094366E">
              <w:rPr>
                <w:rFonts w:ascii="Calibri" w:eastAsia="Arial" w:hAnsi="Calibri" w:cs="Arial"/>
                <w:b/>
                <w:spacing w:val="-6"/>
                <w:sz w:val="22"/>
                <w:szCs w:val="22"/>
                <w:lang w:bidi="en-US"/>
              </w:rPr>
              <w:t xml:space="preserve"> </w:t>
            </w:r>
            <w:r w:rsidRPr="0094366E">
              <w:rPr>
                <w:rFonts w:ascii="Calibri" w:eastAsia="Arial" w:hAnsi="Calibri" w:cs="Arial"/>
                <w:b/>
                <w:sz w:val="22"/>
                <w:szCs w:val="22"/>
                <w:lang w:bidi="en-US"/>
              </w:rPr>
              <w:t>GSF</w:t>
            </w:r>
          </w:p>
          <w:p w:rsidR="0094366E" w:rsidRPr="0094366E" w:rsidRDefault="0094366E" w:rsidP="0094366E">
            <w:pPr>
              <w:widowControl w:val="0"/>
              <w:autoSpaceDE w:val="0"/>
              <w:autoSpaceDN w:val="0"/>
              <w:ind w:left="163" w:right="-10"/>
              <w:rPr>
                <w:rFonts w:ascii="Calibri" w:eastAsia="Arial" w:hAnsi="Calibri" w:cs="Arial"/>
                <w:b/>
                <w:sz w:val="22"/>
                <w:szCs w:val="22"/>
                <w:lang w:bidi="en-US"/>
              </w:rPr>
            </w:pPr>
            <w:r w:rsidRPr="0094366E">
              <w:rPr>
                <w:rFonts w:ascii="Calibri" w:eastAsia="Arial" w:hAnsi="Calibri" w:cs="Arial"/>
                <w:b/>
                <w:sz w:val="22"/>
                <w:szCs w:val="22"/>
                <w:lang w:bidi="en-US"/>
              </w:rPr>
              <w:t>(without</w:t>
            </w:r>
            <w:r w:rsidRPr="0094366E">
              <w:rPr>
                <w:rFonts w:ascii="Calibri" w:eastAsia="Arial" w:hAnsi="Calibri" w:cs="Arial"/>
                <w:b/>
                <w:spacing w:val="-7"/>
                <w:sz w:val="22"/>
                <w:szCs w:val="22"/>
                <w:lang w:bidi="en-US"/>
              </w:rPr>
              <w:t xml:space="preserve"> </w:t>
            </w:r>
            <w:r w:rsidRPr="0094366E">
              <w:rPr>
                <w:rFonts w:ascii="Calibri" w:eastAsia="Arial" w:hAnsi="Calibri" w:cs="Arial"/>
                <w:b/>
                <w:sz w:val="22"/>
                <w:szCs w:val="22"/>
                <w:lang w:bidi="en-US"/>
              </w:rPr>
              <w:t>shell)</w:t>
            </w:r>
          </w:p>
        </w:tc>
        <w:tc>
          <w:tcPr>
            <w:tcW w:w="1201" w:type="dxa"/>
            <w:shd w:val="clear" w:color="auto" w:fill="CBD7FD"/>
            <w:hideMark/>
          </w:tcPr>
          <w:p w:rsidR="0094366E" w:rsidRPr="0094366E" w:rsidRDefault="0094366E" w:rsidP="0094366E">
            <w:pPr>
              <w:widowControl w:val="0"/>
              <w:autoSpaceDE w:val="0"/>
              <w:autoSpaceDN w:val="0"/>
              <w:ind w:left="110" w:right="-10"/>
              <w:jc w:val="center"/>
              <w:rPr>
                <w:rFonts w:ascii="Calibri" w:eastAsia="Arial" w:hAnsi="Calibri" w:cs="Arial"/>
                <w:b/>
                <w:sz w:val="22"/>
                <w:szCs w:val="22"/>
                <w:lang w:bidi="en-US"/>
              </w:rPr>
            </w:pPr>
            <w:r w:rsidRPr="0094366E">
              <w:rPr>
                <w:rFonts w:ascii="Calibri" w:eastAsia="Arial" w:hAnsi="Calibri" w:cs="Arial"/>
                <w:b/>
                <w:sz w:val="22"/>
                <w:szCs w:val="22"/>
                <w:lang w:bidi="en-US"/>
              </w:rPr>
              <w:t>Shell Space</w:t>
            </w:r>
          </w:p>
          <w:p w:rsidR="0094366E" w:rsidRPr="0094366E" w:rsidRDefault="0094366E" w:rsidP="0094366E">
            <w:pPr>
              <w:widowControl w:val="0"/>
              <w:autoSpaceDE w:val="0"/>
              <w:autoSpaceDN w:val="0"/>
              <w:ind w:left="108" w:right="-10"/>
              <w:jc w:val="center"/>
              <w:rPr>
                <w:rFonts w:ascii="Calibri" w:eastAsia="Arial" w:hAnsi="Calibri" w:cs="Arial"/>
                <w:b/>
                <w:sz w:val="22"/>
                <w:szCs w:val="22"/>
                <w:lang w:bidi="en-US"/>
              </w:rPr>
            </w:pPr>
            <w:r w:rsidRPr="0094366E">
              <w:rPr>
                <w:rFonts w:ascii="Calibri" w:eastAsia="Arial" w:hAnsi="Calibri" w:cs="Arial"/>
                <w:b/>
                <w:sz w:val="22"/>
                <w:szCs w:val="22"/>
                <w:lang w:bidi="en-US"/>
              </w:rPr>
              <w:t>GSF</w:t>
            </w:r>
          </w:p>
        </w:tc>
        <w:tc>
          <w:tcPr>
            <w:tcW w:w="1267" w:type="dxa"/>
            <w:shd w:val="clear" w:color="auto" w:fill="CBD7FD"/>
            <w:hideMark/>
          </w:tcPr>
          <w:p w:rsidR="0094366E" w:rsidRPr="0094366E" w:rsidRDefault="0094366E" w:rsidP="0094366E">
            <w:pPr>
              <w:widowControl w:val="0"/>
              <w:autoSpaceDE w:val="0"/>
              <w:autoSpaceDN w:val="0"/>
              <w:ind w:left="113" w:right="-10"/>
              <w:jc w:val="center"/>
              <w:rPr>
                <w:rFonts w:ascii="Calibri" w:eastAsia="Arial" w:hAnsi="Calibri" w:cs="Arial"/>
                <w:b/>
                <w:sz w:val="22"/>
                <w:szCs w:val="22"/>
                <w:lang w:bidi="en-US"/>
              </w:rPr>
            </w:pPr>
            <w:r w:rsidRPr="0094366E">
              <w:rPr>
                <w:rFonts w:ascii="Calibri" w:eastAsia="Arial" w:hAnsi="Calibri" w:cs="Arial"/>
                <w:b/>
                <w:sz w:val="22"/>
                <w:szCs w:val="22"/>
                <w:lang w:bidi="en-US"/>
              </w:rPr>
              <w:t>Renovation</w:t>
            </w:r>
          </w:p>
          <w:p w:rsidR="0094366E" w:rsidRPr="0094366E" w:rsidRDefault="0094366E" w:rsidP="0094366E">
            <w:pPr>
              <w:widowControl w:val="0"/>
              <w:autoSpaceDE w:val="0"/>
              <w:autoSpaceDN w:val="0"/>
              <w:ind w:left="113" w:right="-10"/>
              <w:jc w:val="center"/>
              <w:rPr>
                <w:rFonts w:ascii="Calibri" w:eastAsia="Arial" w:hAnsi="Calibri" w:cs="Arial"/>
                <w:b/>
                <w:sz w:val="22"/>
                <w:szCs w:val="22"/>
                <w:lang w:bidi="en-US"/>
              </w:rPr>
            </w:pPr>
            <w:r w:rsidRPr="0094366E">
              <w:rPr>
                <w:rFonts w:ascii="Calibri" w:eastAsia="Arial" w:hAnsi="Calibri" w:cs="Arial"/>
                <w:b/>
                <w:sz w:val="22"/>
                <w:szCs w:val="22"/>
                <w:lang w:bidi="en-US"/>
              </w:rPr>
              <w:t>GSF</w:t>
            </w:r>
          </w:p>
        </w:tc>
        <w:tc>
          <w:tcPr>
            <w:tcW w:w="1437" w:type="dxa"/>
            <w:shd w:val="clear" w:color="auto" w:fill="CBD7FD"/>
            <w:hideMark/>
          </w:tcPr>
          <w:p w:rsidR="0094366E" w:rsidRPr="0094366E" w:rsidRDefault="0094366E" w:rsidP="0094366E">
            <w:pPr>
              <w:widowControl w:val="0"/>
              <w:autoSpaceDE w:val="0"/>
              <w:autoSpaceDN w:val="0"/>
              <w:ind w:left="35" w:right="-10"/>
              <w:jc w:val="center"/>
              <w:rPr>
                <w:rFonts w:ascii="Calibri" w:eastAsia="Arial" w:hAnsi="Calibri" w:cs="Arial"/>
                <w:b/>
                <w:sz w:val="22"/>
                <w:szCs w:val="22"/>
                <w:lang w:bidi="en-US"/>
              </w:rPr>
            </w:pPr>
            <w:r w:rsidRPr="0094366E">
              <w:rPr>
                <w:rFonts w:ascii="Calibri" w:eastAsia="Arial" w:hAnsi="Calibri" w:cs="Arial"/>
                <w:b/>
                <w:sz w:val="22"/>
                <w:szCs w:val="22"/>
                <w:lang w:bidi="en-US"/>
              </w:rPr>
              <w:t>Approved</w:t>
            </w:r>
          </w:p>
          <w:p w:rsidR="0094366E" w:rsidRPr="0094366E" w:rsidRDefault="0094366E" w:rsidP="0094366E">
            <w:pPr>
              <w:widowControl w:val="0"/>
              <w:autoSpaceDE w:val="0"/>
              <w:autoSpaceDN w:val="0"/>
              <w:ind w:left="38" w:right="-10"/>
              <w:jc w:val="center"/>
              <w:rPr>
                <w:rFonts w:ascii="Calibri" w:eastAsia="Arial" w:hAnsi="Calibri" w:cs="Arial"/>
                <w:b/>
                <w:sz w:val="22"/>
                <w:szCs w:val="22"/>
                <w:lang w:bidi="en-US"/>
              </w:rPr>
            </w:pPr>
            <w:r w:rsidRPr="0094366E">
              <w:rPr>
                <w:rFonts w:ascii="Calibri" w:eastAsia="Arial" w:hAnsi="Calibri" w:cs="Arial"/>
                <w:b/>
                <w:sz w:val="22"/>
                <w:szCs w:val="22"/>
                <w:lang w:bidi="en-US"/>
              </w:rPr>
              <w:t>MCE</w:t>
            </w:r>
          </w:p>
        </w:tc>
      </w:tr>
      <w:tr w:rsidR="0094366E" w:rsidRPr="0094366E" w:rsidTr="001D4FC3">
        <w:trPr>
          <w:trHeight w:val="469"/>
        </w:trPr>
        <w:tc>
          <w:tcPr>
            <w:tcW w:w="1608" w:type="dxa"/>
            <w:tcBorders>
              <w:top w:val="nil"/>
              <w:left w:val="nil"/>
              <w:bottom w:val="single" w:sz="4" w:space="0" w:color="auto"/>
              <w:right w:val="nil"/>
            </w:tcBorders>
            <w:shd w:val="clear" w:color="auto" w:fill="CBD7FD"/>
          </w:tcPr>
          <w:p w:rsidR="0094366E" w:rsidRPr="0094366E" w:rsidRDefault="0094366E" w:rsidP="0094366E">
            <w:pPr>
              <w:widowControl w:val="0"/>
              <w:autoSpaceDE w:val="0"/>
              <w:autoSpaceDN w:val="0"/>
              <w:spacing w:line="276" w:lineRule="auto"/>
              <w:ind w:right="-10"/>
              <w:rPr>
                <w:rFonts w:ascii="Calibri" w:eastAsia="Arial" w:hAnsi="Calibri" w:cs="Arial"/>
                <w:sz w:val="20"/>
                <w:lang w:bidi="en-US"/>
              </w:rPr>
            </w:pPr>
          </w:p>
        </w:tc>
        <w:tc>
          <w:tcPr>
            <w:tcW w:w="1069" w:type="dxa"/>
            <w:tcBorders>
              <w:top w:val="nil"/>
              <w:left w:val="nil"/>
              <w:bottom w:val="single" w:sz="4" w:space="0" w:color="auto"/>
              <w:right w:val="nil"/>
            </w:tcBorders>
            <w:shd w:val="clear" w:color="auto" w:fill="CBD7FD"/>
          </w:tcPr>
          <w:p w:rsidR="0094366E" w:rsidRPr="0094366E" w:rsidRDefault="0094366E" w:rsidP="0094366E">
            <w:pPr>
              <w:widowControl w:val="0"/>
              <w:autoSpaceDE w:val="0"/>
              <w:autoSpaceDN w:val="0"/>
              <w:ind w:left="153" w:right="-10"/>
              <w:jc w:val="center"/>
              <w:rPr>
                <w:rFonts w:ascii="Calibri" w:eastAsia="Arial" w:hAnsi="Calibri" w:cs="Arial"/>
                <w:b/>
                <w:sz w:val="22"/>
                <w:szCs w:val="22"/>
                <w:lang w:bidi="en-US"/>
              </w:rPr>
            </w:pPr>
          </w:p>
        </w:tc>
        <w:tc>
          <w:tcPr>
            <w:tcW w:w="1063" w:type="dxa"/>
            <w:tcBorders>
              <w:top w:val="nil"/>
              <w:left w:val="nil"/>
              <w:bottom w:val="single" w:sz="4" w:space="0" w:color="auto"/>
              <w:right w:val="nil"/>
            </w:tcBorders>
            <w:shd w:val="clear" w:color="auto" w:fill="CBD7FD"/>
            <w:hideMark/>
          </w:tcPr>
          <w:p w:rsidR="0094366E" w:rsidRPr="0094366E" w:rsidRDefault="0094366E" w:rsidP="0094366E">
            <w:pPr>
              <w:widowControl w:val="0"/>
              <w:autoSpaceDE w:val="0"/>
              <w:autoSpaceDN w:val="0"/>
              <w:ind w:left="116" w:right="-10"/>
              <w:jc w:val="center"/>
              <w:rPr>
                <w:rFonts w:ascii="Calibri" w:eastAsia="Arial" w:hAnsi="Calibri" w:cs="Arial"/>
                <w:b/>
                <w:sz w:val="22"/>
                <w:szCs w:val="22"/>
                <w:lang w:bidi="en-US"/>
              </w:rPr>
            </w:pPr>
            <w:r w:rsidRPr="0094366E">
              <w:rPr>
                <w:rFonts w:ascii="Calibri" w:eastAsia="Arial" w:hAnsi="Calibri" w:cs="Arial"/>
                <w:b/>
                <w:sz w:val="22"/>
                <w:szCs w:val="22"/>
                <w:lang w:bidi="en-US"/>
              </w:rPr>
              <w:t>A</w:t>
            </w:r>
          </w:p>
          <w:p w:rsidR="0094366E" w:rsidRPr="0094366E" w:rsidRDefault="0094366E" w:rsidP="0094366E">
            <w:pPr>
              <w:widowControl w:val="0"/>
              <w:autoSpaceDE w:val="0"/>
              <w:autoSpaceDN w:val="0"/>
              <w:ind w:left="116" w:right="-10"/>
              <w:jc w:val="center"/>
              <w:rPr>
                <w:rFonts w:ascii="Calibri" w:eastAsia="Arial" w:hAnsi="Calibri" w:cs="Arial"/>
                <w:b/>
                <w:sz w:val="22"/>
                <w:szCs w:val="22"/>
                <w:lang w:bidi="en-US"/>
              </w:rPr>
            </w:pPr>
            <w:r w:rsidRPr="0094366E">
              <w:rPr>
                <w:rFonts w:ascii="Calibri" w:eastAsia="Arial" w:hAnsi="Calibri" w:cs="Arial"/>
                <w:b/>
                <w:sz w:val="22"/>
                <w:szCs w:val="22"/>
                <w:lang w:bidi="en-US"/>
              </w:rPr>
              <w:t>(B+C+D)</w:t>
            </w:r>
          </w:p>
        </w:tc>
        <w:tc>
          <w:tcPr>
            <w:tcW w:w="1535" w:type="dxa"/>
            <w:tcBorders>
              <w:top w:val="nil"/>
              <w:left w:val="nil"/>
              <w:bottom w:val="single" w:sz="4" w:space="0" w:color="auto"/>
              <w:right w:val="nil"/>
            </w:tcBorders>
            <w:shd w:val="clear" w:color="auto" w:fill="CBD7FD"/>
            <w:hideMark/>
          </w:tcPr>
          <w:p w:rsidR="0094366E" w:rsidRPr="0094366E" w:rsidRDefault="0094366E" w:rsidP="0094366E">
            <w:pPr>
              <w:widowControl w:val="0"/>
              <w:autoSpaceDE w:val="0"/>
              <w:autoSpaceDN w:val="0"/>
              <w:ind w:left="141" w:right="-10"/>
              <w:jc w:val="center"/>
              <w:rPr>
                <w:rFonts w:ascii="Calibri" w:eastAsia="Arial" w:hAnsi="Calibri" w:cs="Arial"/>
                <w:b/>
                <w:sz w:val="22"/>
                <w:szCs w:val="22"/>
                <w:lang w:bidi="en-US"/>
              </w:rPr>
            </w:pPr>
            <w:r w:rsidRPr="0094366E">
              <w:rPr>
                <w:rFonts w:ascii="Calibri" w:eastAsia="Arial" w:hAnsi="Calibri" w:cs="Arial"/>
                <w:b/>
                <w:sz w:val="22"/>
                <w:szCs w:val="22"/>
                <w:lang w:bidi="en-US"/>
              </w:rPr>
              <w:t>B</w:t>
            </w:r>
          </w:p>
        </w:tc>
        <w:tc>
          <w:tcPr>
            <w:tcW w:w="1201" w:type="dxa"/>
            <w:tcBorders>
              <w:top w:val="nil"/>
              <w:left w:val="nil"/>
              <w:bottom w:val="single" w:sz="4" w:space="0" w:color="auto"/>
              <w:right w:val="nil"/>
            </w:tcBorders>
            <w:shd w:val="clear" w:color="auto" w:fill="CBD7FD"/>
            <w:hideMark/>
          </w:tcPr>
          <w:p w:rsidR="0094366E" w:rsidRPr="0094366E" w:rsidRDefault="0094366E" w:rsidP="0094366E">
            <w:pPr>
              <w:widowControl w:val="0"/>
              <w:autoSpaceDE w:val="0"/>
              <w:autoSpaceDN w:val="0"/>
              <w:ind w:left="110" w:right="-10"/>
              <w:jc w:val="center"/>
              <w:rPr>
                <w:rFonts w:ascii="Calibri" w:eastAsia="Arial" w:hAnsi="Calibri" w:cs="Arial"/>
                <w:b/>
                <w:sz w:val="22"/>
                <w:szCs w:val="22"/>
                <w:lang w:bidi="en-US"/>
              </w:rPr>
            </w:pPr>
            <w:r w:rsidRPr="0094366E">
              <w:rPr>
                <w:rFonts w:ascii="Calibri" w:eastAsia="Arial" w:hAnsi="Calibri" w:cs="Arial"/>
                <w:b/>
                <w:sz w:val="22"/>
                <w:szCs w:val="22"/>
                <w:lang w:bidi="en-US"/>
              </w:rPr>
              <w:t>C</w:t>
            </w:r>
          </w:p>
        </w:tc>
        <w:tc>
          <w:tcPr>
            <w:tcW w:w="1267" w:type="dxa"/>
            <w:tcBorders>
              <w:top w:val="nil"/>
              <w:left w:val="nil"/>
              <w:bottom w:val="single" w:sz="4" w:space="0" w:color="auto"/>
              <w:right w:val="nil"/>
            </w:tcBorders>
            <w:shd w:val="clear" w:color="auto" w:fill="CBD7FD"/>
            <w:hideMark/>
          </w:tcPr>
          <w:p w:rsidR="0094366E" w:rsidRPr="0094366E" w:rsidRDefault="0094366E" w:rsidP="0094366E">
            <w:pPr>
              <w:widowControl w:val="0"/>
              <w:autoSpaceDE w:val="0"/>
              <w:autoSpaceDN w:val="0"/>
              <w:ind w:left="113" w:right="-10"/>
              <w:jc w:val="center"/>
              <w:rPr>
                <w:rFonts w:ascii="Calibri" w:eastAsia="Arial" w:hAnsi="Calibri" w:cs="Arial"/>
                <w:b/>
                <w:sz w:val="22"/>
                <w:szCs w:val="22"/>
                <w:lang w:bidi="en-US"/>
              </w:rPr>
            </w:pPr>
            <w:r w:rsidRPr="0094366E">
              <w:rPr>
                <w:rFonts w:ascii="Calibri" w:eastAsia="Arial" w:hAnsi="Calibri" w:cs="Arial"/>
                <w:b/>
                <w:sz w:val="22"/>
                <w:szCs w:val="22"/>
                <w:lang w:bidi="en-US"/>
              </w:rPr>
              <w:t>D</w:t>
            </w:r>
          </w:p>
        </w:tc>
        <w:tc>
          <w:tcPr>
            <w:tcW w:w="1437" w:type="dxa"/>
            <w:tcBorders>
              <w:top w:val="nil"/>
              <w:left w:val="nil"/>
              <w:bottom w:val="single" w:sz="4" w:space="0" w:color="auto"/>
              <w:right w:val="nil"/>
            </w:tcBorders>
            <w:shd w:val="clear" w:color="auto" w:fill="CBD7FD"/>
            <w:hideMark/>
          </w:tcPr>
          <w:p w:rsidR="0094366E" w:rsidRPr="0094366E" w:rsidRDefault="0094366E" w:rsidP="0094366E">
            <w:pPr>
              <w:widowControl w:val="0"/>
              <w:autoSpaceDE w:val="0"/>
              <w:autoSpaceDN w:val="0"/>
              <w:ind w:left="35" w:right="-10"/>
              <w:jc w:val="center"/>
              <w:rPr>
                <w:rFonts w:ascii="Calibri" w:eastAsia="Arial" w:hAnsi="Calibri" w:cs="Arial"/>
                <w:b/>
                <w:sz w:val="22"/>
                <w:szCs w:val="22"/>
                <w:lang w:bidi="en-US"/>
              </w:rPr>
            </w:pPr>
            <w:r w:rsidRPr="0094366E">
              <w:rPr>
                <w:rFonts w:ascii="Calibri" w:eastAsia="Arial" w:hAnsi="Calibri" w:cs="Arial"/>
                <w:b/>
                <w:sz w:val="22"/>
                <w:szCs w:val="22"/>
                <w:lang w:bidi="en-US"/>
              </w:rPr>
              <w:t>E</w:t>
            </w:r>
          </w:p>
        </w:tc>
      </w:tr>
      <w:tr w:rsidR="0094366E" w:rsidRPr="0094366E" w:rsidTr="001D4FC3">
        <w:trPr>
          <w:trHeight w:val="262"/>
        </w:trPr>
        <w:tc>
          <w:tcPr>
            <w:tcW w:w="1608" w:type="dxa"/>
            <w:tcBorders>
              <w:top w:val="single" w:sz="4" w:space="0" w:color="auto"/>
              <w:left w:val="single" w:sz="4" w:space="0" w:color="auto"/>
              <w:bottom w:val="single" w:sz="4" w:space="0" w:color="auto"/>
              <w:right w:val="single" w:sz="4" w:space="0" w:color="auto"/>
            </w:tcBorders>
            <w:vAlign w:val="center"/>
            <w:hideMark/>
          </w:tcPr>
          <w:p w:rsidR="0094366E" w:rsidRPr="0094366E" w:rsidRDefault="0094366E" w:rsidP="0094366E">
            <w:pPr>
              <w:widowControl w:val="0"/>
              <w:autoSpaceDE w:val="0"/>
              <w:autoSpaceDN w:val="0"/>
              <w:spacing w:line="242" w:lineRule="exact"/>
              <w:ind w:right="-10" w:firstLine="146"/>
              <w:rPr>
                <w:rFonts w:ascii="Calibri" w:eastAsia="Arial" w:hAnsi="Calibri" w:cs="Arial"/>
                <w:sz w:val="22"/>
                <w:szCs w:val="22"/>
                <w:lang w:bidi="en-US"/>
              </w:rPr>
            </w:pPr>
            <w:r w:rsidRPr="0094366E">
              <w:rPr>
                <w:rFonts w:ascii="Calibri" w:eastAsia="Arial" w:hAnsi="Calibri" w:cs="Arial"/>
                <w:sz w:val="22"/>
                <w:szCs w:val="22"/>
                <w:lang w:bidi="en-US"/>
              </w:rPr>
              <w:t>DoN #1-3B36</w:t>
            </w:r>
          </w:p>
        </w:tc>
        <w:tc>
          <w:tcPr>
            <w:tcW w:w="1069" w:type="dxa"/>
            <w:tcBorders>
              <w:top w:val="single" w:sz="4" w:space="0" w:color="auto"/>
              <w:left w:val="single" w:sz="4" w:space="0" w:color="auto"/>
              <w:bottom w:val="single" w:sz="4" w:space="0" w:color="auto"/>
              <w:right w:val="single" w:sz="4" w:space="0" w:color="auto"/>
            </w:tcBorders>
            <w:vAlign w:val="center"/>
            <w:hideMark/>
          </w:tcPr>
          <w:p w:rsidR="0094366E" w:rsidRPr="0094366E" w:rsidRDefault="0094366E" w:rsidP="0094366E">
            <w:pPr>
              <w:widowControl w:val="0"/>
              <w:autoSpaceDE w:val="0"/>
              <w:autoSpaceDN w:val="0"/>
              <w:spacing w:line="242" w:lineRule="exact"/>
              <w:ind w:left="153" w:right="-10"/>
              <w:jc w:val="center"/>
              <w:rPr>
                <w:rFonts w:ascii="Calibri" w:eastAsia="Arial" w:hAnsi="Calibri" w:cs="Arial"/>
                <w:sz w:val="22"/>
                <w:szCs w:val="22"/>
                <w:lang w:bidi="en-US"/>
              </w:rPr>
            </w:pPr>
            <w:r w:rsidRPr="0094366E">
              <w:rPr>
                <w:rFonts w:ascii="Calibri" w:eastAsia="Arial" w:hAnsi="Calibri" w:cs="Arial"/>
                <w:sz w:val="22"/>
                <w:szCs w:val="22"/>
                <w:lang w:bidi="en-US"/>
              </w:rPr>
              <w:t>11/2007</w:t>
            </w:r>
          </w:p>
        </w:tc>
        <w:tc>
          <w:tcPr>
            <w:tcW w:w="1063" w:type="dxa"/>
            <w:tcBorders>
              <w:top w:val="single" w:sz="4" w:space="0" w:color="auto"/>
              <w:left w:val="single" w:sz="4" w:space="0" w:color="auto"/>
              <w:bottom w:val="single" w:sz="4" w:space="0" w:color="auto"/>
              <w:right w:val="single" w:sz="4" w:space="0" w:color="auto"/>
            </w:tcBorders>
            <w:vAlign w:val="center"/>
            <w:hideMark/>
          </w:tcPr>
          <w:p w:rsidR="0094366E" w:rsidRPr="0094366E" w:rsidRDefault="0094366E" w:rsidP="0094366E">
            <w:pPr>
              <w:widowControl w:val="0"/>
              <w:autoSpaceDE w:val="0"/>
              <w:autoSpaceDN w:val="0"/>
              <w:spacing w:line="242" w:lineRule="exact"/>
              <w:ind w:left="116" w:right="-10"/>
              <w:jc w:val="right"/>
              <w:rPr>
                <w:rFonts w:ascii="Calibri" w:eastAsia="Arial" w:hAnsi="Calibri" w:cs="Arial"/>
                <w:sz w:val="22"/>
                <w:szCs w:val="22"/>
                <w:lang w:bidi="en-US"/>
              </w:rPr>
            </w:pPr>
            <w:r w:rsidRPr="0094366E">
              <w:rPr>
                <w:rFonts w:ascii="Calibri" w:eastAsia="Arial" w:hAnsi="Calibri" w:cs="Arial"/>
                <w:sz w:val="22"/>
                <w:szCs w:val="22"/>
                <w:lang w:bidi="en-US"/>
              </w:rPr>
              <w:t>641,250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366E" w:rsidRPr="0094366E" w:rsidRDefault="0094366E" w:rsidP="0094366E">
            <w:pPr>
              <w:widowControl w:val="0"/>
              <w:tabs>
                <w:tab w:val="left" w:pos="1489"/>
              </w:tabs>
              <w:autoSpaceDE w:val="0"/>
              <w:autoSpaceDN w:val="0"/>
              <w:spacing w:line="242" w:lineRule="exact"/>
              <w:ind w:right="-10"/>
              <w:jc w:val="right"/>
              <w:rPr>
                <w:rFonts w:ascii="Calibri" w:eastAsia="Arial" w:hAnsi="Calibri" w:cs="Arial"/>
                <w:sz w:val="22"/>
                <w:szCs w:val="22"/>
                <w:lang w:bidi="en-US"/>
              </w:rPr>
            </w:pPr>
            <w:r w:rsidRPr="0094366E">
              <w:rPr>
                <w:rFonts w:ascii="Calibri" w:eastAsia="Arial" w:hAnsi="Calibri" w:cs="Arial"/>
                <w:w w:val="95"/>
                <w:sz w:val="22"/>
                <w:szCs w:val="22"/>
                <w:lang w:bidi="en-US"/>
              </w:rPr>
              <w:t>303,300</w:t>
            </w:r>
          </w:p>
        </w:tc>
        <w:tc>
          <w:tcPr>
            <w:tcW w:w="1201" w:type="dxa"/>
            <w:tcBorders>
              <w:top w:val="single" w:sz="4" w:space="0" w:color="auto"/>
              <w:left w:val="single" w:sz="4" w:space="0" w:color="auto"/>
              <w:bottom w:val="single" w:sz="4" w:space="0" w:color="auto"/>
              <w:right w:val="single" w:sz="4" w:space="0" w:color="auto"/>
            </w:tcBorders>
            <w:vAlign w:val="center"/>
            <w:hideMark/>
          </w:tcPr>
          <w:p w:rsidR="0094366E" w:rsidRPr="0094366E" w:rsidRDefault="0094366E" w:rsidP="0094366E">
            <w:pPr>
              <w:widowControl w:val="0"/>
              <w:tabs>
                <w:tab w:val="left" w:pos="1201"/>
              </w:tabs>
              <w:autoSpaceDE w:val="0"/>
              <w:autoSpaceDN w:val="0"/>
              <w:spacing w:line="242" w:lineRule="exact"/>
              <w:ind w:right="-10"/>
              <w:jc w:val="right"/>
              <w:rPr>
                <w:rFonts w:ascii="Calibri" w:eastAsia="Arial" w:hAnsi="Calibri" w:cs="Arial"/>
                <w:sz w:val="22"/>
                <w:szCs w:val="22"/>
                <w:lang w:bidi="en-US"/>
              </w:rPr>
            </w:pPr>
            <w:r w:rsidRPr="0094366E">
              <w:rPr>
                <w:rFonts w:ascii="Calibri" w:eastAsia="Arial" w:hAnsi="Calibri" w:cs="Arial"/>
                <w:w w:val="95"/>
                <w:sz w:val="22"/>
                <w:szCs w:val="22"/>
                <w:lang w:bidi="en-US"/>
              </w:rPr>
              <w:t>295,800</w:t>
            </w:r>
          </w:p>
        </w:tc>
        <w:tc>
          <w:tcPr>
            <w:tcW w:w="1267" w:type="dxa"/>
            <w:tcBorders>
              <w:top w:val="single" w:sz="4" w:space="0" w:color="auto"/>
              <w:left w:val="single" w:sz="4" w:space="0" w:color="auto"/>
              <w:bottom w:val="single" w:sz="4" w:space="0" w:color="auto"/>
              <w:right w:val="single" w:sz="4" w:space="0" w:color="auto"/>
            </w:tcBorders>
            <w:vAlign w:val="center"/>
            <w:hideMark/>
          </w:tcPr>
          <w:p w:rsidR="0094366E" w:rsidRPr="0094366E" w:rsidRDefault="0094366E" w:rsidP="0094366E">
            <w:pPr>
              <w:widowControl w:val="0"/>
              <w:autoSpaceDE w:val="0"/>
              <w:autoSpaceDN w:val="0"/>
              <w:spacing w:line="242" w:lineRule="exact"/>
              <w:ind w:right="-10"/>
              <w:jc w:val="right"/>
              <w:rPr>
                <w:rFonts w:ascii="Calibri" w:eastAsia="Arial" w:hAnsi="Calibri" w:cs="Arial"/>
                <w:sz w:val="22"/>
                <w:szCs w:val="22"/>
                <w:lang w:bidi="en-US"/>
              </w:rPr>
            </w:pPr>
            <w:r w:rsidRPr="0094366E">
              <w:rPr>
                <w:rFonts w:ascii="Calibri" w:eastAsia="Arial" w:hAnsi="Calibri" w:cs="Arial"/>
                <w:w w:val="95"/>
                <w:sz w:val="22"/>
                <w:szCs w:val="22"/>
                <w:lang w:bidi="en-US"/>
              </w:rPr>
              <w:t>42,150</w:t>
            </w:r>
          </w:p>
        </w:tc>
        <w:tc>
          <w:tcPr>
            <w:tcW w:w="1437" w:type="dxa"/>
            <w:tcBorders>
              <w:top w:val="single" w:sz="4" w:space="0" w:color="auto"/>
              <w:left w:val="single" w:sz="4" w:space="0" w:color="auto"/>
              <w:bottom w:val="single" w:sz="4" w:space="0" w:color="auto"/>
              <w:right w:val="single" w:sz="4" w:space="0" w:color="auto"/>
            </w:tcBorders>
            <w:vAlign w:val="center"/>
            <w:hideMark/>
          </w:tcPr>
          <w:p w:rsidR="0094366E" w:rsidRPr="0094366E" w:rsidRDefault="0094366E" w:rsidP="0094366E">
            <w:pPr>
              <w:widowControl w:val="0"/>
              <w:autoSpaceDE w:val="0"/>
              <w:autoSpaceDN w:val="0"/>
              <w:spacing w:line="242" w:lineRule="exact"/>
              <w:ind w:left="146" w:right="-10"/>
              <w:jc w:val="right"/>
              <w:rPr>
                <w:rFonts w:ascii="Calibri" w:eastAsia="Arial" w:hAnsi="Calibri" w:cs="Arial"/>
                <w:sz w:val="22"/>
                <w:szCs w:val="22"/>
                <w:lang w:bidi="en-US"/>
              </w:rPr>
            </w:pPr>
            <w:r w:rsidRPr="0094366E">
              <w:rPr>
                <w:rFonts w:ascii="Calibri" w:eastAsia="Arial" w:hAnsi="Calibri" w:cs="Arial"/>
                <w:sz w:val="22"/>
                <w:szCs w:val="22"/>
                <w:lang w:bidi="en-US"/>
              </w:rPr>
              <w:t>$239,318,527</w:t>
            </w:r>
          </w:p>
        </w:tc>
      </w:tr>
      <w:tr w:rsidR="0094366E" w:rsidRPr="0094366E" w:rsidTr="001D4FC3">
        <w:trPr>
          <w:trHeight w:val="244"/>
        </w:trPr>
        <w:tc>
          <w:tcPr>
            <w:tcW w:w="1608" w:type="dxa"/>
            <w:tcBorders>
              <w:top w:val="single" w:sz="4" w:space="0" w:color="auto"/>
              <w:left w:val="single" w:sz="4" w:space="0" w:color="auto"/>
              <w:bottom w:val="single" w:sz="4" w:space="0" w:color="auto"/>
              <w:right w:val="single" w:sz="4" w:space="0" w:color="auto"/>
            </w:tcBorders>
            <w:vAlign w:val="center"/>
            <w:hideMark/>
          </w:tcPr>
          <w:p w:rsidR="0094366E" w:rsidRPr="0094366E" w:rsidRDefault="0094366E" w:rsidP="0094366E">
            <w:pPr>
              <w:widowControl w:val="0"/>
              <w:autoSpaceDE w:val="0"/>
              <w:autoSpaceDN w:val="0"/>
              <w:rPr>
                <w:rFonts w:ascii="Calibri" w:eastAsia="Calibri" w:hAnsi="Calibri"/>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tcPr>
          <w:p w:rsidR="0094366E" w:rsidRPr="0094366E" w:rsidRDefault="0094366E" w:rsidP="0094366E">
            <w:pPr>
              <w:widowControl w:val="0"/>
              <w:autoSpaceDE w:val="0"/>
              <w:autoSpaceDN w:val="0"/>
              <w:spacing w:line="225" w:lineRule="exact"/>
              <w:ind w:left="153" w:right="-10"/>
              <w:jc w:val="center"/>
              <w:rPr>
                <w:rFonts w:ascii="Calibri" w:eastAsia="Arial" w:hAnsi="Calibri" w:cs="Arial"/>
                <w:sz w:val="22"/>
                <w:szCs w:val="22"/>
                <w:lang w:bidi="en-US"/>
              </w:rPr>
            </w:pPr>
          </w:p>
        </w:tc>
        <w:tc>
          <w:tcPr>
            <w:tcW w:w="1063" w:type="dxa"/>
            <w:tcBorders>
              <w:top w:val="single" w:sz="4" w:space="0" w:color="auto"/>
              <w:left w:val="single" w:sz="4" w:space="0" w:color="auto"/>
              <w:bottom w:val="single" w:sz="4" w:space="0" w:color="auto"/>
              <w:right w:val="single" w:sz="4" w:space="0" w:color="auto"/>
            </w:tcBorders>
            <w:vAlign w:val="center"/>
          </w:tcPr>
          <w:p w:rsidR="0094366E" w:rsidRPr="0094366E" w:rsidRDefault="0094366E" w:rsidP="0094366E">
            <w:pPr>
              <w:widowControl w:val="0"/>
              <w:autoSpaceDE w:val="0"/>
              <w:autoSpaceDN w:val="0"/>
              <w:spacing w:line="225" w:lineRule="exact"/>
              <w:ind w:left="116" w:right="-10"/>
              <w:jc w:val="right"/>
              <w:rPr>
                <w:rFonts w:ascii="Calibri" w:eastAsia="Arial" w:hAnsi="Calibri" w:cs="Arial"/>
                <w:sz w:val="22"/>
                <w:szCs w:val="22"/>
                <w:lang w:bidi="en-US"/>
              </w:rPr>
            </w:pPr>
          </w:p>
        </w:tc>
        <w:tc>
          <w:tcPr>
            <w:tcW w:w="1535" w:type="dxa"/>
            <w:tcBorders>
              <w:top w:val="single" w:sz="4" w:space="0" w:color="auto"/>
              <w:left w:val="single" w:sz="4" w:space="0" w:color="auto"/>
              <w:bottom w:val="single" w:sz="4" w:space="0" w:color="auto"/>
              <w:right w:val="single" w:sz="4" w:space="0" w:color="auto"/>
            </w:tcBorders>
            <w:vAlign w:val="center"/>
          </w:tcPr>
          <w:p w:rsidR="0094366E" w:rsidRPr="0094366E" w:rsidRDefault="0094366E" w:rsidP="0094366E">
            <w:pPr>
              <w:widowControl w:val="0"/>
              <w:tabs>
                <w:tab w:val="left" w:pos="1489"/>
              </w:tabs>
              <w:autoSpaceDE w:val="0"/>
              <w:autoSpaceDN w:val="0"/>
              <w:spacing w:line="225" w:lineRule="exact"/>
              <w:ind w:right="-10"/>
              <w:jc w:val="right"/>
              <w:rPr>
                <w:rFonts w:ascii="Calibri" w:eastAsia="Arial" w:hAnsi="Calibri" w:cs="Arial"/>
                <w:sz w:val="22"/>
                <w:szCs w:val="22"/>
                <w:lang w:bidi="en-US"/>
              </w:rPr>
            </w:pPr>
          </w:p>
        </w:tc>
        <w:tc>
          <w:tcPr>
            <w:tcW w:w="1201" w:type="dxa"/>
            <w:tcBorders>
              <w:top w:val="single" w:sz="4" w:space="0" w:color="auto"/>
              <w:left w:val="single" w:sz="4" w:space="0" w:color="auto"/>
              <w:bottom w:val="single" w:sz="4" w:space="0" w:color="auto"/>
              <w:right w:val="single" w:sz="4" w:space="0" w:color="auto"/>
            </w:tcBorders>
            <w:vAlign w:val="center"/>
          </w:tcPr>
          <w:p w:rsidR="0094366E" w:rsidRPr="0094366E" w:rsidRDefault="0094366E" w:rsidP="0094366E">
            <w:pPr>
              <w:widowControl w:val="0"/>
              <w:tabs>
                <w:tab w:val="left" w:pos="1201"/>
              </w:tabs>
              <w:autoSpaceDE w:val="0"/>
              <w:autoSpaceDN w:val="0"/>
              <w:spacing w:line="225" w:lineRule="exact"/>
              <w:ind w:right="-10"/>
              <w:jc w:val="right"/>
              <w:rPr>
                <w:rFonts w:ascii="Calibri" w:eastAsia="Arial" w:hAnsi="Calibri" w:cs="Arial"/>
                <w:sz w:val="22"/>
                <w:szCs w:val="22"/>
                <w:lang w:bidi="en-US"/>
              </w:rPr>
            </w:pPr>
          </w:p>
        </w:tc>
        <w:tc>
          <w:tcPr>
            <w:tcW w:w="1267" w:type="dxa"/>
            <w:tcBorders>
              <w:top w:val="single" w:sz="4" w:space="0" w:color="auto"/>
              <w:left w:val="single" w:sz="4" w:space="0" w:color="auto"/>
              <w:bottom w:val="single" w:sz="4" w:space="0" w:color="auto"/>
              <w:right w:val="single" w:sz="4" w:space="0" w:color="auto"/>
            </w:tcBorders>
            <w:vAlign w:val="center"/>
          </w:tcPr>
          <w:p w:rsidR="0094366E" w:rsidRPr="0094366E" w:rsidRDefault="0094366E" w:rsidP="0094366E">
            <w:pPr>
              <w:widowControl w:val="0"/>
              <w:autoSpaceDE w:val="0"/>
              <w:autoSpaceDN w:val="0"/>
              <w:spacing w:line="225" w:lineRule="exact"/>
              <w:ind w:right="-10"/>
              <w:jc w:val="right"/>
              <w:rPr>
                <w:rFonts w:ascii="Calibri" w:eastAsia="Arial" w:hAnsi="Calibri" w:cs="Arial"/>
                <w:sz w:val="22"/>
                <w:szCs w:val="22"/>
                <w:lang w:bidi="en-US"/>
              </w:rPr>
            </w:pPr>
          </w:p>
        </w:tc>
        <w:tc>
          <w:tcPr>
            <w:tcW w:w="1437" w:type="dxa"/>
            <w:tcBorders>
              <w:top w:val="single" w:sz="4" w:space="0" w:color="auto"/>
              <w:left w:val="single" w:sz="4" w:space="0" w:color="auto"/>
              <w:bottom w:val="single" w:sz="4" w:space="0" w:color="auto"/>
              <w:right w:val="single" w:sz="4" w:space="0" w:color="auto"/>
            </w:tcBorders>
            <w:vAlign w:val="center"/>
          </w:tcPr>
          <w:p w:rsidR="0094366E" w:rsidRPr="0094366E" w:rsidRDefault="0094366E" w:rsidP="0094366E">
            <w:pPr>
              <w:widowControl w:val="0"/>
              <w:autoSpaceDE w:val="0"/>
              <w:autoSpaceDN w:val="0"/>
              <w:spacing w:line="225" w:lineRule="exact"/>
              <w:ind w:left="146" w:right="-10"/>
              <w:jc w:val="right"/>
              <w:rPr>
                <w:rFonts w:ascii="Calibri" w:eastAsia="Arial" w:hAnsi="Calibri" w:cs="Arial"/>
                <w:sz w:val="22"/>
                <w:szCs w:val="22"/>
                <w:lang w:bidi="en-US"/>
              </w:rPr>
            </w:pPr>
          </w:p>
        </w:tc>
      </w:tr>
      <w:tr w:rsidR="0094366E" w:rsidRPr="0094366E" w:rsidTr="001D4FC3">
        <w:trPr>
          <w:trHeight w:val="270"/>
        </w:trPr>
        <w:tc>
          <w:tcPr>
            <w:tcW w:w="1608"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widowControl w:val="0"/>
              <w:autoSpaceDE w:val="0"/>
              <w:autoSpaceDN w:val="0"/>
              <w:spacing w:line="226" w:lineRule="exact"/>
              <w:ind w:right="-10" w:firstLine="146"/>
              <w:rPr>
                <w:rFonts w:ascii="Calibri" w:eastAsia="Arial" w:hAnsi="Calibri" w:cs="Arial"/>
                <w:sz w:val="22"/>
                <w:szCs w:val="22"/>
                <w:lang w:bidi="en-US"/>
              </w:rPr>
            </w:pPr>
            <w:r w:rsidRPr="0094366E">
              <w:rPr>
                <w:rFonts w:ascii="Calibri" w:eastAsia="Arial" w:hAnsi="Calibri" w:cs="Arial"/>
                <w:sz w:val="22"/>
                <w:szCs w:val="22"/>
                <w:lang w:bidi="en-US"/>
              </w:rPr>
              <w:t>Amendment 7</w:t>
            </w:r>
          </w:p>
        </w:tc>
        <w:tc>
          <w:tcPr>
            <w:tcW w:w="1069"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widowControl w:val="0"/>
              <w:autoSpaceDE w:val="0"/>
              <w:autoSpaceDN w:val="0"/>
              <w:spacing w:line="276" w:lineRule="auto"/>
              <w:ind w:right="-10"/>
              <w:jc w:val="center"/>
              <w:rPr>
                <w:rFonts w:ascii="Calibri" w:eastAsia="Arial" w:hAnsi="Calibri" w:cs="Arial"/>
                <w:sz w:val="22"/>
                <w:szCs w:val="22"/>
                <w:lang w:bidi="en-US"/>
              </w:rPr>
            </w:pPr>
            <w:r w:rsidRPr="0094366E">
              <w:rPr>
                <w:rFonts w:ascii="Calibri" w:eastAsia="Arial" w:hAnsi="Calibri" w:cs="Arial"/>
                <w:sz w:val="22"/>
                <w:szCs w:val="22"/>
                <w:lang w:bidi="en-US"/>
              </w:rPr>
              <w:t>11/2018</w:t>
            </w:r>
          </w:p>
        </w:tc>
        <w:tc>
          <w:tcPr>
            <w:tcW w:w="1063"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widowControl w:val="0"/>
              <w:autoSpaceDE w:val="0"/>
              <w:autoSpaceDN w:val="0"/>
              <w:spacing w:line="226" w:lineRule="exact"/>
              <w:ind w:left="116" w:right="-10"/>
              <w:jc w:val="right"/>
              <w:rPr>
                <w:rFonts w:ascii="Calibri" w:eastAsia="Arial" w:hAnsi="Calibri" w:cs="Arial"/>
                <w:sz w:val="22"/>
                <w:szCs w:val="22"/>
                <w:lang w:bidi="en-US"/>
              </w:rPr>
            </w:pPr>
            <w:r w:rsidRPr="0094366E">
              <w:rPr>
                <w:rFonts w:ascii="Calibri" w:eastAsia="Arial" w:hAnsi="Calibri" w:cs="Arial"/>
                <w:sz w:val="22"/>
                <w:szCs w:val="22"/>
                <w:lang w:bidi="en-US"/>
              </w:rPr>
              <w:t>703,560</w:t>
            </w:r>
          </w:p>
        </w:tc>
        <w:tc>
          <w:tcPr>
            <w:tcW w:w="1535"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widowControl w:val="0"/>
              <w:tabs>
                <w:tab w:val="left" w:pos="1489"/>
              </w:tabs>
              <w:autoSpaceDE w:val="0"/>
              <w:autoSpaceDN w:val="0"/>
              <w:spacing w:line="226" w:lineRule="exact"/>
              <w:ind w:right="-10"/>
              <w:jc w:val="right"/>
              <w:rPr>
                <w:rFonts w:ascii="Calibri" w:eastAsia="Arial" w:hAnsi="Calibri" w:cs="Arial"/>
                <w:sz w:val="22"/>
                <w:szCs w:val="22"/>
                <w:lang w:bidi="en-US"/>
              </w:rPr>
            </w:pPr>
            <w:r w:rsidRPr="0094366E">
              <w:rPr>
                <w:rFonts w:ascii="Calibri" w:eastAsia="Arial" w:hAnsi="Calibri" w:cs="Arial"/>
                <w:w w:val="95"/>
                <w:sz w:val="22"/>
                <w:szCs w:val="22"/>
                <w:lang w:bidi="en-US"/>
              </w:rPr>
              <w:t>509,389</w:t>
            </w:r>
          </w:p>
        </w:tc>
        <w:tc>
          <w:tcPr>
            <w:tcW w:w="1201"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widowControl w:val="0"/>
              <w:tabs>
                <w:tab w:val="left" w:pos="1201"/>
              </w:tabs>
              <w:autoSpaceDE w:val="0"/>
              <w:autoSpaceDN w:val="0"/>
              <w:spacing w:line="226" w:lineRule="exact"/>
              <w:ind w:right="-10"/>
              <w:jc w:val="right"/>
              <w:rPr>
                <w:rFonts w:ascii="Calibri" w:eastAsia="Arial" w:hAnsi="Calibri" w:cs="Arial"/>
                <w:sz w:val="22"/>
                <w:szCs w:val="22"/>
                <w:lang w:bidi="en-US"/>
              </w:rPr>
            </w:pPr>
            <w:r w:rsidRPr="0094366E">
              <w:rPr>
                <w:rFonts w:ascii="Calibri" w:eastAsia="Arial" w:hAnsi="Calibri" w:cs="Arial"/>
                <w:w w:val="95"/>
                <w:sz w:val="22"/>
                <w:szCs w:val="22"/>
                <w:lang w:bidi="en-US"/>
              </w:rPr>
              <w:t>133,913</w:t>
            </w:r>
          </w:p>
        </w:tc>
        <w:tc>
          <w:tcPr>
            <w:tcW w:w="12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widowControl w:val="0"/>
              <w:autoSpaceDE w:val="0"/>
              <w:autoSpaceDN w:val="0"/>
              <w:spacing w:line="226" w:lineRule="exact"/>
              <w:ind w:right="-10"/>
              <w:jc w:val="right"/>
              <w:rPr>
                <w:rFonts w:ascii="Calibri" w:eastAsia="Arial" w:hAnsi="Calibri" w:cs="Arial"/>
                <w:sz w:val="22"/>
                <w:szCs w:val="22"/>
                <w:lang w:bidi="en-US"/>
              </w:rPr>
            </w:pPr>
            <w:r w:rsidRPr="0094366E">
              <w:rPr>
                <w:rFonts w:ascii="Calibri" w:eastAsia="Arial" w:hAnsi="Calibri" w:cs="Arial"/>
                <w:w w:val="95"/>
                <w:sz w:val="22"/>
                <w:szCs w:val="22"/>
                <w:lang w:bidi="en-US"/>
              </w:rPr>
              <w:t>60,258</w:t>
            </w:r>
          </w:p>
        </w:tc>
        <w:tc>
          <w:tcPr>
            <w:tcW w:w="143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widowControl w:val="0"/>
              <w:autoSpaceDE w:val="0"/>
              <w:autoSpaceDN w:val="0"/>
              <w:spacing w:line="226" w:lineRule="exact"/>
              <w:ind w:left="146" w:right="-10"/>
              <w:jc w:val="right"/>
              <w:rPr>
                <w:rFonts w:ascii="Calibri" w:eastAsia="Arial" w:hAnsi="Calibri" w:cs="Arial"/>
                <w:sz w:val="22"/>
                <w:szCs w:val="22"/>
                <w:lang w:bidi="en-US"/>
              </w:rPr>
            </w:pPr>
            <w:r w:rsidRPr="0094366E">
              <w:rPr>
                <w:rFonts w:ascii="Calibri" w:eastAsia="Arial" w:hAnsi="Calibri" w:cs="Arial"/>
                <w:sz w:val="22"/>
                <w:szCs w:val="22"/>
                <w:lang w:bidi="en-US"/>
              </w:rPr>
              <w:t>$411,125,829</w:t>
            </w:r>
          </w:p>
        </w:tc>
      </w:tr>
      <w:tr w:rsidR="0094366E" w:rsidRPr="0094366E" w:rsidTr="001D4FC3">
        <w:trPr>
          <w:trHeight w:val="270"/>
        </w:trPr>
        <w:tc>
          <w:tcPr>
            <w:tcW w:w="1608"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widowControl w:val="0"/>
              <w:autoSpaceDE w:val="0"/>
              <w:autoSpaceDN w:val="0"/>
              <w:spacing w:line="276" w:lineRule="auto"/>
              <w:ind w:right="-10" w:firstLine="146"/>
              <w:rPr>
                <w:rFonts w:ascii="Calibri" w:eastAsia="Arial" w:hAnsi="Calibri" w:cs="Arial"/>
                <w:sz w:val="22"/>
                <w:szCs w:val="22"/>
                <w:lang w:bidi="en-US"/>
              </w:rPr>
            </w:pPr>
            <w:r w:rsidRPr="0094366E">
              <w:rPr>
                <w:rFonts w:ascii="Calibri" w:eastAsia="Arial" w:hAnsi="Calibri" w:cs="Arial"/>
                <w:sz w:val="22"/>
                <w:szCs w:val="22"/>
                <w:lang w:bidi="en-US"/>
              </w:rPr>
              <w:t>This Project*</w:t>
            </w:r>
            <w:r w:rsidRPr="0094366E">
              <w:rPr>
                <w:rFonts w:ascii="Calibri" w:eastAsia="Arial" w:hAnsi="Calibri" w:cs="Arial"/>
                <w:sz w:val="22"/>
                <w:szCs w:val="22"/>
                <w:vertAlign w:val="superscript"/>
                <w:lang w:bidi="en-US"/>
              </w:rPr>
              <w:footnoteReference w:id="9"/>
            </w:r>
          </w:p>
        </w:tc>
        <w:tc>
          <w:tcPr>
            <w:tcW w:w="1069" w:type="dxa"/>
            <w:tcBorders>
              <w:top w:val="single" w:sz="4" w:space="0" w:color="auto"/>
              <w:left w:val="single" w:sz="4" w:space="0" w:color="auto"/>
              <w:bottom w:val="single" w:sz="4" w:space="0" w:color="auto"/>
              <w:right w:val="single" w:sz="4" w:space="0" w:color="auto"/>
            </w:tcBorders>
            <w:shd w:val="clear" w:color="auto" w:fill="DAEEF3"/>
            <w:vAlign w:val="center"/>
          </w:tcPr>
          <w:p w:rsidR="0094366E" w:rsidRPr="0094366E" w:rsidRDefault="0094366E" w:rsidP="0094366E">
            <w:pPr>
              <w:widowControl w:val="0"/>
              <w:autoSpaceDE w:val="0"/>
              <w:autoSpaceDN w:val="0"/>
              <w:spacing w:line="276" w:lineRule="auto"/>
              <w:ind w:right="-10"/>
              <w:jc w:val="center"/>
              <w:rPr>
                <w:rFonts w:ascii="Calibri" w:eastAsia="Arial" w:hAnsi="Calibri" w:cs="Arial"/>
                <w:sz w:val="22"/>
                <w:szCs w:val="22"/>
                <w:lang w:bidi="en-US"/>
              </w:rPr>
            </w:pPr>
          </w:p>
        </w:tc>
        <w:tc>
          <w:tcPr>
            <w:tcW w:w="1063"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21,333</w:t>
            </w:r>
          </w:p>
        </w:tc>
        <w:tc>
          <w:tcPr>
            <w:tcW w:w="1535"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66,340</w:t>
            </w:r>
          </w:p>
        </w:tc>
        <w:tc>
          <w:tcPr>
            <w:tcW w:w="1201"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-60,921</w:t>
            </w:r>
          </w:p>
        </w:tc>
        <w:tc>
          <w:tcPr>
            <w:tcW w:w="126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15,914</w:t>
            </w:r>
          </w:p>
        </w:tc>
        <w:tc>
          <w:tcPr>
            <w:tcW w:w="1437" w:type="dxa"/>
            <w:tcBorders>
              <w:top w:val="single" w:sz="4" w:space="0" w:color="auto"/>
              <w:left w:val="single" w:sz="4" w:space="0" w:color="auto"/>
              <w:bottom w:val="single" w:sz="4" w:space="0" w:color="auto"/>
              <w:right w:val="single" w:sz="4" w:space="0" w:color="auto"/>
            </w:tcBorders>
            <w:shd w:val="clear" w:color="auto" w:fill="DAEEF3"/>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 xml:space="preserve">   $69,881,577</w:t>
            </w:r>
          </w:p>
        </w:tc>
      </w:tr>
      <w:tr w:rsidR="0094366E" w:rsidRPr="0094366E" w:rsidTr="001D4FC3">
        <w:trPr>
          <w:trHeight w:val="270"/>
        </w:trPr>
        <w:tc>
          <w:tcPr>
            <w:tcW w:w="160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4366E" w:rsidRPr="0094366E" w:rsidRDefault="0094366E" w:rsidP="0094366E">
            <w:pPr>
              <w:widowControl w:val="0"/>
              <w:autoSpaceDE w:val="0"/>
              <w:autoSpaceDN w:val="0"/>
              <w:spacing w:line="276" w:lineRule="auto"/>
              <w:ind w:left="146" w:right="-10"/>
              <w:rPr>
                <w:rFonts w:ascii="Calibri" w:eastAsia="Arial" w:hAnsi="Calibri" w:cs="Arial"/>
                <w:sz w:val="22"/>
                <w:szCs w:val="22"/>
                <w:lang w:bidi="en-US"/>
              </w:rPr>
            </w:pPr>
            <w:r w:rsidRPr="0094366E">
              <w:rPr>
                <w:rFonts w:ascii="Calibri" w:eastAsia="Arial" w:hAnsi="Calibri" w:cs="Arial"/>
                <w:sz w:val="22"/>
                <w:szCs w:val="22"/>
                <w:lang w:bidi="en-US"/>
              </w:rPr>
              <w:t>Status following Approval*</w:t>
            </w:r>
          </w:p>
        </w:tc>
        <w:tc>
          <w:tcPr>
            <w:tcW w:w="106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94366E" w:rsidRPr="0094366E" w:rsidRDefault="0094366E" w:rsidP="0094366E">
            <w:pPr>
              <w:widowControl w:val="0"/>
              <w:autoSpaceDE w:val="0"/>
              <w:autoSpaceDN w:val="0"/>
              <w:spacing w:line="276" w:lineRule="auto"/>
              <w:ind w:right="-10"/>
              <w:jc w:val="right"/>
              <w:rPr>
                <w:rFonts w:ascii="Calibri" w:eastAsia="Arial" w:hAnsi="Calibri" w:cs="Arial"/>
                <w:sz w:val="22"/>
                <w:szCs w:val="22"/>
                <w:lang w:bidi="en-US"/>
              </w:rPr>
            </w:pPr>
          </w:p>
        </w:tc>
        <w:tc>
          <w:tcPr>
            <w:tcW w:w="106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724,893</w:t>
            </w:r>
          </w:p>
        </w:tc>
        <w:tc>
          <w:tcPr>
            <w:tcW w:w="153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575,729</w:t>
            </w:r>
          </w:p>
        </w:tc>
        <w:tc>
          <w:tcPr>
            <w:tcW w:w="120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72,992</w:t>
            </w:r>
          </w:p>
        </w:tc>
        <w:tc>
          <w:tcPr>
            <w:tcW w:w="12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76,172</w:t>
            </w:r>
          </w:p>
        </w:tc>
        <w:tc>
          <w:tcPr>
            <w:tcW w:w="143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94366E" w:rsidRPr="0094366E" w:rsidRDefault="0094366E" w:rsidP="0094366E">
            <w:pPr>
              <w:autoSpaceDN w:val="0"/>
              <w:spacing w:line="276" w:lineRule="auto"/>
              <w:ind w:right="-10"/>
              <w:jc w:val="right"/>
              <w:rPr>
                <w:rFonts w:ascii="Calibri" w:eastAsia="Calibri" w:hAnsi="Calibri"/>
                <w:color w:val="000000"/>
                <w:sz w:val="22"/>
                <w:szCs w:val="22"/>
              </w:rPr>
            </w:pPr>
            <w:r w:rsidRPr="0094366E">
              <w:rPr>
                <w:rFonts w:ascii="Calibri" w:eastAsia="Calibri" w:hAnsi="Calibri"/>
                <w:color w:val="000000"/>
                <w:sz w:val="22"/>
                <w:szCs w:val="22"/>
              </w:rPr>
              <w:t>$481,007,406</w:t>
            </w:r>
          </w:p>
        </w:tc>
      </w:tr>
      <w:tr w:rsidR="0094366E" w:rsidRPr="0094366E" w:rsidTr="001D4FC3">
        <w:trPr>
          <w:trHeight w:val="270"/>
        </w:trPr>
        <w:tc>
          <w:tcPr>
            <w:tcW w:w="9180" w:type="dxa"/>
            <w:gridSpan w:val="7"/>
            <w:tcBorders>
              <w:top w:val="single" w:sz="4" w:space="0" w:color="auto"/>
              <w:left w:val="nil"/>
              <w:bottom w:val="nil"/>
              <w:right w:val="nil"/>
            </w:tcBorders>
            <w:vAlign w:val="bottom"/>
            <w:hideMark/>
          </w:tcPr>
          <w:p w:rsidR="0094366E" w:rsidRPr="0094366E" w:rsidRDefault="0094366E" w:rsidP="0094366E">
            <w:pPr>
              <w:autoSpaceDN w:val="0"/>
              <w:spacing w:line="276" w:lineRule="auto"/>
              <w:ind w:right="-10"/>
              <w:rPr>
                <w:rFonts w:ascii="Calibri" w:eastAsia="Calibri" w:hAnsi="Calibri"/>
                <w:color w:val="000000"/>
                <w:sz w:val="22"/>
                <w:szCs w:val="22"/>
              </w:rPr>
            </w:pPr>
            <w:r w:rsidRPr="0094366E">
              <w:rPr>
                <w:rFonts w:ascii="Calibri" w:eastAsia="Calibri" w:hAnsi="Calibri"/>
                <w:color w:val="000000"/>
                <w:sz w:val="22"/>
                <w:szCs w:val="22"/>
              </w:rPr>
              <w:t>*Amendment# 8</w:t>
            </w:r>
          </w:p>
        </w:tc>
      </w:tr>
    </w:tbl>
    <w:p w:rsidR="0094366E" w:rsidRPr="0094366E" w:rsidRDefault="0094366E" w:rsidP="0094366E">
      <w:pPr>
        <w:widowControl w:val="0"/>
        <w:autoSpaceDE w:val="0"/>
        <w:autoSpaceDN w:val="0"/>
        <w:spacing w:before="199"/>
        <w:ind w:left="900" w:right="-10"/>
        <w:rPr>
          <w:rFonts w:ascii="Calibri" w:eastAsia="Calibri" w:hAnsi="Calibri" w:cs="Calibri"/>
          <w:b/>
          <w:szCs w:val="22"/>
          <w:lang w:bidi="en-US"/>
        </w:rPr>
      </w:pPr>
      <w:r w:rsidRPr="0094366E">
        <w:rPr>
          <w:rFonts w:ascii="Calibri" w:eastAsia="Calibri" w:hAnsi="Calibri" w:cs="Calibri"/>
          <w:szCs w:val="22"/>
          <w:lang w:bidi="en-US"/>
        </w:rPr>
        <w:t xml:space="preserve"> </w:t>
      </w:r>
      <w:r w:rsidRPr="0094366E">
        <w:rPr>
          <w:rFonts w:ascii="Calibri" w:eastAsia="Calibri" w:hAnsi="Calibri" w:cs="Calibri"/>
          <w:b/>
          <w:szCs w:val="22"/>
          <w:u w:val="single"/>
          <w:lang w:bidi="en-US"/>
        </w:rPr>
        <w:t>Impact on Cost</w:t>
      </w:r>
    </w:p>
    <w:p w:rsidR="0094366E" w:rsidRPr="0094366E" w:rsidRDefault="0094366E" w:rsidP="0094366E">
      <w:pPr>
        <w:widowControl w:val="0"/>
        <w:autoSpaceDE w:val="0"/>
        <w:autoSpaceDN w:val="0"/>
        <w:spacing w:before="9"/>
        <w:ind w:left="900" w:right="-10"/>
        <w:rPr>
          <w:rFonts w:ascii="Calibri" w:eastAsia="Calibri" w:hAnsi="Calibri" w:cs="Calibri"/>
          <w:b/>
          <w:sz w:val="19"/>
          <w:szCs w:val="22"/>
          <w:lang w:bidi="en-US"/>
        </w:rPr>
      </w:pPr>
    </w:p>
    <w:p w:rsidR="0094366E" w:rsidRPr="0094366E" w:rsidRDefault="0094366E" w:rsidP="0094366E">
      <w:pPr>
        <w:widowControl w:val="0"/>
        <w:autoSpaceDE w:val="0"/>
        <w:autoSpaceDN w:val="0"/>
        <w:spacing w:before="51"/>
        <w:ind w:left="900" w:right="-10"/>
        <w:rPr>
          <w:rFonts w:ascii="Calibri" w:eastAsia="Calibri" w:hAnsi="Calibri" w:cs="Calibri"/>
          <w:szCs w:val="22"/>
          <w:lang w:bidi="en-US"/>
        </w:rPr>
      </w:pPr>
      <w:r w:rsidRPr="0094366E">
        <w:rPr>
          <w:rFonts w:ascii="Calibri" w:eastAsia="Calibri" w:hAnsi="Calibri" w:cs="Calibri"/>
          <w:szCs w:val="22"/>
          <w:lang w:bidi="en-US"/>
        </w:rPr>
        <w:t>The regulation requires that a Holder submit a description of the proposed change along with associated cost implications. As the chart above shows, with this Proposed Project, Baystate seeks to increase its capital expenditures by a total of $69,881,577 (March 2020 dollars) for the construction, and renovations necessary for the implementation of the proposed Amendment. The majority of this eighth Amendment is for the build out of space used for complex infrastructure and operating rooms. The infrastructure requirements for areas that are technologically oriented such as operating rooms, and radiology, come at a higher cost per square foot than, for example, medical/surgical patient rooms. Baystate asserts that the proposed project is more cost-effective than renovation of existing outdated space to meet new standards. Staff notes that the consolidation of all functions related to the impacted services described herein will also be more cost effective to operate than if they remained in disparate locations, and that timely access to the CT has the potential for cost-savings in the ED as reduced turn-around time may decrease the time spent there and there-by decrease costs.</w:t>
      </w:r>
    </w:p>
    <w:p w:rsidR="0094366E" w:rsidRPr="0094366E" w:rsidRDefault="0094366E" w:rsidP="0094366E">
      <w:pPr>
        <w:widowControl w:val="0"/>
        <w:autoSpaceDE w:val="0"/>
        <w:autoSpaceDN w:val="0"/>
        <w:ind w:left="900" w:right="-10"/>
        <w:rPr>
          <w:rFonts w:ascii="Calibri" w:eastAsia="Calibri" w:hAnsi="Calibri" w:cs="Calibri"/>
          <w:szCs w:val="22"/>
          <w:lang w:bidi="en-US"/>
        </w:rPr>
      </w:pPr>
    </w:p>
    <w:p w:rsidR="0094366E" w:rsidRPr="0094366E" w:rsidRDefault="0094366E" w:rsidP="0094366E">
      <w:pPr>
        <w:ind w:left="180" w:firstLine="720"/>
        <w:rPr>
          <w:rFonts w:ascii="Calibri" w:eastAsia="Calibri" w:hAnsi="Calibri" w:cs="Calibri"/>
          <w:color w:val="000000"/>
          <w:szCs w:val="24"/>
        </w:rPr>
      </w:pPr>
      <w:r w:rsidRPr="0094366E">
        <w:rPr>
          <w:rFonts w:ascii="Calibri" w:eastAsia="Calibri" w:hAnsi="Calibri" w:cs="Calibri"/>
          <w:b/>
          <w:bCs/>
          <w:color w:val="000000"/>
          <w:szCs w:val="24"/>
          <w:u w:val="single"/>
        </w:rPr>
        <w:t>Impact on Community Health Initiative Funding</w:t>
      </w:r>
      <w:r w:rsidRPr="0094366E">
        <w:rPr>
          <w:rFonts w:ascii="Calibri" w:eastAsia="Calibri" w:hAnsi="Calibri" w:cs="Calibri"/>
          <w:color w:val="000000"/>
          <w:szCs w:val="24"/>
        </w:rPr>
        <w:t>​</w:t>
      </w:r>
    </w:p>
    <w:p w:rsidR="0094366E" w:rsidRPr="0094366E" w:rsidRDefault="0094366E" w:rsidP="0094366E">
      <w:pPr>
        <w:widowControl w:val="0"/>
        <w:autoSpaceDE w:val="0"/>
        <w:autoSpaceDN w:val="0"/>
        <w:ind w:left="900" w:right="-10"/>
        <w:rPr>
          <w:rFonts w:ascii="Calibri" w:eastAsia="Calibri" w:hAnsi="Calibri" w:cs="Calibri"/>
          <w:b/>
          <w:szCs w:val="22"/>
          <w:lang w:bidi="en-US"/>
        </w:rPr>
      </w:pPr>
    </w:p>
    <w:p w:rsidR="0094366E" w:rsidRPr="0094366E" w:rsidRDefault="0094366E" w:rsidP="0094366E">
      <w:pPr>
        <w:widowControl w:val="0"/>
        <w:autoSpaceDE w:val="0"/>
        <w:autoSpaceDN w:val="0"/>
        <w:ind w:left="900" w:right="540"/>
        <w:contextualSpacing/>
        <w:rPr>
          <w:rFonts w:ascii="Calibri" w:eastAsia="Calibri" w:hAnsi="Calibri" w:cs="Calibri"/>
          <w:szCs w:val="24"/>
          <w:lang w:bidi="en-US"/>
        </w:rPr>
      </w:pPr>
      <w:r w:rsidRPr="0094366E">
        <w:rPr>
          <w:rFonts w:ascii="Calibri" w:eastAsia="Calibri" w:hAnsi="Calibri" w:cs="Calibri"/>
          <w:i/>
          <w:szCs w:val="24"/>
          <w:lang w:bidi="en-US"/>
        </w:rPr>
        <w:t>Summary and relevant background and context for this application:</w:t>
      </w:r>
      <w:r w:rsidRPr="0094366E">
        <w:rPr>
          <w:rFonts w:ascii="Calibri" w:eastAsia="Calibri" w:hAnsi="Calibri" w:cs="Calibri"/>
          <w:szCs w:val="24"/>
          <w:lang w:bidi="en-US"/>
        </w:rPr>
        <w:t xml:space="preserve"> The Applicant is applying for an Amendment to an approved DoN that will result in a Tier 2 CHI project. The DoN project is proposed for Baystate Medical Center, and therefore, based on previous agreements for CHI purposes this project will be considered a whole Baystate Health system activity.  As part of its planning for previous CHI processes, Baystate Health established a practice for equitable and transparent distribution of CHI funds.  There are four hospitals within the system, and the practice is to distribute funds equitably across them, utilizing key criteria.  Each hospital receives a base amount of funding, influenced by likelihood of funding from other sources, as well as service area and capacity.  Additionally, the funds are distributed according to population volume and size.  This is distributed as a per capita allocation.  Lastly, the hospitals receive funds based on environmental justice indicators.  These funds are determined using seven demographic, socioeconomic, and health measures. Accordingly, some CHI funds from this current project will be combined with existing CHI resources and allocated using this formula. </w:t>
      </w:r>
    </w:p>
    <w:p w:rsidR="0094366E" w:rsidRPr="0094366E" w:rsidRDefault="0094366E" w:rsidP="0094366E">
      <w:pPr>
        <w:widowControl w:val="0"/>
        <w:autoSpaceDE w:val="0"/>
        <w:autoSpaceDN w:val="0"/>
        <w:ind w:right="540"/>
        <w:contextualSpacing/>
        <w:rPr>
          <w:rFonts w:ascii="Calibri" w:eastAsia="Calibri" w:hAnsi="Calibri" w:cs="Calibri"/>
          <w:szCs w:val="24"/>
          <w:lang w:bidi="en-US"/>
        </w:rPr>
      </w:pPr>
    </w:p>
    <w:p w:rsidR="0094366E" w:rsidRPr="0094366E" w:rsidRDefault="0094366E" w:rsidP="0094366E">
      <w:pPr>
        <w:widowControl w:val="0"/>
        <w:autoSpaceDE w:val="0"/>
        <w:autoSpaceDN w:val="0"/>
        <w:ind w:left="900" w:right="540"/>
        <w:contextualSpacing/>
        <w:rPr>
          <w:rFonts w:ascii="Calibri" w:eastAsia="Calibri" w:hAnsi="Calibri" w:cs="Calibri"/>
          <w:sz w:val="22"/>
          <w:szCs w:val="22"/>
          <w:lang w:bidi="en-US"/>
        </w:rPr>
      </w:pPr>
      <w:r w:rsidRPr="0094366E">
        <w:rPr>
          <w:rFonts w:ascii="Calibri" w:eastAsia="Calibri" w:hAnsi="Calibri" w:cs="Calibri"/>
          <w:szCs w:val="24"/>
          <w:lang w:bidi="en-US"/>
        </w:rPr>
        <w:t xml:space="preserve">Through robust community engagement, Baystate Health in 2019 coordinated four Community Health Needs Assessments (CHNA) - one for each hospital - which will guide population and community health improvement efforts, including allocation of CHI resources. Each of the four hospitals has its own Community Benefit Advisory Council (CBAC).  Members from those and staff from Baystate Health’s Community Relations department formed an RFP Task Force responsible for crafting the final decisions about the distribution of funds for the first and future CHI processes.  Each hospital has selected its own priority and conducted its own process for narrowing to that selection.  These processes included community meetings, voting, sorting and summarizing in order select one or more DPH Health Priorities areas to be used as the basis for releasing requests for proposals (RFPs).  </w:t>
      </w:r>
    </w:p>
    <w:p w:rsidR="0094366E" w:rsidRPr="0094366E" w:rsidRDefault="0094366E" w:rsidP="0094366E">
      <w:pPr>
        <w:widowControl w:val="0"/>
        <w:autoSpaceDE w:val="0"/>
        <w:autoSpaceDN w:val="0"/>
        <w:ind w:left="900" w:right="540"/>
        <w:contextualSpacing/>
        <w:rPr>
          <w:rFonts w:ascii="Calibri" w:eastAsia="Calibri" w:hAnsi="Calibri" w:cs="Calibri"/>
          <w:szCs w:val="24"/>
          <w:lang w:bidi="en-US"/>
        </w:rPr>
      </w:pPr>
    </w:p>
    <w:p w:rsidR="0094366E" w:rsidRPr="0094366E" w:rsidRDefault="0094366E" w:rsidP="0094366E">
      <w:pPr>
        <w:widowControl w:val="0"/>
        <w:autoSpaceDE w:val="0"/>
        <w:autoSpaceDN w:val="0"/>
        <w:ind w:left="900" w:right="540"/>
        <w:contextualSpacing/>
        <w:rPr>
          <w:rFonts w:ascii="Calibri" w:eastAsia="Calibri" w:hAnsi="Calibri" w:cs="Calibri"/>
          <w:szCs w:val="24"/>
          <w:lang w:bidi="en-US"/>
        </w:rPr>
      </w:pPr>
      <w:r w:rsidRPr="0094366E">
        <w:rPr>
          <w:rFonts w:ascii="Calibri" w:eastAsia="Calibri" w:hAnsi="Calibri" w:cs="Calibri"/>
          <w:szCs w:val="24"/>
          <w:lang w:bidi="en-US"/>
        </w:rPr>
        <w:t>DPH staff requested and received from the applicant, a narrative further detailing information pertaining to lessons learned from community engagement activities with the CBACs and the larger community, as well as intentions for proceeding with community engagement and implementation processes in the context of the COVID-19 pandemic.</w:t>
      </w:r>
    </w:p>
    <w:p w:rsidR="0094366E" w:rsidRPr="0094366E" w:rsidRDefault="0094366E" w:rsidP="0094366E">
      <w:pPr>
        <w:widowControl w:val="0"/>
        <w:autoSpaceDE w:val="0"/>
        <w:autoSpaceDN w:val="0"/>
        <w:ind w:right="540"/>
        <w:contextualSpacing/>
        <w:rPr>
          <w:rFonts w:ascii="Calibri" w:eastAsia="Calibri" w:hAnsi="Calibri" w:cs="Calibri"/>
          <w:szCs w:val="24"/>
          <w:lang w:bidi="en-US"/>
        </w:rPr>
      </w:pPr>
    </w:p>
    <w:p w:rsidR="0094366E" w:rsidRPr="0094366E" w:rsidRDefault="0094366E" w:rsidP="0094366E">
      <w:pPr>
        <w:widowControl w:val="0"/>
        <w:autoSpaceDE w:val="0"/>
        <w:autoSpaceDN w:val="0"/>
        <w:ind w:left="900" w:right="540"/>
        <w:contextualSpacing/>
        <w:rPr>
          <w:rFonts w:ascii="Calibri" w:eastAsia="Calibri" w:hAnsi="Calibri" w:cs="Calibri"/>
          <w:szCs w:val="24"/>
          <w:lang w:bidi="en-US"/>
        </w:rPr>
      </w:pPr>
      <w:r w:rsidRPr="0094366E">
        <w:rPr>
          <w:rFonts w:ascii="Calibri" w:eastAsia="Calibri" w:hAnsi="Calibri" w:cs="Calibri"/>
          <w:szCs w:val="24"/>
          <w:lang w:bidi="en-US"/>
        </w:rPr>
        <w:t xml:space="preserve">The Applicant submitted its existing Community Health Needs Assessment (CHNA) for Baystate Medical Center, and a supplemental narrative. Self and Stakeholder Assessments were not required in this case.  The most recent CHNA/CHIP self-assessment and stakeholder assessments submitted correspond to the current CHNA and </w:t>
      </w:r>
      <w:r w:rsidRPr="0094366E">
        <w:rPr>
          <w:rFonts w:ascii="Calibri" w:eastAsia="Calibri" w:hAnsi="Calibri" w:cs="Calibri"/>
          <w:szCs w:val="24"/>
          <w:lang w:bidi="en-US"/>
        </w:rPr>
        <w:lastRenderedPageBreak/>
        <w:t>related processes.</w:t>
      </w:r>
    </w:p>
    <w:p w:rsidR="0094366E" w:rsidRPr="0094366E" w:rsidRDefault="0094366E" w:rsidP="0094366E">
      <w:pPr>
        <w:widowControl w:val="0"/>
        <w:autoSpaceDE w:val="0"/>
        <w:autoSpaceDN w:val="0"/>
        <w:ind w:left="900" w:right="540"/>
        <w:contextualSpacing/>
        <w:rPr>
          <w:rFonts w:ascii="Calibri" w:eastAsia="Calibri" w:hAnsi="Calibri" w:cs="Calibri"/>
          <w:szCs w:val="24"/>
          <w:lang w:bidi="en-US"/>
        </w:rPr>
      </w:pPr>
    </w:p>
    <w:p w:rsidR="0094366E" w:rsidRPr="0094366E" w:rsidRDefault="0094366E" w:rsidP="0094366E">
      <w:pPr>
        <w:widowControl w:val="0"/>
        <w:autoSpaceDE w:val="0"/>
        <w:autoSpaceDN w:val="0"/>
        <w:ind w:left="900" w:right="540"/>
        <w:contextualSpacing/>
        <w:rPr>
          <w:rFonts w:ascii="Calibri" w:eastAsia="Calibri" w:hAnsi="Calibri" w:cs="Calibri"/>
          <w:szCs w:val="24"/>
          <w:lang w:bidi="en-US"/>
        </w:rPr>
      </w:pPr>
      <w:r w:rsidRPr="0094366E">
        <w:rPr>
          <w:rFonts w:ascii="Calibri" w:eastAsia="Calibri" w:hAnsi="Calibri" w:cs="Calibri"/>
          <w:b/>
          <w:szCs w:val="24"/>
          <w:lang w:bidi="en-US"/>
        </w:rPr>
        <w:t>The Community Health Needs Assessment</w:t>
      </w:r>
      <w:r w:rsidRPr="0094366E">
        <w:rPr>
          <w:rFonts w:ascii="Calibri" w:eastAsia="Calibri" w:hAnsi="Calibri" w:cs="Calibri"/>
          <w:szCs w:val="24"/>
          <w:lang w:bidi="en-US"/>
        </w:rPr>
        <w:t xml:space="preserve"> was conducted in 2019 by each hospital participant in the Baystate Health system. Each hospital’s report contains elements specific to its geographic service area. In creating the CHNA for this hospital, the Applicant conducted focus groups, key informant interviews, one Community Conversation and several Community Chats. </w:t>
      </w:r>
    </w:p>
    <w:p w:rsidR="0094366E" w:rsidRPr="0094366E" w:rsidRDefault="0094366E" w:rsidP="0094366E">
      <w:pPr>
        <w:widowControl w:val="0"/>
        <w:autoSpaceDE w:val="0"/>
        <w:autoSpaceDN w:val="0"/>
        <w:ind w:left="900" w:right="540"/>
        <w:contextualSpacing/>
        <w:rPr>
          <w:rFonts w:ascii="Calibri" w:eastAsia="Calibri" w:hAnsi="Calibri" w:cs="Calibri"/>
          <w:szCs w:val="24"/>
          <w:lang w:bidi="en-US"/>
        </w:rPr>
      </w:pPr>
    </w:p>
    <w:p w:rsidR="0094366E" w:rsidRPr="0094366E" w:rsidRDefault="0094366E" w:rsidP="0094366E">
      <w:pPr>
        <w:widowControl w:val="0"/>
        <w:autoSpaceDE w:val="0"/>
        <w:autoSpaceDN w:val="0"/>
        <w:ind w:left="900"/>
        <w:contextualSpacing/>
        <w:rPr>
          <w:rFonts w:ascii="Calibri" w:eastAsia="Calibri" w:hAnsi="Calibri" w:cs="Calibri"/>
          <w:szCs w:val="24"/>
          <w:lang w:bidi="en-US"/>
        </w:rPr>
      </w:pPr>
      <w:r w:rsidRPr="0094366E">
        <w:rPr>
          <w:rFonts w:ascii="Calibri" w:eastAsia="Calibri" w:hAnsi="Calibri" w:cs="Calibri"/>
          <w:szCs w:val="24"/>
          <w:lang w:bidi="en-US"/>
        </w:rPr>
        <w:t>Through these methods, the Applicant engaged community residents and other community stakeholders alike, including the experiences of community members who gave input in focus groups or key informant interviews in other regions, which were often considered relevant to the Applicant’s service area.  Additionally, the Applicant conducted data analysis and completed a review of the previous CHNA and existing assessment reports published since 2016. The CHNA for 2019 lists the following as the key priorities identified – Social Environment, Housing Needs, Transportation Access, Basic Needs Resources, Financial Health, and Violence and Trauma.  Additionally, health outcomes impacting the service area include mental health, chronic conditions, infant and perinatal health, and Alzheimer’s disease and dementia. The CHNA goes on to identify barriers to improving outcomes in each of the priorities as well as priority populations for each of the health conditions. CHI staff have assessed Baystate Health’s 2019 CHNA and determined that it is an adequate and appropriate basis for CHI purposes.</w:t>
      </w:r>
    </w:p>
    <w:p w:rsidR="0094366E" w:rsidRPr="0094366E" w:rsidRDefault="0094366E" w:rsidP="0094366E">
      <w:pPr>
        <w:widowControl w:val="0"/>
        <w:autoSpaceDE w:val="0"/>
        <w:autoSpaceDN w:val="0"/>
        <w:ind w:left="360"/>
        <w:contextualSpacing/>
        <w:rPr>
          <w:rFonts w:ascii="Calibri" w:eastAsia="Calibri" w:hAnsi="Calibri" w:cs="Calibri"/>
          <w:szCs w:val="24"/>
          <w:lang w:bidi="en-US"/>
        </w:rPr>
      </w:pPr>
    </w:p>
    <w:p w:rsidR="0094366E" w:rsidRPr="0094366E" w:rsidRDefault="0094366E" w:rsidP="0094366E">
      <w:pPr>
        <w:ind w:left="900"/>
        <w:rPr>
          <w:rFonts w:ascii="Calibri" w:eastAsia="Calibri" w:hAnsi="Calibri" w:cs="Calibri"/>
          <w:szCs w:val="24"/>
        </w:rPr>
      </w:pPr>
      <w:r w:rsidRPr="0094366E">
        <w:rPr>
          <w:rFonts w:ascii="Calibri" w:eastAsia="Calibri" w:hAnsi="Calibri" w:cs="Calibri"/>
          <w:b/>
          <w:bCs/>
          <w:szCs w:val="24"/>
        </w:rPr>
        <w:t>The Supplemental Narrative</w:t>
      </w:r>
      <w:r w:rsidRPr="0094366E">
        <w:rPr>
          <w:rFonts w:ascii="Calibri" w:eastAsia="Calibri" w:hAnsi="Calibri" w:cs="Calibri"/>
          <w:szCs w:val="24"/>
        </w:rPr>
        <w:t xml:space="preserve"> was requested by DPH staff for additional information about ongoing community engagement activities and lessons learned from existing community health initiative planning and processes.  The CBACs for each hospital were engaged in their respective processes, and the CBAC specific to this application has chosen to pursue regional initiatives in community health improvement activities and planning.  The narrative outlines Baystate Health’s plans to split the CHI total between regional and system-wide initiatives. Of the total CHI, Baystate will allocate $1,000,000 to regional initiatives.  These initiatives include six distinct project areas </w:t>
      </w:r>
    </w:p>
    <w:p w:rsidR="0094366E" w:rsidRPr="0094366E" w:rsidRDefault="0094366E" w:rsidP="0094366E">
      <w:pPr>
        <w:widowControl w:val="0"/>
        <w:numPr>
          <w:ilvl w:val="0"/>
          <w:numId w:val="21"/>
        </w:numPr>
        <w:autoSpaceDE w:val="0"/>
        <w:autoSpaceDN w:val="0"/>
        <w:rPr>
          <w:rFonts w:ascii="Calibri" w:eastAsia="Calibri" w:hAnsi="Calibri" w:cs="Calibri"/>
          <w:szCs w:val="24"/>
        </w:rPr>
      </w:pPr>
      <w:r w:rsidRPr="0094366E">
        <w:rPr>
          <w:rFonts w:ascii="Calibri" w:eastAsia="Calibri" w:hAnsi="Calibri" w:cs="Calibri"/>
          <w:szCs w:val="24"/>
        </w:rPr>
        <w:t>The Community Health Innovation Fund, which is a matched fund between the health system and a CDFI that provides loans to support community economic development</w:t>
      </w:r>
    </w:p>
    <w:p w:rsidR="0094366E" w:rsidRPr="0094366E" w:rsidRDefault="0094366E" w:rsidP="0094366E">
      <w:pPr>
        <w:widowControl w:val="0"/>
        <w:numPr>
          <w:ilvl w:val="0"/>
          <w:numId w:val="21"/>
        </w:numPr>
        <w:autoSpaceDE w:val="0"/>
        <w:autoSpaceDN w:val="0"/>
        <w:rPr>
          <w:rFonts w:ascii="Calibri" w:eastAsia="Calibri" w:hAnsi="Calibri" w:cs="Calibri"/>
          <w:szCs w:val="24"/>
        </w:rPr>
      </w:pPr>
      <w:r w:rsidRPr="0094366E">
        <w:rPr>
          <w:rFonts w:ascii="Calibri" w:eastAsia="Calibri" w:hAnsi="Calibri" w:cs="Calibri"/>
          <w:szCs w:val="24"/>
        </w:rPr>
        <w:t>Health Equity Zones, linking actions to anchor investments with a focus in priority communities</w:t>
      </w:r>
    </w:p>
    <w:p w:rsidR="0094366E" w:rsidRPr="0094366E" w:rsidRDefault="0094366E" w:rsidP="0094366E">
      <w:pPr>
        <w:widowControl w:val="0"/>
        <w:numPr>
          <w:ilvl w:val="0"/>
          <w:numId w:val="21"/>
        </w:numPr>
        <w:autoSpaceDE w:val="0"/>
        <w:autoSpaceDN w:val="0"/>
        <w:rPr>
          <w:rFonts w:ascii="Calibri" w:eastAsia="Calibri" w:hAnsi="Calibri" w:cs="Calibri"/>
          <w:szCs w:val="24"/>
        </w:rPr>
      </w:pPr>
      <w:r w:rsidRPr="0094366E">
        <w:rPr>
          <w:rFonts w:ascii="Calibri" w:eastAsia="Calibri" w:hAnsi="Calibri" w:cs="Calibri"/>
          <w:szCs w:val="24"/>
        </w:rPr>
        <w:t>Digital Alliance, which focuses on funding connectivity, equipment, digital literacy, and policy to close the digital divide and ensure digital equity</w:t>
      </w:r>
    </w:p>
    <w:p w:rsidR="0094366E" w:rsidRPr="0094366E" w:rsidRDefault="0094366E" w:rsidP="0094366E">
      <w:pPr>
        <w:widowControl w:val="0"/>
        <w:numPr>
          <w:ilvl w:val="0"/>
          <w:numId w:val="21"/>
        </w:numPr>
        <w:autoSpaceDE w:val="0"/>
        <w:autoSpaceDN w:val="0"/>
        <w:rPr>
          <w:rFonts w:ascii="Calibri" w:eastAsia="Calibri" w:hAnsi="Calibri" w:cs="Calibri"/>
          <w:szCs w:val="24"/>
        </w:rPr>
      </w:pPr>
      <w:r w:rsidRPr="0094366E">
        <w:rPr>
          <w:rFonts w:ascii="Calibri" w:eastAsia="Calibri" w:hAnsi="Calibri" w:cs="Calibri"/>
          <w:szCs w:val="24"/>
        </w:rPr>
        <w:t>Elevating Dignity, which will extend an educational series on the foundations of equity to the larger community</w:t>
      </w:r>
    </w:p>
    <w:p w:rsidR="0094366E" w:rsidRPr="0094366E" w:rsidRDefault="0094366E" w:rsidP="0094366E">
      <w:pPr>
        <w:widowControl w:val="0"/>
        <w:numPr>
          <w:ilvl w:val="0"/>
          <w:numId w:val="21"/>
        </w:numPr>
        <w:autoSpaceDE w:val="0"/>
        <w:autoSpaceDN w:val="0"/>
        <w:rPr>
          <w:rFonts w:ascii="Calibri" w:eastAsia="Calibri" w:hAnsi="Calibri" w:cs="Calibri"/>
          <w:szCs w:val="24"/>
        </w:rPr>
      </w:pPr>
      <w:r w:rsidRPr="0094366E">
        <w:rPr>
          <w:rFonts w:ascii="Calibri" w:eastAsia="Calibri" w:hAnsi="Calibri" w:cs="Calibri"/>
          <w:szCs w:val="24"/>
        </w:rPr>
        <w:t xml:space="preserve">Regionalizing 413Cares, which seeks to enhance an existing referral hub to better account for community experience with the Social Determinants of Health </w:t>
      </w:r>
    </w:p>
    <w:p w:rsidR="0094366E" w:rsidRPr="0094366E" w:rsidRDefault="0094366E" w:rsidP="0094366E">
      <w:pPr>
        <w:widowControl w:val="0"/>
        <w:numPr>
          <w:ilvl w:val="0"/>
          <w:numId w:val="21"/>
        </w:numPr>
        <w:autoSpaceDE w:val="0"/>
        <w:autoSpaceDN w:val="0"/>
        <w:rPr>
          <w:rFonts w:ascii="Calibri" w:eastAsia="Calibri" w:hAnsi="Calibri" w:cs="Calibri"/>
          <w:szCs w:val="24"/>
        </w:rPr>
      </w:pPr>
      <w:r w:rsidRPr="0094366E">
        <w:rPr>
          <w:rFonts w:ascii="Calibri" w:eastAsia="Calibri" w:hAnsi="Calibri" w:cs="Calibri"/>
          <w:szCs w:val="24"/>
        </w:rPr>
        <w:t xml:space="preserve">ABCs for Equity, which seeks to build equity-related capacity through the establishment </w:t>
      </w:r>
      <w:r w:rsidRPr="0094366E">
        <w:rPr>
          <w:rFonts w:ascii="Calibri" w:eastAsia="Calibri" w:hAnsi="Calibri" w:cs="Calibri"/>
          <w:szCs w:val="24"/>
        </w:rPr>
        <w:lastRenderedPageBreak/>
        <w:t xml:space="preserve">of Communities of Practice for Facilitative Leaders.  </w:t>
      </w:r>
    </w:p>
    <w:p w:rsidR="0094366E" w:rsidRPr="0094366E" w:rsidRDefault="0094366E" w:rsidP="0094366E">
      <w:pPr>
        <w:ind w:left="1260"/>
        <w:rPr>
          <w:rFonts w:ascii="Calibri" w:eastAsia="Calibri" w:hAnsi="Calibri" w:cs="Calibri"/>
          <w:szCs w:val="24"/>
        </w:rPr>
      </w:pPr>
    </w:p>
    <w:p w:rsidR="0094366E" w:rsidRPr="0094366E" w:rsidRDefault="0094366E" w:rsidP="0094366E">
      <w:pPr>
        <w:ind w:left="1260"/>
        <w:rPr>
          <w:rFonts w:ascii="Calibri" w:eastAsia="Calibri" w:hAnsi="Calibri" w:cs="Calibri"/>
          <w:szCs w:val="24"/>
        </w:rPr>
      </w:pPr>
      <w:r w:rsidRPr="0094366E">
        <w:rPr>
          <w:rFonts w:ascii="Calibri" w:eastAsia="Calibri" w:hAnsi="Calibri" w:cs="Calibri"/>
          <w:szCs w:val="24"/>
        </w:rPr>
        <w:t xml:space="preserve">The remaining $1,279,886 will be allocated to the system-wide work described above.  The infrastructure for this is strong, and decentralizes decision making power.  The supplemental narrative additionally outlines the health system’s robust and ongoing community engagement efforts, including contingency planning in the context of the pandemic. In order to make final funding decisions for the regional initiatives, the applicant will be doing intentional community engagement in the winter of 2020 and 2021 and early spring of 2021 with their networks, involving CBACs, their CHNA regional advisory committee, and possibly community forums. Baystate intends to develop a Steering committee of CBAC representatives from each region to help oversee this community engagement piece. Winter and spring will be used to narrow and focus proposals, with a desired “launch” (release funding) of these regional initiatives late spring of 2021. </w:t>
      </w:r>
      <w:bookmarkStart w:id="1" w:name="_Hlk55142920"/>
      <w:r w:rsidRPr="0094366E">
        <w:rPr>
          <w:rFonts w:ascii="Calibri" w:eastAsia="Calibri" w:hAnsi="Calibri" w:cs="Calibri"/>
          <w:szCs w:val="24"/>
        </w:rPr>
        <w:t>The $1.2 million RFP will reopen in the fall</w:t>
      </w:r>
      <w:bookmarkEnd w:id="1"/>
      <w:r w:rsidRPr="0094366E">
        <w:rPr>
          <w:rFonts w:ascii="Calibri" w:eastAsia="Calibri" w:hAnsi="Calibri" w:cs="Calibri"/>
          <w:szCs w:val="24"/>
        </w:rPr>
        <w:t>.</w:t>
      </w:r>
    </w:p>
    <w:p w:rsidR="0094366E" w:rsidRPr="0094366E" w:rsidRDefault="0094366E" w:rsidP="0094366E">
      <w:pPr>
        <w:ind w:firstLine="720"/>
        <w:rPr>
          <w:rFonts w:ascii="Calibri" w:eastAsia="Calibri" w:hAnsi="Calibri" w:cs="Calibri"/>
          <w:szCs w:val="24"/>
        </w:rPr>
      </w:pPr>
    </w:p>
    <w:p w:rsidR="0094366E" w:rsidRPr="0094366E" w:rsidRDefault="0094366E" w:rsidP="0094366E">
      <w:pPr>
        <w:ind w:left="900"/>
        <w:rPr>
          <w:rFonts w:ascii="Calibri" w:eastAsia="Calibri" w:hAnsi="Calibri" w:cs="Calibri"/>
          <w:szCs w:val="24"/>
        </w:rPr>
      </w:pPr>
      <w:r w:rsidRPr="0094366E">
        <w:rPr>
          <w:rFonts w:ascii="Calibri" w:eastAsia="Calibri" w:hAnsi="Calibri" w:cs="Calibri"/>
          <w:szCs w:val="24"/>
        </w:rPr>
        <w:t xml:space="preserve">With the administrative funds, the applicant’s early plans are to support consultant time, capacity building workshops and trainings, and to support community engagement activities whether in person or virtual mechanisms.  </w:t>
      </w:r>
    </w:p>
    <w:p w:rsidR="0094366E" w:rsidRPr="0094366E" w:rsidRDefault="0094366E" w:rsidP="0094366E">
      <w:pPr>
        <w:widowControl w:val="0"/>
        <w:autoSpaceDE w:val="0"/>
        <w:autoSpaceDN w:val="0"/>
        <w:rPr>
          <w:rFonts w:ascii="Calibri" w:eastAsia="Calibri" w:hAnsi="Calibri" w:cs="Calibri"/>
          <w:b/>
          <w:szCs w:val="24"/>
          <w:highlight w:val="yellow"/>
          <w:lang w:bidi="en-US"/>
        </w:rPr>
      </w:pPr>
    </w:p>
    <w:p w:rsidR="0094366E" w:rsidRPr="0094366E" w:rsidRDefault="0094366E" w:rsidP="0094366E">
      <w:pPr>
        <w:widowControl w:val="0"/>
        <w:autoSpaceDE w:val="0"/>
        <w:autoSpaceDN w:val="0"/>
        <w:ind w:left="900"/>
        <w:rPr>
          <w:rFonts w:ascii="Calibri" w:eastAsia="Calibri" w:hAnsi="Calibri" w:cs="Calibri"/>
          <w:b/>
          <w:szCs w:val="24"/>
          <w:lang w:bidi="en-US"/>
        </w:rPr>
      </w:pPr>
      <w:r w:rsidRPr="0094366E">
        <w:rPr>
          <w:rFonts w:ascii="Calibri" w:eastAsia="Calibri" w:hAnsi="Calibri" w:cs="Calibri"/>
          <w:i/>
          <w:szCs w:val="24"/>
          <w:lang w:bidi="en-US"/>
        </w:rPr>
        <w:t>Summary Analysis</w:t>
      </w:r>
      <w:r w:rsidRPr="0094366E">
        <w:rPr>
          <w:rFonts w:ascii="Calibri" w:eastAsia="Calibri" w:hAnsi="Calibri" w:cs="Calibri"/>
          <w:szCs w:val="24"/>
          <w:lang w:bidi="en-US"/>
        </w:rPr>
        <w:t xml:space="preserve">: As a result of information provided by the Applicant and additional analysis, DPH finds that with the conditions outlined below, and with their ongoing commitment to meaningful community engagement, all of these plans are acceptable and satisfy the requirements. In addition, the Applicant is in compliance with all previously approved DoN Projects for CHI. </w:t>
      </w:r>
    </w:p>
    <w:p w:rsidR="0094366E" w:rsidRPr="0094366E" w:rsidRDefault="0094366E" w:rsidP="0094366E">
      <w:pPr>
        <w:widowControl w:val="0"/>
        <w:autoSpaceDE w:val="0"/>
        <w:autoSpaceDN w:val="0"/>
        <w:spacing w:before="52"/>
        <w:ind w:left="900" w:right="-10"/>
        <w:rPr>
          <w:rFonts w:ascii="Calibri" w:eastAsia="Calibri" w:hAnsi="Calibri" w:cs="Calibri"/>
          <w:b/>
          <w:szCs w:val="22"/>
          <w:u w:val="single"/>
          <w:lang w:bidi="en-US"/>
        </w:rPr>
      </w:pPr>
    </w:p>
    <w:p w:rsidR="0094366E" w:rsidRPr="0094366E" w:rsidRDefault="0094366E" w:rsidP="0094366E">
      <w:pPr>
        <w:widowControl w:val="0"/>
        <w:autoSpaceDE w:val="0"/>
        <w:autoSpaceDN w:val="0"/>
        <w:spacing w:before="52"/>
        <w:ind w:left="900" w:right="-10"/>
        <w:rPr>
          <w:rFonts w:ascii="Calibri" w:eastAsia="Calibri" w:hAnsi="Calibri" w:cs="Calibri"/>
          <w:b/>
          <w:szCs w:val="22"/>
          <w:lang w:bidi="en-US"/>
        </w:rPr>
      </w:pPr>
      <w:r w:rsidRPr="0094366E">
        <w:rPr>
          <w:rFonts w:ascii="Calibri" w:eastAsia="Calibri" w:hAnsi="Calibri" w:cs="Calibri"/>
          <w:b/>
          <w:szCs w:val="22"/>
          <w:u w:val="single"/>
          <w:lang w:bidi="en-US"/>
        </w:rPr>
        <w:t>Findings, Recommendations, and Conditions of Approval</w:t>
      </w:r>
    </w:p>
    <w:p w:rsidR="0094366E" w:rsidRPr="0094366E" w:rsidRDefault="0094366E" w:rsidP="0094366E">
      <w:pPr>
        <w:widowControl w:val="0"/>
        <w:autoSpaceDE w:val="0"/>
        <w:autoSpaceDN w:val="0"/>
        <w:spacing w:before="9"/>
        <w:ind w:left="900" w:right="-10"/>
        <w:rPr>
          <w:rFonts w:ascii="Calibri" w:eastAsia="Calibri" w:hAnsi="Calibri" w:cs="Calibri"/>
          <w:b/>
          <w:sz w:val="19"/>
          <w:szCs w:val="22"/>
          <w:lang w:bidi="en-US"/>
        </w:rPr>
      </w:pPr>
    </w:p>
    <w:p w:rsidR="0094366E" w:rsidRPr="0094366E" w:rsidRDefault="0094366E" w:rsidP="0094366E">
      <w:pPr>
        <w:widowControl w:val="0"/>
        <w:autoSpaceDE w:val="0"/>
        <w:autoSpaceDN w:val="0"/>
        <w:spacing w:before="52"/>
        <w:ind w:left="900" w:right="-10"/>
        <w:rPr>
          <w:rFonts w:ascii="Calibri" w:eastAsia="Calibri" w:hAnsi="Calibri" w:cs="Calibri"/>
          <w:szCs w:val="22"/>
          <w:lang w:bidi="en-US"/>
        </w:rPr>
      </w:pPr>
      <w:r w:rsidRPr="0094366E">
        <w:rPr>
          <w:rFonts w:ascii="Calibri" w:eastAsia="Calibri" w:hAnsi="Calibri" w:cs="Calibri"/>
          <w:szCs w:val="22"/>
          <w:lang w:bidi="en-US"/>
        </w:rPr>
        <w:t>Based upon the information submitted, the Department can find that the “the proposed change or modification falls within the scope of the Notice of Determination of Need as previously approved by the Department, and … is reasonable” 105 C.M.R. 100.635(A) which are requirements for approval of an Amendment.</w:t>
      </w:r>
    </w:p>
    <w:p w:rsidR="0094366E" w:rsidRPr="0094366E" w:rsidRDefault="0094366E" w:rsidP="0094366E">
      <w:pPr>
        <w:widowControl w:val="0"/>
        <w:autoSpaceDE w:val="0"/>
        <w:autoSpaceDN w:val="0"/>
        <w:spacing w:before="52"/>
        <w:ind w:left="900" w:right="-10"/>
        <w:rPr>
          <w:rFonts w:ascii="Calibri" w:eastAsia="Calibri" w:hAnsi="Calibri" w:cs="Calibri"/>
          <w:szCs w:val="22"/>
          <w:lang w:bidi="en-US"/>
        </w:rPr>
      </w:pPr>
    </w:p>
    <w:p w:rsidR="0094366E" w:rsidRPr="0094366E" w:rsidRDefault="0094366E" w:rsidP="0094366E">
      <w:pPr>
        <w:widowControl w:val="0"/>
        <w:autoSpaceDE w:val="0"/>
        <w:autoSpaceDN w:val="0"/>
        <w:ind w:left="900" w:right="-10"/>
        <w:rPr>
          <w:rFonts w:ascii="Calibri" w:eastAsia="Calibri" w:hAnsi="Calibri" w:cs="Calibri"/>
          <w:b/>
          <w:bCs/>
          <w:szCs w:val="22"/>
          <w:u w:val="single"/>
          <w:lang w:bidi="en-US"/>
        </w:rPr>
      </w:pPr>
      <w:r w:rsidRPr="0094366E">
        <w:rPr>
          <w:rFonts w:ascii="Calibri" w:eastAsia="Calibri" w:hAnsi="Calibri" w:cs="Calibri"/>
          <w:b/>
          <w:bCs/>
          <w:szCs w:val="22"/>
          <w:u w:val="single"/>
          <w:lang w:bidi="en-US"/>
        </w:rPr>
        <w:t>Conditions to the DoN</w:t>
      </w:r>
    </w:p>
    <w:p w:rsidR="0094366E" w:rsidRPr="0094366E" w:rsidRDefault="0094366E" w:rsidP="0094366E">
      <w:pPr>
        <w:widowControl w:val="0"/>
        <w:autoSpaceDE w:val="0"/>
        <w:autoSpaceDN w:val="0"/>
        <w:ind w:left="900" w:right="-10"/>
        <w:rPr>
          <w:rFonts w:ascii="Calibri" w:eastAsia="Calibri" w:hAnsi="Calibri" w:cs="Calibri"/>
          <w:szCs w:val="22"/>
          <w:u w:val="single"/>
          <w:lang w:bidi="en-US"/>
        </w:rPr>
      </w:pPr>
    </w:p>
    <w:p w:rsidR="0094366E" w:rsidRPr="0094366E" w:rsidRDefault="0094366E" w:rsidP="0094366E">
      <w:pPr>
        <w:widowControl w:val="0"/>
        <w:numPr>
          <w:ilvl w:val="0"/>
          <w:numId w:val="19"/>
        </w:numPr>
        <w:autoSpaceDE w:val="0"/>
        <w:autoSpaceDN w:val="0"/>
        <w:ind w:right="540"/>
        <w:contextualSpacing/>
        <w:rPr>
          <w:rFonts w:ascii="Calibri" w:eastAsia="Calibri" w:hAnsi="Calibri" w:cs="Calibri"/>
          <w:szCs w:val="24"/>
          <w:lang w:bidi="en-US"/>
        </w:rPr>
      </w:pPr>
      <w:r w:rsidRPr="0094366E">
        <w:rPr>
          <w:rFonts w:ascii="Calibri" w:eastAsia="Calibri" w:hAnsi="Calibri" w:cs="Calibri"/>
          <w:szCs w:val="24"/>
          <w:lang w:bidi="en-US"/>
        </w:rPr>
        <w:t>Of the total required CHI contribution of $3,494,079</w:t>
      </w:r>
    </w:p>
    <w:p w:rsidR="0094366E" w:rsidRPr="0094366E" w:rsidRDefault="0094366E" w:rsidP="0094366E">
      <w:pPr>
        <w:widowControl w:val="0"/>
        <w:numPr>
          <w:ilvl w:val="1"/>
          <w:numId w:val="19"/>
        </w:numPr>
        <w:autoSpaceDE w:val="0"/>
        <w:autoSpaceDN w:val="0"/>
        <w:ind w:right="540"/>
        <w:contextualSpacing/>
        <w:rPr>
          <w:rFonts w:ascii="Calibri" w:eastAsia="Calibri" w:hAnsi="Calibri" w:cs="Calibri"/>
          <w:szCs w:val="24"/>
          <w:lang w:bidi="en-US"/>
        </w:rPr>
      </w:pPr>
      <w:r w:rsidRPr="0094366E">
        <w:rPr>
          <w:rFonts w:ascii="Calibri" w:eastAsia="Calibri" w:hAnsi="Calibri" w:cs="Calibri"/>
          <w:szCs w:val="24"/>
          <w:lang w:bidi="en-US"/>
        </w:rPr>
        <w:t>$</w:t>
      </w:r>
      <w:r w:rsidRPr="0094366E">
        <w:rPr>
          <w:rFonts w:ascii="Calibri" w:eastAsia="Calibri" w:hAnsi="Calibri" w:cs="Calibri"/>
          <w:color w:val="212121"/>
          <w:szCs w:val="24"/>
          <w:shd w:val="clear" w:color="auto" w:fill="FFFFFF"/>
          <w:lang w:bidi="en-US"/>
        </w:rPr>
        <w:t>847,314</w:t>
      </w:r>
      <w:r w:rsidRPr="0094366E">
        <w:rPr>
          <w:rFonts w:ascii="Garamond" w:eastAsia="Calibri" w:hAnsi="Garamond" w:cs="Calibri"/>
          <w:color w:val="212121"/>
          <w:sz w:val="22"/>
          <w:szCs w:val="22"/>
          <w:shd w:val="clear" w:color="auto" w:fill="FFFFFF"/>
          <w:lang w:bidi="en-US"/>
        </w:rPr>
        <w:t xml:space="preserve"> </w:t>
      </w:r>
      <w:r w:rsidRPr="0094366E">
        <w:rPr>
          <w:rFonts w:ascii="Calibri" w:eastAsia="Calibri" w:hAnsi="Calibri" w:cs="Calibri"/>
          <w:szCs w:val="24"/>
          <w:lang w:bidi="en-US"/>
        </w:rPr>
        <w:t>will be directed to the CHI Statewide Initiative</w:t>
      </w:r>
    </w:p>
    <w:p w:rsidR="0094366E" w:rsidRPr="0094366E" w:rsidRDefault="0094366E" w:rsidP="0094366E">
      <w:pPr>
        <w:widowControl w:val="0"/>
        <w:numPr>
          <w:ilvl w:val="1"/>
          <w:numId w:val="19"/>
        </w:numPr>
        <w:autoSpaceDE w:val="0"/>
        <w:autoSpaceDN w:val="0"/>
        <w:ind w:right="540"/>
        <w:contextualSpacing/>
        <w:rPr>
          <w:rFonts w:ascii="Calibri" w:eastAsia="Calibri" w:hAnsi="Calibri" w:cs="Calibri"/>
          <w:szCs w:val="24"/>
          <w:lang w:bidi="en-US"/>
        </w:rPr>
      </w:pPr>
      <w:r w:rsidRPr="0094366E">
        <w:rPr>
          <w:rFonts w:ascii="Calibri" w:eastAsia="Calibri" w:hAnsi="Calibri" w:cs="Calibri"/>
          <w:szCs w:val="24"/>
          <w:lang w:bidi="en-US"/>
        </w:rPr>
        <w:t>$2,541,943 be dedicated to local approaches to the DoN Health Priorities</w:t>
      </w:r>
    </w:p>
    <w:p w:rsidR="0094366E" w:rsidRPr="0094366E" w:rsidRDefault="0094366E" w:rsidP="0094366E">
      <w:pPr>
        <w:widowControl w:val="0"/>
        <w:numPr>
          <w:ilvl w:val="1"/>
          <w:numId w:val="19"/>
        </w:numPr>
        <w:autoSpaceDE w:val="0"/>
        <w:autoSpaceDN w:val="0"/>
        <w:ind w:right="540"/>
        <w:contextualSpacing/>
        <w:rPr>
          <w:rFonts w:ascii="Calibri" w:eastAsia="Calibri" w:hAnsi="Calibri" w:cs="Calibri"/>
          <w:szCs w:val="24"/>
          <w:lang w:bidi="en-US"/>
        </w:rPr>
      </w:pPr>
      <w:r w:rsidRPr="0094366E">
        <w:rPr>
          <w:rFonts w:ascii="Calibri" w:eastAsia="Calibri" w:hAnsi="Calibri" w:cs="Calibri"/>
          <w:szCs w:val="24"/>
          <w:lang w:bidi="en-US"/>
        </w:rPr>
        <w:t>$104,822 will be designated as the administrative fee.</w:t>
      </w:r>
    </w:p>
    <w:p w:rsidR="0094366E" w:rsidRPr="0094366E" w:rsidRDefault="0094366E" w:rsidP="0094366E">
      <w:pPr>
        <w:widowControl w:val="0"/>
        <w:numPr>
          <w:ilvl w:val="0"/>
          <w:numId w:val="19"/>
        </w:numPr>
        <w:autoSpaceDE w:val="0"/>
        <w:autoSpaceDN w:val="0"/>
        <w:ind w:right="540"/>
        <w:contextualSpacing/>
        <w:rPr>
          <w:rFonts w:ascii="Calibri" w:eastAsia="Calibri" w:hAnsi="Calibri" w:cs="Calibri"/>
          <w:szCs w:val="24"/>
          <w:lang w:bidi="en-US"/>
        </w:rPr>
      </w:pPr>
      <w:r w:rsidRPr="0094366E">
        <w:rPr>
          <w:rFonts w:ascii="Calibri" w:eastAsia="Calibri" w:hAnsi="Calibri" w:cs="Calibri"/>
          <w:szCs w:val="24"/>
          <w:lang w:bidi="en-US"/>
        </w:rPr>
        <w:t xml:space="preserve">To comply with the Holder’s obligation to contribute to the Statewide CHI Initiative, the Holder must submit a check for $847,314 to Health Resources in Action (the fiscal agent for the CHI Statewide Initiative). </w:t>
      </w:r>
    </w:p>
    <w:p w:rsidR="0094366E" w:rsidRPr="0094366E" w:rsidRDefault="0094366E" w:rsidP="0094366E">
      <w:pPr>
        <w:widowControl w:val="0"/>
        <w:numPr>
          <w:ilvl w:val="1"/>
          <w:numId w:val="19"/>
        </w:numPr>
        <w:autoSpaceDE w:val="0"/>
        <w:autoSpaceDN w:val="0"/>
        <w:ind w:right="540"/>
        <w:contextualSpacing/>
        <w:rPr>
          <w:rFonts w:ascii="Calibri" w:eastAsia="Calibri" w:hAnsi="Calibri" w:cs="Calibri"/>
          <w:szCs w:val="24"/>
          <w:lang w:bidi="en-US"/>
        </w:rPr>
      </w:pPr>
      <w:r w:rsidRPr="0094366E">
        <w:rPr>
          <w:rFonts w:ascii="Calibri" w:eastAsia="Calibri" w:hAnsi="Calibri" w:cs="Calibri"/>
          <w:szCs w:val="24"/>
          <w:lang w:bidi="en-US"/>
        </w:rPr>
        <w:lastRenderedPageBreak/>
        <w:t>The Holder must submit the funds to HRiA within 30 days from the date of the Notice of Approval</w:t>
      </w:r>
      <w:r w:rsidRPr="0094366E">
        <w:rPr>
          <w:rFonts w:ascii="Calibri" w:eastAsia="Calibri" w:hAnsi="Calibri" w:cs="Calibri"/>
          <w:szCs w:val="24"/>
          <w:vertAlign w:val="superscript"/>
          <w:lang w:bidi="en-US"/>
        </w:rPr>
        <w:t>+</w:t>
      </w:r>
      <w:r w:rsidRPr="0094366E">
        <w:rPr>
          <w:rFonts w:ascii="Calibri" w:eastAsia="Calibri" w:hAnsi="Calibri" w:cs="Calibri"/>
          <w:szCs w:val="24"/>
          <w:lang w:bidi="en-US"/>
        </w:rPr>
        <w:t xml:space="preserve">. </w:t>
      </w:r>
    </w:p>
    <w:p w:rsidR="0094366E" w:rsidRPr="0094366E" w:rsidRDefault="0094366E" w:rsidP="0094366E">
      <w:pPr>
        <w:widowControl w:val="0"/>
        <w:numPr>
          <w:ilvl w:val="0"/>
          <w:numId w:val="19"/>
        </w:numPr>
        <w:autoSpaceDE w:val="0"/>
        <w:autoSpaceDN w:val="0"/>
        <w:ind w:right="-10"/>
        <w:rPr>
          <w:rFonts w:ascii="Calibri" w:eastAsia="Calibri" w:hAnsi="Calibri" w:cs="Calibri"/>
          <w:szCs w:val="22"/>
          <w:lang w:bidi="en-US"/>
        </w:rPr>
      </w:pPr>
      <w:r w:rsidRPr="0094366E">
        <w:rPr>
          <w:rFonts w:ascii="Calibri" w:eastAsia="Calibri" w:hAnsi="Calibri" w:cs="Calibri"/>
          <w:szCs w:val="22"/>
          <w:lang w:bidi="en-US"/>
        </w:rPr>
        <w:t>All other conditions in DoN 1-3B36 and subsequent Amendments remain in effect.</w:t>
      </w:r>
    </w:p>
    <w:p w:rsidR="0094366E" w:rsidRPr="0094366E" w:rsidRDefault="0094366E" w:rsidP="0094366E">
      <w:pPr>
        <w:autoSpaceDN w:val="0"/>
        <w:ind w:left="1080" w:right="540"/>
        <w:contextualSpacing/>
        <w:rPr>
          <w:rFonts w:ascii="Calibri" w:eastAsia="Calibri" w:hAnsi="Calibri" w:cs="Calibri"/>
          <w:szCs w:val="24"/>
          <w:lang w:bidi="en-US"/>
        </w:rPr>
      </w:pPr>
    </w:p>
    <w:p w:rsidR="0094366E" w:rsidRPr="0094366E" w:rsidRDefault="0094366E" w:rsidP="0094366E">
      <w:pPr>
        <w:widowControl w:val="0"/>
        <w:autoSpaceDE w:val="0"/>
        <w:autoSpaceDN w:val="0"/>
        <w:ind w:left="900" w:right="-10"/>
        <w:rPr>
          <w:rFonts w:ascii="Calibri" w:eastAsia="Calibri" w:hAnsi="Calibri" w:cs="Calibri"/>
          <w:b/>
          <w:szCs w:val="22"/>
          <w:lang w:bidi="en-US"/>
        </w:rPr>
      </w:pPr>
      <w:r w:rsidRPr="0094366E">
        <w:rPr>
          <w:rFonts w:ascii="Calibri" w:eastAsia="Calibri" w:hAnsi="Calibri" w:cs="Calibri"/>
          <w:szCs w:val="24"/>
          <w:vertAlign w:val="superscript"/>
          <w:lang w:bidi="en-US"/>
        </w:rPr>
        <w:t>+</w:t>
      </w:r>
      <w:r w:rsidRPr="0094366E">
        <w:rPr>
          <w:rFonts w:ascii="Calibri" w:eastAsia="Calibri" w:hAnsi="Calibri" w:cs="Calibri"/>
          <w:szCs w:val="24"/>
          <w:lang w:bidi="en-US"/>
        </w:rPr>
        <w:t>The Holder must promptly notify DPH (CHI contact staff) when the payment has been made.</w:t>
      </w:r>
    </w:p>
    <w:p w:rsidR="0094366E" w:rsidRPr="0094366E" w:rsidRDefault="0094366E" w:rsidP="0094366E">
      <w:pPr>
        <w:rPr>
          <w:rFonts w:ascii="Calibri" w:eastAsia="Calibri" w:hAnsi="Calibri" w:cs="Calibri"/>
          <w:szCs w:val="22"/>
          <w:lang w:bidi="en-US"/>
        </w:rPr>
        <w:sectPr w:rsidR="0094366E" w:rsidRPr="0094366E" w:rsidSect="0094366E">
          <w:type w:val="continuous"/>
          <w:pgSz w:w="12240" w:h="15840"/>
          <w:pgMar w:top="1400" w:right="1220" w:bottom="1680" w:left="860" w:header="288" w:footer="1584" w:gutter="0"/>
          <w:cols w:space="720"/>
        </w:sectPr>
      </w:pPr>
    </w:p>
    <w:p w:rsidR="0094366E" w:rsidRPr="0094366E" w:rsidRDefault="0094366E" w:rsidP="0094366E">
      <w:pPr>
        <w:widowControl w:val="0"/>
        <w:autoSpaceDE w:val="0"/>
        <w:autoSpaceDN w:val="0"/>
        <w:spacing w:before="39"/>
        <w:ind w:left="4558" w:right="-10"/>
        <w:rPr>
          <w:rFonts w:ascii="Calibri" w:eastAsia="Calibri" w:hAnsi="Calibri" w:cs="Calibri"/>
          <w:b/>
          <w:szCs w:val="22"/>
          <w:lang w:bidi="en-US"/>
        </w:rPr>
      </w:pPr>
      <w:r w:rsidRPr="0094366E">
        <w:rPr>
          <w:rFonts w:ascii="Calibri" w:eastAsia="Calibri" w:hAnsi="Calibri" w:cs="Calibri"/>
          <w:b/>
          <w:szCs w:val="22"/>
          <w:u w:val="single"/>
          <w:lang w:bidi="en-US"/>
        </w:rPr>
        <w:lastRenderedPageBreak/>
        <w:t>Attachment 1</w:t>
      </w:r>
    </w:p>
    <w:p w:rsidR="0094366E" w:rsidRPr="0094366E" w:rsidRDefault="0094366E" w:rsidP="0094366E">
      <w:pPr>
        <w:widowControl w:val="0"/>
        <w:autoSpaceDE w:val="0"/>
        <w:autoSpaceDN w:val="0"/>
        <w:spacing w:before="9"/>
        <w:ind w:right="-10"/>
        <w:rPr>
          <w:rFonts w:ascii="Calibri" w:eastAsia="Calibri" w:hAnsi="Calibri" w:cs="Calibri"/>
          <w:b/>
          <w:sz w:val="19"/>
          <w:szCs w:val="22"/>
          <w:lang w:bidi="en-US"/>
        </w:rPr>
      </w:pPr>
    </w:p>
    <w:p w:rsidR="0094366E" w:rsidRPr="0094366E" w:rsidRDefault="0094366E" w:rsidP="0094366E">
      <w:pPr>
        <w:widowControl w:val="0"/>
        <w:autoSpaceDE w:val="0"/>
        <w:autoSpaceDN w:val="0"/>
        <w:spacing w:before="52"/>
        <w:ind w:left="3136" w:right="-10"/>
        <w:rPr>
          <w:rFonts w:ascii="Calibri" w:eastAsia="Calibri" w:hAnsi="Calibri" w:cs="Calibri"/>
          <w:b/>
          <w:szCs w:val="22"/>
          <w:lang w:bidi="en-US"/>
        </w:rPr>
      </w:pPr>
    </w:p>
    <w:p w:rsidR="0094366E" w:rsidRPr="0094366E" w:rsidRDefault="0094366E" w:rsidP="0094366E">
      <w:pPr>
        <w:widowControl w:val="0"/>
        <w:autoSpaceDE w:val="0"/>
        <w:autoSpaceDN w:val="0"/>
        <w:spacing w:before="52"/>
        <w:ind w:left="900" w:right="-10"/>
        <w:rPr>
          <w:rFonts w:ascii="Calibri" w:eastAsia="Calibri" w:hAnsi="Calibri" w:cs="Calibri"/>
          <w:szCs w:val="22"/>
          <w:lang w:bidi="en-US"/>
        </w:rPr>
      </w:pPr>
      <w:r w:rsidRPr="0094366E">
        <w:rPr>
          <w:rFonts w:ascii="Calibri" w:eastAsia="Calibri" w:hAnsi="Calibri" w:cs="Calibri"/>
          <w:b/>
          <w:szCs w:val="22"/>
          <w:u w:val="single"/>
          <w:lang w:bidi="en-US"/>
        </w:rPr>
        <w:t>Amendment 1: August, 2009</w:t>
      </w:r>
      <w:r w:rsidRPr="0094366E">
        <w:rPr>
          <w:rFonts w:ascii="Calibri" w:eastAsia="Calibri" w:hAnsi="Calibri" w:cs="Calibri"/>
          <w:b/>
          <w:szCs w:val="22"/>
          <w:lang w:bidi="en-US"/>
        </w:rPr>
        <w:t xml:space="preserve"> </w:t>
      </w:r>
      <w:r w:rsidRPr="0094366E">
        <w:rPr>
          <w:rFonts w:ascii="Calibri" w:eastAsia="Calibri" w:hAnsi="Calibri" w:cs="Calibri"/>
          <w:szCs w:val="22"/>
          <w:lang w:bidi="en-US"/>
        </w:rPr>
        <w:t>- filed as a result of refinements to the original design for the Project eliminating two floors thereby changing the total GSF approved from 641,250 to 630,504 GSF and increasing the renovation GSF from 42,150 GSF to 44,900 GSF.</w:t>
      </w:r>
    </w:p>
    <w:p w:rsidR="0094366E" w:rsidRPr="0094366E" w:rsidRDefault="0094366E" w:rsidP="0094366E">
      <w:pPr>
        <w:widowControl w:val="0"/>
        <w:autoSpaceDE w:val="0"/>
        <w:autoSpaceDN w:val="0"/>
        <w:spacing w:before="1"/>
        <w:ind w:left="900" w:right="-10"/>
        <w:rPr>
          <w:rFonts w:ascii="Calibri" w:eastAsia="Calibri" w:hAnsi="Calibri" w:cs="Calibri"/>
          <w:szCs w:val="22"/>
          <w:lang w:bidi="en-US"/>
        </w:rPr>
      </w:pPr>
    </w:p>
    <w:p w:rsidR="0094366E" w:rsidRPr="0094366E" w:rsidRDefault="0094366E" w:rsidP="0094366E">
      <w:pPr>
        <w:widowControl w:val="0"/>
        <w:autoSpaceDE w:val="0"/>
        <w:autoSpaceDN w:val="0"/>
        <w:ind w:left="900" w:right="-10"/>
        <w:rPr>
          <w:rFonts w:ascii="Calibri" w:eastAsia="Calibri" w:hAnsi="Calibri" w:cs="Calibri"/>
          <w:szCs w:val="22"/>
          <w:lang w:bidi="en-US"/>
        </w:rPr>
      </w:pPr>
      <w:r w:rsidRPr="0094366E">
        <w:rPr>
          <w:rFonts w:ascii="Calibri" w:eastAsia="Calibri" w:hAnsi="Calibri" w:cs="Calibri"/>
          <w:b/>
          <w:szCs w:val="22"/>
          <w:u w:val="single"/>
          <w:lang w:bidi="en-US"/>
        </w:rPr>
        <w:t>Amendment 2: November, 2009</w:t>
      </w:r>
      <w:r w:rsidRPr="0094366E">
        <w:rPr>
          <w:rFonts w:ascii="Calibri" w:eastAsia="Calibri" w:hAnsi="Calibri" w:cs="Calibri"/>
          <w:b/>
          <w:szCs w:val="22"/>
          <w:lang w:bidi="en-US"/>
        </w:rPr>
        <w:t xml:space="preserve"> </w:t>
      </w:r>
      <w:r w:rsidRPr="0094366E">
        <w:rPr>
          <w:rFonts w:ascii="Calibri" w:eastAsia="Calibri" w:hAnsi="Calibri" w:cs="Calibri"/>
          <w:szCs w:val="22"/>
          <w:lang w:bidi="en-US"/>
        </w:rPr>
        <w:t>- filed to restore the two (2) floors of shell space eliminated by the previous minor amendment as a result of further changes in planning. It brought the approval back to the plans contemplated in the original DoN. Amendment 2 increased the total GSF for the Project from 630,504 GSF to 686,086 GSF.</w:t>
      </w:r>
    </w:p>
    <w:p w:rsidR="0094366E" w:rsidRPr="0094366E" w:rsidRDefault="0094366E" w:rsidP="0094366E">
      <w:pPr>
        <w:widowControl w:val="0"/>
        <w:autoSpaceDE w:val="0"/>
        <w:autoSpaceDN w:val="0"/>
        <w:spacing w:before="11"/>
        <w:ind w:left="900" w:right="-10"/>
        <w:rPr>
          <w:rFonts w:ascii="Calibri" w:eastAsia="Calibri" w:hAnsi="Calibri" w:cs="Calibri"/>
          <w:sz w:val="23"/>
          <w:szCs w:val="22"/>
          <w:lang w:bidi="en-US"/>
        </w:rPr>
      </w:pPr>
    </w:p>
    <w:p w:rsidR="0094366E" w:rsidRPr="0094366E" w:rsidRDefault="0094366E" w:rsidP="0094366E">
      <w:pPr>
        <w:widowControl w:val="0"/>
        <w:autoSpaceDE w:val="0"/>
        <w:autoSpaceDN w:val="0"/>
        <w:spacing w:before="1"/>
        <w:ind w:left="900" w:right="-10"/>
        <w:jc w:val="both"/>
        <w:rPr>
          <w:rFonts w:ascii="Calibri" w:eastAsia="Calibri" w:hAnsi="Calibri" w:cs="Calibri"/>
          <w:szCs w:val="22"/>
          <w:lang w:bidi="en-US"/>
        </w:rPr>
      </w:pPr>
      <w:r w:rsidRPr="0094366E">
        <w:rPr>
          <w:rFonts w:ascii="Calibri" w:eastAsia="Calibri" w:hAnsi="Calibri" w:cs="Calibri"/>
          <w:b/>
          <w:szCs w:val="22"/>
          <w:u w:val="single"/>
          <w:lang w:bidi="en-US"/>
        </w:rPr>
        <w:t>Amendment 3: February, 2011</w:t>
      </w:r>
      <w:r w:rsidRPr="0094366E">
        <w:rPr>
          <w:rFonts w:ascii="Calibri" w:eastAsia="Calibri" w:hAnsi="Calibri" w:cs="Calibri"/>
          <w:b/>
          <w:szCs w:val="22"/>
          <w:lang w:bidi="en-US"/>
        </w:rPr>
        <w:t xml:space="preserve"> </w:t>
      </w:r>
      <w:r w:rsidRPr="0094366E">
        <w:rPr>
          <w:rFonts w:ascii="Calibri" w:eastAsia="Calibri" w:hAnsi="Calibri" w:cs="Calibri"/>
          <w:szCs w:val="22"/>
          <w:lang w:bidi="en-US"/>
        </w:rPr>
        <w:t>- build-out 76,441 GSF of shell space to replace, inadequately sized ED; also 3 included construction of a connecting corridor and an increase of 6,190 GSF in the overall approved GSF to include renovation of the existing lobby/main entrance and add a covered walkway from the helipad.</w:t>
      </w:r>
    </w:p>
    <w:p w:rsidR="0094366E" w:rsidRPr="0094366E" w:rsidRDefault="0094366E" w:rsidP="0094366E">
      <w:pPr>
        <w:widowControl w:val="0"/>
        <w:autoSpaceDE w:val="0"/>
        <w:autoSpaceDN w:val="0"/>
        <w:spacing w:before="11"/>
        <w:ind w:left="900" w:right="-10"/>
        <w:rPr>
          <w:rFonts w:ascii="Calibri" w:eastAsia="Calibri" w:hAnsi="Calibri" w:cs="Calibri"/>
          <w:sz w:val="23"/>
          <w:szCs w:val="22"/>
          <w:lang w:bidi="en-US"/>
        </w:rPr>
      </w:pPr>
    </w:p>
    <w:p w:rsidR="0094366E" w:rsidRPr="0094366E" w:rsidRDefault="0094366E" w:rsidP="0094366E">
      <w:pPr>
        <w:widowControl w:val="0"/>
        <w:autoSpaceDE w:val="0"/>
        <w:autoSpaceDN w:val="0"/>
        <w:ind w:left="900" w:right="-10"/>
        <w:rPr>
          <w:rFonts w:ascii="Calibri" w:eastAsia="Calibri" w:hAnsi="Calibri" w:cs="Calibri"/>
          <w:szCs w:val="22"/>
          <w:lang w:bidi="en-US"/>
        </w:rPr>
      </w:pPr>
      <w:r w:rsidRPr="0094366E">
        <w:rPr>
          <w:rFonts w:ascii="Calibri" w:eastAsia="Calibri" w:hAnsi="Calibri" w:cs="Calibri"/>
          <w:b/>
          <w:szCs w:val="22"/>
          <w:u w:val="single"/>
          <w:lang w:bidi="en-US"/>
        </w:rPr>
        <w:t>Amendment 4: September, 2012</w:t>
      </w:r>
      <w:r w:rsidRPr="0094366E">
        <w:rPr>
          <w:rFonts w:ascii="Calibri" w:eastAsia="Calibri" w:hAnsi="Calibri" w:cs="Calibri"/>
          <w:b/>
          <w:szCs w:val="22"/>
          <w:lang w:bidi="en-US"/>
        </w:rPr>
        <w:t xml:space="preserve"> </w:t>
      </w:r>
      <w:r w:rsidRPr="0094366E">
        <w:rPr>
          <w:rFonts w:ascii="Calibri" w:eastAsia="Calibri" w:hAnsi="Calibri" w:cs="Calibri"/>
          <w:szCs w:val="22"/>
          <w:lang w:bidi="en-US"/>
        </w:rPr>
        <w:t>- build-out 80,116 GSF of shell space; included 70,383 GSF build-out of three (3) floors to replace 96 medical/surgical beds on the 5th, 6th, and 7th floors; 2,500 GSF for a construction management office; and 7,233 GSF for basement and roof infrastructure systems.</w:t>
      </w:r>
    </w:p>
    <w:p w:rsidR="0094366E" w:rsidRPr="0094366E" w:rsidRDefault="0094366E" w:rsidP="0094366E">
      <w:pPr>
        <w:widowControl w:val="0"/>
        <w:autoSpaceDE w:val="0"/>
        <w:autoSpaceDN w:val="0"/>
        <w:spacing w:before="1"/>
        <w:ind w:left="900" w:right="-10"/>
        <w:rPr>
          <w:rFonts w:ascii="Calibri" w:eastAsia="Calibri" w:hAnsi="Calibri" w:cs="Calibri"/>
          <w:szCs w:val="22"/>
          <w:lang w:bidi="en-US"/>
        </w:rPr>
      </w:pPr>
    </w:p>
    <w:p w:rsidR="0094366E" w:rsidRPr="0094366E" w:rsidRDefault="0094366E" w:rsidP="0094366E">
      <w:pPr>
        <w:widowControl w:val="0"/>
        <w:autoSpaceDE w:val="0"/>
        <w:autoSpaceDN w:val="0"/>
        <w:spacing w:before="1"/>
        <w:ind w:left="900" w:right="-10"/>
        <w:rPr>
          <w:rFonts w:ascii="Calibri" w:eastAsia="Calibri" w:hAnsi="Calibri" w:cs="Calibri"/>
          <w:szCs w:val="22"/>
          <w:lang w:bidi="en-US"/>
        </w:rPr>
      </w:pPr>
      <w:r w:rsidRPr="0094366E">
        <w:rPr>
          <w:rFonts w:ascii="Calibri" w:eastAsia="Calibri" w:hAnsi="Calibri" w:cs="Calibri"/>
          <w:b/>
          <w:szCs w:val="22"/>
          <w:u w:val="single"/>
          <w:lang w:bidi="en-US"/>
        </w:rPr>
        <w:t>Amendment 5: August, 2014</w:t>
      </w:r>
      <w:r w:rsidRPr="0094366E">
        <w:rPr>
          <w:rFonts w:ascii="Calibri" w:eastAsia="Calibri" w:hAnsi="Calibri" w:cs="Calibri"/>
          <w:b/>
          <w:szCs w:val="22"/>
          <w:lang w:bidi="en-US"/>
        </w:rPr>
        <w:t xml:space="preserve"> </w:t>
      </w:r>
      <w:r w:rsidRPr="0094366E">
        <w:rPr>
          <w:rFonts w:ascii="Calibri" w:eastAsia="Calibri" w:hAnsi="Calibri" w:cs="Calibri"/>
          <w:szCs w:val="22"/>
          <w:lang w:bidi="en-US"/>
        </w:rPr>
        <w:t>- build-out of 13,643 GSF of shell space for a new pharmacy in proximity to patient care areas and renovation of the existing pharmacy areas for conversion to administrative and support space.</w:t>
      </w:r>
    </w:p>
    <w:p w:rsidR="0094366E" w:rsidRPr="0094366E" w:rsidRDefault="0094366E" w:rsidP="0094366E">
      <w:pPr>
        <w:widowControl w:val="0"/>
        <w:autoSpaceDE w:val="0"/>
        <w:autoSpaceDN w:val="0"/>
        <w:spacing w:before="11"/>
        <w:ind w:left="900" w:right="-10"/>
        <w:rPr>
          <w:rFonts w:ascii="Calibri" w:eastAsia="Calibri" w:hAnsi="Calibri" w:cs="Calibri"/>
          <w:sz w:val="23"/>
          <w:szCs w:val="22"/>
          <w:lang w:bidi="en-US"/>
        </w:rPr>
      </w:pPr>
    </w:p>
    <w:p w:rsidR="0094366E" w:rsidRPr="0094366E" w:rsidRDefault="0094366E" w:rsidP="0094366E">
      <w:pPr>
        <w:widowControl w:val="0"/>
        <w:autoSpaceDE w:val="0"/>
        <w:autoSpaceDN w:val="0"/>
        <w:ind w:left="900" w:right="-10"/>
        <w:rPr>
          <w:rFonts w:ascii="Calibri" w:eastAsia="Calibri" w:hAnsi="Calibri" w:cs="Calibri"/>
          <w:szCs w:val="22"/>
          <w:lang w:bidi="en-US"/>
        </w:rPr>
      </w:pPr>
      <w:r w:rsidRPr="0094366E">
        <w:rPr>
          <w:rFonts w:ascii="Calibri" w:eastAsia="Calibri" w:hAnsi="Calibri" w:cs="Calibri"/>
          <w:b/>
          <w:szCs w:val="22"/>
          <w:u w:val="single"/>
          <w:lang w:bidi="en-US"/>
        </w:rPr>
        <w:t>Amendment 6: January, 2017</w:t>
      </w:r>
      <w:r w:rsidRPr="0094366E">
        <w:rPr>
          <w:rFonts w:ascii="Calibri" w:eastAsia="Calibri" w:hAnsi="Calibri" w:cs="Calibri"/>
          <w:b/>
          <w:szCs w:val="22"/>
          <w:lang w:bidi="en-US"/>
        </w:rPr>
        <w:t xml:space="preserve"> </w:t>
      </w:r>
      <w:r w:rsidRPr="0094366E">
        <w:rPr>
          <w:rFonts w:ascii="Calibri" w:eastAsia="Calibri" w:hAnsi="Calibri" w:cs="Calibri"/>
          <w:szCs w:val="22"/>
          <w:lang w:bidi="en-US"/>
        </w:rPr>
        <w:t>- build-out of 11,133 GSF of shell space, and renovation of an additional 6,358 GSF for the pediatric procedure and infusion suite, the intermediate care step- down unit, nurse training room, gift shop and emergency department storage areas.</w:t>
      </w:r>
    </w:p>
    <w:p w:rsidR="0094366E" w:rsidRPr="0094366E" w:rsidRDefault="0094366E" w:rsidP="0094366E">
      <w:pPr>
        <w:widowControl w:val="0"/>
        <w:autoSpaceDE w:val="0"/>
        <w:autoSpaceDN w:val="0"/>
        <w:ind w:left="900" w:right="-10"/>
        <w:rPr>
          <w:rFonts w:ascii="Calibri" w:eastAsia="Calibri" w:hAnsi="Calibri" w:cs="Calibri"/>
          <w:szCs w:val="22"/>
          <w:lang w:bidi="en-US"/>
        </w:rPr>
      </w:pPr>
    </w:p>
    <w:p w:rsidR="0094366E" w:rsidRPr="0094366E" w:rsidRDefault="0094366E" w:rsidP="0094366E">
      <w:pPr>
        <w:widowControl w:val="0"/>
        <w:autoSpaceDE w:val="0"/>
        <w:autoSpaceDN w:val="0"/>
        <w:ind w:left="900" w:right="-10"/>
        <w:rPr>
          <w:rFonts w:ascii="Calibri" w:eastAsia="Calibri" w:hAnsi="Calibri" w:cs="Calibri"/>
          <w:b/>
          <w:szCs w:val="22"/>
          <w:u w:val="single"/>
          <w:lang w:bidi="en-US"/>
        </w:rPr>
      </w:pPr>
      <w:bookmarkStart w:id="2" w:name="_Hlk55400414"/>
      <w:r w:rsidRPr="0094366E">
        <w:rPr>
          <w:rFonts w:ascii="Calibri" w:eastAsia="Calibri" w:hAnsi="Calibri" w:cs="Calibri"/>
          <w:b/>
          <w:szCs w:val="22"/>
          <w:u w:val="single"/>
          <w:lang w:bidi="en-US"/>
        </w:rPr>
        <w:t xml:space="preserve">Amendment 7: November </w:t>
      </w:r>
      <w:r w:rsidRPr="0094366E">
        <w:rPr>
          <w:rFonts w:ascii="Calibri" w:eastAsia="Calibri" w:hAnsi="Calibri" w:cs="Calibri"/>
          <w:szCs w:val="22"/>
          <w:lang w:bidi="en-US"/>
        </w:rPr>
        <w:t xml:space="preserve">- build-out of 22,640 GSF of shell space for one-for-one  replacement of an existing electrophysiology lab cardiac catheterization procedure rooms, one operating room and associated related support functions, including pre- and post-op care bays, staff support space, waiting room, and elevator and switchgear installation. </w:t>
      </w:r>
      <w:bookmarkEnd w:id="2"/>
    </w:p>
    <w:p w:rsidR="0094366E" w:rsidRPr="0094366E" w:rsidRDefault="0094366E" w:rsidP="0094366E">
      <w:pPr>
        <w:rPr>
          <w:rFonts w:ascii="Calibri" w:eastAsia="Calibri" w:hAnsi="Calibri" w:cs="Calibri"/>
          <w:b/>
          <w:szCs w:val="22"/>
          <w:u w:val="single"/>
          <w:lang w:bidi="en-US"/>
        </w:rPr>
        <w:sectPr w:rsidR="0094366E" w:rsidRPr="0094366E">
          <w:pgSz w:w="12240" w:h="15840"/>
          <w:pgMar w:top="1400" w:right="1220" w:bottom="1680" w:left="860" w:header="0" w:footer="1415" w:gutter="0"/>
          <w:cols w:space="720"/>
        </w:sectPr>
      </w:pPr>
    </w:p>
    <w:p w:rsidR="0094366E" w:rsidRDefault="0094366E">
      <w:pPr>
        <w:rPr>
          <w:rFonts w:asciiTheme="minorHAnsi" w:eastAsiaTheme="minorHAnsi" w:hAnsiTheme="minorHAnsi" w:cstheme="minorBidi"/>
          <w:sz w:val="22"/>
          <w:szCs w:val="22"/>
        </w:rPr>
      </w:pPr>
    </w:p>
    <w:p w:rsidR="00A57E44" w:rsidRDefault="00A57E44">
      <w:pPr>
        <w:rPr>
          <w:rFonts w:asciiTheme="minorHAnsi" w:eastAsiaTheme="minorHAnsi" w:hAnsiTheme="minorHAnsi" w:cstheme="minorBidi"/>
          <w:sz w:val="22"/>
          <w:szCs w:val="22"/>
        </w:rPr>
      </w:pPr>
    </w:p>
    <w:p w:rsidR="00A57E44" w:rsidRDefault="00A57E44">
      <w:pPr>
        <w:rPr>
          <w:rFonts w:asciiTheme="minorHAnsi" w:eastAsiaTheme="minorHAnsi" w:hAnsiTheme="minorHAnsi" w:cstheme="minorBidi"/>
          <w:sz w:val="22"/>
          <w:szCs w:val="22"/>
        </w:rPr>
      </w:pPr>
    </w:p>
    <w:p w:rsidR="00A57E44" w:rsidRDefault="00A57E44">
      <w:pPr>
        <w:rPr>
          <w:rFonts w:asciiTheme="minorHAnsi" w:eastAsiaTheme="minorHAnsi" w:hAnsiTheme="minorHAnsi" w:cstheme="minorBidi"/>
          <w:sz w:val="22"/>
          <w:szCs w:val="22"/>
        </w:rPr>
      </w:pPr>
    </w:p>
    <w:p w:rsidR="00A57E44" w:rsidRDefault="00A57E44">
      <w:pPr>
        <w:rPr>
          <w:rFonts w:asciiTheme="minorHAnsi" w:eastAsiaTheme="minorHAnsi" w:hAnsiTheme="minorHAnsi" w:cstheme="minorBidi"/>
          <w:sz w:val="22"/>
          <w:szCs w:val="22"/>
        </w:rPr>
      </w:pPr>
    </w:p>
    <w:p w:rsidR="00A57E44" w:rsidRDefault="00A57E44">
      <w:pPr>
        <w:rPr>
          <w:rFonts w:asciiTheme="minorHAnsi" w:eastAsiaTheme="minorHAnsi" w:hAnsiTheme="minorHAnsi" w:cstheme="minorBidi"/>
          <w:sz w:val="22"/>
          <w:szCs w:val="22"/>
        </w:rPr>
      </w:pPr>
    </w:p>
    <w:p w:rsidR="00A57E44" w:rsidRDefault="00A57E44">
      <w:pPr>
        <w:rPr>
          <w:rFonts w:asciiTheme="minorHAnsi" w:eastAsiaTheme="minorHAnsi" w:hAnsiTheme="minorHAnsi" w:cstheme="minorBidi"/>
          <w:sz w:val="22"/>
          <w:szCs w:val="22"/>
        </w:rPr>
      </w:pPr>
    </w:p>
    <w:p w:rsidR="00A57E44" w:rsidRDefault="00A57E44">
      <w:pPr>
        <w:rPr>
          <w:rFonts w:asciiTheme="minorHAnsi" w:eastAsiaTheme="minorHAnsi" w:hAnsiTheme="minorHAnsi" w:cstheme="minorBidi"/>
          <w:sz w:val="22"/>
          <w:szCs w:val="22"/>
        </w:rPr>
      </w:pPr>
    </w:p>
    <w:sectPr w:rsidR="00A57E44" w:rsidSect="0094366E">
      <w:type w:val="continuous"/>
      <w:pgSz w:w="12240" w:h="15840"/>
      <w:pgMar w:top="1400" w:right="1220" w:bottom="1680" w:left="860" w:header="288" w:footer="158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0AA" w:rsidRDefault="007C70AA" w:rsidP="00BD4B25">
      <w:r>
        <w:separator/>
      </w:r>
    </w:p>
  </w:endnote>
  <w:endnote w:type="continuationSeparator" w:id="0">
    <w:p w:rsidR="007C70AA" w:rsidRDefault="007C70AA" w:rsidP="00BD4B25">
      <w:r>
        <w:continuationSeparator/>
      </w:r>
    </w:p>
  </w:endnote>
  <w:endnote w:id="1">
    <w:p w:rsidR="003C2654" w:rsidRDefault="003C2654" w:rsidP="0094366E">
      <w:pPr>
        <w:pStyle w:val="EndnoteText"/>
        <w:ind w:left="900"/>
        <w:rPr>
          <w:i/>
          <w:iCs/>
        </w:rPr>
      </w:pPr>
      <w:r>
        <w:rPr>
          <w:rStyle w:val="EndnoteReference"/>
        </w:rPr>
        <w:endnoteRef/>
      </w:r>
      <w:r>
        <w:t xml:space="preserve"> David Nehemiah Majule, </w:t>
      </w:r>
      <w:r>
        <w:rPr>
          <w:i/>
          <w:iCs/>
        </w:rPr>
        <w:t>The Efficacy and Safety of the WATCHMAN Device in LAA Occlusion in Patients with</w:t>
      </w:r>
    </w:p>
    <w:p w:rsidR="003C2654" w:rsidRDefault="003C2654" w:rsidP="0094366E">
      <w:pPr>
        <w:pStyle w:val="EndnoteText"/>
        <w:ind w:left="900"/>
      </w:pPr>
      <w:r>
        <w:rPr>
          <w:i/>
          <w:iCs/>
        </w:rPr>
        <w:t>Non-Valvular Atrial Fibrillation Contraindicated to Oral Anticoagulation: A Focused Review</w:t>
      </w:r>
      <w:r>
        <w:t>, 24 ANNALS THORACIC &amp; CARDIOVASCULAR SURGERY 271 (2018), available at https://www.ncbi.nlm.nih.gov/pmc/articles/PMC6300422/</w:t>
      </w:r>
    </w:p>
  </w:endnote>
  <w:endnote w:id="2">
    <w:p w:rsidR="003C2654" w:rsidRDefault="003C2654" w:rsidP="0094366E">
      <w:pPr>
        <w:pStyle w:val="EndnoteText"/>
        <w:ind w:left="900"/>
      </w:pPr>
      <w:r>
        <w:rPr>
          <w:rStyle w:val="EndnoteReference"/>
        </w:rPr>
        <w:endnoteRef/>
      </w:r>
      <w:r>
        <w:t xml:space="preserve"> Nicole Napoli, </w:t>
      </w:r>
      <w:r>
        <w:rPr>
          <w:i/>
          <w:iCs/>
        </w:rPr>
        <w:t>TAVR Outperforms Surgery in Younger, Low Risk Patients with AS</w:t>
      </w:r>
      <w:r>
        <w:t>, AMERICAN COLLEGE OF RADIOLOGY</w:t>
      </w:r>
    </w:p>
    <w:p w:rsidR="003C2654" w:rsidRDefault="003C2654" w:rsidP="0094366E">
      <w:pPr>
        <w:pStyle w:val="EndnoteText"/>
        <w:ind w:left="900"/>
      </w:pPr>
      <w:r>
        <w:t xml:space="preserve">(Mar. 17 2019), </w:t>
      </w:r>
      <w:r>
        <w:rPr>
          <w:i/>
          <w:iCs/>
        </w:rPr>
        <w:t xml:space="preserve">available at </w:t>
      </w:r>
      <w:r>
        <w:t>https://www.acc.org/about-acc/press-releases/2019/03/16/20/51/tavr-outperformssurgery-</w:t>
      </w:r>
    </w:p>
    <w:p w:rsidR="003C2654" w:rsidRDefault="003C2654" w:rsidP="0094366E">
      <w:pPr>
        <w:pStyle w:val="EndnoteText"/>
        <w:ind w:left="900"/>
        <w:rPr>
          <w:i/>
          <w:iCs/>
        </w:rPr>
      </w:pPr>
      <w:r>
        <w:t xml:space="preserve">in-younger-low-risk-patients-with-as; J. Braghiroli et al., </w:t>
      </w:r>
      <w:r>
        <w:rPr>
          <w:i/>
          <w:iCs/>
        </w:rPr>
        <w:t>Transcatheter aortic valve replacement in low risk</w:t>
      </w:r>
    </w:p>
    <w:p w:rsidR="003C2654" w:rsidRDefault="003C2654" w:rsidP="0094366E">
      <w:pPr>
        <w:pStyle w:val="EndnoteText"/>
        <w:ind w:left="900"/>
      </w:pPr>
      <w:r>
        <w:rPr>
          <w:i/>
          <w:iCs/>
        </w:rPr>
        <w:t>patients: a review of PARTNER 3 and Evolut low risk trials</w:t>
      </w:r>
      <w:r>
        <w:t>, 10 CARDIOVASCULAR DIAGNOSIS &amp; TREATMENT 59 (2020),</w:t>
      </w:r>
    </w:p>
    <w:p w:rsidR="003C2654" w:rsidRDefault="003C2654" w:rsidP="0094366E">
      <w:pPr>
        <w:pStyle w:val="EndnoteText"/>
        <w:ind w:left="900"/>
      </w:pPr>
      <w:r>
        <w:rPr>
          <w:i/>
          <w:iCs/>
        </w:rPr>
        <w:t xml:space="preserve">available at </w:t>
      </w:r>
      <w:r>
        <w:t>https://www.ncbi.nlm.nih.gov/pmc/articles/PMC7044101/.</w:t>
      </w:r>
    </w:p>
  </w:endnote>
  <w:endnote w:id="3">
    <w:p w:rsidR="003C2654" w:rsidRDefault="003C2654" w:rsidP="0094366E">
      <w:pPr>
        <w:pStyle w:val="EndnoteText"/>
        <w:ind w:left="900"/>
        <w:rPr>
          <w:color w:val="000000" w:themeColor="text1"/>
        </w:rPr>
      </w:pPr>
      <w:r>
        <w:rPr>
          <w:rStyle w:val="EndnoteReference"/>
          <w:color w:val="000000" w:themeColor="text1"/>
        </w:rPr>
        <w:endnoteRef/>
      </w:r>
      <w:r>
        <w:rPr>
          <w:color w:val="000000" w:themeColor="text1"/>
        </w:rPr>
        <w:t xml:space="preserve"> </w:t>
      </w:r>
      <w:r>
        <w:rPr>
          <w:rFonts w:cs="Arial"/>
          <w:color w:val="000000" w:themeColor="text1"/>
          <w:shd w:val="clear" w:color="auto" w:fill="FFFFFF"/>
        </w:rPr>
        <w:t>Lakhan SE, Kaplan A, Laird C, Leiter Y. The interventionalism of medicine: interventional radiology, cardiology, and neuroradiology. Int Arch Med. 2009 Sep 9;2(1):27. doi: 10.1186/1755-7682-2-27. PMID: 19740425; PMCID: PMC2745361.</w:t>
      </w:r>
    </w:p>
  </w:endnote>
  <w:endnote w:id="4">
    <w:p w:rsidR="003C2654" w:rsidRDefault="003C2654" w:rsidP="0094366E">
      <w:pPr>
        <w:pStyle w:val="EndnoteText"/>
        <w:ind w:left="900"/>
        <w:rPr>
          <w:color w:val="000000" w:themeColor="text1"/>
        </w:rPr>
      </w:pPr>
      <w:r>
        <w:rPr>
          <w:rStyle w:val="EndnoteReference"/>
          <w:color w:val="000000" w:themeColor="text1"/>
        </w:rPr>
        <w:endnoteRef/>
      </w:r>
      <w:r>
        <w:rPr>
          <w:color w:val="000000" w:themeColor="text1"/>
        </w:rPr>
        <w:t xml:space="preserve"> https://www.sirweb.org/patient-center/what-is-interventional-radiology/</w:t>
      </w:r>
    </w:p>
  </w:endnote>
  <w:endnote w:id="5">
    <w:p w:rsidR="003C2654" w:rsidRDefault="003C2654" w:rsidP="0094366E">
      <w:pPr>
        <w:pStyle w:val="EndnoteText"/>
        <w:ind w:left="900"/>
      </w:pPr>
      <w:r>
        <w:rPr>
          <w:rStyle w:val="EndnoteReference"/>
        </w:rPr>
        <w:endnoteRef/>
      </w:r>
      <w:r>
        <w:t xml:space="preserve"> https://radiopaedia.org/articles/dual-energy-ct-2?lang=us</w:t>
      </w:r>
    </w:p>
  </w:endnote>
  <w:endnote w:id="6">
    <w:p w:rsidR="003C2654" w:rsidRDefault="003C2654" w:rsidP="0094366E">
      <w:pPr>
        <w:pStyle w:val="EndnoteText"/>
        <w:ind w:left="900"/>
      </w:pPr>
      <w:r>
        <w:rPr>
          <w:rStyle w:val="EndnoteReference"/>
        </w:rPr>
        <w:endnoteRef/>
      </w:r>
      <w:r>
        <w:t xml:space="preserve"> https://radiopaedia.org/articles/dual-energy-ct-clinical-applications-2?lang=us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LuzSans-Book"/>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54" w:rsidRDefault="003C2654">
    <w:pPr>
      <w:pStyle w:val="Footer"/>
      <w:jc w:val="center"/>
    </w:pPr>
  </w:p>
  <w:p w:rsidR="003C2654" w:rsidRDefault="003C2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0AA" w:rsidRDefault="007C70AA" w:rsidP="00BD4B25">
      <w:r>
        <w:separator/>
      </w:r>
    </w:p>
  </w:footnote>
  <w:footnote w:type="continuationSeparator" w:id="0">
    <w:p w:rsidR="007C70AA" w:rsidRDefault="007C70AA" w:rsidP="00BD4B25">
      <w:r>
        <w:continuationSeparator/>
      </w:r>
    </w:p>
  </w:footnote>
  <w:footnote w:id="1">
    <w:p w:rsidR="003C2654" w:rsidRDefault="003C2654" w:rsidP="0094366E">
      <w:pPr>
        <w:pStyle w:val="FootnoteText"/>
        <w:ind w:left="360" w:firstLine="540"/>
      </w:pPr>
      <w:r>
        <w:rPr>
          <w:rStyle w:val="FootnoteReference"/>
          <w:rFonts w:eastAsia="Calibri"/>
        </w:rPr>
        <w:footnoteRef/>
      </w:r>
      <w:r>
        <w:t xml:space="preserve"> varying in size from 386-500 GSF</w:t>
      </w:r>
    </w:p>
  </w:footnote>
  <w:footnote w:id="2">
    <w:p w:rsidR="003C2654" w:rsidRDefault="003C2654" w:rsidP="0094366E">
      <w:pPr>
        <w:pStyle w:val="FootnoteText"/>
        <w:ind w:left="540" w:firstLine="360"/>
      </w:pPr>
      <w:r>
        <w:rPr>
          <w:rStyle w:val="FootnoteReference"/>
          <w:rFonts w:eastAsia="Calibri"/>
        </w:rPr>
        <w:footnoteRef/>
      </w:r>
      <w:r>
        <w:t xml:space="preserve"> Including heart, vascular, neurology, oncology and plastic specialties.</w:t>
      </w:r>
    </w:p>
  </w:footnote>
  <w:footnote w:id="3">
    <w:p w:rsidR="003C2654" w:rsidRDefault="003C2654" w:rsidP="0094366E">
      <w:pPr>
        <w:pStyle w:val="FootnoteText"/>
        <w:ind w:left="540" w:firstLine="360"/>
      </w:pPr>
      <w:r>
        <w:rPr>
          <w:rStyle w:val="FootnoteReference"/>
          <w:rFonts w:eastAsia="Calibri"/>
        </w:rPr>
        <w:footnoteRef/>
      </w:r>
      <w:r>
        <w:t xml:space="preserve"> The last year of actual counts for surgical cases.</w:t>
      </w:r>
      <w:r>
        <w:rPr>
          <w:sz w:val="24"/>
          <w:szCs w:val="22"/>
        </w:rPr>
        <w:t xml:space="preserve">  T</w:t>
      </w:r>
      <w:r>
        <w:t>he ORs are expected to go online in Fiscal Year 2022.</w:t>
      </w:r>
    </w:p>
  </w:footnote>
  <w:footnote w:id="4">
    <w:p w:rsidR="003C2654" w:rsidRDefault="003C2654" w:rsidP="0094366E">
      <w:pPr>
        <w:pStyle w:val="FootnoteText"/>
        <w:ind w:left="900"/>
      </w:pPr>
      <w:r>
        <w:rPr>
          <w:rStyle w:val="FootnoteReference"/>
          <w:rFonts w:eastAsia="Calibri"/>
        </w:rPr>
        <w:footnoteRef/>
      </w:r>
      <w:r>
        <w:t xml:space="preserve"> To treat strokes, aneurysms, vasculitis and other blockages in the arteries in the brain and carotid artery, including but not limited to diagnostic angiograms, angioplasty, insertion of intracranial stents, insertion of carotid stents, thrombectomies, coil embolizations, etc.</w:t>
      </w:r>
    </w:p>
  </w:footnote>
  <w:footnote w:id="5">
    <w:p w:rsidR="003C2654" w:rsidRDefault="003C2654" w:rsidP="0094366E">
      <w:pPr>
        <w:pStyle w:val="FootnoteText"/>
        <w:ind w:left="900"/>
      </w:pPr>
      <w:r>
        <w:rPr>
          <w:rStyle w:val="FootnoteReference"/>
          <w:rFonts w:eastAsia="Calibri"/>
        </w:rPr>
        <w:footnoteRef/>
      </w:r>
      <w:r>
        <w:t xml:space="preserve"> electrophysiology</w:t>
      </w:r>
    </w:p>
  </w:footnote>
  <w:footnote w:id="6">
    <w:p w:rsidR="003C2654" w:rsidRDefault="003C2654" w:rsidP="0094366E">
      <w:pPr>
        <w:pStyle w:val="FootnoteText"/>
        <w:ind w:left="900"/>
      </w:pPr>
      <w:r>
        <w:rPr>
          <w:rStyle w:val="FootnoteReference"/>
          <w:rFonts w:eastAsia="Calibri"/>
        </w:rPr>
        <w:footnoteRef/>
      </w:r>
      <w:r>
        <w:t xml:space="preserve"> Of the Joint Commission</w:t>
      </w:r>
    </w:p>
  </w:footnote>
  <w:footnote w:id="7">
    <w:p w:rsidR="003C2654" w:rsidRDefault="003C2654" w:rsidP="0094366E">
      <w:pPr>
        <w:pStyle w:val="FootnoteText"/>
        <w:ind w:left="900"/>
      </w:pPr>
      <w:r>
        <w:rPr>
          <w:rStyle w:val="FootnoteReference"/>
          <w:rFonts w:eastAsia="Calibri"/>
        </w:rPr>
        <w:footnoteRef/>
      </w:r>
      <w:r>
        <w:t xml:space="preserve"> e.g., Warfarin</w:t>
      </w:r>
    </w:p>
  </w:footnote>
  <w:footnote w:id="8">
    <w:p w:rsidR="003C2654" w:rsidRDefault="003C2654" w:rsidP="0094366E">
      <w:pPr>
        <w:pStyle w:val="FootnoteText"/>
        <w:ind w:left="900"/>
      </w:pPr>
      <w:r>
        <w:rPr>
          <w:rStyle w:val="FootnoteReference"/>
          <w:rFonts w:eastAsia="Calibri"/>
        </w:rPr>
        <w:footnoteRef/>
      </w:r>
      <w:r>
        <w:t xml:space="preserve"> 7am-4pm</w:t>
      </w:r>
    </w:p>
  </w:footnote>
  <w:footnote w:id="9">
    <w:p w:rsidR="003C2654" w:rsidRDefault="003C2654" w:rsidP="0094366E">
      <w:pPr>
        <w:pStyle w:val="FootnoteText"/>
        <w:ind w:left="900"/>
      </w:pPr>
      <w:r>
        <w:rPr>
          <w:rStyle w:val="FootnoteReference"/>
          <w:rFonts w:eastAsia="Calibri"/>
        </w:rPr>
        <w:footnoteRef/>
      </w:r>
      <w:r>
        <w:t xml:space="preserve"> The difference between the 2018 Approval the GSF and the resulting approved GSF and MCE.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474"/>
    <w:multiLevelType w:val="hybridMultilevel"/>
    <w:tmpl w:val="A29CBF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2FC21A8"/>
    <w:multiLevelType w:val="hybridMultilevel"/>
    <w:tmpl w:val="DF685DBC"/>
    <w:lvl w:ilvl="0" w:tplc="540006DE">
      <w:numFmt w:val="bullet"/>
      <w:lvlText w:val=""/>
      <w:lvlJc w:val="left"/>
      <w:pPr>
        <w:ind w:left="466" w:hanging="361"/>
      </w:pPr>
      <w:rPr>
        <w:rFonts w:ascii="Symbol" w:eastAsia="Symbol" w:hAnsi="Symbol" w:cs="Symbol" w:hint="default"/>
        <w:w w:val="99"/>
        <w:sz w:val="14"/>
        <w:szCs w:val="14"/>
        <w:lang w:val="en-US" w:eastAsia="en-US" w:bidi="en-US"/>
      </w:rPr>
    </w:lvl>
    <w:lvl w:ilvl="1" w:tplc="ECE46F64">
      <w:numFmt w:val="bullet"/>
      <w:lvlText w:val="•"/>
      <w:lvlJc w:val="left"/>
      <w:pPr>
        <w:ind w:left="559" w:hanging="361"/>
      </w:pPr>
      <w:rPr>
        <w:rFonts w:hint="default"/>
        <w:lang w:val="en-US" w:eastAsia="en-US" w:bidi="en-US"/>
      </w:rPr>
    </w:lvl>
    <w:lvl w:ilvl="2" w:tplc="EF08C0DA">
      <w:numFmt w:val="bullet"/>
      <w:lvlText w:val="•"/>
      <w:lvlJc w:val="left"/>
      <w:pPr>
        <w:ind w:left="658" w:hanging="361"/>
      </w:pPr>
      <w:rPr>
        <w:rFonts w:hint="default"/>
        <w:lang w:val="en-US" w:eastAsia="en-US" w:bidi="en-US"/>
      </w:rPr>
    </w:lvl>
    <w:lvl w:ilvl="3" w:tplc="E22C57AE">
      <w:numFmt w:val="bullet"/>
      <w:lvlText w:val="•"/>
      <w:lvlJc w:val="left"/>
      <w:pPr>
        <w:ind w:left="757" w:hanging="361"/>
      </w:pPr>
      <w:rPr>
        <w:rFonts w:hint="default"/>
        <w:lang w:val="en-US" w:eastAsia="en-US" w:bidi="en-US"/>
      </w:rPr>
    </w:lvl>
    <w:lvl w:ilvl="4" w:tplc="05DE67DC">
      <w:numFmt w:val="bullet"/>
      <w:lvlText w:val="•"/>
      <w:lvlJc w:val="left"/>
      <w:pPr>
        <w:ind w:left="856" w:hanging="361"/>
      </w:pPr>
      <w:rPr>
        <w:rFonts w:hint="default"/>
        <w:lang w:val="en-US" w:eastAsia="en-US" w:bidi="en-US"/>
      </w:rPr>
    </w:lvl>
    <w:lvl w:ilvl="5" w:tplc="FF18D65A">
      <w:numFmt w:val="bullet"/>
      <w:lvlText w:val="•"/>
      <w:lvlJc w:val="left"/>
      <w:pPr>
        <w:ind w:left="956" w:hanging="361"/>
      </w:pPr>
      <w:rPr>
        <w:rFonts w:hint="default"/>
        <w:lang w:val="en-US" w:eastAsia="en-US" w:bidi="en-US"/>
      </w:rPr>
    </w:lvl>
    <w:lvl w:ilvl="6" w:tplc="E8A6C2D8">
      <w:numFmt w:val="bullet"/>
      <w:lvlText w:val="•"/>
      <w:lvlJc w:val="left"/>
      <w:pPr>
        <w:ind w:left="1055" w:hanging="361"/>
      </w:pPr>
      <w:rPr>
        <w:rFonts w:hint="default"/>
        <w:lang w:val="en-US" w:eastAsia="en-US" w:bidi="en-US"/>
      </w:rPr>
    </w:lvl>
    <w:lvl w:ilvl="7" w:tplc="50821FFE">
      <w:numFmt w:val="bullet"/>
      <w:lvlText w:val="•"/>
      <w:lvlJc w:val="left"/>
      <w:pPr>
        <w:ind w:left="1154" w:hanging="361"/>
      </w:pPr>
      <w:rPr>
        <w:rFonts w:hint="default"/>
        <w:lang w:val="en-US" w:eastAsia="en-US" w:bidi="en-US"/>
      </w:rPr>
    </w:lvl>
    <w:lvl w:ilvl="8" w:tplc="DC705CA2">
      <w:numFmt w:val="bullet"/>
      <w:lvlText w:val="•"/>
      <w:lvlJc w:val="left"/>
      <w:pPr>
        <w:ind w:left="1253" w:hanging="361"/>
      </w:pPr>
      <w:rPr>
        <w:rFonts w:hint="default"/>
        <w:lang w:val="en-US" w:eastAsia="en-US" w:bidi="en-US"/>
      </w:rPr>
    </w:lvl>
  </w:abstractNum>
  <w:abstractNum w:abstractNumId="2">
    <w:nsid w:val="0A9B0F4D"/>
    <w:multiLevelType w:val="hybridMultilevel"/>
    <w:tmpl w:val="2508F410"/>
    <w:lvl w:ilvl="0" w:tplc="A04CE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E752F1"/>
    <w:multiLevelType w:val="hybridMultilevel"/>
    <w:tmpl w:val="4ABED0B0"/>
    <w:lvl w:ilvl="0" w:tplc="A0AC7EE0">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C36CB17E">
      <w:numFmt w:val="bullet"/>
      <w:lvlText w:val="•"/>
      <w:lvlJc w:val="left"/>
      <w:pPr>
        <w:ind w:left="577" w:hanging="361"/>
      </w:pPr>
      <w:rPr>
        <w:rFonts w:hint="default"/>
        <w:lang w:val="en-US" w:eastAsia="en-US" w:bidi="en-US"/>
      </w:rPr>
    </w:lvl>
    <w:lvl w:ilvl="2" w:tplc="B0068100">
      <w:numFmt w:val="bullet"/>
      <w:lvlText w:val="•"/>
      <w:lvlJc w:val="left"/>
      <w:pPr>
        <w:ind w:left="694" w:hanging="361"/>
      </w:pPr>
      <w:rPr>
        <w:rFonts w:hint="default"/>
        <w:lang w:val="en-US" w:eastAsia="en-US" w:bidi="en-US"/>
      </w:rPr>
    </w:lvl>
    <w:lvl w:ilvl="3" w:tplc="7D98C414">
      <w:numFmt w:val="bullet"/>
      <w:lvlText w:val="•"/>
      <w:lvlJc w:val="left"/>
      <w:pPr>
        <w:ind w:left="811" w:hanging="361"/>
      </w:pPr>
      <w:rPr>
        <w:rFonts w:hint="default"/>
        <w:lang w:val="en-US" w:eastAsia="en-US" w:bidi="en-US"/>
      </w:rPr>
    </w:lvl>
    <w:lvl w:ilvl="4" w:tplc="B32074CC">
      <w:numFmt w:val="bullet"/>
      <w:lvlText w:val="•"/>
      <w:lvlJc w:val="left"/>
      <w:pPr>
        <w:ind w:left="928" w:hanging="361"/>
      </w:pPr>
      <w:rPr>
        <w:rFonts w:hint="default"/>
        <w:lang w:val="en-US" w:eastAsia="en-US" w:bidi="en-US"/>
      </w:rPr>
    </w:lvl>
    <w:lvl w:ilvl="5" w:tplc="50B46874">
      <w:numFmt w:val="bullet"/>
      <w:lvlText w:val="•"/>
      <w:lvlJc w:val="left"/>
      <w:pPr>
        <w:ind w:left="1046" w:hanging="361"/>
      </w:pPr>
      <w:rPr>
        <w:rFonts w:hint="default"/>
        <w:lang w:val="en-US" w:eastAsia="en-US" w:bidi="en-US"/>
      </w:rPr>
    </w:lvl>
    <w:lvl w:ilvl="6" w:tplc="BD58489C">
      <w:numFmt w:val="bullet"/>
      <w:lvlText w:val="•"/>
      <w:lvlJc w:val="left"/>
      <w:pPr>
        <w:ind w:left="1163" w:hanging="361"/>
      </w:pPr>
      <w:rPr>
        <w:rFonts w:hint="default"/>
        <w:lang w:val="en-US" w:eastAsia="en-US" w:bidi="en-US"/>
      </w:rPr>
    </w:lvl>
    <w:lvl w:ilvl="7" w:tplc="DC182420">
      <w:numFmt w:val="bullet"/>
      <w:lvlText w:val="•"/>
      <w:lvlJc w:val="left"/>
      <w:pPr>
        <w:ind w:left="1280" w:hanging="361"/>
      </w:pPr>
      <w:rPr>
        <w:rFonts w:hint="default"/>
        <w:lang w:val="en-US" w:eastAsia="en-US" w:bidi="en-US"/>
      </w:rPr>
    </w:lvl>
    <w:lvl w:ilvl="8" w:tplc="68D8B6EC">
      <w:numFmt w:val="bullet"/>
      <w:lvlText w:val="•"/>
      <w:lvlJc w:val="left"/>
      <w:pPr>
        <w:ind w:left="1397" w:hanging="361"/>
      </w:pPr>
      <w:rPr>
        <w:rFonts w:hint="default"/>
        <w:lang w:val="en-US" w:eastAsia="en-US" w:bidi="en-US"/>
      </w:rPr>
    </w:lvl>
  </w:abstractNum>
  <w:abstractNum w:abstractNumId="4">
    <w:nsid w:val="186807E9"/>
    <w:multiLevelType w:val="hybridMultilevel"/>
    <w:tmpl w:val="1168343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18BD3CCA"/>
    <w:multiLevelType w:val="hybridMultilevel"/>
    <w:tmpl w:val="87625B08"/>
    <w:lvl w:ilvl="0" w:tplc="D96A571E">
      <w:start w:val="2"/>
      <w:numFmt w:val="decimal"/>
      <w:lvlText w:val="%1."/>
      <w:lvlJc w:val="left"/>
      <w:pPr>
        <w:ind w:left="800" w:hanging="221"/>
      </w:pPr>
      <w:rPr>
        <w:rFonts w:ascii="Calibri" w:eastAsia="Calibri" w:hAnsi="Calibri" w:cs="Calibri" w:hint="default"/>
        <w:b/>
        <w:bCs/>
        <w:w w:val="100"/>
        <w:sz w:val="22"/>
        <w:szCs w:val="22"/>
        <w:lang w:val="en-US" w:eastAsia="en-US" w:bidi="en-US"/>
      </w:rPr>
    </w:lvl>
    <w:lvl w:ilvl="1" w:tplc="95683872">
      <w:numFmt w:val="bullet"/>
      <w:lvlText w:val=""/>
      <w:lvlJc w:val="left"/>
      <w:pPr>
        <w:ind w:left="1300" w:hanging="361"/>
      </w:pPr>
      <w:rPr>
        <w:rFonts w:ascii="Symbol" w:eastAsia="Symbol" w:hAnsi="Symbol" w:cs="Symbol" w:hint="default"/>
        <w:w w:val="100"/>
        <w:sz w:val="22"/>
        <w:szCs w:val="22"/>
        <w:lang w:val="en-US" w:eastAsia="en-US" w:bidi="en-US"/>
      </w:rPr>
    </w:lvl>
    <w:lvl w:ilvl="2" w:tplc="FD5086E0">
      <w:numFmt w:val="bullet"/>
      <w:lvlText w:val="•"/>
      <w:lvlJc w:val="left"/>
      <w:pPr>
        <w:ind w:left="2284" w:hanging="361"/>
      </w:pPr>
      <w:rPr>
        <w:rFonts w:hint="default"/>
        <w:lang w:val="en-US" w:eastAsia="en-US" w:bidi="en-US"/>
      </w:rPr>
    </w:lvl>
    <w:lvl w:ilvl="3" w:tplc="DEBC684A">
      <w:numFmt w:val="bullet"/>
      <w:lvlText w:val="•"/>
      <w:lvlJc w:val="left"/>
      <w:pPr>
        <w:ind w:left="3268" w:hanging="361"/>
      </w:pPr>
      <w:rPr>
        <w:rFonts w:hint="default"/>
        <w:lang w:val="en-US" w:eastAsia="en-US" w:bidi="en-US"/>
      </w:rPr>
    </w:lvl>
    <w:lvl w:ilvl="4" w:tplc="449C8830">
      <w:numFmt w:val="bullet"/>
      <w:lvlText w:val="•"/>
      <w:lvlJc w:val="left"/>
      <w:pPr>
        <w:ind w:left="4253" w:hanging="361"/>
      </w:pPr>
      <w:rPr>
        <w:rFonts w:hint="default"/>
        <w:lang w:val="en-US" w:eastAsia="en-US" w:bidi="en-US"/>
      </w:rPr>
    </w:lvl>
    <w:lvl w:ilvl="5" w:tplc="FACAAABE">
      <w:numFmt w:val="bullet"/>
      <w:lvlText w:val="•"/>
      <w:lvlJc w:val="left"/>
      <w:pPr>
        <w:ind w:left="5237" w:hanging="361"/>
      </w:pPr>
      <w:rPr>
        <w:rFonts w:hint="default"/>
        <w:lang w:val="en-US" w:eastAsia="en-US" w:bidi="en-US"/>
      </w:rPr>
    </w:lvl>
    <w:lvl w:ilvl="6" w:tplc="C9B80A74">
      <w:numFmt w:val="bullet"/>
      <w:lvlText w:val="•"/>
      <w:lvlJc w:val="left"/>
      <w:pPr>
        <w:ind w:left="6222" w:hanging="361"/>
      </w:pPr>
      <w:rPr>
        <w:rFonts w:hint="default"/>
        <w:lang w:val="en-US" w:eastAsia="en-US" w:bidi="en-US"/>
      </w:rPr>
    </w:lvl>
    <w:lvl w:ilvl="7" w:tplc="8440206C">
      <w:numFmt w:val="bullet"/>
      <w:lvlText w:val="•"/>
      <w:lvlJc w:val="left"/>
      <w:pPr>
        <w:ind w:left="7206" w:hanging="361"/>
      </w:pPr>
      <w:rPr>
        <w:rFonts w:hint="default"/>
        <w:lang w:val="en-US" w:eastAsia="en-US" w:bidi="en-US"/>
      </w:rPr>
    </w:lvl>
    <w:lvl w:ilvl="8" w:tplc="21C4A282">
      <w:numFmt w:val="bullet"/>
      <w:lvlText w:val="•"/>
      <w:lvlJc w:val="left"/>
      <w:pPr>
        <w:ind w:left="8191" w:hanging="361"/>
      </w:pPr>
      <w:rPr>
        <w:rFonts w:hint="default"/>
        <w:lang w:val="en-US" w:eastAsia="en-US" w:bidi="en-US"/>
      </w:rPr>
    </w:lvl>
  </w:abstractNum>
  <w:abstractNum w:abstractNumId="6">
    <w:nsid w:val="1B960BD7"/>
    <w:multiLevelType w:val="hybridMultilevel"/>
    <w:tmpl w:val="D87460F2"/>
    <w:lvl w:ilvl="0" w:tplc="93E893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D9DC5A70">
      <w:numFmt w:val="bullet"/>
      <w:lvlText w:val="•"/>
      <w:lvlJc w:val="left"/>
      <w:pPr>
        <w:ind w:left="577" w:hanging="361"/>
      </w:pPr>
      <w:rPr>
        <w:rFonts w:hint="default"/>
        <w:lang w:val="en-US" w:eastAsia="en-US" w:bidi="en-US"/>
      </w:rPr>
    </w:lvl>
    <w:lvl w:ilvl="2" w:tplc="E0CCAE2C">
      <w:numFmt w:val="bullet"/>
      <w:lvlText w:val="•"/>
      <w:lvlJc w:val="left"/>
      <w:pPr>
        <w:ind w:left="694" w:hanging="361"/>
      </w:pPr>
      <w:rPr>
        <w:rFonts w:hint="default"/>
        <w:lang w:val="en-US" w:eastAsia="en-US" w:bidi="en-US"/>
      </w:rPr>
    </w:lvl>
    <w:lvl w:ilvl="3" w:tplc="45EA875A">
      <w:numFmt w:val="bullet"/>
      <w:lvlText w:val="•"/>
      <w:lvlJc w:val="left"/>
      <w:pPr>
        <w:ind w:left="811" w:hanging="361"/>
      </w:pPr>
      <w:rPr>
        <w:rFonts w:hint="default"/>
        <w:lang w:val="en-US" w:eastAsia="en-US" w:bidi="en-US"/>
      </w:rPr>
    </w:lvl>
    <w:lvl w:ilvl="4" w:tplc="229067B8">
      <w:numFmt w:val="bullet"/>
      <w:lvlText w:val="•"/>
      <w:lvlJc w:val="left"/>
      <w:pPr>
        <w:ind w:left="928" w:hanging="361"/>
      </w:pPr>
      <w:rPr>
        <w:rFonts w:hint="default"/>
        <w:lang w:val="en-US" w:eastAsia="en-US" w:bidi="en-US"/>
      </w:rPr>
    </w:lvl>
    <w:lvl w:ilvl="5" w:tplc="7DAEF5C6">
      <w:numFmt w:val="bullet"/>
      <w:lvlText w:val="•"/>
      <w:lvlJc w:val="left"/>
      <w:pPr>
        <w:ind w:left="1046" w:hanging="361"/>
      </w:pPr>
      <w:rPr>
        <w:rFonts w:hint="default"/>
        <w:lang w:val="en-US" w:eastAsia="en-US" w:bidi="en-US"/>
      </w:rPr>
    </w:lvl>
    <w:lvl w:ilvl="6" w:tplc="61B84C66">
      <w:numFmt w:val="bullet"/>
      <w:lvlText w:val="•"/>
      <w:lvlJc w:val="left"/>
      <w:pPr>
        <w:ind w:left="1163" w:hanging="361"/>
      </w:pPr>
      <w:rPr>
        <w:rFonts w:hint="default"/>
        <w:lang w:val="en-US" w:eastAsia="en-US" w:bidi="en-US"/>
      </w:rPr>
    </w:lvl>
    <w:lvl w:ilvl="7" w:tplc="44721ED6">
      <w:numFmt w:val="bullet"/>
      <w:lvlText w:val="•"/>
      <w:lvlJc w:val="left"/>
      <w:pPr>
        <w:ind w:left="1280" w:hanging="361"/>
      </w:pPr>
      <w:rPr>
        <w:rFonts w:hint="default"/>
        <w:lang w:val="en-US" w:eastAsia="en-US" w:bidi="en-US"/>
      </w:rPr>
    </w:lvl>
    <w:lvl w:ilvl="8" w:tplc="4C607AD8">
      <w:numFmt w:val="bullet"/>
      <w:lvlText w:val="•"/>
      <w:lvlJc w:val="left"/>
      <w:pPr>
        <w:ind w:left="1397" w:hanging="361"/>
      </w:pPr>
      <w:rPr>
        <w:rFonts w:hint="default"/>
        <w:lang w:val="en-US" w:eastAsia="en-US" w:bidi="en-US"/>
      </w:rPr>
    </w:lvl>
  </w:abstractNum>
  <w:abstractNum w:abstractNumId="7">
    <w:nsid w:val="21EA40A2"/>
    <w:multiLevelType w:val="hybridMultilevel"/>
    <w:tmpl w:val="7BB43C5C"/>
    <w:lvl w:ilvl="0" w:tplc="0F045690">
      <w:numFmt w:val="bullet"/>
      <w:lvlText w:val=""/>
      <w:lvlJc w:val="left"/>
      <w:pPr>
        <w:ind w:left="466" w:hanging="361"/>
      </w:pPr>
      <w:rPr>
        <w:rFonts w:ascii="Symbol" w:eastAsia="Symbol" w:hAnsi="Symbol" w:cs="Symbol" w:hint="default"/>
        <w:w w:val="99"/>
        <w:sz w:val="14"/>
        <w:szCs w:val="14"/>
        <w:lang w:val="en-US" w:eastAsia="en-US" w:bidi="en-US"/>
      </w:rPr>
    </w:lvl>
    <w:lvl w:ilvl="1" w:tplc="4E8CAE2C">
      <w:numFmt w:val="bullet"/>
      <w:lvlText w:val="•"/>
      <w:lvlJc w:val="left"/>
      <w:pPr>
        <w:ind w:left="559" w:hanging="361"/>
      </w:pPr>
      <w:rPr>
        <w:rFonts w:hint="default"/>
        <w:lang w:val="en-US" w:eastAsia="en-US" w:bidi="en-US"/>
      </w:rPr>
    </w:lvl>
    <w:lvl w:ilvl="2" w:tplc="44F857EA">
      <w:numFmt w:val="bullet"/>
      <w:lvlText w:val="•"/>
      <w:lvlJc w:val="left"/>
      <w:pPr>
        <w:ind w:left="658" w:hanging="361"/>
      </w:pPr>
      <w:rPr>
        <w:rFonts w:hint="default"/>
        <w:lang w:val="en-US" w:eastAsia="en-US" w:bidi="en-US"/>
      </w:rPr>
    </w:lvl>
    <w:lvl w:ilvl="3" w:tplc="2146D800">
      <w:numFmt w:val="bullet"/>
      <w:lvlText w:val="•"/>
      <w:lvlJc w:val="left"/>
      <w:pPr>
        <w:ind w:left="757" w:hanging="361"/>
      </w:pPr>
      <w:rPr>
        <w:rFonts w:hint="default"/>
        <w:lang w:val="en-US" w:eastAsia="en-US" w:bidi="en-US"/>
      </w:rPr>
    </w:lvl>
    <w:lvl w:ilvl="4" w:tplc="F54616FE">
      <w:numFmt w:val="bullet"/>
      <w:lvlText w:val="•"/>
      <w:lvlJc w:val="left"/>
      <w:pPr>
        <w:ind w:left="856" w:hanging="361"/>
      </w:pPr>
      <w:rPr>
        <w:rFonts w:hint="default"/>
        <w:lang w:val="en-US" w:eastAsia="en-US" w:bidi="en-US"/>
      </w:rPr>
    </w:lvl>
    <w:lvl w:ilvl="5" w:tplc="54303B34">
      <w:numFmt w:val="bullet"/>
      <w:lvlText w:val="•"/>
      <w:lvlJc w:val="left"/>
      <w:pPr>
        <w:ind w:left="956" w:hanging="361"/>
      </w:pPr>
      <w:rPr>
        <w:rFonts w:hint="default"/>
        <w:lang w:val="en-US" w:eastAsia="en-US" w:bidi="en-US"/>
      </w:rPr>
    </w:lvl>
    <w:lvl w:ilvl="6" w:tplc="8F2852CA">
      <w:numFmt w:val="bullet"/>
      <w:lvlText w:val="•"/>
      <w:lvlJc w:val="left"/>
      <w:pPr>
        <w:ind w:left="1055" w:hanging="361"/>
      </w:pPr>
      <w:rPr>
        <w:rFonts w:hint="default"/>
        <w:lang w:val="en-US" w:eastAsia="en-US" w:bidi="en-US"/>
      </w:rPr>
    </w:lvl>
    <w:lvl w:ilvl="7" w:tplc="63EA838C">
      <w:numFmt w:val="bullet"/>
      <w:lvlText w:val="•"/>
      <w:lvlJc w:val="left"/>
      <w:pPr>
        <w:ind w:left="1154" w:hanging="361"/>
      </w:pPr>
      <w:rPr>
        <w:rFonts w:hint="default"/>
        <w:lang w:val="en-US" w:eastAsia="en-US" w:bidi="en-US"/>
      </w:rPr>
    </w:lvl>
    <w:lvl w:ilvl="8" w:tplc="054221BE">
      <w:numFmt w:val="bullet"/>
      <w:lvlText w:val="•"/>
      <w:lvlJc w:val="left"/>
      <w:pPr>
        <w:ind w:left="1253" w:hanging="361"/>
      </w:pPr>
      <w:rPr>
        <w:rFonts w:hint="default"/>
        <w:lang w:val="en-US" w:eastAsia="en-US" w:bidi="en-US"/>
      </w:rPr>
    </w:lvl>
  </w:abstractNum>
  <w:abstractNum w:abstractNumId="8">
    <w:nsid w:val="455E7497"/>
    <w:multiLevelType w:val="hybridMultilevel"/>
    <w:tmpl w:val="39BA2356"/>
    <w:lvl w:ilvl="0" w:tplc="E0941E24">
      <w:numFmt w:val="bullet"/>
      <w:lvlText w:val=""/>
      <w:lvlJc w:val="left"/>
      <w:pPr>
        <w:ind w:left="1300" w:hanging="360"/>
      </w:pPr>
      <w:rPr>
        <w:rFonts w:ascii="Symbol" w:eastAsia="Symbol" w:hAnsi="Symbol" w:cs="Symbol" w:hint="default"/>
        <w:w w:val="100"/>
        <w:sz w:val="24"/>
        <w:szCs w:val="24"/>
        <w:lang w:val="en-US" w:eastAsia="en-US" w:bidi="en-US"/>
      </w:rPr>
    </w:lvl>
    <w:lvl w:ilvl="1" w:tplc="C186CAB8">
      <w:numFmt w:val="bullet"/>
      <w:lvlText w:val="•"/>
      <w:lvlJc w:val="left"/>
      <w:pPr>
        <w:ind w:left="2186" w:hanging="360"/>
      </w:pPr>
      <w:rPr>
        <w:rFonts w:hint="default"/>
        <w:lang w:val="en-US" w:eastAsia="en-US" w:bidi="en-US"/>
      </w:rPr>
    </w:lvl>
    <w:lvl w:ilvl="2" w:tplc="A4E68D94">
      <w:numFmt w:val="bullet"/>
      <w:lvlText w:val="•"/>
      <w:lvlJc w:val="left"/>
      <w:pPr>
        <w:ind w:left="3072" w:hanging="360"/>
      </w:pPr>
      <w:rPr>
        <w:rFonts w:hint="default"/>
        <w:lang w:val="en-US" w:eastAsia="en-US" w:bidi="en-US"/>
      </w:rPr>
    </w:lvl>
    <w:lvl w:ilvl="3" w:tplc="05D0780E">
      <w:numFmt w:val="bullet"/>
      <w:lvlText w:val="•"/>
      <w:lvlJc w:val="left"/>
      <w:pPr>
        <w:ind w:left="3958" w:hanging="360"/>
      </w:pPr>
      <w:rPr>
        <w:rFonts w:hint="default"/>
        <w:lang w:val="en-US" w:eastAsia="en-US" w:bidi="en-US"/>
      </w:rPr>
    </w:lvl>
    <w:lvl w:ilvl="4" w:tplc="213EAED4">
      <w:numFmt w:val="bullet"/>
      <w:lvlText w:val="•"/>
      <w:lvlJc w:val="left"/>
      <w:pPr>
        <w:ind w:left="4844" w:hanging="360"/>
      </w:pPr>
      <w:rPr>
        <w:rFonts w:hint="default"/>
        <w:lang w:val="en-US" w:eastAsia="en-US" w:bidi="en-US"/>
      </w:rPr>
    </w:lvl>
    <w:lvl w:ilvl="5" w:tplc="A23E941E">
      <w:numFmt w:val="bullet"/>
      <w:lvlText w:val="•"/>
      <w:lvlJc w:val="left"/>
      <w:pPr>
        <w:ind w:left="5730" w:hanging="360"/>
      </w:pPr>
      <w:rPr>
        <w:rFonts w:hint="default"/>
        <w:lang w:val="en-US" w:eastAsia="en-US" w:bidi="en-US"/>
      </w:rPr>
    </w:lvl>
    <w:lvl w:ilvl="6" w:tplc="EE8CFCCC">
      <w:numFmt w:val="bullet"/>
      <w:lvlText w:val="•"/>
      <w:lvlJc w:val="left"/>
      <w:pPr>
        <w:ind w:left="6616" w:hanging="360"/>
      </w:pPr>
      <w:rPr>
        <w:rFonts w:hint="default"/>
        <w:lang w:val="en-US" w:eastAsia="en-US" w:bidi="en-US"/>
      </w:rPr>
    </w:lvl>
    <w:lvl w:ilvl="7" w:tplc="D9066D2A">
      <w:numFmt w:val="bullet"/>
      <w:lvlText w:val="•"/>
      <w:lvlJc w:val="left"/>
      <w:pPr>
        <w:ind w:left="7502" w:hanging="360"/>
      </w:pPr>
      <w:rPr>
        <w:rFonts w:hint="default"/>
        <w:lang w:val="en-US" w:eastAsia="en-US" w:bidi="en-US"/>
      </w:rPr>
    </w:lvl>
    <w:lvl w:ilvl="8" w:tplc="5FDCD2EC">
      <w:numFmt w:val="bullet"/>
      <w:lvlText w:val="•"/>
      <w:lvlJc w:val="left"/>
      <w:pPr>
        <w:ind w:left="8388" w:hanging="360"/>
      </w:pPr>
      <w:rPr>
        <w:rFonts w:hint="default"/>
        <w:lang w:val="en-US" w:eastAsia="en-US" w:bidi="en-US"/>
      </w:rPr>
    </w:lvl>
  </w:abstractNum>
  <w:abstractNum w:abstractNumId="9">
    <w:nsid w:val="4AD93BCB"/>
    <w:multiLevelType w:val="hybridMultilevel"/>
    <w:tmpl w:val="425AD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F175DB0"/>
    <w:multiLevelType w:val="hybridMultilevel"/>
    <w:tmpl w:val="29AE4B0E"/>
    <w:lvl w:ilvl="0" w:tplc="0409000F">
      <w:start w:val="1"/>
      <w:numFmt w:val="decimal"/>
      <w:lvlText w:val="%1."/>
      <w:lvlJc w:val="left"/>
      <w:pPr>
        <w:ind w:left="1890" w:hanging="720"/>
      </w:pPr>
      <w:rPr>
        <w:rFonts w:hint="default"/>
      </w:rPr>
    </w:lvl>
    <w:lvl w:ilvl="1" w:tplc="B7C8F6A0">
      <w:start w:val="1"/>
      <w:numFmt w:val="lowerLetter"/>
      <w:lvlText w:val="%2."/>
      <w:lvlJc w:val="left"/>
      <w:pPr>
        <w:ind w:left="2340" w:hanging="360"/>
      </w:pPr>
      <w:rPr>
        <w:b w:val="0"/>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58E47170"/>
    <w:multiLevelType w:val="hybridMultilevel"/>
    <w:tmpl w:val="2FC616BC"/>
    <w:lvl w:ilvl="0" w:tplc="8AFC78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28AA7CE0">
      <w:numFmt w:val="bullet"/>
      <w:lvlText w:val="•"/>
      <w:lvlJc w:val="left"/>
      <w:pPr>
        <w:ind w:left="577" w:hanging="361"/>
      </w:pPr>
      <w:rPr>
        <w:rFonts w:hint="default"/>
        <w:lang w:val="en-US" w:eastAsia="en-US" w:bidi="en-US"/>
      </w:rPr>
    </w:lvl>
    <w:lvl w:ilvl="2" w:tplc="F9444114">
      <w:numFmt w:val="bullet"/>
      <w:lvlText w:val="•"/>
      <w:lvlJc w:val="left"/>
      <w:pPr>
        <w:ind w:left="694" w:hanging="361"/>
      </w:pPr>
      <w:rPr>
        <w:rFonts w:hint="default"/>
        <w:lang w:val="en-US" w:eastAsia="en-US" w:bidi="en-US"/>
      </w:rPr>
    </w:lvl>
    <w:lvl w:ilvl="3" w:tplc="EAEE6786">
      <w:numFmt w:val="bullet"/>
      <w:lvlText w:val="•"/>
      <w:lvlJc w:val="left"/>
      <w:pPr>
        <w:ind w:left="811" w:hanging="361"/>
      </w:pPr>
      <w:rPr>
        <w:rFonts w:hint="default"/>
        <w:lang w:val="en-US" w:eastAsia="en-US" w:bidi="en-US"/>
      </w:rPr>
    </w:lvl>
    <w:lvl w:ilvl="4" w:tplc="1CC63110">
      <w:numFmt w:val="bullet"/>
      <w:lvlText w:val="•"/>
      <w:lvlJc w:val="left"/>
      <w:pPr>
        <w:ind w:left="928" w:hanging="361"/>
      </w:pPr>
      <w:rPr>
        <w:rFonts w:hint="default"/>
        <w:lang w:val="en-US" w:eastAsia="en-US" w:bidi="en-US"/>
      </w:rPr>
    </w:lvl>
    <w:lvl w:ilvl="5" w:tplc="B7D0310C">
      <w:numFmt w:val="bullet"/>
      <w:lvlText w:val="•"/>
      <w:lvlJc w:val="left"/>
      <w:pPr>
        <w:ind w:left="1046" w:hanging="361"/>
      </w:pPr>
      <w:rPr>
        <w:rFonts w:hint="default"/>
        <w:lang w:val="en-US" w:eastAsia="en-US" w:bidi="en-US"/>
      </w:rPr>
    </w:lvl>
    <w:lvl w:ilvl="6" w:tplc="00669EBA">
      <w:numFmt w:val="bullet"/>
      <w:lvlText w:val="•"/>
      <w:lvlJc w:val="left"/>
      <w:pPr>
        <w:ind w:left="1163" w:hanging="361"/>
      </w:pPr>
      <w:rPr>
        <w:rFonts w:hint="default"/>
        <w:lang w:val="en-US" w:eastAsia="en-US" w:bidi="en-US"/>
      </w:rPr>
    </w:lvl>
    <w:lvl w:ilvl="7" w:tplc="B69401A6">
      <w:numFmt w:val="bullet"/>
      <w:lvlText w:val="•"/>
      <w:lvlJc w:val="left"/>
      <w:pPr>
        <w:ind w:left="1280" w:hanging="361"/>
      </w:pPr>
      <w:rPr>
        <w:rFonts w:hint="default"/>
        <w:lang w:val="en-US" w:eastAsia="en-US" w:bidi="en-US"/>
      </w:rPr>
    </w:lvl>
    <w:lvl w:ilvl="8" w:tplc="767612BA">
      <w:numFmt w:val="bullet"/>
      <w:lvlText w:val="•"/>
      <w:lvlJc w:val="left"/>
      <w:pPr>
        <w:ind w:left="1397" w:hanging="361"/>
      </w:pPr>
      <w:rPr>
        <w:rFonts w:hint="default"/>
        <w:lang w:val="en-US" w:eastAsia="en-US" w:bidi="en-US"/>
      </w:rPr>
    </w:lvl>
  </w:abstractNum>
  <w:abstractNum w:abstractNumId="12">
    <w:nsid w:val="683D28FF"/>
    <w:multiLevelType w:val="hybridMultilevel"/>
    <w:tmpl w:val="09CAFCBA"/>
    <w:lvl w:ilvl="0" w:tplc="334EC87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914A6FE">
      <w:numFmt w:val="bullet"/>
      <w:lvlText w:val="•"/>
      <w:lvlJc w:val="left"/>
      <w:pPr>
        <w:ind w:left="577" w:hanging="361"/>
      </w:pPr>
      <w:rPr>
        <w:rFonts w:hint="default"/>
        <w:lang w:val="en-US" w:eastAsia="en-US" w:bidi="en-US"/>
      </w:rPr>
    </w:lvl>
    <w:lvl w:ilvl="2" w:tplc="E05000F0">
      <w:numFmt w:val="bullet"/>
      <w:lvlText w:val="•"/>
      <w:lvlJc w:val="left"/>
      <w:pPr>
        <w:ind w:left="694" w:hanging="361"/>
      </w:pPr>
      <w:rPr>
        <w:rFonts w:hint="default"/>
        <w:lang w:val="en-US" w:eastAsia="en-US" w:bidi="en-US"/>
      </w:rPr>
    </w:lvl>
    <w:lvl w:ilvl="3" w:tplc="47AC18DC">
      <w:numFmt w:val="bullet"/>
      <w:lvlText w:val="•"/>
      <w:lvlJc w:val="left"/>
      <w:pPr>
        <w:ind w:left="811" w:hanging="361"/>
      </w:pPr>
      <w:rPr>
        <w:rFonts w:hint="default"/>
        <w:lang w:val="en-US" w:eastAsia="en-US" w:bidi="en-US"/>
      </w:rPr>
    </w:lvl>
    <w:lvl w:ilvl="4" w:tplc="13EED880">
      <w:numFmt w:val="bullet"/>
      <w:lvlText w:val="•"/>
      <w:lvlJc w:val="left"/>
      <w:pPr>
        <w:ind w:left="928" w:hanging="361"/>
      </w:pPr>
      <w:rPr>
        <w:rFonts w:hint="default"/>
        <w:lang w:val="en-US" w:eastAsia="en-US" w:bidi="en-US"/>
      </w:rPr>
    </w:lvl>
    <w:lvl w:ilvl="5" w:tplc="1D7EAB0E">
      <w:numFmt w:val="bullet"/>
      <w:lvlText w:val="•"/>
      <w:lvlJc w:val="left"/>
      <w:pPr>
        <w:ind w:left="1046" w:hanging="361"/>
      </w:pPr>
      <w:rPr>
        <w:rFonts w:hint="default"/>
        <w:lang w:val="en-US" w:eastAsia="en-US" w:bidi="en-US"/>
      </w:rPr>
    </w:lvl>
    <w:lvl w:ilvl="6" w:tplc="C10201DC">
      <w:numFmt w:val="bullet"/>
      <w:lvlText w:val="•"/>
      <w:lvlJc w:val="left"/>
      <w:pPr>
        <w:ind w:left="1163" w:hanging="361"/>
      </w:pPr>
      <w:rPr>
        <w:rFonts w:hint="default"/>
        <w:lang w:val="en-US" w:eastAsia="en-US" w:bidi="en-US"/>
      </w:rPr>
    </w:lvl>
    <w:lvl w:ilvl="7" w:tplc="9EAEDFBE">
      <w:numFmt w:val="bullet"/>
      <w:lvlText w:val="•"/>
      <w:lvlJc w:val="left"/>
      <w:pPr>
        <w:ind w:left="1280" w:hanging="361"/>
      </w:pPr>
      <w:rPr>
        <w:rFonts w:hint="default"/>
        <w:lang w:val="en-US" w:eastAsia="en-US" w:bidi="en-US"/>
      </w:rPr>
    </w:lvl>
    <w:lvl w:ilvl="8" w:tplc="3BC20D3C">
      <w:numFmt w:val="bullet"/>
      <w:lvlText w:val="•"/>
      <w:lvlJc w:val="left"/>
      <w:pPr>
        <w:ind w:left="1397" w:hanging="361"/>
      </w:pPr>
      <w:rPr>
        <w:rFonts w:hint="default"/>
        <w:lang w:val="en-US" w:eastAsia="en-US" w:bidi="en-US"/>
      </w:rPr>
    </w:lvl>
  </w:abstractNum>
  <w:abstractNum w:abstractNumId="13">
    <w:nsid w:val="7462363D"/>
    <w:multiLevelType w:val="hybridMultilevel"/>
    <w:tmpl w:val="EDBE277E"/>
    <w:lvl w:ilvl="0" w:tplc="883E31BE">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DC24B6C">
      <w:numFmt w:val="bullet"/>
      <w:lvlText w:val="•"/>
      <w:lvlJc w:val="left"/>
      <w:pPr>
        <w:ind w:left="577" w:hanging="361"/>
      </w:pPr>
      <w:rPr>
        <w:rFonts w:hint="default"/>
        <w:lang w:val="en-US" w:eastAsia="en-US" w:bidi="en-US"/>
      </w:rPr>
    </w:lvl>
    <w:lvl w:ilvl="2" w:tplc="049E9AAE">
      <w:numFmt w:val="bullet"/>
      <w:lvlText w:val="•"/>
      <w:lvlJc w:val="left"/>
      <w:pPr>
        <w:ind w:left="694" w:hanging="361"/>
      </w:pPr>
      <w:rPr>
        <w:rFonts w:hint="default"/>
        <w:lang w:val="en-US" w:eastAsia="en-US" w:bidi="en-US"/>
      </w:rPr>
    </w:lvl>
    <w:lvl w:ilvl="3" w:tplc="A96AEB1A">
      <w:numFmt w:val="bullet"/>
      <w:lvlText w:val="•"/>
      <w:lvlJc w:val="left"/>
      <w:pPr>
        <w:ind w:left="811" w:hanging="361"/>
      </w:pPr>
      <w:rPr>
        <w:rFonts w:hint="default"/>
        <w:lang w:val="en-US" w:eastAsia="en-US" w:bidi="en-US"/>
      </w:rPr>
    </w:lvl>
    <w:lvl w:ilvl="4" w:tplc="CA247018">
      <w:numFmt w:val="bullet"/>
      <w:lvlText w:val="•"/>
      <w:lvlJc w:val="left"/>
      <w:pPr>
        <w:ind w:left="928" w:hanging="361"/>
      </w:pPr>
      <w:rPr>
        <w:rFonts w:hint="default"/>
        <w:lang w:val="en-US" w:eastAsia="en-US" w:bidi="en-US"/>
      </w:rPr>
    </w:lvl>
    <w:lvl w:ilvl="5" w:tplc="B58642CC">
      <w:numFmt w:val="bullet"/>
      <w:lvlText w:val="•"/>
      <w:lvlJc w:val="left"/>
      <w:pPr>
        <w:ind w:left="1046" w:hanging="361"/>
      </w:pPr>
      <w:rPr>
        <w:rFonts w:hint="default"/>
        <w:lang w:val="en-US" w:eastAsia="en-US" w:bidi="en-US"/>
      </w:rPr>
    </w:lvl>
    <w:lvl w:ilvl="6" w:tplc="EEC6E9E2">
      <w:numFmt w:val="bullet"/>
      <w:lvlText w:val="•"/>
      <w:lvlJc w:val="left"/>
      <w:pPr>
        <w:ind w:left="1163" w:hanging="361"/>
      </w:pPr>
      <w:rPr>
        <w:rFonts w:hint="default"/>
        <w:lang w:val="en-US" w:eastAsia="en-US" w:bidi="en-US"/>
      </w:rPr>
    </w:lvl>
    <w:lvl w:ilvl="7" w:tplc="363620FE">
      <w:numFmt w:val="bullet"/>
      <w:lvlText w:val="•"/>
      <w:lvlJc w:val="left"/>
      <w:pPr>
        <w:ind w:left="1280" w:hanging="361"/>
      </w:pPr>
      <w:rPr>
        <w:rFonts w:hint="default"/>
        <w:lang w:val="en-US" w:eastAsia="en-US" w:bidi="en-US"/>
      </w:rPr>
    </w:lvl>
    <w:lvl w:ilvl="8" w:tplc="20F6C554">
      <w:numFmt w:val="bullet"/>
      <w:lvlText w:val="•"/>
      <w:lvlJc w:val="left"/>
      <w:pPr>
        <w:ind w:left="1397" w:hanging="361"/>
      </w:pPr>
      <w:rPr>
        <w:rFonts w:hint="default"/>
        <w:lang w:val="en-US" w:eastAsia="en-US" w:bidi="en-US"/>
      </w:rPr>
    </w:lvl>
  </w:abstractNum>
  <w:abstractNum w:abstractNumId="14">
    <w:nsid w:val="747278E0"/>
    <w:multiLevelType w:val="hybridMultilevel"/>
    <w:tmpl w:val="016AA75E"/>
    <w:lvl w:ilvl="0" w:tplc="52166F04">
      <w:numFmt w:val="bullet"/>
      <w:lvlText w:val=""/>
      <w:lvlJc w:val="left"/>
      <w:pPr>
        <w:ind w:left="465" w:hanging="361"/>
      </w:pPr>
      <w:rPr>
        <w:rFonts w:ascii="Symbol" w:eastAsia="Symbol" w:hAnsi="Symbol" w:cs="Symbol" w:hint="default"/>
        <w:w w:val="99"/>
        <w:sz w:val="14"/>
        <w:szCs w:val="14"/>
        <w:lang w:val="en-US" w:eastAsia="en-US" w:bidi="en-US"/>
      </w:rPr>
    </w:lvl>
    <w:lvl w:ilvl="1" w:tplc="76E6D008">
      <w:numFmt w:val="bullet"/>
      <w:lvlText w:val="•"/>
      <w:lvlJc w:val="left"/>
      <w:pPr>
        <w:ind w:left="553" w:hanging="361"/>
      </w:pPr>
      <w:rPr>
        <w:rFonts w:hint="default"/>
        <w:lang w:val="en-US" w:eastAsia="en-US" w:bidi="en-US"/>
      </w:rPr>
    </w:lvl>
    <w:lvl w:ilvl="2" w:tplc="7DAA5980">
      <w:numFmt w:val="bullet"/>
      <w:lvlText w:val="•"/>
      <w:lvlJc w:val="left"/>
      <w:pPr>
        <w:ind w:left="647" w:hanging="361"/>
      </w:pPr>
      <w:rPr>
        <w:rFonts w:hint="default"/>
        <w:lang w:val="en-US" w:eastAsia="en-US" w:bidi="en-US"/>
      </w:rPr>
    </w:lvl>
    <w:lvl w:ilvl="3" w:tplc="06F2EA30">
      <w:numFmt w:val="bullet"/>
      <w:lvlText w:val="•"/>
      <w:lvlJc w:val="left"/>
      <w:pPr>
        <w:ind w:left="741" w:hanging="361"/>
      </w:pPr>
      <w:rPr>
        <w:rFonts w:hint="default"/>
        <w:lang w:val="en-US" w:eastAsia="en-US" w:bidi="en-US"/>
      </w:rPr>
    </w:lvl>
    <w:lvl w:ilvl="4" w:tplc="F15E261E">
      <w:numFmt w:val="bullet"/>
      <w:lvlText w:val="•"/>
      <w:lvlJc w:val="left"/>
      <w:pPr>
        <w:ind w:left="834" w:hanging="361"/>
      </w:pPr>
      <w:rPr>
        <w:rFonts w:hint="default"/>
        <w:lang w:val="en-US" w:eastAsia="en-US" w:bidi="en-US"/>
      </w:rPr>
    </w:lvl>
    <w:lvl w:ilvl="5" w:tplc="A7C6D748">
      <w:numFmt w:val="bullet"/>
      <w:lvlText w:val="•"/>
      <w:lvlJc w:val="left"/>
      <w:pPr>
        <w:ind w:left="928" w:hanging="361"/>
      </w:pPr>
      <w:rPr>
        <w:rFonts w:hint="default"/>
        <w:lang w:val="en-US" w:eastAsia="en-US" w:bidi="en-US"/>
      </w:rPr>
    </w:lvl>
    <w:lvl w:ilvl="6" w:tplc="89282BF8">
      <w:numFmt w:val="bullet"/>
      <w:lvlText w:val="•"/>
      <w:lvlJc w:val="left"/>
      <w:pPr>
        <w:ind w:left="1022" w:hanging="361"/>
      </w:pPr>
      <w:rPr>
        <w:rFonts w:hint="default"/>
        <w:lang w:val="en-US" w:eastAsia="en-US" w:bidi="en-US"/>
      </w:rPr>
    </w:lvl>
    <w:lvl w:ilvl="7" w:tplc="1E3E7FAE">
      <w:numFmt w:val="bullet"/>
      <w:lvlText w:val="•"/>
      <w:lvlJc w:val="left"/>
      <w:pPr>
        <w:ind w:left="1115" w:hanging="361"/>
      </w:pPr>
      <w:rPr>
        <w:rFonts w:hint="default"/>
        <w:lang w:val="en-US" w:eastAsia="en-US" w:bidi="en-US"/>
      </w:rPr>
    </w:lvl>
    <w:lvl w:ilvl="8" w:tplc="97F2AA7E">
      <w:numFmt w:val="bullet"/>
      <w:lvlText w:val="•"/>
      <w:lvlJc w:val="left"/>
      <w:pPr>
        <w:ind w:left="1209" w:hanging="361"/>
      </w:pPr>
      <w:rPr>
        <w:rFonts w:hint="default"/>
        <w:lang w:val="en-US" w:eastAsia="en-US" w:bidi="en-US"/>
      </w:rPr>
    </w:lvl>
  </w:abstractNum>
  <w:abstractNum w:abstractNumId="15">
    <w:nsid w:val="74D135EC"/>
    <w:multiLevelType w:val="hybridMultilevel"/>
    <w:tmpl w:val="DBA4A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8EA6A6A"/>
    <w:multiLevelType w:val="hybridMultilevel"/>
    <w:tmpl w:val="5934A5AA"/>
    <w:lvl w:ilvl="0" w:tplc="E37CB832">
      <w:start w:val="1"/>
      <w:numFmt w:val="decimal"/>
      <w:lvlText w:val="(%1)"/>
      <w:lvlJc w:val="left"/>
      <w:pPr>
        <w:ind w:left="1621" w:hanging="322"/>
      </w:pPr>
      <w:rPr>
        <w:rFonts w:ascii="Calibri" w:eastAsia="Calibri" w:hAnsi="Calibri" w:cs="Calibri" w:hint="default"/>
        <w:spacing w:val="-3"/>
        <w:w w:val="100"/>
        <w:sz w:val="24"/>
        <w:szCs w:val="24"/>
        <w:lang w:val="en-US" w:eastAsia="en-US" w:bidi="en-US"/>
      </w:rPr>
    </w:lvl>
    <w:lvl w:ilvl="1" w:tplc="D2C8CE16">
      <w:start w:val="1"/>
      <w:numFmt w:val="lowerLetter"/>
      <w:lvlText w:val="(%2)"/>
      <w:lvlJc w:val="left"/>
      <w:pPr>
        <w:ind w:left="2334" w:hanging="315"/>
      </w:pPr>
      <w:rPr>
        <w:rFonts w:ascii="Calibri" w:eastAsia="Calibri" w:hAnsi="Calibri" w:cs="Calibri" w:hint="default"/>
        <w:spacing w:val="-3"/>
        <w:w w:val="100"/>
        <w:sz w:val="24"/>
        <w:szCs w:val="24"/>
        <w:lang w:val="en-US" w:eastAsia="en-US" w:bidi="en-US"/>
      </w:rPr>
    </w:lvl>
    <w:lvl w:ilvl="2" w:tplc="9A08C8FC">
      <w:numFmt w:val="bullet"/>
      <w:lvlText w:val="•"/>
      <w:lvlJc w:val="left"/>
      <w:pPr>
        <w:ind w:left="3208" w:hanging="315"/>
      </w:pPr>
      <w:rPr>
        <w:rFonts w:hint="default"/>
        <w:lang w:val="en-US" w:eastAsia="en-US" w:bidi="en-US"/>
      </w:rPr>
    </w:lvl>
    <w:lvl w:ilvl="3" w:tplc="13D40EDC">
      <w:numFmt w:val="bullet"/>
      <w:lvlText w:val="•"/>
      <w:lvlJc w:val="left"/>
      <w:pPr>
        <w:ind w:left="4077" w:hanging="315"/>
      </w:pPr>
      <w:rPr>
        <w:rFonts w:hint="default"/>
        <w:lang w:val="en-US" w:eastAsia="en-US" w:bidi="en-US"/>
      </w:rPr>
    </w:lvl>
    <w:lvl w:ilvl="4" w:tplc="788E5198">
      <w:numFmt w:val="bullet"/>
      <w:lvlText w:val="•"/>
      <w:lvlJc w:val="left"/>
      <w:pPr>
        <w:ind w:left="4946" w:hanging="315"/>
      </w:pPr>
      <w:rPr>
        <w:rFonts w:hint="default"/>
        <w:lang w:val="en-US" w:eastAsia="en-US" w:bidi="en-US"/>
      </w:rPr>
    </w:lvl>
    <w:lvl w:ilvl="5" w:tplc="B11AB274">
      <w:numFmt w:val="bullet"/>
      <w:lvlText w:val="•"/>
      <w:lvlJc w:val="left"/>
      <w:pPr>
        <w:ind w:left="5815" w:hanging="315"/>
      </w:pPr>
      <w:rPr>
        <w:rFonts w:hint="default"/>
        <w:lang w:val="en-US" w:eastAsia="en-US" w:bidi="en-US"/>
      </w:rPr>
    </w:lvl>
    <w:lvl w:ilvl="6" w:tplc="B0261918">
      <w:numFmt w:val="bullet"/>
      <w:lvlText w:val="•"/>
      <w:lvlJc w:val="left"/>
      <w:pPr>
        <w:ind w:left="6684" w:hanging="315"/>
      </w:pPr>
      <w:rPr>
        <w:rFonts w:hint="default"/>
        <w:lang w:val="en-US" w:eastAsia="en-US" w:bidi="en-US"/>
      </w:rPr>
    </w:lvl>
    <w:lvl w:ilvl="7" w:tplc="116A5958">
      <w:numFmt w:val="bullet"/>
      <w:lvlText w:val="•"/>
      <w:lvlJc w:val="left"/>
      <w:pPr>
        <w:ind w:left="7553" w:hanging="315"/>
      </w:pPr>
      <w:rPr>
        <w:rFonts w:hint="default"/>
        <w:lang w:val="en-US" w:eastAsia="en-US" w:bidi="en-US"/>
      </w:rPr>
    </w:lvl>
    <w:lvl w:ilvl="8" w:tplc="F5625E84">
      <w:numFmt w:val="bullet"/>
      <w:lvlText w:val="•"/>
      <w:lvlJc w:val="left"/>
      <w:pPr>
        <w:ind w:left="8422" w:hanging="315"/>
      </w:pPr>
      <w:rPr>
        <w:rFonts w:hint="default"/>
        <w:lang w:val="en-US" w:eastAsia="en-US" w:bidi="en-US"/>
      </w:rPr>
    </w:lvl>
  </w:abstractNum>
  <w:abstractNum w:abstractNumId="17">
    <w:nsid w:val="797F45E4"/>
    <w:multiLevelType w:val="hybridMultilevel"/>
    <w:tmpl w:val="00344CC8"/>
    <w:lvl w:ilvl="0" w:tplc="15E40EC0">
      <w:start w:val="1"/>
      <w:numFmt w:val="decimal"/>
      <w:lvlText w:val="%1."/>
      <w:lvlJc w:val="left"/>
      <w:pPr>
        <w:ind w:left="1300" w:hanging="360"/>
      </w:pPr>
      <w:rPr>
        <w:rFonts w:ascii="Calibri" w:eastAsia="Calibri" w:hAnsi="Calibri" w:cs="Calibri" w:hint="default"/>
        <w:spacing w:val="-4"/>
        <w:w w:val="100"/>
        <w:sz w:val="24"/>
        <w:szCs w:val="24"/>
        <w:lang w:val="en-US" w:eastAsia="en-US" w:bidi="en-US"/>
      </w:rPr>
    </w:lvl>
    <w:lvl w:ilvl="1" w:tplc="4A2272B0">
      <w:numFmt w:val="bullet"/>
      <w:lvlText w:val="•"/>
      <w:lvlJc w:val="left"/>
      <w:pPr>
        <w:ind w:left="2186" w:hanging="360"/>
      </w:pPr>
      <w:rPr>
        <w:rFonts w:hint="default"/>
        <w:lang w:val="en-US" w:eastAsia="en-US" w:bidi="en-US"/>
      </w:rPr>
    </w:lvl>
    <w:lvl w:ilvl="2" w:tplc="50CAACB4">
      <w:numFmt w:val="bullet"/>
      <w:lvlText w:val="•"/>
      <w:lvlJc w:val="left"/>
      <w:pPr>
        <w:ind w:left="3072" w:hanging="360"/>
      </w:pPr>
      <w:rPr>
        <w:rFonts w:hint="default"/>
        <w:lang w:val="en-US" w:eastAsia="en-US" w:bidi="en-US"/>
      </w:rPr>
    </w:lvl>
    <w:lvl w:ilvl="3" w:tplc="E354CDAC">
      <w:numFmt w:val="bullet"/>
      <w:lvlText w:val="•"/>
      <w:lvlJc w:val="left"/>
      <w:pPr>
        <w:ind w:left="3958" w:hanging="360"/>
      </w:pPr>
      <w:rPr>
        <w:rFonts w:hint="default"/>
        <w:lang w:val="en-US" w:eastAsia="en-US" w:bidi="en-US"/>
      </w:rPr>
    </w:lvl>
    <w:lvl w:ilvl="4" w:tplc="DABE4C7E">
      <w:numFmt w:val="bullet"/>
      <w:lvlText w:val="•"/>
      <w:lvlJc w:val="left"/>
      <w:pPr>
        <w:ind w:left="4844" w:hanging="360"/>
      </w:pPr>
      <w:rPr>
        <w:rFonts w:hint="default"/>
        <w:lang w:val="en-US" w:eastAsia="en-US" w:bidi="en-US"/>
      </w:rPr>
    </w:lvl>
    <w:lvl w:ilvl="5" w:tplc="016000D2">
      <w:numFmt w:val="bullet"/>
      <w:lvlText w:val="•"/>
      <w:lvlJc w:val="left"/>
      <w:pPr>
        <w:ind w:left="5730" w:hanging="360"/>
      </w:pPr>
      <w:rPr>
        <w:rFonts w:hint="default"/>
        <w:lang w:val="en-US" w:eastAsia="en-US" w:bidi="en-US"/>
      </w:rPr>
    </w:lvl>
    <w:lvl w:ilvl="6" w:tplc="FABEE7D2">
      <w:numFmt w:val="bullet"/>
      <w:lvlText w:val="•"/>
      <w:lvlJc w:val="left"/>
      <w:pPr>
        <w:ind w:left="6616" w:hanging="360"/>
      </w:pPr>
      <w:rPr>
        <w:rFonts w:hint="default"/>
        <w:lang w:val="en-US" w:eastAsia="en-US" w:bidi="en-US"/>
      </w:rPr>
    </w:lvl>
    <w:lvl w:ilvl="7" w:tplc="08449D00">
      <w:numFmt w:val="bullet"/>
      <w:lvlText w:val="•"/>
      <w:lvlJc w:val="left"/>
      <w:pPr>
        <w:ind w:left="7502" w:hanging="360"/>
      </w:pPr>
      <w:rPr>
        <w:rFonts w:hint="default"/>
        <w:lang w:val="en-US" w:eastAsia="en-US" w:bidi="en-US"/>
      </w:rPr>
    </w:lvl>
    <w:lvl w:ilvl="8" w:tplc="B45CAF4E">
      <w:numFmt w:val="bullet"/>
      <w:lvlText w:val="•"/>
      <w:lvlJc w:val="left"/>
      <w:pPr>
        <w:ind w:left="8388" w:hanging="360"/>
      </w:pPr>
      <w:rPr>
        <w:rFonts w:hint="default"/>
        <w:lang w:val="en-US" w:eastAsia="en-US" w:bidi="en-US"/>
      </w:rPr>
    </w:lvl>
  </w:abstractNum>
  <w:num w:numId="1">
    <w:abstractNumId w:val="10"/>
  </w:num>
  <w:num w:numId="2">
    <w:abstractNumId w:val="3"/>
  </w:num>
  <w:num w:numId="3">
    <w:abstractNumId w:val="13"/>
  </w:num>
  <w:num w:numId="4">
    <w:abstractNumId w:val="11"/>
  </w:num>
  <w:num w:numId="5">
    <w:abstractNumId w:val="14"/>
  </w:num>
  <w:num w:numId="6">
    <w:abstractNumId w:val="7"/>
  </w:num>
  <w:num w:numId="7">
    <w:abstractNumId w:val="12"/>
  </w:num>
  <w:num w:numId="8">
    <w:abstractNumId w:val="1"/>
  </w:num>
  <w:num w:numId="9">
    <w:abstractNumId w:val="6"/>
  </w:num>
  <w:num w:numId="10">
    <w:abstractNumId w:val="5"/>
  </w:num>
  <w:num w:numId="11">
    <w:abstractNumId w:val="17"/>
  </w:num>
  <w:num w:numId="12">
    <w:abstractNumId w:val="16"/>
  </w:num>
  <w:num w:numId="13">
    <w:abstractNumId w:val="8"/>
  </w:num>
  <w:num w:numId="14">
    <w:abstractNumId w:val="4"/>
  </w:num>
  <w:num w:numId="15">
    <w:abstractNumId w:val="9"/>
  </w:num>
  <w:num w:numId="16">
    <w:abstractNumId w:val="0"/>
  </w:num>
  <w:num w:numId="17">
    <w:abstractNumId w:val="15"/>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20"/>
    <w:rsid w:val="000039AB"/>
    <w:rsid w:val="00024C2D"/>
    <w:rsid w:val="00042048"/>
    <w:rsid w:val="000537DA"/>
    <w:rsid w:val="000620F6"/>
    <w:rsid w:val="000A7338"/>
    <w:rsid w:val="000B377B"/>
    <w:rsid w:val="000D6D2B"/>
    <w:rsid w:val="000F315B"/>
    <w:rsid w:val="000F62A5"/>
    <w:rsid w:val="0015268B"/>
    <w:rsid w:val="00177C77"/>
    <w:rsid w:val="00181933"/>
    <w:rsid w:val="001D4046"/>
    <w:rsid w:val="001D4FC3"/>
    <w:rsid w:val="001E4B72"/>
    <w:rsid w:val="00215A5D"/>
    <w:rsid w:val="00275781"/>
    <w:rsid w:val="00276957"/>
    <w:rsid w:val="00276DCC"/>
    <w:rsid w:val="002A7A4F"/>
    <w:rsid w:val="002F56E3"/>
    <w:rsid w:val="003171EE"/>
    <w:rsid w:val="0032334C"/>
    <w:rsid w:val="00385812"/>
    <w:rsid w:val="00392D0B"/>
    <w:rsid w:val="003A7AFC"/>
    <w:rsid w:val="003C2654"/>
    <w:rsid w:val="003C60EF"/>
    <w:rsid w:val="00415196"/>
    <w:rsid w:val="00424417"/>
    <w:rsid w:val="00433279"/>
    <w:rsid w:val="004355FC"/>
    <w:rsid w:val="00451D65"/>
    <w:rsid w:val="00461F1B"/>
    <w:rsid w:val="00470EE5"/>
    <w:rsid w:val="004813AC"/>
    <w:rsid w:val="004B37A0"/>
    <w:rsid w:val="004B59F6"/>
    <w:rsid w:val="004B7899"/>
    <w:rsid w:val="004D6B39"/>
    <w:rsid w:val="004F13A3"/>
    <w:rsid w:val="005448AA"/>
    <w:rsid w:val="00551DDD"/>
    <w:rsid w:val="00553529"/>
    <w:rsid w:val="005840C1"/>
    <w:rsid w:val="005A2347"/>
    <w:rsid w:val="005B31B0"/>
    <w:rsid w:val="005D17B3"/>
    <w:rsid w:val="005E7AB0"/>
    <w:rsid w:val="006040A7"/>
    <w:rsid w:val="00632299"/>
    <w:rsid w:val="006D06D9"/>
    <w:rsid w:val="006D77A6"/>
    <w:rsid w:val="006F7190"/>
    <w:rsid w:val="00702109"/>
    <w:rsid w:val="0072610D"/>
    <w:rsid w:val="00755413"/>
    <w:rsid w:val="00773F65"/>
    <w:rsid w:val="007A09CB"/>
    <w:rsid w:val="007B3F4B"/>
    <w:rsid w:val="007B7347"/>
    <w:rsid w:val="007B7FEB"/>
    <w:rsid w:val="007C70AA"/>
    <w:rsid w:val="007D10F3"/>
    <w:rsid w:val="007F6533"/>
    <w:rsid w:val="0081720C"/>
    <w:rsid w:val="0082397B"/>
    <w:rsid w:val="00835089"/>
    <w:rsid w:val="008D1220"/>
    <w:rsid w:val="0094366E"/>
    <w:rsid w:val="00967F48"/>
    <w:rsid w:val="00973A0B"/>
    <w:rsid w:val="009908FF"/>
    <w:rsid w:val="00995505"/>
    <w:rsid w:val="009B429C"/>
    <w:rsid w:val="009E17D3"/>
    <w:rsid w:val="00A57E44"/>
    <w:rsid w:val="00A64D8D"/>
    <w:rsid w:val="00A65101"/>
    <w:rsid w:val="00A670E9"/>
    <w:rsid w:val="00A83C34"/>
    <w:rsid w:val="00AF5CA1"/>
    <w:rsid w:val="00B03BEB"/>
    <w:rsid w:val="00B15350"/>
    <w:rsid w:val="00B16AFA"/>
    <w:rsid w:val="00B403BF"/>
    <w:rsid w:val="00B608D9"/>
    <w:rsid w:val="00B90F76"/>
    <w:rsid w:val="00BA4055"/>
    <w:rsid w:val="00BA7FB6"/>
    <w:rsid w:val="00BD4B25"/>
    <w:rsid w:val="00BE46CD"/>
    <w:rsid w:val="00BE7C14"/>
    <w:rsid w:val="00BF2D71"/>
    <w:rsid w:val="00C05E37"/>
    <w:rsid w:val="00C20BFE"/>
    <w:rsid w:val="00C336A9"/>
    <w:rsid w:val="00C46CA9"/>
    <w:rsid w:val="00C51BA9"/>
    <w:rsid w:val="00C9094A"/>
    <w:rsid w:val="00C97D70"/>
    <w:rsid w:val="00CA6740"/>
    <w:rsid w:val="00CC12EA"/>
    <w:rsid w:val="00CC1778"/>
    <w:rsid w:val="00CE575B"/>
    <w:rsid w:val="00CF3DE8"/>
    <w:rsid w:val="00CF52C1"/>
    <w:rsid w:val="00D0493F"/>
    <w:rsid w:val="00D5374A"/>
    <w:rsid w:val="00D56F91"/>
    <w:rsid w:val="00D61D69"/>
    <w:rsid w:val="00D8671C"/>
    <w:rsid w:val="00DA57C3"/>
    <w:rsid w:val="00DB6FC8"/>
    <w:rsid w:val="00DC3855"/>
    <w:rsid w:val="00DE05E7"/>
    <w:rsid w:val="00E01CAE"/>
    <w:rsid w:val="00E05D6F"/>
    <w:rsid w:val="00E274B8"/>
    <w:rsid w:val="00E34CD4"/>
    <w:rsid w:val="00E6701B"/>
    <w:rsid w:val="00E72707"/>
    <w:rsid w:val="00E8573C"/>
    <w:rsid w:val="00EC04BD"/>
    <w:rsid w:val="00F0586E"/>
    <w:rsid w:val="00F14948"/>
    <w:rsid w:val="00F2009D"/>
    <w:rsid w:val="00F2400A"/>
    <w:rsid w:val="00F37028"/>
    <w:rsid w:val="00F43932"/>
    <w:rsid w:val="00FB7D40"/>
    <w:rsid w:val="00FC2B5F"/>
    <w:rsid w:val="00FC6B42"/>
    <w:rsid w:val="00FD7567"/>
    <w:rsid w:val="00FF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paragraph" w:styleId="Heading1">
    <w:name w:val="heading 1"/>
    <w:basedOn w:val="Normal"/>
    <w:link w:val="Heading1Char"/>
    <w:uiPriority w:val="1"/>
    <w:qFormat/>
    <w:rsid w:val="000F62A5"/>
    <w:pPr>
      <w:widowControl w:val="0"/>
      <w:autoSpaceDE w:val="0"/>
      <w:autoSpaceDN w:val="0"/>
      <w:ind w:left="580"/>
      <w:outlineLvl w:val="0"/>
    </w:pPr>
    <w:rPr>
      <w:rFonts w:ascii="Calibri" w:eastAsia="Calibri" w:hAnsi="Calibri" w:cs="Calibri"/>
      <w:b/>
      <w:bCs/>
      <w:szCs w:val="24"/>
      <w:u w:val="single" w:color="000000"/>
      <w:lang w:bidi="en-US"/>
    </w:rPr>
  </w:style>
  <w:style w:type="paragraph" w:styleId="Heading2">
    <w:name w:val="heading 2"/>
    <w:basedOn w:val="Normal"/>
    <w:link w:val="Heading2Char"/>
    <w:uiPriority w:val="1"/>
    <w:qFormat/>
    <w:rsid w:val="000F62A5"/>
    <w:pPr>
      <w:widowControl w:val="0"/>
      <w:autoSpaceDE w:val="0"/>
      <w:autoSpaceDN w:val="0"/>
      <w:ind w:left="800" w:hanging="220"/>
      <w:outlineLvl w:val="1"/>
    </w:pPr>
    <w:rPr>
      <w:rFonts w:ascii="Calibri" w:eastAsia="Calibri" w:hAnsi="Calibri" w:cs="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uiPriority w:val="99"/>
    <w:rsid w:val="00FC6B42"/>
    <w:rPr>
      <w:rFonts w:ascii="Tahoma" w:hAnsi="Tahoma" w:cs="Tahoma"/>
      <w:sz w:val="16"/>
      <w:szCs w:val="16"/>
    </w:rPr>
  </w:style>
  <w:style w:type="character" w:customStyle="1" w:styleId="BalloonTextChar">
    <w:name w:val="Balloon Text Char"/>
    <w:link w:val="BalloonText"/>
    <w:uiPriority w:val="99"/>
    <w:rsid w:val="00FC6B42"/>
    <w:rPr>
      <w:rFonts w:ascii="Tahoma" w:hAnsi="Tahoma" w:cs="Tahoma"/>
      <w:sz w:val="16"/>
      <w:szCs w:val="16"/>
    </w:rPr>
  </w:style>
  <w:style w:type="paragraph" w:styleId="Header">
    <w:name w:val="header"/>
    <w:basedOn w:val="Normal"/>
    <w:link w:val="HeaderChar"/>
    <w:uiPriority w:val="99"/>
    <w:rsid w:val="00BD4B25"/>
    <w:pPr>
      <w:tabs>
        <w:tab w:val="center" w:pos="4680"/>
        <w:tab w:val="right" w:pos="9360"/>
      </w:tabs>
    </w:pPr>
  </w:style>
  <w:style w:type="character" w:customStyle="1" w:styleId="HeaderChar">
    <w:name w:val="Header Char"/>
    <w:basedOn w:val="DefaultParagraphFont"/>
    <w:link w:val="Header"/>
    <w:uiPriority w:val="99"/>
    <w:rsid w:val="00BD4B25"/>
    <w:rPr>
      <w:sz w:val="24"/>
    </w:rPr>
  </w:style>
  <w:style w:type="paragraph" w:styleId="Footer">
    <w:name w:val="footer"/>
    <w:basedOn w:val="Normal"/>
    <w:link w:val="FooterChar"/>
    <w:uiPriority w:val="99"/>
    <w:rsid w:val="00BD4B25"/>
    <w:pPr>
      <w:tabs>
        <w:tab w:val="center" w:pos="4680"/>
        <w:tab w:val="right" w:pos="9360"/>
      </w:tabs>
    </w:pPr>
  </w:style>
  <w:style w:type="character" w:customStyle="1" w:styleId="FooterChar">
    <w:name w:val="Footer Char"/>
    <w:basedOn w:val="DefaultParagraphFont"/>
    <w:link w:val="Footer"/>
    <w:uiPriority w:val="99"/>
    <w:rsid w:val="00BD4B25"/>
    <w:rPr>
      <w:sz w:val="24"/>
    </w:rPr>
  </w:style>
  <w:style w:type="paragraph" w:styleId="FootnoteText">
    <w:name w:val="footnote text"/>
    <w:basedOn w:val="Normal"/>
    <w:link w:val="FootnoteTextChar"/>
    <w:uiPriority w:val="99"/>
    <w:rsid w:val="00433279"/>
    <w:rPr>
      <w:sz w:val="20"/>
    </w:rPr>
  </w:style>
  <w:style w:type="character" w:customStyle="1" w:styleId="FootnoteTextChar">
    <w:name w:val="Footnote Text Char"/>
    <w:basedOn w:val="DefaultParagraphFont"/>
    <w:link w:val="FootnoteText"/>
    <w:uiPriority w:val="99"/>
    <w:rsid w:val="00433279"/>
  </w:style>
  <w:style w:type="character" w:styleId="FootnoteReference">
    <w:name w:val="footnote reference"/>
    <w:basedOn w:val="DefaultParagraphFont"/>
    <w:uiPriority w:val="99"/>
    <w:rsid w:val="00433279"/>
    <w:rPr>
      <w:vertAlign w:val="superscript"/>
    </w:rPr>
  </w:style>
  <w:style w:type="paragraph" w:styleId="NoSpacing">
    <w:name w:val="No Spacing"/>
    <w:basedOn w:val="Normal"/>
    <w:uiPriority w:val="1"/>
    <w:qFormat/>
    <w:rsid w:val="005B31B0"/>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1"/>
    <w:rsid w:val="000F62A5"/>
    <w:rPr>
      <w:rFonts w:ascii="Calibri" w:eastAsia="Calibri" w:hAnsi="Calibri" w:cs="Calibri"/>
      <w:b/>
      <w:bCs/>
      <w:sz w:val="24"/>
      <w:szCs w:val="24"/>
      <w:u w:val="single" w:color="000000"/>
      <w:lang w:bidi="en-US"/>
    </w:rPr>
  </w:style>
  <w:style w:type="character" w:customStyle="1" w:styleId="Heading2Char">
    <w:name w:val="Heading 2 Char"/>
    <w:basedOn w:val="DefaultParagraphFont"/>
    <w:link w:val="Heading2"/>
    <w:uiPriority w:val="1"/>
    <w:rsid w:val="000F62A5"/>
    <w:rPr>
      <w:rFonts w:ascii="Calibri" w:eastAsia="Calibri" w:hAnsi="Calibri" w:cs="Calibri"/>
      <w:b/>
      <w:bCs/>
      <w:sz w:val="22"/>
      <w:szCs w:val="22"/>
      <w:lang w:bidi="en-US"/>
    </w:rPr>
  </w:style>
  <w:style w:type="numbering" w:customStyle="1" w:styleId="NoList1">
    <w:name w:val="No List1"/>
    <w:next w:val="NoList"/>
    <w:uiPriority w:val="99"/>
    <w:semiHidden/>
    <w:unhideWhenUsed/>
    <w:rsid w:val="000F62A5"/>
  </w:style>
  <w:style w:type="paragraph" w:styleId="BodyText">
    <w:name w:val="Body Text"/>
    <w:basedOn w:val="Normal"/>
    <w:link w:val="BodyTextChar"/>
    <w:uiPriority w:val="1"/>
    <w:qFormat/>
    <w:rsid w:val="000F62A5"/>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0F62A5"/>
    <w:rPr>
      <w:rFonts w:ascii="Calibri" w:eastAsia="Calibri" w:hAnsi="Calibri" w:cs="Calibri"/>
      <w:sz w:val="22"/>
      <w:szCs w:val="22"/>
      <w:lang w:bidi="en-US"/>
    </w:rPr>
  </w:style>
  <w:style w:type="paragraph" w:styleId="ListParagraph">
    <w:name w:val="List Paragraph"/>
    <w:basedOn w:val="Normal"/>
    <w:uiPriority w:val="34"/>
    <w:qFormat/>
    <w:rsid w:val="000F62A5"/>
    <w:pPr>
      <w:widowControl w:val="0"/>
      <w:autoSpaceDE w:val="0"/>
      <w:autoSpaceDN w:val="0"/>
      <w:ind w:left="1300" w:hanging="360"/>
    </w:pPr>
    <w:rPr>
      <w:rFonts w:ascii="Calibri" w:eastAsia="Calibri" w:hAnsi="Calibri" w:cs="Calibri"/>
      <w:sz w:val="22"/>
      <w:szCs w:val="22"/>
      <w:lang w:bidi="en-US"/>
    </w:rPr>
  </w:style>
  <w:style w:type="paragraph" w:customStyle="1" w:styleId="TableParagraph">
    <w:name w:val="Table Paragraph"/>
    <w:basedOn w:val="Normal"/>
    <w:uiPriority w:val="1"/>
    <w:qFormat/>
    <w:rsid w:val="000F62A5"/>
    <w:pPr>
      <w:widowControl w:val="0"/>
      <w:autoSpaceDE w:val="0"/>
      <w:autoSpaceDN w:val="0"/>
    </w:pPr>
    <w:rPr>
      <w:rFonts w:ascii="Arial" w:eastAsia="Arial" w:hAnsi="Arial" w:cs="Arial"/>
      <w:sz w:val="22"/>
      <w:szCs w:val="22"/>
      <w:lang w:bidi="en-US"/>
    </w:rPr>
  </w:style>
  <w:style w:type="character" w:styleId="CommentReference">
    <w:name w:val="annotation reference"/>
    <w:basedOn w:val="DefaultParagraphFont"/>
    <w:uiPriority w:val="99"/>
    <w:semiHidden/>
    <w:unhideWhenUsed/>
    <w:rsid w:val="000F62A5"/>
    <w:rPr>
      <w:sz w:val="16"/>
      <w:szCs w:val="16"/>
    </w:rPr>
  </w:style>
  <w:style w:type="paragraph" w:styleId="CommentText">
    <w:name w:val="annotation text"/>
    <w:basedOn w:val="Normal"/>
    <w:link w:val="CommentTextChar"/>
    <w:uiPriority w:val="99"/>
    <w:semiHidden/>
    <w:unhideWhenUsed/>
    <w:rsid w:val="000F62A5"/>
    <w:pPr>
      <w:widowControl w:val="0"/>
      <w:autoSpaceDE w:val="0"/>
      <w:autoSpaceDN w:val="0"/>
    </w:pPr>
    <w:rPr>
      <w:rFonts w:ascii="Calibri" w:eastAsia="Calibri" w:hAnsi="Calibri" w:cs="Calibri"/>
      <w:sz w:val="20"/>
      <w:lang w:bidi="en-US"/>
    </w:rPr>
  </w:style>
  <w:style w:type="character" w:customStyle="1" w:styleId="CommentTextChar">
    <w:name w:val="Comment Text Char"/>
    <w:basedOn w:val="DefaultParagraphFont"/>
    <w:link w:val="CommentText"/>
    <w:uiPriority w:val="99"/>
    <w:semiHidden/>
    <w:rsid w:val="000F62A5"/>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0F62A5"/>
    <w:rPr>
      <w:b/>
      <w:bCs/>
    </w:rPr>
  </w:style>
  <w:style w:type="character" w:customStyle="1" w:styleId="CommentSubjectChar">
    <w:name w:val="Comment Subject Char"/>
    <w:basedOn w:val="CommentTextChar"/>
    <w:link w:val="CommentSubject"/>
    <w:uiPriority w:val="99"/>
    <w:semiHidden/>
    <w:rsid w:val="000F62A5"/>
    <w:rPr>
      <w:rFonts w:ascii="Calibri" w:eastAsia="Calibri" w:hAnsi="Calibri" w:cs="Calibri"/>
      <w:b/>
      <w:bCs/>
      <w:lang w:bidi="en-US"/>
    </w:rPr>
  </w:style>
  <w:style w:type="paragraph" w:styleId="EndnoteText">
    <w:name w:val="endnote text"/>
    <w:basedOn w:val="Normal"/>
    <w:link w:val="EndnoteTextChar"/>
    <w:uiPriority w:val="99"/>
    <w:semiHidden/>
    <w:unhideWhenUsed/>
    <w:rsid w:val="000F62A5"/>
    <w:pPr>
      <w:widowControl w:val="0"/>
      <w:autoSpaceDE w:val="0"/>
      <w:autoSpaceDN w:val="0"/>
    </w:pPr>
    <w:rPr>
      <w:rFonts w:ascii="Calibri" w:eastAsia="Calibri" w:hAnsi="Calibri" w:cs="Calibri"/>
      <w:sz w:val="20"/>
      <w:lang w:bidi="en-US"/>
    </w:rPr>
  </w:style>
  <w:style w:type="character" w:customStyle="1" w:styleId="EndnoteTextChar">
    <w:name w:val="Endnote Text Char"/>
    <w:basedOn w:val="DefaultParagraphFont"/>
    <w:link w:val="EndnoteText"/>
    <w:uiPriority w:val="99"/>
    <w:semiHidden/>
    <w:rsid w:val="000F62A5"/>
    <w:rPr>
      <w:rFonts w:ascii="Calibri" w:eastAsia="Calibri" w:hAnsi="Calibri" w:cs="Calibri"/>
      <w:lang w:bidi="en-US"/>
    </w:rPr>
  </w:style>
  <w:style w:type="character" w:styleId="EndnoteReference">
    <w:name w:val="endnote reference"/>
    <w:basedOn w:val="DefaultParagraphFont"/>
    <w:uiPriority w:val="99"/>
    <w:semiHidden/>
    <w:unhideWhenUsed/>
    <w:rsid w:val="000F62A5"/>
    <w:rPr>
      <w:vertAlign w:val="superscript"/>
    </w:rPr>
  </w:style>
  <w:style w:type="paragraph" w:styleId="PlainText">
    <w:name w:val="Plain Text"/>
    <w:basedOn w:val="Normal"/>
    <w:link w:val="PlainTextChar"/>
    <w:uiPriority w:val="99"/>
    <w:unhideWhenUsed/>
    <w:rsid w:val="000F62A5"/>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0F62A5"/>
    <w:rPr>
      <w:rFonts w:ascii="Calibri" w:eastAsiaTheme="minorHAnsi" w:hAnsi="Calibri" w:cs="Calibri"/>
      <w:sz w:val="22"/>
      <w:szCs w:val="22"/>
    </w:rPr>
  </w:style>
  <w:style w:type="paragraph" w:styleId="NormalWeb">
    <w:name w:val="Normal (Web)"/>
    <w:basedOn w:val="Normal"/>
    <w:uiPriority w:val="99"/>
    <w:semiHidden/>
    <w:unhideWhenUsed/>
    <w:rsid w:val="000F62A5"/>
    <w:rPr>
      <w:rFonts w:ascii="Calibri" w:eastAsiaTheme="minorHAnsi" w:hAnsi="Calibri" w:cs="Calibri"/>
      <w:sz w:val="22"/>
      <w:szCs w:val="22"/>
    </w:rPr>
  </w:style>
  <w:style w:type="numbering" w:customStyle="1" w:styleId="NoList11">
    <w:name w:val="No List11"/>
    <w:next w:val="NoList"/>
    <w:uiPriority w:val="99"/>
    <w:semiHidden/>
    <w:unhideWhenUsed/>
    <w:rsid w:val="000F6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paragraph" w:styleId="Heading1">
    <w:name w:val="heading 1"/>
    <w:basedOn w:val="Normal"/>
    <w:link w:val="Heading1Char"/>
    <w:uiPriority w:val="1"/>
    <w:qFormat/>
    <w:rsid w:val="000F62A5"/>
    <w:pPr>
      <w:widowControl w:val="0"/>
      <w:autoSpaceDE w:val="0"/>
      <w:autoSpaceDN w:val="0"/>
      <w:ind w:left="580"/>
      <w:outlineLvl w:val="0"/>
    </w:pPr>
    <w:rPr>
      <w:rFonts w:ascii="Calibri" w:eastAsia="Calibri" w:hAnsi="Calibri" w:cs="Calibri"/>
      <w:b/>
      <w:bCs/>
      <w:szCs w:val="24"/>
      <w:u w:val="single" w:color="000000"/>
      <w:lang w:bidi="en-US"/>
    </w:rPr>
  </w:style>
  <w:style w:type="paragraph" w:styleId="Heading2">
    <w:name w:val="heading 2"/>
    <w:basedOn w:val="Normal"/>
    <w:link w:val="Heading2Char"/>
    <w:uiPriority w:val="1"/>
    <w:qFormat/>
    <w:rsid w:val="000F62A5"/>
    <w:pPr>
      <w:widowControl w:val="0"/>
      <w:autoSpaceDE w:val="0"/>
      <w:autoSpaceDN w:val="0"/>
      <w:ind w:left="800" w:hanging="220"/>
      <w:outlineLvl w:val="1"/>
    </w:pPr>
    <w:rPr>
      <w:rFonts w:ascii="Calibri" w:eastAsia="Calibri" w:hAnsi="Calibri" w:cs="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uiPriority w:val="99"/>
    <w:rsid w:val="00FC6B42"/>
    <w:rPr>
      <w:rFonts w:ascii="Tahoma" w:hAnsi="Tahoma" w:cs="Tahoma"/>
      <w:sz w:val="16"/>
      <w:szCs w:val="16"/>
    </w:rPr>
  </w:style>
  <w:style w:type="character" w:customStyle="1" w:styleId="BalloonTextChar">
    <w:name w:val="Balloon Text Char"/>
    <w:link w:val="BalloonText"/>
    <w:uiPriority w:val="99"/>
    <w:rsid w:val="00FC6B42"/>
    <w:rPr>
      <w:rFonts w:ascii="Tahoma" w:hAnsi="Tahoma" w:cs="Tahoma"/>
      <w:sz w:val="16"/>
      <w:szCs w:val="16"/>
    </w:rPr>
  </w:style>
  <w:style w:type="paragraph" w:styleId="Header">
    <w:name w:val="header"/>
    <w:basedOn w:val="Normal"/>
    <w:link w:val="HeaderChar"/>
    <w:uiPriority w:val="99"/>
    <w:rsid w:val="00BD4B25"/>
    <w:pPr>
      <w:tabs>
        <w:tab w:val="center" w:pos="4680"/>
        <w:tab w:val="right" w:pos="9360"/>
      </w:tabs>
    </w:pPr>
  </w:style>
  <w:style w:type="character" w:customStyle="1" w:styleId="HeaderChar">
    <w:name w:val="Header Char"/>
    <w:basedOn w:val="DefaultParagraphFont"/>
    <w:link w:val="Header"/>
    <w:uiPriority w:val="99"/>
    <w:rsid w:val="00BD4B25"/>
    <w:rPr>
      <w:sz w:val="24"/>
    </w:rPr>
  </w:style>
  <w:style w:type="paragraph" w:styleId="Footer">
    <w:name w:val="footer"/>
    <w:basedOn w:val="Normal"/>
    <w:link w:val="FooterChar"/>
    <w:uiPriority w:val="99"/>
    <w:rsid w:val="00BD4B25"/>
    <w:pPr>
      <w:tabs>
        <w:tab w:val="center" w:pos="4680"/>
        <w:tab w:val="right" w:pos="9360"/>
      </w:tabs>
    </w:pPr>
  </w:style>
  <w:style w:type="character" w:customStyle="1" w:styleId="FooterChar">
    <w:name w:val="Footer Char"/>
    <w:basedOn w:val="DefaultParagraphFont"/>
    <w:link w:val="Footer"/>
    <w:uiPriority w:val="99"/>
    <w:rsid w:val="00BD4B25"/>
    <w:rPr>
      <w:sz w:val="24"/>
    </w:rPr>
  </w:style>
  <w:style w:type="paragraph" w:styleId="FootnoteText">
    <w:name w:val="footnote text"/>
    <w:basedOn w:val="Normal"/>
    <w:link w:val="FootnoteTextChar"/>
    <w:uiPriority w:val="99"/>
    <w:rsid w:val="00433279"/>
    <w:rPr>
      <w:sz w:val="20"/>
    </w:rPr>
  </w:style>
  <w:style w:type="character" w:customStyle="1" w:styleId="FootnoteTextChar">
    <w:name w:val="Footnote Text Char"/>
    <w:basedOn w:val="DefaultParagraphFont"/>
    <w:link w:val="FootnoteText"/>
    <w:uiPriority w:val="99"/>
    <w:rsid w:val="00433279"/>
  </w:style>
  <w:style w:type="character" w:styleId="FootnoteReference">
    <w:name w:val="footnote reference"/>
    <w:basedOn w:val="DefaultParagraphFont"/>
    <w:uiPriority w:val="99"/>
    <w:rsid w:val="00433279"/>
    <w:rPr>
      <w:vertAlign w:val="superscript"/>
    </w:rPr>
  </w:style>
  <w:style w:type="paragraph" w:styleId="NoSpacing">
    <w:name w:val="No Spacing"/>
    <w:basedOn w:val="Normal"/>
    <w:uiPriority w:val="1"/>
    <w:qFormat/>
    <w:rsid w:val="005B31B0"/>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1"/>
    <w:rsid w:val="000F62A5"/>
    <w:rPr>
      <w:rFonts w:ascii="Calibri" w:eastAsia="Calibri" w:hAnsi="Calibri" w:cs="Calibri"/>
      <w:b/>
      <w:bCs/>
      <w:sz w:val="24"/>
      <w:szCs w:val="24"/>
      <w:u w:val="single" w:color="000000"/>
      <w:lang w:bidi="en-US"/>
    </w:rPr>
  </w:style>
  <w:style w:type="character" w:customStyle="1" w:styleId="Heading2Char">
    <w:name w:val="Heading 2 Char"/>
    <w:basedOn w:val="DefaultParagraphFont"/>
    <w:link w:val="Heading2"/>
    <w:uiPriority w:val="1"/>
    <w:rsid w:val="000F62A5"/>
    <w:rPr>
      <w:rFonts w:ascii="Calibri" w:eastAsia="Calibri" w:hAnsi="Calibri" w:cs="Calibri"/>
      <w:b/>
      <w:bCs/>
      <w:sz w:val="22"/>
      <w:szCs w:val="22"/>
      <w:lang w:bidi="en-US"/>
    </w:rPr>
  </w:style>
  <w:style w:type="numbering" w:customStyle="1" w:styleId="NoList1">
    <w:name w:val="No List1"/>
    <w:next w:val="NoList"/>
    <w:uiPriority w:val="99"/>
    <w:semiHidden/>
    <w:unhideWhenUsed/>
    <w:rsid w:val="000F62A5"/>
  </w:style>
  <w:style w:type="paragraph" w:styleId="BodyText">
    <w:name w:val="Body Text"/>
    <w:basedOn w:val="Normal"/>
    <w:link w:val="BodyTextChar"/>
    <w:uiPriority w:val="1"/>
    <w:qFormat/>
    <w:rsid w:val="000F62A5"/>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0F62A5"/>
    <w:rPr>
      <w:rFonts w:ascii="Calibri" w:eastAsia="Calibri" w:hAnsi="Calibri" w:cs="Calibri"/>
      <w:sz w:val="22"/>
      <w:szCs w:val="22"/>
      <w:lang w:bidi="en-US"/>
    </w:rPr>
  </w:style>
  <w:style w:type="paragraph" w:styleId="ListParagraph">
    <w:name w:val="List Paragraph"/>
    <w:basedOn w:val="Normal"/>
    <w:uiPriority w:val="34"/>
    <w:qFormat/>
    <w:rsid w:val="000F62A5"/>
    <w:pPr>
      <w:widowControl w:val="0"/>
      <w:autoSpaceDE w:val="0"/>
      <w:autoSpaceDN w:val="0"/>
      <w:ind w:left="1300" w:hanging="360"/>
    </w:pPr>
    <w:rPr>
      <w:rFonts w:ascii="Calibri" w:eastAsia="Calibri" w:hAnsi="Calibri" w:cs="Calibri"/>
      <w:sz w:val="22"/>
      <w:szCs w:val="22"/>
      <w:lang w:bidi="en-US"/>
    </w:rPr>
  </w:style>
  <w:style w:type="paragraph" w:customStyle="1" w:styleId="TableParagraph">
    <w:name w:val="Table Paragraph"/>
    <w:basedOn w:val="Normal"/>
    <w:uiPriority w:val="1"/>
    <w:qFormat/>
    <w:rsid w:val="000F62A5"/>
    <w:pPr>
      <w:widowControl w:val="0"/>
      <w:autoSpaceDE w:val="0"/>
      <w:autoSpaceDN w:val="0"/>
    </w:pPr>
    <w:rPr>
      <w:rFonts w:ascii="Arial" w:eastAsia="Arial" w:hAnsi="Arial" w:cs="Arial"/>
      <w:sz w:val="22"/>
      <w:szCs w:val="22"/>
      <w:lang w:bidi="en-US"/>
    </w:rPr>
  </w:style>
  <w:style w:type="character" w:styleId="CommentReference">
    <w:name w:val="annotation reference"/>
    <w:basedOn w:val="DefaultParagraphFont"/>
    <w:uiPriority w:val="99"/>
    <w:semiHidden/>
    <w:unhideWhenUsed/>
    <w:rsid w:val="000F62A5"/>
    <w:rPr>
      <w:sz w:val="16"/>
      <w:szCs w:val="16"/>
    </w:rPr>
  </w:style>
  <w:style w:type="paragraph" w:styleId="CommentText">
    <w:name w:val="annotation text"/>
    <w:basedOn w:val="Normal"/>
    <w:link w:val="CommentTextChar"/>
    <w:uiPriority w:val="99"/>
    <w:semiHidden/>
    <w:unhideWhenUsed/>
    <w:rsid w:val="000F62A5"/>
    <w:pPr>
      <w:widowControl w:val="0"/>
      <w:autoSpaceDE w:val="0"/>
      <w:autoSpaceDN w:val="0"/>
    </w:pPr>
    <w:rPr>
      <w:rFonts w:ascii="Calibri" w:eastAsia="Calibri" w:hAnsi="Calibri" w:cs="Calibri"/>
      <w:sz w:val="20"/>
      <w:lang w:bidi="en-US"/>
    </w:rPr>
  </w:style>
  <w:style w:type="character" w:customStyle="1" w:styleId="CommentTextChar">
    <w:name w:val="Comment Text Char"/>
    <w:basedOn w:val="DefaultParagraphFont"/>
    <w:link w:val="CommentText"/>
    <w:uiPriority w:val="99"/>
    <w:semiHidden/>
    <w:rsid w:val="000F62A5"/>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0F62A5"/>
    <w:rPr>
      <w:b/>
      <w:bCs/>
    </w:rPr>
  </w:style>
  <w:style w:type="character" w:customStyle="1" w:styleId="CommentSubjectChar">
    <w:name w:val="Comment Subject Char"/>
    <w:basedOn w:val="CommentTextChar"/>
    <w:link w:val="CommentSubject"/>
    <w:uiPriority w:val="99"/>
    <w:semiHidden/>
    <w:rsid w:val="000F62A5"/>
    <w:rPr>
      <w:rFonts w:ascii="Calibri" w:eastAsia="Calibri" w:hAnsi="Calibri" w:cs="Calibri"/>
      <w:b/>
      <w:bCs/>
      <w:lang w:bidi="en-US"/>
    </w:rPr>
  </w:style>
  <w:style w:type="paragraph" w:styleId="EndnoteText">
    <w:name w:val="endnote text"/>
    <w:basedOn w:val="Normal"/>
    <w:link w:val="EndnoteTextChar"/>
    <w:uiPriority w:val="99"/>
    <w:semiHidden/>
    <w:unhideWhenUsed/>
    <w:rsid w:val="000F62A5"/>
    <w:pPr>
      <w:widowControl w:val="0"/>
      <w:autoSpaceDE w:val="0"/>
      <w:autoSpaceDN w:val="0"/>
    </w:pPr>
    <w:rPr>
      <w:rFonts w:ascii="Calibri" w:eastAsia="Calibri" w:hAnsi="Calibri" w:cs="Calibri"/>
      <w:sz w:val="20"/>
      <w:lang w:bidi="en-US"/>
    </w:rPr>
  </w:style>
  <w:style w:type="character" w:customStyle="1" w:styleId="EndnoteTextChar">
    <w:name w:val="Endnote Text Char"/>
    <w:basedOn w:val="DefaultParagraphFont"/>
    <w:link w:val="EndnoteText"/>
    <w:uiPriority w:val="99"/>
    <w:semiHidden/>
    <w:rsid w:val="000F62A5"/>
    <w:rPr>
      <w:rFonts w:ascii="Calibri" w:eastAsia="Calibri" w:hAnsi="Calibri" w:cs="Calibri"/>
      <w:lang w:bidi="en-US"/>
    </w:rPr>
  </w:style>
  <w:style w:type="character" w:styleId="EndnoteReference">
    <w:name w:val="endnote reference"/>
    <w:basedOn w:val="DefaultParagraphFont"/>
    <w:uiPriority w:val="99"/>
    <w:semiHidden/>
    <w:unhideWhenUsed/>
    <w:rsid w:val="000F62A5"/>
    <w:rPr>
      <w:vertAlign w:val="superscript"/>
    </w:rPr>
  </w:style>
  <w:style w:type="paragraph" w:styleId="PlainText">
    <w:name w:val="Plain Text"/>
    <w:basedOn w:val="Normal"/>
    <w:link w:val="PlainTextChar"/>
    <w:uiPriority w:val="99"/>
    <w:unhideWhenUsed/>
    <w:rsid w:val="000F62A5"/>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0F62A5"/>
    <w:rPr>
      <w:rFonts w:ascii="Calibri" w:eastAsiaTheme="minorHAnsi" w:hAnsi="Calibri" w:cs="Calibri"/>
      <w:sz w:val="22"/>
      <w:szCs w:val="22"/>
    </w:rPr>
  </w:style>
  <w:style w:type="paragraph" w:styleId="NormalWeb">
    <w:name w:val="Normal (Web)"/>
    <w:basedOn w:val="Normal"/>
    <w:uiPriority w:val="99"/>
    <w:semiHidden/>
    <w:unhideWhenUsed/>
    <w:rsid w:val="000F62A5"/>
    <w:rPr>
      <w:rFonts w:ascii="Calibri" w:eastAsiaTheme="minorHAnsi" w:hAnsi="Calibri" w:cs="Calibri"/>
      <w:sz w:val="22"/>
      <w:szCs w:val="22"/>
    </w:rPr>
  </w:style>
  <w:style w:type="numbering" w:customStyle="1" w:styleId="NoList11">
    <w:name w:val="No List11"/>
    <w:next w:val="NoList"/>
    <w:uiPriority w:val="99"/>
    <w:semiHidden/>
    <w:unhideWhenUsed/>
    <w:rsid w:val="000F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56132">
      <w:bodyDiv w:val="1"/>
      <w:marLeft w:val="0"/>
      <w:marRight w:val="0"/>
      <w:marTop w:val="0"/>
      <w:marBottom w:val="0"/>
      <w:divBdr>
        <w:top w:val="none" w:sz="0" w:space="0" w:color="auto"/>
        <w:left w:val="none" w:sz="0" w:space="0" w:color="auto"/>
        <w:bottom w:val="none" w:sz="0" w:space="0" w:color="auto"/>
        <w:right w:val="none" w:sz="0" w:space="0" w:color="auto"/>
      </w:divBdr>
    </w:div>
    <w:div w:id="754085619">
      <w:bodyDiv w:val="1"/>
      <w:marLeft w:val="0"/>
      <w:marRight w:val="0"/>
      <w:marTop w:val="0"/>
      <w:marBottom w:val="0"/>
      <w:divBdr>
        <w:top w:val="none" w:sz="0" w:space="0" w:color="auto"/>
        <w:left w:val="none" w:sz="0" w:space="0" w:color="auto"/>
        <w:bottom w:val="none" w:sz="0" w:space="0" w:color="auto"/>
        <w:right w:val="none" w:sz="0" w:space="0" w:color="auto"/>
      </w:divBdr>
    </w:div>
    <w:div w:id="1051537544">
      <w:bodyDiv w:val="1"/>
      <w:marLeft w:val="0"/>
      <w:marRight w:val="0"/>
      <w:marTop w:val="0"/>
      <w:marBottom w:val="0"/>
      <w:divBdr>
        <w:top w:val="none" w:sz="0" w:space="0" w:color="auto"/>
        <w:left w:val="none" w:sz="0" w:space="0" w:color="auto"/>
        <w:bottom w:val="none" w:sz="0" w:space="0" w:color="auto"/>
        <w:right w:val="none" w:sz="0" w:space="0" w:color="auto"/>
      </w:divBdr>
    </w:div>
    <w:div w:id="1422098187">
      <w:bodyDiv w:val="1"/>
      <w:marLeft w:val="0"/>
      <w:marRight w:val="0"/>
      <w:marTop w:val="0"/>
      <w:marBottom w:val="0"/>
      <w:divBdr>
        <w:top w:val="none" w:sz="0" w:space="0" w:color="auto"/>
        <w:left w:val="none" w:sz="0" w:space="0" w:color="auto"/>
        <w:bottom w:val="none" w:sz="0" w:space="0" w:color="auto"/>
        <w:right w:val="none" w:sz="0" w:space="0" w:color="auto"/>
      </w:divBdr>
    </w:div>
    <w:div w:id="166836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onover\Documents\D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2398-8FA4-4DAD-9CCE-3CD3E656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DoN Letterhead</Template>
  <TotalTime>2</TotalTime>
  <Pages>18</Pages>
  <Words>5726</Words>
  <Characters>32640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Conover, Lynn (DPH)</dc:creator>
  <cp:lastModifiedBy>Lynn</cp:lastModifiedBy>
  <cp:revision>2</cp:revision>
  <cp:lastPrinted>2020-12-17T21:48:00Z</cp:lastPrinted>
  <dcterms:created xsi:type="dcterms:W3CDTF">2020-12-31T00:44:00Z</dcterms:created>
  <dcterms:modified xsi:type="dcterms:W3CDTF">2020-12-31T00:44:00Z</dcterms:modified>
</cp:coreProperties>
</file>