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762A" w14:textId="7F42CD6A" w:rsidR="00B87B97" w:rsidRDefault="00DE4A85" w:rsidP="00DE4A85">
      <w:pPr>
        <w:rPr>
          <w:rFonts w:ascii="Arial" w:hAnsi="Arial"/>
          <w:sz w:val="36"/>
        </w:rPr>
      </w:pPr>
      <w:r>
        <w:rPr>
          <w:rFonts w:ascii="LinePrinter" w:hAnsi="LinePrinter"/>
          <w:noProof/>
        </w:rPr>
        <w:drawing>
          <wp:inline distT="0" distB="0" distL="0" distR="0" wp14:anchorId="5F021995" wp14:editId="5730E6EB">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r>
      <w:r w:rsidR="00B87B97">
        <w:rPr>
          <w:rFonts w:ascii="Arial" w:hAnsi="Arial"/>
          <w:sz w:val="36"/>
        </w:rPr>
        <w:t>The Commonwealth of Massachusetts</w:t>
      </w:r>
    </w:p>
    <w:p w14:paraId="4E880066" w14:textId="77777777" w:rsidR="00B87B97" w:rsidRDefault="00B87B97" w:rsidP="0045307C">
      <w:pPr>
        <w:pStyle w:val="ExecOffice"/>
        <w:framePr w:w="0" w:hSpace="0" w:wrap="auto" w:vAnchor="margin" w:hAnchor="text" w:xAlign="left" w:yAlign="inline"/>
      </w:pPr>
      <w:r>
        <w:t>Executive Office of Health and Human Services</w:t>
      </w:r>
    </w:p>
    <w:p w14:paraId="52842C69" w14:textId="77777777" w:rsidR="00B87B97" w:rsidRDefault="00B87B97" w:rsidP="0045307C">
      <w:pPr>
        <w:pStyle w:val="ExecOffice"/>
        <w:framePr w:w="0" w:hSpace="0" w:wrap="auto" w:vAnchor="margin" w:hAnchor="text" w:xAlign="left" w:yAlign="inline"/>
      </w:pPr>
      <w:r>
        <w:t>Department of Public Health</w:t>
      </w:r>
    </w:p>
    <w:p w14:paraId="33A88C71" w14:textId="77777777" w:rsidR="00B87B97" w:rsidRDefault="00B87B97" w:rsidP="0045307C">
      <w:pPr>
        <w:pStyle w:val="ExecOffice"/>
        <w:framePr w:w="0" w:hSpace="0" w:wrap="auto" w:vAnchor="margin" w:hAnchor="text" w:xAlign="left" w:yAlign="inline"/>
      </w:pPr>
      <w:r>
        <w:t>250 Washington Street, Boston, MA 02108-4619</w:t>
      </w:r>
    </w:p>
    <w:p w14:paraId="2D810AFE" w14:textId="77777777" w:rsidR="00D0170A" w:rsidRDefault="00D0170A" w:rsidP="00554081">
      <w:pPr>
        <w:contextualSpacing/>
        <w:rPr>
          <w:rFonts w:ascii="Arial Rounded MT Bold" w:hAnsi="Arial Rounded MT Bold"/>
          <w:sz w:val="18"/>
          <w:szCs w:val="22"/>
        </w:rPr>
      </w:pPr>
    </w:p>
    <w:p w14:paraId="7C616FD9" w14:textId="77777777" w:rsidR="000113E6" w:rsidRDefault="000113E6" w:rsidP="00554081">
      <w:pPr>
        <w:contextualSpacing/>
        <w:rPr>
          <w:rFonts w:ascii="Arial Rounded MT Bold" w:hAnsi="Arial Rounded MT Bold"/>
          <w:sz w:val="18"/>
          <w:szCs w:val="22"/>
        </w:rPr>
      </w:pPr>
    </w:p>
    <w:p w14:paraId="3732DABA" w14:textId="4A8F73FC" w:rsidR="000113E6" w:rsidRDefault="000113E6" w:rsidP="00554081">
      <w:pPr>
        <w:contextualSpacing/>
        <w:rPr>
          <w:rFonts w:ascii="Arial Rounded MT Bold" w:hAnsi="Arial Rounded MT Bold"/>
          <w:sz w:val="18"/>
          <w:szCs w:val="22"/>
        </w:rPr>
        <w:sectPr w:rsidR="000113E6" w:rsidSect="00DE4A85">
          <w:headerReference w:type="even" r:id="rId9"/>
          <w:footerReference w:type="default" r:id="rId10"/>
          <w:headerReference w:type="first" r:id="rId11"/>
          <w:pgSz w:w="12240" w:h="15840"/>
          <w:pgMar w:top="270" w:right="1080" w:bottom="1440" w:left="1080" w:header="720" w:footer="720" w:gutter="0"/>
          <w:cols w:space="720"/>
          <w:docGrid w:linePitch="326"/>
        </w:sectPr>
      </w:pPr>
    </w:p>
    <w:p w14:paraId="4A6B918D" w14:textId="77777777" w:rsidR="00145D30" w:rsidRPr="00554081" w:rsidRDefault="00145D30" w:rsidP="000113E6">
      <w:pPr>
        <w:ind w:right="2790"/>
        <w:contextualSpacing/>
        <w:jc w:val="center"/>
        <w:rPr>
          <w:rFonts w:ascii="Arial Rounded MT Bold" w:hAnsi="Arial Rounded MT Bold"/>
          <w:sz w:val="18"/>
          <w:szCs w:val="22"/>
        </w:rPr>
      </w:pPr>
      <w:r w:rsidRPr="00554081">
        <w:rPr>
          <w:rFonts w:ascii="Arial Rounded MT Bold" w:hAnsi="Arial Rounded MT Bold"/>
          <w:sz w:val="18"/>
          <w:szCs w:val="22"/>
        </w:rPr>
        <w:t>CHARLES D. BAKER</w:t>
      </w:r>
    </w:p>
    <w:p w14:paraId="73115ADE" w14:textId="77777777" w:rsidR="00624404" w:rsidRDefault="00145D30" w:rsidP="000113E6">
      <w:pPr>
        <w:pStyle w:val="Weld"/>
        <w:framePr w:hSpace="0" w:wrap="auto" w:vAnchor="margin" w:hAnchor="text" w:xAlign="left" w:yAlign="inline"/>
        <w:ind w:right="2790"/>
      </w:pPr>
      <w:r>
        <w:t>Governor</w:t>
      </w:r>
    </w:p>
    <w:p w14:paraId="27B59C3E" w14:textId="77777777" w:rsidR="00624404" w:rsidRDefault="00624404" w:rsidP="000113E6">
      <w:pPr>
        <w:ind w:right="2790"/>
        <w:contextualSpacing/>
        <w:jc w:val="center"/>
        <w:rPr>
          <w:sz w:val="16"/>
        </w:rPr>
      </w:pPr>
    </w:p>
    <w:p w14:paraId="7CA6902D" w14:textId="1CF615F8" w:rsidR="00624404" w:rsidRPr="00554081" w:rsidRDefault="00145D30" w:rsidP="000113E6">
      <w:pPr>
        <w:ind w:right="279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16FC76BA" w14:textId="588A6089" w:rsidR="00A763BA" w:rsidRPr="00624404" w:rsidRDefault="00145D30" w:rsidP="000113E6">
      <w:pPr>
        <w:pStyle w:val="Weld"/>
        <w:framePr w:hSpace="0" w:wrap="auto" w:vAnchor="margin" w:hAnchor="text" w:xAlign="left" w:yAlign="inline"/>
        <w:ind w:right="2790"/>
        <w:rPr>
          <w:rFonts w:ascii="Calibri" w:hAnsi="Calibri" w:cs="Calibri"/>
          <w:szCs w:val="24"/>
        </w:rPr>
      </w:pPr>
      <w:r>
        <w:t>Lieutenant Governor</w:t>
      </w:r>
    </w:p>
    <w:p w14:paraId="0AC5CD3B" w14:textId="0906D1CF" w:rsidR="00C2477D" w:rsidRDefault="00C2477D" w:rsidP="00624404">
      <w:pPr>
        <w:pStyle w:val="Weld"/>
        <w:framePr w:hSpace="0" w:wrap="auto" w:vAnchor="margin" w:hAnchor="text" w:xAlign="left" w:yAlign="inline"/>
        <w:ind w:right="-109"/>
        <w:jc w:val="left"/>
      </w:pPr>
    </w:p>
    <w:p w14:paraId="65AB9A95" w14:textId="77777777" w:rsidR="00D0170A" w:rsidRDefault="00D0170A" w:rsidP="00624404">
      <w:pPr>
        <w:pStyle w:val="Weld"/>
        <w:framePr w:hSpace="0" w:wrap="auto" w:vAnchor="margin" w:hAnchor="text" w:xAlign="left" w:yAlign="inline"/>
        <w:ind w:right="-109"/>
        <w:jc w:val="left"/>
      </w:pPr>
    </w:p>
    <w:p w14:paraId="74E1A819" w14:textId="77777777" w:rsidR="00C2477D" w:rsidRPr="00554081" w:rsidRDefault="00A763BA" w:rsidP="000113E6">
      <w:pPr>
        <w:ind w:left="252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445FAF34" w14:textId="77777777" w:rsidR="00C2477D" w:rsidRDefault="00A763BA" w:rsidP="000113E6">
      <w:pPr>
        <w:pStyle w:val="Weld"/>
        <w:framePr w:hSpace="0" w:wrap="auto" w:vAnchor="margin" w:hAnchor="text" w:xAlign="left" w:yAlign="inline"/>
        <w:ind w:left="2520" w:right="-109"/>
      </w:pPr>
      <w:r>
        <w:t>Secretary</w:t>
      </w:r>
    </w:p>
    <w:p w14:paraId="65795C6F" w14:textId="77777777" w:rsidR="00C2477D" w:rsidRDefault="00C2477D" w:rsidP="000113E6">
      <w:pPr>
        <w:pStyle w:val="Weld"/>
        <w:framePr w:hSpace="0" w:wrap="auto" w:vAnchor="margin" w:hAnchor="text" w:xAlign="left" w:yAlign="inline"/>
        <w:ind w:left="2520" w:right="-109"/>
      </w:pPr>
    </w:p>
    <w:p w14:paraId="33F2008D" w14:textId="77777777" w:rsidR="00C2477D" w:rsidRDefault="00A763BA" w:rsidP="000113E6">
      <w:pPr>
        <w:ind w:left="2520"/>
        <w:contextualSpacing/>
        <w:jc w:val="center"/>
        <w:rPr>
          <w:szCs w:val="16"/>
        </w:rPr>
      </w:pPr>
      <w:r w:rsidRPr="00554081">
        <w:rPr>
          <w:rFonts w:ascii="Arial Rounded MT Bold" w:hAnsi="Arial Rounded MT Bold"/>
          <w:sz w:val="18"/>
          <w:szCs w:val="22"/>
        </w:rPr>
        <w:t>MARGRET R. COOKE</w:t>
      </w:r>
    </w:p>
    <w:p w14:paraId="1F250ACB" w14:textId="6E685782" w:rsidR="00A763BA" w:rsidRPr="00C2477D" w:rsidRDefault="00A763BA" w:rsidP="000113E6">
      <w:pPr>
        <w:pStyle w:val="Weld"/>
        <w:framePr w:hSpace="0" w:wrap="auto" w:vAnchor="margin" w:hAnchor="text" w:xAlign="left" w:yAlign="inline"/>
        <w:ind w:left="2520" w:right="-109"/>
      </w:pPr>
      <w:r>
        <w:rPr>
          <w:szCs w:val="14"/>
        </w:rPr>
        <w:t>C</w:t>
      </w:r>
      <w:r w:rsidRPr="00FC6B42">
        <w:rPr>
          <w:szCs w:val="14"/>
        </w:rPr>
        <w:t>ommissioner</w:t>
      </w:r>
    </w:p>
    <w:p w14:paraId="6E74A41B" w14:textId="77777777" w:rsidR="00C2477D" w:rsidRDefault="00C2477D" w:rsidP="000113E6">
      <w:pPr>
        <w:pStyle w:val="Governor"/>
        <w:framePr w:hSpace="0" w:wrap="auto" w:vAnchor="margin" w:hAnchor="text" w:xAlign="left" w:yAlign="inline"/>
        <w:spacing w:after="0"/>
        <w:ind w:left="2520"/>
        <w:rPr>
          <w:rFonts w:ascii="Arial" w:hAnsi="Arial" w:cs="Arial"/>
          <w:b/>
          <w:szCs w:val="14"/>
        </w:rPr>
      </w:pPr>
    </w:p>
    <w:p w14:paraId="6D88FACC" w14:textId="1024CA61" w:rsidR="00A763BA" w:rsidRDefault="00145D30" w:rsidP="000113E6">
      <w:pPr>
        <w:pStyle w:val="Governor"/>
        <w:framePr w:hSpace="0" w:wrap="auto" w:vAnchor="margin" w:hAnchor="text" w:xAlign="left" w:yAlign="inline"/>
        <w:spacing w:after="0"/>
        <w:ind w:left="2520"/>
        <w:rPr>
          <w:rFonts w:ascii="Arial" w:hAnsi="Arial" w:cs="Arial"/>
          <w:b/>
          <w:szCs w:val="14"/>
        </w:rPr>
      </w:pPr>
      <w:r w:rsidRPr="004813AC">
        <w:rPr>
          <w:rFonts w:ascii="Arial" w:hAnsi="Arial" w:cs="Arial"/>
          <w:b/>
          <w:szCs w:val="14"/>
        </w:rPr>
        <w:t>Tel: 617-624-6000</w:t>
      </w:r>
    </w:p>
    <w:p w14:paraId="61374E6B" w14:textId="420385E9" w:rsidR="00594025" w:rsidRPr="00A763BA" w:rsidRDefault="00C80984" w:rsidP="000113E6">
      <w:pPr>
        <w:pStyle w:val="Governor"/>
        <w:framePr w:hSpace="0" w:wrap="auto" w:vAnchor="margin" w:hAnchor="text" w:xAlign="left" w:yAlign="inline"/>
        <w:spacing w:after="0"/>
        <w:ind w:left="2520"/>
        <w:rPr>
          <w:sz w:val="16"/>
        </w:rPr>
      </w:pPr>
      <w:hyperlink r:id="rId12" w:history="1">
        <w:r w:rsidR="00145D30" w:rsidRPr="000113E6">
          <w:rPr>
            <w:rStyle w:val="Hyperlink"/>
            <w:rFonts w:ascii="Arial" w:hAnsi="Arial" w:cs="Arial"/>
            <w:b/>
            <w:szCs w:val="14"/>
            <w:lang w:val="fr-FR"/>
          </w:rPr>
          <w:t>www.mass.gov/dph</w:t>
        </w:r>
      </w:hyperlink>
    </w:p>
    <w:p w14:paraId="34FDD5FB" w14:textId="77777777" w:rsidR="00D0170A" w:rsidRDefault="00D0170A" w:rsidP="00247707">
      <w:pPr>
        <w:contextualSpacing/>
        <w:rPr>
          <w:rFonts w:ascii="Calibri" w:hAnsi="Calibri" w:cs="Calibri"/>
          <w:szCs w:val="24"/>
        </w:rPr>
        <w:sectPr w:rsidR="00D0170A" w:rsidSect="00D0170A">
          <w:type w:val="continuous"/>
          <w:pgSz w:w="12240" w:h="15840"/>
          <w:pgMar w:top="270" w:right="1080" w:bottom="1440" w:left="1080" w:header="720" w:footer="720" w:gutter="0"/>
          <w:cols w:num="2" w:space="720"/>
          <w:docGrid w:linePitch="326"/>
        </w:sectPr>
      </w:pPr>
    </w:p>
    <w:p w14:paraId="4CA6CD98" w14:textId="77777777" w:rsidR="00145D30" w:rsidRDefault="00145D30" w:rsidP="00247707">
      <w:pPr>
        <w:contextualSpacing/>
        <w:rPr>
          <w:rFonts w:ascii="Calibri" w:hAnsi="Calibri" w:cs="Calibri"/>
          <w:szCs w:val="24"/>
        </w:rPr>
      </w:pPr>
    </w:p>
    <w:p w14:paraId="51662F08" w14:textId="57E37906" w:rsidR="00247707" w:rsidRPr="00A356EC" w:rsidRDefault="00247707" w:rsidP="00247707">
      <w:pPr>
        <w:contextualSpacing/>
        <w:rPr>
          <w:rFonts w:ascii="Calibri" w:hAnsi="Calibri" w:cs="Calibri"/>
          <w:szCs w:val="24"/>
        </w:rPr>
      </w:pPr>
      <w:r w:rsidRPr="009C786A">
        <w:rPr>
          <w:rFonts w:ascii="Calibri" w:hAnsi="Calibri" w:cs="Calibri"/>
          <w:szCs w:val="24"/>
        </w:rPr>
        <w:t xml:space="preserve">May </w:t>
      </w:r>
      <w:r w:rsidR="009C786A" w:rsidRPr="009C786A">
        <w:rPr>
          <w:rFonts w:ascii="Calibri" w:hAnsi="Calibri" w:cs="Calibri"/>
          <w:szCs w:val="24"/>
        </w:rPr>
        <w:t>1</w:t>
      </w:r>
      <w:r w:rsidR="0022371E">
        <w:rPr>
          <w:rFonts w:ascii="Calibri" w:hAnsi="Calibri" w:cs="Calibri"/>
          <w:szCs w:val="24"/>
        </w:rPr>
        <w:t>1</w:t>
      </w:r>
      <w:r w:rsidRPr="009C786A">
        <w:rPr>
          <w:rFonts w:ascii="Calibri" w:hAnsi="Calibri" w:cs="Calibri"/>
          <w:szCs w:val="24"/>
        </w:rPr>
        <w:t>, 2022</w:t>
      </w:r>
      <w:r w:rsidRPr="00A356EC">
        <w:rPr>
          <w:rFonts w:ascii="Calibri" w:hAnsi="Calibri" w:cs="Calibri"/>
          <w:szCs w:val="24"/>
        </w:rPr>
        <w:t xml:space="preserve"> </w:t>
      </w:r>
    </w:p>
    <w:p w14:paraId="58272956" w14:textId="77777777" w:rsidR="00247707" w:rsidRPr="00A356EC" w:rsidRDefault="00247707" w:rsidP="00247707">
      <w:pPr>
        <w:contextualSpacing/>
        <w:rPr>
          <w:rFonts w:ascii="Calibri" w:hAnsi="Calibri" w:cs="Calibri"/>
          <w:szCs w:val="24"/>
        </w:rPr>
      </w:pPr>
    </w:p>
    <w:p w14:paraId="7169A381" w14:textId="5E63BE04" w:rsidR="00247707" w:rsidRDefault="00247707" w:rsidP="00247707">
      <w:pPr>
        <w:contextualSpacing/>
        <w:rPr>
          <w:rFonts w:ascii="Calibri" w:hAnsi="Calibri" w:cs="Calibri"/>
          <w:i/>
          <w:iCs/>
          <w:szCs w:val="24"/>
        </w:rPr>
      </w:pPr>
      <w:r w:rsidRPr="00A356EC">
        <w:rPr>
          <w:rFonts w:ascii="Calibri" w:hAnsi="Calibri" w:cs="Calibri"/>
          <w:i/>
          <w:iCs/>
          <w:szCs w:val="24"/>
        </w:rPr>
        <w:t xml:space="preserve">Via Email - </w:t>
      </w:r>
      <w:hyperlink r:id="rId13" w:history="1">
        <w:r w:rsidR="006A7C7C" w:rsidRPr="00A356EC">
          <w:rPr>
            <w:rStyle w:val="Hyperlink"/>
            <w:rFonts w:ascii="Calibri" w:hAnsi="Calibri" w:cs="Calibri"/>
            <w:i/>
            <w:iCs/>
            <w:szCs w:val="24"/>
          </w:rPr>
          <w:t>Andrew.Levine@huschblackwell.com</w:t>
        </w:r>
      </w:hyperlink>
      <w:r w:rsidR="006A7C7C" w:rsidRPr="00A356EC">
        <w:rPr>
          <w:rFonts w:ascii="Calibri" w:hAnsi="Calibri" w:cs="Calibri"/>
          <w:i/>
          <w:iCs/>
          <w:szCs w:val="24"/>
        </w:rPr>
        <w:t xml:space="preserve"> </w:t>
      </w:r>
    </w:p>
    <w:p w14:paraId="680B5F93" w14:textId="77777777" w:rsidR="00AA5EB1" w:rsidRDefault="00AA5EB1" w:rsidP="00247707">
      <w:pPr>
        <w:contextualSpacing/>
        <w:rPr>
          <w:rFonts w:ascii="Calibri" w:hAnsi="Calibri" w:cs="Calibri"/>
          <w:szCs w:val="24"/>
        </w:rPr>
      </w:pPr>
    </w:p>
    <w:p w14:paraId="337D9158" w14:textId="6009839F" w:rsidR="00AA5EB1" w:rsidRDefault="00AA5EB1" w:rsidP="00247707">
      <w:pPr>
        <w:contextualSpacing/>
        <w:rPr>
          <w:rFonts w:ascii="Calibri" w:hAnsi="Calibri" w:cs="Calibri"/>
          <w:szCs w:val="24"/>
        </w:rPr>
      </w:pPr>
      <w:r w:rsidRPr="00A356EC">
        <w:rPr>
          <w:rFonts w:ascii="Calibri" w:hAnsi="Calibri" w:cs="Calibri"/>
          <w:szCs w:val="24"/>
        </w:rPr>
        <w:t>Andrew​​ Levine</w:t>
      </w:r>
    </w:p>
    <w:p w14:paraId="3BD34735" w14:textId="18BE3154" w:rsidR="00AA5EB1" w:rsidRDefault="00AA5EB1" w:rsidP="00247707">
      <w:pPr>
        <w:contextualSpacing/>
        <w:rPr>
          <w:rFonts w:ascii="Calibri" w:hAnsi="Calibri" w:cs="Calibri"/>
          <w:szCs w:val="24"/>
        </w:rPr>
      </w:pPr>
      <w:r w:rsidRPr="00A356EC">
        <w:rPr>
          <w:rFonts w:ascii="Calibri" w:hAnsi="Calibri" w:cs="Calibri"/>
          <w:szCs w:val="24"/>
        </w:rPr>
        <w:t>Partner</w:t>
      </w:r>
    </w:p>
    <w:p w14:paraId="4F7DE40E" w14:textId="77777777" w:rsidR="00AA5EB1" w:rsidRPr="00A356EC" w:rsidRDefault="00AA5EB1" w:rsidP="00AA5EB1">
      <w:pPr>
        <w:contextualSpacing/>
        <w:rPr>
          <w:rFonts w:ascii="Calibri" w:hAnsi="Calibri" w:cs="Calibri"/>
          <w:szCs w:val="24"/>
        </w:rPr>
      </w:pPr>
      <w:r w:rsidRPr="00A356EC">
        <w:rPr>
          <w:rFonts w:ascii="Calibri" w:hAnsi="Calibri" w:cs="Calibri"/>
          <w:szCs w:val="24"/>
        </w:rPr>
        <w:t>Husch Blackwell LLP</w:t>
      </w:r>
    </w:p>
    <w:p w14:paraId="2BA2D995" w14:textId="77777777" w:rsidR="00AA5EB1" w:rsidRPr="00A356EC" w:rsidRDefault="00AA5EB1" w:rsidP="00AA5EB1">
      <w:pPr>
        <w:contextualSpacing/>
        <w:rPr>
          <w:rFonts w:ascii="Calibri" w:hAnsi="Calibri" w:cs="Calibri"/>
          <w:szCs w:val="24"/>
        </w:rPr>
      </w:pPr>
      <w:r w:rsidRPr="00A356EC">
        <w:rPr>
          <w:rFonts w:ascii="Calibri" w:hAnsi="Calibri" w:cs="Calibri"/>
          <w:szCs w:val="24"/>
        </w:rPr>
        <w:t>One Beacon Street,</w:t>
      </w:r>
    </w:p>
    <w:p w14:paraId="21820392" w14:textId="77777777" w:rsidR="00AA5EB1" w:rsidRPr="00A356EC" w:rsidRDefault="00AA5EB1" w:rsidP="00AA5EB1">
      <w:pPr>
        <w:contextualSpacing/>
        <w:rPr>
          <w:rFonts w:ascii="Calibri" w:hAnsi="Calibri" w:cs="Calibri"/>
          <w:szCs w:val="24"/>
        </w:rPr>
      </w:pPr>
      <w:r w:rsidRPr="00A356EC">
        <w:rPr>
          <w:rFonts w:ascii="Calibri" w:hAnsi="Calibri" w:cs="Calibri"/>
          <w:szCs w:val="24"/>
        </w:rPr>
        <w:t>Suite 1320</w:t>
      </w:r>
    </w:p>
    <w:p w14:paraId="13CFB4BC" w14:textId="77777777" w:rsidR="00AA5EB1" w:rsidRPr="00A356EC" w:rsidRDefault="00AA5EB1" w:rsidP="00AA5EB1">
      <w:pPr>
        <w:contextualSpacing/>
        <w:rPr>
          <w:rFonts w:ascii="Calibri" w:hAnsi="Calibri" w:cs="Calibri"/>
          <w:szCs w:val="24"/>
        </w:rPr>
      </w:pPr>
      <w:r w:rsidRPr="00A356EC">
        <w:rPr>
          <w:rFonts w:ascii="Calibri" w:hAnsi="Calibri" w:cs="Calibri"/>
          <w:szCs w:val="24"/>
        </w:rPr>
        <w:t>Boston, MA 02108</w:t>
      </w:r>
    </w:p>
    <w:p w14:paraId="5DE054FB" w14:textId="77777777" w:rsidR="00AA5EB1" w:rsidRDefault="00AA5EB1" w:rsidP="00247707">
      <w:pPr>
        <w:contextualSpacing/>
        <w:rPr>
          <w:rFonts w:ascii="Calibri" w:hAnsi="Calibri" w:cs="Calibri"/>
          <w:szCs w:val="24"/>
        </w:rPr>
      </w:pPr>
    </w:p>
    <w:p w14:paraId="5029D04C" w14:textId="5F97CEAB" w:rsidR="00247707" w:rsidRPr="00A356EC" w:rsidRDefault="00247707" w:rsidP="00247707">
      <w:pPr>
        <w:contextualSpacing/>
        <w:rPr>
          <w:rFonts w:ascii="Calibri" w:hAnsi="Calibri" w:cs="Calibri"/>
          <w:b/>
          <w:bCs/>
          <w:szCs w:val="24"/>
        </w:rPr>
      </w:pPr>
      <w:r w:rsidRPr="00A356EC">
        <w:rPr>
          <w:rFonts w:ascii="Calibri" w:hAnsi="Calibri" w:cs="Calibri"/>
          <w:szCs w:val="24"/>
        </w:rPr>
        <w:t xml:space="preserve">RE: Notice of Final Action </w:t>
      </w:r>
      <w:proofErr w:type="spellStart"/>
      <w:r w:rsidRPr="00A356EC">
        <w:rPr>
          <w:rFonts w:ascii="Calibri" w:hAnsi="Calibri" w:cs="Calibri"/>
          <w:szCs w:val="24"/>
        </w:rPr>
        <w:t>DoN</w:t>
      </w:r>
      <w:proofErr w:type="spellEnd"/>
      <w:r w:rsidRPr="00A356EC">
        <w:rPr>
          <w:rFonts w:ascii="Calibri" w:hAnsi="Calibri" w:cs="Calibri"/>
          <w:szCs w:val="24"/>
        </w:rPr>
        <w:t xml:space="preserve"> # </w:t>
      </w:r>
      <w:r w:rsidR="0099183B" w:rsidRPr="0099183B">
        <w:rPr>
          <w:rFonts w:ascii="Calibri" w:hAnsi="Calibri" w:cs="Calibri"/>
        </w:rPr>
        <w:t>MGB-20121716-HE</w:t>
      </w:r>
    </w:p>
    <w:p w14:paraId="6F28C341" w14:textId="77777777" w:rsidR="00247707" w:rsidRPr="00A356EC" w:rsidRDefault="00247707" w:rsidP="00247707">
      <w:pPr>
        <w:contextualSpacing/>
        <w:rPr>
          <w:rFonts w:ascii="Calibri" w:hAnsi="Calibri" w:cs="Calibri"/>
          <w:szCs w:val="24"/>
        </w:rPr>
      </w:pPr>
    </w:p>
    <w:p w14:paraId="09D7980B" w14:textId="77777777" w:rsidR="00247707" w:rsidRPr="00A356EC" w:rsidRDefault="00247707" w:rsidP="00247707">
      <w:pPr>
        <w:contextualSpacing/>
        <w:rPr>
          <w:rFonts w:ascii="Calibri" w:hAnsi="Calibri" w:cs="Calibri"/>
          <w:szCs w:val="24"/>
        </w:rPr>
      </w:pPr>
      <w:r w:rsidRPr="00A356EC">
        <w:rPr>
          <w:rFonts w:ascii="Calibri" w:hAnsi="Calibri" w:cs="Calibri"/>
          <w:szCs w:val="24"/>
        </w:rPr>
        <w:t>Dear Mr. Levine</w:t>
      </w:r>
      <w:r w:rsidR="007E3F9E" w:rsidRPr="00A356EC">
        <w:rPr>
          <w:rFonts w:ascii="Calibri" w:hAnsi="Calibri" w:cs="Calibri"/>
          <w:szCs w:val="24"/>
        </w:rPr>
        <w:t>,</w:t>
      </w:r>
    </w:p>
    <w:p w14:paraId="2EF08230" w14:textId="77777777" w:rsidR="00247707" w:rsidRPr="00A356EC" w:rsidRDefault="00247707" w:rsidP="00247707">
      <w:pPr>
        <w:contextualSpacing/>
        <w:rPr>
          <w:rFonts w:ascii="Calibri" w:hAnsi="Calibri" w:cs="Calibri"/>
          <w:szCs w:val="24"/>
        </w:rPr>
      </w:pPr>
      <w:r w:rsidRPr="00A356EC">
        <w:rPr>
          <w:rFonts w:ascii="Calibri" w:hAnsi="Calibri" w:cs="Calibri"/>
          <w:szCs w:val="24"/>
        </w:rPr>
        <w:t>At their meeting of May 4, 2022, the Commissioner and the Public Health Council, acting</w:t>
      </w:r>
    </w:p>
    <w:p w14:paraId="5BBF3B03" w14:textId="77777777" w:rsidR="00247707" w:rsidRPr="00A356EC" w:rsidRDefault="00247707" w:rsidP="00247707">
      <w:pPr>
        <w:contextualSpacing/>
        <w:rPr>
          <w:rFonts w:ascii="Calibri" w:hAnsi="Calibri" w:cs="Calibri"/>
          <w:szCs w:val="24"/>
        </w:rPr>
      </w:pPr>
      <w:r w:rsidRPr="00A356EC">
        <w:rPr>
          <w:rFonts w:ascii="Calibri" w:hAnsi="Calibri" w:cs="Calibri"/>
          <w:szCs w:val="24"/>
        </w:rPr>
        <w:t xml:space="preserve">together as the Department, voted </w:t>
      </w:r>
      <w:proofErr w:type="gramStart"/>
      <w:r w:rsidRPr="00A356EC">
        <w:rPr>
          <w:rFonts w:ascii="Calibri" w:hAnsi="Calibri" w:cs="Calibri"/>
          <w:szCs w:val="24"/>
        </w:rPr>
        <w:t>pursuant to</w:t>
      </w:r>
      <w:proofErr w:type="gramEnd"/>
      <w:r w:rsidRPr="00A356EC">
        <w:rPr>
          <w:rFonts w:ascii="Calibri" w:hAnsi="Calibri" w:cs="Calibri"/>
          <w:szCs w:val="24"/>
        </w:rPr>
        <w:t xml:space="preserve"> M.G.L. c.111, §25(c) and the regulations adopted</w:t>
      </w:r>
    </w:p>
    <w:p w14:paraId="5247B82F" w14:textId="77777777" w:rsidR="00247707" w:rsidRPr="00A356EC" w:rsidRDefault="00247707" w:rsidP="00247707">
      <w:pPr>
        <w:contextualSpacing/>
        <w:rPr>
          <w:rFonts w:ascii="Calibri" w:hAnsi="Calibri" w:cs="Calibri"/>
          <w:szCs w:val="24"/>
        </w:rPr>
      </w:pPr>
      <w:r w:rsidRPr="00A356EC">
        <w:rPr>
          <w:rFonts w:ascii="Calibri" w:hAnsi="Calibri" w:cs="Calibri"/>
          <w:szCs w:val="24"/>
        </w:rPr>
        <w:t>thereunder, to approve the Determination of Need application filed by Mass General Brigham,</w:t>
      </w:r>
    </w:p>
    <w:p w14:paraId="2471B19A" w14:textId="77777777" w:rsidR="00247707" w:rsidRPr="00A356EC" w:rsidRDefault="00247707" w:rsidP="00247707">
      <w:pPr>
        <w:contextualSpacing/>
        <w:rPr>
          <w:rFonts w:ascii="Calibri" w:hAnsi="Calibri" w:cs="Calibri"/>
          <w:szCs w:val="24"/>
        </w:rPr>
      </w:pPr>
      <w:r w:rsidRPr="00A356EC">
        <w:rPr>
          <w:rFonts w:ascii="Calibri" w:hAnsi="Calibri" w:cs="Calibri"/>
          <w:szCs w:val="24"/>
        </w:rPr>
        <w:t xml:space="preserve">Inc. for a Proposed Project at </w:t>
      </w:r>
      <w:r w:rsidR="0002497C" w:rsidRPr="0002497C">
        <w:rPr>
          <w:rFonts w:ascii="Calibri" w:eastAsia="Calibri" w:hAnsi="Calibri" w:cs="Calibri"/>
        </w:rPr>
        <w:t xml:space="preserve">Brigham and Women’s Faulkner Hospital </w:t>
      </w:r>
      <w:r w:rsidR="005E2ECE" w:rsidRPr="005E2ECE">
        <w:rPr>
          <w:rFonts w:ascii="Calibri" w:hAnsi="Calibri" w:cs="Calibri"/>
        </w:rPr>
        <w:t xml:space="preserve">to construct a five-story addition to the existing </w:t>
      </w:r>
      <w:r w:rsidR="005E2ECE">
        <w:rPr>
          <w:rFonts w:ascii="Calibri" w:hAnsi="Calibri" w:cs="Calibri"/>
        </w:rPr>
        <w:t>facility</w:t>
      </w:r>
      <w:r w:rsidRPr="00A356EC">
        <w:rPr>
          <w:rFonts w:ascii="Calibri" w:hAnsi="Calibri" w:cs="Calibri"/>
          <w:szCs w:val="24"/>
        </w:rPr>
        <w:t xml:space="preserve"> that will </w:t>
      </w:r>
      <w:proofErr w:type="gramStart"/>
      <w:r w:rsidRPr="00A356EC">
        <w:rPr>
          <w:rFonts w:ascii="Calibri" w:hAnsi="Calibri" w:cs="Calibri"/>
          <w:szCs w:val="24"/>
        </w:rPr>
        <w:t>contain</w:t>
      </w:r>
      <w:proofErr w:type="gramEnd"/>
      <w:r w:rsidRPr="00A356EC">
        <w:rPr>
          <w:rFonts w:ascii="Calibri" w:hAnsi="Calibri" w:cs="Calibri"/>
          <w:szCs w:val="24"/>
        </w:rPr>
        <w:t xml:space="preserve"> the following: </w:t>
      </w:r>
    </w:p>
    <w:p w14:paraId="38B72235" w14:textId="77777777" w:rsidR="005E2ECE" w:rsidRPr="005E2ECE" w:rsidRDefault="005E2ECE" w:rsidP="005E2ECE">
      <w:pPr>
        <w:pStyle w:val="ListParagraph"/>
        <w:numPr>
          <w:ilvl w:val="0"/>
          <w:numId w:val="21"/>
        </w:numPr>
        <w:rPr>
          <w:rFonts w:ascii="Calibri" w:eastAsia="Calibri" w:hAnsi="Calibri" w:cs="Calibri"/>
        </w:rPr>
      </w:pPr>
      <w:r w:rsidRPr="005E2ECE">
        <w:rPr>
          <w:rFonts w:ascii="Calibri" w:eastAsia="Calibri" w:hAnsi="Calibri" w:cs="Calibri"/>
        </w:rPr>
        <w:t xml:space="preserve">78 additional medical/surgical inpatient </w:t>
      </w:r>
      <w:proofErr w:type="gramStart"/>
      <w:r w:rsidRPr="005E2ECE">
        <w:rPr>
          <w:rFonts w:ascii="Calibri" w:eastAsia="Calibri" w:hAnsi="Calibri" w:cs="Calibri"/>
        </w:rPr>
        <w:t>beds</w:t>
      </w:r>
      <w:r>
        <w:rPr>
          <w:rFonts w:ascii="Calibri" w:eastAsia="Calibri" w:hAnsi="Calibri" w:cs="Calibri"/>
        </w:rPr>
        <w:t>;</w:t>
      </w:r>
      <w:proofErr w:type="gramEnd"/>
    </w:p>
    <w:p w14:paraId="64A82D1C" w14:textId="77777777" w:rsidR="005E2ECE" w:rsidRPr="005E2ECE" w:rsidRDefault="005E2ECE" w:rsidP="005E2ECE">
      <w:pPr>
        <w:pStyle w:val="ListParagraph"/>
        <w:numPr>
          <w:ilvl w:val="0"/>
          <w:numId w:val="21"/>
        </w:numPr>
        <w:rPr>
          <w:rFonts w:ascii="Calibri" w:eastAsia="Calibri" w:hAnsi="Calibri" w:cs="Calibri"/>
        </w:rPr>
      </w:pPr>
      <w:r w:rsidRPr="005E2ECE">
        <w:rPr>
          <w:rFonts w:ascii="Calibri" w:eastAsia="Calibri" w:hAnsi="Calibri" w:cs="Calibri"/>
        </w:rPr>
        <w:t xml:space="preserve">An 8-bed observation </w:t>
      </w:r>
      <w:proofErr w:type="gramStart"/>
      <w:r w:rsidRPr="005E2ECE">
        <w:rPr>
          <w:rFonts w:ascii="Calibri" w:eastAsia="Calibri" w:hAnsi="Calibri" w:cs="Calibri"/>
        </w:rPr>
        <w:t>unit</w:t>
      </w:r>
      <w:r>
        <w:rPr>
          <w:rFonts w:ascii="Calibri" w:eastAsia="Calibri" w:hAnsi="Calibri" w:cs="Calibri"/>
        </w:rPr>
        <w:t>;</w:t>
      </w:r>
      <w:proofErr w:type="gramEnd"/>
    </w:p>
    <w:p w14:paraId="22D76D8E" w14:textId="77777777" w:rsidR="005E2ECE" w:rsidRPr="005E2ECE" w:rsidRDefault="005E2ECE" w:rsidP="005E2ECE">
      <w:pPr>
        <w:pStyle w:val="ListParagraph"/>
        <w:numPr>
          <w:ilvl w:val="0"/>
          <w:numId w:val="21"/>
        </w:numPr>
        <w:rPr>
          <w:rFonts w:ascii="Calibri" w:eastAsia="Calibri" w:hAnsi="Calibri" w:cs="Calibri"/>
        </w:rPr>
      </w:pPr>
      <w:r w:rsidRPr="005E2ECE">
        <w:rPr>
          <w:rFonts w:ascii="Calibri" w:eastAsia="Calibri" w:hAnsi="Calibri" w:cs="Calibri"/>
        </w:rPr>
        <w:t>Relocated and expanded endoscopy services, including one additional procedure room for advanced endoscopic procedures with capability for fluoroscopy (e.g., endoscopic retrograde cholangiopancreatography (ERCP) and endoscopic ultrasound (EUS) procedures</w:t>
      </w:r>
      <w:proofErr w:type="gramStart"/>
      <w:r w:rsidRPr="005E2ECE">
        <w:rPr>
          <w:rFonts w:ascii="Calibri" w:eastAsia="Calibri" w:hAnsi="Calibri" w:cs="Calibri"/>
        </w:rPr>
        <w:t>)</w:t>
      </w:r>
      <w:r>
        <w:rPr>
          <w:rFonts w:ascii="Calibri" w:eastAsia="Calibri" w:hAnsi="Calibri" w:cs="Calibri"/>
        </w:rPr>
        <w:t>;</w:t>
      </w:r>
      <w:proofErr w:type="gramEnd"/>
    </w:p>
    <w:p w14:paraId="3D92A705" w14:textId="77777777" w:rsidR="005E2ECE" w:rsidRPr="005E2ECE" w:rsidRDefault="005E2ECE" w:rsidP="005E2ECE">
      <w:pPr>
        <w:pStyle w:val="ListParagraph"/>
        <w:numPr>
          <w:ilvl w:val="0"/>
          <w:numId w:val="21"/>
        </w:numPr>
        <w:rPr>
          <w:rFonts w:ascii="Calibri" w:eastAsia="Calibri" w:hAnsi="Calibri" w:cs="Calibri"/>
        </w:rPr>
      </w:pPr>
      <w:r w:rsidRPr="005E2ECE">
        <w:rPr>
          <w:rFonts w:ascii="Calibri" w:eastAsia="Calibri" w:hAnsi="Calibri" w:cs="Calibri"/>
        </w:rPr>
        <w:t xml:space="preserve">Expanded magnetic resonance imaging (MRI) </w:t>
      </w:r>
      <w:proofErr w:type="gramStart"/>
      <w:r w:rsidRPr="005E2ECE">
        <w:rPr>
          <w:rFonts w:ascii="Calibri" w:eastAsia="Calibri" w:hAnsi="Calibri" w:cs="Calibri"/>
        </w:rPr>
        <w:t>capacity</w:t>
      </w:r>
      <w:proofErr w:type="gramEnd"/>
      <w:r w:rsidRPr="005E2ECE">
        <w:rPr>
          <w:rFonts w:ascii="Calibri" w:eastAsia="Calibri" w:hAnsi="Calibri" w:cs="Calibri"/>
        </w:rPr>
        <w:t xml:space="preserve"> with a 3T MRI unit and renovated and expanded Radiology Department by adding an angiographic interventional radiology program, additional pre- and post-procedure recovery space, and additional support space</w:t>
      </w:r>
      <w:r>
        <w:rPr>
          <w:rFonts w:ascii="Calibri" w:eastAsia="Calibri" w:hAnsi="Calibri" w:cs="Calibri"/>
        </w:rPr>
        <w:t>; and</w:t>
      </w:r>
    </w:p>
    <w:p w14:paraId="3E1E3AC4" w14:textId="77777777" w:rsidR="005E2ECE" w:rsidRPr="005E2ECE" w:rsidRDefault="005E2ECE" w:rsidP="005E2ECE">
      <w:pPr>
        <w:pStyle w:val="ListParagraph"/>
        <w:numPr>
          <w:ilvl w:val="0"/>
          <w:numId w:val="21"/>
        </w:numPr>
        <w:rPr>
          <w:rFonts w:ascii="Calibri" w:eastAsia="Calibri" w:hAnsi="Calibri" w:cs="Calibri"/>
        </w:rPr>
      </w:pPr>
      <w:r w:rsidRPr="005E2ECE">
        <w:rPr>
          <w:rFonts w:ascii="Calibri" w:eastAsia="Calibri" w:hAnsi="Calibri" w:cs="Calibri"/>
        </w:rPr>
        <w:t xml:space="preserve">Shell space for future build-out for </w:t>
      </w:r>
      <w:proofErr w:type="gramStart"/>
      <w:r w:rsidRPr="005E2ECE">
        <w:rPr>
          <w:rFonts w:ascii="Calibri" w:eastAsia="Calibri" w:hAnsi="Calibri" w:cs="Calibri"/>
        </w:rPr>
        <w:t>anticipated</w:t>
      </w:r>
      <w:proofErr w:type="gramEnd"/>
      <w:r w:rsidRPr="005E2ECE">
        <w:rPr>
          <w:rFonts w:ascii="Calibri" w:eastAsia="Calibri" w:hAnsi="Calibri" w:cs="Calibri"/>
        </w:rPr>
        <w:t xml:space="preserve"> expanded clinical services.  </w:t>
      </w:r>
    </w:p>
    <w:p w14:paraId="28C143C7" w14:textId="77777777" w:rsidR="006A7C7C" w:rsidRPr="00A356EC" w:rsidRDefault="006A7C7C" w:rsidP="00247707">
      <w:pPr>
        <w:contextualSpacing/>
        <w:rPr>
          <w:rFonts w:ascii="Calibri" w:hAnsi="Calibri" w:cs="Calibri"/>
          <w:szCs w:val="24"/>
        </w:rPr>
      </w:pPr>
    </w:p>
    <w:p w14:paraId="1951E337" w14:textId="77777777" w:rsidR="00247707" w:rsidRPr="00A356EC" w:rsidRDefault="00247707" w:rsidP="00247707">
      <w:pPr>
        <w:contextualSpacing/>
        <w:rPr>
          <w:rFonts w:ascii="Calibri" w:hAnsi="Calibri" w:cs="Calibri"/>
          <w:szCs w:val="24"/>
        </w:rPr>
      </w:pPr>
      <w:r w:rsidRPr="00A356EC">
        <w:rPr>
          <w:rFonts w:ascii="Calibri" w:hAnsi="Calibri" w:cs="Calibri"/>
          <w:szCs w:val="24"/>
        </w:rPr>
        <w:lastRenderedPageBreak/>
        <w:t>This Notice of Final Action incorporates by reference the Staff Report,</w:t>
      </w:r>
      <w:r w:rsidR="007E2827">
        <w:rPr>
          <w:rFonts w:ascii="Calibri" w:hAnsi="Calibri" w:cs="Calibri"/>
          <w:szCs w:val="24"/>
        </w:rPr>
        <w:t xml:space="preserve"> </w:t>
      </w:r>
      <w:r w:rsidRPr="00A356EC">
        <w:rPr>
          <w:rFonts w:ascii="Calibri" w:hAnsi="Calibri" w:cs="Calibri"/>
          <w:szCs w:val="24"/>
        </w:rPr>
        <w:t>and the Public</w:t>
      </w:r>
      <w:r w:rsidR="007E2827">
        <w:rPr>
          <w:rFonts w:ascii="Calibri" w:hAnsi="Calibri" w:cs="Calibri"/>
          <w:szCs w:val="24"/>
        </w:rPr>
        <w:t xml:space="preserve"> </w:t>
      </w:r>
      <w:r w:rsidRPr="00A356EC">
        <w:rPr>
          <w:rFonts w:ascii="Calibri" w:hAnsi="Calibri" w:cs="Calibri"/>
          <w:szCs w:val="24"/>
        </w:rPr>
        <w:t xml:space="preserve">Health Council proceedings concerning this application, all of which are incorporated </w:t>
      </w:r>
      <w:proofErr w:type="gramStart"/>
      <w:r w:rsidRPr="00A356EC">
        <w:rPr>
          <w:rFonts w:ascii="Calibri" w:hAnsi="Calibri" w:cs="Calibri"/>
          <w:szCs w:val="24"/>
        </w:rPr>
        <w:t>herein</w:t>
      </w:r>
      <w:proofErr w:type="gramEnd"/>
      <w:r w:rsidRPr="00A356EC">
        <w:rPr>
          <w:rFonts w:ascii="Calibri" w:hAnsi="Calibri" w:cs="Calibri"/>
          <w:szCs w:val="24"/>
        </w:rPr>
        <w:t xml:space="preserve"> by</w:t>
      </w:r>
      <w:r w:rsidR="007E2827">
        <w:rPr>
          <w:rFonts w:ascii="Calibri" w:hAnsi="Calibri" w:cs="Calibri"/>
          <w:szCs w:val="24"/>
        </w:rPr>
        <w:t xml:space="preserve"> </w:t>
      </w:r>
      <w:r w:rsidRPr="00A356EC">
        <w:rPr>
          <w:rFonts w:ascii="Calibri" w:hAnsi="Calibri" w:cs="Calibri"/>
          <w:szCs w:val="24"/>
        </w:rPr>
        <w:t>reference.</w:t>
      </w:r>
    </w:p>
    <w:p w14:paraId="7586781D" w14:textId="77777777" w:rsidR="00247707" w:rsidRPr="00A356EC" w:rsidRDefault="00247707" w:rsidP="00247707">
      <w:pPr>
        <w:contextualSpacing/>
        <w:rPr>
          <w:rFonts w:ascii="Calibri" w:hAnsi="Calibri" w:cs="Calibri"/>
          <w:szCs w:val="24"/>
        </w:rPr>
      </w:pPr>
    </w:p>
    <w:p w14:paraId="42BAE726" w14:textId="77777777" w:rsidR="00247707" w:rsidRPr="00632430" w:rsidRDefault="00247707" w:rsidP="00247707">
      <w:pPr>
        <w:contextualSpacing/>
        <w:rPr>
          <w:rFonts w:ascii="Calibri" w:hAnsi="Calibri" w:cs="Calibri"/>
          <w:szCs w:val="24"/>
        </w:rPr>
      </w:pPr>
      <w:r w:rsidRPr="00A356EC">
        <w:rPr>
          <w:rFonts w:ascii="Calibri" w:hAnsi="Calibri" w:cs="Calibri"/>
          <w:szCs w:val="24"/>
        </w:rPr>
        <w:t>This</w:t>
      </w:r>
      <w:r w:rsidR="007E2827">
        <w:rPr>
          <w:rFonts w:ascii="Calibri" w:hAnsi="Calibri" w:cs="Calibri"/>
          <w:szCs w:val="24"/>
        </w:rPr>
        <w:t xml:space="preserve"> Determination of Need</w:t>
      </w:r>
      <w:r w:rsidRPr="00A356EC">
        <w:rPr>
          <w:rFonts w:ascii="Calibri" w:hAnsi="Calibri" w:cs="Calibri"/>
          <w:szCs w:val="24"/>
        </w:rPr>
        <w:t xml:space="preserve"> Application was reviewed pursuant to M.G.L. c. 111, § 25(c), and the regulatory provisions of</w:t>
      </w:r>
      <w:r w:rsidR="007E2827">
        <w:rPr>
          <w:rFonts w:ascii="Calibri" w:hAnsi="Calibri" w:cs="Calibri"/>
          <w:szCs w:val="24"/>
        </w:rPr>
        <w:t xml:space="preserve"> </w:t>
      </w:r>
      <w:r w:rsidRPr="00A356EC">
        <w:rPr>
          <w:rFonts w:ascii="Calibri" w:hAnsi="Calibri" w:cs="Calibri"/>
          <w:szCs w:val="24"/>
        </w:rPr>
        <w:t>105 CMR 100.000 et seq. Based upon a review of the materials</w:t>
      </w:r>
      <w:r w:rsidR="007E2827">
        <w:rPr>
          <w:rFonts w:ascii="Calibri" w:hAnsi="Calibri" w:cs="Calibri"/>
          <w:szCs w:val="24"/>
        </w:rPr>
        <w:t>,</w:t>
      </w:r>
      <w:r w:rsidRPr="00632430">
        <w:rPr>
          <w:rFonts w:ascii="Calibri" w:hAnsi="Calibri" w:cs="Calibri"/>
          <w:szCs w:val="24"/>
        </w:rPr>
        <w:t xml:space="preserve"> the Department found</w:t>
      </w:r>
      <w:r w:rsidR="007E2827">
        <w:rPr>
          <w:rFonts w:ascii="Calibri" w:hAnsi="Calibri" w:cs="Calibri"/>
          <w:szCs w:val="24"/>
        </w:rPr>
        <w:t xml:space="preserve"> </w:t>
      </w:r>
      <w:r w:rsidRPr="00632430">
        <w:rPr>
          <w:rFonts w:ascii="Calibri" w:hAnsi="Calibri" w:cs="Calibri"/>
          <w:szCs w:val="24"/>
        </w:rPr>
        <w:t xml:space="preserve">that the Applicant has met each </w:t>
      </w:r>
      <w:proofErr w:type="spellStart"/>
      <w:r w:rsidRPr="00632430">
        <w:rPr>
          <w:rFonts w:ascii="Calibri" w:hAnsi="Calibri" w:cs="Calibri"/>
          <w:szCs w:val="24"/>
        </w:rPr>
        <w:t>DoN</w:t>
      </w:r>
      <w:proofErr w:type="spellEnd"/>
      <w:r w:rsidRPr="00632430">
        <w:rPr>
          <w:rFonts w:ascii="Calibri" w:hAnsi="Calibri" w:cs="Calibri"/>
          <w:szCs w:val="24"/>
        </w:rPr>
        <w:t xml:space="preserve"> factor </w:t>
      </w:r>
      <w:r w:rsidR="00632430" w:rsidRPr="00632430">
        <w:rPr>
          <w:rFonts w:ascii="Calibri" w:hAnsi="Calibri" w:cs="Calibri"/>
          <w:szCs w:val="24"/>
        </w:rPr>
        <w:t xml:space="preserve">with conditions </w:t>
      </w:r>
      <w:r w:rsidRPr="00632430">
        <w:rPr>
          <w:rFonts w:ascii="Calibri" w:hAnsi="Calibri" w:cs="Calibri"/>
          <w:szCs w:val="24"/>
        </w:rPr>
        <w:t>and approves this Determination of Need application</w:t>
      </w:r>
      <w:r w:rsidR="00632430" w:rsidRPr="00632430">
        <w:rPr>
          <w:rFonts w:ascii="Calibri" w:hAnsi="Calibri" w:cs="Calibri"/>
          <w:szCs w:val="24"/>
        </w:rPr>
        <w:t xml:space="preserve"> </w:t>
      </w:r>
      <w:r w:rsidRPr="00632430">
        <w:rPr>
          <w:rFonts w:ascii="Calibri" w:hAnsi="Calibri" w:cs="Calibri"/>
          <w:szCs w:val="24"/>
        </w:rPr>
        <w:t>for a substantial capital expenditure for the Proposed Project of $</w:t>
      </w:r>
      <w:r w:rsidR="00632430" w:rsidRPr="00632430">
        <w:rPr>
          <w:rFonts w:ascii="Calibri" w:hAnsi="Calibri" w:cs="Calibri"/>
        </w:rPr>
        <w:t>150,098,582.00</w:t>
      </w:r>
      <w:r w:rsidR="00632430" w:rsidRPr="00632430">
        <w:rPr>
          <w:rFonts w:ascii="Calibri" w:hAnsi="Calibri" w:cs="Calibri"/>
          <w:szCs w:val="24"/>
        </w:rPr>
        <w:t xml:space="preserve"> </w:t>
      </w:r>
      <w:r w:rsidRPr="00632430">
        <w:rPr>
          <w:rFonts w:ascii="Calibri" w:hAnsi="Calibri" w:cs="Calibri"/>
          <w:szCs w:val="24"/>
        </w:rPr>
        <w:t>(January</w:t>
      </w:r>
      <w:r w:rsidR="00DD7883">
        <w:rPr>
          <w:rFonts w:ascii="Calibri" w:hAnsi="Calibri" w:cs="Calibri"/>
          <w:szCs w:val="24"/>
        </w:rPr>
        <w:t>,</w:t>
      </w:r>
      <w:r w:rsidR="007E2827">
        <w:rPr>
          <w:rFonts w:ascii="Calibri" w:hAnsi="Calibri" w:cs="Calibri"/>
          <w:szCs w:val="24"/>
        </w:rPr>
        <w:t xml:space="preserve"> </w:t>
      </w:r>
      <w:r w:rsidRPr="00632430">
        <w:rPr>
          <w:rFonts w:ascii="Calibri" w:hAnsi="Calibri" w:cs="Calibri"/>
          <w:szCs w:val="24"/>
        </w:rPr>
        <w:t>2021 dollars). The total required Community Health Initiative (CHI) contribution is $</w:t>
      </w:r>
      <w:r w:rsidR="00632430" w:rsidRPr="00632430">
        <w:rPr>
          <w:rFonts w:ascii="Calibri" w:hAnsi="Calibri" w:cs="Calibri"/>
        </w:rPr>
        <w:t>7,504,929.10</w:t>
      </w:r>
      <w:r w:rsidRPr="00632430">
        <w:rPr>
          <w:rFonts w:ascii="Calibri" w:hAnsi="Calibri" w:cs="Calibri"/>
          <w:szCs w:val="24"/>
        </w:rPr>
        <w:t>.</w:t>
      </w:r>
    </w:p>
    <w:p w14:paraId="174264F7" w14:textId="77777777" w:rsidR="00247707" w:rsidRDefault="00247707" w:rsidP="00247707">
      <w:pPr>
        <w:contextualSpacing/>
        <w:rPr>
          <w:rFonts w:ascii="Calibri" w:hAnsi="Calibri" w:cs="Calibri"/>
          <w:szCs w:val="24"/>
        </w:rPr>
      </w:pPr>
    </w:p>
    <w:p w14:paraId="69280822" w14:textId="77777777" w:rsidR="00247707" w:rsidRPr="00A356EC" w:rsidRDefault="006A7C7C" w:rsidP="00247707">
      <w:pPr>
        <w:contextualSpacing/>
        <w:rPr>
          <w:rFonts w:ascii="Calibri" w:hAnsi="Calibri" w:cs="Calibri"/>
          <w:szCs w:val="24"/>
        </w:rPr>
      </w:pPr>
      <w:r w:rsidRPr="00A356EC">
        <w:rPr>
          <w:rFonts w:ascii="Calibri" w:hAnsi="Calibri" w:cs="Calibri"/>
          <w:szCs w:val="24"/>
        </w:rPr>
        <w:t xml:space="preserve">In compliance with the provisions of 105 CMR 100.310(A)(2) and (11) the Holder shall </w:t>
      </w:r>
      <w:proofErr w:type="gramStart"/>
      <w:r w:rsidRPr="00A356EC">
        <w:rPr>
          <w:rFonts w:ascii="Calibri" w:hAnsi="Calibri" w:cs="Calibri"/>
          <w:szCs w:val="24"/>
        </w:rPr>
        <w:t>submit</w:t>
      </w:r>
      <w:proofErr w:type="gramEnd"/>
      <w:r w:rsidRPr="00A356EC">
        <w:rPr>
          <w:rFonts w:ascii="Calibri" w:hAnsi="Calibri" w:cs="Calibri"/>
          <w:szCs w:val="24"/>
        </w:rPr>
        <w:t xml:space="preserve"> an acknowledgment of receipt to the Department (attached) and include a written attestation of participation or intent to participate in MassHealth.</w:t>
      </w:r>
    </w:p>
    <w:p w14:paraId="3FCCE73A" w14:textId="77777777" w:rsidR="006A7C7C" w:rsidRPr="00A356EC" w:rsidRDefault="006A7C7C" w:rsidP="00247707">
      <w:pPr>
        <w:contextualSpacing/>
        <w:rPr>
          <w:rFonts w:ascii="Calibri" w:hAnsi="Calibri" w:cs="Calibri"/>
          <w:szCs w:val="24"/>
        </w:rPr>
      </w:pPr>
    </w:p>
    <w:p w14:paraId="32CF84F9"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In compliance with 105 CMR 100.310(A)(12), which requires a report to the Department, at a minimum on an annual basis, including the measures related to achievement of the </w:t>
      </w:r>
      <w:proofErr w:type="spellStart"/>
      <w:r w:rsidRPr="00A356EC">
        <w:rPr>
          <w:rFonts w:ascii="Calibri" w:hAnsi="Calibri" w:cs="Calibri"/>
          <w:szCs w:val="24"/>
        </w:rPr>
        <w:t>DoN</w:t>
      </w:r>
      <w:proofErr w:type="spellEnd"/>
      <w:r w:rsidRPr="00A356EC">
        <w:rPr>
          <w:rFonts w:ascii="Calibri" w:hAnsi="Calibri" w:cs="Calibri"/>
          <w:szCs w:val="24"/>
        </w:rPr>
        <w:t xml:space="preserve"> factors for a period of five years from completion of the Proposed Project, the Holder shall address its assertions with respect to all the factors.</w:t>
      </w:r>
    </w:p>
    <w:p w14:paraId="5E2D0352" w14:textId="77777777" w:rsidR="006A7C7C" w:rsidRPr="00A356EC" w:rsidRDefault="006A7C7C" w:rsidP="00247707">
      <w:pPr>
        <w:contextualSpacing/>
        <w:rPr>
          <w:rFonts w:ascii="Calibri" w:hAnsi="Calibri" w:cs="Calibri"/>
          <w:szCs w:val="24"/>
        </w:rPr>
      </w:pPr>
    </w:p>
    <w:p w14:paraId="7FE549D6" w14:textId="77777777" w:rsidR="006A7C7C" w:rsidRPr="00A356EC" w:rsidRDefault="006A7C7C" w:rsidP="00247707">
      <w:pPr>
        <w:contextualSpacing/>
        <w:rPr>
          <w:rFonts w:ascii="Calibri" w:hAnsi="Calibri" w:cs="Calibri"/>
          <w:b/>
          <w:bCs/>
          <w:szCs w:val="24"/>
        </w:rPr>
      </w:pPr>
      <w:r w:rsidRPr="00A356EC">
        <w:rPr>
          <w:rFonts w:ascii="Calibri" w:hAnsi="Calibri" w:cs="Calibri"/>
          <w:b/>
          <w:bCs/>
          <w:szCs w:val="24"/>
        </w:rPr>
        <w:t xml:space="preserve">Other Conditions to the </w:t>
      </w:r>
      <w:proofErr w:type="spellStart"/>
      <w:r w:rsidRPr="00A356EC">
        <w:rPr>
          <w:rFonts w:ascii="Calibri" w:hAnsi="Calibri" w:cs="Calibri"/>
          <w:b/>
          <w:bCs/>
          <w:szCs w:val="24"/>
        </w:rPr>
        <w:t>DoN</w:t>
      </w:r>
      <w:proofErr w:type="spellEnd"/>
    </w:p>
    <w:p w14:paraId="1A4E89E9" w14:textId="77777777" w:rsidR="006A7C7C" w:rsidRPr="00A356EC" w:rsidRDefault="006A7C7C" w:rsidP="00247707">
      <w:pPr>
        <w:contextualSpacing/>
        <w:rPr>
          <w:rFonts w:ascii="Calibri" w:hAnsi="Calibri" w:cs="Calibri"/>
          <w:b/>
          <w:bCs/>
          <w:szCs w:val="24"/>
        </w:rPr>
      </w:pPr>
    </w:p>
    <w:p w14:paraId="520D6A2A" w14:textId="77777777" w:rsidR="006A7C7C" w:rsidRPr="00A356EC" w:rsidRDefault="006A7C7C" w:rsidP="006A7C7C">
      <w:pPr>
        <w:ind w:right="540"/>
        <w:rPr>
          <w:rFonts w:ascii="Calibri" w:eastAsia="Calibri" w:hAnsi="Calibri" w:cs="Calibri"/>
          <w:b/>
          <w:bCs/>
          <w:szCs w:val="24"/>
        </w:rPr>
      </w:pPr>
      <w:r w:rsidRPr="00A356EC">
        <w:rPr>
          <w:rFonts w:ascii="Calibri" w:eastAsia="Calibri" w:hAnsi="Calibri" w:cs="Calibri"/>
          <w:b/>
          <w:bCs/>
          <w:szCs w:val="24"/>
        </w:rPr>
        <w:t>Condition 1 – CHI Contribution</w:t>
      </w:r>
    </w:p>
    <w:p w14:paraId="67AEA1C6" w14:textId="77777777" w:rsidR="00343CF3" w:rsidRPr="00343CF3" w:rsidRDefault="00343CF3" w:rsidP="00343CF3">
      <w:pPr>
        <w:pStyle w:val="ListParagraph"/>
        <w:numPr>
          <w:ilvl w:val="0"/>
          <w:numId w:val="11"/>
        </w:numPr>
        <w:ind w:right="540"/>
        <w:rPr>
          <w:rFonts w:ascii="Calibri" w:eastAsia="Calibri" w:hAnsi="Calibri" w:cs="Calibri"/>
        </w:rPr>
      </w:pPr>
      <w:r w:rsidRPr="00343CF3">
        <w:rPr>
          <w:rFonts w:ascii="Calibri" w:eastAsia="Calibri" w:hAnsi="Calibri" w:cs="Calibri"/>
        </w:rPr>
        <w:t>Of the total required CHI contribution of $7,504,929.10</w:t>
      </w:r>
    </w:p>
    <w:p w14:paraId="318124F0" w14:textId="77777777" w:rsidR="00343CF3" w:rsidRPr="00343CF3" w:rsidRDefault="00343CF3" w:rsidP="00343CF3">
      <w:pPr>
        <w:numPr>
          <w:ilvl w:val="1"/>
          <w:numId w:val="11"/>
        </w:numPr>
        <w:ind w:left="1440" w:right="540"/>
        <w:contextualSpacing/>
        <w:rPr>
          <w:rFonts w:ascii="Calibri" w:eastAsia="Calibri" w:hAnsi="Calibri" w:cs="Calibri"/>
        </w:rPr>
      </w:pPr>
      <w:r w:rsidRPr="00343CF3">
        <w:rPr>
          <w:rFonts w:ascii="Calibri" w:eastAsia="Calibri" w:hAnsi="Calibri" w:cs="Calibri"/>
        </w:rPr>
        <w:t xml:space="preserve">$1,838,707.63 will be directed to the CHI Statewide Initiative </w:t>
      </w:r>
    </w:p>
    <w:p w14:paraId="4272D644" w14:textId="77777777" w:rsidR="00343CF3" w:rsidRPr="00343CF3" w:rsidRDefault="00343CF3" w:rsidP="00343CF3">
      <w:pPr>
        <w:numPr>
          <w:ilvl w:val="1"/>
          <w:numId w:val="11"/>
        </w:numPr>
        <w:ind w:left="1440" w:right="540"/>
        <w:contextualSpacing/>
        <w:rPr>
          <w:rFonts w:ascii="Calibri" w:eastAsia="Calibri" w:hAnsi="Calibri" w:cs="Calibri"/>
        </w:rPr>
      </w:pPr>
      <w:r w:rsidRPr="00343CF3">
        <w:rPr>
          <w:rFonts w:ascii="Calibri" w:eastAsia="Calibri" w:hAnsi="Calibri" w:cs="Calibri"/>
        </w:rPr>
        <w:t xml:space="preserve">$5,516,122.89 will be dedicated to local approaches to the </w:t>
      </w:r>
      <w:proofErr w:type="spellStart"/>
      <w:r w:rsidRPr="00343CF3">
        <w:rPr>
          <w:rFonts w:ascii="Calibri" w:eastAsia="Calibri" w:hAnsi="Calibri" w:cs="Calibri"/>
        </w:rPr>
        <w:t>DoN</w:t>
      </w:r>
      <w:proofErr w:type="spellEnd"/>
      <w:r w:rsidRPr="00343CF3">
        <w:rPr>
          <w:rFonts w:ascii="Calibri" w:eastAsia="Calibri" w:hAnsi="Calibri" w:cs="Calibri"/>
        </w:rPr>
        <w:t xml:space="preserve"> Health Priorities </w:t>
      </w:r>
    </w:p>
    <w:p w14:paraId="4A92C8B1" w14:textId="77777777" w:rsidR="00343CF3" w:rsidRPr="00343CF3" w:rsidRDefault="00343CF3" w:rsidP="00343CF3">
      <w:pPr>
        <w:numPr>
          <w:ilvl w:val="1"/>
          <w:numId w:val="11"/>
        </w:numPr>
        <w:ind w:left="1440" w:right="540"/>
        <w:contextualSpacing/>
        <w:rPr>
          <w:rFonts w:ascii="Calibri" w:eastAsia="Calibri" w:hAnsi="Calibri" w:cs="Calibri"/>
        </w:rPr>
      </w:pPr>
      <w:r w:rsidRPr="00343CF3">
        <w:rPr>
          <w:rFonts w:ascii="Calibri" w:eastAsia="Calibri" w:hAnsi="Calibri" w:cs="Calibri"/>
        </w:rPr>
        <w:t xml:space="preserve">$150,098.58 will be </w:t>
      </w:r>
      <w:proofErr w:type="gramStart"/>
      <w:r w:rsidRPr="00343CF3">
        <w:rPr>
          <w:rFonts w:ascii="Calibri" w:eastAsia="Calibri" w:hAnsi="Calibri" w:cs="Calibri"/>
        </w:rPr>
        <w:t>designated</w:t>
      </w:r>
      <w:proofErr w:type="gramEnd"/>
      <w:r w:rsidRPr="00343CF3">
        <w:rPr>
          <w:rFonts w:ascii="Calibri" w:eastAsia="Calibri" w:hAnsi="Calibri" w:cs="Calibri"/>
        </w:rPr>
        <w:t xml:space="preserve"> as the administrative allowance</w:t>
      </w:r>
    </w:p>
    <w:p w14:paraId="7C2A0DE8" w14:textId="77777777" w:rsidR="00343CF3" w:rsidRPr="00343CF3" w:rsidRDefault="00343CF3" w:rsidP="00343CF3">
      <w:pPr>
        <w:pStyle w:val="ListParagraph"/>
        <w:numPr>
          <w:ilvl w:val="0"/>
          <w:numId w:val="11"/>
        </w:numPr>
        <w:ind w:right="540"/>
        <w:rPr>
          <w:rFonts w:ascii="Calibri" w:eastAsia="Calibri" w:hAnsi="Calibri" w:cs="Calibri"/>
        </w:rPr>
      </w:pPr>
      <w:r w:rsidRPr="00343CF3">
        <w:rPr>
          <w:rFonts w:ascii="Calibri" w:eastAsia="Calibri" w:hAnsi="Calibri" w:cs="Calibri"/>
        </w:rPr>
        <w:t xml:space="preserve">To </w:t>
      </w:r>
      <w:proofErr w:type="gramStart"/>
      <w:r w:rsidRPr="00343CF3">
        <w:rPr>
          <w:rFonts w:ascii="Calibri" w:eastAsia="Calibri" w:hAnsi="Calibri" w:cs="Calibri"/>
        </w:rPr>
        <w:t>comply with</w:t>
      </w:r>
      <w:proofErr w:type="gramEnd"/>
      <w:r w:rsidRPr="00343CF3">
        <w:rPr>
          <w:rFonts w:ascii="Calibri" w:eastAsia="Calibri" w:hAnsi="Calibri" w:cs="Calibri"/>
        </w:rPr>
        <w:t xml:space="preserve"> the Holder’s obligation to contribute to the Statewide CHI Initiative, the Holder must submit a check for $1,838,707.63 to Health Resources in Action (the fiscal agent for the CHI Statewide Initiative). </w:t>
      </w:r>
    </w:p>
    <w:p w14:paraId="746474CA" w14:textId="77777777" w:rsidR="00343CF3" w:rsidRPr="00343CF3" w:rsidRDefault="00343CF3" w:rsidP="00343CF3">
      <w:pPr>
        <w:numPr>
          <w:ilvl w:val="2"/>
          <w:numId w:val="11"/>
        </w:numPr>
        <w:ind w:right="540"/>
        <w:contextualSpacing/>
        <w:rPr>
          <w:rFonts w:ascii="Calibri" w:eastAsia="Calibri" w:hAnsi="Calibri" w:cs="Calibri"/>
        </w:rPr>
      </w:pPr>
      <w:r w:rsidRPr="00343CF3">
        <w:rPr>
          <w:rFonts w:ascii="Calibri" w:eastAsia="Calibri" w:hAnsi="Calibri" w:cs="Calibri"/>
        </w:rPr>
        <w:t xml:space="preserve">The Holder must </w:t>
      </w:r>
      <w:proofErr w:type="gramStart"/>
      <w:r w:rsidRPr="00343CF3">
        <w:rPr>
          <w:rFonts w:ascii="Calibri" w:eastAsia="Calibri" w:hAnsi="Calibri" w:cs="Calibri"/>
        </w:rPr>
        <w:t>submit</w:t>
      </w:r>
      <w:proofErr w:type="gramEnd"/>
      <w:r w:rsidRPr="00343CF3">
        <w:rPr>
          <w:rFonts w:ascii="Calibri" w:eastAsia="Calibri" w:hAnsi="Calibri" w:cs="Calibri"/>
        </w:rPr>
        <w:t xml:space="preserve"> the funds to </w:t>
      </w:r>
      <w:proofErr w:type="spellStart"/>
      <w:r w:rsidRPr="00343CF3">
        <w:rPr>
          <w:rFonts w:ascii="Calibri" w:eastAsia="Calibri" w:hAnsi="Calibri" w:cs="Calibri"/>
        </w:rPr>
        <w:t>HRiA</w:t>
      </w:r>
      <w:proofErr w:type="spellEnd"/>
      <w:r w:rsidRPr="00343CF3">
        <w:rPr>
          <w:rFonts w:ascii="Calibri" w:eastAsia="Calibri" w:hAnsi="Calibri" w:cs="Calibri"/>
        </w:rPr>
        <w:t xml:space="preserve"> within 30 days from the date of the Notice of Approval. </w:t>
      </w:r>
    </w:p>
    <w:p w14:paraId="4CE15ECC" w14:textId="77777777" w:rsidR="00343CF3" w:rsidRPr="00343CF3" w:rsidRDefault="00343CF3" w:rsidP="00343CF3">
      <w:pPr>
        <w:numPr>
          <w:ilvl w:val="2"/>
          <w:numId w:val="11"/>
        </w:numPr>
        <w:ind w:right="540"/>
        <w:contextualSpacing/>
        <w:rPr>
          <w:rFonts w:ascii="Calibri" w:eastAsia="Calibri" w:hAnsi="Calibri" w:cs="Calibri"/>
        </w:rPr>
      </w:pPr>
      <w:r w:rsidRPr="00343CF3">
        <w:rPr>
          <w:rFonts w:ascii="Calibri" w:eastAsia="Calibri" w:hAnsi="Calibri" w:cs="Calibri"/>
        </w:rPr>
        <w:t>The Holder must promptly notify DPH (CHI contact staff) when the payment has been made.</w:t>
      </w:r>
    </w:p>
    <w:p w14:paraId="7CFE83DC" w14:textId="77777777" w:rsidR="001F62C1" w:rsidRPr="00A356EC" w:rsidRDefault="001F62C1" w:rsidP="001F62C1">
      <w:pPr>
        <w:ind w:left="720" w:right="-10"/>
        <w:rPr>
          <w:rFonts w:ascii="Calibri" w:hAnsi="Calibri" w:cs="Calibri"/>
          <w:bCs/>
          <w:szCs w:val="24"/>
        </w:rPr>
      </w:pPr>
    </w:p>
    <w:p w14:paraId="4B158143" w14:textId="77777777" w:rsidR="001F62C1" w:rsidRPr="00A356EC" w:rsidRDefault="001F62C1" w:rsidP="001F62C1">
      <w:pPr>
        <w:ind w:left="720" w:right="-10"/>
        <w:rPr>
          <w:rFonts w:ascii="Calibri" w:hAnsi="Calibri" w:cs="Calibri"/>
          <w:bCs/>
          <w:szCs w:val="24"/>
        </w:rPr>
      </w:pPr>
      <w:r w:rsidRPr="00A356EC">
        <w:rPr>
          <w:rFonts w:ascii="Calibri" w:hAnsi="Calibri" w:cs="Calibri"/>
          <w:bCs/>
          <w:szCs w:val="24"/>
        </w:rPr>
        <w:t>Payment should be sent to:</w:t>
      </w:r>
      <w:r w:rsidRPr="00A356EC">
        <w:rPr>
          <w:rFonts w:ascii="Calibri" w:hAnsi="Calibri" w:cs="Calibri"/>
          <w:bCs/>
          <w:szCs w:val="24"/>
        </w:rPr>
        <w:br/>
        <w:t>Health Resources in Action, Inc., (</w:t>
      </w:r>
      <w:proofErr w:type="spellStart"/>
      <w:r w:rsidRPr="00A356EC">
        <w:rPr>
          <w:rFonts w:ascii="Calibri" w:hAnsi="Calibri" w:cs="Calibri"/>
          <w:bCs/>
          <w:szCs w:val="24"/>
        </w:rPr>
        <w:t>HRiA</w:t>
      </w:r>
      <w:proofErr w:type="spellEnd"/>
      <w:r w:rsidRPr="00A356EC">
        <w:rPr>
          <w:rFonts w:ascii="Calibri" w:hAnsi="Calibri" w:cs="Calibri"/>
          <w:bCs/>
          <w:szCs w:val="24"/>
        </w:rPr>
        <w:t>)</w:t>
      </w:r>
      <w:r w:rsidRPr="00A356EC">
        <w:rPr>
          <w:rFonts w:ascii="Calibri" w:hAnsi="Calibri" w:cs="Calibri"/>
          <w:bCs/>
          <w:szCs w:val="24"/>
        </w:rPr>
        <w:br/>
        <w:t>2 Boylston Street, 4th Floor</w:t>
      </w:r>
      <w:r w:rsidRPr="00A356EC">
        <w:rPr>
          <w:rFonts w:ascii="Calibri" w:hAnsi="Calibri" w:cs="Calibri"/>
          <w:bCs/>
          <w:szCs w:val="24"/>
        </w:rPr>
        <w:br/>
        <w:t>Boston, MA 02116</w:t>
      </w:r>
      <w:r w:rsidRPr="00A356EC">
        <w:rPr>
          <w:rFonts w:ascii="Calibri" w:hAnsi="Calibri" w:cs="Calibri"/>
          <w:bCs/>
          <w:szCs w:val="24"/>
        </w:rPr>
        <w:br/>
        <w:t>Attn: Ms. Bora Toro</w:t>
      </w:r>
    </w:p>
    <w:p w14:paraId="130CC860" w14:textId="77777777" w:rsidR="001F62C1" w:rsidRPr="00A356EC" w:rsidRDefault="001F62C1" w:rsidP="006A7C7C">
      <w:pPr>
        <w:spacing w:after="160" w:line="259" w:lineRule="auto"/>
        <w:rPr>
          <w:rFonts w:ascii="Calibri" w:hAnsi="Calibri" w:cs="Calibri"/>
          <w:szCs w:val="24"/>
        </w:rPr>
      </w:pPr>
    </w:p>
    <w:p w14:paraId="6C6FC6F7" w14:textId="77777777" w:rsidR="00343CF3" w:rsidRPr="00343CF3" w:rsidRDefault="00343CF3" w:rsidP="00343CF3">
      <w:pPr>
        <w:spacing w:line="257" w:lineRule="auto"/>
        <w:contextualSpacing/>
        <w:rPr>
          <w:rFonts w:ascii="Calibri" w:hAnsi="Calibri" w:cs="Calibri"/>
        </w:rPr>
      </w:pPr>
      <w:r w:rsidRPr="00343CF3">
        <w:rPr>
          <w:rFonts w:ascii="Calibri" w:hAnsi="Calibri" w:cs="Calibri"/>
          <w:b/>
          <w:bCs/>
        </w:rPr>
        <w:t>Condition 2</w:t>
      </w:r>
      <w:r w:rsidRPr="00343CF3">
        <w:rPr>
          <w:rFonts w:ascii="Calibri" w:hAnsi="Calibri" w:cs="Calibri"/>
        </w:rPr>
        <w:t xml:space="preserve"> – The Holder shall, on an annual basis, </w:t>
      </w:r>
      <w:proofErr w:type="gramStart"/>
      <w:r w:rsidRPr="00343CF3">
        <w:rPr>
          <w:rFonts w:ascii="Calibri" w:hAnsi="Calibri" w:cs="Calibri"/>
        </w:rPr>
        <w:t>commencing</w:t>
      </w:r>
      <w:proofErr w:type="gramEnd"/>
      <w:r w:rsidRPr="00343CF3">
        <w:rPr>
          <w:rFonts w:ascii="Calibri" w:hAnsi="Calibri" w:cs="Calibri"/>
        </w:rPr>
        <w:t xml:space="preserve"> with the approval of this </w:t>
      </w:r>
      <w:proofErr w:type="spellStart"/>
      <w:r w:rsidRPr="00343CF3">
        <w:rPr>
          <w:rFonts w:ascii="Calibri" w:hAnsi="Calibri" w:cs="Calibri"/>
        </w:rPr>
        <w:t>DoN</w:t>
      </w:r>
      <w:proofErr w:type="spellEnd"/>
      <w:r w:rsidRPr="00343CF3">
        <w:rPr>
          <w:rFonts w:ascii="Calibri" w:hAnsi="Calibri" w:cs="Calibri"/>
        </w:rPr>
        <w:t xml:space="preserve">, and continuing for a period of five years after the Proposed Project is complete, provide the following information as part of the annual report required by 105 CMR 100.310(A)(12): </w:t>
      </w:r>
    </w:p>
    <w:p w14:paraId="1730E57F" w14:textId="77777777" w:rsidR="00343CF3" w:rsidRPr="00343CF3" w:rsidRDefault="00343CF3" w:rsidP="00343CF3">
      <w:pPr>
        <w:pStyle w:val="ListParagraph"/>
        <w:numPr>
          <w:ilvl w:val="0"/>
          <w:numId w:val="12"/>
        </w:numPr>
        <w:spacing w:line="257" w:lineRule="auto"/>
        <w:rPr>
          <w:rFonts w:ascii="Calibri" w:hAnsi="Calibri" w:cs="Calibri"/>
        </w:rPr>
      </w:pPr>
      <w:r w:rsidRPr="00343CF3">
        <w:rPr>
          <w:rFonts w:ascii="Calibri" w:hAnsi="Calibri" w:cs="Calibri"/>
        </w:rPr>
        <w:t xml:space="preserve">Transfer of patients from BWH to BWFH inpatient care </w:t>
      </w:r>
    </w:p>
    <w:p w14:paraId="49E1050A"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t>The number of patients who transfer from BWH to BWFH.</w:t>
      </w:r>
    </w:p>
    <w:p w14:paraId="588B2A8C"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lastRenderedPageBreak/>
        <w:t xml:space="preserve">The number and percent of patients clinically eligible to transfer from BWH who do transfer to BWFH (measured by # of patients who transfer from BWH to BWFH/total # of patients clinically eligible for transfer). </w:t>
      </w:r>
    </w:p>
    <w:p w14:paraId="6DEC157F"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t>The acuity level by case mix index of the transferred patients.</w:t>
      </w:r>
    </w:p>
    <w:p w14:paraId="1501A4C5"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t xml:space="preserve">The acuity level by case mix index for medical/surgical (M/S) patients at BWH. </w:t>
      </w:r>
    </w:p>
    <w:p w14:paraId="7B1AE850"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t xml:space="preserve">The acuity level by case mix index for medical/surgical (M/S) patients at BWFH. </w:t>
      </w:r>
    </w:p>
    <w:p w14:paraId="524F4198"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t>The number of patients transferred from BWFH to BWH including the acuity level of these patients.</w:t>
      </w:r>
    </w:p>
    <w:p w14:paraId="459439DD"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cs="Calibri"/>
        </w:rPr>
        <w:t>Separately for the BWH and BW</w:t>
      </w:r>
      <w:r w:rsidR="00202026">
        <w:rPr>
          <w:rFonts w:ascii="Calibri" w:hAnsi="Calibri" w:cs="Calibri"/>
        </w:rPr>
        <w:t>F</w:t>
      </w:r>
      <w:r w:rsidRPr="00343CF3">
        <w:rPr>
          <w:rFonts w:ascii="Calibri" w:hAnsi="Calibri" w:cs="Calibri"/>
        </w:rPr>
        <w:t xml:space="preserve">H EDs: </w:t>
      </w:r>
    </w:p>
    <w:p w14:paraId="627C9E5D" w14:textId="77777777" w:rsidR="00343CF3" w:rsidRPr="00343CF3" w:rsidRDefault="00343CF3" w:rsidP="00343CF3">
      <w:pPr>
        <w:pStyle w:val="ListParagraph"/>
        <w:numPr>
          <w:ilvl w:val="2"/>
          <w:numId w:val="13"/>
        </w:numPr>
        <w:spacing w:line="257" w:lineRule="auto"/>
        <w:rPr>
          <w:rFonts w:ascii="Calibri" w:hAnsi="Calibri" w:cs="Calibri"/>
        </w:rPr>
      </w:pPr>
      <w:r w:rsidRPr="00343CF3">
        <w:rPr>
          <w:rFonts w:ascii="Calibri" w:hAnsi="Calibri" w:cs="Calibri"/>
        </w:rPr>
        <w:t xml:space="preserve">the number of ED boarders awaiting a med/surg bed (with boarding defined as 2 hours from the request for a bed). </w:t>
      </w:r>
    </w:p>
    <w:p w14:paraId="61D42FC6" w14:textId="77777777" w:rsidR="00343CF3" w:rsidRPr="00343CF3" w:rsidRDefault="00343CF3" w:rsidP="00343CF3">
      <w:pPr>
        <w:pStyle w:val="ListParagraph"/>
        <w:numPr>
          <w:ilvl w:val="2"/>
          <w:numId w:val="13"/>
        </w:numPr>
        <w:spacing w:line="257" w:lineRule="auto"/>
        <w:rPr>
          <w:rFonts w:ascii="Calibri" w:hAnsi="Calibri" w:cs="Calibri"/>
        </w:rPr>
      </w:pPr>
      <w:r w:rsidRPr="00343CF3">
        <w:rPr>
          <w:rFonts w:ascii="Calibri" w:hAnsi="Calibri" w:cs="Calibri"/>
        </w:rPr>
        <w:t>Total hours of med/surg boarding and the average hours of boarding per patient.</w:t>
      </w:r>
    </w:p>
    <w:p w14:paraId="24399E8A" w14:textId="77777777" w:rsidR="00343CF3" w:rsidRPr="00343CF3" w:rsidRDefault="00343CF3" w:rsidP="00343CF3">
      <w:pPr>
        <w:pStyle w:val="ListParagraph"/>
        <w:numPr>
          <w:ilvl w:val="0"/>
          <w:numId w:val="13"/>
        </w:numPr>
        <w:spacing w:after="160" w:line="257" w:lineRule="auto"/>
        <w:rPr>
          <w:rFonts w:ascii="Calibri" w:hAnsi="Calibri" w:cs="Calibri"/>
        </w:rPr>
      </w:pPr>
      <w:r w:rsidRPr="00343CF3">
        <w:rPr>
          <w:rFonts w:ascii="Calibri" w:hAnsi="Calibri" w:cs="Calibri"/>
        </w:rPr>
        <w:t xml:space="preserve">Percentage (with numerator and denominator) of BWFH </w:t>
      </w:r>
      <w:proofErr w:type="spellStart"/>
      <w:r w:rsidRPr="00343CF3">
        <w:rPr>
          <w:rFonts w:ascii="Calibri" w:hAnsi="Calibri" w:cs="Calibri"/>
        </w:rPr>
        <w:t>inpatients</w:t>
      </w:r>
      <w:proofErr w:type="spellEnd"/>
      <w:r w:rsidRPr="00343CF3">
        <w:rPr>
          <w:rFonts w:ascii="Calibri" w:hAnsi="Calibri" w:cs="Calibri"/>
        </w:rPr>
        <w:t xml:space="preserve"> who were part of MGB’s Patient Panel prior to the BWFH admission. </w:t>
      </w:r>
    </w:p>
    <w:p w14:paraId="5183E548" w14:textId="77777777" w:rsidR="00343CF3" w:rsidRPr="0010719C" w:rsidRDefault="00343CF3" w:rsidP="00343CF3">
      <w:pPr>
        <w:spacing w:line="257" w:lineRule="auto"/>
        <w:jc w:val="center"/>
        <w:rPr>
          <w:sz w:val="20"/>
          <w:u w:val="single"/>
        </w:rPr>
      </w:pPr>
      <w:r>
        <w:rPr>
          <w:sz w:val="20"/>
          <w:u w:val="single"/>
        </w:rPr>
        <w:t>T</w:t>
      </w:r>
      <w:r w:rsidRPr="0010719C">
        <w:rPr>
          <w:sz w:val="20"/>
          <w:u w:val="single"/>
        </w:rPr>
        <w:t xml:space="preserve">he number of </w:t>
      </w:r>
      <w:r>
        <w:rPr>
          <w:sz w:val="20"/>
          <w:u w:val="single"/>
        </w:rPr>
        <w:t xml:space="preserve">BWFH </w:t>
      </w:r>
      <w:proofErr w:type="spellStart"/>
      <w:r>
        <w:rPr>
          <w:sz w:val="20"/>
          <w:u w:val="single"/>
        </w:rPr>
        <w:t>in</w:t>
      </w:r>
      <w:r w:rsidRPr="0010719C">
        <w:rPr>
          <w:sz w:val="20"/>
          <w:u w:val="single"/>
        </w:rPr>
        <w:t>patients</w:t>
      </w:r>
      <w:proofErr w:type="spellEnd"/>
      <w:r>
        <w:rPr>
          <w:sz w:val="20"/>
          <w:u w:val="single"/>
        </w:rPr>
        <w:t xml:space="preserve"> who were part of MGB’s Patient Panel prior to the BWFH admission</w:t>
      </w:r>
      <w:r w:rsidRPr="0010719C">
        <w:rPr>
          <w:sz w:val="20"/>
          <w:u w:val="single"/>
        </w:rPr>
        <w:t xml:space="preserve"> </w:t>
      </w:r>
    </w:p>
    <w:p w14:paraId="4BFFCA21" w14:textId="77777777" w:rsidR="00343CF3" w:rsidRDefault="00343CF3" w:rsidP="00221860">
      <w:pPr>
        <w:pStyle w:val="ListParagraph"/>
        <w:spacing w:line="257" w:lineRule="auto"/>
        <w:ind w:left="1440"/>
        <w:jc w:val="center"/>
        <w:rPr>
          <w:sz w:val="20"/>
          <w:szCs w:val="20"/>
        </w:rPr>
      </w:pPr>
      <w:r>
        <w:rPr>
          <w:sz w:val="20"/>
          <w:szCs w:val="20"/>
        </w:rPr>
        <w:t>Total patients</w:t>
      </w:r>
      <w:r w:rsidRPr="0010719C">
        <w:rPr>
          <w:sz w:val="20"/>
          <w:szCs w:val="20"/>
        </w:rPr>
        <w:t xml:space="preserve"> </w:t>
      </w:r>
      <w:r>
        <w:rPr>
          <w:sz w:val="20"/>
          <w:szCs w:val="20"/>
        </w:rPr>
        <w:t>admitted</w:t>
      </w:r>
    </w:p>
    <w:p w14:paraId="2EFA3F10" w14:textId="77777777" w:rsidR="00343CF3" w:rsidRPr="00343CF3" w:rsidRDefault="00343CF3" w:rsidP="00343CF3">
      <w:pPr>
        <w:pStyle w:val="ListParagraph"/>
        <w:spacing w:line="257" w:lineRule="auto"/>
        <w:ind w:left="1440"/>
        <w:rPr>
          <w:rFonts w:ascii="Calibri" w:hAnsi="Calibri" w:cs="Calibri"/>
        </w:rPr>
      </w:pPr>
    </w:p>
    <w:p w14:paraId="515211F1" w14:textId="77777777" w:rsidR="00343CF3" w:rsidRPr="00343CF3" w:rsidRDefault="00343CF3" w:rsidP="00343CF3">
      <w:pPr>
        <w:pStyle w:val="ListParagraph"/>
        <w:numPr>
          <w:ilvl w:val="0"/>
          <w:numId w:val="13"/>
        </w:numPr>
        <w:spacing w:line="257" w:lineRule="auto"/>
        <w:rPr>
          <w:rFonts w:ascii="Calibri" w:hAnsi="Calibri" w:cs="Calibri"/>
        </w:rPr>
      </w:pPr>
      <w:r w:rsidRPr="00343CF3">
        <w:rPr>
          <w:rFonts w:ascii="Calibri" w:hAnsi="Calibri"/>
        </w:rPr>
        <w:t xml:space="preserve">Provide data included in this table MGB provided in responses to </w:t>
      </w:r>
      <w:proofErr w:type="spellStart"/>
      <w:r w:rsidRPr="00343CF3">
        <w:rPr>
          <w:rFonts w:ascii="Calibri" w:hAnsi="Calibri"/>
        </w:rPr>
        <w:t>DoN</w:t>
      </w:r>
      <w:proofErr w:type="spellEnd"/>
      <w:r w:rsidRPr="00343CF3">
        <w:rPr>
          <w:rFonts w:ascii="Calibri" w:hAnsi="Calibri"/>
        </w:rPr>
        <w:t xml:space="preserve"> questions (</w:t>
      </w:r>
      <w:hyperlink r:id="rId14" w:history="1">
        <w:r w:rsidRPr="00343CF3">
          <w:rPr>
            <w:rStyle w:val="Hyperlink"/>
            <w:rFonts w:ascii="Calibri" w:hAnsi="Calibri"/>
          </w:rPr>
          <w:t>https://www.mass.gov/doc/mass-general-brigham-incorporated-bwfh-responses-to-don-questions-1/download</w:t>
        </w:r>
      </w:hyperlink>
      <w:r w:rsidRPr="00343CF3">
        <w:rPr>
          <w:rFonts w:ascii="Calibri" w:hAnsi="Calibri"/>
        </w:rPr>
        <w:t>) Question 5e.</w:t>
      </w:r>
    </w:p>
    <w:p w14:paraId="54872F2E" w14:textId="76A48700" w:rsidR="00343CF3" w:rsidRPr="00343CF3" w:rsidRDefault="00356E5A" w:rsidP="00343CF3">
      <w:pPr>
        <w:pStyle w:val="ListParagraph"/>
        <w:spacing w:line="257" w:lineRule="auto"/>
        <w:ind w:left="1440"/>
        <w:rPr>
          <w:rFonts w:ascii="Calibri" w:hAnsi="Calibri" w:cs="Calibri"/>
        </w:rPr>
      </w:pPr>
      <w:r w:rsidRPr="00343CF3">
        <w:rPr>
          <w:rFonts w:ascii="Calibri" w:hAnsi="Calibri" w:cs="Calibri"/>
          <w:noProof/>
        </w:rPr>
        <w:drawing>
          <wp:inline distT="0" distB="0" distL="0" distR="0" wp14:anchorId="49564207" wp14:editId="07840DC0">
            <wp:extent cx="5173980" cy="1956435"/>
            <wp:effectExtent l="0" t="0" r="7620" b="5715"/>
            <wp:docPr id="2" name="Picture 6" descr="Table summarizing transfer details for patients from FY17-F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Table summarizing transfer details for patients from FY17-FY2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173980" cy="1956435"/>
                    </a:xfrm>
                    <a:prstGeom prst="rect">
                      <a:avLst/>
                    </a:prstGeom>
                    <a:noFill/>
                    <a:ln>
                      <a:noFill/>
                    </a:ln>
                  </pic:spPr>
                </pic:pic>
              </a:graphicData>
            </a:graphic>
          </wp:inline>
        </w:drawing>
      </w:r>
    </w:p>
    <w:p w14:paraId="6129CF60" w14:textId="77777777" w:rsidR="00343CF3" w:rsidRPr="00343CF3" w:rsidRDefault="00343CF3" w:rsidP="00B1329E">
      <w:pPr>
        <w:pStyle w:val="ListParagraph"/>
        <w:spacing w:line="257" w:lineRule="auto"/>
        <w:ind w:left="0"/>
        <w:rPr>
          <w:rFonts w:ascii="Calibri" w:hAnsi="Calibri"/>
        </w:rPr>
      </w:pPr>
    </w:p>
    <w:p w14:paraId="1C0583A6" w14:textId="77777777" w:rsidR="00343CF3" w:rsidRPr="00343CF3" w:rsidRDefault="00343CF3" w:rsidP="00343CF3">
      <w:pPr>
        <w:pStyle w:val="ListParagraph"/>
        <w:numPr>
          <w:ilvl w:val="0"/>
          <w:numId w:val="12"/>
        </w:numPr>
        <w:spacing w:line="257" w:lineRule="auto"/>
        <w:rPr>
          <w:rFonts w:ascii="Calibri" w:hAnsi="Calibri" w:cs="Calibri"/>
        </w:rPr>
      </w:pPr>
      <w:r w:rsidRPr="00343CF3">
        <w:rPr>
          <w:rFonts w:ascii="Calibri" w:hAnsi="Calibri" w:cs="Calibri"/>
        </w:rPr>
        <w:t xml:space="preserve">Endoscopy  </w:t>
      </w:r>
    </w:p>
    <w:p w14:paraId="1A982EC1" w14:textId="77777777" w:rsidR="00343CF3" w:rsidRPr="00343CF3" w:rsidRDefault="00343CF3" w:rsidP="00343CF3">
      <w:pPr>
        <w:pStyle w:val="ListParagraph"/>
        <w:numPr>
          <w:ilvl w:val="0"/>
          <w:numId w:val="15"/>
        </w:numPr>
        <w:spacing w:line="257" w:lineRule="auto"/>
        <w:rPr>
          <w:rFonts w:ascii="Calibri" w:hAnsi="Calibri" w:cs="Calibri"/>
        </w:rPr>
      </w:pPr>
      <w:r w:rsidRPr="00343CF3">
        <w:rPr>
          <w:rFonts w:ascii="Calibri" w:hAnsi="Calibri" w:cs="Calibri"/>
        </w:rPr>
        <w:t>The total number of advanced endoscopy procedures performed at BWFH (advanced endoscopy procedures defined as Endoscopic Retrograde Cholangiopancreatography (ERCP) and Endoscopic ultrasound (EUS)).</w:t>
      </w:r>
    </w:p>
    <w:p w14:paraId="5B466579" w14:textId="77777777" w:rsidR="00343CF3" w:rsidRPr="00343CF3" w:rsidRDefault="00343CF3" w:rsidP="00343CF3">
      <w:pPr>
        <w:pStyle w:val="ListParagraph"/>
        <w:numPr>
          <w:ilvl w:val="0"/>
          <w:numId w:val="15"/>
        </w:numPr>
        <w:spacing w:line="257" w:lineRule="auto"/>
        <w:rPr>
          <w:rFonts w:ascii="Calibri" w:hAnsi="Calibri" w:cs="Calibri"/>
        </w:rPr>
      </w:pPr>
      <w:r w:rsidRPr="00343CF3">
        <w:rPr>
          <w:rFonts w:ascii="Calibri" w:hAnsi="Calibri" w:cs="Calibri"/>
        </w:rPr>
        <w:t>The number of patients transferred to BWH from BWFH for advanced endoscopy procedures and top reasons for transfer.</w:t>
      </w:r>
    </w:p>
    <w:p w14:paraId="36AFB81C" w14:textId="77777777" w:rsidR="00343CF3" w:rsidRPr="00343CF3" w:rsidRDefault="00343CF3" w:rsidP="00343CF3">
      <w:pPr>
        <w:pStyle w:val="ListParagraph"/>
        <w:spacing w:line="257" w:lineRule="auto"/>
        <w:rPr>
          <w:rFonts w:ascii="Calibri" w:hAnsi="Calibri" w:cs="Calibri"/>
        </w:rPr>
      </w:pPr>
    </w:p>
    <w:p w14:paraId="0E36EC42" w14:textId="77777777" w:rsidR="00343CF3" w:rsidRPr="00343CF3" w:rsidRDefault="00343CF3" w:rsidP="00343CF3">
      <w:pPr>
        <w:pStyle w:val="ListParagraph"/>
        <w:numPr>
          <w:ilvl w:val="0"/>
          <w:numId w:val="12"/>
        </w:numPr>
        <w:spacing w:line="257" w:lineRule="auto"/>
        <w:rPr>
          <w:rFonts w:ascii="Calibri" w:hAnsi="Calibri" w:cs="Calibri"/>
        </w:rPr>
      </w:pPr>
      <w:r w:rsidRPr="00343CF3">
        <w:rPr>
          <w:rFonts w:ascii="Calibri" w:hAnsi="Calibri" w:cs="Calibri"/>
        </w:rPr>
        <w:t>Observation Units</w:t>
      </w:r>
    </w:p>
    <w:p w14:paraId="6C124A89" w14:textId="77777777" w:rsidR="00343CF3" w:rsidRPr="00343CF3" w:rsidRDefault="00343CF3" w:rsidP="00343CF3">
      <w:pPr>
        <w:pStyle w:val="ListParagraph"/>
        <w:numPr>
          <w:ilvl w:val="0"/>
          <w:numId w:val="16"/>
        </w:numPr>
        <w:spacing w:line="257" w:lineRule="auto"/>
        <w:rPr>
          <w:rFonts w:ascii="Calibri" w:hAnsi="Calibri" w:cs="Calibri"/>
        </w:rPr>
      </w:pPr>
      <w:r w:rsidRPr="00343CF3">
        <w:rPr>
          <w:rFonts w:ascii="Calibri" w:hAnsi="Calibri" w:cs="Calibri"/>
        </w:rPr>
        <w:t>The total of post-procedure patients receiving services in the observation unit.</w:t>
      </w:r>
    </w:p>
    <w:p w14:paraId="14C24A35" w14:textId="77777777" w:rsidR="00343CF3" w:rsidRDefault="00343CF3" w:rsidP="00343CF3">
      <w:pPr>
        <w:pStyle w:val="ListParagraph"/>
        <w:numPr>
          <w:ilvl w:val="0"/>
          <w:numId w:val="16"/>
        </w:numPr>
        <w:spacing w:line="257" w:lineRule="auto"/>
        <w:rPr>
          <w:rFonts w:ascii="Calibri" w:hAnsi="Calibri" w:cs="Calibri"/>
        </w:rPr>
      </w:pPr>
      <w:r w:rsidRPr="00343CF3">
        <w:rPr>
          <w:rFonts w:ascii="Calibri" w:hAnsi="Calibri" w:cs="Calibri"/>
        </w:rPr>
        <w:t xml:space="preserve">The occupancy rates of these observation beds at BWFH (occupancy rates calculated as number of patients </w:t>
      </w:r>
      <w:proofErr w:type="gramStart"/>
      <w:r w:rsidRPr="00343CF3">
        <w:rPr>
          <w:rFonts w:ascii="Calibri" w:hAnsi="Calibri" w:cs="Calibri"/>
        </w:rPr>
        <w:t>observed</w:t>
      </w:r>
      <w:proofErr w:type="gramEnd"/>
      <w:r w:rsidRPr="00343CF3">
        <w:rPr>
          <w:rFonts w:ascii="Calibri" w:hAnsi="Calibri" w:cs="Calibri"/>
        </w:rPr>
        <w:t xml:space="preserve"> over a given period of time to the total number of beds available for that same period of time).</w:t>
      </w:r>
    </w:p>
    <w:p w14:paraId="7CA57E09" w14:textId="77777777" w:rsidR="00202026" w:rsidRDefault="00202026" w:rsidP="00202026">
      <w:pPr>
        <w:pStyle w:val="ListParagraph"/>
        <w:spacing w:line="257" w:lineRule="auto"/>
        <w:ind w:left="1440"/>
        <w:rPr>
          <w:rFonts w:ascii="Calibri" w:hAnsi="Calibri" w:cs="Calibri"/>
        </w:rPr>
      </w:pPr>
    </w:p>
    <w:p w14:paraId="73E1149B" w14:textId="77777777" w:rsidR="00202026" w:rsidRPr="00343CF3" w:rsidRDefault="00202026" w:rsidP="00202026">
      <w:pPr>
        <w:pStyle w:val="ListParagraph"/>
        <w:spacing w:line="257" w:lineRule="auto"/>
        <w:ind w:left="1440"/>
        <w:rPr>
          <w:rFonts w:ascii="Calibri" w:hAnsi="Calibri" w:cs="Calibri"/>
        </w:rPr>
      </w:pPr>
    </w:p>
    <w:p w14:paraId="1CE06989" w14:textId="77777777" w:rsidR="00343CF3" w:rsidRPr="00343CF3" w:rsidRDefault="00343CF3" w:rsidP="00343CF3">
      <w:pPr>
        <w:pStyle w:val="ListParagraph"/>
        <w:numPr>
          <w:ilvl w:val="0"/>
          <w:numId w:val="12"/>
        </w:numPr>
        <w:spacing w:line="257" w:lineRule="auto"/>
        <w:rPr>
          <w:rFonts w:ascii="Calibri" w:hAnsi="Calibri" w:cs="Calibri"/>
        </w:rPr>
      </w:pPr>
      <w:r w:rsidRPr="00343CF3">
        <w:rPr>
          <w:rFonts w:ascii="Calibri" w:hAnsi="Calibri" w:cs="Calibri"/>
        </w:rPr>
        <w:lastRenderedPageBreak/>
        <w:t>Imaging</w:t>
      </w:r>
    </w:p>
    <w:p w14:paraId="683D5D8C" w14:textId="77777777" w:rsidR="00343CF3" w:rsidRPr="00343CF3" w:rsidRDefault="00343CF3" w:rsidP="00343CF3">
      <w:pPr>
        <w:pStyle w:val="ListParagraph"/>
        <w:numPr>
          <w:ilvl w:val="0"/>
          <w:numId w:val="17"/>
        </w:numPr>
        <w:spacing w:line="257" w:lineRule="auto"/>
        <w:rPr>
          <w:rFonts w:ascii="Calibri" w:hAnsi="Calibri" w:cs="Calibri"/>
        </w:rPr>
      </w:pPr>
      <w:r w:rsidRPr="00343CF3">
        <w:rPr>
          <w:rFonts w:ascii="Calibri" w:hAnsi="Calibri" w:cs="Calibri"/>
        </w:rPr>
        <w:t xml:space="preserve">Upon implementation of the MRI, </w:t>
      </w:r>
      <w:proofErr w:type="gramStart"/>
      <w:r w:rsidRPr="00343CF3">
        <w:rPr>
          <w:rFonts w:ascii="Calibri" w:hAnsi="Calibri" w:cs="Calibri"/>
        </w:rPr>
        <w:t>provide</w:t>
      </w:r>
      <w:proofErr w:type="gramEnd"/>
      <w:r w:rsidRPr="00343CF3">
        <w:rPr>
          <w:rFonts w:ascii="Calibri" w:hAnsi="Calibri" w:cs="Calibri"/>
        </w:rPr>
        <w:t xml:space="preserve"> baseline data on capacity (scan volume) and inpatient and outpatient wait times (for the proposed measures in Attachment 1).</w:t>
      </w:r>
    </w:p>
    <w:p w14:paraId="153AA738" w14:textId="77777777" w:rsidR="00343CF3" w:rsidRPr="00343CF3" w:rsidRDefault="00343CF3" w:rsidP="00343CF3">
      <w:pPr>
        <w:pStyle w:val="ListParagraph"/>
        <w:numPr>
          <w:ilvl w:val="0"/>
          <w:numId w:val="17"/>
        </w:numPr>
        <w:spacing w:line="257" w:lineRule="auto"/>
        <w:rPr>
          <w:rFonts w:ascii="Calibri" w:hAnsi="Calibri" w:cs="Calibri"/>
        </w:rPr>
      </w:pPr>
      <w:r w:rsidRPr="00343CF3">
        <w:rPr>
          <w:rFonts w:ascii="Calibri" w:hAnsi="Calibri" w:cs="Calibri"/>
        </w:rPr>
        <w:t xml:space="preserve">The MRI </w:t>
      </w:r>
      <w:proofErr w:type="gramStart"/>
      <w:r w:rsidRPr="00343CF3">
        <w:rPr>
          <w:rFonts w:ascii="Calibri" w:hAnsi="Calibri" w:cs="Calibri"/>
        </w:rPr>
        <w:t>utilization</w:t>
      </w:r>
      <w:proofErr w:type="gramEnd"/>
      <w:r w:rsidRPr="00343CF3">
        <w:rPr>
          <w:rFonts w:ascii="Calibri" w:hAnsi="Calibri" w:cs="Calibri"/>
        </w:rPr>
        <w:t xml:space="preserve"> </w:t>
      </w:r>
    </w:p>
    <w:p w14:paraId="062DBD47" w14:textId="77777777" w:rsidR="00343CF3" w:rsidRPr="00343CF3" w:rsidRDefault="00343CF3" w:rsidP="00343CF3">
      <w:pPr>
        <w:pStyle w:val="ListParagraph"/>
        <w:numPr>
          <w:ilvl w:val="2"/>
          <w:numId w:val="17"/>
        </w:numPr>
        <w:spacing w:line="257" w:lineRule="auto"/>
        <w:rPr>
          <w:rFonts w:ascii="Calibri" w:hAnsi="Calibri" w:cs="Calibri"/>
        </w:rPr>
      </w:pPr>
      <w:r w:rsidRPr="00343CF3">
        <w:rPr>
          <w:rFonts w:ascii="Calibri" w:hAnsi="Calibri" w:cs="Calibri"/>
        </w:rPr>
        <w:t>for ED</w:t>
      </w:r>
    </w:p>
    <w:p w14:paraId="23C30D88" w14:textId="77777777" w:rsidR="00343CF3" w:rsidRPr="00343CF3" w:rsidRDefault="00343CF3" w:rsidP="00343CF3">
      <w:pPr>
        <w:pStyle w:val="ListParagraph"/>
        <w:numPr>
          <w:ilvl w:val="2"/>
          <w:numId w:val="17"/>
        </w:numPr>
        <w:spacing w:line="257" w:lineRule="auto"/>
        <w:rPr>
          <w:rFonts w:ascii="Calibri" w:hAnsi="Calibri" w:cs="Calibri"/>
        </w:rPr>
      </w:pPr>
      <w:r w:rsidRPr="00343CF3">
        <w:rPr>
          <w:rFonts w:ascii="Calibri" w:hAnsi="Calibri" w:cs="Calibri"/>
        </w:rPr>
        <w:t xml:space="preserve">inpatient </w:t>
      </w:r>
    </w:p>
    <w:p w14:paraId="0CEAF1DA" w14:textId="77777777" w:rsidR="00343CF3" w:rsidRPr="00343CF3" w:rsidRDefault="00343CF3" w:rsidP="00343CF3">
      <w:pPr>
        <w:pStyle w:val="ListParagraph"/>
        <w:numPr>
          <w:ilvl w:val="2"/>
          <w:numId w:val="17"/>
        </w:numPr>
        <w:spacing w:line="257" w:lineRule="auto"/>
        <w:rPr>
          <w:rFonts w:ascii="Calibri" w:hAnsi="Calibri" w:cs="Calibri"/>
        </w:rPr>
      </w:pPr>
      <w:r w:rsidRPr="00343CF3">
        <w:rPr>
          <w:rFonts w:ascii="Calibri" w:hAnsi="Calibri" w:cs="Calibri"/>
        </w:rPr>
        <w:t xml:space="preserve">outpatient </w:t>
      </w:r>
    </w:p>
    <w:p w14:paraId="2C4CEAB3" w14:textId="77777777" w:rsidR="00343CF3" w:rsidRPr="00343CF3" w:rsidRDefault="00343CF3" w:rsidP="00343CF3">
      <w:pPr>
        <w:pStyle w:val="ListParagraph"/>
        <w:numPr>
          <w:ilvl w:val="0"/>
          <w:numId w:val="18"/>
        </w:numPr>
        <w:spacing w:line="257" w:lineRule="auto"/>
        <w:rPr>
          <w:rFonts w:ascii="Calibri" w:hAnsi="Calibri" w:cs="Calibri"/>
        </w:rPr>
      </w:pPr>
      <w:r w:rsidRPr="00343CF3">
        <w:rPr>
          <w:rFonts w:ascii="Calibri" w:hAnsi="Calibri" w:cs="Calibri"/>
        </w:rPr>
        <w:t>wait times (average and median)</w:t>
      </w:r>
    </w:p>
    <w:p w14:paraId="1DD498D7" w14:textId="77777777" w:rsidR="00343CF3" w:rsidRPr="00343CF3" w:rsidRDefault="00343CF3" w:rsidP="00343CF3">
      <w:pPr>
        <w:pStyle w:val="ListParagraph"/>
        <w:numPr>
          <w:ilvl w:val="2"/>
          <w:numId w:val="18"/>
        </w:numPr>
        <w:spacing w:line="257" w:lineRule="auto"/>
        <w:rPr>
          <w:rFonts w:ascii="Calibri" w:hAnsi="Calibri" w:cs="Calibri"/>
        </w:rPr>
      </w:pPr>
      <w:r w:rsidRPr="00343CF3">
        <w:rPr>
          <w:rFonts w:ascii="Calibri" w:hAnsi="Calibri" w:cs="Calibri"/>
        </w:rPr>
        <w:t>for ED</w:t>
      </w:r>
    </w:p>
    <w:p w14:paraId="7FF83257" w14:textId="77777777" w:rsidR="00343CF3" w:rsidRPr="00343CF3" w:rsidRDefault="00343CF3" w:rsidP="00343CF3">
      <w:pPr>
        <w:pStyle w:val="ListParagraph"/>
        <w:numPr>
          <w:ilvl w:val="2"/>
          <w:numId w:val="18"/>
        </w:numPr>
        <w:spacing w:line="257" w:lineRule="auto"/>
        <w:rPr>
          <w:rFonts w:ascii="Calibri" w:hAnsi="Calibri" w:cs="Calibri"/>
        </w:rPr>
      </w:pPr>
      <w:r w:rsidRPr="00343CF3">
        <w:rPr>
          <w:rFonts w:ascii="Calibri" w:hAnsi="Calibri" w:cs="Calibri"/>
        </w:rPr>
        <w:t xml:space="preserve">inpatient </w:t>
      </w:r>
    </w:p>
    <w:p w14:paraId="6FB02352" w14:textId="77777777" w:rsidR="00343CF3" w:rsidRPr="00343CF3" w:rsidRDefault="00343CF3" w:rsidP="00343CF3">
      <w:pPr>
        <w:pStyle w:val="ListParagraph"/>
        <w:numPr>
          <w:ilvl w:val="2"/>
          <w:numId w:val="18"/>
        </w:numPr>
        <w:spacing w:line="257" w:lineRule="auto"/>
        <w:rPr>
          <w:rFonts w:ascii="Calibri" w:hAnsi="Calibri" w:cs="Calibri"/>
        </w:rPr>
      </w:pPr>
      <w:r w:rsidRPr="00343CF3">
        <w:rPr>
          <w:rFonts w:ascii="Calibri" w:hAnsi="Calibri" w:cs="Calibri"/>
        </w:rPr>
        <w:t xml:space="preserve">outpatient </w:t>
      </w:r>
    </w:p>
    <w:p w14:paraId="5347FA66" w14:textId="77777777" w:rsidR="00343CF3" w:rsidRPr="00343CF3" w:rsidRDefault="00343CF3" w:rsidP="00343CF3">
      <w:pPr>
        <w:pStyle w:val="ListParagraph"/>
        <w:spacing w:line="257" w:lineRule="auto"/>
        <w:ind w:left="2160"/>
        <w:rPr>
          <w:rFonts w:ascii="Calibri" w:hAnsi="Calibri" w:cs="Calibri"/>
        </w:rPr>
      </w:pPr>
    </w:p>
    <w:p w14:paraId="0B5DED68" w14:textId="77777777" w:rsidR="00343CF3" w:rsidRPr="00343CF3" w:rsidRDefault="00343CF3" w:rsidP="00343CF3">
      <w:pPr>
        <w:spacing w:line="257" w:lineRule="auto"/>
        <w:ind w:left="360"/>
        <w:rPr>
          <w:rFonts w:ascii="Calibri" w:hAnsi="Calibri" w:cs="Calibri"/>
        </w:rPr>
      </w:pPr>
      <w:r w:rsidRPr="00343CF3">
        <w:rPr>
          <w:rFonts w:ascii="Calibri" w:hAnsi="Calibri" w:cs="Calibri"/>
        </w:rPr>
        <w:t>Any of the following will be Referral Indicators related to Condition 2:</w:t>
      </w:r>
    </w:p>
    <w:p w14:paraId="2D6953CC" w14:textId="77777777" w:rsidR="00343CF3" w:rsidRPr="00343CF3" w:rsidRDefault="00343CF3" w:rsidP="00343CF3">
      <w:pPr>
        <w:pStyle w:val="ListParagraph"/>
        <w:numPr>
          <w:ilvl w:val="0"/>
          <w:numId w:val="14"/>
        </w:numPr>
        <w:spacing w:after="160" w:line="257" w:lineRule="auto"/>
        <w:rPr>
          <w:rFonts w:ascii="Calibri" w:hAnsi="Calibri" w:cs="Calibri"/>
        </w:rPr>
      </w:pPr>
      <w:r w:rsidRPr="00343CF3">
        <w:rPr>
          <w:rFonts w:ascii="Calibri" w:hAnsi="Calibri" w:cs="Calibri"/>
        </w:rPr>
        <w:t xml:space="preserve">A material </w:t>
      </w:r>
      <w:proofErr w:type="gramStart"/>
      <w:r w:rsidRPr="00343CF3">
        <w:rPr>
          <w:rFonts w:ascii="Calibri" w:hAnsi="Calibri" w:cs="Calibri"/>
        </w:rPr>
        <w:t>increase</w:t>
      </w:r>
      <w:proofErr w:type="gramEnd"/>
      <w:r w:rsidRPr="00343CF3">
        <w:rPr>
          <w:rFonts w:ascii="Calibri" w:hAnsi="Calibri" w:cs="Calibri"/>
        </w:rPr>
        <w:t xml:space="preserve"> in 1f, 1g, 2b, 4c</w:t>
      </w:r>
    </w:p>
    <w:p w14:paraId="3CC0889C" w14:textId="77777777" w:rsidR="00343CF3" w:rsidRPr="00343CF3" w:rsidRDefault="00343CF3" w:rsidP="00343CF3">
      <w:pPr>
        <w:pStyle w:val="ListParagraph"/>
        <w:numPr>
          <w:ilvl w:val="0"/>
          <w:numId w:val="14"/>
        </w:numPr>
        <w:spacing w:after="160" w:line="257" w:lineRule="auto"/>
        <w:rPr>
          <w:rFonts w:ascii="Calibri" w:hAnsi="Calibri" w:cs="Calibri"/>
        </w:rPr>
      </w:pPr>
      <w:r w:rsidRPr="00343CF3">
        <w:rPr>
          <w:rFonts w:ascii="Calibri" w:hAnsi="Calibri" w:cs="Calibri"/>
        </w:rPr>
        <w:t xml:space="preserve">A material </w:t>
      </w:r>
      <w:proofErr w:type="gramStart"/>
      <w:r w:rsidRPr="00343CF3">
        <w:rPr>
          <w:rFonts w:ascii="Calibri" w:hAnsi="Calibri" w:cs="Calibri"/>
        </w:rPr>
        <w:t>decrease</w:t>
      </w:r>
      <w:proofErr w:type="gramEnd"/>
      <w:r w:rsidRPr="00343CF3">
        <w:rPr>
          <w:rFonts w:ascii="Calibri" w:hAnsi="Calibri" w:cs="Calibri"/>
        </w:rPr>
        <w:t xml:space="preserve"> in 1a, 1b, 1c, 1d, 1e, 1h, 2a, 3a, 3b</w:t>
      </w:r>
    </w:p>
    <w:p w14:paraId="414597CC" w14:textId="77777777" w:rsidR="00343CF3" w:rsidRPr="00343CF3" w:rsidRDefault="00343CF3" w:rsidP="00343CF3">
      <w:pPr>
        <w:pStyle w:val="ListParagraph"/>
        <w:spacing w:line="257" w:lineRule="auto"/>
        <w:ind w:left="1440"/>
        <w:rPr>
          <w:rFonts w:ascii="Calibri" w:hAnsi="Calibri" w:cs="Calibri"/>
        </w:rPr>
      </w:pPr>
    </w:p>
    <w:p w14:paraId="25DD3FC2" w14:textId="77777777" w:rsidR="00343CF3" w:rsidRPr="00343CF3" w:rsidRDefault="00343CF3" w:rsidP="00343CF3">
      <w:pPr>
        <w:spacing w:line="257" w:lineRule="auto"/>
        <w:contextualSpacing/>
        <w:rPr>
          <w:rFonts w:ascii="Calibri" w:hAnsi="Calibri" w:cs="Calibri"/>
        </w:rPr>
      </w:pPr>
      <w:r w:rsidRPr="00343CF3">
        <w:rPr>
          <w:rFonts w:ascii="Calibri" w:hAnsi="Calibri" w:cs="Calibri"/>
        </w:rPr>
        <w:t xml:space="preserve">If the </w:t>
      </w:r>
      <w:proofErr w:type="spellStart"/>
      <w:r w:rsidRPr="00343CF3">
        <w:rPr>
          <w:rFonts w:ascii="Calibri" w:hAnsi="Calibri" w:cs="Calibri"/>
        </w:rPr>
        <w:t>DoN</w:t>
      </w:r>
      <w:proofErr w:type="spellEnd"/>
      <w:r w:rsidRPr="00343CF3">
        <w:rPr>
          <w:rFonts w:ascii="Calibri" w:hAnsi="Calibri" w:cs="Calibri"/>
        </w:rPr>
        <w:t xml:space="preserve"> Program finds any one or more of the Referral Indicators, the matter shall be referred to the Public Health Council (PHC) for review to </w:t>
      </w:r>
      <w:proofErr w:type="gramStart"/>
      <w:r w:rsidRPr="00343CF3">
        <w:rPr>
          <w:rFonts w:ascii="Calibri" w:hAnsi="Calibri" w:cs="Calibri"/>
        </w:rPr>
        <w:t>determine</w:t>
      </w:r>
      <w:proofErr w:type="gramEnd"/>
      <w:r w:rsidRPr="00343CF3">
        <w:rPr>
          <w:rFonts w:ascii="Calibri" w:hAnsi="Calibri" w:cs="Calibri"/>
        </w:rPr>
        <w:t xml:space="preserve"> whether MGB is in violation of one or more of the conditions and thus out of compliance with the terms of this Notice of </w:t>
      </w:r>
      <w:proofErr w:type="spellStart"/>
      <w:r w:rsidRPr="00343CF3">
        <w:rPr>
          <w:rFonts w:ascii="Calibri" w:hAnsi="Calibri" w:cs="Calibri"/>
        </w:rPr>
        <w:t>DoN</w:t>
      </w:r>
      <w:proofErr w:type="spellEnd"/>
      <w:r w:rsidRPr="00343CF3">
        <w:rPr>
          <w:rFonts w:ascii="Calibri" w:hAnsi="Calibri" w:cs="Calibri"/>
        </w:rPr>
        <w:t xml:space="preserve">.  </w:t>
      </w:r>
    </w:p>
    <w:p w14:paraId="33E3B65E" w14:textId="77777777" w:rsidR="00343CF3" w:rsidRPr="00343CF3" w:rsidRDefault="00343CF3" w:rsidP="00343CF3">
      <w:pPr>
        <w:spacing w:line="257" w:lineRule="auto"/>
        <w:contextualSpacing/>
        <w:rPr>
          <w:rFonts w:ascii="Calibri" w:hAnsi="Calibri" w:cs="Calibri"/>
        </w:rPr>
      </w:pPr>
    </w:p>
    <w:p w14:paraId="41D7F32A" w14:textId="77777777" w:rsidR="00343CF3" w:rsidRPr="00343CF3" w:rsidRDefault="00343CF3" w:rsidP="00343CF3">
      <w:pPr>
        <w:spacing w:line="257" w:lineRule="auto"/>
        <w:contextualSpacing/>
        <w:rPr>
          <w:rFonts w:ascii="Calibri" w:hAnsi="Calibri" w:cs="Calibri"/>
        </w:rPr>
      </w:pPr>
      <w:r w:rsidRPr="00343CF3">
        <w:rPr>
          <w:rFonts w:ascii="Calibri" w:hAnsi="Calibri" w:cs="Calibri"/>
        </w:rPr>
        <w:t>Upon referral to the PHC based upon any one or more of the Referral Indicators, MGB shall have an opportunity to show cause why the PHC shall not find one or more of the Referral</w:t>
      </w:r>
      <w:r w:rsidR="00744956">
        <w:rPr>
          <w:rFonts w:ascii="Calibri" w:hAnsi="Calibri" w:cs="Calibri"/>
        </w:rPr>
        <w:t xml:space="preserve"> Indicators.</w:t>
      </w:r>
      <w:r w:rsidRPr="00343CF3">
        <w:rPr>
          <w:rFonts w:ascii="Calibri" w:hAnsi="Calibri" w:cs="Calibri"/>
        </w:rPr>
        <w:t xml:space="preserve"> </w:t>
      </w:r>
    </w:p>
    <w:p w14:paraId="149862E2" w14:textId="77777777" w:rsidR="006A7C7C" w:rsidRDefault="006A7C7C" w:rsidP="00247707">
      <w:pPr>
        <w:contextualSpacing/>
        <w:rPr>
          <w:rFonts w:ascii="Calibri" w:hAnsi="Calibri" w:cs="Calibri"/>
          <w:szCs w:val="24"/>
        </w:rPr>
      </w:pPr>
    </w:p>
    <w:p w14:paraId="35163CA9" w14:textId="77777777" w:rsidR="006A7C7C" w:rsidRPr="00A356EC" w:rsidRDefault="006A7C7C" w:rsidP="006A7C7C">
      <w:pPr>
        <w:contextualSpacing/>
        <w:rPr>
          <w:rFonts w:ascii="Calibri" w:hAnsi="Calibri" w:cs="Calibri"/>
          <w:szCs w:val="24"/>
        </w:rPr>
      </w:pPr>
      <w:r w:rsidRPr="00A356EC">
        <w:rPr>
          <w:rFonts w:ascii="Calibri" w:hAnsi="Calibri" w:cs="Calibri"/>
          <w:szCs w:val="24"/>
        </w:rPr>
        <w:t xml:space="preserve">Ongoing compliance with the conditions and all terms of the </w:t>
      </w:r>
      <w:proofErr w:type="spellStart"/>
      <w:r w:rsidRPr="00A356EC">
        <w:rPr>
          <w:rFonts w:ascii="Calibri" w:hAnsi="Calibri" w:cs="Calibri"/>
          <w:szCs w:val="24"/>
        </w:rPr>
        <w:t>DoN</w:t>
      </w:r>
      <w:proofErr w:type="spellEnd"/>
      <w:r w:rsidRPr="00A356EC">
        <w:rPr>
          <w:rFonts w:ascii="Calibri" w:hAnsi="Calibri" w:cs="Calibri"/>
          <w:szCs w:val="24"/>
        </w:rPr>
        <w:t xml:space="preserve"> is, </w:t>
      </w:r>
      <w:proofErr w:type="gramStart"/>
      <w:r w:rsidRPr="00A356EC">
        <w:rPr>
          <w:rFonts w:ascii="Calibri" w:hAnsi="Calibri" w:cs="Calibri"/>
          <w:szCs w:val="24"/>
        </w:rPr>
        <w:t>pursuant to</w:t>
      </w:r>
      <w:proofErr w:type="gramEnd"/>
      <w:r w:rsidRPr="00A356EC">
        <w:rPr>
          <w:rFonts w:ascii="Calibri" w:hAnsi="Calibri" w:cs="Calibri"/>
          <w:szCs w:val="24"/>
        </w:rPr>
        <w:t xml:space="preserve"> the Regulation, a precondition to the filing of any future </w:t>
      </w:r>
      <w:proofErr w:type="spellStart"/>
      <w:r w:rsidRPr="00A356EC">
        <w:rPr>
          <w:rFonts w:ascii="Calibri" w:hAnsi="Calibri" w:cs="Calibri"/>
          <w:szCs w:val="24"/>
        </w:rPr>
        <w:t>DoN</w:t>
      </w:r>
      <w:proofErr w:type="spellEnd"/>
      <w:r w:rsidRPr="00A356EC">
        <w:rPr>
          <w:rFonts w:ascii="Calibri" w:hAnsi="Calibri" w:cs="Calibri"/>
          <w:szCs w:val="24"/>
        </w:rPr>
        <w:t xml:space="preserve"> by the Holder. </w:t>
      </w:r>
    </w:p>
    <w:p w14:paraId="312200F4" w14:textId="77777777" w:rsidR="006A7C7C" w:rsidRPr="00A356EC" w:rsidRDefault="006A7C7C" w:rsidP="00247707">
      <w:pPr>
        <w:contextualSpacing/>
        <w:rPr>
          <w:rFonts w:ascii="Calibri" w:hAnsi="Calibri" w:cs="Calibri"/>
          <w:szCs w:val="24"/>
        </w:rPr>
      </w:pPr>
    </w:p>
    <w:p w14:paraId="008B5727" w14:textId="77777777" w:rsidR="006A7C7C" w:rsidRPr="00A356EC" w:rsidRDefault="006A7C7C" w:rsidP="00247707">
      <w:pPr>
        <w:contextualSpacing/>
        <w:rPr>
          <w:rFonts w:ascii="Calibri" w:hAnsi="Calibri" w:cs="Calibri"/>
          <w:szCs w:val="24"/>
        </w:rPr>
      </w:pPr>
    </w:p>
    <w:p w14:paraId="7C9B23B8" w14:textId="77777777" w:rsidR="006A7C7C" w:rsidRPr="00A356EC" w:rsidRDefault="006A7C7C" w:rsidP="00247707">
      <w:pPr>
        <w:contextualSpacing/>
        <w:rPr>
          <w:rFonts w:ascii="Calibri" w:hAnsi="Calibri" w:cs="Calibri"/>
          <w:szCs w:val="24"/>
        </w:rPr>
      </w:pPr>
      <w:r w:rsidRPr="00A356EC">
        <w:rPr>
          <w:rFonts w:ascii="Calibri" w:hAnsi="Calibri" w:cs="Calibri"/>
          <w:szCs w:val="24"/>
        </w:rPr>
        <w:t>Sincerely,</w:t>
      </w:r>
    </w:p>
    <w:p w14:paraId="66B63EA8" w14:textId="77777777" w:rsidR="006A7C7C" w:rsidRPr="00A356EC" w:rsidRDefault="006A7C7C" w:rsidP="00247707">
      <w:pPr>
        <w:contextualSpacing/>
        <w:rPr>
          <w:rFonts w:ascii="Calibri" w:hAnsi="Calibri" w:cs="Calibri"/>
          <w:szCs w:val="24"/>
        </w:rPr>
      </w:pPr>
    </w:p>
    <w:p w14:paraId="788E9F4D" w14:textId="797F0CE2" w:rsidR="006A7C7C" w:rsidRDefault="0010610B" w:rsidP="00247707">
      <w:pPr>
        <w:contextualSpacing/>
        <w:rPr>
          <w:rFonts w:ascii="Calibri" w:hAnsi="Calibri" w:cs="Calibri"/>
          <w:szCs w:val="24"/>
        </w:rPr>
      </w:pPr>
      <w:r>
        <w:rPr>
          <w:rFonts w:ascii="Calibri" w:hAnsi="Calibri" w:cs="Calibri"/>
          <w:szCs w:val="24"/>
        </w:rPr>
        <w:t>[signature on file]</w:t>
      </w:r>
    </w:p>
    <w:p w14:paraId="1A1E2939" w14:textId="77777777" w:rsidR="0010610B" w:rsidRDefault="0010610B" w:rsidP="00247707">
      <w:pPr>
        <w:contextualSpacing/>
        <w:rPr>
          <w:rFonts w:ascii="Calibri" w:hAnsi="Calibri" w:cs="Calibri"/>
          <w:szCs w:val="24"/>
        </w:rPr>
      </w:pPr>
    </w:p>
    <w:p w14:paraId="128238DF" w14:textId="7C831A53" w:rsidR="00C92A8B" w:rsidRDefault="00356E5A" w:rsidP="00C92A8B">
      <w:pPr>
        <w:contextualSpacing/>
        <w:rPr>
          <w:rFonts w:ascii="Calibri" w:hAnsi="Calibri" w:cs="Calibri"/>
          <w:szCs w:val="24"/>
        </w:rPr>
      </w:pPr>
      <w:r>
        <w:rPr>
          <w:noProof/>
        </w:rPr>
        <mc:AlternateContent>
          <mc:Choice Requires="wpi">
            <w:drawing>
              <wp:anchor distT="0" distB="0" distL="114300" distR="114300" simplePos="0" relativeHeight="251658240" behindDoc="0" locked="0" layoutInCell="1" allowOverlap="1" wp14:anchorId="7E69FC2B" wp14:editId="71759B2B">
                <wp:simplePos x="0" y="0"/>
                <wp:positionH relativeFrom="column">
                  <wp:posOffset>-989965</wp:posOffset>
                </wp:positionH>
                <wp:positionV relativeFrom="paragraph">
                  <wp:posOffset>104775</wp:posOffset>
                </wp:positionV>
                <wp:extent cx="74295" cy="41910"/>
                <wp:effectExtent l="48260" t="51435" r="39370" b="40005"/>
                <wp:wrapNone/>
                <wp:docPr id="3" name="In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74295" cy="41910"/>
                      </w14:xfrm>
                    </w14:contentPart>
                  </a:graphicData>
                </a:graphic>
                <wp14:sizeRelH relativeFrom="page">
                  <wp14:pctWidth>0</wp14:pctWidth>
                </wp14:sizeRelH>
                <wp14:sizeRelV relativeFrom="page">
                  <wp14:pctHeight>0</wp14:pctHeight>
                </wp14:sizeRelV>
              </wp:anchor>
            </w:drawing>
          </mc:Choice>
          <mc:Fallback>
            <w:pict>
              <v:shapetype w14:anchorId="031DB9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alt="&quot;&quot;" style="position:absolute;margin-left:-78.35pt;margin-top:7.8pt;width:6.6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">
                <v:imagedata r:id="rId18" o:title=""/>
                <o:lock v:ext="edit" rotation="t" aspectratio="f"/>
              </v:shape>
            </w:pict>
          </mc:Fallback>
        </mc:AlternateContent>
      </w:r>
      <w:r w:rsidR="00C92A8B" w:rsidRPr="00A356EC">
        <w:rPr>
          <w:rFonts w:ascii="Calibri" w:hAnsi="Calibri" w:cs="Calibri"/>
          <w:szCs w:val="24"/>
        </w:rPr>
        <w:t>Elizabeth D. Kelley</w:t>
      </w:r>
    </w:p>
    <w:p w14:paraId="28CC8C12" w14:textId="77777777" w:rsidR="00C92A8B" w:rsidRPr="00A356EC" w:rsidRDefault="00C92A8B" w:rsidP="00C92A8B">
      <w:pPr>
        <w:contextualSpacing/>
        <w:rPr>
          <w:rFonts w:ascii="Calibri" w:hAnsi="Calibri" w:cs="Calibri"/>
          <w:szCs w:val="24"/>
        </w:rPr>
      </w:pPr>
      <w:r w:rsidRPr="00A356EC">
        <w:rPr>
          <w:rFonts w:ascii="Calibri" w:hAnsi="Calibri" w:cs="Calibri"/>
          <w:szCs w:val="24"/>
        </w:rPr>
        <w:t xml:space="preserve">Director, Bureau of Health Care Safety and Quality </w:t>
      </w:r>
    </w:p>
    <w:p w14:paraId="4A2645D6" w14:textId="77777777" w:rsidR="00C92A8B" w:rsidRDefault="00C92A8B" w:rsidP="00247707">
      <w:pPr>
        <w:contextualSpacing/>
        <w:rPr>
          <w:rFonts w:ascii="Calibri" w:hAnsi="Calibri" w:cs="Calibri"/>
          <w:szCs w:val="24"/>
        </w:rPr>
      </w:pPr>
    </w:p>
    <w:p w14:paraId="3951FE88" w14:textId="77777777" w:rsidR="00C92A8B" w:rsidRPr="00A356EC" w:rsidRDefault="00C92A8B" w:rsidP="00247707">
      <w:pPr>
        <w:contextualSpacing/>
        <w:rPr>
          <w:rFonts w:ascii="Calibri" w:hAnsi="Calibri" w:cs="Calibri"/>
          <w:szCs w:val="24"/>
        </w:rPr>
      </w:pPr>
    </w:p>
    <w:p w14:paraId="199E6E71"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cc: </w:t>
      </w:r>
    </w:p>
    <w:p w14:paraId="6DFFA004" w14:textId="77777777" w:rsidR="006A7C7C" w:rsidRPr="00A356EC" w:rsidRDefault="006A7C7C" w:rsidP="00247707">
      <w:pPr>
        <w:contextualSpacing/>
        <w:rPr>
          <w:rFonts w:ascii="Calibri" w:hAnsi="Calibri" w:cs="Calibri"/>
          <w:szCs w:val="24"/>
        </w:rPr>
      </w:pPr>
      <w:r w:rsidRPr="00A356EC">
        <w:rPr>
          <w:rFonts w:ascii="Calibri" w:hAnsi="Calibri" w:cs="Calibri"/>
          <w:szCs w:val="24"/>
        </w:rPr>
        <w:t>Ste</w:t>
      </w:r>
      <w:r w:rsidR="00096F3C">
        <w:rPr>
          <w:rFonts w:ascii="Calibri" w:hAnsi="Calibri" w:cs="Calibri"/>
          <w:szCs w:val="24"/>
        </w:rPr>
        <w:t>ph</w:t>
      </w:r>
      <w:r w:rsidRPr="00A356EC">
        <w:rPr>
          <w:rFonts w:ascii="Calibri" w:hAnsi="Calibri" w:cs="Calibri"/>
          <w:szCs w:val="24"/>
        </w:rPr>
        <w:t xml:space="preserve">en Davis, Director, Division of Health Care Facility Licensure and Certification </w:t>
      </w:r>
    </w:p>
    <w:p w14:paraId="02AAB7C9"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Rebecca Rodman, General Counsel </w:t>
      </w:r>
    </w:p>
    <w:p w14:paraId="6A595715"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Daniel Gent, Health Care Facility Licensure and Certification </w:t>
      </w:r>
    </w:p>
    <w:p w14:paraId="006EC243"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Samuel Louis, Office of Health Equity </w:t>
      </w:r>
    </w:p>
    <w:p w14:paraId="341F3199"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Jennica Allen, Division of Community Health Planning and Engagement </w:t>
      </w:r>
    </w:p>
    <w:p w14:paraId="2BBE8956"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Elizabeth Maffei, Division of Community Health Planning and Engagement </w:t>
      </w:r>
    </w:p>
    <w:p w14:paraId="47A7638C"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Elizabeth Almanzor, Center for Health Information Analysis </w:t>
      </w:r>
    </w:p>
    <w:p w14:paraId="7BA2D5FF"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Katherine Mills, Health Policy Commission </w:t>
      </w:r>
    </w:p>
    <w:p w14:paraId="30F8A1F5" w14:textId="77777777" w:rsidR="006A7C7C" w:rsidRPr="00A356EC" w:rsidRDefault="006A7C7C" w:rsidP="00247707">
      <w:pPr>
        <w:contextualSpacing/>
        <w:rPr>
          <w:rFonts w:ascii="Calibri" w:hAnsi="Calibri" w:cs="Calibri"/>
          <w:szCs w:val="24"/>
        </w:rPr>
      </w:pPr>
      <w:r w:rsidRPr="00A356EC">
        <w:rPr>
          <w:rFonts w:ascii="Calibri" w:hAnsi="Calibri" w:cs="Calibri"/>
          <w:szCs w:val="24"/>
        </w:rPr>
        <w:t xml:space="preserve">Eric Gold, Office of the Attorney General </w:t>
      </w:r>
    </w:p>
    <w:p w14:paraId="4D69F378" w14:textId="77777777" w:rsidR="006A7C7C" w:rsidRPr="006A7C7C" w:rsidRDefault="006A7C7C" w:rsidP="00247707">
      <w:pPr>
        <w:contextualSpacing/>
      </w:pPr>
    </w:p>
    <w:sectPr w:rsidR="006A7C7C" w:rsidRPr="006A7C7C" w:rsidSect="00D0170A">
      <w:type w:val="continuous"/>
      <w:pgSz w:w="12240" w:h="15840"/>
      <w:pgMar w:top="27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DD64" w14:textId="77777777" w:rsidR="00C80984" w:rsidRDefault="00C80984" w:rsidP="00247707">
      <w:r>
        <w:separator/>
      </w:r>
    </w:p>
  </w:endnote>
  <w:endnote w:type="continuationSeparator" w:id="0">
    <w:p w14:paraId="4F6190C0" w14:textId="77777777" w:rsidR="00C80984" w:rsidRDefault="00C80984"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00F1" w14:textId="77777777" w:rsidR="006A7C7C" w:rsidRDefault="006A7C7C">
    <w:pPr>
      <w:pStyle w:val="Footer"/>
      <w:jc w:val="center"/>
    </w:pPr>
    <w:r>
      <w:fldChar w:fldCharType="begin"/>
    </w:r>
    <w:r>
      <w:instrText xml:space="preserve"> PAGE   \* MERGEFORMAT </w:instrText>
    </w:r>
    <w:r>
      <w:fldChar w:fldCharType="separate"/>
    </w:r>
    <w:r>
      <w:rPr>
        <w:noProof/>
      </w:rPr>
      <w:t>2</w:t>
    </w:r>
    <w:r>
      <w:rPr>
        <w:noProof/>
      </w:rPr>
      <w:fldChar w:fldCharType="end"/>
    </w:r>
  </w:p>
  <w:p w14:paraId="063DE4BD" w14:textId="77777777" w:rsidR="00247707" w:rsidRDefault="00247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B25D" w14:textId="77777777" w:rsidR="00C80984" w:rsidRDefault="00C80984" w:rsidP="00247707">
      <w:r>
        <w:separator/>
      </w:r>
    </w:p>
  </w:footnote>
  <w:footnote w:type="continuationSeparator" w:id="0">
    <w:p w14:paraId="53FA2A30" w14:textId="77777777" w:rsidR="00C80984" w:rsidRDefault="00C80984"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B4C0" w14:textId="77777777" w:rsidR="00247707" w:rsidRDefault="00C80984">
    <w:pPr>
      <w:pStyle w:val="Header"/>
    </w:pPr>
    <w:r>
      <w:rPr>
        <w:noProof/>
      </w:rPr>
      <w:pict w14:anchorId="44E85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7"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9F9D" w14:textId="77777777" w:rsidR="00247707" w:rsidRDefault="00C80984">
    <w:pPr>
      <w:pStyle w:val="Header"/>
    </w:pPr>
    <w:r>
      <w:rPr>
        <w:noProof/>
      </w:rPr>
      <w:pict w14:anchorId="20A68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142E"/>
    <w:multiLevelType w:val="hybridMultilevel"/>
    <w:tmpl w:val="DBAAB020"/>
    <w:lvl w:ilvl="0" w:tplc="13A26B5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F137A"/>
    <w:multiLevelType w:val="hybridMultilevel"/>
    <w:tmpl w:val="51464A8A"/>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E4745"/>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0811D7"/>
    <w:multiLevelType w:val="multilevel"/>
    <w:tmpl w:val="F7D2FDE2"/>
    <w:lvl w:ilvl="0">
      <w:start w:val="1"/>
      <w:numFmt w:val="bullet"/>
      <w:lvlText w:val="●"/>
      <w:lvlJc w:val="left"/>
      <w:pPr>
        <w:ind w:left="720" w:hanging="360"/>
      </w:pPr>
      <w:rPr>
        <w:rFonts w:ascii="Times New Roman" w:eastAsia="Noto Sans Symbols" w:hAnsi="Times New Roman" w:cs="Times New Roman"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0A27C1"/>
    <w:multiLevelType w:val="hybridMultilevel"/>
    <w:tmpl w:val="E6D4EE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C7C21"/>
    <w:multiLevelType w:val="hybridMultilevel"/>
    <w:tmpl w:val="C2548B8C"/>
    <w:lvl w:ilvl="0" w:tplc="128A8FE0">
      <w:start w:val="1"/>
      <w:numFmt w:val="decimal"/>
      <w:lvlText w:val="%1."/>
      <w:lvlJc w:val="left"/>
      <w:pPr>
        <w:ind w:left="720" w:hanging="360"/>
      </w:pPr>
    </w:lvl>
    <w:lvl w:ilvl="1" w:tplc="FFFFFFFF">
      <w:start w:val="1"/>
      <w:numFmt w:val="lowerLetter"/>
      <w:lvlText w:val="%2."/>
      <w:lvlJc w:val="left"/>
      <w:pPr>
        <w:ind w:left="1440" w:hanging="360"/>
      </w:pPr>
    </w:lvl>
    <w:lvl w:ilvl="2" w:tplc="CACC7D86">
      <w:start w:val="1"/>
      <w:numFmt w:val="lowerRoman"/>
      <w:lvlText w:val="%3."/>
      <w:lvlJc w:val="right"/>
      <w:pPr>
        <w:ind w:left="2160" w:hanging="180"/>
      </w:pPr>
    </w:lvl>
    <w:lvl w:ilvl="3" w:tplc="E764788C">
      <w:start w:val="1"/>
      <w:numFmt w:val="decimal"/>
      <w:lvlText w:val="%4."/>
      <w:lvlJc w:val="left"/>
      <w:pPr>
        <w:ind w:left="2880" w:hanging="360"/>
      </w:pPr>
    </w:lvl>
    <w:lvl w:ilvl="4" w:tplc="16AC4D8E">
      <w:start w:val="1"/>
      <w:numFmt w:val="lowerLetter"/>
      <w:lvlText w:val="%5."/>
      <w:lvlJc w:val="left"/>
      <w:pPr>
        <w:ind w:left="3600" w:hanging="360"/>
      </w:pPr>
    </w:lvl>
    <w:lvl w:ilvl="5" w:tplc="D8302A48">
      <w:start w:val="1"/>
      <w:numFmt w:val="lowerRoman"/>
      <w:lvlText w:val="%6."/>
      <w:lvlJc w:val="right"/>
      <w:pPr>
        <w:ind w:left="4320" w:hanging="180"/>
      </w:pPr>
    </w:lvl>
    <w:lvl w:ilvl="6" w:tplc="56323A8A">
      <w:start w:val="1"/>
      <w:numFmt w:val="decimal"/>
      <w:lvlText w:val="%7."/>
      <w:lvlJc w:val="left"/>
      <w:pPr>
        <w:ind w:left="5040" w:hanging="360"/>
      </w:pPr>
    </w:lvl>
    <w:lvl w:ilvl="7" w:tplc="2F8A0BA6">
      <w:start w:val="1"/>
      <w:numFmt w:val="lowerLetter"/>
      <w:lvlText w:val="%8."/>
      <w:lvlJc w:val="left"/>
      <w:pPr>
        <w:ind w:left="5760" w:hanging="360"/>
      </w:pPr>
    </w:lvl>
    <w:lvl w:ilvl="8" w:tplc="26E480EA">
      <w:start w:val="1"/>
      <w:numFmt w:val="lowerRoman"/>
      <w:lvlText w:val="%9."/>
      <w:lvlJc w:val="right"/>
      <w:pPr>
        <w:ind w:left="6480" w:hanging="180"/>
      </w:pPr>
    </w:lvl>
  </w:abstractNum>
  <w:abstractNum w:abstractNumId="6" w15:restartNumberingAfterBreak="0">
    <w:nsid w:val="40220979"/>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9A3D26"/>
    <w:multiLevelType w:val="hybridMultilevel"/>
    <w:tmpl w:val="5436E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61CC4"/>
    <w:multiLevelType w:val="hybridMultilevel"/>
    <w:tmpl w:val="98406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E6D7B"/>
    <w:multiLevelType w:val="hybridMultilevel"/>
    <w:tmpl w:val="DE86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E1A07"/>
    <w:multiLevelType w:val="hybridMultilevel"/>
    <w:tmpl w:val="460492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3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3511DAC"/>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3F0C32"/>
    <w:multiLevelType w:val="hybridMultilevel"/>
    <w:tmpl w:val="531A7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85A63"/>
    <w:multiLevelType w:val="hybridMultilevel"/>
    <w:tmpl w:val="2D687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8C5D8E"/>
    <w:multiLevelType w:val="hybridMultilevel"/>
    <w:tmpl w:val="5436ECB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EA7500B"/>
    <w:multiLevelType w:val="hybridMultilevel"/>
    <w:tmpl w:val="D8A238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D24C8"/>
    <w:multiLevelType w:val="hybridMultilevel"/>
    <w:tmpl w:val="6BAE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52716"/>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8086715">
    <w:abstractNumId w:val="17"/>
  </w:num>
  <w:num w:numId="2" w16cid:durableId="1931543049">
    <w:abstractNumId w:val="3"/>
  </w:num>
  <w:num w:numId="3" w16cid:durableId="1248149891">
    <w:abstractNumId w:val="10"/>
  </w:num>
  <w:num w:numId="4" w16cid:durableId="234976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54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614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720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041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4863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119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2791888">
    <w:abstractNumId w:val="9"/>
  </w:num>
  <w:num w:numId="12" w16cid:durableId="1369768127">
    <w:abstractNumId w:val="14"/>
  </w:num>
  <w:num w:numId="13" w16cid:durableId="1026558116">
    <w:abstractNumId w:val="6"/>
  </w:num>
  <w:num w:numId="14" w16cid:durableId="959074795">
    <w:abstractNumId w:val="15"/>
  </w:num>
  <w:num w:numId="15" w16cid:durableId="2033339276">
    <w:abstractNumId w:val="2"/>
  </w:num>
  <w:num w:numId="16" w16cid:durableId="2073000949">
    <w:abstractNumId w:val="12"/>
  </w:num>
  <w:num w:numId="17" w16cid:durableId="1180972153">
    <w:abstractNumId w:val="19"/>
  </w:num>
  <w:num w:numId="18" w16cid:durableId="1247181151">
    <w:abstractNumId w:val="0"/>
  </w:num>
  <w:num w:numId="19" w16cid:durableId="153223656">
    <w:abstractNumId w:val="18"/>
  </w:num>
  <w:num w:numId="20" w16cid:durableId="1512137354">
    <w:abstractNumId w:val="4"/>
  </w:num>
  <w:num w:numId="21" w16cid:durableId="641691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333A"/>
    <w:rsid w:val="000113E6"/>
    <w:rsid w:val="0002497C"/>
    <w:rsid w:val="00033154"/>
    <w:rsid w:val="00042048"/>
    <w:rsid w:val="000537DA"/>
    <w:rsid w:val="000545A8"/>
    <w:rsid w:val="00061388"/>
    <w:rsid w:val="00087477"/>
    <w:rsid w:val="00096F3C"/>
    <w:rsid w:val="000C376D"/>
    <w:rsid w:val="000D4EA0"/>
    <w:rsid w:val="000F315B"/>
    <w:rsid w:val="0010610B"/>
    <w:rsid w:val="0012484C"/>
    <w:rsid w:val="00126598"/>
    <w:rsid w:val="00134659"/>
    <w:rsid w:val="00141EE0"/>
    <w:rsid w:val="00142953"/>
    <w:rsid w:val="00145D30"/>
    <w:rsid w:val="0015268B"/>
    <w:rsid w:val="0017047F"/>
    <w:rsid w:val="00177C77"/>
    <w:rsid w:val="00182503"/>
    <w:rsid w:val="00182D50"/>
    <w:rsid w:val="001F62C1"/>
    <w:rsid w:val="00202026"/>
    <w:rsid w:val="00221860"/>
    <w:rsid w:val="0022371E"/>
    <w:rsid w:val="00247707"/>
    <w:rsid w:val="00265008"/>
    <w:rsid w:val="00266A2D"/>
    <w:rsid w:val="00276957"/>
    <w:rsid w:val="00276DCC"/>
    <w:rsid w:val="002A633A"/>
    <w:rsid w:val="002D43BA"/>
    <w:rsid w:val="002F17A9"/>
    <w:rsid w:val="00343CF3"/>
    <w:rsid w:val="00346398"/>
    <w:rsid w:val="00356E5A"/>
    <w:rsid w:val="00385812"/>
    <w:rsid w:val="00392D0B"/>
    <w:rsid w:val="003A2E7B"/>
    <w:rsid w:val="003A7AFC"/>
    <w:rsid w:val="003C60EF"/>
    <w:rsid w:val="004218E6"/>
    <w:rsid w:val="004244EF"/>
    <w:rsid w:val="00443724"/>
    <w:rsid w:val="0045307C"/>
    <w:rsid w:val="0048097B"/>
    <w:rsid w:val="004813AC"/>
    <w:rsid w:val="004A605E"/>
    <w:rsid w:val="004B37A0"/>
    <w:rsid w:val="004B763E"/>
    <w:rsid w:val="004D6B39"/>
    <w:rsid w:val="00521F57"/>
    <w:rsid w:val="005448AA"/>
    <w:rsid w:val="00554081"/>
    <w:rsid w:val="00585417"/>
    <w:rsid w:val="00585B31"/>
    <w:rsid w:val="00591D8B"/>
    <w:rsid w:val="00594025"/>
    <w:rsid w:val="005A3EA8"/>
    <w:rsid w:val="005D756F"/>
    <w:rsid w:val="005E2ECE"/>
    <w:rsid w:val="00624404"/>
    <w:rsid w:val="00632430"/>
    <w:rsid w:val="00636580"/>
    <w:rsid w:val="006A7C7C"/>
    <w:rsid w:val="006D06D9"/>
    <w:rsid w:val="006D77A6"/>
    <w:rsid w:val="006F15FA"/>
    <w:rsid w:val="00702109"/>
    <w:rsid w:val="00706148"/>
    <w:rsid w:val="0072610D"/>
    <w:rsid w:val="00727905"/>
    <w:rsid w:val="00744956"/>
    <w:rsid w:val="00761281"/>
    <w:rsid w:val="00766A6E"/>
    <w:rsid w:val="007B3F4B"/>
    <w:rsid w:val="007B7347"/>
    <w:rsid w:val="007C29DA"/>
    <w:rsid w:val="007D10F3"/>
    <w:rsid w:val="007D24A0"/>
    <w:rsid w:val="007E2827"/>
    <w:rsid w:val="007E3F9E"/>
    <w:rsid w:val="0088548E"/>
    <w:rsid w:val="008A1CC9"/>
    <w:rsid w:val="00912998"/>
    <w:rsid w:val="00933D31"/>
    <w:rsid w:val="00945A24"/>
    <w:rsid w:val="009519DF"/>
    <w:rsid w:val="00982DEE"/>
    <w:rsid w:val="009908FF"/>
    <w:rsid w:val="0099183B"/>
    <w:rsid w:val="00995505"/>
    <w:rsid w:val="009C786A"/>
    <w:rsid w:val="00A26158"/>
    <w:rsid w:val="00A356EC"/>
    <w:rsid w:val="00A65101"/>
    <w:rsid w:val="00A763BA"/>
    <w:rsid w:val="00A85F84"/>
    <w:rsid w:val="00AA5EB1"/>
    <w:rsid w:val="00AC4B08"/>
    <w:rsid w:val="00AE46E5"/>
    <w:rsid w:val="00AF10D8"/>
    <w:rsid w:val="00B1329E"/>
    <w:rsid w:val="00B17A6E"/>
    <w:rsid w:val="00B403BF"/>
    <w:rsid w:val="00B415AC"/>
    <w:rsid w:val="00B47C0D"/>
    <w:rsid w:val="00B608D9"/>
    <w:rsid w:val="00B66332"/>
    <w:rsid w:val="00B87B97"/>
    <w:rsid w:val="00BA1AD3"/>
    <w:rsid w:val="00BA4055"/>
    <w:rsid w:val="00BA7FB6"/>
    <w:rsid w:val="00BB3A24"/>
    <w:rsid w:val="00BD6FF4"/>
    <w:rsid w:val="00BF56FB"/>
    <w:rsid w:val="00BF57AF"/>
    <w:rsid w:val="00C20BFE"/>
    <w:rsid w:val="00C2477D"/>
    <w:rsid w:val="00C24EE2"/>
    <w:rsid w:val="00C80984"/>
    <w:rsid w:val="00C832EB"/>
    <w:rsid w:val="00C92A8B"/>
    <w:rsid w:val="00CB3967"/>
    <w:rsid w:val="00CC1778"/>
    <w:rsid w:val="00CC31CE"/>
    <w:rsid w:val="00CC536F"/>
    <w:rsid w:val="00CE575B"/>
    <w:rsid w:val="00CF3DE8"/>
    <w:rsid w:val="00D0170A"/>
    <w:rsid w:val="00D0493F"/>
    <w:rsid w:val="00D0515F"/>
    <w:rsid w:val="00D56F91"/>
    <w:rsid w:val="00D642F2"/>
    <w:rsid w:val="00D8671C"/>
    <w:rsid w:val="00D87366"/>
    <w:rsid w:val="00DA2D17"/>
    <w:rsid w:val="00DA57C3"/>
    <w:rsid w:val="00DA661F"/>
    <w:rsid w:val="00DC3855"/>
    <w:rsid w:val="00DD7883"/>
    <w:rsid w:val="00DE4A85"/>
    <w:rsid w:val="00DF23B5"/>
    <w:rsid w:val="00DF7C39"/>
    <w:rsid w:val="00E242A8"/>
    <w:rsid w:val="00E274B8"/>
    <w:rsid w:val="00E72707"/>
    <w:rsid w:val="00EB3D2A"/>
    <w:rsid w:val="00F0574F"/>
    <w:rsid w:val="00F0586E"/>
    <w:rsid w:val="00F26E4D"/>
    <w:rsid w:val="00F43932"/>
    <w:rsid w:val="00FB271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4914"/>
  <w15:chartTrackingRefBased/>
  <w15:docId w15:val="{85CCC10E-8A74-4494-AC8D-A1D9FB04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24770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247707"/>
    <w:pPr>
      <w:tabs>
        <w:tab w:val="center" w:pos="4680"/>
        <w:tab w:val="right" w:pos="9360"/>
      </w:tabs>
    </w:pPr>
  </w:style>
  <w:style w:type="character" w:customStyle="1" w:styleId="HeaderChar">
    <w:name w:val="Header Char"/>
    <w:link w:val="Header"/>
    <w:rsid w:val="00247707"/>
    <w:rPr>
      <w:sz w:val="24"/>
    </w:rPr>
  </w:style>
  <w:style w:type="paragraph" w:styleId="Footer">
    <w:name w:val="footer"/>
    <w:basedOn w:val="Normal"/>
    <w:link w:val="FooterChar"/>
    <w:uiPriority w:val="99"/>
    <w:rsid w:val="00247707"/>
    <w:pPr>
      <w:tabs>
        <w:tab w:val="center" w:pos="4680"/>
        <w:tab w:val="right" w:pos="9360"/>
      </w:tabs>
    </w:pPr>
  </w:style>
  <w:style w:type="character" w:customStyle="1" w:styleId="FooterChar">
    <w:name w:val="Footer Char"/>
    <w:link w:val="Footer"/>
    <w:uiPriority w:val="99"/>
    <w:rsid w:val="00247707"/>
    <w:rPr>
      <w:sz w:val="24"/>
    </w:rPr>
  </w:style>
  <w:style w:type="character" w:customStyle="1" w:styleId="Heading1Char">
    <w:name w:val="Heading 1 Char"/>
    <w:link w:val="Heading1"/>
    <w:rsid w:val="00247707"/>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247707"/>
    <w:rPr>
      <w:color w:val="605E5C"/>
      <w:shd w:val="clear" w:color="auto" w:fill="E1DFDD"/>
    </w:rPr>
  </w:style>
  <w:style w:type="paragraph" w:styleId="FootnoteText">
    <w:name w:val="footnote text"/>
    <w:basedOn w:val="Normal"/>
    <w:link w:val="FootnoteTextChar"/>
    <w:uiPriority w:val="99"/>
    <w:unhideWhenUsed/>
    <w:rsid w:val="006A7C7C"/>
    <w:rPr>
      <w:rFonts w:ascii="Calibri" w:eastAsia="Calibri" w:hAnsi="Calibri" w:cs="Calibri"/>
      <w:sz w:val="20"/>
    </w:rPr>
  </w:style>
  <w:style w:type="character" w:customStyle="1" w:styleId="FootnoteTextChar">
    <w:name w:val="Footnote Text Char"/>
    <w:link w:val="FootnoteText"/>
    <w:uiPriority w:val="99"/>
    <w:rsid w:val="006A7C7C"/>
    <w:rPr>
      <w:rFonts w:ascii="Calibri" w:eastAsia="Calibri" w:hAnsi="Calibri" w:cs="Calibri"/>
    </w:rPr>
  </w:style>
  <w:style w:type="character" w:styleId="FootnoteReference">
    <w:name w:val="footnote reference"/>
    <w:uiPriority w:val="99"/>
    <w:unhideWhenUsed/>
    <w:rsid w:val="006A7C7C"/>
    <w:rPr>
      <w:vertAlign w:val="superscript"/>
    </w:rPr>
  </w:style>
  <w:style w:type="character" w:styleId="CommentReference">
    <w:name w:val="annotation reference"/>
    <w:rsid w:val="001F62C1"/>
    <w:rPr>
      <w:sz w:val="16"/>
      <w:szCs w:val="16"/>
    </w:rPr>
  </w:style>
  <w:style w:type="paragraph" w:styleId="CommentText">
    <w:name w:val="annotation text"/>
    <w:basedOn w:val="Normal"/>
    <w:link w:val="CommentTextChar"/>
    <w:rsid w:val="001F62C1"/>
    <w:rPr>
      <w:sz w:val="20"/>
    </w:rPr>
  </w:style>
  <w:style w:type="character" w:customStyle="1" w:styleId="CommentTextChar">
    <w:name w:val="Comment Text Char"/>
    <w:basedOn w:val="DefaultParagraphFont"/>
    <w:link w:val="CommentText"/>
    <w:rsid w:val="001F62C1"/>
  </w:style>
  <w:style w:type="paragraph" w:styleId="CommentSubject">
    <w:name w:val="annotation subject"/>
    <w:basedOn w:val="CommentText"/>
    <w:next w:val="CommentText"/>
    <w:link w:val="CommentSubjectChar"/>
    <w:rsid w:val="001F62C1"/>
    <w:rPr>
      <w:b/>
      <w:bCs/>
    </w:rPr>
  </w:style>
  <w:style w:type="character" w:customStyle="1" w:styleId="CommentSubjectChar">
    <w:name w:val="Comment Subject Char"/>
    <w:link w:val="CommentSubject"/>
    <w:rsid w:val="001F62C1"/>
    <w:rPr>
      <w:b/>
      <w:bCs/>
    </w:rPr>
  </w:style>
  <w:style w:type="paragraph" w:styleId="Revision">
    <w:name w:val="Revision"/>
    <w:hidden/>
    <w:uiPriority w:val="99"/>
    <w:semiHidden/>
    <w:rsid w:val="00933D31"/>
    <w:rPr>
      <w:sz w:val="24"/>
    </w:rPr>
  </w:style>
  <w:style w:type="paragraph" w:styleId="ListParagraph">
    <w:name w:val="List Paragraph"/>
    <w:basedOn w:val="Normal"/>
    <w:link w:val="ListParagraphChar"/>
    <w:uiPriority w:val="34"/>
    <w:qFormat/>
    <w:rsid w:val="00343CF3"/>
    <w:pPr>
      <w:ind w:left="720"/>
      <w:contextualSpacing/>
    </w:pPr>
    <w:rPr>
      <w:szCs w:val="24"/>
    </w:rPr>
  </w:style>
  <w:style w:type="character" w:customStyle="1" w:styleId="ListParagraphChar">
    <w:name w:val="List Paragraph Char"/>
    <w:link w:val="ListParagraph"/>
    <w:uiPriority w:val="34"/>
    <w:locked/>
    <w:rsid w:val="00343CF3"/>
    <w:rPr>
      <w:sz w:val="24"/>
      <w:szCs w:val="24"/>
    </w:rPr>
  </w:style>
  <w:style w:type="table" w:styleId="TableGrid">
    <w:name w:val="Table Grid"/>
    <w:basedOn w:val="TableNormal"/>
    <w:rsid w:val="00B47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73042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w.Levine@huschblackwell.com"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mass.gov/dph" TargetMode="External"/><Relationship Id="rId17" Type="http://schemas.openxmlformats.org/officeDocument/2006/relationships/customXml" Target="ink/ink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doc/mass-general-brigham-incorporated-bwfh-responses-to-don-questions-1/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5-09T20:13:57.947"/>
    </inkml:context>
    <inkml:brush xml:id="br0">
      <inkml:brushProperty name="width" value="0.025" units="cm"/>
      <inkml:brushProperty name="height" value="0.025" units="cm"/>
    </inkml:brush>
  </inkml:definitions>
  <inkml:trace contextRef="#ctx0" brushRef="#br0">181 0 11056 0 0,'-26'12'984'0'0,"14"-9"-792"0"0,-6 5-192 0 0,3 0 0 0 0,2-1 768 0 0,-1 2 120 0 0,-1-3 16 0 0,2 2 8 0 0,-2-2-440 0 0,5 1-89 0 0,2-2-23 0 0,1-1 0 0 0,2-2-360 0 0,0 3 0 0 0,0-3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BABBA-0FD9-4703-BA90-636A2BE4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131</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Decision Letter to Mass General Brigham regarding BWFH addition</vt:lpstr>
    </vt:vector>
  </TitlesOfParts>
  <Company>Commonwealth of Massachusetts</Company>
  <LinksUpToDate>false</LinksUpToDate>
  <CharactersWithSpaces>7938</CharactersWithSpaces>
  <SharedDoc>false</SharedDoc>
  <HLinks>
    <vt:vector size="12" baseType="variant">
      <vt:variant>
        <vt:i4>5570626</vt:i4>
      </vt:variant>
      <vt:variant>
        <vt:i4>3</vt:i4>
      </vt:variant>
      <vt:variant>
        <vt:i4>0</vt:i4>
      </vt:variant>
      <vt:variant>
        <vt:i4>5</vt:i4>
      </vt:variant>
      <vt:variant>
        <vt:lpwstr>https://www.mass.gov/doc/mass-general-brigham-incorporated-bwfh-responses-to-don-questions-1/download</vt:lpwstr>
      </vt:variant>
      <vt:variant>
        <vt:lpwstr/>
      </vt:variant>
      <vt:variant>
        <vt:i4>6488065</vt:i4>
      </vt:variant>
      <vt:variant>
        <vt:i4>0</vt:i4>
      </vt:variant>
      <vt:variant>
        <vt:i4>0</vt:i4>
      </vt:variant>
      <vt:variant>
        <vt:i4>5</vt:i4>
      </vt:variant>
      <vt:variant>
        <vt:lpwstr>mailto:Andrew.Levine@huschblackwell.com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 to Mass General Brigham regarding BWFH addition</dc:title>
  <dc:subject>Department of Public Health Determination of Need program approves the Determination of Need application filed by Mass General Brigham for a five-story addition to Brigham and Women's Faulkner Hospital.</dc:subject>
  <dc:creator>Bureau of Health Care Safety and Quality</dc:creator>
  <cp:keywords>Decision Letter</cp:keywords>
  <cp:lastModifiedBy>Marks, Brett (DPH)</cp:lastModifiedBy>
  <cp:revision>31</cp:revision>
  <cp:lastPrinted>2021-11-15T13:29:00Z</cp:lastPrinted>
  <dcterms:created xsi:type="dcterms:W3CDTF">2022-05-18T19:08:00Z</dcterms:created>
  <dcterms:modified xsi:type="dcterms:W3CDTF">2022-05-20T17:32:00Z</dcterms:modified>
</cp:coreProperties>
</file>