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1DDD1245" w14:textId="77777777" w:rsidR="007C351A" w:rsidRPr="006013CB" w:rsidRDefault="007C351A" w:rsidP="007C351A">
      <w:pPr>
        <w:ind w:left="630" w:right="900"/>
        <w:rPr>
          <w:rFonts w:asciiTheme="minorHAnsi" w:hAnsiTheme="minorHAnsi" w:cstheme="minorHAnsi"/>
          <w:szCs w:val="24"/>
        </w:rPr>
      </w:pPr>
      <w:r>
        <w:rPr>
          <w:rFonts w:asciiTheme="minorHAnsi" w:hAnsiTheme="minorHAnsi" w:cstheme="minorHAnsi"/>
          <w:szCs w:val="24"/>
        </w:rPr>
        <w:t>January 15th</w:t>
      </w:r>
      <w:r w:rsidRPr="006013CB">
        <w:rPr>
          <w:rFonts w:asciiTheme="minorHAnsi" w:hAnsiTheme="minorHAnsi" w:cstheme="minorHAnsi"/>
          <w:szCs w:val="24"/>
        </w:rPr>
        <w:t>, 202</w:t>
      </w:r>
      <w:r>
        <w:rPr>
          <w:rFonts w:asciiTheme="minorHAnsi" w:hAnsiTheme="minorHAnsi" w:cstheme="minorHAnsi"/>
          <w:szCs w:val="24"/>
        </w:rPr>
        <w:t>5</w:t>
      </w:r>
    </w:p>
    <w:p w14:paraId="4512AEFE" w14:textId="77777777" w:rsidR="007C351A" w:rsidRPr="006013CB" w:rsidRDefault="007C351A" w:rsidP="007C351A">
      <w:pPr>
        <w:ind w:left="630" w:right="900"/>
        <w:rPr>
          <w:rFonts w:asciiTheme="minorHAnsi" w:hAnsiTheme="minorHAnsi" w:cstheme="minorHAnsi"/>
          <w:szCs w:val="24"/>
        </w:rPr>
      </w:pPr>
    </w:p>
    <w:p w14:paraId="78D01C83" w14:textId="77777777" w:rsidR="007C351A" w:rsidRPr="006013CB" w:rsidRDefault="007C351A" w:rsidP="007C351A">
      <w:pPr>
        <w:ind w:left="630" w:right="900"/>
        <w:rPr>
          <w:rFonts w:asciiTheme="minorHAnsi" w:hAnsiTheme="minorHAnsi" w:cstheme="minorHAnsi"/>
          <w:szCs w:val="24"/>
        </w:rPr>
      </w:pPr>
      <w:r>
        <w:rPr>
          <w:rFonts w:asciiTheme="minorHAnsi" w:hAnsiTheme="minorHAnsi" w:cstheme="minorHAnsi"/>
          <w:szCs w:val="24"/>
        </w:rPr>
        <w:t>Emily Kretchmer</w:t>
      </w:r>
      <w:r w:rsidRPr="006013CB">
        <w:rPr>
          <w:rFonts w:asciiTheme="minorHAnsi" w:hAnsiTheme="minorHAnsi" w:cstheme="minorHAnsi"/>
          <w:szCs w:val="24"/>
        </w:rPr>
        <w:t>, Esq.</w:t>
      </w:r>
    </w:p>
    <w:p w14:paraId="62E2D06A"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Krokidas &amp; Bluestein LLP</w:t>
      </w:r>
    </w:p>
    <w:p w14:paraId="3262520B"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600 Atlantic Ave</w:t>
      </w:r>
    </w:p>
    <w:p w14:paraId="00F23A2E"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19th Floor</w:t>
      </w:r>
    </w:p>
    <w:p w14:paraId="67AEA371"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Boston, MA 02210</w:t>
      </w:r>
    </w:p>
    <w:p w14:paraId="31C110C0" w14:textId="77777777" w:rsidR="007C351A" w:rsidRPr="006013CB" w:rsidRDefault="007C351A" w:rsidP="007C351A">
      <w:pPr>
        <w:ind w:left="630" w:right="900"/>
        <w:rPr>
          <w:rFonts w:asciiTheme="minorHAnsi" w:hAnsiTheme="minorHAnsi" w:cstheme="minorHAnsi"/>
          <w:szCs w:val="24"/>
        </w:rPr>
      </w:pPr>
    </w:p>
    <w:p w14:paraId="56AC6DDD" w14:textId="6B650AEC"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Via email: </w:t>
      </w:r>
      <w:hyperlink r:id="rId12" w:history="1">
        <w:r w:rsidRPr="007223C8">
          <w:rPr>
            <w:rStyle w:val="Hyperlink"/>
            <w:rFonts w:asciiTheme="minorHAnsi" w:hAnsiTheme="minorHAnsi" w:cstheme="minorHAnsi"/>
            <w:szCs w:val="24"/>
          </w:rPr>
          <w:t>EKretchmer@kb-law.com</w:t>
        </w:r>
      </w:hyperlink>
      <w:r>
        <w:rPr>
          <w:rFonts w:asciiTheme="minorHAnsi" w:hAnsiTheme="minorHAnsi" w:cstheme="minorHAnsi"/>
          <w:szCs w:val="24"/>
        </w:rPr>
        <w:t xml:space="preserve"> </w:t>
      </w:r>
    </w:p>
    <w:p w14:paraId="2FFFA881" w14:textId="77777777" w:rsidR="007C351A" w:rsidRPr="006013CB" w:rsidRDefault="007C351A" w:rsidP="007C351A">
      <w:pPr>
        <w:ind w:left="630" w:right="900"/>
        <w:rPr>
          <w:rFonts w:asciiTheme="minorHAnsi" w:hAnsiTheme="minorHAnsi" w:cstheme="minorHAnsi"/>
          <w:szCs w:val="24"/>
        </w:rPr>
      </w:pPr>
    </w:p>
    <w:p w14:paraId="7DF021F2"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Dear Attorney </w:t>
      </w:r>
      <w:r>
        <w:rPr>
          <w:rFonts w:asciiTheme="minorHAnsi" w:hAnsiTheme="minorHAnsi" w:cstheme="minorHAnsi"/>
          <w:szCs w:val="24"/>
        </w:rPr>
        <w:t>Kretchmer</w:t>
      </w:r>
      <w:r w:rsidRPr="006013CB">
        <w:rPr>
          <w:rFonts w:asciiTheme="minorHAnsi" w:hAnsiTheme="minorHAnsi" w:cstheme="minorHAnsi"/>
          <w:szCs w:val="24"/>
        </w:rPr>
        <w:t>,</w:t>
      </w:r>
    </w:p>
    <w:p w14:paraId="00532CE4" w14:textId="77777777" w:rsidR="007C351A" w:rsidRPr="006013CB" w:rsidRDefault="007C351A" w:rsidP="007C351A">
      <w:pPr>
        <w:ind w:left="630" w:right="900"/>
        <w:rPr>
          <w:rFonts w:asciiTheme="minorHAnsi" w:hAnsiTheme="minorHAnsi" w:cstheme="minorHAnsi"/>
          <w:szCs w:val="24"/>
        </w:rPr>
      </w:pPr>
    </w:p>
    <w:p w14:paraId="11EDD091"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At their meeting of January 15th, 2025, the Commissioner and the Public Health Council, acting together as the Department, voted pursuant to M.G.L. c.111, §25C and the regulations adopted thereunder, to approve the Determination of Need (</w:t>
      </w:r>
      <w:proofErr w:type="spellStart"/>
      <w:r w:rsidRPr="006013CB">
        <w:rPr>
          <w:rFonts w:asciiTheme="minorHAnsi" w:hAnsiTheme="minorHAnsi" w:cstheme="minorHAnsi"/>
          <w:szCs w:val="24"/>
        </w:rPr>
        <w:t>DoN</w:t>
      </w:r>
      <w:proofErr w:type="spellEnd"/>
      <w:r w:rsidRPr="006013CB">
        <w:rPr>
          <w:rFonts w:asciiTheme="minorHAnsi" w:hAnsiTheme="minorHAnsi" w:cstheme="minorHAnsi"/>
          <w:szCs w:val="24"/>
        </w:rPr>
        <w:t xml:space="preserve">) application filed by </w:t>
      </w:r>
      <w:r w:rsidRPr="00B41705">
        <w:rPr>
          <w:rFonts w:asciiTheme="minorHAnsi" w:hAnsiTheme="minorHAnsi" w:cstheme="minorHAnsi"/>
          <w:szCs w:val="24"/>
        </w:rPr>
        <w:t xml:space="preserve">Atrius Health, Inc. </w:t>
      </w:r>
      <w:r w:rsidRPr="00D559EC">
        <w:rPr>
          <w:rFonts w:asciiTheme="minorHAnsi" w:hAnsiTheme="minorHAnsi" w:cstheme="minorHAnsi"/>
          <w:szCs w:val="24"/>
        </w:rPr>
        <w:t>for the development of a freestanding ambulatory surgery center (“ASC”)</w:t>
      </w:r>
      <w:r>
        <w:rPr>
          <w:rFonts w:asciiTheme="minorHAnsi" w:hAnsiTheme="minorHAnsi" w:cstheme="minorHAnsi"/>
          <w:szCs w:val="24"/>
        </w:rPr>
        <w:t xml:space="preserve"> comprised of</w:t>
      </w:r>
      <w:r w:rsidRPr="00D559EC">
        <w:rPr>
          <w:rFonts w:asciiTheme="minorHAnsi" w:hAnsiTheme="minorHAnsi" w:cstheme="minorHAnsi"/>
          <w:szCs w:val="24"/>
        </w:rPr>
        <w:t xml:space="preserve"> six (6) operating rooms (“ORs”) and associated clinical and administrative spaces</w:t>
      </w:r>
      <w:r>
        <w:rPr>
          <w:rFonts w:asciiTheme="minorHAnsi" w:hAnsiTheme="minorHAnsi" w:cstheme="minorHAnsi"/>
          <w:szCs w:val="24"/>
        </w:rPr>
        <w:t xml:space="preserve">, </w:t>
      </w:r>
      <w:r w:rsidRPr="00D559EC">
        <w:rPr>
          <w:rFonts w:asciiTheme="minorHAnsi" w:hAnsiTheme="minorHAnsi" w:cstheme="minorHAnsi"/>
          <w:szCs w:val="24"/>
        </w:rPr>
        <w:t xml:space="preserve">to be located at 153 Second Avenue, Waltham, Massachusetts, 02451 (“Proposed Project”). </w:t>
      </w:r>
      <w:r w:rsidRPr="006013CB">
        <w:rPr>
          <w:rFonts w:asciiTheme="minorHAnsi" w:hAnsiTheme="minorHAnsi" w:cstheme="minorHAnsi"/>
          <w:szCs w:val="24"/>
        </w:rPr>
        <w:t xml:space="preserve"> This Notice of Final Action incorporates by reference the Staff Report and the Public Health Council proceedings concerning this application.</w:t>
      </w:r>
    </w:p>
    <w:p w14:paraId="6B6704D2" w14:textId="77777777" w:rsidR="007C351A" w:rsidRPr="006013CB" w:rsidRDefault="007C351A" w:rsidP="007C351A">
      <w:pPr>
        <w:ind w:left="630" w:right="900"/>
        <w:rPr>
          <w:rFonts w:asciiTheme="minorHAnsi" w:hAnsiTheme="minorHAnsi" w:cstheme="minorHAnsi"/>
          <w:szCs w:val="24"/>
        </w:rPr>
      </w:pPr>
    </w:p>
    <w:p w14:paraId="6A30D2B2" w14:textId="77777777" w:rsidR="007C351A" w:rsidRPr="00D559EC"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This application was reviewed pursuant to M.G.L. c. 111, §25C and the regulatory provisions at 105 CMR 100.000 et seq. Based upon a review of the materials submitted, the Department found that the Applicant has met each </w:t>
      </w:r>
      <w:proofErr w:type="spellStart"/>
      <w:r w:rsidRPr="006013CB">
        <w:rPr>
          <w:rFonts w:asciiTheme="minorHAnsi" w:hAnsiTheme="minorHAnsi" w:cstheme="minorHAnsi"/>
          <w:szCs w:val="24"/>
        </w:rPr>
        <w:t>DoN</w:t>
      </w:r>
      <w:proofErr w:type="spellEnd"/>
      <w:r w:rsidRPr="006013CB">
        <w:rPr>
          <w:rFonts w:asciiTheme="minorHAnsi" w:hAnsiTheme="minorHAnsi" w:cstheme="minorHAnsi"/>
          <w:szCs w:val="24"/>
        </w:rPr>
        <w:t xml:space="preserve"> factor and approves this Determination of Need application for a Substantial Change in Service subject to all standard conditions (105 CMR 100.310) and pursuant to 105 CMR 100.360, subject to the Other </w:t>
      </w:r>
      <w:r w:rsidRPr="003A7269">
        <w:rPr>
          <w:rFonts w:asciiTheme="minorHAnsi" w:hAnsiTheme="minorHAnsi" w:cstheme="minorHAnsi"/>
          <w:szCs w:val="24"/>
        </w:rPr>
        <w:t>Conditions listed below.</w:t>
      </w:r>
      <w:r w:rsidRPr="006013CB">
        <w:rPr>
          <w:rFonts w:asciiTheme="minorHAnsi" w:hAnsiTheme="minorHAnsi" w:cstheme="minorHAnsi"/>
          <w:szCs w:val="24"/>
        </w:rPr>
        <w:t xml:space="preserve"> </w:t>
      </w:r>
      <w:r w:rsidRPr="00D559EC">
        <w:rPr>
          <w:rFonts w:asciiTheme="minorHAnsi" w:hAnsiTheme="minorHAnsi" w:cstheme="minorHAnsi"/>
          <w:szCs w:val="24"/>
        </w:rPr>
        <w:t>The capital expenditure for the Proposed Project is $20,777,721.00</w:t>
      </w:r>
      <w:r>
        <w:rPr>
          <w:rFonts w:asciiTheme="minorHAnsi" w:hAnsiTheme="minorHAnsi" w:cstheme="minorHAnsi"/>
          <w:szCs w:val="24"/>
        </w:rPr>
        <w:t xml:space="preserve"> (August 2024 dollars)</w:t>
      </w:r>
      <w:r w:rsidRPr="00D559EC">
        <w:rPr>
          <w:rFonts w:asciiTheme="minorHAnsi" w:hAnsiTheme="minorHAnsi" w:cstheme="minorHAnsi"/>
          <w:szCs w:val="24"/>
        </w:rPr>
        <w:t xml:space="preserve">. The Community Health Initiatives (‘CHI”) contribution is $1,038,886.05. </w:t>
      </w:r>
    </w:p>
    <w:p w14:paraId="6E0FE3FB" w14:textId="77777777" w:rsidR="007C351A" w:rsidRDefault="007C351A" w:rsidP="007C351A">
      <w:pPr>
        <w:ind w:left="630" w:right="900"/>
        <w:rPr>
          <w:rFonts w:asciiTheme="minorHAnsi" w:hAnsiTheme="minorHAnsi" w:cstheme="minorHAnsi"/>
          <w:szCs w:val="24"/>
        </w:rPr>
      </w:pPr>
    </w:p>
    <w:p w14:paraId="72AA14E8" w14:textId="77777777" w:rsidR="007C351A" w:rsidRDefault="007C351A" w:rsidP="007C351A">
      <w:pPr>
        <w:ind w:left="630" w:right="900"/>
        <w:rPr>
          <w:rFonts w:asciiTheme="minorHAnsi" w:hAnsiTheme="minorHAnsi" w:cstheme="minorHAnsi"/>
          <w:szCs w:val="24"/>
        </w:rPr>
      </w:pPr>
    </w:p>
    <w:p w14:paraId="01F10AE3" w14:textId="77777777" w:rsidR="007C351A" w:rsidRPr="006013CB" w:rsidRDefault="007C351A" w:rsidP="007C351A">
      <w:pPr>
        <w:ind w:left="630" w:right="900"/>
        <w:rPr>
          <w:rFonts w:asciiTheme="minorHAnsi" w:hAnsiTheme="minorHAnsi" w:cstheme="minorHAnsi"/>
          <w:szCs w:val="24"/>
        </w:rPr>
      </w:pPr>
    </w:p>
    <w:p w14:paraId="173B4AA8"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lastRenderedPageBreak/>
        <w:t>In compliance with the provisions of 105 CMR 100.310(A)(2) and (11), the Holder shall submit an acknowledgment of receipt to the Department (attached) and include a written attestation of participation or intent to participate in MassHealth.</w:t>
      </w:r>
    </w:p>
    <w:p w14:paraId="58ABDE9B" w14:textId="77777777" w:rsidR="007C351A" w:rsidRPr="006013CB" w:rsidRDefault="007C351A" w:rsidP="007C351A">
      <w:pPr>
        <w:ind w:left="630" w:right="900"/>
        <w:rPr>
          <w:rFonts w:asciiTheme="minorHAnsi" w:hAnsiTheme="minorHAnsi" w:cstheme="minorHAnsi"/>
          <w:szCs w:val="24"/>
        </w:rPr>
      </w:pPr>
    </w:p>
    <w:p w14:paraId="5487CD67"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In compliance with 105 CMR 100.310(A)(12), which requires a report to the Department, at a minimum, on an annual basis, including the measures related to achievement of the </w:t>
      </w:r>
      <w:proofErr w:type="spellStart"/>
      <w:r w:rsidRPr="006013CB">
        <w:rPr>
          <w:rFonts w:asciiTheme="minorHAnsi" w:hAnsiTheme="minorHAnsi" w:cstheme="minorHAnsi"/>
          <w:szCs w:val="24"/>
        </w:rPr>
        <w:t>DoN</w:t>
      </w:r>
      <w:proofErr w:type="spellEnd"/>
      <w:r w:rsidRPr="006013CB">
        <w:rPr>
          <w:rFonts w:asciiTheme="minorHAnsi" w:hAnsiTheme="minorHAnsi" w:cstheme="minorHAnsi"/>
          <w:szCs w:val="24"/>
        </w:rPr>
        <w:t xml:space="preserve"> factors for a period of five years from completion of the Proposed Project, the Holder shall address its assertions with respect to all of the factors.</w:t>
      </w:r>
    </w:p>
    <w:p w14:paraId="78DFD43D" w14:textId="77777777" w:rsidR="007C351A" w:rsidRPr="006013CB" w:rsidRDefault="007C351A" w:rsidP="007C351A">
      <w:pPr>
        <w:ind w:left="630" w:right="900"/>
        <w:rPr>
          <w:rFonts w:asciiTheme="minorHAnsi" w:hAnsiTheme="minorHAnsi" w:cstheme="minorHAnsi"/>
          <w:szCs w:val="24"/>
        </w:rPr>
      </w:pPr>
    </w:p>
    <w:p w14:paraId="3DDE109C"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Please notify the </w:t>
      </w:r>
      <w:proofErr w:type="spellStart"/>
      <w:r w:rsidRPr="006013CB">
        <w:rPr>
          <w:rFonts w:asciiTheme="minorHAnsi" w:hAnsiTheme="minorHAnsi" w:cstheme="minorHAnsi"/>
          <w:szCs w:val="24"/>
        </w:rPr>
        <w:t>DoN</w:t>
      </w:r>
      <w:proofErr w:type="spellEnd"/>
      <w:r w:rsidRPr="006013CB">
        <w:rPr>
          <w:rFonts w:asciiTheme="minorHAnsi" w:hAnsiTheme="minorHAnsi" w:cstheme="minorHAnsi"/>
          <w:szCs w:val="24"/>
        </w:rPr>
        <w:t xml:space="preserve"> Program at </w:t>
      </w:r>
      <w:hyperlink r:id="rId13" w:history="1">
        <w:r w:rsidRPr="006013CB">
          <w:rPr>
            <w:rStyle w:val="Hyperlink"/>
            <w:rFonts w:asciiTheme="minorHAnsi" w:hAnsiTheme="minorHAnsi" w:cstheme="minorHAnsi"/>
            <w:szCs w:val="24"/>
          </w:rPr>
          <w:t>DPH.DON@mass.gov</w:t>
        </w:r>
      </w:hyperlink>
      <w:r w:rsidRPr="006013CB">
        <w:rPr>
          <w:rFonts w:asciiTheme="minorHAnsi" w:hAnsiTheme="minorHAnsi" w:cstheme="minorHAnsi"/>
          <w:szCs w:val="24"/>
        </w:rPr>
        <w:t xml:space="preserve"> of the anticipated completion date of all the components of the </w:t>
      </w:r>
      <w:proofErr w:type="spellStart"/>
      <w:r w:rsidRPr="006013CB">
        <w:rPr>
          <w:rFonts w:asciiTheme="minorHAnsi" w:hAnsiTheme="minorHAnsi" w:cstheme="minorHAnsi"/>
          <w:szCs w:val="24"/>
        </w:rPr>
        <w:t>DoN</w:t>
      </w:r>
      <w:proofErr w:type="spellEnd"/>
      <w:r w:rsidRPr="006013CB">
        <w:rPr>
          <w:rFonts w:asciiTheme="minorHAnsi" w:hAnsiTheme="minorHAnsi" w:cstheme="minorHAnsi"/>
          <w:szCs w:val="24"/>
        </w:rPr>
        <w:t xml:space="preserve">-approved Project once it has been established. Additionally, please send an email confirming the Project's completion (licensure/ amended licensure approval date) and the first day of operations to determine the annual </w:t>
      </w:r>
      <w:proofErr w:type="spellStart"/>
      <w:r w:rsidRPr="006013CB">
        <w:rPr>
          <w:rFonts w:asciiTheme="minorHAnsi" w:hAnsiTheme="minorHAnsi" w:cstheme="minorHAnsi"/>
          <w:szCs w:val="24"/>
        </w:rPr>
        <w:t>DoN</w:t>
      </w:r>
      <w:proofErr w:type="spellEnd"/>
      <w:r w:rsidRPr="006013CB">
        <w:rPr>
          <w:rFonts w:asciiTheme="minorHAnsi" w:hAnsiTheme="minorHAnsi" w:cstheme="minorHAnsi"/>
          <w:szCs w:val="24"/>
        </w:rPr>
        <w:t xml:space="preserve"> reporting timeline. </w:t>
      </w:r>
    </w:p>
    <w:p w14:paraId="0B30129B" w14:textId="77777777" w:rsidR="007C351A" w:rsidRPr="006013CB" w:rsidRDefault="007C351A" w:rsidP="007C351A">
      <w:pPr>
        <w:ind w:left="630" w:right="900"/>
        <w:rPr>
          <w:rFonts w:asciiTheme="minorHAnsi" w:hAnsiTheme="minorHAnsi" w:cstheme="minorHAnsi"/>
          <w:szCs w:val="24"/>
        </w:rPr>
      </w:pPr>
    </w:p>
    <w:p w14:paraId="4E46874B" w14:textId="77777777" w:rsidR="007C351A" w:rsidRDefault="007C351A" w:rsidP="007C351A">
      <w:pPr>
        <w:ind w:left="630" w:right="900"/>
        <w:rPr>
          <w:rFonts w:asciiTheme="minorHAnsi" w:hAnsiTheme="minorHAnsi" w:cstheme="minorHAnsi"/>
          <w:b/>
          <w:bCs/>
          <w:szCs w:val="24"/>
        </w:rPr>
      </w:pPr>
      <w:r w:rsidRPr="006013CB">
        <w:rPr>
          <w:rFonts w:asciiTheme="minorHAnsi" w:hAnsiTheme="minorHAnsi" w:cstheme="minorHAnsi"/>
          <w:b/>
          <w:bCs/>
          <w:szCs w:val="24"/>
        </w:rPr>
        <w:t xml:space="preserve">Other Conditions to the </w:t>
      </w:r>
      <w:proofErr w:type="spellStart"/>
      <w:r w:rsidRPr="006013CB">
        <w:rPr>
          <w:rFonts w:asciiTheme="minorHAnsi" w:hAnsiTheme="minorHAnsi" w:cstheme="minorHAnsi"/>
          <w:b/>
          <w:bCs/>
          <w:szCs w:val="24"/>
        </w:rPr>
        <w:t>DoN</w:t>
      </w:r>
      <w:proofErr w:type="spellEnd"/>
    </w:p>
    <w:p w14:paraId="02C130ED" w14:textId="77777777" w:rsidR="007C351A" w:rsidRDefault="007C351A" w:rsidP="007C351A">
      <w:pPr>
        <w:ind w:left="630" w:right="900"/>
        <w:rPr>
          <w:rFonts w:asciiTheme="minorHAnsi" w:hAnsiTheme="minorHAnsi" w:cstheme="minorHAnsi"/>
          <w:b/>
          <w:bCs/>
          <w:szCs w:val="24"/>
        </w:rPr>
      </w:pPr>
    </w:p>
    <w:p w14:paraId="487E9E0F" w14:textId="77777777" w:rsidR="007C351A" w:rsidRPr="00D559EC" w:rsidRDefault="007C351A" w:rsidP="007C351A">
      <w:pPr>
        <w:numPr>
          <w:ilvl w:val="0"/>
          <w:numId w:val="17"/>
        </w:numPr>
        <w:ind w:left="990" w:right="900"/>
        <w:rPr>
          <w:rFonts w:asciiTheme="minorHAnsi" w:hAnsiTheme="minorHAnsi" w:cstheme="minorHAnsi"/>
          <w:szCs w:val="24"/>
        </w:rPr>
      </w:pPr>
      <w:r w:rsidRPr="00D559EC">
        <w:rPr>
          <w:rFonts w:asciiTheme="minorHAnsi" w:hAnsiTheme="minorHAnsi" w:cstheme="minorHAnsi"/>
          <w:szCs w:val="24"/>
        </w:rPr>
        <w:t>The total required CHI contribution of $1,038,886.05 will be directed to the Massachusetts Statewide Healthy Aging Fund. </w:t>
      </w:r>
    </w:p>
    <w:p w14:paraId="3C827480" w14:textId="77777777" w:rsidR="007C351A" w:rsidRPr="00D559EC" w:rsidRDefault="007C351A" w:rsidP="007C351A">
      <w:pPr>
        <w:ind w:left="900" w:right="900"/>
        <w:rPr>
          <w:rFonts w:asciiTheme="minorHAnsi" w:hAnsiTheme="minorHAnsi" w:cstheme="minorHAnsi"/>
          <w:szCs w:val="24"/>
        </w:rPr>
      </w:pPr>
      <w:r w:rsidRPr="00D559EC">
        <w:rPr>
          <w:rFonts w:asciiTheme="minorHAnsi" w:hAnsiTheme="minorHAnsi" w:cstheme="minorHAnsi"/>
          <w:szCs w:val="24"/>
        </w:rPr>
        <w:t> </w:t>
      </w:r>
    </w:p>
    <w:p w14:paraId="73BC352D" w14:textId="77777777" w:rsidR="007C351A" w:rsidRPr="00D559EC" w:rsidRDefault="007C351A" w:rsidP="007C351A">
      <w:pPr>
        <w:numPr>
          <w:ilvl w:val="0"/>
          <w:numId w:val="17"/>
        </w:numPr>
        <w:ind w:left="990" w:right="900"/>
        <w:rPr>
          <w:rFonts w:asciiTheme="minorHAnsi" w:hAnsiTheme="minorHAnsi" w:cstheme="minorHAnsi"/>
          <w:szCs w:val="24"/>
        </w:rPr>
      </w:pPr>
      <w:r w:rsidRPr="00D559EC">
        <w:rPr>
          <w:rFonts w:asciiTheme="minorHAnsi" w:hAnsiTheme="minorHAnsi" w:cstheme="minorHAnsi"/>
          <w:szCs w:val="24"/>
        </w:rPr>
        <w:t>To comply with the Holder’s obligation to contribute to the Massachusetts Statewide Community Health Funds, the Holder must submit payment to Health Resources in Action (</w:t>
      </w:r>
      <w:proofErr w:type="spellStart"/>
      <w:r w:rsidRPr="00D559EC">
        <w:rPr>
          <w:rFonts w:asciiTheme="minorHAnsi" w:hAnsiTheme="minorHAnsi" w:cstheme="minorHAnsi"/>
          <w:szCs w:val="24"/>
        </w:rPr>
        <w:t>HRiA</w:t>
      </w:r>
      <w:proofErr w:type="spellEnd"/>
      <w:r w:rsidRPr="00D559EC">
        <w:rPr>
          <w:rFonts w:asciiTheme="minorHAnsi" w:hAnsiTheme="minorHAnsi" w:cstheme="minorHAnsi"/>
          <w:szCs w:val="24"/>
        </w:rPr>
        <w:t>), the fiscal agent for the CHI Statewide Initiative, in</w:t>
      </w:r>
      <w:r w:rsidRPr="00D559EC">
        <w:rPr>
          <w:rFonts w:asciiTheme="minorHAnsi" w:hAnsiTheme="minorHAnsi" w:cstheme="minorHAnsi"/>
          <w:b/>
          <w:bCs/>
          <w:szCs w:val="24"/>
        </w:rPr>
        <w:t xml:space="preserve"> two installments</w:t>
      </w:r>
      <w:r w:rsidRPr="00D559EC">
        <w:rPr>
          <w:rFonts w:asciiTheme="minorHAnsi" w:hAnsiTheme="minorHAnsi" w:cstheme="minorHAnsi"/>
          <w:szCs w:val="24"/>
        </w:rPr>
        <w:t>. </w:t>
      </w:r>
    </w:p>
    <w:p w14:paraId="16510805" w14:textId="77777777" w:rsidR="007C351A" w:rsidRPr="00D559EC" w:rsidRDefault="007C351A" w:rsidP="007C351A">
      <w:pPr>
        <w:numPr>
          <w:ilvl w:val="1"/>
          <w:numId w:val="17"/>
        </w:numPr>
        <w:ind w:left="1710" w:right="900"/>
        <w:rPr>
          <w:rFonts w:asciiTheme="minorHAnsi" w:hAnsiTheme="minorHAnsi" w:cstheme="minorHAnsi"/>
          <w:szCs w:val="24"/>
        </w:rPr>
      </w:pPr>
      <w:r w:rsidRPr="00D559EC">
        <w:rPr>
          <w:rFonts w:asciiTheme="minorHAnsi" w:hAnsiTheme="minorHAnsi" w:cstheme="minorHAnsi"/>
          <w:szCs w:val="24"/>
        </w:rPr>
        <w:t xml:space="preserve">The Holder must submit the first installment of $519,443.03 to </w:t>
      </w:r>
      <w:proofErr w:type="spellStart"/>
      <w:r w:rsidRPr="00D559EC">
        <w:rPr>
          <w:rFonts w:asciiTheme="minorHAnsi" w:hAnsiTheme="minorHAnsi" w:cstheme="minorHAnsi"/>
          <w:szCs w:val="24"/>
        </w:rPr>
        <w:t>HRiA</w:t>
      </w:r>
      <w:proofErr w:type="spellEnd"/>
      <w:r w:rsidRPr="00D559EC">
        <w:rPr>
          <w:rFonts w:asciiTheme="minorHAnsi" w:hAnsiTheme="minorHAnsi" w:cstheme="minorHAnsi"/>
          <w:szCs w:val="24"/>
        </w:rPr>
        <w:t xml:space="preserve"> </w:t>
      </w:r>
      <w:r w:rsidRPr="00D559EC">
        <w:rPr>
          <w:rFonts w:asciiTheme="minorHAnsi" w:hAnsiTheme="minorHAnsi" w:cstheme="minorHAnsi"/>
          <w:b/>
          <w:bCs/>
          <w:szCs w:val="24"/>
        </w:rPr>
        <w:t>within 30 days</w:t>
      </w:r>
      <w:r w:rsidRPr="00D559EC">
        <w:rPr>
          <w:rFonts w:asciiTheme="minorHAnsi" w:hAnsiTheme="minorHAnsi" w:cstheme="minorHAnsi"/>
          <w:szCs w:val="24"/>
        </w:rPr>
        <w:t xml:space="preserve"> from the date of the Notice of Approval. </w:t>
      </w:r>
    </w:p>
    <w:p w14:paraId="3DAD6748" w14:textId="77777777" w:rsidR="007C351A" w:rsidRPr="00D559EC" w:rsidRDefault="007C351A" w:rsidP="007C351A">
      <w:pPr>
        <w:numPr>
          <w:ilvl w:val="1"/>
          <w:numId w:val="17"/>
        </w:numPr>
        <w:ind w:left="1710" w:right="900"/>
        <w:rPr>
          <w:rFonts w:asciiTheme="minorHAnsi" w:hAnsiTheme="minorHAnsi" w:cstheme="minorHAnsi"/>
          <w:szCs w:val="24"/>
        </w:rPr>
      </w:pPr>
      <w:r w:rsidRPr="00D559EC">
        <w:rPr>
          <w:rFonts w:asciiTheme="minorHAnsi" w:hAnsiTheme="minorHAnsi" w:cstheme="minorHAnsi"/>
          <w:szCs w:val="24"/>
        </w:rPr>
        <w:t xml:space="preserve">The Holder must submit the second installment of $519,443.02 to </w:t>
      </w:r>
      <w:proofErr w:type="spellStart"/>
      <w:r w:rsidRPr="00D559EC">
        <w:rPr>
          <w:rFonts w:asciiTheme="minorHAnsi" w:hAnsiTheme="minorHAnsi" w:cstheme="minorHAnsi"/>
          <w:szCs w:val="24"/>
        </w:rPr>
        <w:t>HRiA</w:t>
      </w:r>
      <w:proofErr w:type="spellEnd"/>
      <w:r w:rsidRPr="00D559EC">
        <w:rPr>
          <w:rFonts w:asciiTheme="minorHAnsi" w:hAnsiTheme="minorHAnsi" w:cstheme="minorHAnsi"/>
          <w:szCs w:val="24"/>
        </w:rPr>
        <w:t xml:space="preserve"> </w:t>
      </w:r>
      <w:r w:rsidRPr="00D559EC">
        <w:rPr>
          <w:rFonts w:asciiTheme="minorHAnsi" w:hAnsiTheme="minorHAnsi" w:cstheme="minorHAnsi"/>
          <w:b/>
          <w:bCs/>
          <w:szCs w:val="24"/>
        </w:rPr>
        <w:t>within 12 months</w:t>
      </w:r>
      <w:r w:rsidRPr="00D559EC">
        <w:rPr>
          <w:rFonts w:asciiTheme="minorHAnsi" w:hAnsiTheme="minorHAnsi" w:cstheme="minorHAnsi"/>
          <w:szCs w:val="24"/>
        </w:rPr>
        <w:t xml:space="preserve"> from the date of the Notice of Approval.  </w:t>
      </w:r>
    </w:p>
    <w:p w14:paraId="4060093A" w14:textId="77777777" w:rsidR="007C351A" w:rsidRPr="00D559EC" w:rsidRDefault="007C351A" w:rsidP="007C351A">
      <w:pPr>
        <w:ind w:left="900" w:right="900"/>
        <w:rPr>
          <w:rFonts w:asciiTheme="minorHAnsi" w:hAnsiTheme="minorHAnsi" w:cstheme="minorHAnsi"/>
          <w:szCs w:val="24"/>
        </w:rPr>
      </w:pPr>
    </w:p>
    <w:p w14:paraId="3F4EC844" w14:textId="77777777" w:rsidR="007C351A" w:rsidRPr="00D559EC" w:rsidRDefault="007C351A" w:rsidP="007C351A">
      <w:pPr>
        <w:ind w:left="1350" w:right="900"/>
        <w:rPr>
          <w:rFonts w:asciiTheme="minorHAnsi" w:hAnsiTheme="minorHAnsi" w:cstheme="minorHAnsi"/>
          <w:szCs w:val="24"/>
        </w:rPr>
      </w:pPr>
      <w:r w:rsidRPr="00D559EC">
        <w:rPr>
          <w:rFonts w:asciiTheme="minorHAnsi" w:hAnsiTheme="minorHAnsi" w:cstheme="minorHAnsi"/>
          <w:szCs w:val="24"/>
        </w:rPr>
        <w:t>Payments should be made out to: </w:t>
      </w:r>
    </w:p>
    <w:p w14:paraId="4C65BC82" w14:textId="77777777" w:rsidR="007C351A" w:rsidRPr="00D559EC" w:rsidRDefault="007C351A" w:rsidP="007C351A">
      <w:pPr>
        <w:ind w:left="1620" w:right="900"/>
        <w:rPr>
          <w:rFonts w:asciiTheme="minorHAnsi" w:hAnsiTheme="minorHAnsi" w:cstheme="minorHAnsi"/>
          <w:szCs w:val="24"/>
        </w:rPr>
      </w:pPr>
      <w:r w:rsidRPr="00D559EC">
        <w:rPr>
          <w:rFonts w:asciiTheme="minorHAnsi" w:hAnsiTheme="minorHAnsi" w:cstheme="minorHAnsi"/>
          <w:szCs w:val="24"/>
        </w:rPr>
        <w:t>Health Resources in Action, Inc. (</w:t>
      </w:r>
      <w:proofErr w:type="spellStart"/>
      <w:r w:rsidRPr="00D559EC">
        <w:rPr>
          <w:rFonts w:asciiTheme="minorHAnsi" w:hAnsiTheme="minorHAnsi" w:cstheme="minorHAnsi"/>
          <w:szCs w:val="24"/>
        </w:rPr>
        <w:t>HRiA</w:t>
      </w:r>
      <w:proofErr w:type="spellEnd"/>
      <w:r w:rsidRPr="00D559EC">
        <w:rPr>
          <w:rFonts w:asciiTheme="minorHAnsi" w:hAnsiTheme="minorHAnsi" w:cstheme="minorHAnsi"/>
          <w:szCs w:val="24"/>
        </w:rPr>
        <w:t>)  </w:t>
      </w:r>
    </w:p>
    <w:p w14:paraId="75FD9EF7" w14:textId="77777777" w:rsidR="007C351A" w:rsidRPr="00D559EC" w:rsidRDefault="007C351A" w:rsidP="007C351A">
      <w:pPr>
        <w:ind w:left="1620" w:right="900"/>
        <w:rPr>
          <w:rFonts w:asciiTheme="minorHAnsi" w:hAnsiTheme="minorHAnsi" w:cstheme="minorHAnsi"/>
          <w:szCs w:val="24"/>
        </w:rPr>
      </w:pPr>
      <w:r w:rsidRPr="00D559EC">
        <w:rPr>
          <w:rFonts w:asciiTheme="minorHAnsi" w:hAnsiTheme="minorHAnsi" w:cstheme="minorHAnsi"/>
          <w:szCs w:val="24"/>
        </w:rPr>
        <w:t>2 Boylston Street, 4th Floor  </w:t>
      </w:r>
    </w:p>
    <w:p w14:paraId="1DC85E79" w14:textId="77777777" w:rsidR="007C351A" w:rsidRPr="00D559EC" w:rsidRDefault="007C351A" w:rsidP="007C351A">
      <w:pPr>
        <w:ind w:left="1620" w:right="900"/>
        <w:rPr>
          <w:rFonts w:asciiTheme="minorHAnsi" w:hAnsiTheme="minorHAnsi" w:cstheme="minorHAnsi"/>
          <w:szCs w:val="24"/>
        </w:rPr>
      </w:pPr>
      <w:r w:rsidRPr="00D559EC">
        <w:rPr>
          <w:rFonts w:asciiTheme="minorHAnsi" w:hAnsiTheme="minorHAnsi" w:cstheme="minorHAnsi"/>
          <w:szCs w:val="24"/>
        </w:rPr>
        <w:t>Boston, MA 02116  </w:t>
      </w:r>
    </w:p>
    <w:p w14:paraId="2ADCFB6F" w14:textId="77777777" w:rsidR="007C351A" w:rsidRPr="00D559EC" w:rsidRDefault="007C351A" w:rsidP="007C351A">
      <w:pPr>
        <w:ind w:left="1620" w:right="900"/>
        <w:rPr>
          <w:rFonts w:asciiTheme="minorHAnsi" w:hAnsiTheme="minorHAnsi" w:cstheme="minorHAnsi"/>
          <w:szCs w:val="24"/>
        </w:rPr>
      </w:pPr>
      <w:r w:rsidRPr="00D559EC">
        <w:rPr>
          <w:rFonts w:asciiTheme="minorHAnsi" w:hAnsiTheme="minorHAnsi" w:cstheme="minorHAnsi"/>
          <w:szCs w:val="24"/>
        </w:rPr>
        <w:t>Attn: MACHHAF c/o Bora Toro  </w:t>
      </w:r>
    </w:p>
    <w:p w14:paraId="7AA6A2FE" w14:textId="77777777" w:rsidR="007C351A" w:rsidRPr="00D559EC" w:rsidRDefault="007C351A" w:rsidP="007C351A">
      <w:pPr>
        <w:ind w:left="1620" w:right="900"/>
        <w:rPr>
          <w:rFonts w:asciiTheme="minorHAnsi" w:hAnsiTheme="minorHAnsi" w:cstheme="minorHAnsi"/>
          <w:szCs w:val="24"/>
        </w:rPr>
      </w:pPr>
      <w:proofErr w:type="spellStart"/>
      <w:r w:rsidRPr="00D559EC">
        <w:rPr>
          <w:rFonts w:asciiTheme="minorHAnsi" w:hAnsiTheme="minorHAnsi" w:cstheme="minorHAnsi"/>
          <w:szCs w:val="24"/>
        </w:rPr>
        <w:t>DoN</w:t>
      </w:r>
      <w:proofErr w:type="spellEnd"/>
      <w:r w:rsidRPr="00D559EC">
        <w:rPr>
          <w:rFonts w:asciiTheme="minorHAnsi" w:hAnsiTheme="minorHAnsi" w:cstheme="minorHAnsi"/>
          <w:szCs w:val="24"/>
        </w:rPr>
        <w:t xml:space="preserve"> project # 24053113-AS</w:t>
      </w:r>
    </w:p>
    <w:p w14:paraId="65C7EA06" w14:textId="77777777" w:rsidR="007C351A" w:rsidRPr="00D559EC" w:rsidRDefault="007C351A" w:rsidP="007C351A">
      <w:pPr>
        <w:ind w:left="900" w:right="900"/>
        <w:rPr>
          <w:rFonts w:asciiTheme="minorHAnsi" w:hAnsiTheme="minorHAnsi" w:cstheme="minorHAnsi"/>
          <w:szCs w:val="24"/>
        </w:rPr>
      </w:pPr>
    </w:p>
    <w:p w14:paraId="4169DCD8" w14:textId="77777777" w:rsidR="007C351A" w:rsidRDefault="007C351A" w:rsidP="007C351A">
      <w:pPr>
        <w:numPr>
          <w:ilvl w:val="0"/>
          <w:numId w:val="17"/>
        </w:numPr>
        <w:ind w:left="990" w:right="900"/>
        <w:rPr>
          <w:rFonts w:asciiTheme="minorHAnsi" w:hAnsiTheme="minorHAnsi" w:cstheme="minorHAnsi"/>
          <w:szCs w:val="24"/>
        </w:rPr>
      </w:pPr>
      <w:r w:rsidRPr="00D559EC">
        <w:rPr>
          <w:rFonts w:asciiTheme="minorHAnsi" w:hAnsiTheme="minorHAnsi" w:cstheme="minorHAnsi"/>
          <w:szCs w:val="24"/>
        </w:rPr>
        <w:t xml:space="preserve">The </w:t>
      </w:r>
      <w:r w:rsidRPr="00D559EC">
        <w:rPr>
          <w:rFonts w:asciiTheme="minorHAnsi" w:hAnsiTheme="minorHAnsi" w:cstheme="minorHAnsi"/>
          <w:b/>
          <w:bCs/>
          <w:szCs w:val="24"/>
        </w:rPr>
        <w:t>Holder must promptly notify DPH</w:t>
      </w:r>
      <w:r w:rsidRPr="00D559EC">
        <w:rPr>
          <w:rFonts w:asciiTheme="minorHAnsi" w:hAnsiTheme="minorHAnsi" w:cstheme="minorHAnsi"/>
          <w:szCs w:val="24"/>
        </w:rPr>
        <w:t xml:space="preserve"> (CHI contact staff) when each payment has been made. Please send a PDF image of the check or</w:t>
      </w:r>
      <w:r w:rsidRPr="00D559EC">
        <w:rPr>
          <w:rFonts w:asciiTheme="minorHAnsi" w:hAnsiTheme="minorHAnsi" w:cstheme="minorHAnsi"/>
          <w:b/>
          <w:bCs/>
          <w:szCs w:val="24"/>
        </w:rPr>
        <w:t xml:space="preserve"> confirmation of payment</w:t>
      </w:r>
      <w:r w:rsidRPr="00D559EC">
        <w:rPr>
          <w:rFonts w:asciiTheme="minorHAnsi" w:hAnsiTheme="minorHAnsi" w:cstheme="minorHAnsi"/>
          <w:szCs w:val="24"/>
        </w:rPr>
        <w:t xml:space="preserve"> to </w:t>
      </w:r>
      <w:hyperlink r:id="rId14" w:tgtFrame="_blank" w:history="1">
        <w:r w:rsidRPr="00D559EC">
          <w:rPr>
            <w:rStyle w:val="Hyperlink"/>
            <w:rFonts w:asciiTheme="minorHAnsi" w:hAnsiTheme="minorHAnsi" w:cstheme="minorHAnsi"/>
            <w:szCs w:val="24"/>
          </w:rPr>
          <w:t>DONCHI@Mass.gov</w:t>
        </w:r>
      </w:hyperlink>
      <w:r w:rsidRPr="00D559EC">
        <w:rPr>
          <w:rFonts w:asciiTheme="minorHAnsi" w:hAnsiTheme="minorHAnsi" w:cstheme="minorHAnsi"/>
          <w:szCs w:val="24"/>
        </w:rPr>
        <w:t xml:space="preserve"> and </w:t>
      </w:r>
      <w:hyperlink r:id="rId15" w:tgtFrame="_blank" w:history="1">
        <w:r w:rsidRPr="00D559EC">
          <w:rPr>
            <w:rStyle w:val="Hyperlink"/>
            <w:rFonts w:asciiTheme="minorHAnsi" w:hAnsiTheme="minorHAnsi" w:cstheme="minorHAnsi"/>
            <w:szCs w:val="24"/>
            <w:lang w:val="fr-FR"/>
          </w:rPr>
          <w:t>dongrants@hria.org</w:t>
        </w:r>
      </w:hyperlink>
      <w:r w:rsidRPr="00D559EC">
        <w:rPr>
          <w:rFonts w:asciiTheme="minorHAnsi" w:hAnsiTheme="minorHAnsi" w:cstheme="minorHAnsi"/>
          <w:szCs w:val="24"/>
        </w:rPr>
        <w:t> </w:t>
      </w:r>
    </w:p>
    <w:p w14:paraId="154A1D31" w14:textId="77777777" w:rsidR="007C351A" w:rsidRPr="00D559EC" w:rsidRDefault="007C351A" w:rsidP="007C351A">
      <w:pPr>
        <w:ind w:left="990" w:right="900"/>
        <w:rPr>
          <w:rFonts w:asciiTheme="minorHAnsi" w:hAnsiTheme="minorHAnsi" w:cstheme="minorHAnsi"/>
          <w:szCs w:val="24"/>
        </w:rPr>
      </w:pPr>
      <w:r w:rsidRPr="00D559EC">
        <w:rPr>
          <w:rFonts w:asciiTheme="minorHAnsi" w:hAnsiTheme="minorHAnsi" w:cstheme="minorHAnsi"/>
          <w:szCs w:val="24"/>
        </w:rPr>
        <w:t xml:space="preserve"> </w:t>
      </w:r>
    </w:p>
    <w:p w14:paraId="574EA8A8" w14:textId="77777777" w:rsidR="007C351A" w:rsidRPr="00D559EC" w:rsidRDefault="007C351A" w:rsidP="007C351A">
      <w:pPr>
        <w:numPr>
          <w:ilvl w:val="0"/>
          <w:numId w:val="17"/>
        </w:numPr>
        <w:ind w:left="990" w:right="900"/>
        <w:rPr>
          <w:rFonts w:asciiTheme="minorHAnsi" w:hAnsiTheme="minorHAnsi" w:cstheme="minorHAnsi"/>
          <w:szCs w:val="24"/>
        </w:rPr>
      </w:pPr>
      <w:r w:rsidRPr="00D559EC">
        <w:rPr>
          <w:rFonts w:asciiTheme="minorHAnsi" w:hAnsiTheme="minorHAnsi" w:cstheme="minorHAnsi"/>
          <w:szCs w:val="24"/>
        </w:rPr>
        <w:t xml:space="preserve">In addition to the measures provided in Appendix 1, commencing with the approval of this </w:t>
      </w:r>
      <w:proofErr w:type="spellStart"/>
      <w:r w:rsidRPr="00D559EC">
        <w:rPr>
          <w:rFonts w:asciiTheme="minorHAnsi" w:hAnsiTheme="minorHAnsi" w:cstheme="minorHAnsi"/>
          <w:szCs w:val="24"/>
        </w:rPr>
        <w:t>DoN</w:t>
      </w:r>
      <w:proofErr w:type="spellEnd"/>
      <w:r w:rsidRPr="00D559EC">
        <w:rPr>
          <w:rFonts w:asciiTheme="minorHAnsi" w:hAnsiTheme="minorHAnsi" w:cstheme="minorHAnsi"/>
          <w:szCs w:val="24"/>
        </w:rPr>
        <w:t xml:space="preserve">, and continuing for a period of five years after the Proposed Project is complete, the Holder shall provide the following information as part of the annual report required by 105 CMR 100.310(A)(12): </w:t>
      </w:r>
    </w:p>
    <w:p w14:paraId="7FA91649" w14:textId="77777777" w:rsidR="007C351A" w:rsidRPr="00D559EC" w:rsidRDefault="007C351A" w:rsidP="007C351A">
      <w:pPr>
        <w:pStyle w:val="RN2Num"/>
        <w:numPr>
          <w:ilvl w:val="1"/>
          <w:numId w:val="17"/>
        </w:numPr>
        <w:ind w:right="900"/>
        <w:rPr>
          <w:szCs w:val="24"/>
        </w:rPr>
      </w:pPr>
      <w:r w:rsidRPr="00D559EC">
        <w:rPr>
          <w:szCs w:val="24"/>
        </w:rPr>
        <w:t xml:space="preserve">Surgical procedure volume by Specialty </w:t>
      </w:r>
    </w:p>
    <w:p w14:paraId="14C8E5E2" w14:textId="77777777" w:rsidR="007C351A" w:rsidRPr="00D559EC" w:rsidRDefault="007C351A" w:rsidP="007C351A">
      <w:pPr>
        <w:pStyle w:val="RN2Num"/>
        <w:numPr>
          <w:ilvl w:val="1"/>
          <w:numId w:val="17"/>
        </w:numPr>
        <w:ind w:right="900"/>
        <w:rPr>
          <w:szCs w:val="24"/>
        </w:rPr>
      </w:pPr>
      <w:r w:rsidRPr="00D559EC">
        <w:rPr>
          <w:szCs w:val="24"/>
        </w:rPr>
        <w:lastRenderedPageBreak/>
        <w:t xml:space="preserve">Payer-mix by specialty for surgical cases. </w:t>
      </w:r>
    </w:p>
    <w:p w14:paraId="7A27D036" w14:textId="77777777" w:rsidR="007C351A" w:rsidRPr="00A01DD9" w:rsidRDefault="007C351A" w:rsidP="007C351A">
      <w:pPr>
        <w:ind w:left="630" w:right="900"/>
        <w:rPr>
          <w:rFonts w:asciiTheme="minorHAnsi" w:hAnsiTheme="minorHAnsi" w:cstheme="minorHAnsi"/>
          <w:szCs w:val="24"/>
        </w:rPr>
      </w:pPr>
    </w:p>
    <w:p w14:paraId="646BA1E6"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Ongoing compliance with the conditions and all terms of the </w:t>
      </w:r>
      <w:proofErr w:type="spellStart"/>
      <w:r w:rsidRPr="006013CB">
        <w:rPr>
          <w:rFonts w:asciiTheme="minorHAnsi" w:hAnsiTheme="minorHAnsi" w:cstheme="minorHAnsi"/>
          <w:szCs w:val="24"/>
        </w:rPr>
        <w:t>DoN</w:t>
      </w:r>
      <w:proofErr w:type="spellEnd"/>
      <w:r w:rsidRPr="006013CB">
        <w:rPr>
          <w:rFonts w:asciiTheme="minorHAnsi" w:hAnsiTheme="minorHAnsi" w:cstheme="minorHAnsi"/>
          <w:szCs w:val="24"/>
        </w:rPr>
        <w:t xml:space="preserve"> is, pursuant to the Regulation, a precondition to the filing of any future </w:t>
      </w:r>
      <w:proofErr w:type="spellStart"/>
      <w:r w:rsidRPr="006013CB">
        <w:rPr>
          <w:rFonts w:asciiTheme="minorHAnsi" w:hAnsiTheme="minorHAnsi" w:cstheme="minorHAnsi"/>
          <w:szCs w:val="24"/>
        </w:rPr>
        <w:t>DoN</w:t>
      </w:r>
      <w:proofErr w:type="spellEnd"/>
      <w:r w:rsidRPr="006013CB">
        <w:rPr>
          <w:rFonts w:asciiTheme="minorHAnsi" w:hAnsiTheme="minorHAnsi" w:cstheme="minorHAnsi"/>
          <w:szCs w:val="24"/>
        </w:rPr>
        <w:t xml:space="preserve"> by the Holder.</w:t>
      </w:r>
    </w:p>
    <w:p w14:paraId="102EDF2E" w14:textId="77777777" w:rsidR="007C351A" w:rsidRPr="006013CB" w:rsidRDefault="007C351A" w:rsidP="007C351A">
      <w:pPr>
        <w:ind w:left="630" w:right="900"/>
        <w:rPr>
          <w:rFonts w:asciiTheme="minorHAnsi" w:hAnsiTheme="minorHAnsi" w:cstheme="minorHAnsi"/>
          <w:szCs w:val="24"/>
        </w:rPr>
      </w:pPr>
    </w:p>
    <w:p w14:paraId="7134AD64"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Sincerely, </w:t>
      </w:r>
    </w:p>
    <w:p w14:paraId="0CECD2B0" w14:textId="77777777" w:rsidR="007C351A" w:rsidRPr="006013CB" w:rsidRDefault="007C351A" w:rsidP="007C351A">
      <w:pPr>
        <w:ind w:left="630" w:right="900"/>
        <w:rPr>
          <w:rFonts w:asciiTheme="minorHAnsi" w:hAnsiTheme="minorHAnsi" w:cstheme="minorHAnsi"/>
          <w:szCs w:val="24"/>
        </w:rPr>
      </w:pPr>
    </w:p>
    <w:p w14:paraId="745B5911" w14:textId="77777777" w:rsidR="007C351A" w:rsidRPr="00AB135D" w:rsidRDefault="007C351A" w:rsidP="007C351A">
      <w:pPr>
        <w:ind w:left="630" w:right="900"/>
        <w:rPr>
          <w:rFonts w:ascii="Edwardian Script ITC" w:hAnsi="Edwardian Script ITC" w:cstheme="minorHAnsi"/>
          <w:sz w:val="32"/>
          <w:szCs w:val="32"/>
        </w:rPr>
      </w:pPr>
      <w:r w:rsidRPr="00AB135D">
        <w:rPr>
          <w:rFonts w:ascii="Edwardian Script ITC" w:hAnsi="Edwardian Script ITC" w:cstheme="minorHAnsi"/>
          <w:sz w:val="32"/>
          <w:szCs w:val="32"/>
        </w:rPr>
        <w:t>Dennis Renaud</w:t>
      </w:r>
    </w:p>
    <w:p w14:paraId="6F74C4AE" w14:textId="77777777" w:rsidR="007C351A" w:rsidRDefault="007C351A" w:rsidP="007C351A">
      <w:pPr>
        <w:ind w:left="630" w:right="900"/>
        <w:rPr>
          <w:rFonts w:asciiTheme="minorHAnsi" w:hAnsiTheme="minorHAnsi" w:cstheme="minorHAnsi"/>
          <w:szCs w:val="24"/>
        </w:rPr>
      </w:pPr>
    </w:p>
    <w:p w14:paraId="6DAA2971"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Dennis Renaud</w:t>
      </w:r>
    </w:p>
    <w:p w14:paraId="3404B2FC"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Director, Determination of Need Program</w:t>
      </w:r>
    </w:p>
    <w:p w14:paraId="33534CC8" w14:textId="77777777" w:rsidR="007C351A" w:rsidRPr="006013CB" w:rsidRDefault="007C351A" w:rsidP="007C351A">
      <w:pPr>
        <w:ind w:left="630" w:right="900"/>
        <w:rPr>
          <w:rFonts w:asciiTheme="minorHAnsi" w:hAnsiTheme="minorHAnsi" w:cstheme="minorHAnsi"/>
          <w:b/>
          <w:bCs/>
          <w:szCs w:val="24"/>
        </w:rPr>
      </w:pPr>
    </w:p>
    <w:p w14:paraId="1DB56954"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cc:</w:t>
      </w:r>
    </w:p>
    <w:p w14:paraId="539678BB" w14:textId="77777777" w:rsidR="007C351A" w:rsidRDefault="007C351A" w:rsidP="007C351A">
      <w:pPr>
        <w:ind w:left="630" w:right="900"/>
        <w:rPr>
          <w:rFonts w:asciiTheme="minorHAnsi" w:hAnsiTheme="minorHAnsi" w:cstheme="minorHAnsi"/>
          <w:szCs w:val="24"/>
        </w:rPr>
      </w:pPr>
    </w:p>
    <w:p w14:paraId="4EA28722" w14:textId="77777777" w:rsidR="007C351A" w:rsidRPr="006013CB" w:rsidRDefault="007C351A" w:rsidP="007C351A">
      <w:pPr>
        <w:ind w:left="630" w:right="900"/>
        <w:rPr>
          <w:rFonts w:asciiTheme="minorHAnsi" w:hAnsiTheme="minorHAnsi" w:cstheme="minorHAnsi"/>
          <w:szCs w:val="24"/>
        </w:rPr>
      </w:pPr>
      <w:r>
        <w:rPr>
          <w:rFonts w:asciiTheme="minorHAnsi" w:hAnsiTheme="minorHAnsi" w:cstheme="minorHAnsi"/>
          <w:szCs w:val="24"/>
        </w:rPr>
        <w:t xml:space="preserve">Teryl Smith, </w:t>
      </w:r>
      <w:r w:rsidRPr="006013CB">
        <w:rPr>
          <w:rFonts w:asciiTheme="minorHAnsi" w:hAnsiTheme="minorHAnsi" w:cstheme="minorHAnsi"/>
          <w:szCs w:val="24"/>
        </w:rPr>
        <w:t xml:space="preserve">Director, Bureau of Health Care Safety and Quality </w:t>
      </w:r>
    </w:p>
    <w:p w14:paraId="4C26FE17"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Jaclyn K. </w:t>
      </w:r>
      <w:proofErr w:type="spellStart"/>
      <w:r w:rsidRPr="006013CB">
        <w:rPr>
          <w:rFonts w:asciiTheme="minorHAnsi" w:hAnsiTheme="minorHAnsi" w:cstheme="minorHAnsi"/>
          <w:szCs w:val="24"/>
        </w:rPr>
        <w:t>Gagné</w:t>
      </w:r>
      <w:proofErr w:type="spellEnd"/>
      <w:r w:rsidRPr="006013CB">
        <w:rPr>
          <w:rFonts w:asciiTheme="minorHAnsi" w:hAnsiTheme="minorHAnsi" w:cstheme="minorHAnsi"/>
          <w:szCs w:val="24"/>
        </w:rPr>
        <w:t>, Chief Deputy General Counsel, Health Care Licensure</w:t>
      </w:r>
    </w:p>
    <w:p w14:paraId="0EEE90ED" w14:textId="77777777" w:rsidR="007C351A" w:rsidRDefault="007C351A" w:rsidP="007C351A">
      <w:pPr>
        <w:ind w:left="630" w:right="900"/>
        <w:rPr>
          <w:rFonts w:asciiTheme="minorHAnsi" w:hAnsiTheme="minorHAnsi" w:cstheme="minorHAnsi"/>
          <w:szCs w:val="24"/>
        </w:rPr>
      </w:pPr>
      <w:r w:rsidRPr="007D1461">
        <w:rPr>
          <w:rFonts w:asciiTheme="minorHAnsi" w:hAnsiTheme="minorHAnsi" w:cstheme="minorHAnsi"/>
          <w:szCs w:val="24"/>
        </w:rPr>
        <w:t>Joshua O. Boeh-Ocansey, Jr.</w:t>
      </w:r>
      <w:r>
        <w:rPr>
          <w:rFonts w:asciiTheme="minorHAnsi" w:hAnsiTheme="minorHAnsi" w:cstheme="minorHAnsi"/>
          <w:szCs w:val="24"/>
        </w:rPr>
        <w:t>, Counsel</w:t>
      </w:r>
    </w:p>
    <w:p w14:paraId="713A7C08"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Stephen Davis, Director, Division of Health Care Facility Licensure and Certification</w:t>
      </w:r>
    </w:p>
    <w:p w14:paraId="6BB537FD"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Judy Bernice, Division of Health Care Facility Licensure and Certification </w:t>
      </w:r>
    </w:p>
    <w:p w14:paraId="2231D322"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Hilary Ward, Division of Health Care Facility Licensure and Certification </w:t>
      </w:r>
    </w:p>
    <w:p w14:paraId="6C7D7A51"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Samuel Louis, Office of Health Equity </w:t>
      </w:r>
    </w:p>
    <w:p w14:paraId="24CA73C2"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Jennica Allen, Division of Community Health Planning and Engagement </w:t>
      </w:r>
    </w:p>
    <w:p w14:paraId="05C7968C"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Elizabeth Maffei, Division of Community Health Planning and Engagement </w:t>
      </w:r>
    </w:p>
    <w:p w14:paraId="54E72DC2"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Katelyn Teague, Division of Community Health Planning and Engagement </w:t>
      </w:r>
    </w:p>
    <w:p w14:paraId="43D34E75"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Katherine Mills, Health Policy Commission </w:t>
      </w:r>
    </w:p>
    <w:p w14:paraId="1C75B653"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Christopher King, Executive Office of Health and Human Services </w:t>
      </w:r>
    </w:p>
    <w:p w14:paraId="6AE03D21"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Tomaso Calicchio, Executive Office of Health and Human Services </w:t>
      </w:r>
    </w:p>
    <w:p w14:paraId="379616EC"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Hai Nguyen, Executive Office of Health and Human Services </w:t>
      </w:r>
    </w:p>
    <w:p w14:paraId="13FA1FFF"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Karina Mejias, Executive Office of Health and Human Services </w:t>
      </w:r>
    </w:p>
    <w:p w14:paraId="7DAA3F51"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 xml:space="preserve">Pavel </w:t>
      </w:r>
      <w:proofErr w:type="spellStart"/>
      <w:r w:rsidRPr="006013CB">
        <w:rPr>
          <w:rFonts w:asciiTheme="minorHAnsi" w:hAnsiTheme="minorHAnsi" w:cstheme="minorHAnsi"/>
          <w:szCs w:val="24"/>
        </w:rPr>
        <w:t>Terpelets</w:t>
      </w:r>
      <w:proofErr w:type="spellEnd"/>
      <w:r w:rsidRPr="006013CB">
        <w:rPr>
          <w:rFonts w:asciiTheme="minorHAnsi" w:hAnsiTheme="minorHAnsi" w:cstheme="minorHAnsi"/>
          <w:szCs w:val="24"/>
        </w:rPr>
        <w:t xml:space="preserve">, Executive Office of Health and Human Services </w:t>
      </w:r>
    </w:p>
    <w:p w14:paraId="074C03C9" w14:textId="77777777" w:rsidR="007C351A" w:rsidRPr="006013CB" w:rsidRDefault="007C351A" w:rsidP="007C351A">
      <w:pPr>
        <w:ind w:left="630" w:right="900"/>
        <w:rPr>
          <w:rFonts w:asciiTheme="minorHAnsi" w:hAnsiTheme="minorHAnsi" w:cstheme="minorHAnsi"/>
          <w:szCs w:val="24"/>
        </w:rPr>
      </w:pPr>
      <w:r w:rsidRPr="006013CB">
        <w:rPr>
          <w:rFonts w:asciiTheme="minorHAnsi" w:hAnsiTheme="minorHAnsi" w:cstheme="minorHAnsi"/>
          <w:szCs w:val="24"/>
        </w:rPr>
        <w:t>Elizabeth Almanzor, Center for Health Information and Analysis</w:t>
      </w:r>
    </w:p>
    <w:p w14:paraId="1843C5EA" w14:textId="47D88B93" w:rsidR="00AC7937" w:rsidRPr="00E132E0" w:rsidRDefault="00AC7937" w:rsidP="008336CC">
      <w:pPr>
        <w:pStyle w:val="BodyText"/>
        <w:ind w:left="81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6E964" w14:textId="77777777" w:rsidR="001825F9" w:rsidRDefault="001825F9">
      <w:r>
        <w:separator/>
      </w:r>
    </w:p>
  </w:endnote>
  <w:endnote w:type="continuationSeparator" w:id="0">
    <w:p w14:paraId="7201CD1F" w14:textId="77777777" w:rsidR="001825F9" w:rsidRDefault="0018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ABAB" w14:textId="77777777" w:rsidR="001825F9" w:rsidRDefault="001825F9">
      <w:r>
        <w:separator/>
      </w:r>
    </w:p>
  </w:footnote>
  <w:footnote w:type="continuationSeparator" w:id="0">
    <w:p w14:paraId="185E1B13" w14:textId="77777777" w:rsidR="001825F9" w:rsidRDefault="0018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3"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8"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1"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2"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7"/>
  </w:num>
  <w:num w:numId="2" w16cid:durableId="762186708">
    <w:abstractNumId w:val="15"/>
  </w:num>
  <w:num w:numId="3" w16cid:durableId="1646734026">
    <w:abstractNumId w:val="6"/>
  </w:num>
  <w:num w:numId="4" w16cid:durableId="1199271187">
    <w:abstractNumId w:val="10"/>
  </w:num>
  <w:num w:numId="5" w16cid:durableId="681317537">
    <w:abstractNumId w:val="3"/>
  </w:num>
  <w:num w:numId="6" w16cid:durableId="1381707578">
    <w:abstractNumId w:val="1"/>
  </w:num>
  <w:num w:numId="7" w16cid:durableId="1098794647">
    <w:abstractNumId w:val="0"/>
  </w:num>
  <w:num w:numId="8" w16cid:durableId="1471090044">
    <w:abstractNumId w:val="4"/>
  </w:num>
  <w:num w:numId="9" w16cid:durableId="1618444258">
    <w:abstractNumId w:val="16"/>
  </w:num>
  <w:num w:numId="10" w16cid:durableId="803431336">
    <w:abstractNumId w:val="5"/>
  </w:num>
  <w:num w:numId="11" w16cid:durableId="1804107474">
    <w:abstractNumId w:val="12"/>
  </w:num>
  <w:num w:numId="12" w16cid:durableId="821509815">
    <w:abstractNumId w:val="13"/>
  </w:num>
  <w:num w:numId="13" w16cid:durableId="1251425427">
    <w:abstractNumId w:val="8"/>
  </w:num>
  <w:num w:numId="14" w16cid:durableId="70465832">
    <w:abstractNumId w:val="11"/>
  </w:num>
  <w:num w:numId="15" w16cid:durableId="1239251066">
    <w:abstractNumId w:val="9"/>
  </w:num>
  <w:num w:numId="16" w16cid:durableId="341590028">
    <w:abstractNumId w:val="2"/>
  </w:num>
  <w:num w:numId="17" w16cid:durableId="9086849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825F9"/>
    <w:rsid w:val="001D6D5B"/>
    <w:rsid w:val="001F5073"/>
    <w:rsid w:val="0024067D"/>
    <w:rsid w:val="00290C8F"/>
    <w:rsid w:val="003C1141"/>
    <w:rsid w:val="003E5393"/>
    <w:rsid w:val="004A0AEC"/>
    <w:rsid w:val="004E26E5"/>
    <w:rsid w:val="005E53D6"/>
    <w:rsid w:val="006547AF"/>
    <w:rsid w:val="006732EA"/>
    <w:rsid w:val="00681FDA"/>
    <w:rsid w:val="006C6B86"/>
    <w:rsid w:val="00716874"/>
    <w:rsid w:val="0079253C"/>
    <w:rsid w:val="007C351A"/>
    <w:rsid w:val="008336CC"/>
    <w:rsid w:val="00897125"/>
    <w:rsid w:val="008D5B84"/>
    <w:rsid w:val="008E5521"/>
    <w:rsid w:val="00A83757"/>
    <w:rsid w:val="00AA4094"/>
    <w:rsid w:val="00AC7937"/>
    <w:rsid w:val="00BB45AE"/>
    <w:rsid w:val="00BC6819"/>
    <w:rsid w:val="00C421A9"/>
    <w:rsid w:val="00C42626"/>
    <w:rsid w:val="00C43DBE"/>
    <w:rsid w:val="00C7386E"/>
    <w:rsid w:val="00CC1370"/>
    <w:rsid w:val="00D8178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RNNum">
    <w:name w:val="RN Num"/>
    <w:basedOn w:val="Normal"/>
    <w:rsid w:val="007C351A"/>
    <w:pPr>
      <w:numPr>
        <w:numId w:val="16"/>
      </w:numPr>
      <w:spacing w:after="240"/>
    </w:pPr>
    <w:rPr>
      <w:rFonts w:asciiTheme="minorHAnsi" w:eastAsia="Calibri" w:hAnsiTheme="minorHAnsi" w:cstheme="minorHAnsi"/>
    </w:rPr>
  </w:style>
  <w:style w:type="paragraph" w:customStyle="1" w:styleId="RN2Num">
    <w:name w:val="RN2 Num"/>
    <w:basedOn w:val="Normal"/>
    <w:rsid w:val="007C351A"/>
    <w:pPr>
      <w:numPr>
        <w:ilvl w:val="1"/>
        <w:numId w:val="16"/>
      </w:numPr>
      <w:spacing w:after="240"/>
    </w:pPr>
    <w:rPr>
      <w:rFonts w:asciiTheme="minorHAnsi" w:eastAsia="Calibri" w:hAnsiTheme="minorHAnsi" w:cstheme="minorHAnsi"/>
    </w:rPr>
  </w:style>
  <w:style w:type="paragraph" w:customStyle="1" w:styleId="RN3Num">
    <w:name w:val="RN3 Num"/>
    <w:basedOn w:val="Normal"/>
    <w:rsid w:val="007C351A"/>
    <w:pPr>
      <w:numPr>
        <w:ilvl w:val="2"/>
        <w:numId w:val="16"/>
      </w:numPr>
      <w:spacing w:after="240"/>
    </w:pPr>
    <w:rPr>
      <w:rFonts w:asciiTheme="minorHAnsi" w:eastAsia="Calibri" w:hAnsiTheme="minorHAnsi" w:cstheme="minorHAnsi"/>
    </w:rPr>
  </w:style>
  <w:style w:type="paragraph" w:customStyle="1" w:styleId="RN4Num">
    <w:name w:val="RN4 Num"/>
    <w:basedOn w:val="Normal"/>
    <w:rsid w:val="007C351A"/>
    <w:pPr>
      <w:numPr>
        <w:ilvl w:val="3"/>
        <w:numId w:val="16"/>
      </w:numPr>
    </w:pPr>
    <w:rPr>
      <w:rFonts w:asciiTheme="minorHAnsi" w:eastAsia="Calibri" w:hAnsiTheme="minorHAnsi" w:cstheme="minorHAnsi"/>
    </w:rPr>
  </w:style>
  <w:style w:type="paragraph" w:customStyle="1" w:styleId="RN5Num">
    <w:name w:val="RN5 Num"/>
    <w:basedOn w:val="Normal"/>
    <w:rsid w:val="007C351A"/>
    <w:pPr>
      <w:numPr>
        <w:ilvl w:val="4"/>
        <w:numId w:val="16"/>
      </w:numPr>
      <w:spacing w:after="240"/>
    </w:pPr>
    <w:rPr>
      <w:rFonts w:asciiTheme="minorHAnsi" w:eastAsia="Calibri" w:hAnsiTheme="minorHAnsi" w:cstheme="minorHAnsi"/>
    </w:rPr>
  </w:style>
  <w:style w:type="paragraph" w:customStyle="1" w:styleId="RN6Num">
    <w:name w:val="RN6 Num"/>
    <w:basedOn w:val="Normal"/>
    <w:rsid w:val="007C351A"/>
    <w:pPr>
      <w:numPr>
        <w:ilvl w:val="5"/>
        <w:numId w:val="16"/>
      </w:numPr>
      <w:spacing w:after="240"/>
    </w:pPr>
    <w:rPr>
      <w:rFonts w:asciiTheme="minorHAnsi" w:eastAsia="Calibri" w:hAnsiTheme="minorHAnsi" w:cstheme="minorHAnsi"/>
    </w:rPr>
  </w:style>
  <w:style w:type="paragraph" w:customStyle="1" w:styleId="RN7Num">
    <w:name w:val="RN7 Num"/>
    <w:basedOn w:val="Normal"/>
    <w:rsid w:val="007C351A"/>
    <w:pPr>
      <w:numPr>
        <w:ilvl w:val="6"/>
        <w:numId w:val="16"/>
      </w:numPr>
      <w:spacing w:after="240"/>
    </w:pPr>
    <w:rPr>
      <w:rFonts w:asciiTheme="minorHAnsi" w:eastAsia="Calibri" w:hAnsiTheme="minorHAnsi" w:cstheme="minorHAnsi"/>
    </w:rPr>
  </w:style>
  <w:style w:type="paragraph" w:customStyle="1" w:styleId="RN8Num">
    <w:name w:val="RN8 Num"/>
    <w:basedOn w:val="Normal"/>
    <w:rsid w:val="007C351A"/>
    <w:pPr>
      <w:numPr>
        <w:ilvl w:val="7"/>
        <w:numId w:val="16"/>
      </w:numPr>
      <w:spacing w:after="240"/>
    </w:pPr>
    <w:rPr>
      <w:rFonts w:asciiTheme="minorHAnsi" w:eastAsia="Calibri" w:hAnsiTheme="minorHAnsi" w:cstheme="minorHAnsi"/>
    </w:rPr>
  </w:style>
  <w:style w:type="paragraph" w:customStyle="1" w:styleId="RN9Num">
    <w:name w:val="RN9 Num"/>
    <w:basedOn w:val="Normal"/>
    <w:rsid w:val="007C351A"/>
    <w:pPr>
      <w:numPr>
        <w:ilvl w:val="8"/>
        <w:numId w:val="16"/>
      </w:numPr>
      <w:spacing w:after="240"/>
    </w:pPr>
    <w:rPr>
      <w:rFonts w:asciiTheme="minorHAnsi" w:eastAsia="Calibr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Kretchmer@kb-law.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hyperlink" Target="mailto:dongrants@hria.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CH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23</cp:revision>
  <dcterms:created xsi:type="dcterms:W3CDTF">2023-05-18T13:56:00Z</dcterms:created>
  <dcterms:modified xsi:type="dcterms:W3CDTF">2025-01-17T15:11:00Z</dcterms:modified>
</cp:coreProperties>
</file>