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77777777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A65EDA5" w14:textId="77777777" w:rsidR="00AC7937" w:rsidRDefault="00AC7937" w:rsidP="00AC7937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AC7937" w:rsidSect="00CF7736">
          <w:headerReference w:type="even" r:id="rId8"/>
          <w:headerReference w:type="first" r:id="rId9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535A99E6" w14:textId="77777777" w:rsidR="00AC7937" w:rsidRDefault="00AC7937" w:rsidP="00AC7937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55CEE6EB" w14:textId="77777777" w:rsidR="00AC7937" w:rsidRPr="00554081" w:rsidRDefault="00AC7937" w:rsidP="00AC7937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7D7DA174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57A7E868" w14:textId="77777777" w:rsidR="00AC7937" w:rsidRDefault="00AC7937" w:rsidP="00AC7937">
      <w:pPr>
        <w:ind w:right="2340"/>
        <w:contextualSpacing/>
        <w:jc w:val="center"/>
        <w:rPr>
          <w:sz w:val="16"/>
        </w:rPr>
      </w:pPr>
    </w:p>
    <w:p w14:paraId="5F8BD4FE" w14:textId="77777777" w:rsidR="00AC7937" w:rsidRPr="00554081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1276EDBE" w14:textId="77777777" w:rsidR="00AC7937" w:rsidRPr="00624404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778B40DA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3443D931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29EFF928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76362A87" w14:textId="77777777" w:rsidR="00AC7937" w:rsidRPr="00554081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KATHLEEN E. WALSH</w:t>
      </w:r>
    </w:p>
    <w:p w14:paraId="170A6353" w14:textId="77777777" w:rsidR="00AC7937" w:rsidRDefault="00AC7937" w:rsidP="00AC7937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04911862" w14:textId="77777777" w:rsidR="00AC7937" w:rsidRDefault="00AC7937" w:rsidP="00AC7937">
      <w:pPr>
        <w:pStyle w:val="Weld"/>
        <w:framePr w:hSpace="0" w:wrap="auto" w:vAnchor="margin" w:hAnchor="text" w:xAlign="left" w:yAlign="inline"/>
        <w:ind w:left="1980"/>
      </w:pPr>
    </w:p>
    <w:p w14:paraId="52FEDDB3" w14:textId="77777777" w:rsidR="00AC7937" w:rsidRPr="00AC7937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AC7937">
        <w:rPr>
          <w:sz w:val="14"/>
          <w:szCs w:val="18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38D7ED56" w14:textId="77777777" w:rsidR="00AC7937" w:rsidRDefault="00AC7937" w:rsidP="00AC7937">
      <w:pPr>
        <w:ind w:right="2340"/>
        <w:sectPr w:rsidR="00AC7937" w:rsidSect="00A24031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3519493B" w14:textId="77777777" w:rsidR="006A4042" w:rsidRDefault="006A4042" w:rsidP="006A4042">
      <w:pPr>
        <w:pStyle w:val="BodyText"/>
        <w:ind w:left="810"/>
      </w:pPr>
      <w:r>
        <w:t>November 17, 2023</w:t>
      </w:r>
    </w:p>
    <w:p w14:paraId="261B1C33" w14:textId="77777777" w:rsidR="006A4042" w:rsidRDefault="006A4042" w:rsidP="006A4042">
      <w:pPr>
        <w:pStyle w:val="BodyText"/>
        <w:rPr>
          <w:spacing w:val="-4"/>
        </w:rPr>
      </w:pPr>
    </w:p>
    <w:p w14:paraId="79159A1B" w14:textId="77777777" w:rsidR="006A4042" w:rsidRDefault="006A4042" w:rsidP="006A4042">
      <w:pPr>
        <w:ind w:left="810"/>
        <w:rPr>
          <w:color w:val="000000"/>
          <w:szCs w:val="24"/>
        </w:rPr>
      </w:pPr>
      <w:r w:rsidRPr="0006787A">
        <w:rPr>
          <w:color w:val="000000"/>
          <w:szCs w:val="24"/>
        </w:rPr>
        <w:t>Crystal Bloom</w:t>
      </w:r>
      <w:r>
        <w:rPr>
          <w:color w:val="000000"/>
          <w:szCs w:val="24"/>
        </w:rPr>
        <w:t>, Esq</w:t>
      </w:r>
    </w:p>
    <w:p w14:paraId="4CC5E5E2" w14:textId="77777777" w:rsidR="006A4042" w:rsidRPr="0006787A" w:rsidRDefault="006A4042" w:rsidP="006A4042">
      <w:pPr>
        <w:ind w:left="810"/>
        <w:rPr>
          <w:szCs w:val="24"/>
        </w:rPr>
      </w:pPr>
      <w:r>
        <w:rPr>
          <w:color w:val="000000"/>
          <w:szCs w:val="24"/>
        </w:rPr>
        <w:t>Partner</w:t>
      </w:r>
    </w:p>
    <w:p w14:paraId="5F10F47A" w14:textId="77777777" w:rsidR="006A4042" w:rsidRPr="0006787A" w:rsidRDefault="006A4042" w:rsidP="006A4042">
      <w:pPr>
        <w:ind w:left="810"/>
        <w:rPr>
          <w:szCs w:val="24"/>
        </w:rPr>
      </w:pPr>
      <w:r w:rsidRPr="0077356F">
        <w:rPr>
          <w:color w:val="000000"/>
          <w:szCs w:val="24"/>
        </w:rPr>
        <w:t>Husch Blackwell</w:t>
      </w:r>
      <w:r w:rsidRPr="0006787A">
        <w:rPr>
          <w:color w:val="000000"/>
          <w:szCs w:val="24"/>
        </w:rPr>
        <w:t xml:space="preserve"> LLP</w:t>
      </w:r>
    </w:p>
    <w:p w14:paraId="287FE34F" w14:textId="77777777" w:rsidR="006A4042" w:rsidRPr="0006787A" w:rsidRDefault="006A4042" w:rsidP="006A4042">
      <w:pPr>
        <w:ind w:left="810"/>
        <w:rPr>
          <w:szCs w:val="24"/>
        </w:rPr>
      </w:pPr>
      <w:r w:rsidRPr="0006787A">
        <w:rPr>
          <w:color w:val="000000"/>
          <w:szCs w:val="24"/>
        </w:rPr>
        <w:t>One Beacon Street,</w:t>
      </w:r>
      <w:r w:rsidRPr="0006787A">
        <w:rPr>
          <w:color w:val="000000"/>
          <w:szCs w:val="24"/>
        </w:rPr>
        <w:br/>
        <w:t>Suite 1320</w:t>
      </w:r>
    </w:p>
    <w:p w14:paraId="4D401242" w14:textId="77777777" w:rsidR="006A4042" w:rsidRPr="0006787A" w:rsidRDefault="006A4042" w:rsidP="006A4042">
      <w:pPr>
        <w:ind w:left="810"/>
        <w:rPr>
          <w:szCs w:val="24"/>
        </w:rPr>
      </w:pPr>
      <w:r w:rsidRPr="0006787A">
        <w:rPr>
          <w:color w:val="000000"/>
          <w:szCs w:val="24"/>
        </w:rPr>
        <w:t>Boston, MA 02108-3106</w:t>
      </w:r>
    </w:p>
    <w:p w14:paraId="2E094F89" w14:textId="77777777" w:rsidR="006A4042" w:rsidRPr="0006787A" w:rsidRDefault="006A4042" w:rsidP="006A4042">
      <w:pPr>
        <w:pStyle w:val="BodyText"/>
        <w:ind w:left="810"/>
        <w:rPr>
          <w:highlight w:val="yellow"/>
        </w:rPr>
      </w:pPr>
    </w:p>
    <w:p w14:paraId="363D0147" w14:textId="77777777" w:rsidR="006A4042" w:rsidRPr="0006787A" w:rsidRDefault="006A4042" w:rsidP="006A4042">
      <w:pPr>
        <w:ind w:left="810"/>
        <w:rPr>
          <w:szCs w:val="24"/>
        </w:rPr>
      </w:pPr>
      <w:r>
        <w:rPr>
          <w:szCs w:val="24"/>
        </w:rPr>
        <w:t xml:space="preserve">VIA </w:t>
      </w:r>
      <w:r w:rsidRPr="0006787A">
        <w:rPr>
          <w:szCs w:val="24"/>
        </w:rPr>
        <w:t>Email:</w:t>
      </w:r>
      <w:r w:rsidRPr="0006787A">
        <w:rPr>
          <w:spacing w:val="-1"/>
          <w:szCs w:val="24"/>
        </w:rPr>
        <w:t xml:space="preserve"> </w:t>
      </w:r>
      <w:hyperlink r:id="rId11" w:history="1">
        <w:r w:rsidRPr="0006787A">
          <w:rPr>
            <w:rStyle w:val="Hyperlink"/>
            <w:szCs w:val="24"/>
          </w:rPr>
          <w:t>Crystal.Bloom@huschblackwell.com</w:t>
        </w:r>
      </w:hyperlink>
    </w:p>
    <w:p w14:paraId="5D66D7B5" w14:textId="77777777" w:rsidR="006A4042" w:rsidRDefault="006A4042" w:rsidP="006A4042">
      <w:pPr>
        <w:pStyle w:val="BodyText"/>
        <w:ind w:left="810" w:right="1170"/>
      </w:pPr>
    </w:p>
    <w:p w14:paraId="4D6E2F91" w14:textId="77777777" w:rsidR="006A4042" w:rsidRDefault="006A4042" w:rsidP="006A4042">
      <w:pPr>
        <w:pStyle w:val="BodyText"/>
        <w:ind w:left="800"/>
      </w:pP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Beth Israel Lahey Health, Inc</w:t>
      </w:r>
    </w:p>
    <w:p w14:paraId="1723AE56" w14:textId="77777777" w:rsidR="006A4042" w:rsidRDefault="006A4042" w:rsidP="006A4042">
      <w:pPr>
        <w:pStyle w:val="BodyText"/>
        <w:ind w:left="2120"/>
      </w:pPr>
      <w:r>
        <w:t>Substantial Capital Expenditure and Required Equipment</w:t>
      </w:r>
      <w:r>
        <w:rPr>
          <w:spacing w:val="-2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#</w:t>
      </w:r>
      <w:r w:rsidRPr="00D12A05">
        <w:t xml:space="preserve"> BILH-22111512-RE</w:t>
      </w:r>
    </w:p>
    <w:p w14:paraId="4EE3D8DB" w14:textId="77777777" w:rsidR="006A4042" w:rsidRDefault="006A4042" w:rsidP="006A4042">
      <w:pPr>
        <w:pStyle w:val="BodyText"/>
        <w:ind w:left="810" w:right="1170"/>
      </w:pPr>
    </w:p>
    <w:p w14:paraId="16032B91" w14:textId="77777777" w:rsidR="006A4042" w:rsidRDefault="006A4042" w:rsidP="006A4042">
      <w:pPr>
        <w:pStyle w:val="BodyText"/>
        <w:ind w:left="810" w:right="1170"/>
      </w:pPr>
    </w:p>
    <w:p w14:paraId="12AB23A2" w14:textId="77777777" w:rsidR="006A4042" w:rsidRDefault="006A4042" w:rsidP="006A4042">
      <w:pPr>
        <w:pStyle w:val="BodyText"/>
        <w:spacing w:after="240"/>
        <w:ind w:left="810" w:right="1170"/>
      </w:pPr>
      <w:r>
        <w:t>Dear Attorney Bloom,</w:t>
      </w:r>
    </w:p>
    <w:p w14:paraId="4A82BC0B" w14:textId="77777777" w:rsidR="006A4042" w:rsidRDefault="006A4042" w:rsidP="006A4042">
      <w:pPr>
        <w:pStyle w:val="BodyText"/>
        <w:spacing w:after="240"/>
        <w:ind w:left="810" w:right="1170"/>
      </w:pPr>
      <w:r>
        <w:t xml:space="preserve">At their meeting of November 8, 2023, the Commissioner and the Public Health Council, acting together as the Department, voted pursuant to </w:t>
      </w:r>
      <w:r w:rsidRPr="00237CED">
        <w:t xml:space="preserve">M.G.L. c.111, §51 </w:t>
      </w:r>
      <w:r>
        <w:t xml:space="preserve">and the regulations adopted thereunder, to approve the Determination of Need (DoN) application </w:t>
      </w:r>
      <w:r w:rsidRPr="00A83B44">
        <w:t xml:space="preserve">for a Substantial </w:t>
      </w:r>
      <w:r>
        <w:t>Capital Expenditure and Required Equipment</w:t>
      </w:r>
      <w:r w:rsidRPr="00A83B44">
        <w:t xml:space="preserve"> </w:t>
      </w:r>
      <w:r>
        <w:t xml:space="preserve">filed by </w:t>
      </w:r>
      <w:r w:rsidRPr="00063F01">
        <w:t xml:space="preserve">Beth Israel Lahey Health, Inc. </w:t>
      </w:r>
      <w:r>
        <w:t xml:space="preserve">at </w:t>
      </w:r>
      <w:r w:rsidRPr="00FA6645">
        <w:t xml:space="preserve">the </w:t>
      </w:r>
      <w:r w:rsidRPr="00FA6645">
        <w:rPr>
          <w:rFonts w:eastAsia="Calibri"/>
        </w:rPr>
        <w:t>Lahey Hospital and Medical Center, located at 41 Burlington Mall Road, Burlington, MA 01805,</w:t>
      </w:r>
      <w:r>
        <w:rPr>
          <w:rFonts w:asciiTheme="minorHAnsi" w:eastAsia="Calibri" w:hAnsiTheme="minorHAnsi" w:cstheme="minorHAnsi"/>
        </w:rPr>
        <w:t xml:space="preserve"> </w:t>
      </w:r>
      <w:r w:rsidRPr="00A83B44">
        <w:t xml:space="preserve">for the </w:t>
      </w:r>
      <w:r>
        <w:t>r</w:t>
      </w:r>
      <w:r w:rsidRPr="00E8780B">
        <w:t>elocat</w:t>
      </w:r>
      <w:r>
        <w:t>ion and expansion of</w:t>
      </w:r>
      <w:r w:rsidRPr="00E8780B">
        <w:t xml:space="preserve"> L</w:t>
      </w:r>
      <w:r>
        <w:t xml:space="preserve">HMC </w:t>
      </w:r>
      <w:r w:rsidRPr="00E8780B">
        <w:t xml:space="preserve">Burlington’s </w:t>
      </w:r>
      <w:r>
        <w:t>R</w:t>
      </w:r>
      <w:r w:rsidRPr="00E8780B">
        <w:t xml:space="preserve">adiation </w:t>
      </w:r>
      <w:r>
        <w:t>O</w:t>
      </w:r>
      <w:r w:rsidRPr="00E8780B">
        <w:t xml:space="preserve">ncology </w:t>
      </w:r>
      <w:r>
        <w:t>D</w:t>
      </w:r>
      <w:r w:rsidRPr="00E8780B">
        <w:t xml:space="preserve">epartment </w:t>
      </w:r>
      <w:r>
        <w:t xml:space="preserve">from the campus’s John G. Trump building </w:t>
      </w:r>
      <w:r w:rsidRPr="00E8780B">
        <w:t xml:space="preserve">to the first floor of the east side of </w:t>
      </w:r>
      <w:r>
        <w:t xml:space="preserve">main </w:t>
      </w:r>
      <w:r w:rsidRPr="00E8780B">
        <w:t>L</w:t>
      </w:r>
      <w:r>
        <w:t>HMC</w:t>
      </w:r>
      <w:r w:rsidRPr="00E8780B">
        <w:t xml:space="preserve"> Burlington</w:t>
      </w:r>
      <w:r>
        <w:t xml:space="preserve"> building which includes:</w:t>
      </w:r>
    </w:p>
    <w:p w14:paraId="1474C2B2" w14:textId="77777777" w:rsidR="006A4042" w:rsidRPr="00A81187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 w:rsidRPr="00A81187">
        <w:t>Increase the number of exam rooms from 8 to 11</w:t>
      </w:r>
    </w:p>
    <w:p w14:paraId="5E5DF231" w14:textId="77777777" w:rsidR="006A4042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>
        <w:t>Colocation of Radiation Oncology with</w:t>
      </w:r>
      <w:r w:rsidRPr="00E8780B">
        <w:t xml:space="preserve"> </w:t>
      </w:r>
      <w:r>
        <w:t>H</w:t>
      </w:r>
      <w:r w:rsidRPr="00E8780B">
        <w:t xml:space="preserve">ematology </w:t>
      </w:r>
      <w:r>
        <w:t>O</w:t>
      </w:r>
      <w:r w:rsidRPr="00E8780B">
        <w:t xml:space="preserve">ncology </w:t>
      </w:r>
      <w:r>
        <w:t>D</w:t>
      </w:r>
      <w:r w:rsidRPr="00E8780B">
        <w:t>epartment</w:t>
      </w:r>
      <w:r>
        <w:t xml:space="preserve"> as well as space </w:t>
      </w:r>
      <w:r w:rsidRPr="00D64443">
        <w:t xml:space="preserve">for </w:t>
      </w:r>
      <w:r w:rsidRPr="00D64443">
        <w:rPr>
          <w:rFonts w:eastAsiaTheme="minorEastAsia"/>
          <w:color w:val="000000" w:themeColor="text1"/>
        </w:rPr>
        <w:t>social work services, behavioral oncology</w:t>
      </w:r>
      <w:r w:rsidRPr="00D64443">
        <w:rPr>
          <w:rFonts w:eastAsiaTheme="minorEastAsia"/>
          <w:kern w:val="2"/>
        </w:rPr>
        <w:t xml:space="preserve"> </w:t>
      </w:r>
      <w:r w:rsidRPr="00D64443">
        <w:rPr>
          <w:kern w:val="2"/>
        </w:rPr>
        <w:t>and integrative wellness therapies</w:t>
      </w:r>
      <w:r w:rsidRPr="00D64443">
        <w:t>;</w:t>
      </w:r>
      <w:r w:rsidRPr="00E8780B">
        <w:t xml:space="preserve"> </w:t>
      </w:r>
    </w:p>
    <w:p w14:paraId="55211F3C" w14:textId="77777777" w:rsidR="006A4042" w:rsidRPr="005E4465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 w:rsidRPr="002D2733">
        <w:rPr>
          <w:rFonts w:cstheme="minorHAnsi"/>
        </w:rPr>
        <w:t>Relocat</w:t>
      </w:r>
      <w:r>
        <w:rPr>
          <w:rFonts w:cstheme="minorHAnsi"/>
        </w:rPr>
        <w:t>ion of</w:t>
      </w:r>
      <w:r w:rsidRPr="002D2733">
        <w:rPr>
          <w:rFonts w:cstheme="minorHAnsi"/>
        </w:rPr>
        <w:t xml:space="preserve"> LINAC units to t</w:t>
      </w:r>
      <w:r>
        <w:rPr>
          <w:rFonts w:cstheme="minorHAnsi"/>
        </w:rPr>
        <w:t>wo</w:t>
      </w:r>
      <w:r w:rsidRPr="002D2733">
        <w:rPr>
          <w:rFonts w:cstheme="minorHAnsi"/>
        </w:rPr>
        <w:t xml:space="preserve"> previously poured LINAC vaults</w:t>
      </w:r>
      <w:r>
        <w:rPr>
          <w:rFonts w:cstheme="minorHAnsi"/>
        </w:rPr>
        <w:t xml:space="preserve"> </w:t>
      </w:r>
      <w:r w:rsidRPr="00D4756F">
        <w:rPr>
          <w:rFonts w:cstheme="minorHAnsi"/>
        </w:rPr>
        <w:t>(</w:t>
      </w:r>
      <w:r>
        <w:rPr>
          <w:rFonts w:cstheme="minorHAnsi"/>
        </w:rPr>
        <w:t>two</w:t>
      </w:r>
      <w:r w:rsidRPr="00D4756F">
        <w:rPr>
          <w:rFonts w:cstheme="minorHAnsi"/>
        </w:rPr>
        <w:t xml:space="preserve"> </w:t>
      </w:r>
      <w:r>
        <w:rPr>
          <w:rFonts w:cstheme="minorHAnsi"/>
        </w:rPr>
        <w:t xml:space="preserve">1:1 </w:t>
      </w:r>
      <w:r w:rsidRPr="00D4756F">
        <w:rPr>
          <w:rFonts w:cstheme="minorHAnsi"/>
        </w:rPr>
        <w:t>replacement unit</w:t>
      </w:r>
      <w:r>
        <w:rPr>
          <w:rFonts w:cstheme="minorHAnsi"/>
        </w:rPr>
        <w:t>s</w:t>
      </w:r>
      <w:r w:rsidRPr="00D4756F">
        <w:rPr>
          <w:rFonts w:cstheme="minorHAnsi"/>
        </w:rPr>
        <w:t>)</w:t>
      </w:r>
      <w:r>
        <w:rPr>
          <w:rFonts w:cstheme="minorHAnsi"/>
        </w:rPr>
        <w:t>;</w:t>
      </w:r>
    </w:p>
    <w:p w14:paraId="72B82E0A" w14:textId="77777777" w:rsidR="006A4042" w:rsidRPr="00227620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 w:rsidRPr="00227620">
        <w:t>Add walls and shielding need to the previously poured LINAC vault</w:t>
      </w:r>
      <w:r>
        <w:t xml:space="preserve">s </w:t>
      </w:r>
      <w:r w:rsidRPr="00227620">
        <w:t>and create a 3rd LINAC shell space by pouring footings for the w</w:t>
      </w:r>
      <w:r w:rsidRPr="00227620">
        <w:rPr>
          <w:color w:val="000000"/>
        </w:rPr>
        <w:t>alls;</w:t>
      </w:r>
    </w:p>
    <w:p w14:paraId="1ECB2F65" w14:textId="77777777" w:rsidR="006A4042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>
        <w:rPr>
          <w:rFonts w:cstheme="minorHAnsi"/>
        </w:rPr>
        <w:lastRenderedPageBreak/>
        <w:t>Space</w:t>
      </w:r>
      <w:r w:rsidRPr="00D4756F">
        <w:rPr>
          <w:rFonts w:cstheme="minorHAnsi"/>
        </w:rPr>
        <w:t xml:space="preserve"> to accommodate one replacement CT simulator</w:t>
      </w:r>
      <w:r>
        <w:t>;</w:t>
      </w:r>
    </w:p>
    <w:p w14:paraId="73E5EF9C" w14:textId="77777777" w:rsidR="006A4042" w:rsidRDefault="006A4042" w:rsidP="006A4042">
      <w:pPr>
        <w:pStyle w:val="BodyText"/>
        <w:widowControl/>
        <w:numPr>
          <w:ilvl w:val="1"/>
          <w:numId w:val="4"/>
        </w:numPr>
        <w:autoSpaceDE/>
        <w:autoSpaceDN/>
        <w:spacing w:after="120" w:line="259" w:lineRule="auto"/>
        <w:ind w:right="133"/>
      </w:pPr>
      <w:r>
        <w:t xml:space="preserve">Addition of </w:t>
      </w:r>
      <w:r w:rsidRPr="00D76798">
        <w:t xml:space="preserve">one high dose radiation therapy (HDR) procedure room with one mobile CT unit </w:t>
      </w:r>
      <w:r>
        <w:t>dedicated to</w:t>
      </w:r>
      <w:r w:rsidRPr="00D76798">
        <w:t xml:space="preserve"> HDR</w:t>
      </w:r>
      <w:r>
        <w:t>.</w:t>
      </w:r>
    </w:p>
    <w:p w14:paraId="57261D2B" w14:textId="77777777" w:rsidR="006A4042" w:rsidRDefault="006A4042" w:rsidP="006A4042">
      <w:pPr>
        <w:pStyle w:val="BodyText"/>
        <w:ind w:left="810" w:right="1170"/>
      </w:pPr>
    </w:p>
    <w:p w14:paraId="6C39F13B" w14:textId="77777777" w:rsidR="006A4042" w:rsidRDefault="006A4042" w:rsidP="006A4042">
      <w:pPr>
        <w:pStyle w:val="BodyText"/>
        <w:ind w:left="810" w:right="1170"/>
      </w:pPr>
      <w:r>
        <w:t>This Notice of Final Action incorporates by reference the Staff Report and the Public Health Council proceedings concerning this application.</w:t>
      </w:r>
    </w:p>
    <w:p w14:paraId="05E852E2" w14:textId="77777777" w:rsidR="006A4042" w:rsidRDefault="006A4042" w:rsidP="006A4042">
      <w:pPr>
        <w:pStyle w:val="BodyText"/>
        <w:ind w:left="810" w:right="1170"/>
      </w:pPr>
    </w:p>
    <w:p w14:paraId="3CC051B0" w14:textId="77777777" w:rsidR="006A4042" w:rsidRDefault="006A4042" w:rsidP="006A4042">
      <w:pPr>
        <w:pStyle w:val="BodyText"/>
        <w:ind w:left="810" w:right="1170"/>
      </w:pPr>
      <w:r>
        <w:t xml:space="preserve">This application was </w:t>
      </w:r>
      <w:r w:rsidRPr="00B603D1">
        <w:t>reviewed pursuant to M.G.L. c. 111, §25C and the regulatory provisions of 105 CMR 100.000 et seq.</w:t>
      </w:r>
      <w:r>
        <w:t xml:space="preserve"> Based upon a review of the materials submitted, the Department found that the Applicant has met each DoN factor and approves this Determination of Need application for a Substantial Capital Expenditure and Required Equipment subject to all standard conditions (105 CMR 100.310) and pursuant to 105 CMR 100.360, subject to Other Conditions listed below. </w:t>
      </w:r>
      <w:r w:rsidRPr="00073E69">
        <w:t>The total capital expenditure for the Proposed Project is $30,182,667.00 (June 2023 dollars)</w:t>
      </w:r>
      <w:r>
        <w:t xml:space="preserve"> and the required CHI contribution </w:t>
      </w:r>
      <w:r w:rsidRPr="00FC75DF">
        <w:t>is $1,509,133.35.</w:t>
      </w:r>
    </w:p>
    <w:p w14:paraId="390A9F82" w14:textId="77777777" w:rsidR="006A4042" w:rsidRDefault="006A4042" w:rsidP="006A4042">
      <w:pPr>
        <w:pStyle w:val="BodyText"/>
        <w:ind w:left="810" w:right="1170"/>
      </w:pPr>
    </w:p>
    <w:p w14:paraId="67961E82" w14:textId="77777777" w:rsidR="006A4042" w:rsidRDefault="006A4042" w:rsidP="006A4042">
      <w:pPr>
        <w:pStyle w:val="BodyText"/>
        <w:ind w:left="810" w:right="1170"/>
      </w:pPr>
      <w:r>
        <w:t>In compliance with the provisions of 105 CMR 100.310(A)(2) and (11) the Holder shall submit an acknowledgment of receipt to the Department (attached) and include a written attestation of participation or intent to participate in MassHealth.</w:t>
      </w:r>
    </w:p>
    <w:p w14:paraId="051D4ABB" w14:textId="77777777" w:rsidR="006A4042" w:rsidRDefault="006A4042" w:rsidP="006A4042">
      <w:pPr>
        <w:pStyle w:val="BodyText"/>
        <w:ind w:left="810" w:right="1170"/>
      </w:pPr>
    </w:p>
    <w:p w14:paraId="4FC891D1" w14:textId="77777777" w:rsidR="006A4042" w:rsidRDefault="006A4042" w:rsidP="006A4042">
      <w:pPr>
        <w:pStyle w:val="BodyText"/>
        <w:ind w:left="810" w:right="1170"/>
      </w:pPr>
      <w:r>
        <w:t>In compliance with 105 CMR 100.310(A)(12), which requires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</w:p>
    <w:p w14:paraId="5C8EED5E" w14:textId="77777777" w:rsidR="006A4042" w:rsidRDefault="006A4042" w:rsidP="006A4042">
      <w:pPr>
        <w:pStyle w:val="BodyText"/>
        <w:ind w:left="810" w:right="1170"/>
        <w:rPr>
          <w:highlight w:val="yellow"/>
        </w:rPr>
      </w:pPr>
    </w:p>
    <w:p w14:paraId="7235254F" w14:textId="77777777" w:rsidR="006A4042" w:rsidRDefault="006A4042" w:rsidP="006A4042">
      <w:pPr>
        <w:pStyle w:val="BodyText"/>
        <w:tabs>
          <w:tab w:val="left" w:pos="5220"/>
        </w:tabs>
        <w:spacing w:before="79"/>
        <w:ind w:left="810" w:right="1223"/>
      </w:pPr>
      <w:r>
        <w:t>Please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DoN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12" w:history="1">
        <w:r w:rsidRPr="00784904">
          <w:rPr>
            <w:rStyle w:val="Hyperlink"/>
            <w:color w:val="2F5496" w:themeColor="accent1" w:themeShade="BF"/>
          </w:rPr>
          <w:t>DPH.DON@mass.gov</w:t>
        </w:r>
      </w:hyperlink>
      <w:r w:rsidRPr="00784904">
        <w:rPr>
          <w:color w:val="2F5496" w:themeColor="accent1" w:themeShade="BF"/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date of all the components of the DoN-approved Project once it has been established. Additionally, send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Project's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(licensure/</w:t>
      </w:r>
      <w:r>
        <w:rPr>
          <w:spacing w:val="-4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date) and the first day of operations to determine the annual DoN reporting timeline.</w:t>
      </w:r>
    </w:p>
    <w:p w14:paraId="7BE532B2" w14:textId="77777777" w:rsidR="006A4042" w:rsidRDefault="006A4042" w:rsidP="006A4042">
      <w:pPr>
        <w:pStyle w:val="BodyText"/>
      </w:pPr>
    </w:p>
    <w:p w14:paraId="22D6BF31" w14:textId="77777777" w:rsidR="006A4042" w:rsidRDefault="006A4042" w:rsidP="006A4042">
      <w:pPr>
        <w:ind w:left="800"/>
        <w:rPr>
          <w:b/>
        </w:rPr>
      </w:pPr>
      <w:r>
        <w:rPr>
          <w:b/>
          <w:u w:val="single"/>
        </w:rPr>
        <w:t>Other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Conditions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DoN</w:t>
      </w:r>
    </w:p>
    <w:p w14:paraId="23717D44" w14:textId="77777777" w:rsidR="006A4042" w:rsidRDefault="006A4042" w:rsidP="006A4042">
      <w:pPr>
        <w:pStyle w:val="BodyText"/>
        <w:spacing w:before="2"/>
        <w:rPr>
          <w:b/>
          <w:sz w:val="16"/>
        </w:rPr>
      </w:pPr>
    </w:p>
    <w:p w14:paraId="53DF5199" w14:textId="77777777" w:rsidR="006A4042" w:rsidRDefault="006A4042" w:rsidP="006A4042">
      <w:pPr>
        <w:pStyle w:val="ListParagraph"/>
        <w:numPr>
          <w:ilvl w:val="0"/>
          <w:numId w:val="1"/>
        </w:numPr>
        <w:ind w:left="1170" w:right="540"/>
        <w:rPr>
          <w:rFonts w:eastAsiaTheme="minorEastAsia"/>
          <w:color w:val="000000" w:themeColor="text1"/>
          <w:szCs w:val="24"/>
        </w:rPr>
      </w:pPr>
      <w:r w:rsidRPr="68470601">
        <w:rPr>
          <w:rFonts w:eastAsiaTheme="minorEastAsia"/>
          <w:color w:val="000000" w:themeColor="text1"/>
          <w:szCs w:val="24"/>
        </w:rPr>
        <w:t>Of the total required CHI contribution of $1,509,133.35</w:t>
      </w:r>
    </w:p>
    <w:p w14:paraId="394A47C1" w14:textId="77777777" w:rsidR="006A4042" w:rsidRDefault="006A4042" w:rsidP="006A4042">
      <w:pPr>
        <w:pStyle w:val="ListParagraph"/>
        <w:numPr>
          <w:ilvl w:val="1"/>
          <w:numId w:val="1"/>
        </w:numPr>
        <w:ind w:left="2160" w:right="540"/>
        <w:rPr>
          <w:rFonts w:eastAsiaTheme="minorEastAsia"/>
          <w:color w:val="000000" w:themeColor="text1"/>
          <w:szCs w:val="24"/>
        </w:rPr>
      </w:pPr>
      <w:r w:rsidRPr="68470601">
        <w:rPr>
          <w:rFonts w:eastAsiaTheme="minorEastAsia"/>
          <w:color w:val="000000" w:themeColor="text1"/>
          <w:szCs w:val="24"/>
        </w:rPr>
        <w:t xml:space="preserve">$365,964.84 will be directed to the CHI Statewide Initiative </w:t>
      </w:r>
    </w:p>
    <w:p w14:paraId="71AF838A" w14:textId="77777777" w:rsidR="006A4042" w:rsidRDefault="006A4042" w:rsidP="006A4042">
      <w:pPr>
        <w:pStyle w:val="ListParagraph"/>
        <w:numPr>
          <w:ilvl w:val="1"/>
          <w:numId w:val="1"/>
        </w:numPr>
        <w:ind w:left="2160" w:right="540"/>
        <w:rPr>
          <w:rFonts w:eastAsiaTheme="minorEastAsia"/>
          <w:color w:val="000000" w:themeColor="text1"/>
          <w:szCs w:val="24"/>
        </w:rPr>
      </w:pPr>
      <w:r w:rsidRPr="68470601">
        <w:rPr>
          <w:rFonts w:eastAsiaTheme="minorEastAsia"/>
          <w:color w:val="000000" w:themeColor="text1"/>
          <w:szCs w:val="24"/>
        </w:rPr>
        <w:t xml:space="preserve">$1,097,894.51 will be dedicated to local approaches to the DoN Health Priorities </w:t>
      </w:r>
    </w:p>
    <w:p w14:paraId="75562975" w14:textId="77777777" w:rsidR="006A4042" w:rsidRDefault="006A4042" w:rsidP="006A4042">
      <w:pPr>
        <w:pStyle w:val="ListParagraph"/>
        <w:numPr>
          <w:ilvl w:val="1"/>
          <w:numId w:val="1"/>
        </w:numPr>
        <w:ind w:left="2160" w:right="540"/>
        <w:rPr>
          <w:rFonts w:eastAsiaTheme="minorEastAsia"/>
          <w:color w:val="000000" w:themeColor="text1"/>
          <w:szCs w:val="24"/>
        </w:rPr>
      </w:pPr>
      <w:r w:rsidRPr="68470601">
        <w:rPr>
          <w:rFonts w:eastAsiaTheme="minorEastAsia"/>
          <w:color w:val="000000" w:themeColor="text1"/>
          <w:szCs w:val="24"/>
        </w:rPr>
        <w:t>$45,274.00 will be designated as the administrative allowance</w:t>
      </w:r>
    </w:p>
    <w:p w14:paraId="0581761A" w14:textId="77777777" w:rsidR="006A4042" w:rsidRDefault="006A4042" w:rsidP="006A4042">
      <w:pPr>
        <w:pStyle w:val="ListParagraph"/>
        <w:numPr>
          <w:ilvl w:val="0"/>
          <w:numId w:val="1"/>
        </w:numPr>
        <w:ind w:left="1170" w:right="540"/>
        <w:rPr>
          <w:rFonts w:eastAsiaTheme="minorEastAsia"/>
          <w:color w:val="000000" w:themeColor="text1"/>
          <w:szCs w:val="24"/>
        </w:rPr>
      </w:pPr>
      <w:r w:rsidRPr="68470601">
        <w:rPr>
          <w:rFonts w:eastAsiaTheme="minorEastAsia"/>
          <w:color w:val="000000" w:themeColor="text1"/>
          <w:szCs w:val="24"/>
        </w:rPr>
        <w:t xml:space="preserve">To comply with the Holder’s obligation to contribute to the Statewide CHI Initiative, the Holder must submit a check for $365,964.84 to Health Resources in Action (the fiscal agent for the CHI Statewide Initiative). </w:t>
      </w:r>
    </w:p>
    <w:p w14:paraId="529C7C04" w14:textId="77777777" w:rsidR="006A4042" w:rsidRPr="002E13F7" w:rsidRDefault="006A4042" w:rsidP="006A4042">
      <w:pPr>
        <w:pStyle w:val="ListParagraph"/>
        <w:numPr>
          <w:ilvl w:val="2"/>
          <w:numId w:val="1"/>
        </w:numPr>
        <w:spacing w:after="200"/>
        <w:ind w:right="540"/>
        <w:rPr>
          <w:rFonts w:eastAsiaTheme="minorEastAsia" w:cstheme="minorHAnsi"/>
          <w:szCs w:val="24"/>
        </w:rPr>
      </w:pPr>
      <w:r w:rsidRPr="002E13F7">
        <w:rPr>
          <w:rFonts w:eastAsia="Garamond" w:cstheme="minorHAnsi"/>
          <w:szCs w:val="24"/>
        </w:rPr>
        <w:t xml:space="preserve">The Holder must submit the funds to HRiA within 30 days from the date of the Notice of Approval. </w:t>
      </w:r>
    </w:p>
    <w:p w14:paraId="584E849C" w14:textId="77777777" w:rsidR="006A4042" w:rsidRPr="002E13F7" w:rsidRDefault="006A4042" w:rsidP="006A4042">
      <w:pPr>
        <w:pStyle w:val="ListParagraph"/>
        <w:numPr>
          <w:ilvl w:val="2"/>
          <w:numId w:val="1"/>
        </w:numPr>
        <w:spacing w:after="200"/>
        <w:ind w:right="540"/>
        <w:rPr>
          <w:rFonts w:eastAsiaTheme="minorEastAsia" w:cstheme="minorHAnsi"/>
          <w:szCs w:val="24"/>
        </w:rPr>
      </w:pPr>
      <w:r w:rsidRPr="002E13F7">
        <w:rPr>
          <w:rFonts w:eastAsia="Garamond" w:cstheme="minorHAnsi"/>
          <w:szCs w:val="24"/>
        </w:rPr>
        <w:t>The Holder must promptly notify DPH (CHI contact staff) when the payment has been made.</w:t>
      </w:r>
    </w:p>
    <w:p w14:paraId="574248BC" w14:textId="77777777" w:rsidR="006A4042" w:rsidRDefault="006A4042" w:rsidP="006A4042">
      <w:pPr>
        <w:pStyle w:val="BodyText"/>
      </w:pPr>
    </w:p>
    <w:p w14:paraId="24ED3C00" w14:textId="77777777" w:rsidR="006A4042" w:rsidRDefault="006A4042" w:rsidP="006A4042">
      <w:pPr>
        <w:pStyle w:val="BodyText"/>
        <w:ind w:left="800"/>
      </w:pPr>
      <w:r>
        <w:t>Payment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C238E76" w14:textId="77777777" w:rsidR="006A4042" w:rsidRDefault="006A4042" w:rsidP="006A4042">
      <w:pPr>
        <w:pStyle w:val="BodyText"/>
        <w:ind w:left="800" w:right="6494"/>
      </w:pPr>
      <w:r>
        <w:t>Health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(HRiA) 2 Boylston Street, 4th Floor</w:t>
      </w:r>
    </w:p>
    <w:p w14:paraId="3B1D2321" w14:textId="77777777" w:rsidR="006A4042" w:rsidRDefault="006A4042" w:rsidP="006A4042">
      <w:pPr>
        <w:pStyle w:val="BodyText"/>
        <w:spacing w:before="1"/>
        <w:ind w:left="800" w:right="8276"/>
      </w:pPr>
      <w:r>
        <w:lastRenderedPageBreak/>
        <w:t>Boston, MA 02116 Attn:</w:t>
      </w:r>
      <w:r>
        <w:rPr>
          <w:spacing w:val="-13"/>
        </w:rPr>
        <w:t xml:space="preserve"> </w:t>
      </w:r>
      <w:r>
        <w:t>Ms.</w:t>
      </w:r>
      <w:r>
        <w:rPr>
          <w:spacing w:val="-13"/>
        </w:rPr>
        <w:t xml:space="preserve"> </w:t>
      </w:r>
      <w:r>
        <w:t>Bora</w:t>
      </w:r>
      <w:r>
        <w:rPr>
          <w:spacing w:val="-14"/>
        </w:rPr>
        <w:t xml:space="preserve"> </w:t>
      </w:r>
      <w:r>
        <w:t>Toro</w:t>
      </w:r>
    </w:p>
    <w:p w14:paraId="67D96FCB" w14:textId="77777777" w:rsidR="006A4042" w:rsidRDefault="006A4042" w:rsidP="006A4042">
      <w:pPr>
        <w:pStyle w:val="BodyText"/>
      </w:pPr>
    </w:p>
    <w:p w14:paraId="1BA2B18A" w14:textId="77777777" w:rsidR="006A4042" w:rsidRDefault="006A4042" w:rsidP="006A4042">
      <w:pPr>
        <w:pStyle w:val="BodyText"/>
        <w:ind w:left="800" w:right="1214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Regulation, a precondition to the filing of any future DoN by the Holder.</w:t>
      </w:r>
    </w:p>
    <w:p w14:paraId="4B81B919" w14:textId="77777777" w:rsidR="006A4042" w:rsidRDefault="006A4042" w:rsidP="006A4042">
      <w:pPr>
        <w:pStyle w:val="BodyText"/>
      </w:pPr>
    </w:p>
    <w:p w14:paraId="4AA6D63D" w14:textId="77777777" w:rsidR="006A4042" w:rsidRDefault="006A4042" w:rsidP="006A4042">
      <w:pPr>
        <w:pStyle w:val="BodyText"/>
        <w:ind w:left="800"/>
        <w:rPr>
          <w:spacing w:val="-2"/>
        </w:rPr>
      </w:pPr>
      <w:r>
        <w:rPr>
          <w:spacing w:val="-2"/>
        </w:rPr>
        <w:t>Sincerely,</w:t>
      </w:r>
    </w:p>
    <w:p w14:paraId="389EFC13" w14:textId="77777777" w:rsidR="004C17D0" w:rsidRDefault="004C17D0" w:rsidP="006A4042">
      <w:pPr>
        <w:pStyle w:val="BodyText"/>
        <w:ind w:left="800"/>
        <w:rPr>
          <w:spacing w:val="-2"/>
        </w:rPr>
      </w:pPr>
    </w:p>
    <w:p w14:paraId="7D75BA0C" w14:textId="4985C9EB" w:rsidR="006A4042" w:rsidRDefault="007626D1" w:rsidP="006A4042">
      <w:pPr>
        <w:pStyle w:val="BodyText"/>
        <w:ind w:left="800"/>
        <w:rPr>
          <w:spacing w:val="-2"/>
        </w:rPr>
      </w:pPr>
      <w:r>
        <w:rPr>
          <w:spacing w:val="-2"/>
        </w:rPr>
        <w:t>[signature on file]</w:t>
      </w:r>
    </w:p>
    <w:p w14:paraId="286F6109" w14:textId="77777777" w:rsidR="006A4042" w:rsidRDefault="006A4042" w:rsidP="006A4042">
      <w:pPr>
        <w:pStyle w:val="BodyText"/>
        <w:spacing w:before="10"/>
        <w:rPr>
          <w:rFonts w:ascii="Script MT Bold"/>
          <w:b/>
          <w:i/>
          <w:sz w:val="22"/>
        </w:rPr>
      </w:pPr>
    </w:p>
    <w:p w14:paraId="53EA67B7" w14:textId="77777777" w:rsidR="006A4042" w:rsidRDefault="006A4042" w:rsidP="006A4042">
      <w:pPr>
        <w:pStyle w:val="BodyText"/>
        <w:ind w:left="800"/>
      </w:pPr>
      <w:r>
        <w:t>Dennis</w:t>
      </w:r>
      <w:r>
        <w:rPr>
          <w:spacing w:val="-9"/>
        </w:rPr>
        <w:t xml:space="preserve"> </w:t>
      </w:r>
      <w:r>
        <w:rPr>
          <w:spacing w:val="-2"/>
        </w:rPr>
        <w:t>Renaud</w:t>
      </w:r>
    </w:p>
    <w:p w14:paraId="6299C254" w14:textId="77777777" w:rsidR="006A4042" w:rsidRDefault="006A4042" w:rsidP="006A4042">
      <w:pPr>
        <w:pStyle w:val="BodyText"/>
        <w:spacing w:before="1"/>
        <w:ind w:left="800"/>
      </w:pPr>
      <w:r>
        <w:t>Director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Program</w:t>
      </w:r>
    </w:p>
    <w:p w14:paraId="3FC0EB1B" w14:textId="77777777" w:rsidR="006A4042" w:rsidRDefault="006A4042" w:rsidP="006A4042">
      <w:pPr>
        <w:pStyle w:val="BodyText"/>
        <w:spacing w:before="1"/>
      </w:pPr>
    </w:p>
    <w:p w14:paraId="6708356F" w14:textId="77777777" w:rsidR="006A4042" w:rsidRDefault="006A4042" w:rsidP="006A4042">
      <w:pPr>
        <w:ind w:left="800"/>
        <w:rPr>
          <w:sz w:val="20"/>
        </w:rPr>
      </w:pPr>
      <w:r>
        <w:rPr>
          <w:spacing w:val="-5"/>
          <w:sz w:val="20"/>
        </w:rPr>
        <w:t>cc:</w:t>
      </w:r>
    </w:p>
    <w:p w14:paraId="40F6E03B" w14:textId="77777777" w:rsidR="006A4042" w:rsidRDefault="006A4042" w:rsidP="006A4042">
      <w:pPr>
        <w:ind w:left="800" w:right="3600"/>
        <w:rPr>
          <w:sz w:val="20"/>
        </w:rPr>
      </w:pPr>
      <w:r>
        <w:rPr>
          <w:sz w:val="20"/>
        </w:rPr>
        <w:t>Elizabeth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Kelley,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6"/>
          <w:sz w:val="20"/>
        </w:rPr>
        <w:t xml:space="preserve"> </w:t>
      </w:r>
      <w:r>
        <w:rPr>
          <w:sz w:val="20"/>
        </w:rPr>
        <w:t>Bureau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Quality </w:t>
      </w:r>
    </w:p>
    <w:p w14:paraId="5A050967" w14:textId="77777777" w:rsidR="006A4042" w:rsidRDefault="006A4042" w:rsidP="006A4042">
      <w:pPr>
        <w:ind w:left="800" w:right="3600"/>
        <w:rPr>
          <w:sz w:val="20"/>
        </w:rPr>
      </w:pPr>
      <w:r>
        <w:rPr>
          <w:sz w:val="20"/>
        </w:rPr>
        <w:t>Rebecca Kaye, General Counsel’s Office</w:t>
      </w:r>
    </w:p>
    <w:p w14:paraId="0E46A9AF" w14:textId="77777777" w:rsidR="006A4042" w:rsidRDefault="006A4042" w:rsidP="006A4042">
      <w:pPr>
        <w:ind w:left="800" w:right="3388"/>
        <w:rPr>
          <w:sz w:val="20"/>
        </w:rPr>
      </w:pPr>
      <w:r>
        <w:rPr>
          <w:sz w:val="20"/>
        </w:rPr>
        <w:t>Stephen</w:t>
      </w:r>
      <w:r>
        <w:rPr>
          <w:spacing w:val="-4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5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 Judy Bernice, Division of Health Care Facility Licensure and Certification</w:t>
      </w:r>
    </w:p>
    <w:p w14:paraId="47E85C51" w14:textId="77777777" w:rsidR="006A4042" w:rsidRDefault="006A4042" w:rsidP="006A4042">
      <w:pPr>
        <w:ind w:left="800" w:right="5078"/>
        <w:rPr>
          <w:sz w:val="20"/>
        </w:rPr>
      </w:pPr>
      <w:r>
        <w:rPr>
          <w:sz w:val="20"/>
        </w:rPr>
        <w:t>Daniel</w:t>
      </w:r>
      <w:r>
        <w:rPr>
          <w:spacing w:val="-7"/>
          <w:sz w:val="20"/>
        </w:rPr>
        <w:t xml:space="preserve"> </w:t>
      </w:r>
      <w:r>
        <w:rPr>
          <w:sz w:val="20"/>
        </w:rPr>
        <w:t>Gent,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Licensure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 Samuel Louis, Office of Health Equity</w:t>
      </w:r>
    </w:p>
    <w:p w14:paraId="382A5CAD" w14:textId="77777777" w:rsidR="006A4042" w:rsidRDefault="006A4042" w:rsidP="006A4042">
      <w:pPr>
        <w:spacing w:before="1"/>
        <w:ind w:left="800" w:right="4127"/>
        <w:rPr>
          <w:sz w:val="20"/>
        </w:rPr>
      </w:pPr>
      <w:r>
        <w:rPr>
          <w:sz w:val="20"/>
        </w:rPr>
        <w:t>Jennica Allen, Division of Community Health Planning and Engagement Elizabeth</w:t>
      </w:r>
      <w:r>
        <w:rPr>
          <w:spacing w:val="-4"/>
          <w:sz w:val="20"/>
        </w:rPr>
        <w:t xml:space="preserve"> </w:t>
      </w:r>
      <w:r>
        <w:rPr>
          <w:sz w:val="20"/>
        </w:rPr>
        <w:t>Maffei,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 Katelyn Teague, Division of Community Health Planning and Engagement Elizabeth Almanzor, Center for Health Information Analysis</w:t>
      </w:r>
    </w:p>
    <w:p w14:paraId="4C323D1A" w14:textId="77777777" w:rsidR="006A4042" w:rsidRDefault="006A4042" w:rsidP="006A4042">
      <w:pPr>
        <w:ind w:left="800" w:right="3600"/>
        <w:rPr>
          <w:sz w:val="20"/>
        </w:rPr>
      </w:pPr>
      <w:r>
        <w:rPr>
          <w:sz w:val="20"/>
        </w:rPr>
        <w:t>Katherine</w:t>
      </w:r>
      <w:r>
        <w:rPr>
          <w:spacing w:val="-11"/>
          <w:sz w:val="20"/>
        </w:rPr>
        <w:t xml:space="preserve"> </w:t>
      </w:r>
      <w:r>
        <w:rPr>
          <w:sz w:val="20"/>
        </w:rPr>
        <w:t>Mills,</w:t>
      </w:r>
      <w:r>
        <w:rPr>
          <w:spacing w:val="-11"/>
          <w:sz w:val="20"/>
        </w:rPr>
        <w:t xml:space="preserve"> </w:t>
      </w:r>
      <w:r>
        <w:rPr>
          <w:sz w:val="20"/>
        </w:rPr>
        <w:t>Health</w:t>
      </w:r>
      <w:r>
        <w:rPr>
          <w:spacing w:val="-11"/>
          <w:sz w:val="20"/>
        </w:rPr>
        <w:t xml:space="preserve"> </w:t>
      </w:r>
      <w:r>
        <w:rPr>
          <w:sz w:val="20"/>
        </w:rPr>
        <w:t>Policy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Commission </w:t>
      </w:r>
    </w:p>
    <w:p w14:paraId="3E5EE9A2" w14:textId="77777777" w:rsidR="006A4042" w:rsidRPr="007A3879" w:rsidRDefault="006A4042" w:rsidP="006A4042">
      <w:pPr>
        <w:ind w:left="800" w:right="3600"/>
        <w:rPr>
          <w:sz w:val="20"/>
        </w:rPr>
      </w:pPr>
      <w:r w:rsidRPr="007A3879">
        <w:rPr>
          <w:sz w:val="20"/>
        </w:rPr>
        <w:t>Sandra Wolitsky, Office of the Attorney</w:t>
      </w:r>
      <w:r>
        <w:rPr>
          <w:sz w:val="20"/>
        </w:rPr>
        <w:t xml:space="preserve"> </w:t>
      </w:r>
      <w:r w:rsidRPr="007A3879">
        <w:rPr>
          <w:sz w:val="20"/>
        </w:rPr>
        <w:t>General</w:t>
      </w:r>
    </w:p>
    <w:p w14:paraId="5A35C7DD" w14:textId="77777777" w:rsidR="006A4042" w:rsidRDefault="006A4042" w:rsidP="006A4042">
      <w:pPr>
        <w:ind w:left="800" w:right="3600"/>
        <w:rPr>
          <w:sz w:val="20"/>
        </w:rPr>
      </w:pPr>
      <w:r w:rsidRPr="007A3879">
        <w:rPr>
          <w:sz w:val="20"/>
        </w:rPr>
        <w:t>Tomaso</w:t>
      </w:r>
      <w:r w:rsidRPr="007A3879">
        <w:rPr>
          <w:spacing w:val="-5"/>
          <w:sz w:val="20"/>
        </w:rPr>
        <w:t xml:space="preserve"> </w:t>
      </w:r>
      <w:r w:rsidRPr="007A3879">
        <w:rPr>
          <w:sz w:val="20"/>
        </w:rPr>
        <w:t>Calicchio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Services </w:t>
      </w:r>
    </w:p>
    <w:p w14:paraId="5C414539" w14:textId="77777777" w:rsidR="006A4042" w:rsidRDefault="006A4042" w:rsidP="006A4042">
      <w:pPr>
        <w:ind w:left="800" w:right="3600"/>
        <w:rPr>
          <w:sz w:val="20"/>
        </w:rPr>
      </w:pPr>
      <w:r>
        <w:rPr>
          <w:sz w:val="20"/>
        </w:rPr>
        <w:t xml:space="preserve">Hai Nguyen, Executive Office of Health and Human Services </w:t>
      </w:r>
    </w:p>
    <w:p w14:paraId="4F0970AD" w14:textId="77777777" w:rsidR="006A4042" w:rsidRDefault="006A4042" w:rsidP="006A4042">
      <w:pPr>
        <w:ind w:left="800" w:right="3600"/>
        <w:rPr>
          <w:sz w:val="20"/>
        </w:rPr>
      </w:pPr>
      <w:r>
        <w:rPr>
          <w:sz w:val="20"/>
        </w:rPr>
        <w:t>Karina Mejias, Executive Office of Health and Human Services</w:t>
      </w:r>
    </w:p>
    <w:p w14:paraId="383475F0" w14:textId="77777777" w:rsidR="006A4042" w:rsidRDefault="006A4042" w:rsidP="006A4042">
      <w:pPr>
        <w:ind w:left="800" w:right="3600"/>
        <w:rPr>
          <w:sz w:val="20"/>
        </w:rPr>
        <w:sectPr w:rsidR="006A4042" w:rsidSect="00D77E56">
          <w:type w:val="continuous"/>
          <w:pgSz w:w="12240" w:h="15840"/>
          <w:pgMar w:top="1360" w:right="260" w:bottom="1260" w:left="640" w:header="0" w:footer="1060" w:gutter="0"/>
          <w:cols w:space="720"/>
        </w:sectPr>
      </w:pPr>
    </w:p>
    <w:p w14:paraId="4F9D50E7" w14:textId="77777777" w:rsidR="006A4042" w:rsidRPr="00FB42D7" w:rsidRDefault="006A4042" w:rsidP="006A4042">
      <w:pPr>
        <w:ind w:right="3600"/>
        <w:rPr>
          <w:sz w:val="20"/>
        </w:rPr>
      </w:pPr>
      <w:r>
        <w:rPr>
          <w:sz w:val="20"/>
        </w:rPr>
        <w:t>Priscilla</w:t>
      </w:r>
      <w:r w:rsidRPr="007A3879">
        <w:rPr>
          <w:sz w:val="20"/>
        </w:rPr>
        <w:t xml:space="preserve"> </w:t>
      </w:r>
      <w:r>
        <w:rPr>
          <w:sz w:val="20"/>
        </w:rPr>
        <w:t>Portis,</w:t>
      </w:r>
      <w:r w:rsidRPr="007A3879">
        <w:rPr>
          <w:sz w:val="20"/>
        </w:rPr>
        <w:t xml:space="preserve"> </w:t>
      </w:r>
      <w:r>
        <w:rPr>
          <w:sz w:val="20"/>
        </w:rPr>
        <w:t>Executive</w:t>
      </w:r>
      <w:r w:rsidRPr="007A3879">
        <w:rPr>
          <w:sz w:val="20"/>
        </w:rPr>
        <w:t xml:space="preserve"> </w:t>
      </w:r>
      <w:r>
        <w:rPr>
          <w:sz w:val="20"/>
        </w:rPr>
        <w:t>Office</w:t>
      </w:r>
      <w:r w:rsidRPr="007A3879">
        <w:rPr>
          <w:sz w:val="20"/>
        </w:rPr>
        <w:t xml:space="preserve"> </w:t>
      </w:r>
      <w:r>
        <w:rPr>
          <w:sz w:val="20"/>
        </w:rPr>
        <w:t>of</w:t>
      </w:r>
      <w:r w:rsidRPr="007A3879">
        <w:rPr>
          <w:sz w:val="20"/>
        </w:rPr>
        <w:t xml:space="preserve"> </w:t>
      </w:r>
      <w:r>
        <w:rPr>
          <w:sz w:val="20"/>
        </w:rPr>
        <w:t>Health</w:t>
      </w:r>
      <w:r w:rsidRPr="007A3879">
        <w:rPr>
          <w:sz w:val="20"/>
        </w:rPr>
        <w:t xml:space="preserve"> </w:t>
      </w:r>
      <w:r>
        <w:rPr>
          <w:sz w:val="20"/>
        </w:rPr>
        <w:t>and</w:t>
      </w:r>
      <w:r w:rsidRPr="007A3879">
        <w:rPr>
          <w:sz w:val="20"/>
        </w:rPr>
        <w:t xml:space="preserve"> </w:t>
      </w:r>
      <w:r>
        <w:rPr>
          <w:sz w:val="20"/>
        </w:rPr>
        <w:t>Human</w:t>
      </w:r>
      <w:r w:rsidRPr="007A3879">
        <w:rPr>
          <w:sz w:val="20"/>
        </w:rPr>
        <w:t xml:space="preserve"> Services</w:t>
      </w:r>
    </w:p>
    <w:p w14:paraId="1843C5EA" w14:textId="6CF9477D" w:rsidR="00AC7937" w:rsidRPr="00E132E0" w:rsidRDefault="00AC7937" w:rsidP="00290C8F">
      <w:pPr>
        <w:pStyle w:val="BodyText"/>
        <w:spacing w:before="1"/>
        <w:rPr>
          <w:sz w:val="22"/>
          <w:szCs w:val="22"/>
        </w:rPr>
      </w:pPr>
    </w:p>
    <w:sectPr w:rsidR="00AC7937" w:rsidRPr="00E132E0" w:rsidSect="00A24031">
      <w:type w:val="continuous"/>
      <w:pgSz w:w="12240" w:h="15840"/>
      <w:pgMar w:top="117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5EC1" w14:textId="77777777" w:rsidR="00DA6C35" w:rsidRDefault="00DA6C35">
      <w:r>
        <w:separator/>
      </w:r>
    </w:p>
  </w:endnote>
  <w:endnote w:type="continuationSeparator" w:id="0">
    <w:p w14:paraId="4F9201AF" w14:textId="77777777" w:rsidR="00DA6C35" w:rsidRDefault="00DA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638A" w14:textId="77777777" w:rsidR="00DA6C35" w:rsidRDefault="00DA6C35">
      <w:r>
        <w:separator/>
      </w:r>
    </w:p>
  </w:footnote>
  <w:footnote w:type="continuationSeparator" w:id="0">
    <w:p w14:paraId="3966252C" w14:textId="77777777" w:rsidR="00DA6C35" w:rsidRDefault="00DA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5A6BF8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5A6BF8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A3E"/>
    <w:multiLevelType w:val="hybridMultilevel"/>
    <w:tmpl w:val="1D80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1"/>
  </w:num>
  <w:num w:numId="2" w16cid:durableId="762186708">
    <w:abstractNumId w:val="3"/>
  </w:num>
  <w:num w:numId="3" w16cid:durableId="1646734026">
    <w:abstractNumId w:val="0"/>
  </w:num>
  <w:num w:numId="4" w16cid:durableId="153708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290C8F"/>
    <w:rsid w:val="004C17D0"/>
    <w:rsid w:val="006A4042"/>
    <w:rsid w:val="007626D1"/>
    <w:rsid w:val="00AC7937"/>
    <w:rsid w:val="00C421A9"/>
    <w:rsid w:val="00C42626"/>
    <w:rsid w:val="00DA6C35"/>
    <w:rsid w:val="00E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ystal.Bloom@huschblackwel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6</cp:revision>
  <dcterms:created xsi:type="dcterms:W3CDTF">2023-05-18T13:56:00Z</dcterms:created>
  <dcterms:modified xsi:type="dcterms:W3CDTF">2023-11-16T13:36:00Z</dcterms:modified>
</cp:coreProperties>
</file>