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446A" w14:textId="77777777" w:rsidR="00C86E83" w:rsidRDefault="00C86E83" w:rsidP="00C86E83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652F02B1" wp14:editId="57872D8C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27378AE0" w14:textId="77777777" w:rsidR="00C86E83" w:rsidRDefault="00C86E83" w:rsidP="00C86E83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18D76A3A" w14:textId="77777777" w:rsidR="00C86E83" w:rsidRDefault="00C86E83" w:rsidP="00C86E83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1B12E50D" w14:textId="77777777" w:rsidR="00C86E83" w:rsidRDefault="00C86E83" w:rsidP="00C86E83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3EE9DD1E" w14:textId="77777777" w:rsidR="00C86E83" w:rsidRDefault="00C86E83" w:rsidP="00C86E83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C86E83" w:rsidSect="00CF7736">
          <w:headerReference w:type="even" r:id="rId6"/>
          <w:headerReference w:type="first" r:id="rId7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2CD4A6FC" w14:textId="77777777" w:rsidR="00C86E83" w:rsidRDefault="00C86E83" w:rsidP="00C86E83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7516D847" w14:textId="77777777" w:rsidR="00C86E83" w:rsidRPr="00554081" w:rsidRDefault="00C86E83" w:rsidP="00C86E83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0874079E" w14:textId="77777777" w:rsidR="00C86E83" w:rsidRDefault="00C86E83" w:rsidP="00C86E83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6654FA8F" w14:textId="77777777" w:rsidR="00C86E83" w:rsidRDefault="00C86E83" w:rsidP="00C86E83">
      <w:pPr>
        <w:ind w:right="2340"/>
        <w:contextualSpacing/>
        <w:jc w:val="center"/>
        <w:rPr>
          <w:sz w:val="16"/>
        </w:rPr>
      </w:pPr>
    </w:p>
    <w:p w14:paraId="651D28B2" w14:textId="77777777" w:rsidR="00C86E83" w:rsidRPr="00554081" w:rsidRDefault="00C86E83" w:rsidP="00C86E83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2AAF3252" w14:textId="77777777" w:rsidR="00C86E83" w:rsidRPr="00624404" w:rsidRDefault="00C86E83" w:rsidP="00C86E83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1E2A3EB8" w14:textId="77777777" w:rsidR="00C86E83" w:rsidRDefault="00C86E83" w:rsidP="00C86E83">
      <w:pPr>
        <w:pStyle w:val="Weld"/>
        <w:framePr w:hSpace="0" w:wrap="auto" w:vAnchor="margin" w:hAnchor="text" w:xAlign="left" w:yAlign="inline"/>
        <w:ind w:right="2340"/>
        <w:jc w:val="left"/>
      </w:pPr>
    </w:p>
    <w:p w14:paraId="55B4E4E5" w14:textId="77777777" w:rsidR="00C86E83" w:rsidRDefault="00C86E83" w:rsidP="00C86E83">
      <w:pPr>
        <w:pStyle w:val="Weld"/>
        <w:framePr w:hSpace="0" w:wrap="auto" w:vAnchor="margin" w:hAnchor="text" w:xAlign="left" w:yAlign="inline"/>
        <w:ind w:right="2340"/>
        <w:jc w:val="left"/>
      </w:pPr>
    </w:p>
    <w:p w14:paraId="17BE0D0B" w14:textId="77777777" w:rsidR="00C86E83" w:rsidRDefault="00C86E83" w:rsidP="00C86E83">
      <w:pPr>
        <w:pStyle w:val="Weld"/>
        <w:framePr w:hSpace="0" w:wrap="auto" w:vAnchor="margin" w:hAnchor="text" w:xAlign="left" w:yAlign="inline"/>
        <w:ind w:right="2340"/>
        <w:jc w:val="left"/>
      </w:pPr>
    </w:p>
    <w:p w14:paraId="71072F64" w14:textId="4523728A" w:rsidR="00C86E83" w:rsidRPr="00554081" w:rsidRDefault="00C86E83" w:rsidP="00C86E83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KATHLEEN E. WALSH</w:t>
      </w:r>
    </w:p>
    <w:p w14:paraId="3BB20BB6" w14:textId="53F8FB35" w:rsidR="00C86E83" w:rsidRDefault="00C86E83" w:rsidP="00C86E83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38780CAD" w14:textId="77777777" w:rsidR="00C86E83" w:rsidRDefault="00C86E83" w:rsidP="00C86E83">
      <w:pPr>
        <w:pStyle w:val="Weld"/>
        <w:framePr w:hSpace="0" w:wrap="auto" w:vAnchor="margin" w:hAnchor="text" w:xAlign="left" w:yAlign="inline"/>
        <w:ind w:left="1980"/>
      </w:pPr>
    </w:p>
    <w:p w14:paraId="708B0E3B" w14:textId="77777777" w:rsidR="00C86E83" w:rsidRDefault="00C86E83" w:rsidP="00C86E83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21ADCEEB" w14:textId="77777777" w:rsidR="00C86E83" w:rsidRPr="00C2477D" w:rsidRDefault="00C86E83" w:rsidP="00C86E83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23E7CCFD" w14:textId="77777777" w:rsidR="00C86E83" w:rsidRDefault="00C86E83" w:rsidP="00C86E83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0EAFC18E" w14:textId="77777777" w:rsidR="00C86E83" w:rsidRDefault="00C86E83" w:rsidP="00C86E83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07A12E8B" w14:textId="77777777" w:rsidR="00C86E83" w:rsidRPr="00A763BA" w:rsidRDefault="00C86E83" w:rsidP="00C86E83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8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D8348B0" w14:textId="77777777" w:rsidR="00C86E83" w:rsidRDefault="00C86E83" w:rsidP="00C86E83">
      <w:pPr>
        <w:ind w:right="2340"/>
        <w:sectPr w:rsidR="00C86E83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8858A3" w14:textId="77777777" w:rsidR="00C86E83" w:rsidRDefault="00C86E83" w:rsidP="00C86E83">
      <w:pPr>
        <w:rPr>
          <w:szCs w:val="24"/>
        </w:rPr>
      </w:pPr>
    </w:p>
    <w:p w14:paraId="0FF21E2E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March 16, 2023</w:t>
      </w:r>
    </w:p>
    <w:p w14:paraId="567C7B43" w14:textId="77777777" w:rsidR="00C86E83" w:rsidRPr="00C86E83" w:rsidRDefault="00C86E83" w:rsidP="00C86E83">
      <w:pPr>
        <w:rPr>
          <w:szCs w:val="24"/>
        </w:rPr>
      </w:pPr>
    </w:p>
    <w:p w14:paraId="0091AE28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VIA electronic mail</w:t>
      </w:r>
    </w:p>
    <w:p w14:paraId="6FD2EED3" w14:textId="77777777" w:rsidR="00C86E83" w:rsidRPr="00C86E83" w:rsidRDefault="00C86E83" w:rsidP="00C86E83">
      <w:pPr>
        <w:rPr>
          <w:szCs w:val="24"/>
        </w:rPr>
      </w:pPr>
    </w:p>
    <w:p w14:paraId="0A20FAA2" w14:textId="77777777" w:rsidR="00C86E83" w:rsidRPr="00C86E83" w:rsidRDefault="00C86E83" w:rsidP="00C86E83">
      <w:pPr>
        <w:rPr>
          <w:szCs w:val="24"/>
        </w:rPr>
      </w:pPr>
    </w:p>
    <w:p w14:paraId="2637C613" w14:textId="77777777" w:rsidR="00C86E83" w:rsidRDefault="00C86E83" w:rsidP="00C86E83">
      <w:pPr>
        <w:rPr>
          <w:szCs w:val="24"/>
        </w:rPr>
      </w:pPr>
      <w:r w:rsidRPr="00C86E83">
        <w:rPr>
          <w:szCs w:val="24"/>
        </w:rPr>
        <w:t xml:space="preserve">Notice of Final Action: </w:t>
      </w:r>
      <w:proofErr w:type="spellStart"/>
      <w:r w:rsidRPr="00C86E83">
        <w:rPr>
          <w:szCs w:val="24"/>
        </w:rPr>
        <w:t>DoN</w:t>
      </w:r>
      <w:proofErr w:type="spellEnd"/>
      <w:r w:rsidRPr="00C86E83">
        <w:rPr>
          <w:szCs w:val="24"/>
        </w:rPr>
        <w:t xml:space="preserve"> Application # BMCHS-23030111-EA</w:t>
      </w:r>
    </w:p>
    <w:p w14:paraId="4A11620C" w14:textId="44B68C96" w:rsidR="00C86E83" w:rsidRPr="00C86E83" w:rsidRDefault="00C86E83" w:rsidP="00C86E83">
      <w:pPr>
        <w:tabs>
          <w:tab w:val="left" w:pos="2340"/>
        </w:tabs>
        <w:ind w:left="2250" w:hanging="2250"/>
        <w:rPr>
          <w:szCs w:val="24"/>
        </w:rPr>
      </w:pPr>
      <w:r>
        <w:rPr>
          <w:szCs w:val="24"/>
        </w:rPr>
        <w:tab/>
      </w:r>
      <w:r w:rsidRPr="00C86E83">
        <w:rPr>
          <w:szCs w:val="24"/>
        </w:rPr>
        <w:t xml:space="preserve">BMC Health System, Inc. - BMC Brockton Behavioral Health Center - Emergency Application - </w:t>
      </w:r>
    </w:p>
    <w:p w14:paraId="17EB31F7" w14:textId="77777777" w:rsidR="00C86E83" w:rsidRPr="00C86E83" w:rsidRDefault="00C86E83" w:rsidP="00C86E83">
      <w:pPr>
        <w:rPr>
          <w:szCs w:val="24"/>
        </w:rPr>
      </w:pPr>
    </w:p>
    <w:p w14:paraId="34E88EC6" w14:textId="77777777" w:rsidR="00C86E83" w:rsidRPr="00C86E83" w:rsidRDefault="00C86E83" w:rsidP="00C86E83">
      <w:pPr>
        <w:rPr>
          <w:szCs w:val="24"/>
        </w:rPr>
      </w:pPr>
    </w:p>
    <w:p w14:paraId="58BA04B1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Dear Attorney Harrell,</w:t>
      </w:r>
    </w:p>
    <w:p w14:paraId="7352CE11" w14:textId="77777777" w:rsidR="00C86E83" w:rsidRPr="00C86E83" w:rsidRDefault="00C86E83" w:rsidP="00C86E83">
      <w:pPr>
        <w:rPr>
          <w:szCs w:val="24"/>
        </w:rPr>
      </w:pPr>
    </w:p>
    <w:p w14:paraId="4AB8653A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The Department received the submission for an Emergency Determination of Need (</w:t>
      </w:r>
      <w:proofErr w:type="spellStart"/>
      <w:r w:rsidRPr="00C86E83">
        <w:rPr>
          <w:szCs w:val="24"/>
        </w:rPr>
        <w:t>DoN</w:t>
      </w:r>
      <w:proofErr w:type="spellEnd"/>
      <w:r w:rsidRPr="00C86E83">
        <w:rPr>
          <w:szCs w:val="24"/>
        </w:rPr>
        <w:t xml:space="preserve">) </w:t>
      </w:r>
      <w:proofErr w:type="spellStart"/>
      <w:r w:rsidRPr="00C86E83">
        <w:rPr>
          <w:szCs w:val="24"/>
        </w:rPr>
        <w:t>DoN</w:t>
      </w:r>
      <w:proofErr w:type="spellEnd"/>
      <w:r w:rsidRPr="00C86E83">
        <w:rPr>
          <w:szCs w:val="24"/>
        </w:rPr>
        <w:t xml:space="preserve"> on March 9, 2023, on behalf of BMC Health System, Inc. (“the Applicant”).  </w:t>
      </w:r>
    </w:p>
    <w:p w14:paraId="1F103013" w14:textId="77777777" w:rsidR="00C86E83" w:rsidRPr="00C86E83" w:rsidRDefault="00C86E83" w:rsidP="00C86E83">
      <w:pPr>
        <w:rPr>
          <w:szCs w:val="24"/>
        </w:rPr>
      </w:pPr>
    </w:p>
    <w:p w14:paraId="4B10FFC0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 xml:space="preserve">This shall serve as notification that, based on the information provided by the Applicant and staff analysis, and pursuant to M.G.L. c. 111, § 25C and the regulatory provisions of 105 CMR 100.000 et seq, including 105 CMR 100.740 (Emergency Applications), the fire at Signature Brockton Hospital (“Signature”) constitutes an Emergency Situation. As a result, I hereby approve the Emergency </w:t>
      </w:r>
      <w:proofErr w:type="spellStart"/>
      <w:r w:rsidRPr="00C86E83">
        <w:rPr>
          <w:szCs w:val="24"/>
        </w:rPr>
        <w:t>DoN</w:t>
      </w:r>
      <w:proofErr w:type="spellEnd"/>
      <w:r w:rsidRPr="00C86E83">
        <w:rPr>
          <w:szCs w:val="24"/>
        </w:rPr>
        <w:t xml:space="preserve"> to expand its inpatient psychiatry capacity by twenty-four (24) beds into existing space at BMC Brockton Behavioral Health Center located at 34 North Pearl Street in Brockton (“BBHC”) due to the closure of twenty-two (22) inpatient psychiatry beds at Signature, located at 680 Centre Street in Brockton.</w:t>
      </w:r>
    </w:p>
    <w:p w14:paraId="66304117" w14:textId="77777777" w:rsidR="00C86E83" w:rsidRPr="00C86E83" w:rsidRDefault="00C86E83" w:rsidP="00C86E83">
      <w:pPr>
        <w:rPr>
          <w:szCs w:val="24"/>
        </w:rPr>
      </w:pPr>
    </w:p>
    <w:p w14:paraId="643DEF1D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 xml:space="preserve">Expanding the inpatient psychiatric capacity at BBHC will address the Emergency Situation, whereby without issuance of an Emergency </w:t>
      </w:r>
      <w:proofErr w:type="spellStart"/>
      <w:r w:rsidRPr="00C86E83">
        <w:rPr>
          <w:szCs w:val="24"/>
        </w:rPr>
        <w:t>DoN</w:t>
      </w:r>
      <w:proofErr w:type="spellEnd"/>
      <w:r w:rsidRPr="00C86E83">
        <w:rPr>
          <w:szCs w:val="24"/>
        </w:rPr>
        <w:t xml:space="preserve"> the public health will be measurably harmed due to access challenges and potential disruptions in patients’ treatment.</w:t>
      </w:r>
    </w:p>
    <w:p w14:paraId="370B0A9F" w14:textId="77777777" w:rsidR="00C86E83" w:rsidRPr="00C86E83" w:rsidRDefault="00C86E83" w:rsidP="00C86E83">
      <w:pPr>
        <w:rPr>
          <w:szCs w:val="24"/>
        </w:rPr>
      </w:pPr>
    </w:p>
    <w:p w14:paraId="3DA33C7F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The total value of the Proposed Project is $1,300,000</w:t>
      </w:r>
    </w:p>
    <w:p w14:paraId="3A549999" w14:textId="77777777" w:rsidR="00C86E83" w:rsidRPr="00C86E83" w:rsidRDefault="00C86E83" w:rsidP="00C86E83">
      <w:pPr>
        <w:rPr>
          <w:szCs w:val="24"/>
        </w:rPr>
      </w:pPr>
    </w:p>
    <w:p w14:paraId="5A9544AB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This Notice of Final Action incorporates by reference the Memoranda concerning this Application and is subject to all applicable standard conditions. The Commissioner may subsequently require a full Application for Determination of Need consistent with 105 CMR 100.405.</w:t>
      </w:r>
    </w:p>
    <w:p w14:paraId="2B7835E7" w14:textId="77777777" w:rsidR="00C86E83" w:rsidRPr="00C86E83" w:rsidRDefault="00C86E83" w:rsidP="00C86E83">
      <w:pPr>
        <w:rPr>
          <w:szCs w:val="24"/>
        </w:rPr>
      </w:pPr>
    </w:p>
    <w:p w14:paraId="3DB8BA55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 xml:space="preserve"> </w:t>
      </w:r>
    </w:p>
    <w:p w14:paraId="72D1196E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 xml:space="preserve">In compliance with the provisions of 105 CMR 100.310(A)(2) and (11) the Holder shall submit an Acknowledgment of receipt to the Department (attached) </w:t>
      </w:r>
      <w:proofErr w:type="gramStart"/>
      <w:r w:rsidRPr="00C86E83">
        <w:rPr>
          <w:szCs w:val="24"/>
        </w:rPr>
        <w:t>and also</w:t>
      </w:r>
      <w:proofErr w:type="gramEnd"/>
      <w:r w:rsidRPr="00C86E83">
        <w:rPr>
          <w:szCs w:val="24"/>
        </w:rPr>
        <w:t xml:space="preserve"> include a written attestation of participation or intent to participate in MassHealth.</w:t>
      </w:r>
    </w:p>
    <w:p w14:paraId="5AC986E6" w14:textId="77777777" w:rsidR="00C86E83" w:rsidRPr="00C86E83" w:rsidRDefault="00C86E83" w:rsidP="00C86E83">
      <w:pPr>
        <w:rPr>
          <w:szCs w:val="24"/>
        </w:rPr>
      </w:pPr>
    </w:p>
    <w:p w14:paraId="0048FBCD" w14:textId="77777777" w:rsidR="00C86E83" w:rsidRPr="00C86E83" w:rsidRDefault="00C86E83" w:rsidP="00C86E83">
      <w:pPr>
        <w:rPr>
          <w:szCs w:val="24"/>
        </w:rPr>
      </w:pPr>
    </w:p>
    <w:p w14:paraId="0AF09D93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Sincerely,</w:t>
      </w:r>
    </w:p>
    <w:p w14:paraId="4BD9C96D" w14:textId="77777777" w:rsidR="00C86E83" w:rsidRPr="00C86E83" w:rsidRDefault="00C86E83" w:rsidP="00C86E83">
      <w:pPr>
        <w:rPr>
          <w:szCs w:val="24"/>
        </w:rPr>
      </w:pPr>
    </w:p>
    <w:p w14:paraId="7D112537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[signature on file]</w:t>
      </w:r>
    </w:p>
    <w:p w14:paraId="15CD9C9A" w14:textId="77777777" w:rsidR="00C86E83" w:rsidRPr="00C86E83" w:rsidRDefault="00C86E83" w:rsidP="00C86E83">
      <w:pPr>
        <w:rPr>
          <w:szCs w:val="24"/>
        </w:rPr>
      </w:pPr>
    </w:p>
    <w:p w14:paraId="0BFD8FE6" w14:textId="77777777" w:rsidR="00C86E83" w:rsidRPr="00C86E83" w:rsidRDefault="00C86E83" w:rsidP="00C86E83">
      <w:pPr>
        <w:rPr>
          <w:szCs w:val="24"/>
        </w:rPr>
      </w:pPr>
    </w:p>
    <w:p w14:paraId="198616C4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Margret R. Cooke Commissioner</w:t>
      </w:r>
    </w:p>
    <w:p w14:paraId="4824171F" w14:textId="77777777" w:rsidR="00C86E83" w:rsidRPr="00C86E83" w:rsidRDefault="00C86E83" w:rsidP="00C86E83">
      <w:pPr>
        <w:rPr>
          <w:szCs w:val="24"/>
        </w:rPr>
      </w:pPr>
    </w:p>
    <w:p w14:paraId="2B97E9C3" w14:textId="77777777" w:rsidR="00C86E83" w:rsidRPr="00C86E83" w:rsidRDefault="00C86E83" w:rsidP="00C86E83">
      <w:pPr>
        <w:rPr>
          <w:szCs w:val="24"/>
        </w:rPr>
      </w:pPr>
    </w:p>
    <w:p w14:paraId="7DEFAE16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cc:</w:t>
      </w:r>
    </w:p>
    <w:p w14:paraId="6EF6706F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Elizabeth D. Kelley, Bureau of Health Care Safety and Quality</w:t>
      </w:r>
    </w:p>
    <w:p w14:paraId="7F4448A2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Rebecca Kaye, General Counsel’s Office</w:t>
      </w:r>
    </w:p>
    <w:p w14:paraId="22081032" w14:textId="77777777" w:rsidR="00C86E83" w:rsidRDefault="00C86E83" w:rsidP="00C86E83">
      <w:pPr>
        <w:rPr>
          <w:szCs w:val="24"/>
        </w:rPr>
      </w:pPr>
      <w:r w:rsidRPr="00C86E83">
        <w:rPr>
          <w:szCs w:val="24"/>
        </w:rPr>
        <w:t xml:space="preserve">Stephen Davis, Division of Health Care Facility Licensure and Certification </w:t>
      </w:r>
    </w:p>
    <w:p w14:paraId="79A367DC" w14:textId="7949DF4A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Daniel Gent, Division of Health Care Facility Licensure and Certification</w:t>
      </w:r>
    </w:p>
    <w:p w14:paraId="0CD44A40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Samuel Louis, Office of Health Equity</w:t>
      </w:r>
    </w:p>
    <w:p w14:paraId="11918C74" w14:textId="77777777" w:rsidR="00C86E83" w:rsidRDefault="00C86E83" w:rsidP="00C86E83">
      <w:pPr>
        <w:rPr>
          <w:szCs w:val="24"/>
        </w:rPr>
      </w:pPr>
      <w:r w:rsidRPr="00C86E83">
        <w:rPr>
          <w:szCs w:val="24"/>
        </w:rPr>
        <w:t xml:space="preserve">Pavel </w:t>
      </w:r>
      <w:proofErr w:type="spellStart"/>
      <w:r w:rsidRPr="00C86E83">
        <w:rPr>
          <w:szCs w:val="24"/>
        </w:rPr>
        <w:t>Terpelets</w:t>
      </w:r>
      <w:proofErr w:type="spellEnd"/>
      <w:r w:rsidRPr="00C86E83">
        <w:rPr>
          <w:szCs w:val="24"/>
        </w:rPr>
        <w:t xml:space="preserve">, Deputy Director of Institutional Programs OLTSS, MassHealth </w:t>
      </w:r>
    </w:p>
    <w:p w14:paraId="47313F4F" w14:textId="2A6220D0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Katherine Mills, Health Policy Commission</w:t>
      </w:r>
    </w:p>
    <w:p w14:paraId="47568D2B" w14:textId="77777777" w:rsidR="00C86E83" w:rsidRPr="00C86E83" w:rsidRDefault="00C86E83" w:rsidP="00C86E83">
      <w:pPr>
        <w:rPr>
          <w:szCs w:val="24"/>
        </w:rPr>
      </w:pPr>
      <w:r w:rsidRPr="00C86E83">
        <w:rPr>
          <w:szCs w:val="24"/>
        </w:rPr>
        <w:t>Eric Gold, Attorney General’s Office</w:t>
      </w:r>
    </w:p>
    <w:p w14:paraId="05972100" w14:textId="5E7291CC" w:rsidR="00C86E83" w:rsidRDefault="00C86E83" w:rsidP="00C86E83">
      <w:r w:rsidRPr="00C86E83">
        <w:rPr>
          <w:szCs w:val="24"/>
        </w:rPr>
        <w:t>Dennis Renaud, Director Determination of Need</w:t>
      </w:r>
    </w:p>
    <w:p w14:paraId="11D9A22B" w14:textId="77777777" w:rsidR="00C86E83" w:rsidRDefault="00C86E83" w:rsidP="00C86E83"/>
    <w:p w14:paraId="621EA812" w14:textId="77777777" w:rsidR="009F6663" w:rsidRDefault="009F6663"/>
    <w:sectPr w:rsidR="009F6663" w:rsidSect="00237CED">
      <w:headerReference w:type="even" r:id="rId9"/>
      <w:footerReference w:type="default" r:id="rId10"/>
      <w:headerReference w:type="first" r:id="rId11"/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FC9B" w14:textId="77777777" w:rsidR="00650778" w:rsidRDefault="00EB38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162BE58" w14:textId="77777777" w:rsidR="00650778" w:rsidRDefault="00EB38B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491A" w14:textId="77777777" w:rsidR="00650778" w:rsidRDefault="00EB38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8875789" wp14:editId="6B35FB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B2740" w14:textId="77777777" w:rsidR="00371883" w:rsidRDefault="00EB38B6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757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07.6pt;height:203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k9gEAAMU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77EB2740" w14:textId="77777777" w:rsidR="00371883" w:rsidRDefault="00EB38B6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6170" w14:textId="77777777" w:rsidR="00650778" w:rsidRDefault="00EB38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10EDF83" wp14:editId="02A1566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E02D2" w14:textId="77777777" w:rsidR="00371883" w:rsidRDefault="00EB38B6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ED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07.6pt;height:20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dY+AEAAMw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A1E02D2" w14:textId="77777777" w:rsidR="00371883" w:rsidRDefault="00EB38B6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6E79" w14:textId="77777777" w:rsidR="00650778" w:rsidRDefault="00EB38B6">
    <w:pPr>
      <w:pStyle w:val="Header"/>
    </w:pPr>
    <w:r>
      <w:rPr>
        <w:noProof/>
      </w:rPr>
      <w:pict w14:anchorId="027D18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CA63" w14:textId="77777777" w:rsidR="00650778" w:rsidRDefault="00EB38B6">
    <w:pPr>
      <w:pStyle w:val="Header"/>
    </w:pPr>
    <w:r>
      <w:rPr>
        <w:noProof/>
      </w:rPr>
      <w:pict w14:anchorId="142925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8C70"/>
    <w:multiLevelType w:val="hybridMultilevel"/>
    <w:tmpl w:val="FB4E632E"/>
    <w:lvl w:ilvl="0" w:tplc="6852AAAC">
      <w:start w:val="1"/>
      <w:numFmt w:val="decimal"/>
      <w:lvlText w:val="%1."/>
      <w:lvlJc w:val="left"/>
      <w:pPr>
        <w:ind w:left="720" w:hanging="360"/>
      </w:pPr>
    </w:lvl>
    <w:lvl w:ilvl="1" w:tplc="070CBD40">
      <w:start w:val="1"/>
      <w:numFmt w:val="lowerLetter"/>
      <w:lvlText w:val="%2."/>
      <w:lvlJc w:val="left"/>
      <w:pPr>
        <w:ind w:left="1440" w:hanging="360"/>
      </w:pPr>
    </w:lvl>
    <w:lvl w:ilvl="2" w:tplc="D0F61950">
      <w:start w:val="1"/>
      <w:numFmt w:val="lowerRoman"/>
      <w:lvlText w:val="%3."/>
      <w:lvlJc w:val="right"/>
      <w:pPr>
        <w:ind w:left="2160" w:hanging="180"/>
      </w:pPr>
    </w:lvl>
    <w:lvl w:ilvl="3" w:tplc="8AC4F6AE">
      <w:start w:val="1"/>
      <w:numFmt w:val="decimal"/>
      <w:lvlText w:val="%4."/>
      <w:lvlJc w:val="left"/>
      <w:pPr>
        <w:ind w:left="2880" w:hanging="360"/>
      </w:pPr>
    </w:lvl>
    <w:lvl w:ilvl="4" w:tplc="337A3070">
      <w:start w:val="1"/>
      <w:numFmt w:val="lowerLetter"/>
      <w:lvlText w:val="%5."/>
      <w:lvlJc w:val="left"/>
      <w:pPr>
        <w:ind w:left="3600" w:hanging="360"/>
      </w:pPr>
    </w:lvl>
    <w:lvl w:ilvl="5" w:tplc="C05E7B4A">
      <w:start w:val="1"/>
      <w:numFmt w:val="lowerRoman"/>
      <w:lvlText w:val="%6."/>
      <w:lvlJc w:val="right"/>
      <w:pPr>
        <w:ind w:left="4320" w:hanging="180"/>
      </w:pPr>
    </w:lvl>
    <w:lvl w:ilvl="6" w:tplc="40C8CE2A">
      <w:start w:val="1"/>
      <w:numFmt w:val="decimal"/>
      <w:lvlText w:val="%7."/>
      <w:lvlJc w:val="left"/>
      <w:pPr>
        <w:ind w:left="5040" w:hanging="360"/>
      </w:pPr>
    </w:lvl>
    <w:lvl w:ilvl="7" w:tplc="DBD4EC28">
      <w:start w:val="1"/>
      <w:numFmt w:val="lowerLetter"/>
      <w:lvlText w:val="%8."/>
      <w:lvlJc w:val="left"/>
      <w:pPr>
        <w:ind w:left="5760" w:hanging="360"/>
      </w:pPr>
    </w:lvl>
    <w:lvl w:ilvl="8" w:tplc="67FC97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557B2"/>
    <w:multiLevelType w:val="hybridMultilevel"/>
    <w:tmpl w:val="3DB603E4"/>
    <w:lvl w:ilvl="0" w:tplc="99F6E0EE">
      <w:start w:val="1"/>
      <w:numFmt w:val="decimal"/>
      <w:lvlText w:val="%1."/>
      <w:lvlJc w:val="left"/>
      <w:pPr>
        <w:ind w:left="720" w:hanging="360"/>
      </w:pPr>
    </w:lvl>
    <w:lvl w:ilvl="1" w:tplc="8FBCC110">
      <w:start w:val="1"/>
      <w:numFmt w:val="lowerLetter"/>
      <w:lvlText w:val="%2."/>
      <w:lvlJc w:val="left"/>
      <w:pPr>
        <w:ind w:left="1440" w:hanging="360"/>
      </w:pPr>
    </w:lvl>
    <w:lvl w:ilvl="2" w:tplc="288245AE">
      <w:start w:val="1"/>
      <w:numFmt w:val="lowerRoman"/>
      <w:lvlText w:val="%3."/>
      <w:lvlJc w:val="right"/>
      <w:pPr>
        <w:ind w:left="2160" w:hanging="180"/>
      </w:pPr>
    </w:lvl>
    <w:lvl w:ilvl="3" w:tplc="9AF8A754">
      <w:start w:val="1"/>
      <w:numFmt w:val="decimal"/>
      <w:lvlText w:val="%4."/>
      <w:lvlJc w:val="left"/>
      <w:pPr>
        <w:ind w:left="2880" w:hanging="360"/>
      </w:pPr>
    </w:lvl>
    <w:lvl w:ilvl="4" w:tplc="B008D954">
      <w:start w:val="1"/>
      <w:numFmt w:val="lowerLetter"/>
      <w:lvlText w:val="%5."/>
      <w:lvlJc w:val="left"/>
      <w:pPr>
        <w:ind w:left="3600" w:hanging="360"/>
      </w:pPr>
    </w:lvl>
    <w:lvl w:ilvl="5" w:tplc="1002985E">
      <w:start w:val="1"/>
      <w:numFmt w:val="lowerRoman"/>
      <w:lvlText w:val="%6."/>
      <w:lvlJc w:val="right"/>
      <w:pPr>
        <w:ind w:left="4320" w:hanging="180"/>
      </w:pPr>
    </w:lvl>
    <w:lvl w:ilvl="6" w:tplc="B30447D2">
      <w:start w:val="1"/>
      <w:numFmt w:val="decimal"/>
      <w:lvlText w:val="%7."/>
      <w:lvlJc w:val="left"/>
      <w:pPr>
        <w:ind w:left="5040" w:hanging="360"/>
      </w:pPr>
    </w:lvl>
    <w:lvl w:ilvl="7" w:tplc="BD0AC722">
      <w:start w:val="1"/>
      <w:numFmt w:val="lowerLetter"/>
      <w:lvlText w:val="%8."/>
      <w:lvlJc w:val="left"/>
      <w:pPr>
        <w:ind w:left="5760" w:hanging="360"/>
      </w:pPr>
    </w:lvl>
    <w:lvl w:ilvl="8" w:tplc="F9060366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19766">
    <w:abstractNumId w:val="1"/>
  </w:num>
  <w:num w:numId="2" w16cid:durableId="24800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83"/>
    <w:rsid w:val="009F6663"/>
    <w:rsid w:val="00C86E83"/>
    <w:rsid w:val="00E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7127F"/>
  <w15:chartTrackingRefBased/>
  <w15:docId w15:val="{21625ED0-CF4C-46A3-B1CD-E0ABDC68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C86E83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C86E8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C86E8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86E83"/>
    <w:rPr>
      <w:color w:val="0000FF"/>
      <w:u w:val="single"/>
    </w:rPr>
  </w:style>
  <w:style w:type="paragraph" w:styleId="Header">
    <w:name w:val="header"/>
    <w:basedOn w:val="Normal"/>
    <w:link w:val="HeaderChar"/>
    <w:rsid w:val="00C86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6E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86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8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C86E83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6E83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86E8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86E83"/>
  </w:style>
  <w:style w:type="character" w:customStyle="1" w:styleId="eop">
    <w:name w:val="eop"/>
    <w:basedOn w:val="DefaultParagraphFont"/>
    <w:rsid w:val="00C86E83"/>
  </w:style>
  <w:style w:type="paragraph" w:styleId="ListParagraph">
    <w:name w:val="List Paragraph"/>
    <w:basedOn w:val="Normal"/>
    <w:link w:val="ListParagraphChar"/>
    <w:uiPriority w:val="34"/>
    <w:qFormat/>
    <w:rsid w:val="00C86E83"/>
    <w:pPr>
      <w:widowControl w:val="0"/>
      <w:autoSpaceDE w:val="0"/>
      <w:autoSpaceDN w:val="0"/>
      <w:spacing w:before="1"/>
      <w:ind w:left="740" w:right="1208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86E83"/>
    <w:rPr>
      <w:rFonts w:eastAsia="Calibri"/>
      <w:szCs w:val="24"/>
    </w:rPr>
  </w:style>
  <w:style w:type="character" w:customStyle="1" w:styleId="contentpasted7">
    <w:name w:val="contentpasted7"/>
    <w:basedOn w:val="DefaultParagraphFont"/>
    <w:rsid w:val="00C86E83"/>
  </w:style>
  <w:style w:type="character" w:customStyle="1" w:styleId="ListParagraphChar">
    <w:name w:val="List Paragraph Char"/>
    <w:link w:val="ListParagraph"/>
    <w:uiPriority w:val="34"/>
    <w:rsid w:val="00C86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2423</Characters>
  <Application>Microsoft Office Word</Application>
  <DocSecurity>0</DocSecurity>
  <Lines>80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2023-03-22T13:04:00Z</dcterms:created>
  <dcterms:modified xsi:type="dcterms:W3CDTF">2023-03-22T13:16:00Z</dcterms:modified>
</cp:coreProperties>
</file>