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EB502F"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33205BE5" w14:textId="77777777" w:rsidR="003F7A9C" w:rsidRPr="00F97C1C" w:rsidRDefault="003F7A9C" w:rsidP="003F7A9C">
      <w:pPr>
        <w:ind w:left="630" w:right="810"/>
        <w:rPr>
          <w:rFonts w:ascii="Calibri" w:hAnsi="Calibri" w:cs="Calibri"/>
        </w:rPr>
      </w:pPr>
      <w:r w:rsidRPr="00F97C1C">
        <w:rPr>
          <w:rFonts w:ascii="Calibri" w:hAnsi="Calibri" w:cs="Calibri"/>
        </w:rPr>
        <w:t>September 2</w:t>
      </w:r>
      <w:r>
        <w:rPr>
          <w:rFonts w:ascii="Calibri" w:hAnsi="Calibri" w:cs="Calibri"/>
        </w:rPr>
        <w:t>4</w:t>
      </w:r>
      <w:r w:rsidRPr="00F97C1C">
        <w:rPr>
          <w:rFonts w:ascii="Calibri" w:hAnsi="Calibri" w:cs="Calibri"/>
        </w:rPr>
        <w:t>, 2024</w:t>
      </w:r>
    </w:p>
    <w:p w14:paraId="7B722CFD" w14:textId="77777777" w:rsidR="003F7A9C" w:rsidRPr="00F97C1C" w:rsidRDefault="003F7A9C" w:rsidP="003F7A9C">
      <w:pPr>
        <w:ind w:left="630" w:right="810"/>
        <w:rPr>
          <w:rFonts w:ascii="Calibri" w:hAnsi="Calibri" w:cs="Calibri"/>
        </w:rPr>
      </w:pPr>
    </w:p>
    <w:p w14:paraId="6634ED14" w14:textId="77777777" w:rsidR="003F7A9C" w:rsidRPr="00F97C1C" w:rsidRDefault="003F7A9C" w:rsidP="003F7A9C">
      <w:pPr>
        <w:ind w:left="630" w:right="810"/>
        <w:rPr>
          <w:rFonts w:ascii="Calibri" w:hAnsi="Calibri" w:cs="Calibri"/>
        </w:rPr>
      </w:pPr>
      <w:r w:rsidRPr="00F97C1C">
        <w:rPr>
          <w:rFonts w:ascii="Calibri" w:hAnsi="Calibri" w:cs="Calibri"/>
        </w:rPr>
        <w:t>VIA electronic mail</w:t>
      </w:r>
    </w:p>
    <w:p w14:paraId="17780C2F" w14:textId="77777777" w:rsidR="003F7A9C" w:rsidRPr="00F97C1C" w:rsidRDefault="003F7A9C" w:rsidP="003F7A9C">
      <w:pPr>
        <w:ind w:left="630" w:right="810"/>
        <w:rPr>
          <w:rFonts w:ascii="Calibri" w:hAnsi="Calibri" w:cs="Calibri"/>
        </w:rPr>
      </w:pPr>
    </w:p>
    <w:p w14:paraId="73781A79" w14:textId="77777777" w:rsidR="003F7A9C" w:rsidRPr="00F97C1C" w:rsidRDefault="003F7A9C" w:rsidP="003F7A9C">
      <w:pPr>
        <w:ind w:left="630" w:right="810"/>
        <w:rPr>
          <w:rFonts w:ascii="Calibri" w:hAnsi="Calibri" w:cs="Calibri"/>
        </w:rPr>
      </w:pPr>
    </w:p>
    <w:p w14:paraId="619C8506" w14:textId="77777777" w:rsidR="003F7A9C" w:rsidRPr="00F97C1C" w:rsidRDefault="003F7A9C" w:rsidP="003F7A9C">
      <w:pPr>
        <w:ind w:left="630" w:right="810"/>
        <w:rPr>
          <w:rFonts w:ascii="Calibri" w:hAnsi="Calibri" w:cs="Calibri"/>
        </w:rPr>
      </w:pPr>
      <w:r w:rsidRPr="00F97C1C">
        <w:rPr>
          <w:rFonts w:ascii="Calibri" w:hAnsi="Calibri" w:cs="Calibri"/>
        </w:rPr>
        <w:t xml:space="preserve">Notice of Final Action: BMC Health System, Inc. </w:t>
      </w:r>
      <w:r>
        <w:rPr>
          <w:rFonts w:ascii="Calibri" w:hAnsi="Calibri" w:cs="Calibri"/>
        </w:rPr>
        <w:t>–</w:t>
      </w:r>
      <w:r w:rsidRPr="00F97C1C">
        <w:rPr>
          <w:rFonts w:ascii="Calibri" w:hAnsi="Calibri" w:cs="Calibri"/>
        </w:rPr>
        <w:t xml:space="preserve"> </w:t>
      </w:r>
      <w:r>
        <w:rPr>
          <w:rFonts w:ascii="Calibri" w:hAnsi="Calibri" w:cs="Calibri"/>
        </w:rPr>
        <w:t>Saint Elizabeth’s</w:t>
      </w:r>
      <w:r w:rsidRPr="00F97C1C">
        <w:rPr>
          <w:rFonts w:ascii="Calibri" w:hAnsi="Calibri" w:cs="Calibri"/>
        </w:rPr>
        <w:t>- Emergency Application (</w:t>
      </w:r>
      <w:proofErr w:type="spellStart"/>
      <w:r w:rsidRPr="00F97C1C">
        <w:rPr>
          <w:rFonts w:ascii="Calibri" w:hAnsi="Calibri" w:cs="Calibri"/>
        </w:rPr>
        <w:t>DoN</w:t>
      </w:r>
      <w:proofErr w:type="spellEnd"/>
      <w:r w:rsidRPr="00F97C1C">
        <w:rPr>
          <w:rFonts w:ascii="Calibri" w:hAnsi="Calibri" w:cs="Calibri"/>
        </w:rPr>
        <w:t xml:space="preserve"> Application #</w:t>
      </w:r>
      <w:r w:rsidRPr="009D7C09">
        <w:rPr>
          <w:rFonts w:ascii="Calibri" w:hAnsi="Calibri" w:cs="Calibri"/>
        </w:rPr>
        <w:t xml:space="preserve"> #BMCHS-24090514-EA </w:t>
      </w:r>
      <w:r w:rsidRPr="00F97C1C">
        <w:rPr>
          <w:rFonts w:ascii="Calibri" w:hAnsi="Calibri" w:cs="Calibri"/>
        </w:rPr>
        <w:t>-EA)</w:t>
      </w:r>
    </w:p>
    <w:p w14:paraId="4CA814C4" w14:textId="77777777" w:rsidR="003F7A9C" w:rsidRPr="00F97C1C" w:rsidRDefault="003F7A9C" w:rsidP="003F7A9C">
      <w:pPr>
        <w:ind w:left="630" w:right="810"/>
        <w:rPr>
          <w:rFonts w:ascii="Calibri" w:hAnsi="Calibri" w:cs="Calibri"/>
        </w:rPr>
      </w:pPr>
    </w:p>
    <w:p w14:paraId="67317805" w14:textId="77777777" w:rsidR="003F7A9C" w:rsidRPr="00F97C1C" w:rsidRDefault="003F7A9C" w:rsidP="003F7A9C">
      <w:pPr>
        <w:ind w:left="630" w:right="810"/>
        <w:rPr>
          <w:rFonts w:ascii="Calibri" w:hAnsi="Calibri" w:cs="Calibri"/>
        </w:rPr>
      </w:pPr>
    </w:p>
    <w:p w14:paraId="6FD64955" w14:textId="77777777" w:rsidR="003F7A9C" w:rsidRPr="00F97C1C" w:rsidRDefault="003F7A9C" w:rsidP="003F7A9C">
      <w:pPr>
        <w:ind w:left="630" w:right="810"/>
        <w:rPr>
          <w:rFonts w:ascii="Calibri" w:hAnsi="Calibri" w:cs="Calibri"/>
        </w:rPr>
      </w:pPr>
      <w:r w:rsidRPr="00F97C1C">
        <w:rPr>
          <w:rFonts w:ascii="Calibri" w:hAnsi="Calibri" w:cs="Calibri"/>
        </w:rPr>
        <w:t>Dear Attorney Sexton,</w:t>
      </w:r>
    </w:p>
    <w:p w14:paraId="0AC822D7" w14:textId="77777777" w:rsidR="003F7A9C" w:rsidRPr="00F97C1C" w:rsidRDefault="003F7A9C" w:rsidP="003F7A9C">
      <w:pPr>
        <w:ind w:left="630" w:right="810"/>
        <w:rPr>
          <w:rFonts w:ascii="Calibri" w:hAnsi="Calibri" w:cs="Calibri"/>
        </w:rPr>
      </w:pPr>
    </w:p>
    <w:p w14:paraId="3AED4761" w14:textId="77777777" w:rsidR="003F7A9C" w:rsidRPr="00F97C1C" w:rsidRDefault="003F7A9C" w:rsidP="003F7A9C">
      <w:pPr>
        <w:ind w:left="630" w:right="810"/>
        <w:rPr>
          <w:rFonts w:ascii="Calibri" w:hAnsi="Calibri" w:cs="Calibri"/>
        </w:rPr>
      </w:pPr>
      <w:r w:rsidRPr="10723F6E">
        <w:rPr>
          <w:rFonts w:ascii="Calibri" w:hAnsi="Calibri" w:cs="Calibri"/>
        </w:rPr>
        <w:t>The Department received the submission for an Emergency Determination of Need (</w:t>
      </w:r>
      <w:proofErr w:type="spellStart"/>
      <w:r w:rsidRPr="10723F6E">
        <w:rPr>
          <w:rFonts w:ascii="Calibri" w:hAnsi="Calibri" w:cs="Calibri"/>
        </w:rPr>
        <w:t>DoN</w:t>
      </w:r>
      <w:proofErr w:type="spellEnd"/>
      <w:r w:rsidRPr="10723F6E">
        <w:rPr>
          <w:rFonts w:ascii="Calibri" w:hAnsi="Calibri" w:cs="Calibri"/>
        </w:rPr>
        <w:t xml:space="preserve">) on September 9, 2024, on behalf of BMC Health System, Inc. (“the Applicant”).  </w:t>
      </w:r>
    </w:p>
    <w:p w14:paraId="3BD833B3" w14:textId="77777777" w:rsidR="003F7A9C" w:rsidRPr="00F97C1C" w:rsidRDefault="003F7A9C" w:rsidP="003F7A9C">
      <w:pPr>
        <w:ind w:left="630" w:right="810"/>
        <w:rPr>
          <w:rFonts w:ascii="Calibri" w:hAnsi="Calibri" w:cs="Calibri"/>
        </w:rPr>
      </w:pPr>
    </w:p>
    <w:p w14:paraId="70441D3C" w14:textId="77777777" w:rsidR="003F7A9C" w:rsidRPr="00F97C1C" w:rsidRDefault="003F7A9C" w:rsidP="003F7A9C">
      <w:pPr>
        <w:ind w:left="630" w:right="810"/>
        <w:rPr>
          <w:rFonts w:ascii="Calibri" w:hAnsi="Calibri" w:cs="Calibri"/>
        </w:rPr>
      </w:pPr>
      <w:r w:rsidRPr="10723F6E">
        <w:rPr>
          <w:rFonts w:ascii="Calibri" w:hAnsi="Calibri" w:cs="Calibri"/>
        </w:rPr>
        <w:t xml:space="preserve">This shall serve as notification that, based on the information provided by the Applicant and staff analysis, and pursuant to M.G.L. c. 111, § 25C and the regulatory provisions of 105 CMR 100.000 et seq, including 105 CMR 100.740 (Emergency Applications), the Chapter 11 bankruptcy filing by Steward Health Care and resulting potentially imminent closure of St. Elizabeth’s Medical Center (“SEMC”) constitutes an Emergency Situation. As a result, I hereby approve the Emergency </w:t>
      </w:r>
      <w:proofErr w:type="spellStart"/>
      <w:r w:rsidRPr="10723F6E">
        <w:rPr>
          <w:rFonts w:ascii="Calibri" w:hAnsi="Calibri" w:cs="Calibri"/>
        </w:rPr>
        <w:t>DoN</w:t>
      </w:r>
      <w:proofErr w:type="spellEnd"/>
      <w:r w:rsidRPr="10723F6E">
        <w:rPr>
          <w:rFonts w:ascii="Calibri" w:hAnsi="Calibri" w:cs="Calibri"/>
        </w:rPr>
        <w:t xml:space="preserve"> for the Transfer of Ownership of SEMC to BMC Health System, Inc (“BMCHS”).</w:t>
      </w:r>
    </w:p>
    <w:p w14:paraId="00228462" w14:textId="77777777" w:rsidR="003F7A9C" w:rsidRPr="00F97C1C" w:rsidRDefault="003F7A9C" w:rsidP="003F7A9C">
      <w:pPr>
        <w:ind w:left="630" w:right="810"/>
        <w:rPr>
          <w:rFonts w:ascii="Calibri" w:hAnsi="Calibri" w:cs="Calibri"/>
        </w:rPr>
      </w:pPr>
    </w:p>
    <w:p w14:paraId="473D4133" w14:textId="77777777" w:rsidR="003F7A9C" w:rsidRPr="00F97C1C" w:rsidRDefault="003F7A9C" w:rsidP="003F7A9C">
      <w:pPr>
        <w:ind w:left="630" w:right="810"/>
        <w:rPr>
          <w:rFonts w:ascii="Calibri" w:hAnsi="Calibri" w:cs="Calibri"/>
        </w:rPr>
      </w:pPr>
      <w:r w:rsidRPr="10723F6E">
        <w:rPr>
          <w:rFonts w:ascii="Calibri" w:hAnsi="Calibri" w:cs="Calibri"/>
        </w:rPr>
        <w:t xml:space="preserve">The Transfer of Ownership will address the Emergency </w:t>
      </w:r>
      <w:proofErr w:type="gramStart"/>
      <w:r w:rsidRPr="10723F6E">
        <w:rPr>
          <w:rFonts w:ascii="Calibri" w:hAnsi="Calibri" w:cs="Calibri"/>
        </w:rPr>
        <w:t>Situation</w:t>
      </w:r>
      <w:proofErr w:type="gramEnd"/>
      <w:r w:rsidRPr="10723F6E">
        <w:rPr>
          <w:rFonts w:ascii="Calibri" w:hAnsi="Calibri" w:cs="Calibri"/>
        </w:rPr>
        <w:t xml:space="preserve"> and I find that without issuance of an Emergency </w:t>
      </w:r>
      <w:proofErr w:type="spellStart"/>
      <w:r w:rsidRPr="10723F6E">
        <w:rPr>
          <w:rFonts w:ascii="Calibri" w:hAnsi="Calibri" w:cs="Calibri"/>
        </w:rPr>
        <w:t>DoN</w:t>
      </w:r>
      <w:proofErr w:type="spellEnd"/>
      <w:r w:rsidRPr="10723F6E">
        <w:rPr>
          <w:rFonts w:ascii="Calibri" w:hAnsi="Calibri" w:cs="Calibri"/>
        </w:rPr>
        <w:t xml:space="preserve"> the public health will be measurably harmed due to access challenges and potential disruptions in patients’ treatment.</w:t>
      </w:r>
    </w:p>
    <w:p w14:paraId="13FB11B5" w14:textId="77777777" w:rsidR="003F7A9C" w:rsidRPr="00F97C1C" w:rsidRDefault="003F7A9C" w:rsidP="003F7A9C">
      <w:pPr>
        <w:ind w:left="630" w:right="810"/>
        <w:rPr>
          <w:rFonts w:ascii="Calibri" w:hAnsi="Calibri" w:cs="Calibri"/>
        </w:rPr>
      </w:pPr>
    </w:p>
    <w:p w14:paraId="21E2F5E4" w14:textId="77777777" w:rsidR="003F7A9C" w:rsidRPr="00F97C1C" w:rsidRDefault="003F7A9C" w:rsidP="003F7A9C">
      <w:pPr>
        <w:ind w:left="630" w:right="810"/>
        <w:rPr>
          <w:rFonts w:ascii="Calibri" w:hAnsi="Calibri" w:cs="Calibri"/>
        </w:rPr>
      </w:pPr>
      <w:r w:rsidRPr="498C9C86">
        <w:rPr>
          <w:rFonts w:ascii="Calibri" w:hAnsi="Calibri" w:cs="Calibri"/>
        </w:rPr>
        <w:t xml:space="preserve">The total value of the Proposed Project based on the Asset Purchase Agreement (“APA”) is $140,000,000, which includes the acquisition of both Good Samaritan Hospital and SEMC. The Applicant state’s that </w:t>
      </w:r>
      <w:r w:rsidRPr="498C9C86">
        <w:rPr>
          <w:rFonts w:ascii="Calibri" w:hAnsi="Calibri" w:cs="Calibri"/>
          <w:i/>
          <w:iCs/>
        </w:rPr>
        <w:t>“It is subject to adjustment per the terms of the Asset Purchase Agreement.”</w:t>
      </w:r>
    </w:p>
    <w:p w14:paraId="1AFFFAF4" w14:textId="77777777" w:rsidR="003F7A9C" w:rsidRPr="00F97C1C" w:rsidRDefault="003F7A9C" w:rsidP="003F7A9C">
      <w:pPr>
        <w:ind w:left="630" w:right="810"/>
        <w:rPr>
          <w:rFonts w:ascii="Calibri" w:hAnsi="Calibri" w:cs="Calibri"/>
        </w:rPr>
      </w:pPr>
    </w:p>
    <w:p w14:paraId="694B3549" w14:textId="77777777" w:rsidR="003F7A9C" w:rsidRPr="00F97C1C" w:rsidRDefault="003F7A9C" w:rsidP="003F7A9C">
      <w:pPr>
        <w:ind w:left="630" w:right="810"/>
        <w:rPr>
          <w:rFonts w:ascii="Calibri" w:hAnsi="Calibri" w:cs="Calibri"/>
        </w:rPr>
      </w:pPr>
      <w:r w:rsidRPr="10723F6E">
        <w:rPr>
          <w:rFonts w:ascii="Calibri" w:hAnsi="Calibri" w:cs="Calibri"/>
        </w:rPr>
        <w:lastRenderedPageBreak/>
        <w:t>This Notice of Final Action incorporates by reference the Memoranda concerning this Application and is subject to all applicable standard and other conditions. As Commissioner, I may subsequently require a full Application for Determination of Need consistent with 105 CMR 100.405.</w:t>
      </w:r>
    </w:p>
    <w:p w14:paraId="054818C6" w14:textId="77777777" w:rsidR="003F7A9C" w:rsidRPr="00F97C1C" w:rsidRDefault="003F7A9C" w:rsidP="003F7A9C">
      <w:pPr>
        <w:ind w:left="630" w:right="810"/>
        <w:rPr>
          <w:rFonts w:ascii="Calibri" w:hAnsi="Calibri" w:cs="Calibri"/>
        </w:rPr>
      </w:pPr>
      <w:r w:rsidRPr="00F97C1C">
        <w:rPr>
          <w:rFonts w:ascii="Calibri" w:hAnsi="Calibri" w:cs="Calibri"/>
        </w:rPr>
        <w:t xml:space="preserve"> </w:t>
      </w:r>
    </w:p>
    <w:p w14:paraId="39EB22F2" w14:textId="77777777" w:rsidR="003F7A9C" w:rsidRDefault="003F7A9C" w:rsidP="003F7A9C">
      <w:pPr>
        <w:ind w:left="630" w:right="810"/>
        <w:rPr>
          <w:rFonts w:ascii="Calibri" w:hAnsi="Calibri" w:cs="Calibri"/>
        </w:rPr>
      </w:pPr>
      <w:r w:rsidRPr="10723F6E">
        <w:rPr>
          <w:rFonts w:ascii="Calibri" w:hAnsi="Calibri" w:cs="Calibri"/>
        </w:rPr>
        <w:t xml:space="preserve">In compliance with the provisions of 105 CMR 100.310(A)(2) and (11), the Holder shall submit an Acknowledgment of receipt to the Department (attached) </w:t>
      </w:r>
      <w:proofErr w:type="gramStart"/>
      <w:r w:rsidRPr="10723F6E">
        <w:rPr>
          <w:rFonts w:ascii="Calibri" w:hAnsi="Calibri" w:cs="Calibri"/>
        </w:rPr>
        <w:t>and also</w:t>
      </w:r>
      <w:proofErr w:type="gramEnd"/>
      <w:r w:rsidRPr="10723F6E">
        <w:rPr>
          <w:rFonts w:ascii="Calibri" w:hAnsi="Calibri" w:cs="Calibri"/>
        </w:rPr>
        <w:t xml:space="preserve"> include a written attestation of participation or intent to participate in MassHealth. </w:t>
      </w:r>
    </w:p>
    <w:p w14:paraId="0CA86E8A" w14:textId="77777777" w:rsidR="003F7A9C" w:rsidRDefault="003F7A9C" w:rsidP="003F7A9C">
      <w:pPr>
        <w:ind w:left="630" w:right="810"/>
        <w:rPr>
          <w:rFonts w:ascii="Calibri" w:hAnsi="Calibri" w:cs="Calibri"/>
        </w:rPr>
      </w:pPr>
    </w:p>
    <w:p w14:paraId="34A568B1" w14:textId="77777777" w:rsidR="003F7A9C" w:rsidRDefault="003F7A9C" w:rsidP="003F7A9C">
      <w:pPr>
        <w:ind w:left="630" w:right="810"/>
        <w:rPr>
          <w:rFonts w:ascii="Calibri" w:hAnsi="Calibri" w:cs="Calibri"/>
        </w:rPr>
      </w:pPr>
      <w:r w:rsidRPr="00DF3D01">
        <w:rPr>
          <w:rFonts w:ascii="Calibri" w:hAnsi="Calibri" w:cs="Calibri"/>
          <w:b/>
          <w:bCs/>
        </w:rPr>
        <w:t>Other Conditions </w:t>
      </w:r>
      <w:r w:rsidRPr="00DF3D01">
        <w:rPr>
          <w:rFonts w:ascii="Calibri" w:hAnsi="Calibri" w:cs="Calibri"/>
        </w:rPr>
        <w:t> </w:t>
      </w:r>
    </w:p>
    <w:p w14:paraId="48AE2FDB" w14:textId="77777777" w:rsidR="003F7A9C" w:rsidRDefault="003F7A9C" w:rsidP="003F7A9C">
      <w:pPr>
        <w:ind w:left="630" w:right="810"/>
        <w:rPr>
          <w:rFonts w:ascii="Calibri" w:hAnsi="Calibri" w:cs="Calibri"/>
        </w:rPr>
      </w:pPr>
    </w:p>
    <w:p w14:paraId="5D6ED16E" w14:textId="77777777" w:rsidR="003F7A9C" w:rsidRPr="00BE6393" w:rsidRDefault="003F7A9C" w:rsidP="003F7A9C">
      <w:pPr>
        <w:ind w:left="630" w:right="810"/>
        <w:rPr>
          <w:rFonts w:ascii="Calibri" w:eastAsia="Aptos" w:hAnsi="Calibri" w:cs="Calibri"/>
          <w:kern w:val="2"/>
          <w:szCs w:val="24"/>
          <w14:ligatures w14:val="standardContextual"/>
        </w:rPr>
      </w:pPr>
      <w:r w:rsidRPr="00BE6393">
        <w:rPr>
          <w:rFonts w:ascii="Calibri" w:eastAsia="Aptos" w:hAnsi="Calibri" w:cs="Calibri"/>
          <w:kern w:val="2"/>
          <w:szCs w:val="24"/>
          <w14:ligatures w14:val="standardContextual"/>
        </w:rPr>
        <w:t xml:space="preserve">In establishing Conditions, the </w:t>
      </w:r>
      <w:proofErr w:type="spellStart"/>
      <w:r w:rsidRPr="00BE6393">
        <w:rPr>
          <w:rFonts w:ascii="Calibri" w:eastAsia="Aptos" w:hAnsi="Calibri" w:cs="Calibri"/>
          <w:kern w:val="2"/>
          <w:szCs w:val="24"/>
          <w14:ligatures w14:val="standardContextual"/>
        </w:rPr>
        <w:t>DoN</w:t>
      </w:r>
      <w:proofErr w:type="spellEnd"/>
      <w:r w:rsidRPr="00BE6393">
        <w:rPr>
          <w:rFonts w:ascii="Calibri" w:eastAsia="Aptos" w:hAnsi="Calibri" w:cs="Calibri"/>
          <w:kern w:val="2"/>
          <w:szCs w:val="24"/>
          <w14:ligatures w14:val="standardContextual"/>
        </w:rPr>
        <w:t xml:space="preserve"> Program (“Program”) acknowledges that due to the Emergency Situation at the time of closure, the Holder reports that it does not have full access to information that would provide an accurate picture of the operations of the Hospital. In the interest of ensuring ongoing viability of the Hospital, the Holder will report to the Department on the following: </w:t>
      </w:r>
    </w:p>
    <w:p w14:paraId="7F653FE0" w14:textId="77777777" w:rsidR="003F7A9C" w:rsidRPr="00BE6393" w:rsidRDefault="003F7A9C" w:rsidP="003F7A9C">
      <w:pPr>
        <w:ind w:left="630" w:right="810"/>
        <w:rPr>
          <w:rFonts w:ascii="Calibri" w:eastAsia="Aptos" w:hAnsi="Calibri" w:cs="Calibri"/>
          <w:kern w:val="2"/>
          <w:szCs w:val="24"/>
          <w14:ligatures w14:val="standardContextual"/>
        </w:rPr>
      </w:pPr>
      <w:r w:rsidRPr="00BE6393">
        <w:rPr>
          <w:rFonts w:ascii="Calibri" w:eastAsia="Aptos" w:hAnsi="Calibri" w:cs="Calibri"/>
          <w:kern w:val="2"/>
          <w:szCs w:val="24"/>
          <w14:ligatures w14:val="standardContextual"/>
        </w:rPr>
        <w:t> </w:t>
      </w:r>
    </w:p>
    <w:p w14:paraId="6D1FBEB4" w14:textId="77777777" w:rsidR="006347F1" w:rsidRDefault="003F7A9C" w:rsidP="006347F1">
      <w:pPr>
        <w:widowControl w:val="0"/>
        <w:numPr>
          <w:ilvl w:val="0"/>
          <w:numId w:val="35"/>
        </w:numPr>
        <w:autoSpaceDE w:val="0"/>
        <w:autoSpaceDN w:val="0"/>
        <w:spacing w:after="160" w:line="259" w:lineRule="auto"/>
        <w:ind w:left="1440" w:right="810"/>
        <w:rPr>
          <w:rFonts w:ascii="Calibri" w:eastAsia="Aptos" w:hAnsi="Calibri" w:cs="Calibri"/>
          <w:kern w:val="2"/>
          <w:szCs w:val="24"/>
          <w14:ligatures w14:val="standardContextual"/>
        </w:rPr>
      </w:pPr>
      <w:r w:rsidRPr="00BE6393">
        <w:rPr>
          <w:rFonts w:ascii="Calibri" w:eastAsia="Aptos" w:hAnsi="Calibri" w:cs="Calibri"/>
          <w:kern w:val="2"/>
          <w:szCs w:val="24"/>
          <w14:ligatures w14:val="standardContextual"/>
        </w:rPr>
        <w:t>Within six months of the transaction’s closing (“the Closing”), the Holder will provide the Department with an initial assessment of the condition of the facility and its operations and an integration plan for incorporating SEMC into the operations of BMC with definable benchmarks. The Holder will report on the fiscal and operational health of SEMC and its ability to achieve its stated benchmarks and measures annually for five years following the Closing (“the Reporting Period”).  </w:t>
      </w:r>
    </w:p>
    <w:p w14:paraId="45756BB0" w14:textId="77777777" w:rsidR="006347F1" w:rsidRDefault="006347F1" w:rsidP="006347F1">
      <w:pPr>
        <w:widowControl w:val="0"/>
        <w:autoSpaceDE w:val="0"/>
        <w:autoSpaceDN w:val="0"/>
        <w:spacing w:after="160" w:line="259" w:lineRule="auto"/>
        <w:ind w:left="1440" w:right="810"/>
        <w:rPr>
          <w:rFonts w:ascii="Calibri" w:eastAsia="Aptos" w:hAnsi="Calibri" w:cs="Calibri"/>
          <w:kern w:val="2"/>
          <w:szCs w:val="24"/>
          <w14:ligatures w14:val="standardContextual"/>
        </w:rPr>
      </w:pPr>
    </w:p>
    <w:p w14:paraId="6E5388C9" w14:textId="77777777" w:rsidR="006347F1" w:rsidRDefault="003F7A9C" w:rsidP="006347F1">
      <w:pPr>
        <w:widowControl w:val="0"/>
        <w:numPr>
          <w:ilvl w:val="0"/>
          <w:numId w:val="35"/>
        </w:numPr>
        <w:autoSpaceDE w:val="0"/>
        <w:autoSpaceDN w:val="0"/>
        <w:spacing w:after="160" w:line="259" w:lineRule="auto"/>
        <w:ind w:left="1440" w:right="810"/>
        <w:rPr>
          <w:rFonts w:ascii="Calibri" w:eastAsia="Aptos" w:hAnsi="Calibri" w:cs="Calibri"/>
          <w:kern w:val="2"/>
          <w:szCs w:val="24"/>
          <w14:ligatures w14:val="standardContextual"/>
        </w:rPr>
      </w:pPr>
      <w:r w:rsidRPr="006347F1">
        <w:rPr>
          <w:rFonts w:ascii="Calibri" w:eastAsia="Aptos" w:hAnsi="Calibri" w:cs="Calibri"/>
          <w:kern w:val="2"/>
          <w:szCs w:val="24"/>
          <w14:ligatures w14:val="standardContextual"/>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SEMC’s ability to achieve its stated benchmarks and measures.  </w:t>
      </w:r>
    </w:p>
    <w:p w14:paraId="15B3686E" w14:textId="77777777" w:rsidR="006347F1" w:rsidRDefault="006347F1" w:rsidP="006347F1">
      <w:pPr>
        <w:pStyle w:val="ListParagraph"/>
        <w:rPr>
          <w:rFonts w:ascii="Calibri" w:eastAsia="Aptos" w:hAnsi="Calibri" w:cs="Calibri"/>
          <w:kern w:val="2"/>
          <w:szCs w:val="24"/>
          <w14:ligatures w14:val="standardContextual"/>
        </w:rPr>
      </w:pPr>
    </w:p>
    <w:p w14:paraId="0AE21860" w14:textId="77777777" w:rsidR="007D6511" w:rsidRDefault="003F7A9C" w:rsidP="007D6511">
      <w:pPr>
        <w:widowControl w:val="0"/>
        <w:numPr>
          <w:ilvl w:val="0"/>
          <w:numId w:val="35"/>
        </w:numPr>
        <w:autoSpaceDE w:val="0"/>
        <w:autoSpaceDN w:val="0"/>
        <w:spacing w:after="160" w:line="259" w:lineRule="auto"/>
        <w:ind w:left="1440" w:right="810"/>
        <w:rPr>
          <w:rFonts w:ascii="Calibri" w:eastAsia="Aptos" w:hAnsi="Calibri" w:cs="Calibri"/>
          <w:kern w:val="2"/>
          <w:szCs w:val="24"/>
          <w14:ligatures w14:val="standardContextual"/>
        </w:rPr>
      </w:pPr>
      <w:r w:rsidRPr="006347F1">
        <w:rPr>
          <w:rFonts w:ascii="Calibri" w:eastAsia="Aptos" w:hAnsi="Calibri" w:cs="Calibri"/>
          <w:kern w:val="2"/>
          <w:szCs w:val="24"/>
          <w14:ligatures w14:val="standardContextual"/>
        </w:rPr>
        <w:t>Within 12 months of the Closing, the Holder will submit a plan outlining ongoing service provision by the Holder, including at SEMC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any service during the Reporting Period.  The Plan must also include how the Holder will engage in reasonable efforts to inform the public and relevant stakeholders of any such service reductions or closures or other changes with likely impact on the patient panel or local communities. </w:t>
      </w:r>
    </w:p>
    <w:p w14:paraId="1ECDCDD4" w14:textId="77777777" w:rsidR="007D6511" w:rsidRDefault="007D6511" w:rsidP="007D6511">
      <w:pPr>
        <w:pStyle w:val="ListParagraph"/>
        <w:rPr>
          <w:rFonts w:ascii="Calibri" w:eastAsia="Aptos" w:hAnsi="Calibri" w:cs="Calibri"/>
          <w:kern w:val="2"/>
          <w:szCs w:val="24"/>
          <w14:ligatures w14:val="standardContextual"/>
        </w:rPr>
      </w:pPr>
    </w:p>
    <w:p w14:paraId="525795D9" w14:textId="77777777" w:rsidR="007D6511" w:rsidRDefault="003F7A9C" w:rsidP="007D6511">
      <w:pPr>
        <w:widowControl w:val="0"/>
        <w:numPr>
          <w:ilvl w:val="0"/>
          <w:numId w:val="35"/>
        </w:numPr>
        <w:autoSpaceDE w:val="0"/>
        <w:autoSpaceDN w:val="0"/>
        <w:spacing w:after="160" w:line="259" w:lineRule="auto"/>
        <w:ind w:left="1440" w:right="810"/>
        <w:rPr>
          <w:rFonts w:ascii="Calibri" w:eastAsia="Aptos" w:hAnsi="Calibri" w:cs="Calibri"/>
          <w:kern w:val="2"/>
          <w:szCs w:val="24"/>
          <w14:ligatures w14:val="standardContextual"/>
        </w:rPr>
      </w:pPr>
      <w:r w:rsidRPr="007D6511">
        <w:rPr>
          <w:rFonts w:ascii="Calibri" w:eastAsia="Aptos" w:hAnsi="Calibri" w:cs="Calibri"/>
          <w:kern w:val="2"/>
          <w:szCs w:val="24"/>
          <w14:ligatures w14:val="standardContextual"/>
        </w:rPr>
        <w:t xml:space="preserve">To allow for Program monitoring of the Holder's implementation of the Plan on a quarterly basis during the Reporting Period, the Holder must inform the Program of any anticipated material or prolonged reduction of any essential service at SEMC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 reduction of any essential service at SEMC during the Reporting </w:t>
      </w:r>
      <w:proofErr w:type="gramStart"/>
      <w:r w:rsidRPr="007D6511">
        <w:rPr>
          <w:rFonts w:ascii="Calibri" w:eastAsia="Aptos" w:hAnsi="Calibri" w:cs="Calibri"/>
          <w:kern w:val="2"/>
          <w:szCs w:val="24"/>
          <w14:ligatures w14:val="standardContextual"/>
        </w:rPr>
        <w:t>Period</w:t>
      </w:r>
      <w:proofErr w:type="gramEnd"/>
      <w:r w:rsidRPr="007D6511">
        <w:rPr>
          <w:rFonts w:ascii="Calibri" w:eastAsia="Aptos" w:hAnsi="Calibri" w:cs="Calibri"/>
          <w:kern w:val="2"/>
          <w:szCs w:val="24"/>
          <w14:ligatures w14:val="standardContextual"/>
        </w:rPr>
        <w:t xml:space="preserve"> which is not outlined in the Plan, the Holder may be referred to the Public Health Council for review of the long-term implications of such reduction and compliance with the </w:t>
      </w:r>
      <w:proofErr w:type="spellStart"/>
      <w:r w:rsidRPr="007D6511">
        <w:rPr>
          <w:rFonts w:ascii="Calibri" w:eastAsia="Aptos" w:hAnsi="Calibri" w:cs="Calibri"/>
          <w:kern w:val="2"/>
          <w:szCs w:val="24"/>
          <w14:ligatures w14:val="standardContextual"/>
        </w:rPr>
        <w:t>DoN</w:t>
      </w:r>
      <w:proofErr w:type="spellEnd"/>
      <w:r w:rsidRPr="007D6511">
        <w:rPr>
          <w:rFonts w:ascii="Calibri" w:eastAsia="Aptos" w:hAnsi="Calibri" w:cs="Calibri"/>
          <w:kern w:val="2"/>
          <w:szCs w:val="24"/>
          <w14:ligatures w14:val="standardContextual"/>
        </w:rPr>
        <w:t xml:space="preserve"> approval. </w:t>
      </w:r>
    </w:p>
    <w:p w14:paraId="051C82AC" w14:textId="77777777" w:rsidR="007D6511" w:rsidRDefault="007D6511" w:rsidP="007D6511">
      <w:pPr>
        <w:pStyle w:val="ListParagraph"/>
        <w:rPr>
          <w:rFonts w:ascii="Calibri" w:eastAsia="Aptos" w:hAnsi="Calibri" w:cs="Calibri"/>
          <w:kern w:val="2"/>
          <w:szCs w:val="24"/>
          <w14:ligatures w14:val="standardContextual"/>
        </w:rPr>
      </w:pPr>
    </w:p>
    <w:p w14:paraId="7441FD2F" w14:textId="77777777" w:rsidR="007D6511" w:rsidRDefault="003F7A9C" w:rsidP="007D6511">
      <w:pPr>
        <w:widowControl w:val="0"/>
        <w:numPr>
          <w:ilvl w:val="0"/>
          <w:numId w:val="35"/>
        </w:numPr>
        <w:autoSpaceDE w:val="0"/>
        <w:autoSpaceDN w:val="0"/>
        <w:spacing w:after="160" w:line="259" w:lineRule="auto"/>
        <w:ind w:left="1440" w:right="810"/>
        <w:rPr>
          <w:rFonts w:ascii="Calibri" w:eastAsia="Aptos" w:hAnsi="Calibri" w:cs="Calibri"/>
          <w:kern w:val="2"/>
          <w:szCs w:val="24"/>
          <w14:ligatures w14:val="standardContextual"/>
        </w:rPr>
      </w:pPr>
      <w:r w:rsidRPr="007D6511">
        <w:rPr>
          <w:rFonts w:ascii="Calibri" w:eastAsia="Aptos" w:hAnsi="Calibri" w:cs="Calibri"/>
          <w:kern w:val="2"/>
          <w:szCs w:val="24"/>
          <w14:ligatures w14:val="standardContextual"/>
        </w:rPr>
        <w:t>In its first report to the Department, due 6 months after this approval and annually thereafter during the Reporting Period, the Holder will provide the following:  </w:t>
      </w:r>
    </w:p>
    <w:p w14:paraId="229AF2EE" w14:textId="77777777" w:rsidR="007D6511" w:rsidRDefault="007D6511" w:rsidP="007D6511">
      <w:pPr>
        <w:pStyle w:val="ListParagraph"/>
        <w:rPr>
          <w:rFonts w:ascii="Calibri" w:eastAsia="Aptos" w:hAnsi="Calibri" w:cs="Calibri"/>
          <w:kern w:val="2"/>
          <w:szCs w:val="24"/>
          <w14:ligatures w14:val="standardContextual"/>
        </w:rPr>
      </w:pPr>
    </w:p>
    <w:p w14:paraId="56BCDA95" w14:textId="77777777" w:rsidR="00D36A7B" w:rsidRDefault="003F7A9C" w:rsidP="00D36A7B">
      <w:pPr>
        <w:widowControl w:val="0"/>
        <w:numPr>
          <w:ilvl w:val="1"/>
          <w:numId w:val="35"/>
        </w:numPr>
        <w:autoSpaceDE w:val="0"/>
        <w:autoSpaceDN w:val="0"/>
        <w:spacing w:after="160" w:line="259" w:lineRule="auto"/>
        <w:ind w:right="810"/>
        <w:rPr>
          <w:rFonts w:ascii="Calibri" w:eastAsia="Aptos" w:hAnsi="Calibri" w:cs="Calibri"/>
          <w:kern w:val="2"/>
          <w:szCs w:val="24"/>
          <w14:ligatures w14:val="standardContextual"/>
        </w:rPr>
      </w:pPr>
      <w:r w:rsidRPr="007D6511">
        <w:rPr>
          <w:rFonts w:ascii="Calibri" w:eastAsia="Aptos" w:hAnsi="Calibri" w:cs="Calibri"/>
          <w:kern w:val="2"/>
          <w:szCs w:val="24"/>
          <w14:ligatures w14:val="standardContextual"/>
        </w:rPr>
        <w:t>A report that details the current payer mix of SEMC reported by each of the health insurance coverage categories reported on by the Center for Health Information and Analysis (CHIA). </w:t>
      </w:r>
    </w:p>
    <w:p w14:paraId="7EAD1D73" w14:textId="77777777" w:rsidR="00D36A7B" w:rsidRDefault="003F7A9C" w:rsidP="00D36A7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D36A7B">
        <w:rPr>
          <w:rFonts w:ascii="Calibri" w:eastAsia="Aptos" w:hAnsi="Calibri" w:cs="Calibri"/>
          <w:kern w:val="2"/>
          <w:szCs w:val="24"/>
          <w14:ligatures w14:val="standardContextual"/>
        </w:rPr>
        <w:t>Private Commercial – Overall  </w:t>
      </w:r>
    </w:p>
    <w:p w14:paraId="37DAA1A9" w14:textId="77777777" w:rsidR="000007DB" w:rsidRDefault="003F7A9C" w:rsidP="000007D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D36A7B">
        <w:rPr>
          <w:rFonts w:ascii="Calibri" w:eastAsia="Aptos" w:hAnsi="Calibri" w:cs="Calibri"/>
          <w:kern w:val="2"/>
          <w:szCs w:val="24"/>
          <w14:ligatures w14:val="standardContextual"/>
        </w:rPr>
        <w:t>Private Commercial – MA Health Connector QHPs (Subsidized and Unsubsidized)  </w:t>
      </w:r>
    </w:p>
    <w:p w14:paraId="2B7BFCDB" w14:textId="77777777" w:rsidR="000007DB" w:rsidRDefault="003F7A9C" w:rsidP="000007D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0007DB">
        <w:rPr>
          <w:rFonts w:ascii="Calibri" w:eastAsia="Aptos" w:hAnsi="Calibri" w:cs="Calibri"/>
          <w:kern w:val="2"/>
          <w:szCs w:val="24"/>
          <w14:ligatures w14:val="standardContextual"/>
        </w:rPr>
        <w:t>MassHealth – Overall  </w:t>
      </w:r>
    </w:p>
    <w:p w14:paraId="6C5186B3" w14:textId="77777777" w:rsidR="000007DB" w:rsidRDefault="003F7A9C" w:rsidP="000007D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0007DB">
        <w:rPr>
          <w:rFonts w:ascii="Calibri" w:eastAsia="Aptos" w:hAnsi="Calibri" w:cs="Calibri"/>
          <w:kern w:val="2"/>
          <w:szCs w:val="24"/>
          <w14:ligatures w14:val="standardContextual"/>
        </w:rPr>
        <w:t>MassHealth – Managed Care Organizations (MCO) </w:t>
      </w:r>
    </w:p>
    <w:p w14:paraId="3A4DFB0D" w14:textId="77777777" w:rsidR="000007DB" w:rsidRDefault="003F7A9C" w:rsidP="000007D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0007DB">
        <w:rPr>
          <w:rFonts w:ascii="Calibri" w:eastAsia="Aptos" w:hAnsi="Calibri" w:cs="Calibri"/>
          <w:kern w:val="2"/>
          <w:szCs w:val="24"/>
          <w14:ligatures w14:val="standardContextual"/>
        </w:rPr>
        <w:t>MassHealth –Accountable Care Organizations (ACO)  </w:t>
      </w:r>
    </w:p>
    <w:p w14:paraId="1FFA7785" w14:textId="77777777" w:rsidR="000007DB" w:rsidRDefault="003F7A9C" w:rsidP="000007D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0007DB">
        <w:rPr>
          <w:rFonts w:ascii="Calibri" w:eastAsia="Aptos" w:hAnsi="Calibri" w:cs="Calibri"/>
          <w:kern w:val="2"/>
          <w:szCs w:val="24"/>
          <w14:ligatures w14:val="standardContextual"/>
        </w:rPr>
        <w:t>Senior Care Options, One Care, PACE  </w:t>
      </w:r>
    </w:p>
    <w:p w14:paraId="1C28B398" w14:textId="77777777" w:rsidR="000007DB" w:rsidRDefault="003F7A9C" w:rsidP="000007DB">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0007DB">
        <w:rPr>
          <w:rFonts w:ascii="Calibri" w:eastAsia="Aptos" w:hAnsi="Calibri" w:cs="Calibri"/>
          <w:kern w:val="2"/>
          <w:szCs w:val="24"/>
          <w14:ligatures w14:val="standardContextual"/>
        </w:rPr>
        <w:t>Medicare Fee-for-Service (Parts A and B)  </w:t>
      </w:r>
    </w:p>
    <w:p w14:paraId="4AE0FE65" w14:textId="77777777" w:rsidR="00EE76E9" w:rsidRDefault="003F7A9C" w:rsidP="00EE76E9">
      <w:pPr>
        <w:widowControl w:val="0"/>
        <w:numPr>
          <w:ilvl w:val="2"/>
          <w:numId w:val="35"/>
        </w:numPr>
        <w:tabs>
          <w:tab w:val="num" w:pos="2160"/>
        </w:tabs>
        <w:autoSpaceDE w:val="0"/>
        <w:autoSpaceDN w:val="0"/>
        <w:spacing w:after="160" w:line="259" w:lineRule="auto"/>
        <w:ind w:right="810"/>
        <w:rPr>
          <w:rFonts w:ascii="Calibri" w:eastAsia="Aptos" w:hAnsi="Calibri" w:cs="Calibri"/>
          <w:kern w:val="2"/>
          <w:szCs w:val="24"/>
          <w14:ligatures w14:val="standardContextual"/>
        </w:rPr>
      </w:pPr>
      <w:r w:rsidRPr="000007DB">
        <w:rPr>
          <w:rFonts w:ascii="Calibri" w:eastAsia="Aptos" w:hAnsi="Calibri" w:cs="Calibri"/>
          <w:kern w:val="2"/>
          <w:szCs w:val="24"/>
          <w14:ligatures w14:val="standardContextual"/>
        </w:rPr>
        <w:t>Medicare Advantage  </w:t>
      </w:r>
    </w:p>
    <w:p w14:paraId="5E42B23A" w14:textId="77777777" w:rsidR="00EE76E9" w:rsidRDefault="003F7A9C" w:rsidP="00EE76E9">
      <w:pPr>
        <w:widowControl w:val="0"/>
        <w:numPr>
          <w:ilvl w:val="1"/>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t>A description of the current network participation of Holder including but not limited to the number of:  </w:t>
      </w:r>
    </w:p>
    <w:p w14:paraId="030A51A9" w14:textId="77777777" w:rsidR="00EE76E9" w:rsidRDefault="003F7A9C" w:rsidP="00EE76E9">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t xml:space="preserve">Limited network </w:t>
      </w:r>
      <w:proofErr w:type="gramStart"/>
      <w:r w:rsidRPr="00EE76E9">
        <w:rPr>
          <w:rFonts w:ascii="Calibri" w:eastAsia="Aptos" w:hAnsi="Calibri" w:cs="Calibri"/>
          <w:kern w:val="2"/>
          <w:szCs w:val="24"/>
          <w14:ligatures w14:val="standardContextual"/>
        </w:rPr>
        <w:t>products;</w:t>
      </w:r>
      <w:proofErr w:type="gramEnd"/>
      <w:r w:rsidRPr="00EE76E9">
        <w:rPr>
          <w:rFonts w:ascii="Calibri" w:eastAsia="Aptos" w:hAnsi="Calibri" w:cs="Calibri"/>
          <w:kern w:val="2"/>
          <w:szCs w:val="24"/>
          <w14:ligatures w14:val="standardContextual"/>
        </w:rPr>
        <w:t> </w:t>
      </w:r>
    </w:p>
    <w:p w14:paraId="19802FD4" w14:textId="77777777" w:rsidR="00EE76E9" w:rsidRDefault="003F7A9C" w:rsidP="00EE76E9">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t xml:space="preserve">Tiered products, including Holder’s and each subsidiary hospitals’ and physician organization’s tier level for each of these </w:t>
      </w:r>
      <w:proofErr w:type="gramStart"/>
      <w:r w:rsidRPr="00EE76E9">
        <w:rPr>
          <w:rFonts w:ascii="Calibri" w:eastAsia="Aptos" w:hAnsi="Calibri" w:cs="Calibri"/>
          <w:kern w:val="2"/>
          <w:szCs w:val="24"/>
          <w14:ligatures w14:val="standardContextual"/>
        </w:rPr>
        <w:t>products;</w:t>
      </w:r>
      <w:proofErr w:type="gramEnd"/>
      <w:r w:rsidRPr="00EE76E9">
        <w:rPr>
          <w:rFonts w:ascii="Calibri" w:eastAsia="Aptos" w:hAnsi="Calibri" w:cs="Calibri"/>
          <w:kern w:val="2"/>
          <w:szCs w:val="24"/>
          <w14:ligatures w14:val="standardContextual"/>
        </w:rPr>
        <w:t>  </w:t>
      </w:r>
    </w:p>
    <w:p w14:paraId="6B6A7C52" w14:textId="77777777" w:rsidR="00EE76E9" w:rsidRDefault="003F7A9C" w:rsidP="00EE76E9">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t xml:space="preserve">Other commercial </w:t>
      </w:r>
      <w:proofErr w:type="gramStart"/>
      <w:r w:rsidRPr="00EE76E9">
        <w:rPr>
          <w:rFonts w:ascii="Calibri" w:eastAsia="Aptos" w:hAnsi="Calibri" w:cs="Calibri"/>
          <w:kern w:val="2"/>
          <w:szCs w:val="24"/>
          <w14:ligatures w14:val="standardContextual"/>
        </w:rPr>
        <w:t>products;</w:t>
      </w:r>
      <w:proofErr w:type="gramEnd"/>
      <w:r w:rsidRPr="00EE76E9">
        <w:rPr>
          <w:rFonts w:ascii="Calibri" w:eastAsia="Aptos" w:hAnsi="Calibri" w:cs="Calibri"/>
          <w:kern w:val="2"/>
          <w:szCs w:val="24"/>
          <w14:ligatures w14:val="standardContextual"/>
        </w:rPr>
        <w:t>  </w:t>
      </w:r>
    </w:p>
    <w:p w14:paraId="5638772B" w14:textId="77777777" w:rsidR="00EE76E9" w:rsidRDefault="003F7A9C" w:rsidP="00EE76E9">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t xml:space="preserve">MassHealth Fee for </w:t>
      </w:r>
      <w:proofErr w:type="gramStart"/>
      <w:r w:rsidRPr="00EE76E9">
        <w:rPr>
          <w:rFonts w:ascii="Calibri" w:eastAsia="Aptos" w:hAnsi="Calibri" w:cs="Calibri"/>
          <w:kern w:val="2"/>
          <w:szCs w:val="24"/>
          <w14:ligatures w14:val="standardContextual"/>
        </w:rPr>
        <w:t>Service;</w:t>
      </w:r>
      <w:proofErr w:type="gramEnd"/>
      <w:r w:rsidRPr="00EE76E9">
        <w:rPr>
          <w:rFonts w:ascii="Calibri" w:eastAsia="Aptos" w:hAnsi="Calibri" w:cs="Calibri"/>
          <w:kern w:val="2"/>
          <w:szCs w:val="24"/>
          <w14:ligatures w14:val="standardContextual"/>
        </w:rPr>
        <w:t>  </w:t>
      </w:r>
    </w:p>
    <w:p w14:paraId="21866BF9" w14:textId="77777777" w:rsidR="00EE76E9" w:rsidRDefault="003F7A9C" w:rsidP="00EE76E9">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lastRenderedPageBreak/>
        <w:t xml:space="preserve">MassHealth Managed Care </w:t>
      </w:r>
      <w:proofErr w:type="gramStart"/>
      <w:r w:rsidRPr="00EE76E9">
        <w:rPr>
          <w:rFonts w:ascii="Calibri" w:eastAsia="Aptos" w:hAnsi="Calibri" w:cs="Calibri"/>
          <w:kern w:val="2"/>
          <w:szCs w:val="24"/>
          <w14:ligatures w14:val="standardContextual"/>
        </w:rPr>
        <w:t>Organizations;</w:t>
      </w:r>
      <w:proofErr w:type="gramEnd"/>
      <w:r w:rsidRPr="00EE76E9">
        <w:rPr>
          <w:rFonts w:ascii="Calibri" w:eastAsia="Aptos" w:hAnsi="Calibri" w:cs="Calibri"/>
          <w:kern w:val="2"/>
          <w:szCs w:val="24"/>
          <w14:ligatures w14:val="standardContextual"/>
        </w:rPr>
        <w:t>  </w:t>
      </w:r>
    </w:p>
    <w:p w14:paraId="13E5E541" w14:textId="77777777" w:rsidR="00B310BC" w:rsidRDefault="003F7A9C" w:rsidP="00B310BC">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EE76E9">
        <w:rPr>
          <w:rFonts w:ascii="Calibri" w:eastAsia="Aptos" w:hAnsi="Calibri" w:cs="Calibri"/>
          <w:kern w:val="2"/>
          <w:szCs w:val="24"/>
          <w14:ligatures w14:val="standardContextual"/>
        </w:rPr>
        <w:t xml:space="preserve">MassHealth Accountable Care </w:t>
      </w:r>
      <w:proofErr w:type="gramStart"/>
      <w:r w:rsidRPr="00EE76E9">
        <w:rPr>
          <w:rFonts w:ascii="Calibri" w:eastAsia="Aptos" w:hAnsi="Calibri" w:cs="Calibri"/>
          <w:kern w:val="2"/>
          <w:szCs w:val="24"/>
          <w14:ligatures w14:val="standardContextual"/>
        </w:rPr>
        <w:t>Organizations;</w:t>
      </w:r>
      <w:proofErr w:type="gramEnd"/>
      <w:r w:rsidRPr="00EE76E9">
        <w:rPr>
          <w:rFonts w:ascii="Calibri" w:eastAsia="Aptos" w:hAnsi="Calibri" w:cs="Calibri"/>
          <w:kern w:val="2"/>
          <w:szCs w:val="24"/>
          <w14:ligatures w14:val="standardContextual"/>
        </w:rPr>
        <w:t>  </w:t>
      </w:r>
    </w:p>
    <w:p w14:paraId="39FCF855" w14:textId="77777777" w:rsidR="00B310BC" w:rsidRDefault="003F7A9C" w:rsidP="00B310BC">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kern w:val="2"/>
          <w:szCs w:val="24"/>
          <w14:ligatures w14:val="standardContextual"/>
        </w:rPr>
        <w:t xml:space="preserve">Senior Care Options, One Care, </w:t>
      </w:r>
      <w:proofErr w:type="gramStart"/>
      <w:r w:rsidRPr="00B310BC">
        <w:rPr>
          <w:rFonts w:ascii="Calibri" w:eastAsia="Aptos" w:hAnsi="Calibri" w:cs="Calibri"/>
          <w:kern w:val="2"/>
          <w:szCs w:val="24"/>
          <w14:ligatures w14:val="standardContextual"/>
        </w:rPr>
        <w:t>PACE;</w:t>
      </w:r>
      <w:proofErr w:type="gramEnd"/>
      <w:r w:rsidRPr="00B310BC">
        <w:rPr>
          <w:rFonts w:ascii="Calibri" w:eastAsia="Aptos" w:hAnsi="Calibri" w:cs="Calibri"/>
          <w:kern w:val="2"/>
          <w:szCs w:val="24"/>
          <w14:ligatures w14:val="standardContextual"/>
        </w:rPr>
        <w:t>  </w:t>
      </w:r>
    </w:p>
    <w:p w14:paraId="326621F6" w14:textId="77777777" w:rsidR="00B310BC" w:rsidRDefault="003F7A9C" w:rsidP="00B310BC">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kern w:val="2"/>
          <w:szCs w:val="24"/>
          <w14:ligatures w14:val="standardContextual"/>
        </w:rPr>
        <w:t>Medicare Fee for Service; and </w:t>
      </w:r>
    </w:p>
    <w:p w14:paraId="4D32759D" w14:textId="77777777" w:rsidR="00B310BC" w:rsidRDefault="003F7A9C" w:rsidP="00B310BC">
      <w:pPr>
        <w:widowControl w:val="0"/>
        <w:numPr>
          <w:ilvl w:val="2"/>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kern w:val="2"/>
          <w:szCs w:val="24"/>
          <w14:ligatures w14:val="standardContextual"/>
        </w:rPr>
        <w:t>Medicare Managed Care Organizations. </w:t>
      </w:r>
    </w:p>
    <w:p w14:paraId="0A088082" w14:textId="77777777" w:rsidR="00B310BC" w:rsidRDefault="003F7A9C" w:rsidP="00B310BC">
      <w:pPr>
        <w:widowControl w:val="0"/>
        <w:numPr>
          <w:ilvl w:val="1"/>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kern w:val="2"/>
          <w:szCs w:val="24"/>
          <w14:ligatures w14:val="standardContextual"/>
        </w:rPr>
        <w:t>A description of efforts to identify and address barriers to access, including for patients insured by or through MassHealth. </w:t>
      </w:r>
    </w:p>
    <w:p w14:paraId="12A97B8F" w14:textId="77777777" w:rsidR="00B310BC" w:rsidRDefault="003F7A9C" w:rsidP="00B310BC">
      <w:pPr>
        <w:widowControl w:val="0"/>
        <w:numPr>
          <w:ilvl w:val="1"/>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kern w:val="2"/>
          <w:szCs w:val="24"/>
          <w14:ligatures w14:val="standardContextual"/>
        </w:rPr>
        <w:t xml:space="preserve">If, during the pendency of the </w:t>
      </w:r>
      <w:proofErr w:type="spellStart"/>
      <w:r w:rsidRPr="00B310BC">
        <w:rPr>
          <w:rFonts w:ascii="Calibri" w:eastAsia="Aptos" w:hAnsi="Calibri" w:cs="Calibri"/>
          <w:kern w:val="2"/>
          <w:szCs w:val="24"/>
          <w14:ligatures w14:val="standardContextual"/>
        </w:rPr>
        <w:t>DoN</w:t>
      </w:r>
      <w:proofErr w:type="spellEnd"/>
      <w:r w:rsidRPr="00B310BC">
        <w:rPr>
          <w:rFonts w:ascii="Calibri" w:eastAsia="Aptos" w:hAnsi="Calibri" w:cs="Calibri"/>
          <w:kern w:val="2"/>
          <w:szCs w:val="24"/>
          <w14:ligatures w14:val="standardContextual"/>
        </w:rPr>
        <w:t>, the Department determines that the MassHealth payer mix of SEMC has materially decreased since the Closing, then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w:t>
      </w:r>
    </w:p>
    <w:p w14:paraId="70DB7316" w14:textId="77777777" w:rsidR="00EB502F" w:rsidRDefault="00EB502F" w:rsidP="00EB502F">
      <w:pPr>
        <w:widowControl w:val="0"/>
        <w:autoSpaceDE w:val="0"/>
        <w:autoSpaceDN w:val="0"/>
        <w:spacing w:after="160" w:line="259" w:lineRule="auto"/>
        <w:ind w:left="1440" w:right="810"/>
        <w:rPr>
          <w:rFonts w:ascii="Calibri" w:eastAsia="Aptos" w:hAnsi="Calibri" w:cs="Calibri"/>
          <w:kern w:val="2"/>
          <w:szCs w:val="24"/>
          <w14:ligatures w14:val="standardContextual"/>
        </w:rPr>
      </w:pPr>
    </w:p>
    <w:p w14:paraId="07F4673E" w14:textId="77777777" w:rsidR="00B310BC" w:rsidRDefault="003F7A9C" w:rsidP="00B310BC">
      <w:pPr>
        <w:widowControl w:val="0"/>
        <w:numPr>
          <w:ilvl w:val="0"/>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kern w:val="2"/>
          <w:szCs w:val="24"/>
          <w14:ligatures w14:val="standardContextual"/>
        </w:rPr>
        <w:t xml:space="preserve">The Holder will make good faith efforts to ensure continuity of care for patients through good faith efforts to participate in the same insurance plans that SEMC participated in as of the Closing and, to the extent possible, at the same rates through the end of the applicable payer contract period. </w:t>
      </w:r>
    </w:p>
    <w:p w14:paraId="3DE49437" w14:textId="77777777" w:rsidR="00B310BC" w:rsidRDefault="00B310BC" w:rsidP="00B310BC">
      <w:pPr>
        <w:widowControl w:val="0"/>
        <w:autoSpaceDE w:val="0"/>
        <w:autoSpaceDN w:val="0"/>
        <w:spacing w:after="160" w:line="259" w:lineRule="auto"/>
        <w:ind w:left="720" w:right="810"/>
        <w:rPr>
          <w:rFonts w:ascii="Calibri" w:eastAsia="Aptos" w:hAnsi="Calibri" w:cs="Calibri"/>
          <w:kern w:val="2"/>
          <w:szCs w:val="24"/>
          <w14:ligatures w14:val="standardContextual"/>
        </w:rPr>
      </w:pPr>
    </w:p>
    <w:p w14:paraId="726EE59D" w14:textId="77777777" w:rsidR="00EB502F" w:rsidRDefault="003F7A9C" w:rsidP="00EB502F">
      <w:pPr>
        <w:widowControl w:val="0"/>
        <w:numPr>
          <w:ilvl w:val="0"/>
          <w:numId w:val="35"/>
        </w:numPr>
        <w:autoSpaceDE w:val="0"/>
        <w:autoSpaceDN w:val="0"/>
        <w:spacing w:after="160" w:line="259" w:lineRule="auto"/>
        <w:ind w:right="810"/>
        <w:rPr>
          <w:rFonts w:ascii="Calibri" w:eastAsia="Aptos" w:hAnsi="Calibri" w:cs="Calibri"/>
          <w:kern w:val="2"/>
          <w:szCs w:val="24"/>
          <w14:ligatures w14:val="standardContextual"/>
        </w:rPr>
      </w:pPr>
      <w:r w:rsidRPr="00B310BC">
        <w:rPr>
          <w:rFonts w:ascii="Calibri" w:eastAsia="Aptos" w:hAnsi="Calibri" w:cs="Calibri"/>
          <w:szCs w:val="24"/>
        </w:rPr>
        <w:t xml:space="preserve">The Holder shall develop a plan for review and approval by the Department through which, within two years of the approval of the </w:t>
      </w:r>
      <w:proofErr w:type="spellStart"/>
      <w:r w:rsidRPr="00B310BC">
        <w:rPr>
          <w:rFonts w:ascii="Calibri" w:eastAsia="Aptos" w:hAnsi="Calibri" w:cs="Calibri"/>
          <w:szCs w:val="24"/>
        </w:rPr>
        <w:t>DoN</w:t>
      </w:r>
      <w:proofErr w:type="spellEnd"/>
      <w:r w:rsidRPr="00B310BC">
        <w:rPr>
          <w:rFonts w:ascii="Calibri" w:eastAsia="Aptos" w:hAnsi="Calibri" w:cs="Calibri"/>
          <w:szCs w:val="24"/>
        </w:rPr>
        <w:t>, all employed physicians and other employed licensed providers at SEMC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employed licensed providers who are so authorized are participating in MassHealth and its contracted managed care entities. </w:t>
      </w:r>
    </w:p>
    <w:p w14:paraId="236BBA2E" w14:textId="77777777" w:rsidR="00EB502F" w:rsidRDefault="00EB502F" w:rsidP="00EB502F">
      <w:pPr>
        <w:pStyle w:val="ListParagraph"/>
        <w:rPr>
          <w:rFonts w:ascii="Calibri" w:eastAsia="Aptos" w:hAnsi="Calibri" w:cs="Calibri"/>
          <w:kern w:val="2"/>
          <w:szCs w:val="24"/>
          <w14:ligatures w14:val="standardContextual"/>
        </w:rPr>
      </w:pPr>
    </w:p>
    <w:p w14:paraId="61DFD675" w14:textId="03B92FE4" w:rsidR="003F7A9C" w:rsidRPr="00EB502F" w:rsidRDefault="003F7A9C" w:rsidP="00EB502F">
      <w:pPr>
        <w:widowControl w:val="0"/>
        <w:numPr>
          <w:ilvl w:val="0"/>
          <w:numId w:val="35"/>
        </w:numPr>
        <w:autoSpaceDE w:val="0"/>
        <w:autoSpaceDN w:val="0"/>
        <w:spacing w:after="160" w:line="259" w:lineRule="auto"/>
        <w:ind w:right="810"/>
        <w:rPr>
          <w:rFonts w:ascii="Calibri" w:eastAsia="Aptos" w:hAnsi="Calibri" w:cs="Calibri"/>
          <w:kern w:val="2"/>
          <w:szCs w:val="24"/>
          <w14:ligatures w14:val="standardContextual"/>
        </w:rPr>
      </w:pPr>
      <w:r w:rsidRPr="00EB502F">
        <w:rPr>
          <w:rFonts w:ascii="Calibri" w:eastAsia="Aptos" w:hAnsi="Calibri" w:cs="Calibri"/>
          <w:kern w:val="2"/>
          <w:szCs w:val="24"/>
          <w14:ligatures w14:val="standardContextual"/>
        </w:rPr>
        <w:t xml:space="preserve">The Holder will make good faith efforts to offer jobs to the individuals who had been employed at SEMC as of the Closing by offering continued employment following the Closing, on the same terms as feasible. </w:t>
      </w:r>
    </w:p>
    <w:p w14:paraId="63333D90" w14:textId="77777777" w:rsidR="003F7A9C" w:rsidRPr="00BE6393" w:rsidRDefault="003F7A9C" w:rsidP="003F7A9C">
      <w:pPr>
        <w:ind w:left="630" w:right="810"/>
        <w:rPr>
          <w:rFonts w:ascii="Calibri" w:eastAsia="Aptos" w:hAnsi="Calibri" w:cs="Calibri"/>
          <w:kern w:val="2"/>
          <w:szCs w:val="24"/>
          <w14:ligatures w14:val="standardContextual"/>
        </w:rPr>
      </w:pPr>
      <w:r w:rsidRPr="00BE6393">
        <w:rPr>
          <w:rFonts w:ascii="Calibri" w:eastAsia="Aptos" w:hAnsi="Calibri" w:cs="Calibri"/>
          <w:kern w:val="2"/>
          <w:szCs w:val="24"/>
          <w14:ligatures w14:val="standardContextual"/>
        </w:rPr>
        <w:t> </w:t>
      </w:r>
    </w:p>
    <w:p w14:paraId="3FCDAF34" w14:textId="77777777" w:rsidR="003F7A9C" w:rsidRPr="00BE6393" w:rsidRDefault="003F7A9C" w:rsidP="003F7A9C">
      <w:pPr>
        <w:ind w:left="630" w:right="810"/>
        <w:rPr>
          <w:rFonts w:ascii="Calibri" w:eastAsia="Aptos" w:hAnsi="Calibri" w:cs="Calibri"/>
          <w:kern w:val="2"/>
          <w:szCs w:val="24"/>
          <w14:ligatures w14:val="standardContextual"/>
        </w:rPr>
      </w:pPr>
      <w:r w:rsidRPr="00BE6393">
        <w:rPr>
          <w:rFonts w:ascii="Calibri" w:eastAsia="Aptos" w:hAnsi="Calibri" w:cs="Calibri"/>
          <w:kern w:val="2"/>
          <w:szCs w:val="24"/>
          <w14:ligatures w14:val="standardContextual"/>
        </w:rPr>
        <w:t> </w:t>
      </w:r>
    </w:p>
    <w:p w14:paraId="50C73B53" w14:textId="77777777" w:rsidR="003F7A9C" w:rsidRPr="00DF3D01" w:rsidRDefault="003F7A9C" w:rsidP="003F7A9C">
      <w:pPr>
        <w:ind w:left="630" w:right="810"/>
        <w:rPr>
          <w:rFonts w:ascii="Calibri" w:hAnsi="Calibri" w:cs="Calibri"/>
        </w:rPr>
      </w:pPr>
    </w:p>
    <w:p w14:paraId="063BCC67" w14:textId="77777777" w:rsidR="003F7A9C" w:rsidRPr="00DF3D01" w:rsidRDefault="003F7A9C" w:rsidP="003F7A9C">
      <w:pPr>
        <w:ind w:left="630" w:right="810"/>
        <w:rPr>
          <w:rFonts w:ascii="Calibri" w:hAnsi="Calibri" w:cs="Calibri"/>
        </w:rPr>
      </w:pPr>
      <w:r w:rsidRPr="00DF3D01">
        <w:rPr>
          <w:rFonts w:ascii="Calibri" w:hAnsi="Calibri" w:cs="Calibri"/>
        </w:rPr>
        <w:t> </w:t>
      </w:r>
    </w:p>
    <w:p w14:paraId="3F1D3873" w14:textId="77777777" w:rsidR="003F7A9C" w:rsidRDefault="003F7A9C" w:rsidP="003F7A9C">
      <w:pPr>
        <w:ind w:left="630" w:right="810"/>
        <w:rPr>
          <w:rFonts w:ascii="Calibri" w:hAnsi="Calibri" w:cs="Calibri"/>
        </w:rPr>
      </w:pPr>
    </w:p>
    <w:p w14:paraId="5F0B73FC" w14:textId="77777777" w:rsidR="003F7A9C" w:rsidRPr="006E791E" w:rsidRDefault="003F7A9C" w:rsidP="003F7A9C">
      <w:pPr>
        <w:ind w:left="630" w:right="810"/>
        <w:rPr>
          <w:rFonts w:ascii="Calibri" w:hAnsi="Calibri" w:cs="Calibri"/>
        </w:rPr>
      </w:pPr>
      <w:r w:rsidRPr="001F5675">
        <w:rPr>
          <w:rFonts w:ascii="Calibri" w:hAnsi="Calibri" w:cs="Calibri"/>
        </w:rPr>
        <w:lastRenderedPageBreak/>
        <w:t>The Commissioner may subsequently require a full Application for Determination of Need consistent with 105 CMR 100.405.</w:t>
      </w:r>
      <w:r>
        <w:rPr>
          <w:rFonts w:ascii="Calibri" w:hAnsi="Calibri" w:cs="Calibri"/>
        </w:rPr>
        <w:t xml:space="preserve"> </w:t>
      </w:r>
      <w:r w:rsidRPr="006E791E">
        <w:rPr>
          <w:rFonts w:ascii="Calibri" w:hAnsi="Calibri" w:cs="Calibri"/>
        </w:rPr>
        <w:t xml:space="preserve">Ongoing compliance with the conditions and all terms of the </w:t>
      </w:r>
      <w:proofErr w:type="spellStart"/>
      <w:r w:rsidRPr="006E791E">
        <w:rPr>
          <w:rFonts w:ascii="Calibri" w:hAnsi="Calibri" w:cs="Calibri"/>
        </w:rPr>
        <w:t>DoN</w:t>
      </w:r>
      <w:proofErr w:type="spellEnd"/>
      <w:r w:rsidRPr="006E791E">
        <w:rPr>
          <w:rFonts w:ascii="Calibri" w:hAnsi="Calibri" w:cs="Calibri"/>
        </w:rPr>
        <w:t xml:space="preserve"> is, pursuant to the Regulation, a precondition to the filing of any future </w:t>
      </w:r>
      <w:proofErr w:type="spellStart"/>
      <w:r w:rsidRPr="006E791E">
        <w:rPr>
          <w:rFonts w:ascii="Calibri" w:hAnsi="Calibri" w:cs="Calibri"/>
        </w:rPr>
        <w:t>DoN</w:t>
      </w:r>
      <w:proofErr w:type="spellEnd"/>
      <w:r w:rsidRPr="006E791E">
        <w:rPr>
          <w:rFonts w:ascii="Calibri" w:hAnsi="Calibri" w:cs="Calibri"/>
        </w:rPr>
        <w:t xml:space="preserve"> by the Holder.</w:t>
      </w:r>
    </w:p>
    <w:p w14:paraId="556D6D14" w14:textId="77777777" w:rsidR="003F7A9C" w:rsidRPr="00F97C1C" w:rsidRDefault="003F7A9C" w:rsidP="003F7A9C">
      <w:pPr>
        <w:ind w:left="630" w:right="810"/>
        <w:rPr>
          <w:rFonts w:ascii="Calibri" w:hAnsi="Calibri" w:cs="Calibri"/>
        </w:rPr>
      </w:pPr>
    </w:p>
    <w:p w14:paraId="61FE6CA2" w14:textId="77777777" w:rsidR="003F7A9C" w:rsidRPr="00F97C1C" w:rsidRDefault="003F7A9C" w:rsidP="003F7A9C">
      <w:pPr>
        <w:ind w:left="630" w:right="810"/>
        <w:rPr>
          <w:rFonts w:ascii="Calibri" w:hAnsi="Calibri" w:cs="Calibri"/>
        </w:rPr>
      </w:pPr>
    </w:p>
    <w:p w14:paraId="789A70EB" w14:textId="77777777" w:rsidR="003F7A9C" w:rsidRPr="00F97C1C" w:rsidRDefault="003F7A9C" w:rsidP="003F7A9C">
      <w:pPr>
        <w:ind w:left="630" w:right="810"/>
        <w:rPr>
          <w:rFonts w:ascii="Calibri" w:hAnsi="Calibri" w:cs="Calibri"/>
        </w:rPr>
      </w:pPr>
      <w:r w:rsidRPr="00F97C1C">
        <w:rPr>
          <w:rFonts w:ascii="Calibri" w:hAnsi="Calibri" w:cs="Calibri"/>
        </w:rPr>
        <w:t>Sincerely,</w:t>
      </w:r>
    </w:p>
    <w:p w14:paraId="57EAE10E" w14:textId="77777777" w:rsidR="003F7A9C" w:rsidRPr="00F97C1C" w:rsidRDefault="003F7A9C" w:rsidP="003F7A9C">
      <w:pPr>
        <w:ind w:left="630" w:right="810"/>
        <w:rPr>
          <w:rFonts w:ascii="Calibri" w:hAnsi="Calibri" w:cs="Calibri"/>
        </w:rPr>
      </w:pPr>
    </w:p>
    <w:p w14:paraId="68C8AF53" w14:textId="77777777" w:rsidR="003F7A9C" w:rsidRPr="00F97C1C" w:rsidRDefault="003F7A9C" w:rsidP="003F7A9C">
      <w:pPr>
        <w:ind w:left="630" w:right="810"/>
        <w:rPr>
          <w:rFonts w:ascii="Calibri" w:hAnsi="Calibri" w:cs="Calibri"/>
        </w:rPr>
      </w:pPr>
      <w:r w:rsidRPr="00F97C1C">
        <w:rPr>
          <w:rFonts w:ascii="Calibri" w:hAnsi="Calibri" w:cs="Calibri"/>
        </w:rPr>
        <w:t>[signature on file]</w:t>
      </w:r>
    </w:p>
    <w:p w14:paraId="75FAE9CD" w14:textId="77777777" w:rsidR="003F7A9C" w:rsidRPr="00F97C1C" w:rsidRDefault="003F7A9C" w:rsidP="003F7A9C">
      <w:pPr>
        <w:ind w:left="630" w:right="810"/>
        <w:rPr>
          <w:rFonts w:ascii="Calibri" w:hAnsi="Calibri" w:cs="Calibri"/>
        </w:rPr>
      </w:pPr>
    </w:p>
    <w:p w14:paraId="35E857D5" w14:textId="77777777" w:rsidR="003F7A9C" w:rsidRPr="00F97C1C" w:rsidRDefault="003F7A9C" w:rsidP="003F7A9C">
      <w:pPr>
        <w:ind w:left="630" w:right="810"/>
        <w:rPr>
          <w:rFonts w:ascii="Calibri" w:hAnsi="Calibri" w:cs="Calibri"/>
        </w:rPr>
      </w:pPr>
      <w:r w:rsidRPr="00F97C1C">
        <w:rPr>
          <w:rFonts w:ascii="Calibri" w:hAnsi="Calibri" w:cs="Calibri"/>
        </w:rPr>
        <w:t>Robert Goldstein, Commissioner</w:t>
      </w:r>
    </w:p>
    <w:p w14:paraId="2D7E51AF" w14:textId="77777777" w:rsidR="003F7A9C" w:rsidRPr="00F97C1C" w:rsidRDefault="003F7A9C" w:rsidP="003F7A9C">
      <w:pPr>
        <w:ind w:left="630" w:right="810"/>
        <w:rPr>
          <w:rFonts w:ascii="Calibri" w:hAnsi="Calibri" w:cs="Calibri"/>
        </w:rPr>
      </w:pPr>
    </w:p>
    <w:p w14:paraId="62106F1A" w14:textId="77777777" w:rsidR="003F7A9C" w:rsidRPr="00F97C1C" w:rsidRDefault="003F7A9C" w:rsidP="003F7A9C">
      <w:pPr>
        <w:ind w:left="630" w:right="810"/>
        <w:rPr>
          <w:rFonts w:ascii="Calibri" w:hAnsi="Calibri" w:cs="Calibri"/>
        </w:rPr>
      </w:pPr>
      <w:r w:rsidRPr="00F97C1C">
        <w:rPr>
          <w:rFonts w:ascii="Calibri" w:hAnsi="Calibri" w:cs="Calibri"/>
        </w:rPr>
        <w:t>cc:</w:t>
      </w:r>
    </w:p>
    <w:p w14:paraId="2B83320E" w14:textId="77777777" w:rsidR="003F7A9C" w:rsidRPr="00F97C1C" w:rsidRDefault="003F7A9C" w:rsidP="003F7A9C">
      <w:pPr>
        <w:ind w:left="630" w:right="810"/>
        <w:rPr>
          <w:rFonts w:ascii="Calibri" w:hAnsi="Calibri" w:cs="Calibri"/>
        </w:rPr>
      </w:pPr>
    </w:p>
    <w:p w14:paraId="6324155B" w14:textId="77777777" w:rsidR="003F7A9C" w:rsidRPr="00F97C1C" w:rsidRDefault="003F7A9C" w:rsidP="003F7A9C">
      <w:pPr>
        <w:ind w:left="630" w:right="810"/>
        <w:rPr>
          <w:rFonts w:ascii="Calibri" w:hAnsi="Calibri" w:cs="Calibri"/>
        </w:rPr>
      </w:pPr>
      <w:r w:rsidRPr="52DD3C6A">
        <w:rPr>
          <w:rFonts w:ascii="Calibri" w:hAnsi="Calibri" w:cs="Calibri"/>
        </w:rPr>
        <w:t>Jaclyn Gagne, Chief Deputy General Counsel Health Care Licensure</w:t>
      </w:r>
    </w:p>
    <w:p w14:paraId="7A542ED4" w14:textId="77777777" w:rsidR="003F7A9C" w:rsidRPr="00F97C1C" w:rsidRDefault="003F7A9C" w:rsidP="003F7A9C">
      <w:pPr>
        <w:ind w:left="630" w:right="810"/>
        <w:rPr>
          <w:rFonts w:ascii="Calibri" w:hAnsi="Calibri" w:cs="Calibri"/>
        </w:rPr>
      </w:pPr>
      <w:r w:rsidRPr="00F97C1C">
        <w:rPr>
          <w:rFonts w:ascii="Calibri" w:hAnsi="Calibri" w:cs="Calibri"/>
        </w:rPr>
        <w:t xml:space="preserve">Stephen Davis, Division of Health Care Facility Licensure and Certification </w:t>
      </w:r>
    </w:p>
    <w:p w14:paraId="0A957501" w14:textId="77777777" w:rsidR="003F7A9C" w:rsidRPr="00F97C1C" w:rsidRDefault="003F7A9C" w:rsidP="003F7A9C">
      <w:pPr>
        <w:ind w:left="630" w:right="810"/>
        <w:rPr>
          <w:rFonts w:ascii="Calibri" w:hAnsi="Calibri" w:cs="Calibri"/>
        </w:rPr>
      </w:pPr>
      <w:r w:rsidRPr="00F97C1C">
        <w:rPr>
          <w:rFonts w:ascii="Calibri" w:hAnsi="Calibri" w:cs="Calibri"/>
        </w:rPr>
        <w:t>Hilary Ward, Division of Health Care Facility Licensure and Certification</w:t>
      </w:r>
    </w:p>
    <w:p w14:paraId="22B64FC0" w14:textId="77777777" w:rsidR="003F7A9C" w:rsidRPr="00F97C1C" w:rsidRDefault="003F7A9C" w:rsidP="003F7A9C">
      <w:pPr>
        <w:ind w:left="630" w:right="810"/>
        <w:rPr>
          <w:rFonts w:ascii="Calibri" w:hAnsi="Calibri" w:cs="Calibri"/>
        </w:rPr>
      </w:pPr>
      <w:r w:rsidRPr="00F97C1C">
        <w:rPr>
          <w:rFonts w:ascii="Calibri" w:hAnsi="Calibri" w:cs="Calibri"/>
        </w:rPr>
        <w:t>Samuel Louis, Office of Health Equity</w:t>
      </w:r>
    </w:p>
    <w:p w14:paraId="471E4EEB" w14:textId="77777777" w:rsidR="003F7A9C" w:rsidRPr="00F97C1C" w:rsidRDefault="003F7A9C" w:rsidP="003F7A9C">
      <w:pPr>
        <w:ind w:left="630" w:right="810"/>
        <w:rPr>
          <w:rFonts w:ascii="Calibri" w:hAnsi="Calibri" w:cs="Calibri"/>
        </w:rPr>
      </w:pPr>
      <w:r w:rsidRPr="00F97C1C">
        <w:rPr>
          <w:rFonts w:ascii="Calibri" w:hAnsi="Calibri" w:cs="Calibri"/>
        </w:rPr>
        <w:t xml:space="preserve">Pavel </w:t>
      </w:r>
      <w:proofErr w:type="spellStart"/>
      <w:r w:rsidRPr="00F97C1C">
        <w:rPr>
          <w:rFonts w:ascii="Calibri" w:hAnsi="Calibri" w:cs="Calibri"/>
        </w:rPr>
        <w:t>Terpelets</w:t>
      </w:r>
      <w:proofErr w:type="spellEnd"/>
      <w:r w:rsidRPr="00F97C1C">
        <w:rPr>
          <w:rFonts w:ascii="Calibri" w:hAnsi="Calibri" w:cs="Calibri"/>
        </w:rPr>
        <w:t xml:space="preserve">, Deputy Director of Institutional Programs OLTSS, MassHealth </w:t>
      </w:r>
    </w:p>
    <w:p w14:paraId="70C662DD" w14:textId="77777777" w:rsidR="003F7A9C" w:rsidRPr="00F97C1C" w:rsidRDefault="003F7A9C" w:rsidP="003F7A9C">
      <w:pPr>
        <w:ind w:left="630" w:right="810"/>
        <w:rPr>
          <w:rFonts w:ascii="Calibri" w:hAnsi="Calibri" w:cs="Calibri"/>
        </w:rPr>
      </w:pPr>
      <w:r w:rsidRPr="00F97C1C">
        <w:rPr>
          <w:rFonts w:ascii="Calibri" w:hAnsi="Calibri" w:cs="Calibri"/>
        </w:rPr>
        <w:t>Katherine Mills, Health Policy Commission</w:t>
      </w:r>
    </w:p>
    <w:p w14:paraId="05CB9BCB" w14:textId="77777777" w:rsidR="003F7A9C" w:rsidRPr="00F97C1C" w:rsidRDefault="003F7A9C" w:rsidP="003F7A9C">
      <w:pPr>
        <w:ind w:left="630" w:right="810"/>
        <w:rPr>
          <w:rFonts w:ascii="Calibri" w:hAnsi="Calibri" w:cs="Calibri"/>
        </w:rPr>
      </w:pPr>
      <w:r w:rsidRPr="00F97C1C">
        <w:rPr>
          <w:rFonts w:ascii="Calibri" w:hAnsi="Calibri" w:cs="Calibri"/>
        </w:rPr>
        <w:t>Eric Gold, Attorney General’s Office</w:t>
      </w:r>
    </w:p>
    <w:p w14:paraId="6F24769C" w14:textId="77777777" w:rsidR="003F7A9C" w:rsidRPr="00F97C1C" w:rsidRDefault="003F7A9C" w:rsidP="003F7A9C">
      <w:pPr>
        <w:ind w:left="630" w:right="810"/>
        <w:rPr>
          <w:rFonts w:ascii="Calibri" w:hAnsi="Calibri" w:cs="Calibri"/>
        </w:rPr>
      </w:pPr>
      <w:r w:rsidRPr="00F97C1C">
        <w:rPr>
          <w:rFonts w:ascii="Calibri" w:hAnsi="Calibri" w:cs="Calibri"/>
        </w:rPr>
        <w:t>Dennis Renaud, Director Determination of Need</w:t>
      </w:r>
    </w:p>
    <w:p w14:paraId="1843C5EA" w14:textId="47D88B93" w:rsidR="00AC7937" w:rsidRPr="00E132E0" w:rsidRDefault="00AC7937" w:rsidP="003F7A9C">
      <w:pPr>
        <w:pStyle w:val="BodyText"/>
        <w:ind w:left="630" w:right="81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2AE9A" w14:textId="77777777" w:rsidR="007E1B7E" w:rsidRDefault="007E1B7E">
      <w:r>
        <w:separator/>
      </w:r>
    </w:p>
  </w:endnote>
  <w:endnote w:type="continuationSeparator" w:id="0">
    <w:p w14:paraId="50FE03D4" w14:textId="77777777" w:rsidR="007E1B7E" w:rsidRDefault="007E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69132A2"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FA1D0" w14:textId="77777777" w:rsidR="007E1B7E" w:rsidRDefault="007E1B7E">
      <w:r>
        <w:separator/>
      </w:r>
    </w:p>
  </w:footnote>
  <w:footnote w:type="continuationSeparator" w:id="0">
    <w:p w14:paraId="087C1BBD" w14:textId="77777777" w:rsidR="007E1B7E" w:rsidRDefault="007E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EB502F">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EB502F">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8"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7"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9"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71F2F45"/>
    <w:multiLevelType w:val="multilevel"/>
    <w:tmpl w:val="9CF847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9311627">
    <w:abstractNumId w:val="16"/>
  </w:num>
  <w:num w:numId="2" w16cid:durableId="762186708">
    <w:abstractNumId w:val="32"/>
  </w:num>
  <w:num w:numId="3" w16cid:durableId="1646734026">
    <w:abstractNumId w:val="15"/>
  </w:num>
  <w:num w:numId="4" w16cid:durableId="1199271187">
    <w:abstractNumId w:val="18"/>
  </w:num>
  <w:num w:numId="5" w16cid:durableId="681317537">
    <w:abstractNumId w:val="7"/>
  </w:num>
  <w:num w:numId="6" w16cid:durableId="1381707578">
    <w:abstractNumId w:val="3"/>
  </w:num>
  <w:num w:numId="7" w16cid:durableId="1098794647">
    <w:abstractNumId w:val="0"/>
  </w:num>
  <w:num w:numId="8" w16cid:durableId="1799689906">
    <w:abstractNumId w:val="1"/>
  </w:num>
  <w:num w:numId="9" w16cid:durableId="1873613147">
    <w:abstractNumId w:val="2"/>
  </w:num>
  <w:num w:numId="10" w16cid:durableId="277298132">
    <w:abstractNumId w:val="5"/>
  </w:num>
  <w:num w:numId="11" w16cid:durableId="1522206958">
    <w:abstractNumId w:val="4"/>
  </w:num>
  <w:num w:numId="12" w16cid:durableId="937063355">
    <w:abstractNumId w:val="17"/>
  </w:num>
  <w:num w:numId="13" w16cid:durableId="342782311">
    <w:abstractNumId w:val="9"/>
  </w:num>
  <w:num w:numId="14" w16cid:durableId="772431855">
    <w:abstractNumId w:val="31"/>
  </w:num>
  <w:num w:numId="15" w16cid:durableId="445076923">
    <w:abstractNumId w:val="12"/>
  </w:num>
  <w:num w:numId="16" w16cid:durableId="19161068">
    <w:abstractNumId w:val="20"/>
  </w:num>
  <w:num w:numId="17" w16cid:durableId="914825233">
    <w:abstractNumId w:val="10"/>
  </w:num>
  <w:num w:numId="18" w16cid:durableId="2085640323">
    <w:abstractNumId w:val="27"/>
  </w:num>
  <w:num w:numId="19" w16cid:durableId="231354064">
    <w:abstractNumId w:val="26"/>
  </w:num>
  <w:num w:numId="20" w16cid:durableId="431049420">
    <w:abstractNumId w:val="11"/>
  </w:num>
  <w:num w:numId="21" w16cid:durableId="1568878707">
    <w:abstractNumId w:val="14"/>
  </w:num>
  <w:num w:numId="22" w16cid:durableId="1052271431">
    <w:abstractNumId w:val="28"/>
  </w:num>
  <w:num w:numId="23" w16cid:durableId="880433973">
    <w:abstractNumId w:val="29"/>
  </w:num>
  <w:num w:numId="24" w16cid:durableId="1027219721">
    <w:abstractNumId w:val="30"/>
  </w:num>
  <w:num w:numId="25" w16cid:durableId="660352645">
    <w:abstractNumId w:val="8"/>
  </w:num>
  <w:num w:numId="26" w16cid:durableId="667093896">
    <w:abstractNumId w:val="25"/>
  </w:num>
  <w:num w:numId="27" w16cid:durableId="324162604">
    <w:abstractNumId w:val="6"/>
  </w:num>
  <w:num w:numId="28" w16cid:durableId="484861583">
    <w:abstractNumId w:val="35"/>
  </w:num>
  <w:num w:numId="29" w16cid:durableId="59448197">
    <w:abstractNumId w:val="23"/>
  </w:num>
  <w:num w:numId="30" w16cid:durableId="1146312210">
    <w:abstractNumId w:val="34"/>
  </w:num>
  <w:num w:numId="31" w16cid:durableId="1709836503">
    <w:abstractNumId w:val="22"/>
  </w:num>
  <w:num w:numId="32" w16cid:durableId="1877041009">
    <w:abstractNumId w:val="13"/>
  </w:num>
  <w:num w:numId="33" w16cid:durableId="1650209594">
    <w:abstractNumId w:val="19"/>
  </w:num>
  <w:num w:numId="34" w16cid:durableId="503059969">
    <w:abstractNumId w:val="33"/>
  </w:num>
  <w:num w:numId="35" w16cid:durableId="982080976">
    <w:abstractNumId w:val="21"/>
  </w:num>
  <w:num w:numId="36" w16cid:durableId="11120947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007DB"/>
    <w:rsid w:val="000D2F88"/>
    <w:rsid w:val="00110E80"/>
    <w:rsid w:val="00194C98"/>
    <w:rsid w:val="001D6D5B"/>
    <w:rsid w:val="001F5073"/>
    <w:rsid w:val="0024067D"/>
    <w:rsid w:val="00290C8F"/>
    <w:rsid w:val="003C1141"/>
    <w:rsid w:val="003E5393"/>
    <w:rsid w:val="003F7A9C"/>
    <w:rsid w:val="004A0AEC"/>
    <w:rsid w:val="004A5F2E"/>
    <w:rsid w:val="004E26E5"/>
    <w:rsid w:val="00532ED8"/>
    <w:rsid w:val="00597048"/>
    <w:rsid w:val="005E53D6"/>
    <w:rsid w:val="006347F1"/>
    <w:rsid w:val="006547AF"/>
    <w:rsid w:val="006732EA"/>
    <w:rsid w:val="00681FDA"/>
    <w:rsid w:val="006C6B86"/>
    <w:rsid w:val="00716874"/>
    <w:rsid w:val="0079253C"/>
    <w:rsid w:val="007D6511"/>
    <w:rsid w:val="007E1B7E"/>
    <w:rsid w:val="00814042"/>
    <w:rsid w:val="0085011D"/>
    <w:rsid w:val="00897125"/>
    <w:rsid w:val="008B014B"/>
    <w:rsid w:val="008D5B84"/>
    <w:rsid w:val="008E5521"/>
    <w:rsid w:val="00941160"/>
    <w:rsid w:val="009E27CF"/>
    <w:rsid w:val="00AC7937"/>
    <w:rsid w:val="00AF731A"/>
    <w:rsid w:val="00B310BC"/>
    <w:rsid w:val="00BB45AE"/>
    <w:rsid w:val="00BC6819"/>
    <w:rsid w:val="00C421A9"/>
    <w:rsid w:val="00C42626"/>
    <w:rsid w:val="00C43DBE"/>
    <w:rsid w:val="00C911CB"/>
    <w:rsid w:val="00D36A7B"/>
    <w:rsid w:val="00D81782"/>
    <w:rsid w:val="00E132E0"/>
    <w:rsid w:val="00E54277"/>
    <w:rsid w:val="00EB502F"/>
    <w:rsid w:val="00EE76E9"/>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38</cp:revision>
  <dcterms:created xsi:type="dcterms:W3CDTF">2023-05-18T13:56:00Z</dcterms:created>
  <dcterms:modified xsi:type="dcterms:W3CDTF">2024-09-25T14:14:00Z</dcterms:modified>
</cp:coreProperties>
</file>