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9E41" w14:textId="77777777" w:rsidR="00ED2D06" w:rsidRDefault="00ED2D06" w:rsidP="00ED2D06">
      <w:pPr>
        <w:rPr>
          <w:rFonts w:ascii="Arial" w:hAnsi="Arial"/>
          <w:sz w:val="36"/>
        </w:rPr>
      </w:pPr>
      <w:r>
        <w:rPr>
          <w:rFonts w:ascii="LinePrinter" w:hAnsi="LinePrinter"/>
          <w:noProof/>
        </w:rPr>
        <w:drawing>
          <wp:inline distT="0" distB="0" distL="0" distR="0" wp14:anchorId="62E15914" wp14:editId="7A235178">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4923F80F" w14:textId="77777777" w:rsidR="00ED2D06" w:rsidRDefault="00ED2D06" w:rsidP="00ED2D06">
      <w:pPr>
        <w:pStyle w:val="ExecOffice"/>
        <w:framePr w:w="0" w:hSpace="0" w:wrap="auto" w:vAnchor="margin" w:hAnchor="text" w:xAlign="left" w:yAlign="inline"/>
      </w:pPr>
      <w:r>
        <w:t>Executive Office of Health and Human Services</w:t>
      </w:r>
    </w:p>
    <w:p w14:paraId="03F02621" w14:textId="77777777" w:rsidR="00ED2D06" w:rsidRDefault="00ED2D06" w:rsidP="00ED2D06">
      <w:pPr>
        <w:pStyle w:val="ExecOffice"/>
        <w:framePr w:w="0" w:hSpace="0" w:wrap="auto" w:vAnchor="margin" w:hAnchor="text" w:xAlign="left" w:yAlign="inline"/>
      </w:pPr>
      <w:r>
        <w:t>Department of Public Health</w:t>
      </w:r>
    </w:p>
    <w:p w14:paraId="2EF368D3" w14:textId="77777777" w:rsidR="00ED2D06" w:rsidRDefault="00ED2D06" w:rsidP="00ED2D06">
      <w:pPr>
        <w:pStyle w:val="ExecOffice"/>
        <w:framePr w:w="0" w:hSpace="0" w:wrap="auto" w:vAnchor="margin" w:hAnchor="text" w:xAlign="left" w:yAlign="inline"/>
      </w:pPr>
      <w:r>
        <w:t>250 Washington Street, Boston, MA 02108-4619</w:t>
      </w:r>
    </w:p>
    <w:p w14:paraId="4B094044" w14:textId="77777777" w:rsidR="00ED2D06" w:rsidRDefault="00ED2D06" w:rsidP="00ED2D06">
      <w:pPr>
        <w:ind w:right="2790"/>
        <w:contextualSpacing/>
        <w:rPr>
          <w:rFonts w:ascii="Arial Rounded MT Bold" w:hAnsi="Arial Rounded MT Bold"/>
          <w:sz w:val="18"/>
          <w:szCs w:val="22"/>
        </w:rPr>
        <w:sectPr w:rsidR="00ED2D06" w:rsidSect="00CF7736">
          <w:headerReference w:type="even" r:id="rId9"/>
          <w:footerReference w:type="default" r:id="rId10"/>
          <w:headerReference w:type="first" r:id="rId11"/>
          <w:pgSz w:w="12240" w:h="15840"/>
          <w:pgMar w:top="536" w:right="1440" w:bottom="1440" w:left="1440" w:header="720" w:footer="288" w:gutter="0"/>
          <w:cols w:space="720"/>
          <w:docGrid w:linePitch="360"/>
        </w:sectPr>
      </w:pPr>
    </w:p>
    <w:p w14:paraId="3CF353D5" w14:textId="77777777" w:rsidR="00ED2D06" w:rsidRDefault="00ED2D06" w:rsidP="00ED2D06">
      <w:pPr>
        <w:ind w:right="2790"/>
        <w:contextualSpacing/>
        <w:rPr>
          <w:rFonts w:ascii="Arial Rounded MT Bold" w:hAnsi="Arial Rounded MT Bold"/>
          <w:sz w:val="18"/>
          <w:szCs w:val="22"/>
        </w:rPr>
      </w:pPr>
    </w:p>
    <w:p w14:paraId="5DE3F821" w14:textId="77777777" w:rsidR="00ED2D06" w:rsidRPr="00554081" w:rsidRDefault="00ED2D06" w:rsidP="00ED2D06">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0DB2FD75" w14:textId="77777777" w:rsidR="00ED2D06" w:rsidRDefault="00ED2D06" w:rsidP="00ED2D06">
      <w:pPr>
        <w:pStyle w:val="Weld"/>
        <w:framePr w:hSpace="0" w:wrap="auto" w:vAnchor="margin" w:hAnchor="text" w:xAlign="left" w:yAlign="inline"/>
        <w:ind w:right="2340"/>
      </w:pPr>
      <w:r>
        <w:t>Governor</w:t>
      </w:r>
    </w:p>
    <w:p w14:paraId="26B22176" w14:textId="77777777" w:rsidR="00ED2D06" w:rsidRDefault="00ED2D06" w:rsidP="00ED2D06">
      <w:pPr>
        <w:ind w:right="2340"/>
        <w:contextualSpacing/>
        <w:jc w:val="center"/>
        <w:rPr>
          <w:sz w:val="16"/>
        </w:rPr>
      </w:pPr>
    </w:p>
    <w:p w14:paraId="1ABA68F0" w14:textId="77777777" w:rsidR="00ED2D06" w:rsidRPr="00554081" w:rsidRDefault="00ED2D06" w:rsidP="00ED2D06">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7C587415" w14:textId="77777777" w:rsidR="00ED2D06" w:rsidRPr="00624404" w:rsidRDefault="00ED2D06" w:rsidP="00ED2D06">
      <w:pPr>
        <w:pStyle w:val="Weld"/>
        <w:framePr w:hSpace="0" w:wrap="auto" w:vAnchor="margin" w:hAnchor="text" w:xAlign="left" w:yAlign="inline"/>
        <w:ind w:right="2340"/>
        <w:rPr>
          <w:rFonts w:ascii="Calibri" w:hAnsi="Calibri" w:cs="Calibri"/>
          <w:szCs w:val="24"/>
        </w:rPr>
      </w:pPr>
      <w:r>
        <w:t>Lieutenant Governor</w:t>
      </w:r>
    </w:p>
    <w:p w14:paraId="686A52F8" w14:textId="77777777" w:rsidR="00ED2D06" w:rsidRDefault="00ED2D06" w:rsidP="00ED2D06">
      <w:pPr>
        <w:pStyle w:val="Weld"/>
        <w:framePr w:hSpace="0" w:wrap="auto" w:vAnchor="margin" w:hAnchor="text" w:xAlign="left" w:yAlign="inline"/>
        <w:ind w:right="2340"/>
        <w:jc w:val="left"/>
      </w:pPr>
    </w:p>
    <w:p w14:paraId="51FDF259" w14:textId="77777777" w:rsidR="00ED2D06" w:rsidRDefault="00ED2D06" w:rsidP="00ED2D06">
      <w:pPr>
        <w:pStyle w:val="Weld"/>
        <w:framePr w:hSpace="0" w:wrap="auto" w:vAnchor="margin" w:hAnchor="text" w:xAlign="left" w:yAlign="inline"/>
        <w:ind w:right="2340"/>
        <w:jc w:val="left"/>
      </w:pPr>
    </w:p>
    <w:p w14:paraId="16471CA6" w14:textId="77777777" w:rsidR="00ED2D06" w:rsidRDefault="00ED2D06" w:rsidP="00ED2D06">
      <w:pPr>
        <w:pStyle w:val="Weld"/>
        <w:framePr w:hSpace="0" w:wrap="auto" w:vAnchor="margin" w:hAnchor="text" w:xAlign="left" w:yAlign="inline"/>
        <w:ind w:right="2340"/>
        <w:jc w:val="left"/>
      </w:pPr>
    </w:p>
    <w:p w14:paraId="4122B764" w14:textId="77777777" w:rsidR="00ED2D06" w:rsidRPr="00554081" w:rsidRDefault="00ED2D06" w:rsidP="00ED2D06">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6BE23BCF" w14:textId="77777777" w:rsidR="00ED2D06" w:rsidRDefault="00ED2D06" w:rsidP="00ED2D06">
      <w:pPr>
        <w:pStyle w:val="Weld"/>
        <w:framePr w:hSpace="0" w:wrap="auto" w:vAnchor="margin" w:hAnchor="text" w:xAlign="left" w:yAlign="inline"/>
        <w:ind w:left="1980"/>
      </w:pPr>
      <w:r>
        <w:t>Secretary</w:t>
      </w:r>
    </w:p>
    <w:p w14:paraId="611D7526" w14:textId="77777777" w:rsidR="00ED2D06" w:rsidRDefault="00ED2D06" w:rsidP="00ED2D06">
      <w:pPr>
        <w:pStyle w:val="Weld"/>
        <w:framePr w:hSpace="0" w:wrap="auto" w:vAnchor="margin" w:hAnchor="text" w:xAlign="left" w:yAlign="inline"/>
        <w:ind w:left="1980"/>
      </w:pPr>
    </w:p>
    <w:p w14:paraId="422423DF" w14:textId="77777777" w:rsidR="00ED2D06" w:rsidRDefault="00ED2D06" w:rsidP="00ED2D06">
      <w:pPr>
        <w:ind w:left="1980"/>
        <w:contextualSpacing/>
        <w:jc w:val="center"/>
        <w:rPr>
          <w:szCs w:val="16"/>
        </w:rPr>
      </w:pPr>
      <w:r w:rsidRPr="00554081">
        <w:rPr>
          <w:rFonts w:ascii="Arial Rounded MT Bold" w:hAnsi="Arial Rounded MT Bold"/>
          <w:sz w:val="18"/>
          <w:szCs w:val="22"/>
        </w:rPr>
        <w:t>MARGRET R. COOKE</w:t>
      </w:r>
    </w:p>
    <w:p w14:paraId="7F80FF85" w14:textId="77777777" w:rsidR="00ED2D06" w:rsidRPr="00C2477D" w:rsidRDefault="00ED2D06" w:rsidP="00ED2D06">
      <w:pPr>
        <w:pStyle w:val="Weld"/>
        <w:framePr w:hSpace="0" w:wrap="auto" w:vAnchor="margin" w:hAnchor="text" w:xAlign="left" w:yAlign="inline"/>
        <w:ind w:left="1980"/>
      </w:pPr>
      <w:r>
        <w:rPr>
          <w:szCs w:val="14"/>
        </w:rPr>
        <w:t>C</w:t>
      </w:r>
      <w:r w:rsidRPr="00FC6B42">
        <w:rPr>
          <w:szCs w:val="14"/>
        </w:rPr>
        <w:t>ommissioner</w:t>
      </w:r>
    </w:p>
    <w:p w14:paraId="12D78589" w14:textId="77777777" w:rsidR="00ED2D06" w:rsidRDefault="00ED2D06" w:rsidP="00ED2D06">
      <w:pPr>
        <w:pStyle w:val="Governor"/>
        <w:framePr w:hSpace="0" w:wrap="auto" w:vAnchor="margin" w:hAnchor="text" w:xAlign="left" w:yAlign="inline"/>
        <w:spacing w:after="0"/>
        <w:ind w:left="1980"/>
        <w:rPr>
          <w:rFonts w:ascii="Arial" w:hAnsi="Arial" w:cs="Arial"/>
          <w:b/>
          <w:szCs w:val="14"/>
        </w:rPr>
      </w:pPr>
    </w:p>
    <w:p w14:paraId="712A81C1" w14:textId="77777777" w:rsidR="00ED2D06" w:rsidRDefault="00ED2D06" w:rsidP="00ED2D06">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06C0B0AB" w14:textId="77777777" w:rsidR="00ED2D06" w:rsidRPr="00A763BA" w:rsidRDefault="00ED2D06" w:rsidP="00ED2D06">
      <w:pPr>
        <w:pStyle w:val="Governor"/>
        <w:framePr w:hSpace="0" w:wrap="auto" w:vAnchor="margin" w:hAnchor="text" w:xAlign="left" w:yAlign="inline"/>
        <w:spacing w:after="0"/>
        <w:ind w:left="1980"/>
        <w:rPr>
          <w:sz w:val="16"/>
        </w:rPr>
      </w:pPr>
      <w:hyperlink r:id="rId12" w:history="1">
        <w:r w:rsidRPr="00A51A30">
          <w:rPr>
            <w:rStyle w:val="Hyperlink"/>
            <w:rFonts w:ascii="Arial" w:hAnsi="Arial" w:cs="Arial"/>
            <w:b/>
            <w:szCs w:val="14"/>
            <w:lang w:val="fr-FR"/>
          </w:rPr>
          <w:t>www.mass.gov/dph</w:t>
        </w:r>
      </w:hyperlink>
    </w:p>
    <w:p w14:paraId="294644CC" w14:textId="77777777" w:rsidR="00ED2D06" w:rsidRDefault="00ED2D06" w:rsidP="00ED2D06">
      <w:pPr>
        <w:ind w:right="2340"/>
        <w:sectPr w:rsidR="00ED2D06" w:rsidSect="005B14DC">
          <w:type w:val="continuous"/>
          <w:pgSz w:w="12240" w:h="15840"/>
          <w:pgMar w:top="1440" w:right="1440" w:bottom="1440" w:left="1440" w:header="720" w:footer="720" w:gutter="0"/>
          <w:cols w:num="2" w:space="720"/>
          <w:docGrid w:linePitch="360"/>
        </w:sectPr>
      </w:pPr>
    </w:p>
    <w:p w14:paraId="07CA1430" w14:textId="77777777" w:rsidR="00ED2D06" w:rsidRDefault="00ED2D06" w:rsidP="00ED2D06">
      <w:pPr>
        <w:rPr>
          <w:szCs w:val="24"/>
        </w:rPr>
      </w:pPr>
    </w:p>
    <w:p w14:paraId="44F2B4B8" w14:textId="77777777" w:rsidR="00237CED" w:rsidRPr="00237CED" w:rsidRDefault="00237CED" w:rsidP="00237CED">
      <w:pPr>
        <w:rPr>
          <w:szCs w:val="24"/>
        </w:rPr>
      </w:pPr>
      <w:r w:rsidRPr="00237CED">
        <w:rPr>
          <w:szCs w:val="24"/>
        </w:rPr>
        <w:t>December 20, 2022</w:t>
      </w:r>
    </w:p>
    <w:p w14:paraId="2E0BDD1F" w14:textId="77777777" w:rsidR="00237CED" w:rsidRPr="00237CED" w:rsidRDefault="00237CED" w:rsidP="00237CED">
      <w:pPr>
        <w:rPr>
          <w:szCs w:val="24"/>
        </w:rPr>
      </w:pPr>
    </w:p>
    <w:p w14:paraId="34473FE4" w14:textId="77777777" w:rsidR="00237CED" w:rsidRDefault="00237CED" w:rsidP="00237CED">
      <w:pPr>
        <w:ind w:right="-360"/>
        <w:rPr>
          <w:szCs w:val="24"/>
        </w:rPr>
      </w:pPr>
      <w:r w:rsidRPr="00237CED">
        <w:rPr>
          <w:szCs w:val="24"/>
        </w:rPr>
        <w:t xml:space="preserve">Kathleen Harrell, Esq. </w:t>
      </w:r>
    </w:p>
    <w:p w14:paraId="182EC5C8" w14:textId="40A27AA1" w:rsidR="00237CED" w:rsidRPr="00237CED" w:rsidRDefault="00237CED" w:rsidP="00237CED">
      <w:pPr>
        <w:ind w:right="-360"/>
        <w:rPr>
          <w:szCs w:val="24"/>
        </w:rPr>
      </w:pPr>
      <w:r w:rsidRPr="00237CED">
        <w:rPr>
          <w:szCs w:val="24"/>
        </w:rPr>
        <w:t>10 Overlook Circle</w:t>
      </w:r>
    </w:p>
    <w:p w14:paraId="55664320" w14:textId="2C6AD9A8" w:rsidR="00237CED" w:rsidRDefault="00237CED" w:rsidP="00237CED">
      <w:pPr>
        <w:ind w:right="-360"/>
        <w:rPr>
          <w:szCs w:val="24"/>
        </w:rPr>
      </w:pPr>
      <w:r w:rsidRPr="00237CED">
        <w:rPr>
          <w:szCs w:val="24"/>
        </w:rPr>
        <w:t>Plymouth, Massachusetts, 02360</w:t>
      </w:r>
    </w:p>
    <w:p w14:paraId="1A2CD4FB" w14:textId="77777777" w:rsidR="00237CED" w:rsidRPr="00237CED" w:rsidRDefault="00237CED" w:rsidP="00237CED">
      <w:pPr>
        <w:ind w:right="-360"/>
        <w:rPr>
          <w:szCs w:val="24"/>
        </w:rPr>
      </w:pPr>
    </w:p>
    <w:p w14:paraId="4673C406" w14:textId="0AD478FF" w:rsidR="00237CED" w:rsidRDefault="00237CED" w:rsidP="00237CED">
      <w:pPr>
        <w:ind w:right="-360"/>
        <w:rPr>
          <w:szCs w:val="24"/>
        </w:rPr>
      </w:pPr>
      <w:r w:rsidRPr="00237CED">
        <w:rPr>
          <w:szCs w:val="24"/>
        </w:rPr>
        <w:t xml:space="preserve">VIA EMAIL: </w:t>
      </w:r>
      <w:hyperlink r:id="rId13" w:history="1">
        <w:r w:rsidRPr="00337CFC">
          <w:rPr>
            <w:rStyle w:val="Hyperlink"/>
            <w:szCs w:val="24"/>
          </w:rPr>
          <w:t>kharrell@barrettharrell.com</w:t>
        </w:r>
      </w:hyperlink>
      <w:r w:rsidRPr="00237CED">
        <w:rPr>
          <w:szCs w:val="24"/>
        </w:rPr>
        <w:t xml:space="preserve"> </w:t>
      </w:r>
    </w:p>
    <w:p w14:paraId="72B04D71" w14:textId="77777777" w:rsidR="00237CED" w:rsidRDefault="00237CED" w:rsidP="00237CED">
      <w:pPr>
        <w:ind w:right="-360"/>
        <w:rPr>
          <w:szCs w:val="24"/>
        </w:rPr>
      </w:pPr>
    </w:p>
    <w:p w14:paraId="4F2A08AD" w14:textId="14328F4E" w:rsidR="00237CED" w:rsidRPr="00237CED" w:rsidRDefault="00237CED" w:rsidP="00237CED">
      <w:pPr>
        <w:ind w:right="-360"/>
        <w:rPr>
          <w:szCs w:val="24"/>
        </w:rPr>
      </w:pPr>
      <w:r w:rsidRPr="00237CED">
        <w:rPr>
          <w:szCs w:val="24"/>
        </w:rPr>
        <w:t>RE: Boston Medical Center</w:t>
      </w:r>
    </w:p>
    <w:p w14:paraId="0F2E91EF" w14:textId="77777777" w:rsidR="00237CED" w:rsidRDefault="00237CED" w:rsidP="00237CED">
      <w:pPr>
        <w:ind w:right="-360"/>
        <w:rPr>
          <w:szCs w:val="24"/>
        </w:rPr>
      </w:pPr>
      <w:r w:rsidRPr="00237CED">
        <w:rPr>
          <w:szCs w:val="24"/>
        </w:rPr>
        <w:t xml:space="preserve">Notice of Final Action </w:t>
      </w:r>
      <w:proofErr w:type="spellStart"/>
      <w:r w:rsidRPr="00237CED">
        <w:rPr>
          <w:szCs w:val="24"/>
        </w:rPr>
        <w:t>DoN</w:t>
      </w:r>
      <w:proofErr w:type="spellEnd"/>
      <w:r w:rsidRPr="00237CED">
        <w:rPr>
          <w:szCs w:val="24"/>
        </w:rPr>
        <w:t xml:space="preserve"> # BMCHS-22080908-HE </w:t>
      </w:r>
    </w:p>
    <w:p w14:paraId="28F8FF26" w14:textId="77777777" w:rsidR="00237CED" w:rsidRDefault="00237CED" w:rsidP="00237CED">
      <w:pPr>
        <w:ind w:right="-360"/>
        <w:rPr>
          <w:szCs w:val="24"/>
        </w:rPr>
      </w:pPr>
    </w:p>
    <w:p w14:paraId="1A9BBDD3" w14:textId="08A12444" w:rsidR="00237CED" w:rsidRPr="00237CED" w:rsidRDefault="00237CED" w:rsidP="00237CED">
      <w:pPr>
        <w:ind w:right="-360"/>
        <w:rPr>
          <w:szCs w:val="24"/>
        </w:rPr>
      </w:pPr>
      <w:r w:rsidRPr="00237CED">
        <w:rPr>
          <w:szCs w:val="24"/>
        </w:rPr>
        <w:t>Dear Attorney Harrell,</w:t>
      </w:r>
    </w:p>
    <w:p w14:paraId="601C78C8" w14:textId="7361225A" w:rsidR="00237CED" w:rsidRPr="00237CED" w:rsidRDefault="00237CED" w:rsidP="00237CED">
      <w:pPr>
        <w:ind w:right="-360"/>
        <w:rPr>
          <w:szCs w:val="24"/>
        </w:rPr>
      </w:pPr>
    </w:p>
    <w:p w14:paraId="3F528A6A" w14:textId="77777777" w:rsidR="00237CED" w:rsidRPr="00237CED" w:rsidRDefault="00237CED" w:rsidP="00237CED">
      <w:pPr>
        <w:ind w:right="-360"/>
        <w:rPr>
          <w:szCs w:val="24"/>
        </w:rPr>
      </w:pPr>
      <w:r w:rsidRPr="00237CED">
        <w:rPr>
          <w:szCs w:val="24"/>
        </w:rPr>
        <w:t xml:space="preserve">At their meeting of December 14, 2022, the </w:t>
      </w:r>
      <w:proofErr w:type="gramStart"/>
      <w:r w:rsidRPr="00237CED">
        <w:rPr>
          <w:szCs w:val="24"/>
        </w:rPr>
        <w:t>Commissioner</w:t>
      </w:r>
      <w:proofErr w:type="gramEnd"/>
      <w:r w:rsidRPr="00237CED">
        <w:rPr>
          <w:szCs w:val="24"/>
        </w:rPr>
        <w:t xml:space="preserve"> and the Public Health Council, acting together as the Department, voted pursuant to M.G.L. c.111, §51 and 105 CMR 100.000, to approve the Determination of Need application filed by BMC Health System, Inc. at the Boston Medical Center located at One Boston Medical Center Place, Boston, MA 02118 for the following:</w:t>
      </w:r>
    </w:p>
    <w:p w14:paraId="5C94E4B7" w14:textId="77777777" w:rsidR="00237CED" w:rsidRPr="00237CED" w:rsidRDefault="00237CED" w:rsidP="00237CED">
      <w:pPr>
        <w:ind w:right="-360"/>
        <w:rPr>
          <w:szCs w:val="24"/>
        </w:rPr>
      </w:pPr>
    </w:p>
    <w:p w14:paraId="59448D5F" w14:textId="77777777" w:rsidR="00237CED" w:rsidRDefault="00237CED" w:rsidP="00237CED">
      <w:pPr>
        <w:pStyle w:val="ListParagraph"/>
        <w:numPr>
          <w:ilvl w:val="0"/>
          <w:numId w:val="9"/>
        </w:numPr>
        <w:ind w:left="270" w:right="-360" w:hanging="270"/>
        <w:rPr>
          <w:szCs w:val="24"/>
        </w:rPr>
      </w:pPr>
      <w:r w:rsidRPr="00237CED">
        <w:rPr>
          <w:szCs w:val="24"/>
        </w:rPr>
        <w:t xml:space="preserve">Construction and renovation to BMC’s existing </w:t>
      </w:r>
      <w:proofErr w:type="spellStart"/>
      <w:r w:rsidRPr="00237CED">
        <w:rPr>
          <w:szCs w:val="24"/>
        </w:rPr>
        <w:t>Yawkey</w:t>
      </w:r>
      <w:proofErr w:type="spellEnd"/>
      <w:r w:rsidRPr="00237CED">
        <w:rPr>
          <w:szCs w:val="24"/>
        </w:rPr>
        <w:t xml:space="preserve"> Building 5th and 6th floors to accommodate the addition of seventy (70) new inpatient beds, including sixty (60) additional medical/surgical beds and ten (10) additional intensive care unit (“ICU”) beds; that includes supportive infrastructure elements such as modification to two (2) existing service elevators in the </w:t>
      </w:r>
      <w:proofErr w:type="spellStart"/>
      <w:r w:rsidRPr="00237CED">
        <w:rPr>
          <w:szCs w:val="24"/>
        </w:rPr>
        <w:t>Yawkey</w:t>
      </w:r>
      <w:proofErr w:type="spellEnd"/>
      <w:r w:rsidRPr="00237CED">
        <w:rPr>
          <w:szCs w:val="24"/>
        </w:rPr>
        <w:t xml:space="preserve"> Building to add emergency call service between </w:t>
      </w:r>
      <w:proofErr w:type="spellStart"/>
      <w:r w:rsidRPr="00237CED">
        <w:rPr>
          <w:szCs w:val="24"/>
        </w:rPr>
        <w:t>Yawkey</w:t>
      </w:r>
      <w:proofErr w:type="spellEnd"/>
      <w:r w:rsidRPr="00237CED">
        <w:rPr>
          <w:szCs w:val="24"/>
        </w:rPr>
        <w:t xml:space="preserve"> Building 5th and 6th floors and ensure connection to emergency and patient support services in the Menino Building.</w:t>
      </w:r>
    </w:p>
    <w:p w14:paraId="5AA766C0" w14:textId="77777777" w:rsidR="00237CED" w:rsidRDefault="00237CED" w:rsidP="00237CED">
      <w:pPr>
        <w:pStyle w:val="ListParagraph"/>
        <w:numPr>
          <w:ilvl w:val="0"/>
          <w:numId w:val="9"/>
        </w:numPr>
        <w:ind w:left="270" w:right="-360" w:hanging="270"/>
        <w:rPr>
          <w:szCs w:val="24"/>
        </w:rPr>
      </w:pPr>
      <w:r w:rsidRPr="00237CED">
        <w:rPr>
          <w:szCs w:val="24"/>
        </w:rPr>
        <w:t>Renovation of BMC’s existing Menino Building 2nd floor to accommodate the addition of five</w:t>
      </w:r>
      <w:r>
        <w:rPr>
          <w:szCs w:val="24"/>
        </w:rPr>
        <w:t xml:space="preserve"> </w:t>
      </w:r>
      <w:r w:rsidRPr="00237CED">
        <w:rPr>
          <w:szCs w:val="24"/>
        </w:rPr>
        <w:t>(5) new inpatient operating rooms (“ORs”), as well as additional pre- and post- operative/post-anesthesia care unit ("PACU") space; which involves relocation of the Hospital’s existing 28-bed</w:t>
      </w:r>
      <w:r>
        <w:rPr>
          <w:rStyle w:val="FootnoteReference"/>
          <w:szCs w:val="24"/>
        </w:rPr>
        <w:footnoteReference w:id="1"/>
      </w:r>
      <w:r w:rsidRPr="00237CED">
        <w:rPr>
          <w:szCs w:val="24"/>
        </w:rPr>
        <w:t xml:space="preserve"> observation unit from the Menino Building 2nd floor to the</w:t>
      </w:r>
      <w:r>
        <w:rPr>
          <w:szCs w:val="24"/>
        </w:rPr>
        <w:t xml:space="preserve"> </w:t>
      </w:r>
      <w:proofErr w:type="spellStart"/>
      <w:r w:rsidRPr="00237CED">
        <w:rPr>
          <w:szCs w:val="24"/>
        </w:rPr>
        <w:t>Yawkey</w:t>
      </w:r>
      <w:proofErr w:type="spellEnd"/>
      <w:r w:rsidRPr="00237CED">
        <w:rPr>
          <w:szCs w:val="24"/>
        </w:rPr>
        <w:t xml:space="preserve"> Building 5th floor, reduction of one existing inpatient general procedure room, and relocation of one existing negative pressure inpatient procedure room within the Menino Building 2nd floor;</w:t>
      </w:r>
    </w:p>
    <w:p w14:paraId="006F92D1" w14:textId="77777777" w:rsidR="00D74ACB" w:rsidRDefault="00237CED" w:rsidP="00237CED">
      <w:pPr>
        <w:pStyle w:val="ListParagraph"/>
        <w:numPr>
          <w:ilvl w:val="0"/>
          <w:numId w:val="9"/>
        </w:numPr>
        <w:ind w:left="270" w:right="-360" w:hanging="270"/>
        <w:rPr>
          <w:szCs w:val="24"/>
        </w:rPr>
      </w:pPr>
      <w:r w:rsidRPr="00237CED">
        <w:rPr>
          <w:szCs w:val="24"/>
        </w:rPr>
        <w:lastRenderedPageBreak/>
        <w:t>Other construction and renovation projects that support campus infrastructure reorganization, and improve existing services, facilities, and overall patient experience including wayfinding at the Hospital, as follows:</w:t>
      </w:r>
    </w:p>
    <w:p w14:paraId="0676E12D" w14:textId="77777777" w:rsidR="00D74ACB" w:rsidRDefault="00237CED" w:rsidP="00237CED">
      <w:pPr>
        <w:pStyle w:val="ListParagraph"/>
        <w:numPr>
          <w:ilvl w:val="1"/>
          <w:numId w:val="9"/>
        </w:numPr>
        <w:ind w:left="900" w:right="-360"/>
        <w:rPr>
          <w:szCs w:val="24"/>
        </w:rPr>
      </w:pPr>
      <w:r w:rsidRPr="00D74ACB">
        <w:rPr>
          <w:szCs w:val="24"/>
        </w:rPr>
        <w:t>Necessary infrastructure upgrades and expansion and renovation of sterile and non- sterile support areas to support the new Menino Building inpatient ORs, including installation of a new air handling unit, addition of a new clean core, renovation of staff support and patient/family areas, and renovation of the Central Processing</w:t>
      </w:r>
      <w:r w:rsidR="00D74ACB">
        <w:rPr>
          <w:szCs w:val="24"/>
        </w:rPr>
        <w:t xml:space="preserve"> </w:t>
      </w:r>
      <w:r w:rsidRPr="00D74ACB">
        <w:rPr>
          <w:szCs w:val="24"/>
        </w:rPr>
        <w:t xml:space="preserve">Department’s decontamination </w:t>
      </w:r>
      <w:proofErr w:type="gramStart"/>
      <w:r w:rsidRPr="00D74ACB">
        <w:rPr>
          <w:szCs w:val="24"/>
        </w:rPr>
        <w:t>space;</w:t>
      </w:r>
      <w:proofErr w:type="gramEnd"/>
    </w:p>
    <w:p w14:paraId="6E43DB9A" w14:textId="77777777" w:rsidR="00D74ACB" w:rsidRDefault="00237CED" w:rsidP="00237CED">
      <w:pPr>
        <w:pStyle w:val="ListParagraph"/>
        <w:numPr>
          <w:ilvl w:val="1"/>
          <w:numId w:val="9"/>
        </w:numPr>
        <w:ind w:left="900" w:right="-360"/>
        <w:rPr>
          <w:szCs w:val="24"/>
        </w:rPr>
      </w:pPr>
      <w:r w:rsidRPr="00D74ACB">
        <w:rPr>
          <w:szCs w:val="24"/>
        </w:rPr>
        <w:t xml:space="preserve">Construction of a sterile staff and materials corridor connecting the Moakley Building and expanded Menino Building inpatient OR suites, to increase productivity and improve patient </w:t>
      </w:r>
      <w:proofErr w:type="gramStart"/>
      <w:r w:rsidRPr="00D74ACB">
        <w:rPr>
          <w:szCs w:val="24"/>
        </w:rPr>
        <w:t>experience;</w:t>
      </w:r>
      <w:proofErr w:type="gramEnd"/>
    </w:p>
    <w:p w14:paraId="766045B7" w14:textId="77777777" w:rsidR="00D74ACB" w:rsidRDefault="00237CED" w:rsidP="00237CED">
      <w:pPr>
        <w:pStyle w:val="ListParagraph"/>
        <w:numPr>
          <w:ilvl w:val="1"/>
          <w:numId w:val="9"/>
        </w:numPr>
        <w:ind w:left="900" w:right="-360"/>
        <w:rPr>
          <w:szCs w:val="24"/>
        </w:rPr>
      </w:pPr>
      <w:r w:rsidRPr="00D74ACB">
        <w:rPr>
          <w:szCs w:val="24"/>
        </w:rPr>
        <w:t xml:space="preserve">Construction and renovation to BMC’s existing Menino and </w:t>
      </w:r>
      <w:proofErr w:type="spellStart"/>
      <w:r w:rsidRPr="00D74ACB">
        <w:rPr>
          <w:szCs w:val="24"/>
        </w:rPr>
        <w:t>Yawkey</w:t>
      </w:r>
      <w:proofErr w:type="spellEnd"/>
      <w:r w:rsidRPr="00D74ACB">
        <w:rPr>
          <w:szCs w:val="24"/>
        </w:rPr>
        <w:t xml:space="preserve"> Building lobbies to create a single exterior entry point, expanded cafeteria seating, and other upgrades for enhanced patient experience; and</w:t>
      </w:r>
    </w:p>
    <w:p w14:paraId="336C33E3" w14:textId="4B6DA680" w:rsidR="00237CED" w:rsidRPr="00D74ACB" w:rsidRDefault="00237CED" w:rsidP="00237CED">
      <w:pPr>
        <w:pStyle w:val="ListParagraph"/>
        <w:numPr>
          <w:ilvl w:val="1"/>
          <w:numId w:val="9"/>
        </w:numPr>
        <w:ind w:left="900" w:right="-360"/>
        <w:rPr>
          <w:szCs w:val="24"/>
        </w:rPr>
      </w:pPr>
      <w:r w:rsidRPr="00D74ACB">
        <w:rPr>
          <w:szCs w:val="24"/>
        </w:rPr>
        <w:t>Construction and renovation to BMC’s existing Menino Building to accommodate an</w:t>
      </w:r>
      <w:r w:rsidR="00D74ACB">
        <w:rPr>
          <w:szCs w:val="24"/>
        </w:rPr>
        <w:t xml:space="preserve"> </w:t>
      </w:r>
      <w:r w:rsidRPr="00D74ACB">
        <w:rPr>
          <w:szCs w:val="24"/>
        </w:rPr>
        <w:t>expanded Emergency Department (ED) vestibule, for improved patient experience.</w:t>
      </w:r>
    </w:p>
    <w:p w14:paraId="590F61A2" w14:textId="77777777" w:rsidR="00237CED" w:rsidRPr="00237CED" w:rsidRDefault="00237CED" w:rsidP="00237CED">
      <w:pPr>
        <w:rPr>
          <w:szCs w:val="24"/>
        </w:rPr>
      </w:pPr>
    </w:p>
    <w:p w14:paraId="3E215958" w14:textId="77777777" w:rsidR="00237CED" w:rsidRPr="00237CED" w:rsidRDefault="00237CED" w:rsidP="00237CED">
      <w:pPr>
        <w:rPr>
          <w:szCs w:val="24"/>
        </w:rPr>
      </w:pPr>
      <w:r w:rsidRPr="00237CED">
        <w:rPr>
          <w:szCs w:val="24"/>
        </w:rPr>
        <w:t>This Notice of Final Action incorporates by reference the Staff Report, and the Public Health Council proceedings concerning this application.</w:t>
      </w:r>
    </w:p>
    <w:p w14:paraId="206D687A" w14:textId="77777777" w:rsidR="00237CED" w:rsidRPr="00237CED" w:rsidRDefault="00237CED" w:rsidP="00237CED">
      <w:pPr>
        <w:rPr>
          <w:szCs w:val="24"/>
        </w:rPr>
      </w:pPr>
    </w:p>
    <w:p w14:paraId="204DCC31" w14:textId="77777777" w:rsidR="00237CED" w:rsidRPr="00237CED" w:rsidRDefault="00237CED" w:rsidP="00237CED">
      <w:pPr>
        <w:rPr>
          <w:szCs w:val="24"/>
        </w:rPr>
      </w:pPr>
      <w:r w:rsidRPr="00237CED">
        <w:rPr>
          <w:szCs w:val="24"/>
        </w:rPr>
        <w:t xml:space="preserve">This Determination of Need Application was reviewed pursuant to M.G.L. c. 111, § 25(c), and the regulatory provisions of 105 CMR 100.000 et seq. Based upon a review of the materials, the Department found that the Applicant has met each </w:t>
      </w:r>
      <w:proofErr w:type="spellStart"/>
      <w:r w:rsidRPr="00237CED">
        <w:rPr>
          <w:szCs w:val="24"/>
        </w:rPr>
        <w:t>DoN</w:t>
      </w:r>
      <w:proofErr w:type="spellEnd"/>
      <w:r w:rsidRPr="00237CED">
        <w:rPr>
          <w:szCs w:val="24"/>
        </w:rPr>
        <w:t xml:space="preserve"> factor with conditions and approves this Determination of Need application for a substantial capital expenditure for the Proposed Project of $121,239,760.00; the Community Health Initiatives (“CHI”) contribution is</w:t>
      </w:r>
    </w:p>
    <w:p w14:paraId="639F2C4B" w14:textId="77777777" w:rsidR="00237CED" w:rsidRPr="00237CED" w:rsidRDefault="00237CED" w:rsidP="00237CED">
      <w:pPr>
        <w:rPr>
          <w:szCs w:val="24"/>
        </w:rPr>
      </w:pPr>
      <w:r w:rsidRPr="00237CED">
        <w:rPr>
          <w:szCs w:val="24"/>
        </w:rPr>
        <w:t>$6,061,988.00.</w:t>
      </w:r>
    </w:p>
    <w:p w14:paraId="6C7337CC" w14:textId="77777777" w:rsidR="00237CED" w:rsidRPr="00237CED" w:rsidRDefault="00237CED" w:rsidP="00237CED">
      <w:pPr>
        <w:rPr>
          <w:szCs w:val="24"/>
        </w:rPr>
      </w:pPr>
    </w:p>
    <w:p w14:paraId="1B30854C" w14:textId="77777777" w:rsidR="00237CED" w:rsidRPr="00237CED" w:rsidRDefault="00237CED" w:rsidP="00237CED">
      <w:pPr>
        <w:rPr>
          <w:szCs w:val="24"/>
        </w:rPr>
      </w:pPr>
      <w:r w:rsidRPr="00237CED">
        <w:rPr>
          <w:szCs w:val="24"/>
        </w:rPr>
        <w:t xml:space="preserve">In compliance with the provisions of 105 CMR 100.310(A)(2) and (11) the Holder shall submit an acknowledgment of receipt to the Department (attached) </w:t>
      </w:r>
      <w:proofErr w:type="gramStart"/>
      <w:r w:rsidRPr="00237CED">
        <w:rPr>
          <w:szCs w:val="24"/>
        </w:rPr>
        <w:t>and also</w:t>
      </w:r>
      <w:proofErr w:type="gramEnd"/>
      <w:r w:rsidRPr="00237CED">
        <w:rPr>
          <w:szCs w:val="24"/>
        </w:rPr>
        <w:t xml:space="preserve"> include a written attestation of participation or intent to participate in MassHealth.</w:t>
      </w:r>
    </w:p>
    <w:p w14:paraId="2F767593" w14:textId="77777777" w:rsidR="00237CED" w:rsidRPr="00237CED" w:rsidRDefault="00237CED" w:rsidP="00237CED">
      <w:pPr>
        <w:rPr>
          <w:szCs w:val="24"/>
        </w:rPr>
      </w:pPr>
    </w:p>
    <w:p w14:paraId="6E894E62" w14:textId="77777777" w:rsidR="00237CED" w:rsidRPr="00237CED" w:rsidRDefault="00237CED" w:rsidP="00237CED">
      <w:pPr>
        <w:rPr>
          <w:szCs w:val="24"/>
        </w:rPr>
      </w:pPr>
      <w:r w:rsidRPr="00237CED">
        <w:rPr>
          <w:szCs w:val="24"/>
        </w:rPr>
        <w:t xml:space="preserve">In compliance with the provisions of 105 CMR 100.310(A)(12), which require a report to the Department, at a minimum on an annual basis, including the measures related to achievement of the </w:t>
      </w:r>
      <w:proofErr w:type="spellStart"/>
      <w:r w:rsidRPr="00237CED">
        <w:rPr>
          <w:szCs w:val="24"/>
        </w:rPr>
        <w:t>DoN</w:t>
      </w:r>
      <w:proofErr w:type="spellEnd"/>
      <w:r w:rsidRPr="00237CED">
        <w:rPr>
          <w:szCs w:val="24"/>
        </w:rPr>
        <w:t xml:space="preserve"> factors for a period of five years from completion of the Proposed Project, the Holder shall address its assertions with respect to all the factors. Ongoing compliance with the conditions and all terms of the </w:t>
      </w:r>
      <w:proofErr w:type="spellStart"/>
      <w:r w:rsidRPr="00237CED">
        <w:rPr>
          <w:szCs w:val="24"/>
        </w:rPr>
        <w:t>DoN</w:t>
      </w:r>
      <w:proofErr w:type="spellEnd"/>
      <w:r w:rsidRPr="00237CED">
        <w:rPr>
          <w:szCs w:val="24"/>
        </w:rPr>
        <w:t xml:space="preserve"> is, pursuant to the Regulation, a precondition to the filing of any future </w:t>
      </w:r>
      <w:proofErr w:type="spellStart"/>
      <w:r w:rsidRPr="00237CED">
        <w:rPr>
          <w:szCs w:val="24"/>
        </w:rPr>
        <w:t>DoN</w:t>
      </w:r>
      <w:proofErr w:type="spellEnd"/>
      <w:r w:rsidRPr="00237CED">
        <w:rPr>
          <w:szCs w:val="24"/>
        </w:rPr>
        <w:t xml:space="preserve"> by the Holder.</w:t>
      </w:r>
    </w:p>
    <w:p w14:paraId="2490F878" w14:textId="77777777" w:rsidR="00237CED" w:rsidRPr="00237CED" w:rsidRDefault="00237CED" w:rsidP="00237CED">
      <w:pPr>
        <w:rPr>
          <w:szCs w:val="24"/>
        </w:rPr>
      </w:pPr>
    </w:p>
    <w:p w14:paraId="6898D89A" w14:textId="77777777" w:rsidR="00237CED" w:rsidRPr="00237CED" w:rsidRDefault="00237CED" w:rsidP="00237CED">
      <w:pPr>
        <w:rPr>
          <w:szCs w:val="24"/>
        </w:rPr>
      </w:pPr>
      <w:r w:rsidRPr="00237CED">
        <w:rPr>
          <w:szCs w:val="24"/>
        </w:rPr>
        <w:t>Sincerely,</w:t>
      </w:r>
    </w:p>
    <w:p w14:paraId="4ABA70F3" w14:textId="77777777" w:rsidR="00237CED" w:rsidRPr="00237CED" w:rsidRDefault="00237CED" w:rsidP="00237CED">
      <w:pPr>
        <w:rPr>
          <w:szCs w:val="24"/>
        </w:rPr>
      </w:pPr>
    </w:p>
    <w:p w14:paraId="6D8BEE6B" w14:textId="77777777" w:rsidR="00237CED" w:rsidRPr="00237CED" w:rsidRDefault="00237CED" w:rsidP="00237CED">
      <w:pPr>
        <w:rPr>
          <w:szCs w:val="24"/>
        </w:rPr>
      </w:pPr>
    </w:p>
    <w:p w14:paraId="2C467E67" w14:textId="77777777" w:rsidR="00237CED" w:rsidRPr="00237CED" w:rsidRDefault="00237CED" w:rsidP="00237CED">
      <w:pPr>
        <w:rPr>
          <w:szCs w:val="24"/>
        </w:rPr>
      </w:pPr>
      <w:r w:rsidRPr="00237CED">
        <w:rPr>
          <w:szCs w:val="24"/>
        </w:rPr>
        <w:t>Dennis Renaud</w:t>
      </w:r>
    </w:p>
    <w:p w14:paraId="276BEEE4" w14:textId="77777777" w:rsidR="00237CED" w:rsidRPr="00237CED" w:rsidRDefault="00237CED" w:rsidP="00237CED">
      <w:pPr>
        <w:rPr>
          <w:szCs w:val="24"/>
        </w:rPr>
      </w:pPr>
      <w:r w:rsidRPr="00237CED">
        <w:rPr>
          <w:szCs w:val="24"/>
        </w:rPr>
        <w:t>Director, Determination of Need Program</w:t>
      </w:r>
    </w:p>
    <w:p w14:paraId="72B86084" w14:textId="77777777" w:rsidR="00237CED" w:rsidRPr="00237CED" w:rsidRDefault="00237CED" w:rsidP="00237CED">
      <w:pPr>
        <w:rPr>
          <w:szCs w:val="24"/>
        </w:rPr>
      </w:pPr>
      <w:r w:rsidRPr="00237CED">
        <w:rPr>
          <w:szCs w:val="24"/>
        </w:rPr>
        <w:t xml:space="preserve"> </w:t>
      </w:r>
    </w:p>
    <w:p w14:paraId="3DEF130F" w14:textId="77777777" w:rsidR="00D74ACB" w:rsidRDefault="00D74ACB" w:rsidP="00237CED">
      <w:pPr>
        <w:rPr>
          <w:szCs w:val="24"/>
        </w:rPr>
      </w:pPr>
    </w:p>
    <w:p w14:paraId="5387C20B" w14:textId="2B24CD92" w:rsidR="00237CED" w:rsidRPr="00237CED" w:rsidRDefault="00237CED" w:rsidP="00237CED">
      <w:pPr>
        <w:rPr>
          <w:szCs w:val="24"/>
        </w:rPr>
      </w:pPr>
      <w:r w:rsidRPr="00237CED">
        <w:rPr>
          <w:szCs w:val="24"/>
        </w:rPr>
        <w:t>cc:</w:t>
      </w:r>
    </w:p>
    <w:p w14:paraId="3BC90DD7" w14:textId="77777777" w:rsidR="00D74ACB" w:rsidRDefault="00237CED" w:rsidP="00237CED">
      <w:pPr>
        <w:rPr>
          <w:szCs w:val="24"/>
        </w:rPr>
      </w:pPr>
      <w:r w:rsidRPr="00237CED">
        <w:rPr>
          <w:szCs w:val="24"/>
        </w:rPr>
        <w:t xml:space="preserve">Elizabeth Kelly, Director Bureau of Health Care Safety and Quality </w:t>
      </w:r>
    </w:p>
    <w:p w14:paraId="1A2C0F6B" w14:textId="48994A6D" w:rsidR="00237CED" w:rsidRPr="00237CED" w:rsidRDefault="00237CED" w:rsidP="00237CED">
      <w:pPr>
        <w:rPr>
          <w:szCs w:val="24"/>
        </w:rPr>
      </w:pPr>
      <w:r w:rsidRPr="00237CED">
        <w:rPr>
          <w:szCs w:val="24"/>
        </w:rPr>
        <w:t>Rebecca Rodman, General Counsel</w:t>
      </w:r>
    </w:p>
    <w:p w14:paraId="7D57396C" w14:textId="77777777" w:rsidR="00D74ACB" w:rsidRDefault="00237CED" w:rsidP="00237CED">
      <w:pPr>
        <w:rPr>
          <w:szCs w:val="24"/>
        </w:rPr>
      </w:pPr>
      <w:r w:rsidRPr="00237CED">
        <w:rPr>
          <w:szCs w:val="24"/>
        </w:rPr>
        <w:t xml:space="preserve">Stephen Davis, Director, Division of Health Care Facility Licensure and Certification </w:t>
      </w:r>
    </w:p>
    <w:p w14:paraId="2758332C" w14:textId="17BB090F" w:rsidR="00237CED" w:rsidRPr="00237CED" w:rsidRDefault="00237CED" w:rsidP="00237CED">
      <w:pPr>
        <w:rPr>
          <w:szCs w:val="24"/>
        </w:rPr>
      </w:pPr>
      <w:r w:rsidRPr="00237CED">
        <w:rPr>
          <w:szCs w:val="24"/>
        </w:rPr>
        <w:lastRenderedPageBreak/>
        <w:t>Judy Bernice, Division of Health Care Facility Licensure and Certification</w:t>
      </w:r>
    </w:p>
    <w:p w14:paraId="1BECB4EC" w14:textId="77777777" w:rsidR="00D74ACB" w:rsidRDefault="00237CED" w:rsidP="00237CED">
      <w:pPr>
        <w:rPr>
          <w:szCs w:val="24"/>
        </w:rPr>
      </w:pPr>
      <w:r w:rsidRPr="00237CED">
        <w:rPr>
          <w:szCs w:val="24"/>
        </w:rPr>
        <w:t xml:space="preserve">Daniel Gent, Health Care Facility Licensure and Certification </w:t>
      </w:r>
    </w:p>
    <w:p w14:paraId="7DAFD468" w14:textId="1642CE30" w:rsidR="00237CED" w:rsidRPr="00237CED" w:rsidRDefault="00237CED" w:rsidP="00237CED">
      <w:pPr>
        <w:rPr>
          <w:szCs w:val="24"/>
        </w:rPr>
      </w:pPr>
      <w:r w:rsidRPr="00237CED">
        <w:rPr>
          <w:szCs w:val="24"/>
        </w:rPr>
        <w:t>Samuel Louis, Office of Health Equity</w:t>
      </w:r>
    </w:p>
    <w:p w14:paraId="1946F95A" w14:textId="77777777" w:rsidR="00D74ACB" w:rsidRDefault="00237CED" w:rsidP="00237CED">
      <w:pPr>
        <w:rPr>
          <w:szCs w:val="24"/>
        </w:rPr>
      </w:pPr>
      <w:r w:rsidRPr="00237CED">
        <w:rPr>
          <w:szCs w:val="24"/>
        </w:rPr>
        <w:t xml:space="preserve">Jennica Allen, Division of Community Health Planning and Engagement </w:t>
      </w:r>
    </w:p>
    <w:p w14:paraId="5BC9C037" w14:textId="77777777" w:rsidR="00D74ACB" w:rsidRDefault="00237CED" w:rsidP="00237CED">
      <w:pPr>
        <w:rPr>
          <w:szCs w:val="24"/>
        </w:rPr>
      </w:pPr>
      <w:r w:rsidRPr="00237CED">
        <w:rPr>
          <w:szCs w:val="24"/>
        </w:rPr>
        <w:t xml:space="preserve">Elizabeth Maffei, Division of Community Health Planning and Engagement </w:t>
      </w:r>
    </w:p>
    <w:p w14:paraId="5AE55CBD" w14:textId="77777777" w:rsidR="00D74ACB" w:rsidRDefault="00237CED" w:rsidP="00237CED">
      <w:pPr>
        <w:rPr>
          <w:szCs w:val="24"/>
        </w:rPr>
      </w:pPr>
      <w:r w:rsidRPr="00237CED">
        <w:rPr>
          <w:szCs w:val="24"/>
        </w:rPr>
        <w:t xml:space="preserve">Katelyn Teague, Division of Community Health Planning and Engagement </w:t>
      </w:r>
    </w:p>
    <w:p w14:paraId="5D74872D" w14:textId="65DFEF1F" w:rsidR="00237CED" w:rsidRPr="00237CED" w:rsidRDefault="00237CED" w:rsidP="00237CED">
      <w:pPr>
        <w:rPr>
          <w:szCs w:val="24"/>
        </w:rPr>
      </w:pPr>
      <w:r w:rsidRPr="00237CED">
        <w:rPr>
          <w:szCs w:val="24"/>
        </w:rPr>
        <w:t>Elizabeth Almanzor, Center for Health Information Analysis</w:t>
      </w:r>
    </w:p>
    <w:p w14:paraId="6FF3F1C2" w14:textId="77777777" w:rsidR="00D74ACB" w:rsidRDefault="00237CED" w:rsidP="00237CED">
      <w:pPr>
        <w:rPr>
          <w:szCs w:val="24"/>
        </w:rPr>
      </w:pPr>
      <w:r w:rsidRPr="00237CED">
        <w:rPr>
          <w:szCs w:val="24"/>
        </w:rPr>
        <w:t xml:space="preserve">Katherine Mills, Health Policy Commission </w:t>
      </w:r>
    </w:p>
    <w:p w14:paraId="5A72AAAE" w14:textId="2C23AEC1" w:rsidR="00237CED" w:rsidRPr="00237CED" w:rsidRDefault="00237CED" w:rsidP="00237CED">
      <w:pPr>
        <w:rPr>
          <w:szCs w:val="24"/>
        </w:rPr>
      </w:pPr>
      <w:r w:rsidRPr="00237CED">
        <w:rPr>
          <w:szCs w:val="24"/>
        </w:rPr>
        <w:t>Eric Gold, Office of the Attorney General</w:t>
      </w:r>
    </w:p>
    <w:p w14:paraId="070C427A" w14:textId="77777777" w:rsidR="00D74ACB" w:rsidRDefault="00237CED" w:rsidP="00237CED">
      <w:pPr>
        <w:rPr>
          <w:szCs w:val="24"/>
        </w:rPr>
      </w:pPr>
      <w:r w:rsidRPr="00237CED">
        <w:rPr>
          <w:szCs w:val="24"/>
        </w:rPr>
        <w:t xml:space="preserve">Tomaso Calicchio, Executive Office of </w:t>
      </w:r>
      <w:proofErr w:type="gramStart"/>
      <w:r w:rsidRPr="00237CED">
        <w:rPr>
          <w:szCs w:val="24"/>
        </w:rPr>
        <w:t>Health</w:t>
      </w:r>
      <w:proofErr w:type="gramEnd"/>
      <w:r w:rsidRPr="00237CED">
        <w:rPr>
          <w:szCs w:val="24"/>
        </w:rPr>
        <w:t xml:space="preserve"> and Human Services </w:t>
      </w:r>
    </w:p>
    <w:p w14:paraId="6081765E" w14:textId="77777777" w:rsidR="00D74ACB" w:rsidRDefault="00237CED" w:rsidP="00237CED">
      <w:pPr>
        <w:rPr>
          <w:szCs w:val="24"/>
        </w:rPr>
      </w:pPr>
      <w:r w:rsidRPr="00237CED">
        <w:rPr>
          <w:szCs w:val="24"/>
        </w:rPr>
        <w:t xml:space="preserve">Hai Nguyen, Executive Office of </w:t>
      </w:r>
      <w:proofErr w:type="gramStart"/>
      <w:r w:rsidRPr="00237CED">
        <w:rPr>
          <w:szCs w:val="24"/>
        </w:rPr>
        <w:t>Health</w:t>
      </w:r>
      <w:proofErr w:type="gramEnd"/>
      <w:r w:rsidRPr="00237CED">
        <w:rPr>
          <w:szCs w:val="24"/>
        </w:rPr>
        <w:t xml:space="preserve"> and Human Services </w:t>
      </w:r>
    </w:p>
    <w:p w14:paraId="5AAE8CC0" w14:textId="77777777" w:rsidR="00D74ACB" w:rsidRDefault="00237CED" w:rsidP="00237CED">
      <w:pPr>
        <w:rPr>
          <w:szCs w:val="24"/>
        </w:rPr>
      </w:pPr>
      <w:r w:rsidRPr="00237CED">
        <w:rPr>
          <w:szCs w:val="24"/>
        </w:rPr>
        <w:t xml:space="preserve">Karina Mejias, Executive Office of </w:t>
      </w:r>
      <w:proofErr w:type="gramStart"/>
      <w:r w:rsidRPr="00237CED">
        <w:rPr>
          <w:szCs w:val="24"/>
        </w:rPr>
        <w:t>Health</w:t>
      </w:r>
      <w:proofErr w:type="gramEnd"/>
      <w:r w:rsidRPr="00237CED">
        <w:rPr>
          <w:szCs w:val="24"/>
        </w:rPr>
        <w:t xml:space="preserve"> and Human Services </w:t>
      </w:r>
    </w:p>
    <w:p w14:paraId="7C0AAD2C" w14:textId="61A6E510" w:rsidR="00237CED" w:rsidRPr="00237CED" w:rsidRDefault="00237CED" w:rsidP="00237CED">
      <w:pPr>
        <w:rPr>
          <w:szCs w:val="24"/>
        </w:rPr>
      </w:pPr>
      <w:r w:rsidRPr="00237CED">
        <w:rPr>
          <w:szCs w:val="24"/>
        </w:rPr>
        <w:t xml:space="preserve">Priscilla Portis, Executive Office of </w:t>
      </w:r>
      <w:proofErr w:type="gramStart"/>
      <w:r w:rsidRPr="00237CED">
        <w:rPr>
          <w:szCs w:val="24"/>
        </w:rPr>
        <w:t>Health</w:t>
      </w:r>
      <w:proofErr w:type="gramEnd"/>
      <w:r w:rsidRPr="00237CED">
        <w:rPr>
          <w:szCs w:val="24"/>
        </w:rPr>
        <w:t xml:space="preserve"> and Human Services</w:t>
      </w:r>
    </w:p>
    <w:p w14:paraId="6E781EF7" w14:textId="77777777" w:rsidR="00905D98" w:rsidRDefault="00905D98"/>
    <w:sectPr w:rsidR="00905D98" w:rsidSect="00237CED">
      <w:type w:val="continuous"/>
      <w:pgSz w:w="12240" w:h="15840"/>
      <w:pgMar w:top="1440" w:right="1440" w:bottom="540" w:left="1440" w:header="54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E154" w14:textId="77777777" w:rsidR="00F8023D" w:rsidRDefault="00F8023D" w:rsidP="00ED2D06">
      <w:r>
        <w:separator/>
      </w:r>
    </w:p>
  </w:endnote>
  <w:endnote w:type="continuationSeparator" w:id="0">
    <w:p w14:paraId="1748EAC2" w14:textId="77777777" w:rsidR="00F8023D" w:rsidRDefault="00F8023D" w:rsidP="00ED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1EC2" w14:textId="77777777" w:rsidR="00ED2D06" w:rsidRDefault="00ED2D06">
    <w:pPr>
      <w:pStyle w:val="Footer"/>
      <w:jc w:val="center"/>
    </w:pPr>
    <w:r>
      <w:fldChar w:fldCharType="begin"/>
    </w:r>
    <w:r>
      <w:instrText xml:space="preserve"> PAGE   \* MERGEFORMAT </w:instrText>
    </w:r>
    <w:r>
      <w:fldChar w:fldCharType="separate"/>
    </w:r>
    <w:r>
      <w:rPr>
        <w:noProof/>
      </w:rPr>
      <w:t>2</w:t>
    </w:r>
    <w:r>
      <w:rPr>
        <w:noProof/>
      </w:rPr>
      <w:fldChar w:fldCharType="end"/>
    </w:r>
  </w:p>
  <w:p w14:paraId="0023AA15" w14:textId="77777777" w:rsidR="00ED2D06" w:rsidRDefault="00ED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DE86" w14:textId="77777777" w:rsidR="00F8023D" w:rsidRDefault="00F8023D" w:rsidP="00ED2D06">
      <w:r>
        <w:separator/>
      </w:r>
    </w:p>
  </w:footnote>
  <w:footnote w:type="continuationSeparator" w:id="0">
    <w:p w14:paraId="1940A334" w14:textId="77777777" w:rsidR="00F8023D" w:rsidRDefault="00F8023D" w:rsidP="00ED2D06">
      <w:r>
        <w:continuationSeparator/>
      </w:r>
    </w:p>
  </w:footnote>
  <w:footnote w:id="1">
    <w:p w14:paraId="5993A28D" w14:textId="77777777" w:rsidR="00237CED" w:rsidRPr="00237CED" w:rsidRDefault="00237CED" w:rsidP="00237CED">
      <w:pPr>
        <w:rPr>
          <w:sz w:val="18"/>
          <w:szCs w:val="18"/>
        </w:rPr>
      </w:pPr>
      <w:r>
        <w:rPr>
          <w:rStyle w:val="FootnoteReference"/>
        </w:rPr>
        <w:footnoteRef/>
      </w:r>
      <w:r>
        <w:t xml:space="preserve"> </w:t>
      </w:r>
      <w:r w:rsidRPr="00237CED">
        <w:rPr>
          <w:sz w:val="18"/>
          <w:szCs w:val="18"/>
        </w:rPr>
        <w:t>This 28-bed relocation is not part of the 70-bed expansion.</w:t>
      </w:r>
    </w:p>
    <w:p w14:paraId="68BFA21E" w14:textId="0FCFE64C" w:rsidR="00237CED" w:rsidRDefault="00237CE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4474" w14:textId="77777777" w:rsidR="00ED2D06" w:rsidRDefault="00ED2D06">
    <w:pPr>
      <w:pStyle w:val="Header"/>
    </w:pPr>
    <w:r>
      <w:rPr>
        <w:noProof/>
      </w:rPr>
      <w:pict w14:anchorId="6C93B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5C31" w14:textId="77777777" w:rsidR="00ED2D06" w:rsidRDefault="00ED2D06">
    <w:pPr>
      <w:pStyle w:val="Header"/>
    </w:pPr>
    <w:r>
      <w:rPr>
        <w:noProof/>
      </w:rPr>
      <w:pict w14:anchorId="7A4D3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3D2"/>
    <w:multiLevelType w:val="hybridMultilevel"/>
    <w:tmpl w:val="1E307758"/>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3396E"/>
    <w:multiLevelType w:val="hybridMultilevel"/>
    <w:tmpl w:val="C824ACE0"/>
    <w:lvl w:ilvl="0" w:tplc="0EEA686C">
      <w:start w:val="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613B4"/>
    <w:multiLevelType w:val="hybridMultilevel"/>
    <w:tmpl w:val="FBFCB9F4"/>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10955"/>
    <w:multiLevelType w:val="hybridMultilevel"/>
    <w:tmpl w:val="3618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C1EB2"/>
    <w:multiLevelType w:val="hybridMultilevel"/>
    <w:tmpl w:val="77B49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12F53"/>
    <w:multiLevelType w:val="hybridMultilevel"/>
    <w:tmpl w:val="C7A6D75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1F7B03"/>
    <w:multiLevelType w:val="hybridMultilevel"/>
    <w:tmpl w:val="F38CC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05BD1"/>
    <w:multiLevelType w:val="hybridMultilevel"/>
    <w:tmpl w:val="52FE6512"/>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46DE3"/>
    <w:multiLevelType w:val="hybridMultilevel"/>
    <w:tmpl w:val="C406CD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843347">
    <w:abstractNumId w:val="3"/>
  </w:num>
  <w:num w:numId="2" w16cid:durableId="1694306567">
    <w:abstractNumId w:val="4"/>
  </w:num>
  <w:num w:numId="3" w16cid:durableId="1560439606">
    <w:abstractNumId w:val="5"/>
  </w:num>
  <w:num w:numId="4" w16cid:durableId="1142582102">
    <w:abstractNumId w:val="2"/>
  </w:num>
  <w:num w:numId="5" w16cid:durableId="508520603">
    <w:abstractNumId w:val="1"/>
  </w:num>
  <w:num w:numId="6" w16cid:durableId="1145120576">
    <w:abstractNumId w:val="7"/>
  </w:num>
  <w:num w:numId="7" w16cid:durableId="2084178893">
    <w:abstractNumId w:val="0"/>
  </w:num>
  <w:num w:numId="8" w16cid:durableId="267007087">
    <w:abstractNumId w:val="6"/>
  </w:num>
  <w:num w:numId="9" w16cid:durableId="190656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06"/>
    <w:rsid w:val="00237CED"/>
    <w:rsid w:val="00895904"/>
    <w:rsid w:val="00905D98"/>
    <w:rsid w:val="00D74ACB"/>
    <w:rsid w:val="00ED2D06"/>
    <w:rsid w:val="00F8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4ED0"/>
  <w15:chartTrackingRefBased/>
  <w15:docId w15:val="{900CA42C-2BB9-4C04-B05A-D5C8760F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ED2D06"/>
    <w:pPr>
      <w:framePr w:w="6927" w:hSpace="187" w:wrap="notBeside" w:vAnchor="text" w:hAnchor="page" w:x="3594" w:y="1"/>
      <w:jc w:val="center"/>
    </w:pPr>
    <w:rPr>
      <w:rFonts w:ascii="Arial" w:hAnsi="Arial"/>
      <w:sz w:val="28"/>
    </w:rPr>
  </w:style>
  <w:style w:type="paragraph" w:customStyle="1" w:styleId="Weld">
    <w:name w:val="Weld"/>
    <w:basedOn w:val="Normal"/>
    <w:rsid w:val="00ED2D0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D2D06"/>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ED2D06"/>
    <w:rPr>
      <w:color w:val="0000FF"/>
      <w:u w:val="single"/>
    </w:rPr>
  </w:style>
  <w:style w:type="paragraph" w:styleId="Header">
    <w:name w:val="header"/>
    <w:basedOn w:val="Normal"/>
    <w:link w:val="HeaderChar"/>
    <w:rsid w:val="00ED2D06"/>
    <w:pPr>
      <w:tabs>
        <w:tab w:val="center" w:pos="4680"/>
        <w:tab w:val="right" w:pos="9360"/>
      </w:tabs>
    </w:pPr>
  </w:style>
  <w:style w:type="character" w:customStyle="1" w:styleId="HeaderChar">
    <w:name w:val="Header Char"/>
    <w:basedOn w:val="DefaultParagraphFont"/>
    <w:link w:val="Header"/>
    <w:rsid w:val="00ED2D06"/>
    <w:rPr>
      <w:rFonts w:ascii="Times New Roman" w:eastAsia="Times New Roman" w:hAnsi="Times New Roman" w:cs="Times New Roman"/>
      <w:sz w:val="24"/>
      <w:szCs w:val="20"/>
    </w:rPr>
  </w:style>
  <w:style w:type="paragraph" w:styleId="Footer">
    <w:name w:val="footer"/>
    <w:basedOn w:val="Normal"/>
    <w:link w:val="FooterChar"/>
    <w:uiPriority w:val="99"/>
    <w:rsid w:val="00ED2D06"/>
    <w:pPr>
      <w:tabs>
        <w:tab w:val="center" w:pos="4680"/>
        <w:tab w:val="right" w:pos="9360"/>
      </w:tabs>
    </w:pPr>
  </w:style>
  <w:style w:type="character" w:customStyle="1" w:styleId="FooterChar">
    <w:name w:val="Footer Char"/>
    <w:basedOn w:val="DefaultParagraphFont"/>
    <w:link w:val="Footer"/>
    <w:uiPriority w:val="99"/>
    <w:rsid w:val="00ED2D06"/>
    <w:rPr>
      <w:rFonts w:ascii="Times New Roman" w:eastAsia="Times New Roman" w:hAnsi="Times New Roman" w:cs="Times New Roman"/>
      <w:sz w:val="24"/>
      <w:szCs w:val="20"/>
    </w:rPr>
  </w:style>
  <w:style w:type="paragraph" w:styleId="ListParagraph">
    <w:name w:val="List Paragraph"/>
    <w:basedOn w:val="Normal"/>
    <w:uiPriority w:val="34"/>
    <w:qFormat/>
    <w:rsid w:val="00ED2D06"/>
    <w:pPr>
      <w:ind w:left="720"/>
      <w:contextualSpacing/>
    </w:pPr>
  </w:style>
  <w:style w:type="paragraph" w:styleId="FootnoteText">
    <w:name w:val="footnote text"/>
    <w:basedOn w:val="Normal"/>
    <w:link w:val="FootnoteTextChar"/>
    <w:uiPriority w:val="99"/>
    <w:semiHidden/>
    <w:unhideWhenUsed/>
    <w:rsid w:val="00ED2D06"/>
    <w:rPr>
      <w:sz w:val="20"/>
    </w:rPr>
  </w:style>
  <w:style w:type="character" w:customStyle="1" w:styleId="FootnoteTextChar">
    <w:name w:val="Footnote Text Char"/>
    <w:basedOn w:val="DefaultParagraphFont"/>
    <w:link w:val="FootnoteText"/>
    <w:uiPriority w:val="99"/>
    <w:semiHidden/>
    <w:rsid w:val="00ED2D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2D06"/>
    <w:rPr>
      <w:vertAlign w:val="superscript"/>
    </w:rPr>
  </w:style>
  <w:style w:type="character" w:styleId="UnresolvedMention">
    <w:name w:val="Unresolved Mention"/>
    <w:basedOn w:val="DefaultParagraphFont"/>
    <w:uiPriority w:val="99"/>
    <w:semiHidden/>
    <w:unhideWhenUsed/>
    <w:rsid w:val="00237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rrell@barrettharr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BB51-0B82-4981-BD25-0C33BF28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2022-12-27T12:58:00Z</dcterms:created>
  <dcterms:modified xsi:type="dcterms:W3CDTF">2022-12-27T13:30:00Z</dcterms:modified>
</cp:coreProperties>
</file>