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21B4" w14:textId="77777777" w:rsidR="00BF2235" w:rsidRDefault="00BF2235" w:rsidP="00BF2235">
      <w:pPr>
        <w:rPr>
          <w:rFonts w:ascii="Arial" w:hAnsi="Arial"/>
          <w:sz w:val="36"/>
        </w:rPr>
      </w:pPr>
      <w:r>
        <w:rPr>
          <w:rFonts w:ascii="LinePrinter" w:hAnsi="LinePrinter"/>
          <w:noProof/>
        </w:rPr>
        <w:drawing>
          <wp:inline distT="0" distB="0" distL="0" distR="0" wp14:anchorId="169FB2BA" wp14:editId="07985002">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598EF445" w14:textId="77777777" w:rsidR="00BF2235" w:rsidRDefault="00BF2235" w:rsidP="00BF2235">
      <w:pPr>
        <w:pStyle w:val="ExecOffice"/>
        <w:framePr w:w="0" w:hSpace="0" w:wrap="auto" w:vAnchor="margin" w:hAnchor="text" w:xAlign="left" w:yAlign="inline"/>
      </w:pPr>
      <w:r>
        <w:t>Executive Office of Health and Human Services</w:t>
      </w:r>
    </w:p>
    <w:p w14:paraId="5C3DE670" w14:textId="77777777" w:rsidR="00BF2235" w:rsidRDefault="00BF2235" w:rsidP="00BF2235">
      <w:pPr>
        <w:pStyle w:val="ExecOffice"/>
        <w:framePr w:w="0" w:hSpace="0" w:wrap="auto" w:vAnchor="margin" w:hAnchor="text" w:xAlign="left" w:yAlign="inline"/>
      </w:pPr>
      <w:r>
        <w:t>Department of Public Health</w:t>
      </w:r>
    </w:p>
    <w:p w14:paraId="4DBE3BB1" w14:textId="77777777" w:rsidR="00BF2235" w:rsidRDefault="00BF2235" w:rsidP="00BF2235">
      <w:pPr>
        <w:pStyle w:val="ExecOffice"/>
        <w:framePr w:w="0" w:hSpace="0" w:wrap="auto" w:vAnchor="margin" w:hAnchor="text" w:xAlign="left" w:yAlign="inline"/>
      </w:pPr>
      <w:r>
        <w:t>250 Washington Street, Boston, MA 02108-4619</w:t>
      </w:r>
    </w:p>
    <w:p w14:paraId="1604C973" w14:textId="77777777" w:rsidR="00BF2235" w:rsidRDefault="00BF2235" w:rsidP="00BF2235">
      <w:pPr>
        <w:ind w:right="2790"/>
        <w:contextualSpacing/>
        <w:rPr>
          <w:rFonts w:ascii="Arial Rounded MT Bold" w:hAnsi="Arial Rounded MT Bold"/>
          <w:sz w:val="18"/>
          <w:szCs w:val="22"/>
        </w:rPr>
        <w:sectPr w:rsidR="00BF2235" w:rsidSect="009E5209">
          <w:headerReference w:type="even" r:id="rId9"/>
          <w:headerReference w:type="default" r:id="rId10"/>
          <w:footerReference w:type="even" r:id="rId11"/>
          <w:footerReference w:type="default" r:id="rId12"/>
          <w:headerReference w:type="first" r:id="rId13"/>
          <w:footerReference w:type="first" r:id="rId14"/>
          <w:pgSz w:w="12240" w:h="15840"/>
          <w:pgMar w:top="536" w:right="1440" w:bottom="1440" w:left="1440" w:header="720" w:footer="720" w:gutter="0"/>
          <w:cols w:space="720"/>
          <w:docGrid w:linePitch="360"/>
        </w:sectPr>
      </w:pPr>
    </w:p>
    <w:p w14:paraId="50B0F394" w14:textId="77777777" w:rsidR="00BF2235" w:rsidRDefault="00BF2235" w:rsidP="00BF2235">
      <w:pPr>
        <w:ind w:right="2790"/>
        <w:contextualSpacing/>
        <w:rPr>
          <w:rFonts w:ascii="Arial Rounded MT Bold" w:hAnsi="Arial Rounded MT Bold"/>
          <w:sz w:val="18"/>
          <w:szCs w:val="22"/>
        </w:rPr>
      </w:pPr>
    </w:p>
    <w:p w14:paraId="2F7D5473" w14:textId="77777777" w:rsidR="00BF2235" w:rsidRPr="00554081" w:rsidRDefault="00BF2235" w:rsidP="00BF2235">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761D97E4" w14:textId="77777777" w:rsidR="00BF2235" w:rsidRDefault="00BF2235" w:rsidP="00BF2235">
      <w:pPr>
        <w:pStyle w:val="Weld"/>
        <w:framePr w:hSpace="0" w:wrap="auto" w:vAnchor="margin" w:hAnchor="text" w:xAlign="left" w:yAlign="inline"/>
        <w:ind w:right="2340"/>
      </w:pPr>
      <w:r>
        <w:t>Governor</w:t>
      </w:r>
    </w:p>
    <w:p w14:paraId="6858F70B" w14:textId="77777777" w:rsidR="00BF2235" w:rsidRDefault="00BF2235" w:rsidP="00BF2235">
      <w:pPr>
        <w:ind w:right="2340"/>
        <w:contextualSpacing/>
        <w:jc w:val="center"/>
        <w:rPr>
          <w:sz w:val="16"/>
        </w:rPr>
      </w:pPr>
    </w:p>
    <w:p w14:paraId="380A4C85" w14:textId="77777777" w:rsidR="00BF2235" w:rsidRPr="00554081" w:rsidRDefault="00BF2235" w:rsidP="00BF2235">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7E2656E4" w14:textId="77777777" w:rsidR="00BF2235" w:rsidRPr="00624404" w:rsidRDefault="00BF2235" w:rsidP="00BF2235">
      <w:pPr>
        <w:pStyle w:val="Weld"/>
        <w:framePr w:hSpace="0" w:wrap="auto" w:vAnchor="margin" w:hAnchor="text" w:xAlign="left" w:yAlign="inline"/>
        <w:ind w:right="2340"/>
        <w:rPr>
          <w:rFonts w:ascii="Calibri" w:hAnsi="Calibri" w:cs="Calibri"/>
          <w:szCs w:val="24"/>
        </w:rPr>
      </w:pPr>
      <w:r>
        <w:t>Lieutenant Governor</w:t>
      </w:r>
    </w:p>
    <w:p w14:paraId="1FE05B19" w14:textId="77777777" w:rsidR="00BF2235" w:rsidRDefault="00BF2235" w:rsidP="00BF2235">
      <w:pPr>
        <w:pStyle w:val="Weld"/>
        <w:framePr w:hSpace="0" w:wrap="auto" w:vAnchor="margin" w:hAnchor="text" w:xAlign="left" w:yAlign="inline"/>
        <w:ind w:right="2340"/>
        <w:jc w:val="left"/>
      </w:pPr>
    </w:p>
    <w:p w14:paraId="7D1381B4" w14:textId="77777777" w:rsidR="00BF2235" w:rsidRDefault="00BF2235" w:rsidP="00BF2235">
      <w:pPr>
        <w:pStyle w:val="Weld"/>
        <w:framePr w:hSpace="0" w:wrap="auto" w:vAnchor="margin" w:hAnchor="text" w:xAlign="left" w:yAlign="inline"/>
        <w:ind w:right="2340"/>
        <w:jc w:val="left"/>
      </w:pPr>
    </w:p>
    <w:p w14:paraId="7063DC5C" w14:textId="77777777" w:rsidR="00BF2235" w:rsidRDefault="00BF2235" w:rsidP="00BF2235">
      <w:pPr>
        <w:pStyle w:val="Weld"/>
        <w:framePr w:hSpace="0" w:wrap="auto" w:vAnchor="margin" w:hAnchor="text" w:xAlign="left" w:yAlign="inline"/>
        <w:ind w:right="2340"/>
        <w:jc w:val="left"/>
      </w:pPr>
    </w:p>
    <w:p w14:paraId="4209ACEF" w14:textId="77777777" w:rsidR="00BF2235" w:rsidRPr="00554081" w:rsidRDefault="00BF2235" w:rsidP="00BF2235">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083C1BE1" w14:textId="77777777" w:rsidR="00BF2235" w:rsidRDefault="00BF2235" w:rsidP="00BF2235">
      <w:pPr>
        <w:pStyle w:val="Weld"/>
        <w:framePr w:hSpace="0" w:wrap="auto" w:vAnchor="margin" w:hAnchor="text" w:xAlign="left" w:yAlign="inline"/>
        <w:ind w:left="1980"/>
      </w:pPr>
      <w:r>
        <w:t>Secretary</w:t>
      </w:r>
    </w:p>
    <w:p w14:paraId="05062C0E" w14:textId="77777777" w:rsidR="00BF2235" w:rsidRDefault="00BF2235" w:rsidP="00BF2235">
      <w:pPr>
        <w:pStyle w:val="Weld"/>
        <w:framePr w:hSpace="0" w:wrap="auto" w:vAnchor="margin" w:hAnchor="text" w:xAlign="left" w:yAlign="inline"/>
        <w:ind w:left="1980"/>
      </w:pPr>
    </w:p>
    <w:p w14:paraId="58D4DA18" w14:textId="77777777" w:rsidR="00BF2235" w:rsidRDefault="00BF2235" w:rsidP="00BF2235">
      <w:pPr>
        <w:ind w:left="1980"/>
        <w:contextualSpacing/>
        <w:jc w:val="center"/>
        <w:rPr>
          <w:szCs w:val="16"/>
        </w:rPr>
      </w:pPr>
      <w:r w:rsidRPr="00554081">
        <w:rPr>
          <w:rFonts w:ascii="Arial Rounded MT Bold" w:hAnsi="Arial Rounded MT Bold"/>
          <w:sz w:val="18"/>
          <w:szCs w:val="22"/>
        </w:rPr>
        <w:t>MARGRET R. COOKE</w:t>
      </w:r>
    </w:p>
    <w:p w14:paraId="78BFAFB8" w14:textId="77777777" w:rsidR="00BF2235" w:rsidRPr="00C2477D" w:rsidRDefault="00BF2235" w:rsidP="00BF2235">
      <w:pPr>
        <w:pStyle w:val="Weld"/>
        <w:framePr w:hSpace="0" w:wrap="auto" w:vAnchor="margin" w:hAnchor="text" w:xAlign="left" w:yAlign="inline"/>
        <w:ind w:left="1980"/>
      </w:pPr>
      <w:r>
        <w:rPr>
          <w:szCs w:val="14"/>
        </w:rPr>
        <w:t>C</w:t>
      </w:r>
      <w:r w:rsidRPr="00FC6B42">
        <w:rPr>
          <w:szCs w:val="14"/>
        </w:rPr>
        <w:t>ommissioner</w:t>
      </w:r>
    </w:p>
    <w:p w14:paraId="6CC52059" w14:textId="77777777" w:rsidR="00BF2235" w:rsidRDefault="00BF2235" w:rsidP="00BF2235">
      <w:pPr>
        <w:pStyle w:val="Governor"/>
        <w:framePr w:hSpace="0" w:wrap="auto" w:vAnchor="margin" w:hAnchor="text" w:xAlign="left" w:yAlign="inline"/>
        <w:spacing w:after="0"/>
        <w:ind w:left="1980"/>
        <w:rPr>
          <w:rFonts w:ascii="Arial" w:hAnsi="Arial" w:cs="Arial"/>
          <w:b/>
          <w:szCs w:val="14"/>
        </w:rPr>
      </w:pPr>
    </w:p>
    <w:p w14:paraId="6176F5EF" w14:textId="77777777" w:rsidR="00BF2235" w:rsidRDefault="00BF2235" w:rsidP="00BF2235">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BC5B88D" w14:textId="77777777" w:rsidR="00BF2235" w:rsidRPr="00A763BA" w:rsidRDefault="00BF2235" w:rsidP="00BF2235">
      <w:pPr>
        <w:pStyle w:val="Governor"/>
        <w:framePr w:hSpace="0" w:wrap="auto" w:vAnchor="margin" w:hAnchor="text" w:xAlign="left" w:yAlign="inline"/>
        <w:spacing w:after="0"/>
        <w:ind w:left="1980"/>
        <w:rPr>
          <w:sz w:val="16"/>
        </w:rPr>
      </w:pPr>
      <w:hyperlink r:id="rId15" w:history="1">
        <w:r w:rsidRPr="00A51A30">
          <w:rPr>
            <w:rStyle w:val="Hyperlink"/>
            <w:rFonts w:ascii="Arial" w:hAnsi="Arial" w:cs="Arial"/>
            <w:b/>
            <w:szCs w:val="14"/>
            <w:lang w:val="fr-FR"/>
          </w:rPr>
          <w:t>www.mass.gov/dph</w:t>
        </w:r>
      </w:hyperlink>
    </w:p>
    <w:p w14:paraId="5B45D42F" w14:textId="77777777" w:rsidR="00BF2235" w:rsidRDefault="00BF2235" w:rsidP="00BF2235">
      <w:pPr>
        <w:ind w:right="2340"/>
        <w:sectPr w:rsidR="00BF2235" w:rsidSect="005B14DC">
          <w:type w:val="continuous"/>
          <w:pgSz w:w="12240" w:h="15840"/>
          <w:pgMar w:top="1440" w:right="1440" w:bottom="1440" w:left="1440" w:header="720" w:footer="720" w:gutter="0"/>
          <w:cols w:num="2" w:space="720"/>
          <w:docGrid w:linePitch="360"/>
        </w:sectPr>
      </w:pPr>
    </w:p>
    <w:p w14:paraId="20E9FC8C" w14:textId="77777777" w:rsidR="00BF2235" w:rsidRDefault="00BF2235" w:rsidP="00BF2235"/>
    <w:p w14:paraId="4B8A48CC" w14:textId="77777777" w:rsidR="00BF2235" w:rsidRDefault="00BF2235" w:rsidP="00BF2235">
      <w:pPr>
        <w:contextualSpacing/>
      </w:pPr>
    </w:p>
    <w:p w14:paraId="30324243"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July 22, 2022</w:t>
      </w:r>
    </w:p>
    <w:p w14:paraId="1324DBEF" w14:textId="77777777" w:rsidR="00BF2235" w:rsidRPr="00BF2235" w:rsidRDefault="00BF2235" w:rsidP="00BF2235">
      <w:pPr>
        <w:rPr>
          <w:rFonts w:asciiTheme="minorHAnsi" w:hAnsiTheme="minorHAnsi" w:cstheme="minorHAnsi"/>
          <w:szCs w:val="24"/>
        </w:rPr>
      </w:pPr>
    </w:p>
    <w:p w14:paraId="69474161" w14:textId="77777777" w:rsid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Crystal Bloom, Partner </w:t>
      </w:r>
    </w:p>
    <w:p w14:paraId="08162044" w14:textId="10DF803C"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Husch Blackwell LLP</w:t>
      </w:r>
    </w:p>
    <w:p w14:paraId="4C77D954" w14:textId="77777777" w:rsid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One Beacon Street, Suite 1320 </w:t>
      </w:r>
    </w:p>
    <w:p w14:paraId="53E08C45" w14:textId="6DA4204B"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Boston, MA 02108-3106</w:t>
      </w:r>
    </w:p>
    <w:p w14:paraId="68721C6A" w14:textId="77777777" w:rsidR="00BF2235" w:rsidRPr="00BF2235" w:rsidRDefault="00BF2235" w:rsidP="00BF2235">
      <w:pPr>
        <w:rPr>
          <w:rFonts w:asciiTheme="minorHAnsi" w:hAnsiTheme="minorHAnsi" w:cstheme="minorHAnsi"/>
          <w:szCs w:val="24"/>
        </w:rPr>
      </w:pPr>
    </w:p>
    <w:p w14:paraId="7CB8F72E"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VIA electronic mail</w:t>
      </w:r>
    </w:p>
    <w:p w14:paraId="5EEF9665" w14:textId="3F4D0B47" w:rsidR="00BF2235" w:rsidRPr="00BF2235" w:rsidRDefault="00BF2235" w:rsidP="00BF2235">
      <w:pPr>
        <w:rPr>
          <w:rFonts w:asciiTheme="minorHAnsi" w:hAnsiTheme="minorHAnsi" w:cstheme="minorHAnsi"/>
          <w:szCs w:val="24"/>
        </w:rPr>
      </w:pPr>
      <w:hyperlink r:id="rId16" w:history="1">
        <w:r w:rsidRPr="001B2DE9">
          <w:rPr>
            <w:rStyle w:val="Hyperlink"/>
            <w:rFonts w:asciiTheme="minorHAnsi" w:hAnsiTheme="minorHAnsi" w:cstheme="minorHAnsi"/>
            <w:szCs w:val="24"/>
          </w:rPr>
          <w:t>Crystal.Bloom@huschblackwell.com</w:t>
        </w:r>
      </w:hyperlink>
      <w:r>
        <w:rPr>
          <w:rFonts w:asciiTheme="minorHAnsi" w:hAnsiTheme="minorHAnsi" w:cstheme="minorHAnsi"/>
          <w:szCs w:val="24"/>
        </w:rPr>
        <w:t xml:space="preserve"> </w:t>
      </w:r>
    </w:p>
    <w:p w14:paraId="2869961B" w14:textId="77777777" w:rsidR="00BF2235" w:rsidRPr="00BF2235" w:rsidRDefault="00BF2235" w:rsidP="00BF2235">
      <w:pPr>
        <w:rPr>
          <w:rFonts w:asciiTheme="minorHAnsi" w:hAnsiTheme="minorHAnsi" w:cstheme="minorHAnsi"/>
          <w:szCs w:val="24"/>
        </w:rPr>
      </w:pPr>
    </w:p>
    <w:p w14:paraId="75B0557C"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RE: Notice of Final Action DON Application # CCHC-22021416-HE</w:t>
      </w:r>
    </w:p>
    <w:p w14:paraId="08CC616C" w14:textId="77777777" w:rsidR="00BF2235" w:rsidRPr="00BF2235" w:rsidRDefault="00BF2235" w:rsidP="00BF2235">
      <w:pPr>
        <w:rPr>
          <w:rFonts w:asciiTheme="minorHAnsi" w:hAnsiTheme="minorHAnsi" w:cstheme="minorHAnsi"/>
          <w:szCs w:val="24"/>
        </w:rPr>
      </w:pPr>
    </w:p>
    <w:p w14:paraId="23C22AF4"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Dear Attorney Bloom,</w:t>
      </w:r>
    </w:p>
    <w:p w14:paraId="6AF68763" w14:textId="77777777" w:rsidR="00BF2235" w:rsidRPr="00BF2235" w:rsidRDefault="00BF2235" w:rsidP="00BF2235">
      <w:pPr>
        <w:rPr>
          <w:rFonts w:asciiTheme="minorHAnsi" w:hAnsiTheme="minorHAnsi" w:cstheme="minorHAnsi"/>
          <w:szCs w:val="24"/>
        </w:rPr>
      </w:pPr>
    </w:p>
    <w:p w14:paraId="0EB4DC60"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At their meeting of July 13, 2022, the </w:t>
      </w:r>
      <w:proofErr w:type="gramStart"/>
      <w:r w:rsidRPr="00BF2235">
        <w:rPr>
          <w:rFonts w:asciiTheme="minorHAnsi" w:hAnsiTheme="minorHAnsi" w:cstheme="minorHAnsi"/>
          <w:szCs w:val="24"/>
        </w:rPr>
        <w:t>Commissioner</w:t>
      </w:r>
      <w:proofErr w:type="gramEnd"/>
      <w:r w:rsidRPr="00BF2235">
        <w:rPr>
          <w:rFonts w:asciiTheme="minorHAnsi" w:hAnsiTheme="minorHAnsi" w:cstheme="minorHAnsi"/>
          <w:szCs w:val="24"/>
        </w:rPr>
        <w:t xml:space="preserve"> and the Public Health Council, acting</w:t>
      </w:r>
    </w:p>
    <w:p w14:paraId="2542965B" w14:textId="6D8EC2DF"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together as the Department, voted pursuant to M.G.L. c.111, §25(c) and the regulations adopted</w:t>
      </w:r>
      <w:r>
        <w:rPr>
          <w:rFonts w:asciiTheme="minorHAnsi" w:hAnsiTheme="minorHAnsi" w:cstheme="minorHAnsi"/>
          <w:szCs w:val="24"/>
        </w:rPr>
        <w:t xml:space="preserve"> </w:t>
      </w:r>
      <w:r w:rsidRPr="00BF2235">
        <w:rPr>
          <w:rFonts w:asciiTheme="minorHAnsi" w:hAnsiTheme="minorHAnsi" w:cstheme="minorHAnsi"/>
          <w:szCs w:val="24"/>
        </w:rPr>
        <w:t>thereunder, to approve the Determination of Need application filed by Cape Cod Healthcare, Inc. (Applicant) located at 27 Park Street, Hyannis, MA 02601 for a Substantial Capital Expenditure to</w:t>
      </w:r>
      <w:r>
        <w:rPr>
          <w:rFonts w:asciiTheme="minorHAnsi" w:hAnsiTheme="minorHAnsi" w:cstheme="minorHAnsi"/>
          <w:szCs w:val="24"/>
        </w:rPr>
        <w:t xml:space="preserve"> </w:t>
      </w:r>
      <w:r w:rsidRPr="00BF2235">
        <w:rPr>
          <w:rFonts w:asciiTheme="minorHAnsi" w:hAnsiTheme="minorHAnsi" w:cstheme="minorHAnsi"/>
          <w:szCs w:val="24"/>
        </w:rPr>
        <w:t>construct a new facility that will consist of the following: (1) relocated and expanded medical oncology department; (2) relocated radiation oncology department; (3) relocated medical/surgical unit consisting of 32 beds; and (4) shell space for future projects. This Notice of Final Action incorporates by reference the Staff Report, and the Public Health Council proceedings concerning this application, all of which are incorporated herein by reference.</w:t>
      </w:r>
    </w:p>
    <w:p w14:paraId="068EE865" w14:textId="77777777" w:rsidR="00BF2235" w:rsidRPr="00BF2235" w:rsidRDefault="00BF2235" w:rsidP="00BF2235">
      <w:pPr>
        <w:rPr>
          <w:rFonts w:asciiTheme="minorHAnsi" w:hAnsiTheme="minorHAnsi" w:cstheme="minorHAnsi"/>
          <w:szCs w:val="24"/>
        </w:rPr>
      </w:pPr>
    </w:p>
    <w:p w14:paraId="33761B2C"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This Determination of Need Application was reviewed pursuant to M.G.L. c. 111, § 25(c), and the regulatory provisions of 105 CMR 100.000 et seq. Based upon a review of the materials, the Department found that the Applicant has met each </w:t>
      </w:r>
      <w:proofErr w:type="spellStart"/>
      <w:r w:rsidRPr="00BF2235">
        <w:rPr>
          <w:rFonts w:asciiTheme="minorHAnsi" w:hAnsiTheme="minorHAnsi" w:cstheme="minorHAnsi"/>
          <w:szCs w:val="24"/>
        </w:rPr>
        <w:t>DoN</w:t>
      </w:r>
      <w:proofErr w:type="spellEnd"/>
      <w:r w:rsidRPr="00BF2235">
        <w:rPr>
          <w:rFonts w:asciiTheme="minorHAnsi" w:hAnsiTheme="minorHAnsi" w:cstheme="minorHAnsi"/>
          <w:szCs w:val="24"/>
        </w:rPr>
        <w:t xml:space="preserve"> factor with conditions and approves </w:t>
      </w:r>
      <w:r w:rsidRPr="00BF2235">
        <w:rPr>
          <w:rFonts w:asciiTheme="minorHAnsi" w:hAnsiTheme="minorHAnsi" w:cstheme="minorHAnsi"/>
          <w:szCs w:val="24"/>
        </w:rPr>
        <w:lastRenderedPageBreak/>
        <w:t>this Determination of Need application for a substantial capital expenditure for the Proposed Project of $137,048,632.00. The total required Community Health Initiative (CHI) contribution is $6,852,431.60.</w:t>
      </w:r>
    </w:p>
    <w:p w14:paraId="54FD2E77" w14:textId="77777777" w:rsidR="00BF2235" w:rsidRPr="00BF2235" w:rsidRDefault="00BF2235" w:rsidP="00BF2235">
      <w:pPr>
        <w:rPr>
          <w:rFonts w:asciiTheme="minorHAnsi" w:hAnsiTheme="minorHAnsi" w:cstheme="minorHAnsi"/>
          <w:szCs w:val="24"/>
        </w:rPr>
      </w:pPr>
    </w:p>
    <w:p w14:paraId="0FEC7003" w14:textId="3EF1C7C1" w:rsidR="00BF2235" w:rsidRDefault="00BF2235" w:rsidP="00BF2235">
      <w:pPr>
        <w:rPr>
          <w:rFonts w:asciiTheme="minorHAnsi" w:hAnsiTheme="minorHAnsi" w:cstheme="minorHAnsi"/>
          <w:szCs w:val="24"/>
        </w:rPr>
      </w:pPr>
      <w:r w:rsidRPr="00BF2235">
        <w:rPr>
          <w:rFonts w:asciiTheme="minorHAnsi" w:hAnsiTheme="minorHAnsi" w:cstheme="minorHAnsi"/>
          <w:szCs w:val="24"/>
        </w:rPr>
        <w:t>In compliance with the provisions of 105 CMR 100.310 A (2) and (11) the Holder shall submit an acknowledgment of receipt to the Department (attached) and include a written attestation of participation or intent to participate in MassHealth.</w:t>
      </w:r>
    </w:p>
    <w:p w14:paraId="5C8913CC" w14:textId="77777777" w:rsidR="00BF2235" w:rsidRPr="00BF2235" w:rsidRDefault="00BF2235" w:rsidP="00BF2235">
      <w:pPr>
        <w:rPr>
          <w:rFonts w:asciiTheme="minorHAnsi" w:hAnsiTheme="minorHAnsi" w:cstheme="minorHAnsi"/>
          <w:szCs w:val="24"/>
        </w:rPr>
      </w:pPr>
    </w:p>
    <w:p w14:paraId="7C91E253"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In compliance with 105 CMR 100.310(A)(12), which requires a report to the Department, at a minimum on an annual basis, including the measures related to achievement of the </w:t>
      </w:r>
      <w:proofErr w:type="spellStart"/>
      <w:r w:rsidRPr="00BF2235">
        <w:rPr>
          <w:rFonts w:asciiTheme="minorHAnsi" w:hAnsiTheme="minorHAnsi" w:cstheme="minorHAnsi"/>
          <w:szCs w:val="24"/>
        </w:rPr>
        <w:t>DoN</w:t>
      </w:r>
      <w:proofErr w:type="spellEnd"/>
      <w:r w:rsidRPr="00BF2235">
        <w:rPr>
          <w:rFonts w:asciiTheme="minorHAnsi" w:hAnsiTheme="minorHAnsi" w:cstheme="minorHAnsi"/>
          <w:szCs w:val="24"/>
        </w:rPr>
        <w:t xml:space="preserve"> factors for a period of five years from completion of the Proposed Project, the Holder shall address its assertions with respect to all the factors.</w:t>
      </w:r>
    </w:p>
    <w:p w14:paraId="03A4960C" w14:textId="77777777" w:rsidR="00BF2235" w:rsidRPr="00BF2235" w:rsidRDefault="00BF2235" w:rsidP="00BF2235">
      <w:pPr>
        <w:rPr>
          <w:rFonts w:asciiTheme="minorHAnsi" w:hAnsiTheme="minorHAnsi" w:cstheme="minorHAnsi"/>
          <w:szCs w:val="24"/>
        </w:rPr>
      </w:pPr>
    </w:p>
    <w:p w14:paraId="5C1D02A1" w14:textId="77777777" w:rsidR="00BF2235" w:rsidRPr="00BF2235" w:rsidRDefault="00BF2235" w:rsidP="00BF2235">
      <w:pPr>
        <w:rPr>
          <w:rFonts w:asciiTheme="minorHAnsi" w:hAnsiTheme="minorHAnsi" w:cstheme="minorHAnsi"/>
          <w:b/>
          <w:bCs/>
          <w:szCs w:val="24"/>
        </w:rPr>
      </w:pPr>
      <w:r w:rsidRPr="00BF2235">
        <w:rPr>
          <w:rFonts w:asciiTheme="minorHAnsi" w:hAnsiTheme="minorHAnsi" w:cstheme="minorHAnsi"/>
          <w:b/>
          <w:bCs/>
          <w:szCs w:val="24"/>
        </w:rPr>
        <w:t xml:space="preserve">Other Conditions to the </w:t>
      </w:r>
      <w:proofErr w:type="spellStart"/>
      <w:r w:rsidRPr="00BF2235">
        <w:rPr>
          <w:rFonts w:asciiTheme="minorHAnsi" w:hAnsiTheme="minorHAnsi" w:cstheme="minorHAnsi"/>
          <w:b/>
          <w:bCs/>
          <w:szCs w:val="24"/>
        </w:rPr>
        <w:t>DoN</w:t>
      </w:r>
      <w:proofErr w:type="spellEnd"/>
    </w:p>
    <w:p w14:paraId="5FFAC423" w14:textId="77777777" w:rsidR="00BF2235" w:rsidRPr="00BF2235" w:rsidRDefault="00BF2235" w:rsidP="00BF2235">
      <w:pPr>
        <w:rPr>
          <w:rFonts w:asciiTheme="minorHAnsi" w:hAnsiTheme="minorHAnsi" w:cstheme="minorHAnsi"/>
          <w:szCs w:val="24"/>
        </w:rPr>
      </w:pPr>
    </w:p>
    <w:p w14:paraId="324350E7" w14:textId="77777777" w:rsidR="00BF2235" w:rsidRPr="00BF2235" w:rsidRDefault="00BF2235" w:rsidP="00BF2235">
      <w:pPr>
        <w:rPr>
          <w:rFonts w:asciiTheme="minorHAnsi" w:hAnsiTheme="minorHAnsi" w:cstheme="minorHAnsi"/>
          <w:b/>
          <w:bCs/>
          <w:szCs w:val="24"/>
        </w:rPr>
      </w:pPr>
      <w:r w:rsidRPr="00BF2235">
        <w:rPr>
          <w:rFonts w:asciiTheme="minorHAnsi" w:hAnsiTheme="minorHAnsi" w:cstheme="minorHAnsi"/>
          <w:b/>
          <w:bCs/>
          <w:szCs w:val="24"/>
        </w:rPr>
        <w:t>Condition 1 – CHI Contribution</w:t>
      </w:r>
    </w:p>
    <w:p w14:paraId="5B836DC1" w14:textId="77777777" w:rsidR="00BF2235" w:rsidRPr="00BF2235" w:rsidRDefault="00BF2235" w:rsidP="00BF2235">
      <w:pPr>
        <w:pStyle w:val="ListParagraph"/>
        <w:numPr>
          <w:ilvl w:val="0"/>
          <w:numId w:val="3"/>
        </w:numPr>
        <w:ind w:left="360"/>
        <w:rPr>
          <w:rFonts w:asciiTheme="minorHAnsi" w:hAnsiTheme="minorHAnsi" w:cstheme="minorHAnsi"/>
          <w:szCs w:val="24"/>
        </w:rPr>
      </w:pPr>
      <w:r w:rsidRPr="00BF2235">
        <w:rPr>
          <w:rFonts w:asciiTheme="minorHAnsi" w:hAnsiTheme="minorHAnsi" w:cstheme="minorHAnsi"/>
          <w:szCs w:val="24"/>
        </w:rPr>
        <w:t>Of the total required CHI contribution of $6,852,431.60</w:t>
      </w:r>
    </w:p>
    <w:p w14:paraId="5C167C06" w14:textId="77777777" w:rsidR="00BF2235" w:rsidRPr="00BF2235" w:rsidRDefault="00BF2235" w:rsidP="00BF2235">
      <w:pPr>
        <w:pStyle w:val="ListParagraph"/>
        <w:numPr>
          <w:ilvl w:val="1"/>
          <w:numId w:val="3"/>
        </w:numPr>
        <w:ind w:left="720"/>
        <w:rPr>
          <w:rFonts w:asciiTheme="minorHAnsi" w:hAnsiTheme="minorHAnsi" w:cstheme="minorHAnsi"/>
          <w:szCs w:val="24"/>
        </w:rPr>
      </w:pPr>
      <w:r w:rsidRPr="00BF2235">
        <w:rPr>
          <w:rFonts w:asciiTheme="minorHAnsi" w:hAnsiTheme="minorHAnsi" w:cstheme="minorHAnsi"/>
          <w:szCs w:val="24"/>
        </w:rPr>
        <w:t xml:space="preserve">$1,678,845.74 will be directed to the CHI Statewide Initiative </w:t>
      </w:r>
    </w:p>
    <w:p w14:paraId="65A0D622" w14:textId="77777777" w:rsidR="00BF2235" w:rsidRPr="00BF2235" w:rsidRDefault="00BF2235" w:rsidP="00BF2235">
      <w:pPr>
        <w:pStyle w:val="ListParagraph"/>
        <w:numPr>
          <w:ilvl w:val="1"/>
          <w:numId w:val="3"/>
        </w:numPr>
        <w:ind w:left="720"/>
        <w:rPr>
          <w:rFonts w:asciiTheme="minorHAnsi" w:hAnsiTheme="minorHAnsi" w:cstheme="minorHAnsi"/>
          <w:szCs w:val="24"/>
        </w:rPr>
      </w:pPr>
      <w:r w:rsidRPr="00BF2235">
        <w:rPr>
          <w:rFonts w:asciiTheme="minorHAnsi" w:hAnsiTheme="minorHAnsi" w:cstheme="minorHAnsi"/>
          <w:szCs w:val="24"/>
        </w:rPr>
        <w:t xml:space="preserve">$5,036,537.23 will be dedicated to local approaches to the </w:t>
      </w:r>
      <w:proofErr w:type="spellStart"/>
      <w:r w:rsidRPr="00BF2235">
        <w:rPr>
          <w:rFonts w:asciiTheme="minorHAnsi" w:hAnsiTheme="minorHAnsi" w:cstheme="minorHAnsi"/>
          <w:szCs w:val="24"/>
        </w:rPr>
        <w:t>DoN</w:t>
      </w:r>
      <w:proofErr w:type="spellEnd"/>
      <w:r w:rsidRPr="00BF2235">
        <w:rPr>
          <w:rFonts w:asciiTheme="minorHAnsi" w:hAnsiTheme="minorHAnsi" w:cstheme="minorHAnsi"/>
          <w:szCs w:val="24"/>
        </w:rPr>
        <w:t xml:space="preserve"> Health Priorities </w:t>
      </w:r>
    </w:p>
    <w:p w14:paraId="76EDC7B1" w14:textId="77777777" w:rsidR="00BF2235" w:rsidRDefault="00BF2235" w:rsidP="00BF2235">
      <w:pPr>
        <w:pStyle w:val="ListParagraph"/>
        <w:numPr>
          <w:ilvl w:val="1"/>
          <w:numId w:val="3"/>
        </w:numPr>
        <w:ind w:left="720"/>
        <w:rPr>
          <w:rFonts w:asciiTheme="minorHAnsi" w:hAnsiTheme="minorHAnsi" w:cstheme="minorHAnsi"/>
          <w:szCs w:val="24"/>
        </w:rPr>
      </w:pPr>
      <w:r w:rsidRPr="00BF2235">
        <w:rPr>
          <w:rFonts w:asciiTheme="minorHAnsi" w:hAnsiTheme="minorHAnsi" w:cstheme="minorHAnsi"/>
          <w:szCs w:val="24"/>
        </w:rPr>
        <w:t>$137,048.63 will be designated as the administrative fee.</w:t>
      </w:r>
    </w:p>
    <w:p w14:paraId="58C8FAA0" w14:textId="77777777" w:rsidR="00BF2235" w:rsidRDefault="00BF2235" w:rsidP="00BF2235">
      <w:pPr>
        <w:pStyle w:val="ListParagraph"/>
        <w:ind w:left="360"/>
        <w:rPr>
          <w:rFonts w:asciiTheme="minorHAnsi" w:hAnsiTheme="minorHAnsi" w:cstheme="minorHAnsi"/>
          <w:szCs w:val="24"/>
        </w:rPr>
      </w:pPr>
    </w:p>
    <w:p w14:paraId="26035572" w14:textId="77777777" w:rsidR="00BF2235" w:rsidRDefault="00BF2235" w:rsidP="00BF2235">
      <w:pPr>
        <w:pStyle w:val="ListParagraph"/>
        <w:numPr>
          <w:ilvl w:val="0"/>
          <w:numId w:val="3"/>
        </w:numPr>
        <w:ind w:left="360"/>
        <w:rPr>
          <w:rFonts w:asciiTheme="minorHAnsi" w:hAnsiTheme="minorHAnsi" w:cstheme="minorHAnsi"/>
          <w:szCs w:val="24"/>
        </w:rPr>
      </w:pPr>
      <w:r w:rsidRPr="00BF2235">
        <w:rPr>
          <w:rFonts w:asciiTheme="minorHAnsi" w:hAnsiTheme="minorHAnsi" w:cstheme="minorHAnsi"/>
          <w:szCs w:val="24"/>
        </w:rPr>
        <w:t xml:space="preserve">To comply with the Holder’s obligation to contribute to the Statewide CHI Initiative, the Holder must submit a check for $1,678,845.74 to Health Resources in Action (the fiscal agent for the CHI Statewide Initiative). </w:t>
      </w:r>
    </w:p>
    <w:p w14:paraId="016A8324" w14:textId="77777777" w:rsidR="00811C81" w:rsidRDefault="00BF2235" w:rsidP="00BF2235">
      <w:pPr>
        <w:pStyle w:val="ListParagraph"/>
        <w:numPr>
          <w:ilvl w:val="0"/>
          <w:numId w:val="4"/>
        </w:numPr>
        <w:rPr>
          <w:rFonts w:asciiTheme="minorHAnsi" w:hAnsiTheme="minorHAnsi" w:cstheme="minorHAnsi"/>
          <w:szCs w:val="24"/>
        </w:rPr>
      </w:pPr>
      <w:r w:rsidRPr="00BF2235">
        <w:rPr>
          <w:rFonts w:asciiTheme="minorHAnsi" w:hAnsiTheme="minorHAnsi" w:cstheme="minorHAnsi"/>
          <w:szCs w:val="24"/>
        </w:rPr>
        <w:t xml:space="preserve">The Holder must submit the funds to </w:t>
      </w:r>
      <w:proofErr w:type="spellStart"/>
      <w:r w:rsidRPr="00BF2235">
        <w:rPr>
          <w:rFonts w:asciiTheme="minorHAnsi" w:hAnsiTheme="minorHAnsi" w:cstheme="minorHAnsi"/>
          <w:szCs w:val="24"/>
        </w:rPr>
        <w:t>HRiA</w:t>
      </w:r>
      <w:proofErr w:type="spellEnd"/>
      <w:r w:rsidRPr="00BF2235">
        <w:rPr>
          <w:rFonts w:asciiTheme="minorHAnsi" w:hAnsiTheme="minorHAnsi" w:cstheme="minorHAnsi"/>
          <w:szCs w:val="24"/>
        </w:rPr>
        <w:t xml:space="preserve"> within 30 days from the date of the Notice of Approval. </w:t>
      </w:r>
    </w:p>
    <w:p w14:paraId="275FCA01" w14:textId="7F3DD03C" w:rsidR="00BF2235" w:rsidRPr="00811C81" w:rsidRDefault="00BF2235" w:rsidP="00BF2235">
      <w:pPr>
        <w:pStyle w:val="ListParagraph"/>
        <w:numPr>
          <w:ilvl w:val="0"/>
          <w:numId w:val="4"/>
        </w:numPr>
        <w:rPr>
          <w:rFonts w:asciiTheme="minorHAnsi" w:hAnsiTheme="minorHAnsi" w:cstheme="minorHAnsi"/>
          <w:szCs w:val="24"/>
        </w:rPr>
      </w:pPr>
      <w:r w:rsidRPr="00811C81">
        <w:rPr>
          <w:rFonts w:asciiTheme="minorHAnsi" w:hAnsiTheme="minorHAnsi" w:cstheme="minorHAnsi"/>
          <w:szCs w:val="24"/>
        </w:rPr>
        <w:t>The Holder must promptly notify DPH (CHI contact staff) when the payment has been made.</w:t>
      </w:r>
    </w:p>
    <w:p w14:paraId="1977D079" w14:textId="77777777" w:rsidR="00811C81" w:rsidRDefault="00811C81" w:rsidP="00BF2235">
      <w:pPr>
        <w:rPr>
          <w:rFonts w:asciiTheme="minorHAnsi" w:hAnsiTheme="minorHAnsi" w:cstheme="minorHAnsi"/>
          <w:szCs w:val="24"/>
        </w:rPr>
      </w:pPr>
    </w:p>
    <w:p w14:paraId="20D55996" w14:textId="6E359A92"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Payment should be sent to:</w:t>
      </w:r>
    </w:p>
    <w:p w14:paraId="33DAA570"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Health Resources in Action, Inc., (</w:t>
      </w:r>
      <w:proofErr w:type="spellStart"/>
      <w:r w:rsidRPr="00BF2235">
        <w:rPr>
          <w:rFonts w:asciiTheme="minorHAnsi" w:hAnsiTheme="minorHAnsi" w:cstheme="minorHAnsi"/>
          <w:szCs w:val="24"/>
        </w:rPr>
        <w:t>HRiA</w:t>
      </w:r>
      <w:proofErr w:type="spellEnd"/>
      <w:r w:rsidRPr="00BF2235">
        <w:rPr>
          <w:rFonts w:asciiTheme="minorHAnsi" w:hAnsiTheme="minorHAnsi" w:cstheme="minorHAnsi"/>
          <w:szCs w:val="24"/>
        </w:rPr>
        <w:t xml:space="preserve">) </w:t>
      </w:r>
    </w:p>
    <w:p w14:paraId="66097A46"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2 Boylston Street, 4th Floor</w:t>
      </w:r>
    </w:p>
    <w:p w14:paraId="14A4BF4D"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Boston, MA 02116 Attn: Ms. Bora Toro</w:t>
      </w:r>
    </w:p>
    <w:p w14:paraId="0F4BA7B8" w14:textId="77777777" w:rsidR="00BF2235" w:rsidRPr="00BF2235" w:rsidRDefault="00BF2235" w:rsidP="00BF2235">
      <w:pPr>
        <w:rPr>
          <w:rFonts w:asciiTheme="minorHAnsi" w:hAnsiTheme="minorHAnsi" w:cstheme="minorHAnsi"/>
          <w:szCs w:val="24"/>
        </w:rPr>
      </w:pPr>
    </w:p>
    <w:p w14:paraId="646E00E7" w14:textId="77777777" w:rsidR="00BF2235" w:rsidRPr="00BF2235" w:rsidRDefault="00BF2235" w:rsidP="00BF2235">
      <w:pPr>
        <w:rPr>
          <w:rFonts w:asciiTheme="minorHAnsi" w:hAnsiTheme="minorHAnsi" w:cstheme="minorHAnsi"/>
          <w:szCs w:val="24"/>
        </w:rPr>
      </w:pPr>
      <w:r w:rsidRPr="00811C81">
        <w:rPr>
          <w:rFonts w:asciiTheme="minorHAnsi" w:hAnsiTheme="minorHAnsi" w:cstheme="minorHAnsi"/>
          <w:b/>
          <w:bCs/>
          <w:szCs w:val="24"/>
        </w:rPr>
        <w:t>Condition 2</w:t>
      </w:r>
      <w:r w:rsidRPr="00BF2235">
        <w:rPr>
          <w:rFonts w:asciiTheme="minorHAnsi" w:hAnsiTheme="minorHAnsi" w:cstheme="minorHAnsi"/>
          <w:szCs w:val="24"/>
        </w:rPr>
        <w:t xml:space="preserve"> – The Holder shall provide, in its annual report to the Department, the following outcome measures. These metrics will become part of the annual reporting on the approved </w:t>
      </w:r>
      <w:proofErr w:type="spellStart"/>
      <w:r w:rsidRPr="00BF2235">
        <w:rPr>
          <w:rFonts w:asciiTheme="minorHAnsi" w:hAnsiTheme="minorHAnsi" w:cstheme="minorHAnsi"/>
          <w:szCs w:val="24"/>
        </w:rPr>
        <w:t>DoN</w:t>
      </w:r>
      <w:proofErr w:type="spellEnd"/>
      <w:r w:rsidRPr="00BF2235">
        <w:rPr>
          <w:rFonts w:asciiTheme="minorHAnsi" w:hAnsiTheme="minorHAnsi" w:cstheme="minorHAnsi"/>
          <w:szCs w:val="24"/>
        </w:rPr>
        <w:t>, required pursuant to 105 CMR 100.310(A)(12). Reporting will include a description of numerators and denominators.</w:t>
      </w:r>
    </w:p>
    <w:p w14:paraId="6B258D8F" w14:textId="77777777" w:rsidR="00BF2235" w:rsidRPr="00BF2235" w:rsidRDefault="00BF2235" w:rsidP="00BF2235">
      <w:pPr>
        <w:rPr>
          <w:rFonts w:asciiTheme="minorHAnsi" w:hAnsiTheme="minorHAnsi" w:cstheme="minorHAnsi"/>
          <w:szCs w:val="24"/>
        </w:rPr>
      </w:pPr>
    </w:p>
    <w:p w14:paraId="1AB49984"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OUTPATIENT MEDICAL ONCOLOGY QUALITY MEASURES</w:t>
      </w:r>
    </w:p>
    <w:p w14:paraId="34A10201" w14:textId="77777777" w:rsidR="00811C81" w:rsidRDefault="00BF2235" w:rsidP="00BF2235">
      <w:pPr>
        <w:pStyle w:val="ListParagraph"/>
        <w:numPr>
          <w:ilvl w:val="0"/>
          <w:numId w:val="6"/>
        </w:numPr>
        <w:ind w:left="360"/>
        <w:rPr>
          <w:rFonts w:asciiTheme="minorHAnsi" w:hAnsiTheme="minorHAnsi" w:cstheme="minorHAnsi"/>
          <w:szCs w:val="24"/>
        </w:rPr>
      </w:pPr>
      <w:r w:rsidRPr="00811C81">
        <w:rPr>
          <w:rFonts w:asciiTheme="minorHAnsi" w:hAnsiTheme="minorHAnsi" w:cstheme="minorHAnsi"/>
          <w:szCs w:val="24"/>
        </w:rPr>
        <w:t>Patient Satisfaction: Patients that are satisfied with their care are more likely to seek additional</w:t>
      </w:r>
      <w:r w:rsidR="00811C81">
        <w:rPr>
          <w:rFonts w:asciiTheme="minorHAnsi" w:hAnsiTheme="minorHAnsi" w:cstheme="minorHAnsi"/>
          <w:szCs w:val="24"/>
        </w:rPr>
        <w:t xml:space="preserve"> </w:t>
      </w:r>
      <w:r w:rsidRPr="00811C81">
        <w:rPr>
          <w:rFonts w:asciiTheme="minorHAnsi" w:hAnsiTheme="minorHAnsi" w:cstheme="minorHAnsi"/>
          <w:szCs w:val="24"/>
        </w:rPr>
        <w:t>treatment when necessary. CCH staff will review patient satisfaction scores from the Hospital</w:t>
      </w:r>
      <w:r w:rsidR="00811C81">
        <w:rPr>
          <w:rFonts w:asciiTheme="minorHAnsi" w:hAnsiTheme="minorHAnsi" w:cstheme="minorHAnsi"/>
          <w:szCs w:val="24"/>
        </w:rPr>
        <w:t xml:space="preserve"> </w:t>
      </w:r>
      <w:r w:rsidRPr="00811C81">
        <w:rPr>
          <w:rFonts w:asciiTheme="minorHAnsi" w:hAnsiTheme="minorHAnsi" w:cstheme="minorHAnsi"/>
          <w:szCs w:val="24"/>
        </w:rPr>
        <w:t>Consumer Assessment of Healthcare Providers and Systems related to overall patient</w:t>
      </w:r>
      <w:r w:rsidR="00811C81">
        <w:rPr>
          <w:rFonts w:asciiTheme="minorHAnsi" w:hAnsiTheme="minorHAnsi" w:cstheme="minorHAnsi"/>
          <w:szCs w:val="24"/>
        </w:rPr>
        <w:t xml:space="preserve"> </w:t>
      </w:r>
      <w:r w:rsidRPr="00811C81">
        <w:rPr>
          <w:rFonts w:asciiTheme="minorHAnsi" w:hAnsiTheme="minorHAnsi" w:cstheme="minorHAnsi"/>
          <w:szCs w:val="24"/>
        </w:rPr>
        <w:t>satisfaction</w:t>
      </w:r>
    </w:p>
    <w:p w14:paraId="05E201E7" w14:textId="77777777" w:rsidR="00811C81" w:rsidRDefault="00BF2235" w:rsidP="00BF2235">
      <w:pPr>
        <w:pStyle w:val="ListParagraph"/>
        <w:numPr>
          <w:ilvl w:val="1"/>
          <w:numId w:val="6"/>
        </w:numPr>
        <w:rPr>
          <w:rFonts w:asciiTheme="minorHAnsi" w:hAnsiTheme="minorHAnsi" w:cstheme="minorHAnsi"/>
          <w:szCs w:val="24"/>
        </w:rPr>
      </w:pPr>
      <w:r w:rsidRPr="00811C81">
        <w:rPr>
          <w:rFonts w:asciiTheme="minorHAnsi" w:hAnsiTheme="minorHAnsi" w:cstheme="minorHAnsi"/>
          <w:szCs w:val="24"/>
        </w:rPr>
        <w:lastRenderedPageBreak/>
        <w:t>Measure: Staff will review responses pertaining to registration, wait times, changing</w:t>
      </w:r>
      <w:r w:rsidR="00811C81">
        <w:rPr>
          <w:rFonts w:asciiTheme="minorHAnsi" w:hAnsiTheme="minorHAnsi" w:cstheme="minorHAnsi"/>
          <w:szCs w:val="24"/>
        </w:rPr>
        <w:t xml:space="preserve"> </w:t>
      </w:r>
      <w:r w:rsidRPr="00811C81">
        <w:rPr>
          <w:rFonts w:asciiTheme="minorHAnsi" w:hAnsiTheme="minorHAnsi" w:cstheme="minorHAnsi"/>
          <w:szCs w:val="24"/>
        </w:rPr>
        <w:t>room privacy, facility navigation, staff communication, and personal needs. Response</w:t>
      </w:r>
      <w:r w:rsidR="00811C81">
        <w:rPr>
          <w:rFonts w:asciiTheme="minorHAnsi" w:hAnsiTheme="minorHAnsi" w:cstheme="minorHAnsi"/>
          <w:szCs w:val="24"/>
        </w:rPr>
        <w:t xml:space="preserve"> </w:t>
      </w:r>
      <w:r w:rsidRPr="00811C81">
        <w:rPr>
          <w:rFonts w:asciiTheme="minorHAnsi" w:hAnsiTheme="minorHAnsi" w:cstheme="minorHAnsi"/>
          <w:szCs w:val="24"/>
        </w:rPr>
        <w:t>options include Very Poor, Poor, Fair, Good, and Very Good.</w:t>
      </w:r>
      <w:r w:rsidR="00811C81">
        <w:rPr>
          <w:rFonts w:asciiTheme="minorHAnsi" w:hAnsiTheme="minorHAnsi" w:cstheme="minorHAnsi"/>
          <w:szCs w:val="24"/>
        </w:rPr>
        <w:t xml:space="preserve"> </w:t>
      </w:r>
      <w:r w:rsidRPr="00811C81">
        <w:rPr>
          <w:rFonts w:asciiTheme="minorHAnsi" w:hAnsiTheme="minorHAnsi" w:cstheme="minorHAnsi"/>
          <w:i/>
          <w:iCs/>
          <w:szCs w:val="24"/>
        </w:rPr>
        <w:t>Numerator</w:t>
      </w:r>
      <w:r w:rsidRPr="00811C81">
        <w:rPr>
          <w:rFonts w:asciiTheme="minorHAnsi" w:hAnsiTheme="minorHAnsi" w:cstheme="minorHAnsi"/>
          <w:szCs w:val="24"/>
        </w:rPr>
        <w:t xml:space="preserve">: # of responses with highest score; </w:t>
      </w:r>
      <w:r w:rsidRPr="00811C81">
        <w:rPr>
          <w:rFonts w:asciiTheme="minorHAnsi" w:hAnsiTheme="minorHAnsi" w:cstheme="minorHAnsi"/>
          <w:i/>
          <w:iCs/>
          <w:szCs w:val="24"/>
        </w:rPr>
        <w:t>Denominator</w:t>
      </w:r>
      <w:r w:rsidRPr="00811C81">
        <w:rPr>
          <w:rFonts w:asciiTheme="minorHAnsi" w:hAnsiTheme="minorHAnsi" w:cstheme="minorHAnsi"/>
          <w:szCs w:val="24"/>
        </w:rPr>
        <w:t>: Total # of responses</w:t>
      </w:r>
    </w:p>
    <w:p w14:paraId="03ECE662" w14:textId="77777777" w:rsidR="00811C81" w:rsidRDefault="00BF2235" w:rsidP="00BF2235">
      <w:pPr>
        <w:pStyle w:val="ListParagraph"/>
        <w:numPr>
          <w:ilvl w:val="1"/>
          <w:numId w:val="6"/>
        </w:numPr>
        <w:rPr>
          <w:rFonts w:asciiTheme="minorHAnsi" w:hAnsiTheme="minorHAnsi" w:cstheme="minorHAnsi"/>
          <w:szCs w:val="24"/>
        </w:rPr>
      </w:pPr>
      <w:r w:rsidRPr="00811C81">
        <w:rPr>
          <w:rFonts w:asciiTheme="minorHAnsi" w:hAnsiTheme="minorHAnsi" w:cstheme="minorHAnsi"/>
          <w:szCs w:val="24"/>
        </w:rPr>
        <w:t>Baseline: 69.78% of patients responded with the highest score (“Top Box Score”)</w:t>
      </w:r>
    </w:p>
    <w:p w14:paraId="76E43495" w14:textId="77777777" w:rsidR="00811C81" w:rsidRDefault="00BF2235" w:rsidP="00BF2235">
      <w:pPr>
        <w:pStyle w:val="ListParagraph"/>
        <w:numPr>
          <w:ilvl w:val="1"/>
          <w:numId w:val="6"/>
        </w:numPr>
        <w:rPr>
          <w:rFonts w:asciiTheme="minorHAnsi" w:hAnsiTheme="minorHAnsi" w:cstheme="minorHAnsi"/>
          <w:szCs w:val="24"/>
        </w:rPr>
      </w:pPr>
      <w:r w:rsidRPr="00811C81">
        <w:rPr>
          <w:rFonts w:asciiTheme="minorHAnsi" w:hAnsiTheme="minorHAnsi" w:cstheme="minorHAnsi"/>
          <w:szCs w:val="24"/>
        </w:rPr>
        <w:t>Projections: Year 1: 71%; Year 2: 73%; Year 3: 74%</w:t>
      </w:r>
    </w:p>
    <w:p w14:paraId="13FD59F4" w14:textId="77777777" w:rsidR="00811C81" w:rsidRDefault="00BF2235" w:rsidP="00BF2235">
      <w:pPr>
        <w:pStyle w:val="ListParagraph"/>
        <w:numPr>
          <w:ilvl w:val="1"/>
          <w:numId w:val="6"/>
        </w:numPr>
        <w:rPr>
          <w:rFonts w:asciiTheme="minorHAnsi" w:hAnsiTheme="minorHAnsi" w:cstheme="minorHAnsi"/>
          <w:szCs w:val="24"/>
        </w:rPr>
      </w:pPr>
      <w:r w:rsidRPr="00811C81">
        <w:rPr>
          <w:rFonts w:asciiTheme="minorHAnsi" w:hAnsiTheme="minorHAnsi" w:cstheme="minorHAnsi"/>
          <w:szCs w:val="24"/>
        </w:rPr>
        <w:t>Monitoring: Results will be reviewed annually by oncology leadership.</w:t>
      </w:r>
    </w:p>
    <w:p w14:paraId="70ABDA30" w14:textId="77777777" w:rsidR="00811C81" w:rsidRDefault="00811C81" w:rsidP="00811C81">
      <w:pPr>
        <w:pStyle w:val="ListParagraph"/>
        <w:rPr>
          <w:rFonts w:asciiTheme="minorHAnsi" w:hAnsiTheme="minorHAnsi" w:cstheme="minorHAnsi"/>
          <w:szCs w:val="24"/>
        </w:rPr>
      </w:pPr>
    </w:p>
    <w:p w14:paraId="0D685555" w14:textId="77777777" w:rsidR="00811C81" w:rsidRDefault="00BF2235" w:rsidP="00BF2235">
      <w:pPr>
        <w:pStyle w:val="ListParagraph"/>
        <w:numPr>
          <w:ilvl w:val="0"/>
          <w:numId w:val="6"/>
        </w:numPr>
        <w:ind w:left="360"/>
        <w:rPr>
          <w:rFonts w:asciiTheme="minorHAnsi" w:hAnsiTheme="minorHAnsi" w:cstheme="minorHAnsi"/>
          <w:szCs w:val="24"/>
        </w:rPr>
      </w:pPr>
      <w:r w:rsidRPr="00811C81">
        <w:rPr>
          <w:rFonts w:asciiTheme="minorHAnsi" w:hAnsiTheme="minorHAnsi" w:cstheme="minorHAnsi"/>
          <w:szCs w:val="24"/>
        </w:rPr>
        <w:t>Hospital Readmissions: This measure will monitor the rate of patients who receive non-routine</w:t>
      </w:r>
      <w:r w:rsidR="00811C81">
        <w:rPr>
          <w:rFonts w:asciiTheme="minorHAnsi" w:hAnsiTheme="minorHAnsi" w:cstheme="minorHAnsi"/>
          <w:szCs w:val="24"/>
        </w:rPr>
        <w:t xml:space="preserve"> </w:t>
      </w:r>
      <w:r w:rsidRPr="00811C81">
        <w:rPr>
          <w:rFonts w:asciiTheme="minorHAnsi" w:hAnsiTheme="minorHAnsi" w:cstheme="minorHAnsi"/>
          <w:szCs w:val="24"/>
        </w:rPr>
        <w:t>inpatient care at the Hospital within 30 days of chemotherapy.</w:t>
      </w:r>
    </w:p>
    <w:p w14:paraId="01D9413F" w14:textId="77777777" w:rsidR="00811C81" w:rsidRDefault="00BF2235" w:rsidP="00811C81">
      <w:pPr>
        <w:pStyle w:val="ListParagraph"/>
        <w:numPr>
          <w:ilvl w:val="1"/>
          <w:numId w:val="6"/>
        </w:numPr>
        <w:rPr>
          <w:rFonts w:asciiTheme="minorHAnsi" w:hAnsiTheme="minorHAnsi" w:cstheme="minorHAnsi"/>
          <w:szCs w:val="24"/>
        </w:rPr>
      </w:pPr>
      <w:r w:rsidRPr="00811C81">
        <w:rPr>
          <w:rFonts w:asciiTheme="minorHAnsi" w:hAnsiTheme="minorHAnsi" w:cstheme="minorHAnsi"/>
          <w:szCs w:val="24"/>
        </w:rPr>
        <w:t>Measure: The percent of Medical Oncology patients who are admitted within 30 days of</w:t>
      </w:r>
      <w:r w:rsidR="00811C81">
        <w:rPr>
          <w:rFonts w:asciiTheme="minorHAnsi" w:hAnsiTheme="minorHAnsi" w:cstheme="minorHAnsi"/>
          <w:szCs w:val="24"/>
        </w:rPr>
        <w:t xml:space="preserve"> </w:t>
      </w:r>
      <w:r w:rsidRPr="00811C81">
        <w:rPr>
          <w:rFonts w:asciiTheme="minorHAnsi" w:hAnsiTheme="minorHAnsi" w:cstheme="minorHAnsi"/>
          <w:szCs w:val="24"/>
        </w:rPr>
        <w:t>receiving chemotherapy (number of patients admitted/number of chemotherapy patients</w:t>
      </w:r>
      <w:r w:rsidR="00811C81">
        <w:rPr>
          <w:rFonts w:asciiTheme="minorHAnsi" w:hAnsiTheme="minorHAnsi" w:cstheme="minorHAnsi"/>
          <w:szCs w:val="24"/>
        </w:rPr>
        <w:t xml:space="preserve"> </w:t>
      </w:r>
      <w:r w:rsidRPr="00811C81">
        <w:rPr>
          <w:rFonts w:asciiTheme="minorHAnsi" w:hAnsiTheme="minorHAnsi" w:cstheme="minorHAnsi"/>
          <w:szCs w:val="24"/>
        </w:rPr>
        <w:t>within last 30 days). This is a rolling measure.</w:t>
      </w:r>
      <w:r w:rsidR="00811C81">
        <w:rPr>
          <w:rFonts w:asciiTheme="minorHAnsi" w:hAnsiTheme="minorHAnsi" w:cstheme="minorHAnsi"/>
          <w:szCs w:val="24"/>
        </w:rPr>
        <w:t xml:space="preserve"> </w:t>
      </w:r>
      <w:r w:rsidRPr="00811C81">
        <w:rPr>
          <w:rFonts w:asciiTheme="minorHAnsi" w:hAnsiTheme="minorHAnsi" w:cstheme="minorHAnsi"/>
          <w:i/>
          <w:iCs/>
          <w:szCs w:val="24"/>
        </w:rPr>
        <w:t>Numerator</w:t>
      </w:r>
      <w:r w:rsidRPr="00811C81">
        <w:rPr>
          <w:rFonts w:asciiTheme="minorHAnsi" w:hAnsiTheme="minorHAnsi" w:cstheme="minorHAnsi"/>
          <w:szCs w:val="24"/>
        </w:rPr>
        <w:t xml:space="preserve">: # of patient admitted within 30 days of receiving chemotherapy; </w:t>
      </w:r>
      <w:r w:rsidRPr="00811C81">
        <w:rPr>
          <w:rFonts w:asciiTheme="minorHAnsi" w:hAnsiTheme="minorHAnsi" w:cstheme="minorHAnsi"/>
          <w:i/>
          <w:iCs/>
          <w:szCs w:val="24"/>
        </w:rPr>
        <w:t>Denominator</w:t>
      </w:r>
      <w:r w:rsidRPr="00811C81">
        <w:rPr>
          <w:rFonts w:asciiTheme="minorHAnsi" w:hAnsiTheme="minorHAnsi" w:cstheme="minorHAnsi"/>
          <w:szCs w:val="24"/>
        </w:rPr>
        <w:t>: # of patient receiving chemotherapy</w:t>
      </w:r>
    </w:p>
    <w:p w14:paraId="6B4BB86C" w14:textId="77777777" w:rsidR="00811C81" w:rsidRDefault="00BF2235" w:rsidP="00BF2235">
      <w:pPr>
        <w:pStyle w:val="ListParagraph"/>
        <w:numPr>
          <w:ilvl w:val="1"/>
          <w:numId w:val="6"/>
        </w:numPr>
        <w:rPr>
          <w:rFonts w:asciiTheme="minorHAnsi" w:hAnsiTheme="minorHAnsi" w:cstheme="minorHAnsi"/>
          <w:szCs w:val="24"/>
        </w:rPr>
      </w:pPr>
      <w:r w:rsidRPr="00811C81">
        <w:rPr>
          <w:rFonts w:asciiTheme="minorHAnsi" w:hAnsiTheme="minorHAnsi" w:cstheme="minorHAnsi"/>
          <w:szCs w:val="24"/>
        </w:rPr>
        <w:t>Baseline: 5.6%</w:t>
      </w:r>
    </w:p>
    <w:p w14:paraId="73733D12" w14:textId="77777777" w:rsidR="00811C81" w:rsidRDefault="00BF2235" w:rsidP="00BF2235">
      <w:pPr>
        <w:pStyle w:val="ListParagraph"/>
        <w:numPr>
          <w:ilvl w:val="1"/>
          <w:numId w:val="6"/>
        </w:numPr>
        <w:rPr>
          <w:rFonts w:asciiTheme="minorHAnsi" w:hAnsiTheme="minorHAnsi" w:cstheme="minorHAnsi"/>
          <w:szCs w:val="24"/>
        </w:rPr>
      </w:pPr>
      <w:r w:rsidRPr="00811C81">
        <w:rPr>
          <w:rFonts w:asciiTheme="minorHAnsi" w:hAnsiTheme="minorHAnsi" w:cstheme="minorHAnsi"/>
          <w:szCs w:val="24"/>
        </w:rPr>
        <w:t>Projections: Year 1: ≤5.0%; Year 2: ≤4.5%; Year 3: ≤3.9%</w:t>
      </w:r>
    </w:p>
    <w:p w14:paraId="57ACD955" w14:textId="3D013C4D" w:rsidR="00BF2235" w:rsidRPr="00811C81" w:rsidRDefault="00BF2235" w:rsidP="00BF2235">
      <w:pPr>
        <w:pStyle w:val="ListParagraph"/>
        <w:numPr>
          <w:ilvl w:val="1"/>
          <w:numId w:val="6"/>
        </w:numPr>
        <w:rPr>
          <w:rFonts w:asciiTheme="minorHAnsi" w:hAnsiTheme="minorHAnsi" w:cstheme="minorHAnsi"/>
          <w:szCs w:val="24"/>
        </w:rPr>
      </w:pPr>
      <w:r w:rsidRPr="00811C81">
        <w:rPr>
          <w:rFonts w:asciiTheme="minorHAnsi" w:hAnsiTheme="minorHAnsi" w:cstheme="minorHAnsi"/>
          <w:szCs w:val="24"/>
        </w:rPr>
        <w:t>Monitoring: Results will be reviewed annually by oncology leadership.</w:t>
      </w:r>
    </w:p>
    <w:p w14:paraId="1D1A6C52" w14:textId="77777777" w:rsidR="00BF2235" w:rsidRPr="00BF2235" w:rsidRDefault="00BF2235" w:rsidP="00BF2235">
      <w:pPr>
        <w:rPr>
          <w:rFonts w:asciiTheme="minorHAnsi" w:hAnsiTheme="minorHAnsi" w:cstheme="minorHAnsi"/>
          <w:szCs w:val="24"/>
        </w:rPr>
      </w:pPr>
    </w:p>
    <w:p w14:paraId="19BA427C"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RADIATION ONCOLOGY QUALITY MEASURES</w:t>
      </w:r>
    </w:p>
    <w:p w14:paraId="59B51D98" w14:textId="77777777" w:rsidR="00503544" w:rsidRDefault="00BF2235" w:rsidP="00BF2235">
      <w:pPr>
        <w:pStyle w:val="ListParagraph"/>
        <w:numPr>
          <w:ilvl w:val="0"/>
          <w:numId w:val="6"/>
        </w:numPr>
        <w:ind w:left="360"/>
        <w:rPr>
          <w:rFonts w:asciiTheme="minorHAnsi" w:hAnsiTheme="minorHAnsi" w:cstheme="minorHAnsi"/>
          <w:szCs w:val="24"/>
        </w:rPr>
      </w:pPr>
      <w:r w:rsidRPr="00503544">
        <w:rPr>
          <w:rFonts w:asciiTheme="minorHAnsi" w:hAnsiTheme="minorHAnsi" w:cstheme="minorHAnsi"/>
          <w:szCs w:val="24"/>
        </w:rPr>
        <w:t>Patient Satisfaction: Patients that are satisfied with their care are more likely to seek additional</w:t>
      </w:r>
      <w:r w:rsidR="00811C81" w:rsidRPr="00503544">
        <w:rPr>
          <w:rFonts w:asciiTheme="minorHAnsi" w:hAnsiTheme="minorHAnsi" w:cstheme="minorHAnsi"/>
          <w:szCs w:val="24"/>
        </w:rPr>
        <w:t xml:space="preserve"> </w:t>
      </w:r>
      <w:r w:rsidRPr="00503544">
        <w:rPr>
          <w:rFonts w:asciiTheme="minorHAnsi" w:hAnsiTheme="minorHAnsi" w:cstheme="minorHAnsi"/>
          <w:szCs w:val="24"/>
        </w:rPr>
        <w:t>treatment when necessary. CCH staff will review patient satisfaction scores from the Hospital</w:t>
      </w:r>
      <w:r w:rsidR="00811C81" w:rsidRPr="00503544">
        <w:rPr>
          <w:rFonts w:asciiTheme="minorHAnsi" w:hAnsiTheme="minorHAnsi" w:cstheme="minorHAnsi"/>
          <w:szCs w:val="24"/>
        </w:rPr>
        <w:t xml:space="preserve"> </w:t>
      </w:r>
      <w:r w:rsidRPr="00503544">
        <w:rPr>
          <w:rFonts w:asciiTheme="minorHAnsi" w:hAnsiTheme="minorHAnsi" w:cstheme="minorHAnsi"/>
          <w:szCs w:val="24"/>
        </w:rPr>
        <w:t>Consumer Assessment of Healthcare Providers and Systems related to overall patient</w:t>
      </w:r>
      <w:r w:rsidR="00503544">
        <w:rPr>
          <w:rFonts w:asciiTheme="minorHAnsi" w:hAnsiTheme="minorHAnsi" w:cstheme="minorHAnsi"/>
          <w:szCs w:val="24"/>
        </w:rPr>
        <w:t xml:space="preserve"> </w:t>
      </w:r>
      <w:r w:rsidRPr="00503544">
        <w:rPr>
          <w:rFonts w:asciiTheme="minorHAnsi" w:hAnsiTheme="minorHAnsi" w:cstheme="minorHAnsi"/>
          <w:szCs w:val="24"/>
        </w:rPr>
        <w:t>satisfaction</w:t>
      </w:r>
    </w:p>
    <w:p w14:paraId="19CBB4E4" w14:textId="77777777" w:rsid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Measure: Staff will review responses pertaining to registration, wait times, changing</w:t>
      </w:r>
      <w:r w:rsidR="00503544">
        <w:rPr>
          <w:rFonts w:asciiTheme="minorHAnsi" w:hAnsiTheme="minorHAnsi" w:cstheme="minorHAnsi"/>
          <w:szCs w:val="24"/>
        </w:rPr>
        <w:t xml:space="preserve"> </w:t>
      </w:r>
      <w:r w:rsidRPr="00503544">
        <w:rPr>
          <w:rFonts w:asciiTheme="minorHAnsi" w:hAnsiTheme="minorHAnsi" w:cstheme="minorHAnsi"/>
          <w:szCs w:val="24"/>
        </w:rPr>
        <w:t>room privacy, facility navigation, staff communication, and personal needs. Response</w:t>
      </w:r>
      <w:r w:rsidR="00503544">
        <w:rPr>
          <w:rFonts w:asciiTheme="minorHAnsi" w:hAnsiTheme="minorHAnsi" w:cstheme="minorHAnsi"/>
          <w:szCs w:val="24"/>
        </w:rPr>
        <w:t xml:space="preserve"> </w:t>
      </w:r>
      <w:r w:rsidRPr="00503544">
        <w:rPr>
          <w:rFonts w:asciiTheme="minorHAnsi" w:hAnsiTheme="minorHAnsi" w:cstheme="minorHAnsi"/>
          <w:szCs w:val="24"/>
        </w:rPr>
        <w:t>options include Very Poor, Poor, Fair, Good, and Very Good.</w:t>
      </w:r>
      <w:r w:rsidR="00503544">
        <w:rPr>
          <w:rFonts w:asciiTheme="minorHAnsi" w:hAnsiTheme="minorHAnsi" w:cstheme="minorHAnsi"/>
          <w:szCs w:val="24"/>
        </w:rPr>
        <w:t xml:space="preserve"> </w:t>
      </w:r>
      <w:r w:rsidRPr="00503544">
        <w:rPr>
          <w:rFonts w:asciiTheme="minorHAnsi" w:hAnsiTheme="minorHAnsi" w:cstheme="minorHAnsi"/>
          <w:i/>
          <w:iCs/>
          <w:szCs w:val="24"/>
        </w:rPr>
        <w:t>Numerator</w:t>
      </w:r>
      <w:r w:rsidRPr="00503544">
        <w:rPr>
          <w:rFonts w:asciiTheme="minorHAnsi" w:hAnsiTheme="minorHAnsi" w:cstheme="minorHAnsi"/>
          <w:szCs w:val="24"/>
        </w:rPr>
        <w:t xml:space="preserve">: # of responses with highest score; </w:t>
      </w:r>
      <w:r w:rsidRPr="00503544">
        <w:rPr>
          <w:rFonts w:asciiTheme="minorHAnsi" w:hAnsiTheme="minorHAnsi" w:cstheme="minorHAnsi"/>
          <w:i/>
          <w:iCs/>
          <w:szCs w:val="24"/>
        </w:rPr>
        <w:t>Denominator</w:t>
      </w:r>
      <w:r w:rsidRPr="00503544">
        <w:rPr>
          <w:rFonts w:asciiTheme="minorHAnsi" w:hAnsiTheme="minorHAnsi" w:cstheme="minorHAnsi"/>
          <w:szCs w:val="24"/>
        </w:rPr>
        <w:t>: Total # of responses</w:t>
      </w:r>
    </w:p>
    <w:p w14:paraId="0F743CDE" w14:textId="77777777" w:rsid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Baseline: 81.12% of patients responded with the highest score (“Top Box Score”)</w:t>
      </w:r>
    </w:p>
    <w:p w14:paraId="2051C205" w14:textId="77777777" w:rsid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Projections: Year 1: ≥82%; Year 2: ≥83.5%; Year 3: ≥85%</w:t>
      </w:r>
    </w:p>
    <w:p w14:paraId="6DCDB833" w14:textId="2A948F7F" w:rsidR="00BF2235" w:rsidRP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Monitoring: Results will be reviewed annually by oncology leadership.</w:t>
      </w:r>
    </w:p>
    <w:p w14:paraId="082079A9" w14:textId="77777777" w:rsidR="00BF2235" w:rsidRPr="00BF2235" w:rsidRDefault="00BF2235" w:rsidP="00BF2235">
      <w:pPr>
        <w:rPr>
          <w:rFonts w:asciiTheme="minorHAnsi" w:hAnsiTheme="minorHAnsi" w:cstheme="minorHAnsi"/>
          <w:szCs w:val="24"/>
        </w:rPr>
      </w:pPr>
    </w:p>
    <w:p w14:paraId="60E8090E" w14:textId="7033F543"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INPATIENT CARDIAC MEDICAL-SURGICAL QUALITY MEASURES</w:t>
      </w:r>
      <w:r w:rsidR="00503544">
        <w:rPr>
          <w:rStyle w:val="FootnoteReference"/>
          <w:rFonts w:asciiTheme="minorHAnsi" w:hAnsiTheme="minorHAnsi" w:cstheme="minorHAnsi"/>
          <w:szCs w:val="24"/>
        </w:rPr>
        <w:footnoteReference w:id="1"/>
      </w:r>
      <w:r w:rsidRPr="00BF2235">
        <w:rPr>
          <w:rFonts w:asciiTheme="minorHAnsi" w:hAnsiTheme="minorHAnsi" w:cstheme="minorHAnsi"/>
          <w:szCs w:val="24"/>
        </w:rPr>
        <w:t xml:space="preserve"> </w:t>
      </w:r>
    </w:p>
    <w:p w14:paraId="7D24A47C" w14:textId="77777777" w:rsidR="00503544" w:rsidRDefault="00BF2235" w:rsidP="00BF2235">
      <w:pPr>
        <w:pStyle w:val="ListParagraph"/>
        <w:numPr>
          <w:ilvl w:val="0"/>
          <w:numId w:val="6"/>
        </w:numPr>
        <w:ind w:left="360"/>
        <w:rPr>
          <w:rFonts w:asciiTheme="minorHAnsi" w:hAnsiTheme="minorHAnsi" w:cstheme="minorHAnsi"/>
          <w:szCs w:val="24"/>
        </w:rPr>
      </w:pPr>
      <w:r w:rsidRPr="00503544">
        <w:rPr>
          <w:rFonts w:asciiTheme="minorHAnsi" w:hAnsiTheme="minorHAnsi" w:cstheme="minorHAnsi"/>
          <w:szCs w:val="24"/>
        </w:rPr>
        <w:t>Patient Satisfaction: Patients that are satisfied with their care are more likely to seek additiona</w:t>
      </w:r>
      <w:r w:rsidR="00503544">
        <w:rPr>
          <w:rFonts w:asciiTheme="minorHAnsi" w:hAnsiTheme="minorHAnsi" w:cstheme="minorHAnsi"/>
          <w:szCs w:val="24"/>
        </w:rPr>
        <w:t xml:space="preserve">l </w:t>
      </w:r>
      <w:r w:rsidRPr="00503544">
        <w:rPr>
          <w:rFonts w:asciiTheme="minorHAnsi" w:hAnsiTheme="minorHAnsi" w:cstheme="minorHAnsi"/>
          <w:szCs w:val="24"/>
        </w:rPr>
        <w:t>treatment when necessary. CCH staff will review patient satisfaction scores from the Hospital</w:t>
      </w:r>
      <w:r w:rsidR="00503544">
        <w:rPr>
          <w:rFonts w:asciiTheme="minorHAnsi" w:hAnsiTheme="minorHAnsi" w:cstheme="minorHAnsi"/>
          <w:szCs w:val="24"/>
        </w:rPr>
        <w:t xml:space="preserve"> </w:t>
      </w:r>
      <w:r w:rsidRPr="00503544">
        <w:rPr>
          <w:rFonts w:asciiTheme="minorHAnsi" w:hAnsiTheme="minorHAnsi" w:cstheme="minorHAnsi"/>
          <w:szCs w:val="24"/>
        </w:rPr>
        <w:t>Consumer Assessment of Healthcare Providers and Systems specific to the hospital</w:t>
      </w:r>
      <w:r w:rsidR="00503544">
        <w:rPr>
          <w:rFonts w:asciiTheme="minorHAnsi" w:hAnsiTheme="minorHAnsi" w:cstheme="minorHAnsi"/>
          <w:szCs w:val="24"/>
        </w:rPr>
        <w:t xml:space="preserve"> </w:t>
      </w:r>
      <w:r w:rsidRPr="00503544">
        <w:rPr>
          <w:rFonts w:asciiTheme="minorHAnsi" w:hAnsiTheme="minorHAnsi" w:cstheme="minorHAnsi"/>
          <w:szCs w:val="24"/>
        </w:rPr>
        <w:t>environment.</w:t>
      </w:r>
    </w:p>
    <w:p w14:paraId="1E193736" w14:textId="77777777" w:rsid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Measure: Staff will review responses to “During this hospital stay, how often was the</w:t>
      </w:r>
      <w:r w:rsidR="00503544">
        <w:rPr>
          <w:rFonts w:asciiTheme="minorHAnsi" w:hAnsiTheme="minorHAnsi" w:cstheme="minorHAnsi"/>
          <w:szCs w:val="24"/>
        </w:rPr>
        <w:t xml:space="preserve"> </w:t>
      </w:r>
      <w:r w:rsidRPr="00503544">
        <w:rPr>
          <w:rFonts w:asciiTheme="minorHAnsi" w:hAnsiTheme="minorHAnsi" w:cstheme="minorHAnsi"/>
          <w:szCs w:val="24"/>
        </w:rPr>
        <w:t xml:space="preserve">area around your room kept quiet at night?”. Response options </w:t>
      </w:r>
      <w:proofErr w:type="gramStart"/>
      <w:r w:rsidRPr="00503544">
        <w:rPr>
          <w:rFonts w:asciiTheme="minorHAnsi" w:hAnsiTheme="minorHAnsi" w:cstheme="minorHAnsi"/>
          <w:szCs w:val="24"/>
        </w:rPr>
        <w:t>include:</w:t>
      </w:r>
      <w:proofErr w:type="gramEnd"/>
      <w:r w:rsidRPr="00503544">
        <w:rPr>
          <w:rFonts w:asciiTheme="minorHAnsi" w:hAnsiTheme="minorHAnsi" w:cstheme="minorHAnsi"/>
          <w:szCs w:val="24"/>
        </w:rPr>
        <w:t xml:space="preserve"> </w:t>
      </w:r>
      <w:r w:rsidRPr="00503544">
        <w:rPr>
          <w:rFonts w:asciiTheme="minorHAnsi" w:hAnsiTheme="minorHAnsi" w:cstheme="minorHAnsi"/>
          <w:szCs w:val="24"/>
        </w:rPr>
        <w:lastRenderedPageBreak/>
        <w:t>Never,</w:t>
      </w:r>
      <w:r w:rsidR="00503544">
        <w:rPr>
          <w:rFonts w:asciiTheme="minorHAnsi" w:hAnsiTheme="minorHAnsi" w:cstheme="minorHAnsi"/>
          <w:szCs w:val="24"/>
        </w:rPr>
        <w:t xml:space="preserve"> </w:t>
      </w:r>
      <w:r w:rsidRPr="00503544">
        <w:rPr>
          <w:rFonts w:asciiTheme="minorHAnsi" w:hAnsiTheme="minorHAnsi" w:cstheme="minorHAnsi"/>
          <w:szCs w:val="24"/>
        </w:rPr>
        <w:t>Sometimes, Usually, and Always</w:t>
      </w:r>
      <w:r w:rsidR="00503544">
        <w:rPr>
          <w:rFonts w:asciiTheme="minorHAnsi" w:hAnsiTheme="minorHAnsi" w:cstheme="minorHAnsi"/>
          <w:szCs w:val="24"/>
        </w:rPr>
        <w:t xml:space="preserve"> </w:t>
      </w:r>
      <w:r w:rsidRPr="00503544">
        <w:rPr>
          <w:rFonts w:asciiTheme="minorHAnsi" w:hAnsiTheme="minorHAnsi" w:cstheme="minorHAnsi"/>
          <w:i/>
          <w:iCs/>
          <w:szCs w:val="24"/>
        </w:rPr>
        <w:t>Numerator</w:t>
      </w:r>
      <w:r w:rsidRPr="00503544">
        <w:rPr>
          <w:rFonts w:asciiTheme="minorHAnsi" w:hAnsiTheme="minorHAnsi" w:cstheme="minorHAnsi"/>
          <w:szCs w:val="24"/>
        </w:rPr>
        <w:t xml:space="preserve">: # of responses with highest score; </w:t>
      </w:r>
      <w:r w:rsidRPr="00503544">
        <w:rPr>
          <w:rFonts w:asciiTheme="minorHAnsi" w:hAnsiTheme="minorHAnsi" w:cstheme="minorHAnsi"/>
          <w:i/>
          <w:iCs/>
          <w:szCs w:val="24"/>
        </w:rPr>
        <w:t>Denominator</w:t>
      </w:r>
      <w:r w:rsidRPr="00503544">
        <w:rPr>
          <w:rFonts w:asciiTheme="minorHAnsi" w:hAnsiTheme="minorHAnsi" w:cstheme="minorHAnsi"/>
          <w:szCs w:val="24"/>
        </w:rPr>
        <w:t>: Total # of responses</w:t>
      </w:r>
    </w:p>
    <w:p w14:paraId="2C8E06D3" w14:textId="77777777" w:rsid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Baseline: 60% of patients responded with the highest score (“Top Box Score”).</w:t>
      </w:r>
    </w:p>
    <w:p w14:paraId="3D296142" w14:textId="77777777" w:rsid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Projections: Year 1: 62%; Year 2: 64%; Year 3: 65%</w:t>
      </w:r>
    </w:p>
    <w:p w14:paraId="1D24453C" w14:textId="6FAF8FB7" w:rsidR="00BF2235" w:rsidRP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Monitoring: Scores are reviewed quarterly.</w:t>
      </w:r>
    </w:p>
    <w:p w14:paraId="1380DDB3" w14:textId="77777777" w:rsidR="00BF2235" w:rsidRPr="00BF2235" w:rsidRDefault="00BF2235" w:rsidP="00BF2235">
      <w:pPr>
        <w:rPr>
          <w:rFonts w:asciiTheme="minorHAnsi" w:hAnsiTheme="minorHAnsi" w:cstheme="minorHAnsi"/>
          <w:szCs w:val="24"/>
        </w:rPr>
      </w:pPr>
    </w:p>
    <w:p w14:paraId="2C7D60D5" w14:textId="77777777" w:rsidR="00503544" w:rsidRDefault="00BF2235" w:rsidP="00BF2235">
      <w:pPr>
        <w:pStyle w:val="ListParagraph"/>
        <w:numPr>
          <w:ilvl w:val="0"/>
          <w:numId w:val="6"/>
        </w:numPr>
        <w:ind w:left="360"/>
        <w:rPr>
          <w:rFonts w:asciiTheme="minorHAnsi" w:hAnsiTheme="minorHAnsi" w:cstheme="minorHAnsi"/>
          <w:szCs w:val="24"/>
        </w:rPr>
      </w:pPr>
      <w:r w:rsidRPr="00503544">
        <w:rPr>
          <w:rFonts w:asciiTheme="minorHAnsi" w:hAnsiTheme="minorHAnsi" w:cstheme="minorHAnsi"/>
          <w:szCs w:val="24"/>
        </w:rPr>
        <w:t>Fall Prevention: This measure will monitor the rate of patient falls resulting in injury.</w:t>
      </w:r>
    </w:p>
    <w:p w14:paraId="6A935EE8" w14:textId="77777777" w:rsid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 xml:space="preserve">Measure: The number of </w:t>
      </w:r>
      <w:proofErr w:type="gramStart"/>
      <w:r w:rsidRPr="00503544">
        <w:rPr>
          <w:rFonts w:asciiTheme="minorHAnsi" w:hAnsiTheme="minorHAnsi" w:cstheme="minorHAnsi"/>
          <w:szCs w:val="24"/>
        </w:rPr>
        <w:t>patient</w:t>
      </w:r>
      <w:proofErr w:type="gramEnd"/>
      <w:r w:rsidRPr="00503544">
        <w:rPr>
          <w:rFonts w:asciiTheme="minorHAnsi" w:hAnsiTheme="minorHAnsi" w:cstheme="minorHAnsi"/>
          <w:szCs w:val="24"/>
        </w:rPr>
        <w:t xml:space="preserve"> falls with injury per 1000 acute patient days.</w:t>
      </w:r>
      <w:r w:rsidR="00503544">
        <w:rPr>
          <w:rFonts w:asciiTheme="minorHAnsi" w:hAnsiTheme="minorHAnsi" w:cstheme="minorHAnsi"/>
          <w:szCs w:val="24"/>
        </w:rPr>
        <w:t xml:space="preserve"> </w:t>
      </w:r>
      <w:r w:rsidRPr="00503544">
        <w:rPr>
          <w:rFonts w:asciiTheme="minorHAnsi" w:hAnsiTheme="minorHAnsi" w:cstheme="minorHAnsi"/>
          <w:i/>
          <w:iCs/>
          <w:szCs w:val="24"/>
        </w:rPr>
        <w:t>Numerator</w:t>
      </w:r>
      <w:r w:rsidRPr="00503544">
        <w:rPr>
          <w:rFonts w:asciiTheme="minorHAnsi" w:hAnsiTheme="minorHAnsi" w:cstheme="minorHAnsi"/>
          <w:szCs w:val="24"/>
        </w:rPr>
        <w:t xml:space="preserve">: # of patient falls with injury; </w:t>
      </w:r>
      <w:r w:rsidRPr="00503544">
        <w:rPr>
          <w:rFonts w:asciiTheme="minorHAnsi" w:hAnsiTheme="minorHAnsi" w:cstheme="minorHAnsi"/>
          <w:i/>
          <w:iCs/>
          <w:szCs w:val="24"/>
        </w:rPr>
        <w:t>Denominator</w:t>
      </w:r>
      <w:r w:rsidRPr="00503544">
        <w:rPr>
          <w:rFonts w:asciiTheme="minorHAnsi" w:hAnsiTheme="minorHAnsi" w:cstheme="minorHAnsi"/>
          <w:szCs w:val="24"/>
        </w:rPr>
        <w:t>: patient days/1000</w:t>
      </w:r>
    </w:p>
    <w:p w14:paraId="5090A4DB" w14:textId="77777777" w:rsid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Baseline: 0.29</w:t>
      </w:r>
    </w:p>
    <w:p w14:paraId="70109314" w14:textId="77777777" w:rsid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Projections: Year 1: 0; Year 2: 0; Year 3: 0</w:t>
      </w:r>
    </w:p>
    <w:p w14:paraId="5F4A797B" w14:textId="4A9FD08D" w:rsidR="00BF2235" w:rsidRPr="00503544" w:rsidRDefault="00BF2235" w:rsidP="00BF2235">
      <w:pPr>
        <w:pStyle w:val="ListParagraph"/>
        <w:numPr>
          <w:ilvl w:val="1"/>
          <w:numId w:val="6"/>
        </w:numPr>
        <w:rPr>
          <w:rFonts w:asciiTheme="minorHAnsi" w:hAnsiTheme="minorHAnsi" w:cstheme="minorHAnsi"/>
          <w:szCs w:val="24"/>
        </w:rPr>
      </w:pPr>
      <w:r w:rsidRPr="00503544">
        <w:rPr>
          <w:rFonts w:asciiTheme="minorHAnsi" w:hAnsiTheme="minorHAnsi" w:cstheme="minorHAnsi"/>
          <w:szCs w:val="24"/>
        </w:rPr>
        <w:t xml:space="preserve">Monitoring: The Department of Nursing will review falls data </w:t>
      </w:r>
      <w:proofErr w:type="gramStart"/>
      <w:r w:rsidRPr="00503544">
        <w:rPr>
          <w:rFonts w:asciiTheme="minorHAnsi" w:hAnsiTheme="minorHAnsi" w:cstheme="minorHAnsi"/>
          <w:szCs w:val="24"/>
        </w:rPr>
        <w:t>on a monthly basis</w:t>
      </w:r>
      <w:proofErr w:type="gramEnd"/>
      <w:r w:rsidRPr="00503544">
        <w:rPr>
          <w:rFonts w:asciiTheme="minorHAnsi" w:hAnsiTheme="minorHAnsi" w:cstheme="minorHAnsi"/>
          <w:szCs w:val="24"/>
        </w:rPr>
        <w:t>.</w:t>
      </w:r>
    </w:p>
    <w:p w14:paraId="37C9B536" w14:textId="77777777" w:rsidR="00503544" w:rsidRDefault="00503544" w:rsidP="00503544">
      <w:pPr>
        <w:pStyle w:val="ListParagraph"/>
        <w:ind w:left="360"/>
        <w:rPr>
          <w:rFonts w:asciiTheme="minorHAnsi" w:hAnsiTheme="minorHAnsi" w:cstheme="minorHAnsi"/>
          <w:szCs w:val="24"/>
        </w:rPr>
      </w:pPr>
    </w:p>
    <w:p w14:paraId="1AACA8E8" w14:textId="77777777" w:rsidR="005B4EBF" w:rsidRDefault="00BF2235" w:rsidP="00BF2235">
      <w:pPr>
        <w:pStyle w:val="ListParagraph"/>
        <w:numPr>
          <w:ilvl w:val="0"/>
          <w:numId w:val="6"/>
        </w:numPr>
        <w:ind w:left="360"/>
        <w:rPr>
          <w:rFonts w:asciiTheme="minorHAnsi" w:hAnsiTheme="minorHAnsi" w:cstheme="minorHAnsi"/>
          <w:szCs w:val="24"/>
        </w:rPr>
      </w:pPr>
      <w:r w:rsidRPr="00503544">
        <w:rPr>
          <w:rFonts w:asciiTheme="minorHAnsi" w:hAnsiTheme="minorHAnsi" w:cstheme="minorHAnsi"/>
          <w:szCs w:val="24"/>
        </w:rPr>
        <w:t>Hospital Readmissions: This measure will monitor the rate of patients who are re-admitted to the</w:t>
      </w:r>
      <w:r w:rsidR="00503544">
        <w:rPr>
          <w:rFonts w:asciiTheme="minorHAnsi" w:hAnsiTheme="minorHAnsi" w:cstheme="minorHAnsi"/>
          <w:szCs w:val="24"/>
        </w:rPr>
        <w:t xml:space="preserve"> </w:t>
      </w:r>
      <w:r w:rsidRPr="00503544">
        <w:rPr>
          <w:rFonts w:asciiTheme="minorHAnsi" w:hAnsiTheme="minorHAnsi" w:cstheme="minorHAnsi"/>
          <w:szCs w:val="24"/>
        </w:rPr>
        <w:t>Hospital within 30 days of discharge.</w:t>
      </w:r>
    </w:p>
    <w:p w14:paraId="6390DCB0" w14:textId="77777777" w:rsidR="005B4EBF" w:rsidRDefault="00BF2235" w:rsidP="00BF2235">
      <w:pPr>
        <w:pStyle w:val="ListParagraph"/>
        <w:numPr>
          <w:ilvl w:val="1"/>
          <w:numId w:val="6"/>
        </w:numPr>
        <w:rPr>
          <w:rFonts w:asciiTheme="minorHAnsi" w:hAnsiTheme="minorHAnsi" w:cstheme="minorHAnsi"/>
          <w:szCs w:val="24"/>
        </w:rPr>
      </w:pPr>
      <w:r w:rsidRPr="005B4EBF">
        <w:rPr>
          <w:rFonts w:asciiTheme="minorHAnsi" w:hAnsiTheme="minorHAnsi" w:cstheme="minorHAnsi"/>
          <w:szCs w:val="24"/>
        </w:rPr>
        <w:t>Measure: The number of re-admissions/the number of discharges within a 30-day period.</w:t>
      </w:r>
      <w:r w:rsidR="005B4EBF">
        <w:rPr>
          <w:rFonts w:asciiTheme="minorHAnsi" w:hAnsiTheme="minorHAnsi" w:cstheme="minorHAnsi"/>
          <w:szCs w:val="24"/>
        </w:rPr>
        <w:t xml:space="preserve"> </w:t>
      </w:r>
      <w:r w:rsidRPr="005B4EBF">
        <w:rPr>
          <w:rFonts w:asciiTheme="minorHAnsi" w:hAnsiTheme="minorHAnsi" w:cstheme="minorHAnsi"/>
          <w:szCs w:val="24"/>
        </w:rPr>
        <w:t>This is a rolling measure.</w:t>
      </w:r>
      <w:r w:rsidR="005B4EBF">
        <w:rPr>
          <w:rFonts w:asciiTheme="minorHAnsi" w:hAnsiTheme="minorHAnsi" w:cstheme="minorHAnsi"/>
          <w:szCs w:val="24"/>
        </w:rPr>
        <w:t xml:space="preserve"> </w:t>
      </w:r>
      <w:r w:rsidRPr="005B4EBF">
        <w:rPr>
          <w:rFonts w:asciiTheme="minorHAnsi" w:hAnsiTheme="minorHAnsi" w:cstheme="minorHAnsi"/>
          <w:i/>
          <w:iCs/>
          <w:szCs w:val="24"/>
        </w:rPr>
        <w:t>Numerator</w:t>
      </w:r>
      <w:r w:rsidRPr="005B4EBF">
        <w:rPr>
          <w:rFonts w:asciiTheme="minorHAnsi" w:hAnsiTheme="minorHAnsi" w:cstheme="minorHAnsi"/>
          <w:szCs w:val="24"/>
        </w:rPr>
        <w:t xml:space="preserve">: # of patient admitted within 30 days; </w:t>
      </w:r>
      <w:r w:rsidRPr="005B4EBF">
        <w:rPr>
          <w:rFonts w:asciiTheme="minorHAnsi" w:hAnsiTheme="minorHAnsi" w:cstheme="minorHAnsi"/>
          <w:i/>
          <w:iCs/>
          <w:szCs w:val="24"/>
        </w:rPr>
        <w:t>Denominator</w:t>
      </w:r>
      <w:r w:rsidRPr="005B4EBF">
        <w:rPr>
          <w:rFonts w:asciiTheme="minorHAnsi" w:hAnsiTheme="minorHAnsi" w:cstheme="minorHAnsi"/>
          <w:szCs w:val="24"/>
        </w:rPr>
        <w:t>: # of patient discharges</w:t>
      </w:r>
    </w:p>
    <w:p w14:paraId="56B9C967" w14:textId="77777777" w:rsidR="005B4EBF" w:rsidRDefault="00BF2235" w:rsidP="00BF2235">
      <w:pPr>
        <w:pStyle w:val="ListParagraph"/>
        <w:numPr>
          <w:ilvl w:val="1"/>
          <w:numId w:val="6"/>
        </w:numPr>
        <w:rPr>
          <w:rFonts w:asciiTheme="minorHAnsi" w:hAnsiTheme="minorHAnsi" w:cstheme="minorHAnsi"/>
          <w:szCs w:val="24"/>
        </w:rPr>
      </w:pPr>
      <w:r w:rsidRPr="005B4EBF">
        <w:rPr>
          <w:rFonts w:asciiTheme="minorHAnsi" w:hAnsiTheme="minorHAnsi" w:cstheme="minorHAnsi"/>
          <w:szCs w:val="24"/>
        </w:rPr>
        <w:t>Baseline: 0.7754</w:t>
      </w:r>
    </w:p>
    <w:p w14:paraId="2B909825" w14:textId="77777777" w:rsidR="005B4EBF" w:rsidRDefault="00BF2235" w:rsidP="00BF2235">
      <w:pPr>
        <w:pStyle w:val="ListParagraph"/>
        <w:numPr>
          <w:ilvl w:val="1"/>
          <w:numId w:val="6"/>
        </w:numPr>
        <w:rPr>
          <w:rFonts w:asciiTheme="minorHAnsi" w:hAnsiTheme="minorHAnsi" w:cstheme="minorHAnsi"/>
          <w:szCs w:val="24"/>
        </w:rPr>
      </w:pPr>
      <w:r w:rsidRPr="005B4EBF">
        <w:rPr>
          <w:rFonts w:asciiTheme="minorHAnsi" w:hAnsiTheme="minorHAnsi" w:cstheme="minorHAnsi"/>
          <w:szCs w:val="24"/>
        </w:rPr>
        <w:t>Projections: Year 1: ≤1; Year 2: ≤1; Year 3: ≤1</w:t>
      </w:r>
    </w:p>
    <w:p w14:paraId="38D15D41" w14:textId="215095D4" w:rsidR="00BF2235" w:rsidRPr="005B4EBF" w:rsidRDefault="00BF2235" w:rsidP="00BF2235">
      <w:pPr>
        <w:pStyle w:val="ListParagraph"/>
        <w:numPr>
          <w:ilvl w:val="1"/>
          <w:numId w:val="6"/>
        </w:numPr>
        <w:rPr>
          <w:rFonts w:asciiTheme="minorHAnsi" w:hAnsiTheme="minorHAnsi" w:cstheme="minorHAnsi"/>
          <w:szCs w:val="24"/>
        </w:rPr>
      </w:pPr>
      <w:r w:rsidRPr="005B4EBF">
        <w:rPr>
          <w:rFonts w:asciiTheme="minorHAnsi" w:hAnsiTheme="minorHAnsi" w:cstheme="minorHAnsi"/>
          <w:szCs w:val="24"/>
        </w:rPr>
        <w:t>Monitoring: Scores are reviewed quarterly.</w:t>
      </w:r>
    </w:p>
    <w:p w14:paraId="52F36672" w14:textId="77777777" w:rsidR="00BF2235" w:rsidRPr="00BF2235" w:rsidRDefault="00BF2235" w:rsidP="00BF2235">
      <w:pPr>
        <w:rPr>
          <w:rFonts w:asciiTheme="minorHAnsi" w:hAnsiTheme="minorHAnsi" w:cstheme="minorHAnsi"/>
          <w:szCs w:val="24"/>
        </w:rPr>
      </w:pPr>
    </w:p>
    <w:p w14:paraId="5EAE0977" w14:textId="77777777" w:rsidR="00BF2235" w:rsidRPr="00BF2235" w:rsidRDefault="00BF2235" w:rsidP="00BF2235">
      <w:pPr>
        <w:rPr>
          <w:rFonts w:asciiTheme="minorHAnsi" w:hAnsiTheme="minorHAnsi" w:cstheme="minorHAnsi"/>
          <w:szCs w:val="24"/>
        </w:rPr>
      </w:pPr>
    </w:p>
    <w:p w14:paraId="55AE0334"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Ongoing compliance with the conditions and all terms of the </w:t>
      </w:r>
      <w:proofErr w:type="spellStart"/>
      <w:r w:rsidRPr="00BF2235">
        <w:rPr>
          <w:rFonts w:asciiTheme="minorHAnsi" w:hAnsiTheme="minorHAnsi" w:cstheme="minorHAnsi"/>
          <w:szCs w:val="24"/>
        </w:rPr>
        <w:t>DoN</w:t>
      </w:r>
      <w:proofErr w:type="spellEnd"/>
      <w:r w:rsidRPr="00BF2235">
        <w:rPr>
          <w:rFonts w:asciiTheme="minorHAnsi" w:hAnsiTheme="minorHAnsi" w:cstheme="minorHAnsi"/>
          <w:szCs w:val="24"/>
        </w:rPr>
        <w:t xml:space="preserve"> is, pursuant to the Regulation, a precondition to the filing of any future </w:t>
      </w:r>
      <w:proofErr w:type="spellStart"/>
      <w:r w:rsidRPr="00BF2235">
        <w:rPr>
          <w:rFonts w:asciiTheme="minorHAnsi" w:hAnsiTheme="minorHAnsi" w:cstheme="minorHAnsi"/>
          <w:szCs w:val="24"/>
        </w:rPr>
        <w:t>DoN</w:t>
      </w:r>
      <w:proofErr w:type="spellEnd"/>
      <w:r w:rsidRPr="00BF2235">
        <w:rPr>
          <w:rFonts w:asciiTheme="minorHAnsi" w:hAnsiTheme="minorHAnsi" w:cstheme="minorHAnsi"/>
          <w:szCs w:val="24"/>
        </w:rPr>
        <w:t xml:space="preserve"> by the Holder.</w:t>
      </w:r>
    </w:p>
    <w:p w14:paraId="0FBDCE17" w14:textId="77777777" w:rsidR="00BF2235" w:rsidRPr="00BF2235" w:rsidRDefault="00BF2235" w:rsidP="00BF2235">
      <w:pPr>
        <w:rPr>
          <w:rFonts w:asciiTheme="minorHAnsi" w:hAnsiTheme="minorHAnsi" w:cstheme="minorHAnsi"/>
          <w:szCs w:val="24"/>
        </w:rPr>
      </w:pPr>
    </w:p>
    <w:p w14:paraId="7F9806EB" w14:textId="77777777" w:rsidR="00BF2235" w:rsidRPr="00BF2235" w:rsidRDefault="00BF2235" w:rsidP="00BF2235">
      <w:pPr>
        <w:rPr>
          <w:rFonts w:asciiTheme="minorHAnsi" w:hAnsiTheme="minorHAnsi" w:cstheme="minorHAnsi"/>
          <w:szCs w:val="24"/>
        </w:rPr>
      </w:pPr>
    </w:p>
    <w:p w14:paraId="064E58EA"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Sincerely,</w:t>
      </w:r>
    </w:p>
    <w:p w14:paraId="06B5C015" w14:textId="77777777" w:rsidR="00BF2235" w:rsidRPr="00BF2235" w:rsidRDefault="00BF2235" w:rsidP="00BF2235">
      <w:pPr>
        <w:rPr>
          <w:rFonts w:asciiTheme="minorHAnsi" w:hAnsiTheme="minorHAnsi" w:cstheme="minorHAnsi"/>
          <w:szCs w:val="24"/>
        </w:rPr>
      </w:pPr>
    </w:p>
    <w:p w14:paraId="0596AC84" w14:textId="3DFA15D6" w:rsidR="00BF2235" w:rsidRPr="00BF2235" w:rsidRDefault="005B4EBF" w:rsidP="00BF2235">
      <w:pPr>
        <w:rPr>
          <w:rFonts w:asciiTheme="minorHAnsi" w:hAnsiTheme="minorHAnsi" w:cstheme="minorHAnsi"/>
          <w:szCs w:val="24"/>
        </w:rPr>
      </w:pPr>
      <w:r>
        <w:rPr>
          <w:rFonts w:asciiTheme="minorHAnsi" w:hAnsiTheme="minorHAnsi" w:cstheme="minorHAnsi"/>
          <w:szCs w:val="24"/>
        </w:rPr>
        <w:t>[signature on file]</w:t>
      </w:r>
    </w:p>
    <w:p w14:paraId="0064F0FD" w14:textId="77777777" w:rsidR="00BF2235" w:rsidRPr="00BF2235" w:rsidRDefault="00BF2235" w:rsidP="00BF2235">
      <w:pPr>
        <w:rPr>
          <w:rFonts w:asciiTheme="minorHAnsi" w:hAnsiTheme="minorHAnsi" w:cstheme="minorHAnsi"/>
          <w:szCs w:val="24"/>
        </w:rPr>
      </w:pPr>
    </w:p>
    <w:p w14:paraId="3B7DD3C1"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Elizabeth Kelley </w:t>
      </w:r>
    </w:p>
    <w:p w14:paraId="653175A5"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Director, Bureau of Health Care Safety and Quality</w:t>
      </w:r>
    </w:p>
    <w:p w14:paraId="357B1DB3" w14:textId="77777777" w:rsidR="00BF2235" w:rsidRPr="00BF2235" w:rsidRDefault="00BF2235" w:rsidP="00BF2235">
      <w:pPr>
        <w:rPr>
          <w:rFonts w:asciiTheme="minorHAnsi" w:hAnsiTheme="minorHAnsi" w:cstheme="minorHAnsi"/>
          <w:szCs w:val="24"/>
        </w:rPr>
      </w:pPr>
    </w:p>
    <w:p w14:paraId="4F2F1EF0"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cc: </w:t>
      </w:r>
    </w:p>
    <w:p w14:paraId="5DC2BEE4"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Stephen Davis, Division of Health Care Facility Licensure and Certification </w:t>
      </w:r>
    </w:p>
    <w:p w14:paraId="13222BA3"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Daniel Gent, Division of Health Care Facility Licensure and Certification </w:t>
      </w:r>
    </w:p>
    <w:p w14:paraId="20F0DAE4"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Rebecca Rodman, General Counsel’s Office</w:t>
      </w:r>
    </w:p>
    <w:p w14:paraId="530A2C07"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Samuel Louis, Office of Health Equity</w:t>
      </w:r>
    </w:p>
    <w:p w14:paraId="4847E228"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Jennica Allen, Division of Community Health Planning and 68Engagement </w:t>
      </w:r>
    </w:p>
    <w:p w14:paraId="08BBFBAA"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Elizabeth Maffei, Division of Community Health Planning and Engagement</w:t>
      </w:r>
    </w:p>
    <w:p w14:paraId="2EB26826"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Katelyn Teague, Division of Community Health Planning and Engagement</w:t>
      </w:r>
    </w:p>
    <w:p w14:paraId="1801A688" w14:textId="77777777" w:rsidR="005B4EBF" w:rsidRDefault="00BF2235" w:rsidP="00BF2235">
      <w:pPr>
        <w:rPr>
          <w:rFonts w:asciiTheme="minorHAnsi" w:hAnsiTheme="minorHAnsi" w:cstheme="minorHAnsi"/>
          <w:szCs w:val="24"/>
        </w:rPr>
      </w:pPr>
      <w:r w:rsidRPr="00BF2235">
        <w:rPr>
          <w:rFonts w:asciiTheme="minorHAnsi" w:hAnsiTheme="minorHAnsi" w:cstheme="minorHAnsi"/>
          <w:szCs w:val="24"/>
        </w:rPr>
        <w:t xml:space="preserve">Elizabeth Almanzor, Center for Health Information Analysis </w:t>
      </w:r>
    </w:p>
    <w:p w14:paraId="0D5246E9" w14:textId="3E24774D"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Katherine Mills, Health Policy Commission</w:t>
      </w:r>
    </w:p>
    <w:p w14:paraId="2877089A"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lastRenderedPageBreak/>
        <w:t>Eric Gold, Attorney General’s Office</w:t>
      </w:r>
    </w:p>
    <w:p w14:paraId="7991B902"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Pavel </w:t>
      </w:r>
      <w:proofErr w:type="spellStart"/>
      <w:r w:rsidRPr="00BF2235">
        <w:rPr>
          <w:rFonts w:asciiTheme="minorHAnsi" w:hAnsiTheme="minorHAnsi" w:cstheme="minorHAnsi"/>
          <w:szCs w:val="24"/>
        </w:rPr>
        <w:t>Terpelets</w:t>
      </w:r>
      <w:proofErr w:type="spellEnd"/>
      <w:r w:rsidRPr="00BF2235">
        <w:rPr>
          <w:rFonts w:asciiTheme="minorHAnsi" w:hAnsiTheme="minorHAnsi" w:cstheme="minorHAnsi"/>
          <w:szCs w:val="24"/>
        </w:rPr>
        <w:t xml:space="preserve">, MassHealth </w:t>
      </w:r>
    </w:p>
    <w:p w14:paraId="6673835A"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Christopher King, Executive Office of </w:t>
      </w:r>
      <w:proofErr w:type="gramStart"/>
      <w:r w:rsidRPr="00BF2235">
        <w:rPr>
          <w:rFonts w:asciiTheme="minorHAnsi" w:hAnsiTheme="minorHAnsi" w:cstheme="minorHAnsi"/>
          <w:szCs w:val="24"/>
        </w:rPr>
        <w:t>Health</w:t>
      </w:r>
      <w:proofErr w:type="gramEnd"/>
      <w:r w:rsidRPr="00BF2235">
        <w:rPr>
          <w:rFonts w:asciiTheme="minorHAnsi" w:hAnsiTheme="minorHAnsi" w:cstheme="minorHAnsi"/>
          <w:szCs w:val="24"/>
        </w:rPr>
        <w:t xml:space="preserve"> and Human Services </w:t>
      </w:r>
    </w:p>
    <w:p w14:paraId="7882F6D3"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Tomaso Calicchio, Executive Office of </w:t>
      </w:r>
      <w:proofErr w:type="gramStart"/>
      <w:r w:rsidRPr="00BF2235">
        <w:rPr>
          <w:rFonts w:asciiTheme="minorHAnsi" w:hAnsiTheme="minorHAnsi" w:cstheme="minorHAnsi"/>
          <w:szCs w:val="24"/>
        </w:rPr>
        <w:t>Health</w:t>
      </w:r>
      <w:proofErr w:type="gramEnd"/>
      <w:r w:rsidRPr="00BF2235">
        <w:rPr>
          <w:rFonts w:asciiTheme="minorHAnsi" w:hAnsiTheme="minorHAnsi" w:cstheme="minorHAnsi"/>
          <w:szCs w:val="24"/>
        </w:rPr>
        <w:t xml:space="preserve"> and Human Services </w:t>
      </w:r>
    </w:p>
    <w:p w14:paraId="5343E267"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Hai Nguyen, Executive Office of </w:t>
      </w:r>
      <w:proofErr w:type="gramStart"/>
      <w:r w:rsidRPr="00BF2235">
        <w:rPr>
          <w:rFonts w:asciiTheme="minorHAnsi" w:hAnsiTheme="minorHAnsi" w:cstheme="minorHAnsi"/>
          <w:szCs w:val="24"/>
        </w:rPr>
        <w:t>Health</w:t>
      </w:r>
      <w:proofErr w:type="gramEnd"/>
      <w:r w:rsidRPr="00BF2235">
        <w:rPr>
          <w:rFonts w:asciiTheme="minorHAnsi" w:hAnsiTheme="minorHAnsi" w:cstheme="minorHAnsi"/>
          <w:szCs w:val="24"/>
        </w:rPr>
        <w:t xml:space="preserve"> and Human Services </w:t>
      </w:r>
    </w:p>
    <w:p w14:paraId="6E517D08"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Karina Mejias, Executive Office of </w:t>
      </w:r>
      <w:proofErr w:type="gramStart"/>
      <w:r w:rsidRPr="00BF2235">
        <w:rPr>
          <w:rFonts w:asciiTheme="minorHAnsi" w:hAnsiTheme="minorHAnsi" w:cstheme="minorHAnsi"/>
          <w:szCs w:val="24"/>
        </w:rPr>
        <w:t>Health</w:t>
      </w:r>
      <w:proofErr w:type="gramEnd"/>
      <w:r w:rsidRPr="00BF2235">
        <w:rPr>
          <w:rFonts w:asciiTheme="minorHAnsi" w:hAnsiTheme="minorHAnsi" w:cstheme="minorHAnsi"/>
          <w:szCs w:val="24"/>
        </w:rPr>
        <w:t xml:space="preserve"> and Human Services </w:t>
      </w:r>
    </w:p>
    <w:p w14:paraId="47368029" w14:textId="77777777" w:rsidR="00BF2235" w:rsidRPr="00BF2235" w:rsidRDefault="00BF2235" w:rsidP="00BF2235">
      <w:pPr>
        <w:rPr>
          <w:rFonts w:asciiTheme="minorHAnsi" w:hAnsiTheme="minorHAnsi" w:cstheme="minorHAnsi"/>
          <w:szCs w:val="24"/>
        </w:rPr>
      </w:pPr>
      <w:r w:rsidRPr="00BF2235">
        <w:rPr>
          <w:rFonts w:asciiTheme="minorHAnsi" w:hAnsiTheme="minorHAnsi" w:cstheme="minorHAnsi"/>
          <w:szCs w:val="24"/>
        </w:rPr>
        <w:t xml:space="preserve">Priscilla Portis, Executive Office of </w:t>
      </w:r>
      <w:proofErr w:type="gramStart"/>
      <w:r w:rsidRPr="00BF2235">
        <w:rPr>
          <w:rFonts w:asciiTheme="minorHAnsi" w:hAnsiTheme="minorHAnsi" w:cstheme="minorHAnsi"/>
          <w:szCs w:val="24"/>
        </w:rPr>
        <w:t>Health</w:t>
      </w:r>
      <w:proofErr w:type="gramEnd"/>
      <w:r w:rsidRPr="00BF2235">
        <w:rPr>
          <w:rFonts w:asciiTheme="minorHAnsi" w:hAnsiTheme="minorHAnsi" w:cstheme="minorHAnsi"/>
          <w:szCs w:val="24"/>
        </w:rPr>
        <w:t xml:space="preserve"> and Human Services</w:t>
      </w:r>
    </w:p>
    <w:p w14:paraId="079276DA" w14:textId="77777777" w:rsidR="000C2428" w:rsidRDefault="000C2428"/>
    <w:sectPr w:rsidR="000C2428" w:rsidSect="005B14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05BB" w14:textId="77777777" w:rsidR="00503544" w:rsidRDefault="00503544" w:rsidP="00503544">
      <w:r>
        <w:separator/>
      </w:r>
    </w:p>
  </w:endnote>
  <w:endnote w:type="continuationSeparator" w:id="0">
    <w:p w14:paraId="05989328" w14:textId="77777777" w:rsidR="00503544" w:rsidRDefault="00503544" w:rsidP="0050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4D84" w14:textId="77777777" w:rsidR="005B4EBF" w:rsidRDefault="005B4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AFCA" w14:textId="77777777" w:rsidR="00000A7F" w:rsidRDefault="005B4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DA78" w14:textId="77777777" w:rsidR="005B4EBF" w:rsidRDefault="005B4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3D89" w14:textId="77777777" w:rsidR="00503544" w:rsidRDefault="00503544" w:rsidP="00503544">
      <w:r>
        <w:separator/>
      </w:r>
    </w:p>
  </w:footnote>
  <w:footnote w:type="continuationSeparator" w:id="0">
    <w:p w14:paraId="123A45FA" w14:textId="77777777" w:rsidR="00503544" w:rsidRDefault="00503544" w:rsidP="00503544">
      <w:r>
        <w:continuationSeparator/>
      </w:r>
    </w:p>
  </w:footnote>
  <w:footnote w:id="1">
    <w:p w14:paraId="145509F9" w14:textId="4BB64CD6" w:rsidR="00503544" w:rsidRDefault="00503544">
      <w:pPr>
        <w:pStyle w:val="FootnoteText"/>
      </w:pPr>
      <w:r>
        <w:rPr>
          <w:rStyle w:val="FootnoteReference"/>
        </w:rPr>
        <w:footnoteRef/>
      </w:r>
      <w:r>
        <w:t xml:space="preserve"> </w:t>
      </w:r>
      <w:r w:rsidRPr="005455DB">
        <w:rPr>
          <w:rFonts w:ascii="Arial Narrow" w:hAnsi="Arial Narrow" w:cs="Calibri Light"/>
          <w:sz w:val="18"/>
          <w:szCs w:val="18"/>
        </w:rPr>
        <w:t>These projections are limited to the care to be provided in the proposed cardiac medical-surgical inpatient unit.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104A" w14:textId="77777777" w:rsidR="00000A7F" w:rsidRDefault="005B4EBF">
    <w:pPr>
      <w:pStyle w:val="Header"/>
    </w:pPr>
    <w:r>
      <w:rPr>
        <w:noProof/>
      </w:rPr>
      <w:pict w14:anchorId="79420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68ED" w14:textId="77777777" w:rsidR="005B4EBF" w:rsidRDefault="005B4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C102" w14:textId="77777777" w:rsidR="00000A7F" w:rsidRDefault="005B4EBF">
    <w:pPr>
      <w:pStyle w:val="Header"/>
    </w:pPr>
    <w:r>
      <w:rPr>
        <w:noProof/>
      </w:rPr>
      <w:pict w14:anchorId="74F8F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434"/>
    <w:multiLevelType w:val="hybridMultilevel"/>
    <w:tmpl w:val="B9A6B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E748A"/>
    <w:multiLevelType w:val="hybridMultilevel"/>
    <w:tmpl w:val="F4F868B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23E532D"/>
    <w:multiLevelType w:val="hybridMultilevel"/>
    <w:tmpl w:val="48B47A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A6B1A"/>
    <w:multiLevelType w:val="hybridMultilevel"/>
    <w:tmpl w:val="8CD2E9EC"/>
    <w:lvl w:ilvl="0" w:tplc="5F3271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F66FE"/>
    <w:multiLevelType w:val="hybridMultilevel"/>
    <w:tmpl w:val="2A4E43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4F14A6"/>
    <w:multiLevelType w:val="hybridMultilevel"/>
    <w:tmpl w:val="833AC162"/>
    <w:lvl w:ilvl="0" w:tplc="512C5E4E">
      <w:start w:val="1"/>
      <w:numFmt w:val="decimal"/>
      <w:lvlText w:val="%1."/>
      <w:lvlJc w:val="left"/>
      <w:pPr>
        <w:ind w:left="1080" w:hanging="720"/>
      </w:pPr>
      <w:rPr>
        <w:rFonts w:hint="default"/>
      </w:rPr>
    </w:lvl>
    <w:lvl w:ilvl="1" w:tplc="111E2B6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A3D69"/>
    <w:multiLevelType w:val="hybridMultilevel"/>
    <w:tmpl w:val="06541014"/>
    <w:lvl w:ilvl="0" w:tplc="FFFFFFFF">
      <w:start w:val="1"/>
      <w:numFmt w:val="decimal"/>
      <w:lvlText w:val="%1."/>
      <w:lvlJc w:val="left"/>
      <w:pPr>
        <w:ind w:left="1080" w:hanging="720"/>
      </w:pPr>
      <w:rPr>
        <w:rFonts w:hint="default"/>
      </w:rPr>
    </w:lvl>
    <w:lvl w:ilvl="1" w:tplc="5ADAE1C2">
      <w:start w:val="1"/>
      <w:numFmt w:val="lowerRoman"/>
      <w:lvlText w:val="%2."/>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655626B"/>
    <w:multiLevelType w:val="hybridMultilevel"/>
    <w:tmpl w:val="D0086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979020">
    <w:abstractNumId w:val="5"/>
  </w:num>
  <w:num w:numId="2" w16cid:durableId="1206789803">
    <w:abstractNumId w:val="6"/>
  </w:num>
  <w:num w:numId="3" w16cid:durableId="1774089056">
    <w:abstractNumId w:val="7"/>
  </w:num>
  <w:num w:numId="4" w16cid:durableId="1076051368">
    <w:abstractNumId w:val="4"/>
  </w:num>
  <w:num w:numId="5" w16cid:durableId="262542871">
    <w:abstractNumId w:val="2"/>
  </w:num>
  <w:num w:numId="6" w16cid:durableId="155339181">
    <w:abstractNumId w:val="3"/>
  </w:num>
  <w:num w:numId="7" w16cid:durableId="746809584">
    <w:abstractNumId w:val="1"/>
  </w:num>
  <w:num w:numId="8" w16cid:durableId="90114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35"/>
    <w:rsid w:val="000C2428"/>
    <w:rsid w:val="00503544"/>
    <w:rsid w:val="005B4EBF"/>
    <w:rsid w:val="00811C81"/>
    <w:rsid w:val="00BF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04CD"/>
  <w15:chartTrackingRefBased/>
  <w15:docId w15:val="{F35724E5-AE99-469E-A943-7EDA0409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3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BF2235"/>
    <w:pPr>
      <w:framePr w:w="6927" w:hSpace="187" w:wrap="notBeside" w:vAnchor="text" w:hAnchor="page" w:x="3594" w:y="1"/>
      <w:jc w:val="center"/>
    </w:pPr>
    <w:rPr>
      <w:rFonts w:ascii="Arial" w:hAnsi="Arial"/>
      <w:sz w:val="28"/>
    </w:rPr>
  </w:style>
  <w:style w:type="paragraph" w:customStyle="1" w:styleId="Weld">
    <w:name w:val="Weld"/>
    <w:basedOn w:val="Normal"/>
    <w:rsid w:val="00BF223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BF2235"/>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BF2235"/>
    <w:rPr>
      <w:color w:val="0000FF"/>
      <w:u w:val="single"/>
    </w:rPr>
  </w:style>
  <w:style w:type="paragraph" w:styleId="Header">
    <w:name w:val="header"/>
    <w:basedOn w:val="Normal"/>
    <w:link w:val="HeaderChar"/>
    <w:rsid w:val="00BF2235"/>
    <w:pPr>
      <w:tabs>
        <w:tab w:val="center" w:pos="4680"/>
        <w:tab w:val="right" w:pos="9360"/>
      </w:tabs>
    </w:pPr>
  </w:style>
  <w:style w:type="character" w:customStyle="1" w:styleId="HeaderChar">
    <w:name w:val="Header Char"/>
    <w:basedOn w:val="DefaultParagraphFont"/>
    <w:link w:val="Header"/>
    <w:rsid w:val="00BF2235"/>
    <w:rPr>
      <w:rFonts w:ascii="Times New Roman" w:eastAsia="Times New Roman" w:hAnsi="Times New Roman" w:cs="Times New Roman"/>
      <w:sz w:val="24"/>
      <w:szCs w:val="20"/>
    </w:rPr>
  </w:style>
  <w:style w:type="paragraph" w:styleId="Footer">
    <w:name w:val="footer"/>
    <w:basedOn w:val="Normal"/>
    <w:link w:val="FooterChar"/>
    <w:uiPriority w:val="99"/>
    <w:rsid w:val="00BF2235"/>
    <w:pPr>
      <w:tabs>
        <w:tab w:val="center" w:pos="4680"/>
        <w:tab w:val="right" w:pos="9360"/>
      </w:tabs>
    </w:pPr>
  </w:style>
  <w:style w:type="character" w:customStyle="1" w:styleId="FooterChar">
    <w:name w:val="Footer Char"/>
    <w:basedOn w:val="DefaultParagraphFont"/>
    <w:link w:val="Footer"/>
    <w:uiPriority w:val="99"/>
    <w:rsid w:val="00BF2235"/>
    <w:rPr>
      <w:rFonts w:ascii="Times New Roman" w:eastAsia="Times New Roman" w:hAnsi="Times New Roman" w:cs="Times New Roman"/>
      <w:sz w:val="24"/>
      <w:szCs w:val="20"/>
    </w:rPr>
  </w:style>
  <w:style w:type="paragraph" w:styleId="ListParagraph">
    <w:name w:val="List Paragraph"/>
    <w:basedOn w:val="Normal"/>
    <w:uiPriority w:val="34"/>
    <w:qFormat/>
    <w:rsid w:val="00BF2235"/>
    <w:pPr>
      <w:ind w:left="720"/>
      <w:contextualSpacing/>
    </w:pPr>
  </w:style>
  <w:style w:type="character" w:styleId="UnresolvedMention">
    <w:name w:val="Unresolved Mention"/>
    <w:basedOn w:val="DefaultParagraphFont"/>
    <w:uiPriority w:val="99"/>
    <w:semiHidden/>
    <w:unhideWhenUsed/>
    <w:rsid w:val="00BF2235"/>
    <w:rPr>
      <w:color w:val="605E5C"/>
      <w:shd w:val="clear" w:color="auto" w:fill="E1DFDD"/>
    </w:rPr>
  </w:style>
  <w:style w:type="paragraph" w:styleId="FootnoteText">
    <w:name w:val="footnote text"/>
    <w:basedOn w:val="Normal"/>
    <w:link w:val="FootnoteTextChar"/>
    <w:uiPriority w:val="99"/>
    <w:semiHidden/>
    <w:unhideWhenUsed/>
    <w:rsid w:val="00503544"/>
    <w:rPr>
      <w:sz w:val="20"/>
    </w:rPr>
  </w:style>
  <w:style w:type="character" w:customStyle="1" w:styleId="FootnoteTextChar">
    <w:name w:val="Footnote Text Char"/>
    <w:basedOn w:val="DefaultParagraphFont"/>
    <w:link w:val="FootnoteText"/>
    <w:uiPriority w:val="99"/>
    <w:semiHidden/>
    <w:rsid w:val="0050354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035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rystal.Bloom@huschblack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dph"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B4885-89D2-4DC6-B834-466ED79E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2022-07-26T16:19:00Z</dcterms:created>
  <dcterms:modified xsi:type="dcterms:W3CDTF">2022-07-26T16:40:00Z</dcterms:modified>
</cp:coreProperties>
</file>