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7C10C0">
      <w:pPr>
        <w:ind w:left="630"/>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7D94F0CD" w14:textId="6F5DAADE" w:rsidR="00DD783A" w:rsidRDefault="00DD783A" w:rsidP="00DD783A">
      <w:pPr>
        <w:pStyle w:val="ExecOffice"/>
        <w:framePr w:w="0" w:hSpace="0" w:wrap="auto" w:vAnchor="margin" w:hAnchor="text" w:xAlign="left" w:yAlign="inline"/>
      </w:pPr>
      <w:r w:rsidRPr="00DD783A">
        <w:t>617-624-6000 | mass.gov/</w:t>
      </w:r>
      <w:proofErr w:type="spellStart"/>
      <w:r w:rsidRPr="00DD783A">
        <w:t>dph</w:t>
      </w:r>
      <w:proofErr w:type="spellEnd"/>
      <w:r w:rsidR="002C47A2">
        <w:t xml:space="preserve"> </w:t>
      </w:r>
    </w:p>
    <w:p w14:paraId="2BA7FE12" w14:textId="77777777" w:rsidR="008E5521" w:rsidRDefault="008E5521" w:rsidP="008E5521">
      <w:pPr>
        <w:ind w:right="2340"/>
        <w:contextualSpacing/>
        <w:rPr>
          <w:rFonts w:ascii="Arial Rounded MT Bold" w:hAnsi="Arial Rounded MT Bold"/>
          <w:sz w:val="16"/>
        </w:rPr>
      </w:pPr>
    </w:p>
    <w:p w14:paraId="51B3562C" w14:textId="77777777" w:rsidR="00FC1E56" w:rsidRDefault="00FC1E56" w:rsidP="008E5521">
      <w:pPr>
        <w:ind w:right="2340"/>
        <w:contextualSpacing/>
        <w:rPr>
          <w:rFonts w:ascii="Arial Rounded MT Bold" w:hAnsi="Arial Rounded MT Bold"/>
          <w:sz w:val="16"/>
        </w:rPr>
        <w:sectPr w:rsidR="00FC1E56" w:rsidSect="00806568">
          <w:headerReference w:type="even" r:id="rId9"/>
          <w:footerReference w:type="default" r:id="rId10"/>
          <w:headerReference w:type="first" r:id="rId11"/>
          <w:pgSz w:w="12240" w:h="15840"/>
          <w:pgMar w:top="540" w:right="260" w:bottom="1260" w:left="640" w:header="0" w:footer="864" w:gutter="0"/>
          <w:cols w:space="720"/>
          <w:docGrid w:linePitch="326"/>
        </w:sectPr>
      </w:pPr>
    </w:p>
    <w:p w14:paraId="55CEE6EB" w14:textId="15393242" w:rsidR="00AC7937" w:rsidRPr="00FC1E56" w:rsidRDefault="00063885" w:rsidP="007C10C0">
      <w:pPr>
        <w:ind w:left="720" w:right="2340"/>
        <w:contextualSpacing/>
        <w:rPr>
          <w:rFonts w:ascii="Arial" w:hAnsi="Arial" w:cs="Arial"/>
          <w:b/>
          <w:bCs/>
          <w:szCs w:val="24"/>
        </w:rPr>
      </w:pPr>
      <w:r w:rsidRPr="00FC1E56">
        <w:rPr>
          <w:rFonts w:ascii="Arial" w:hAnsi="Arial" w:cs="Arial"/>
          <w:b/>
          <w:bCs/>
          <w:szCs w:val="24"/>
        </w:rPr>
        <w:t xml:space="preserve">Maura </w:t>
      </w:r>
      <w:r w:rsidR="00AC7937" w:rsidRPr="00FC1E56">
        <w:rPr>
          <w:rFonts w:ascii="Arial" w:hAnsi="Arial" w:cs="Arial"/>
          <w:b/>
          <w:bCs/>
          <w:szCs w:val="24"/>
        </w:rPr>
        <w:t xml:space="preserve">T. </w:t>
      </w:r>
      <w:r w:rsidRPr="00FC1E56">
        <w:rPr>
          <w:rFonts w:ascii="Arial" w:hAnsi="Arial" w:cs="Arial"/>
          <w:b/>
          <w:bCs/>
          <w:szCs w:val="24"/>
        </w:rPr>
        <w:t>Healey</w:t>
      </w:r>
    </w:p>
    <w:p w14:paraId="7D7DA174" w14:textId="77777777" w:rsidR="00AC7937" w:rsidRPr="00913A91" w:rsidRDefault="00AC7937" w:rsidP="007C10C0">
      <w:pPr>
        <w:ind w:left="720" w:right="2340"/>
        <w:contextualSpacing/>
        <w:rPr>
          <w:rFonts w:ascii="Arial" w:hAnsi="Arial" w:cs="Arial"/>
          <w:szCs w:val="24"/>
        </w:rPr>
      </w:pPr>
      <w:r w:rsidRPr="00913A91">
        <w:rPr>
          <w:rFonts w:ascii="Arial" w:hAnsi="Arial" w:cs="Arial"/>
          <w:szCs w:val="24"/>
        </w:rPr>
        <w:t>Governor</w:t>
      </w:r>
    </w:p>
    <w:p w14:paraId="57A7E868" w14:textId="77777777" w:rsidR="00AC7937" w:rsidRPr="00913A91" w:rsidRDefault="00AC7937" w:rsidP="007C10C0">
      <w:pPr>
        <w:ind w:left="720" w:right="2340"/>
        <w:contextualSpacing/>
        <w:rPr>
          <w:rFonts w:ascii="Arial" w:hAnsi="Arial" w:cs="Arial"/>
          <w:szCs w:val="24"/>
        </w:rPr>
      </w:pPr>
    </w:p>
    <w:p w14:paraId="5F8BD4FE" w14:textId="43FAA70E" w:rsidR="00AC7937" w:rsidRPr="00FC1E56" w:rsidRDefault="00063885" w:rsidP="007C10C0">
      <w:pPr>
        <w:ind w:left="720" w:right="2340"/>
        <w:contextualSpacing/>
        <w:rPr>
          <w:rFonts w:ascii="Arial" w:hAnsi="Arial" w:cs="Arial"/>
          <w:b/>
          <w:bCs/>
          <w:szCs w:val="24"/>
        </w:rPr>
      </w:pPr>
      <w:r w:rsidRPr="00FC1E56">
        <w:rPr>
          <w:rFonts w:ascii="Arial" w:hAnsi="Arial" w:cs="Arial"/>
          <w:b/>
          <w:bCs/>
          <w:szCs w:val="24"/>
        </w:rPr>
        <w:t>Kimberley Driscoll</w:t>
      </w:r>
    </w:p>
    <w:p w14:paraId="1276EDBE" w14:textId="77777777" w:rsidR="00AC7937" w:rsidRPr="00913A91" w:rsidRDefault="00AC7937" w:rsidP="007C10C0">
      <w:pPr>
        <w:ind w:left="720" w:right="2340"/>
        <w:contextualSpacing/>
        <w:rPr>
          <w:rFonts w:ascii="Arial" w:hAnsi="Arial" w:cs="Arial"/>
          <w:szCs w:val="24"/>
        </w:rPr>
      </w:pPr>
      <w:r w:rsidRPr="00913A91">
        <w:rPr>
          <w:rFonts w:ascii="Arial" w:hAnsi="Arial" w:cs="Arial"/>
          <w:szCs w:val="24"/>
        </w:rPr>
        <w:t>Lieutenant Governor</w:t>
      </w:r>
    </w:p>
    <w:p w14:paraId="3443D931" w14:textId="77777777" w:rsidR="00AC7937" w:rsidRPr="00913A91" w:rsidRDefault="00AC7937" w:rsidP="00913A91">
      <w:pPr>
        <w:ind w:right="2340"/>
        <w:contextualSpacing/>
        <w:rPr>
          <w:rFonts w:ascii="Arial" w:hAnsi="Arial" w:cs="Arial"/>
          <w:szCs w:val="24"/>
        </w:rPr>
      </w:pPr>
    </w:p>
    <w:p w14:paraId="34857383" w14:textId="77777777" w:rsidR="00063885" w:rsidRPr="00FC1E56" w:rsidRDefault="00413D9A" w:rsidP="00913A91">
      <w:pPr>
        <w:ind w:left="1530" w:right="720"/>
        <w:contextualSpacing/>
        <w:rPr>
          <w:rFonts w:ascii="Arial" w:hAnsi="Arial" w:cs="Arial"/>
          <w:b/>
          <w:bCs/>
          <w:szCs w:val="24"/>
        </w:rPr>
      </w:pPr>
      <w:r w:rsidRPr="00FC1E56">
        <w:rPr>
          <w:rFonts w:ascii="Arial" w:hAnsi="Arial" w:cs="Arial"/>
          <w:b/>
          <w:bCs/>
          <w:szCs w:val="24"/>
        </w:rPr>
        <w:t xml:space="preserve">Kiame Mahaniah, MD, MBA </w:t>
      </w:r>
    </w:p>
    <w:p w14:paraId="170A6353" w14:textId="55804289" w:rsidR="00AC7937" w:rsidRPr="00913A91" w:rsidRDefault="00AC7937" w:rsidP="00913A91">
      <w:pPr>
        <w:ind w:left="1530" w:right="720"/>
        <w:contextualSpacing/>
        <w:rPr>
          <w:rFonts w:ascii="Arial" w:hAnsi="Arial" w:cs="Arial"/>
          <w:szCs w:val="24"/>
        </w:rPr>
      </w:pPr>
      <w:r w:rsidRPr="00913A91">
        <w:rPr>
          <w:rFonts w:ascii="Arial" w:hAnsi="Arial" w:cs="Arial"/>
          <w:szCs w:val="24"/>
        </w:rPr>
        <w:t>Secretary</w:t>
      </w:r>
    </w:p>
    <w:p w14:paraId="04911862" w14:textId="77777777" w:rsidR="00AC7937" w:rsidRPr="00913A91" w:rsidRDefault="00AC7937" w:rsidP="00913A91">
      <w:pPr>
        <w:ind w:left="1530" w:right="720"/>
        <w:contextualSpacing/>
        <w:rPr>
          <w:rFonts w:ascii="Arial" w:hAnsi="Arial" w:cs="Arial"/>
          <w:szCs w:val="24"/>
        </w:rPr>
      </w:pPr>
    </w:p>
    <w:p w14:paraId="52FEDDB3" w14:textId="2C6BECBD" w:rsidR="00AC7937" w:rsidRPr="00FC1E56" w:rsidRDefault="00063885" w:rsidP="00913A91">
      <w:pPr>
        <w:ind w:left="1530" w:right="720"/>
        <w:contextualSpacing/>
        <w:rPr>
          <w:rFonts w:ascii="Arial" w:hAnsi="Arial" w:cs="Arial"/>
          <w:b/>
          <w:bCs/>
          <w:szCs w:val="24"/>
        </w:rPr>
      </w:pPr>
      <w:r w:rsidRPr="00FC1E56">
        <w:rPr>
          <w:rFonts w:ascii="Arial" w:hAnsi="Arial" w:cs="Arial"/>
          <w:b/>
          <w:bCs/>
          <w:szCs w:val="24"/>
        </w:rPr>
        <w:t>Robert Goldstein</w:t>
      </w:r>
      <w:r w:rsidR="00AC7937" w:rsidRPr="00FC1E56">
        <w:rPr>
          <w:rFonts w:ascii="Arial" w:hAnsi="Arial" w:cs="Arial"/>
          <w:b/>
          <w:bCs/>
          <w:szCs w:val="24"/>
        </w:rPr>
        <w:t>, MD, PhD</w:t>
      </w:r>
    </w:p>
    <w:p w14:paraId="2349E991" w14:textId="265CD908" w:rsidR="00AC7937" w:rsidRPr="00913A91" w:rsidRDefault="00AC7937" w:rsidP="00913A91">
      <w:pPr>
        <w:ind w:left="1530" w:right="720"/>
        <w:contextualSpacing/>
        <w:rPr>
          <w:rFonts w:ascii="Arial" w:hAnsi="Arial" w:cs="Arial"/>
          <w:szCs w:val="24"/>
        </w:rPr>
      </w:pPr>
      <w:r w:rsidRPr="00913A91">
        <w:rPr>
          <w:rFonts w:ascii="Arial" w:hAnsi="Arial" w:cs="Arial"/>
          <w:szCs w:val="24"/>
        </w:rPr>
        <w:t>Commissioner</w:t>
      </w:r>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7FCCBA6D" w14:textId="77777777" w:rsidR="0005468D" w:rsidRPr="0005468D" w:rsidRDefault="0005468D" w:rsidP="00806568">
      <w:pPr>
        <w:pStyle w:val="BodyText"/>
        <w:ind w:right="1170"/>
      </w:pPr>
    </w:p>
    <w:p w14:paraId="7AFFDA36" w14:textId="77777777" w:rsidR="007C10C0" w:rsidRPr="007C10C0" w:rsidRDefault="007C10C0" w:rsidP="007C10C0">
      <w:pPr>
        <w:pStyle w:val="BodyText"/>
        <w:ind w:left="810" w:right="900"/>
        <w:rPr>
          <w:rFonts w:ascii="Aptos" w:hAnsi="Aptos"/>
        </w:rPr>
      </w:pPr>
      <w:r w:rsidRPr="007C10C0">
        <w:rPr>
          <w:rFonts w:ascii="Aptos" w:hAnsi="Aptos"/>
        </w:rPr>
        <w:t>May 14, 2026</w:t>
      </w:r>
    </w:p>
    <w:p w14:paraId="4463360A" w14:textId="77777777" w:rsidR="007C10C0" w:rsidRPr="007C10C0" w:rsidRDefault="007C10C0" w:rsidP="007C10C0">
      <w:pPr>
        <w:pStyle w:val="BodyText"/>
        <w:ind w:left="810" w:right="900"/>
        <w:rPr>
          <w:rFonts w:ascii="Aptos" w:hAnsi="Aptos"/>
        </w:rPr>
      </w:pPr>
    </w:p>
    <w:p w14:paraId="2D1CF12E" w14:textId="06D11026" w:rsidR="007C10C0" w:rsidRDefault="007C10C0" w:rsidP="007C10C0">
      <w:pPr>
        <w:pStyle w:val="BodyText"/>
        <w:ind w:left="810" w:right="900"/>
        <w:rPr>
          <w:rFonts w:ascii="Aptos" w:hAnsi="Aptos"/>
        </w:rPr>
      </w:pPr>
      <w:r w:rsidRPr="007C10C0">
        <w:rPr>
          <w:rFonts w:ascii="Aptos" w:hAnsi="Aptos"/>
        </w:rPr>
        <w:t xml:space="preserve">Via email - </w:t>
      </w:r>
      <w:hyperlink r:id="rId12" w:history="1">
        <w:r w:rsidR="00725384" w:rsidRPr="0015229F">
          <w:rPr>
            <w:rStyle w:val="Hyperlink"/>
            <w:rFonts w:ascii="Aptos" w:hAnsi="Aptos"/>
          </w:rPr>
          <w:t>BWilson@ebglaw.com</w:t>
        </w:r>
      </w:hyperlink>
      <w:r w:rsidR="00725384">
        <w:rPr>
          <w:rFonts w:ascii="Aptos" w:hAnsi="Aptos"/>
        </w:rPr>
        <w:t xml:space="preserve"> </w:t>
      </w:r>
    </w:p>
    <w:p w14:paraId="29F5168D" w14:textId="77777777" w:rsidR="00725384" w:rsidRPr="007C10C0" w:rsidRDefault="00725384" w:rsidP="007C10C0">
      <w:pPr>
        <w:pStyle w:val="BodyText"/>
        <w:ind w:left="810" w:right="900"/>
        <w:rPr>
          <w:rFonts w:ascii="Aptos" w:hAnsi="Aptos"/>
        </w:rPr>
      </w:pPr>
    </w:p>
    <w:p w14:paraId="0B6C547A" w14:textId="77777777" w:rsidR="00DE46FF" w:rsidRDefault="007C10C0" w:rsidP="007C10C0">
      <w:pPr>
        <w:pStyle w:val="BodyText"/>
        <w:ind w:left="810" w:right="900"/>
        <w:rPr>
          <w:rFonts w:ascii="Aptos" w:hAnsi="Aptos"/>
        </w:rPr>
      </w:pPr>
      <w:r w:rsidRPr="007C10C0">
        <w:rPr>
          <w:rFonts w:ascii="Aptos" w:hAnsi="Aptos"/>
        </w:rPr>
        <w:t xml:space="preserve">Benjamin Wilson </w:t>
      </w:r>
    </w:p>
    <w:p w14:paraId="4A5D397E" w14:textId="735E8049" w:rsidR="007C10C0" w:rsidRPr="007C10C0" w:rsidRDefault="007C10C0" w:rsidP="007C10C0">
      <w:pPr>
        <w:pStyle w:val="BodyText"/>
        <w:ind w:left="810" w:right="900"/>
        <w:rPr>
          <w:rFonts w:ascii="Aptos" w:hAnsi="Aptos"/>
        </w:rPr>
      </w:pPr>
      <w:r w:rsidRPr="007C10C0">
        <w:rPr>
          <w:rFonts w:ascii="Aptos" w:hAnsi="Aptos"/>
        </w:rPr>
        <w:t>Epstein Becker Green</w:t>
      </w:r>
    </w:p>
    <w:p w14:paraId="2E8C7217" w14:textId="77777777" w:rsidR="00DE46FF" w:rsidRDefault="007C10C0" w:rsidP="007C10C0">
      <w:pPr>
        <w:pStyle w:val="BodyText"/>
        <w:ind w:left="810" w:right="900"/>
        <w:rPr>
          <w:rFonts w:ascii="Aptos" w:hAnsi="Aptos"/>
        </w:rPr>
      </w:pPr>
      <w:r w:rsidRPr="007C10C0">
        <w:rPr>
          <w:rFonts w:ascii="Aptos" w:hAnsi="Aptos"/>
        </w:rPr>
        <w:t xml:space="preserve">One Financial Center, Suite 1520 </w:t>
      </w:r>
    </w:p>
    <w:p w14:paraId="7573710F" w14:textId="55F18BC9" w:rsidR="007C10C0" w:rsidRDefault="007C10C0" w:rsidP="007C10C0">
      <w:pPr>
        <w:pStyle w:val="BodyText"/>
        <w:ind w:left="810" w:right="900"/>
        <w:rPr>
          <w:rFonts w:ascii="Aptos" w:hAnsi="Aptos"/>
        </w:rPr>
      </w:pPr>
      <w:r w:rsidRPr="007C10C0">
        <w:rPr>
          <w:rFonts w:ascii="Aptos" w:hAnsi="Aptos"/>
        </w:rPr>
        <w:t>Boston, MA 02111</w:t>
      </w:r>
    </w:p>
    <w:p w14:paraId="24923B07" w14:textId="77777777" w:rsidR="00DE46FF" w:rsidRPr="007C10C0" w:rsidRDefault="00DE46FF" w:rsidP="007C10C0">
      <w:pPr>
        <w:pStyle w:val="BodyText"/>
        <w:ind w:left="810" w:right="900"/>
        <w:rPr>
          <w:rFonts w:ascii="Aptos" w:hAnsi="Aptos"/>
        </w:rPr>
      </w:pPr>
    </w:p>
    <w:p w14:paraId="68C547EE" w14:textId="77777777" w:rsidR="007C10C0" w:rsidRPr="00DE46FF" w:rsidRDefault="007C10C0" w:rsidP="00DE46FF">
      <w:pPr>
        <w:pStyle w:val="Heading1"/>
      </w:pPr>
      <w:r w:rsidRPr="00DE46FF">
        <w:t>Re: Notice of Final Action – Dana-Farber Cancer Institute, Inc.</w:t>
      </w:r>
    </w:p>
    <w:p w14:paraId="73655C7C" w14:textId="18EF5349" w:rsidR="007C10C0" w:rsidRPr="007C10C0" w:rsidRDefault="00DE46FF" w:rsidP="00DE46FF">
      <w:pPr>
        <w:pStyle w:val="BodyText"/>
        <w:tabs>
          <w:tab w:val="left" w:pos="3600"/>
        </w:tabs>
        <w:ind w:left="810" w:right="900"/>
        <w:rPr>
          <w:rFonts w:ascii="Aptos" w:hAnsi="Aptos"/>
        </w:rPr>
      </w:pPr>
      <w:r>
        <w:rPr>
          <w:rFonts w:ascii="Aptos" w:hAnsi="Aptos"/>
        </w:rPr>
        <w:tab/>
      </w:r>
      <w:proofErr w:type="spellStart"/>
      <w:r w:rsidR="007C10C0" w:rsidRPr="007C10C0">
        <w:rPr>
          <w:rFonts w:ascii="Aptos" w:hAnsi="Aptos"/>
        </w:rPr>
        <w:t>DoN</w:t>
      </w:r>
      <w:proofErr w:type="spellEnd"/>
      <w:r w:rsidR="007C10C0" w:rsidRPr="007C10C0">
        <w:rPr>
          <w:rFonts w:ascii="Aptos" w:hAnsi="Aptos"/>
        </w:rPr>
        <w:t xml:space="preserve"> Application #DFCI-25090516-RS</w:t>
      </w:r>
    </w:p>
    <w:p w14:paraId="1299F7E3" w14:textId="77777777" w:rsidR="007C10C0" w:rsidRPr="007C10C0" w:rsidRDefault="007C10C0" w:rsidP="007C10C0">
      <w:pPr>
        <w:pStyle w:val="BodyText"/>
        <w:ind w:left="810" w:right="900"/>
        <w:rPr>
          <w:rFonts w:ascii="Aptos" w:hAnsi="Aptos"/>
        </w:rPr>
      </w:pPr>
    </w:p>
    <w:p w14:paraId="37C7763D" w14:textId="77777777" w:rsidR="007C10C0" w:rsidRPr="007C10C0" w:rsidRDefault="007C10C0" w:rsidP="007C10C0">
      <w:pPr>
        <w:pStyle w:val="BodyText"/>
        <w:ind w:left="810" w:right="900"/>
        <w:rPr>
          <w:rFonts w:ascii="Aptos" w:hAnsi="Aptos"/>
        </w:rPr>
      </w:pPr>
      <w:r w:rsidRPr="007C10C0">
        <w:rPr>
          <w:rFonts w:ascii="Aptos" w:hAnsi="Aptos"/>
        </w:rPr>
        <w:t>Dear Attorney Wilson,</w:t>
      </w:r>
    </w:p>
    <w:p w14:paraId="7A0FD387" w14:textId="77777777" w:rsidR="007C10C0" w:rsidRPr="007C10C0" w:rsidRDefault="007C10C0" w:rsidP="007C10C0">
      <w:pPr>
        <w:pStyle w:val="BodyText"/>
        <w:ind w:left="810" w:right="900"/>
        <w:rPr>
          <w:rFonts w:ascii="Aptos" w:hAnsi="Aptos"/>
        </w:rPr>
      </w:pPr>
    </w:p>
    <w:p w14:paraId="589F8B4D" w14:textId="6FE89478" w:rsidR="007C10C0" w:rsidRPr="007C10C0" w:rsidRDefault="007C10C0" w:rsidP="00143626">
      <w:pPr>
        <w:pStyle w:val="BodyText"/>
        <w:ind w:left="810" w:right="900"/>
        <w:rPr>
          <w:rFonts w:ascii="Aptos" w:hAnsi="Aptos"/>
        </w:rPr>
      </w:pPr>
      <w:r w:rsidRPr="007C10C0">
        <w:rPr>
          <w:rFonts w:ascii="Aptos" w:hAnsi="Aptos"/>
        </w:rPr>
        <w:t>At their meeting of May 13, 2026, the Commissioner and the Public Health Council, acting together as the Department, voted pursuant to M.G.L. c.111, §25C and the regulations adopted thereunder, to approve the Determination of Need application filed by Dana-Farber Cancer Institute, Inc. (Applicant) for a Proposed Project to establish proton beam therapy (PBT) services through construction of an approximately 4,500 square-foot PBT center (the Center), servicing adult and pediatric patients, to be located at 35 Binney Street, Boston, MA (Proposed Project).</w:t>
      </w:r>
      <w:r w:rsidR="00143626">
        <w:rPr>
          <w:rFonts w:ascii="Aptos" w:hAnsi="Aptos"/>
        </w:rPr>
        <w:t xml:space="preserve"> </w:t>
      </w:r>
      <w:r w:rsidRPr="007C10C0">
        <w:rPr>
          <w:rFonts w:ascii="Aptos" w:hAnsi="Aptos"/>
        </w:rPr>
        <w:t>The proposed Center will include the following: an upright single-gantry proton therapy system with a dedicated accelerator which includes a computed tomography (CT) scanner for image-guidance; a separate vertical CT for simulation and treatment planning; and clinical and administrative spaces.</w:t>
      </w:r>
    </w:p>
    <w:p w14:paraId="7BB0008E" w14:textId="77777777" w:rsidR="007C10C0" w:rsidRPr="007C10C0" w:rsidRDefault="007C10C0" w:rsidP="007C10C0">
      <w:pPr>
        <w:pStyle w:val="BodyText"/>
        <w:ind w:left="810" w:right="900"/>
        <w:rPr>
          <w:rFonts w:ascii="Aptos" w:hAnsi="Aptos"/>
        </w:rPr>
      </w:pPr>
    </w:p>
    <w:p w14:paraId="2A1243E5" w14:textId="77777777" w:rsidR="007C10C0" w:rsidRPr="007C10C0" w:rsidRDefault="007C10C0" w:rsidP="007C10C0">
      <w:pPr>
        <w:pStyle w:val="BodyText"/>
        <w:ind w:left="810" w:right="900"/>
        <w:rPr>
          <w:rFonts w:ascii="Aptos" w:hAnsi="Aptos"/>
        </w:rPr>
      </w:pPr>
      <w:r w:rsidRPr="007C10C0">
        <w:rPr>
          <w:rFonts w:ascii="Aptos" w:hAnsi="Aptos"/>
        </w:rPr>
        <w:t>The total capital expenditure for the Proposed Project is $50,500,633.00 (</w:t>
      </w:r>
      <w:proofErr w:type="gramStart"/>
      <w:r w:rsidRPr="007C10C0">
        <w:rPr>
          <w:rFonts w:ascii="Aptos" w:hAnsi="Aptos"/>
        </w:rPr>
        <w:t>October,</w:t>
      </w:r>
      <w:proofErr w:type="gramEnd"/>
      <w:r w:rsidRPr="007C10C0">
        <w:rPr>
          <w:rFonts w:ascii="Aptos" w:hAnsi="Aptos"/>
        </w:rPr>
        <w:t xml:space="preserve"> 2025 dollars) and the required Community Health Initiative (CHI) contribution is $2,525,031.65.</w:t>
      </w:r>
    </w:p>
    <w:p w14:paraId="19C368DB" w14:textId="77777777" w:rsidR="007C10C0" w:rsidRPr="007C10C0" w:rsidRDefault="007C10C0" w:rsidP="007C10C0">
      <w:pPr>
        <w:pStyle w:val="BodyText"/>
        <w:ind w:left="810" w:right="900"/>
        <w:rPr>
          <w:rFonts w:ascii="Aptos" w:hAnsi="Aptos"/>
        </w:rPr>
      </w:pPr>
    </w:p>
    <w:p w14:paraId="789A6A07" w14:textId="77777777" w:rsidR="007C10C0" w:rsidRPr="007C10C0" w:rsidRDefault="007C10C0" w:rsidP="007C10C0">
      <w:pPr>
        <w:pStyle w:val="BodyText"/>
        <w:ind w:left="810" w:right="900"/>
        <w:rPr>
          <w:rFonts w:ascii="Aptos" w:hAnsi="Aptos"/>
        </w:rPr>
      </w:pPr>
      <w:r w:rsidRPr="007C10C0">
        <w:rPr>
          <w:rFonts w:ascii="Aptos" w:hAnsi="Aptos"/>
        </w:rPr>
        <w:t xml:space="preserve">This Notice of Final Action incorporates by reference the Staff Report, and the Public Health </w:t>
      </w:r>
      <w:r w:rsidRPr="007C10C0">
        <w:rPr>
          <w:rFonts w:ascii="Aptos" w:hAnsi="Aptos"/>
        </w:rPr>
        <w:lastRenderedPageBreak/>
        <w:t>Council proceedings concerning this application.</w:t>
      </w:r>
    </w:p>
    <w:p w14:paraId="56E291E4" w14:textId="77777777" w:rsidR="007C10C0" w:rsidRPr="007C10C0" w:rsidRDefault="007C10C0" w:rsidP="007C10C0">
      <w:pPr>
        <w:pStyle w:val="BodyText"/>
        <w:ind w:left="810" w:right="900"/>
        <w:rPr>
          <w:rFonts w:ascii="Aptos" w:hAnsi="Aptos"/>
        </w:rPr>
      </w:pPr>
    </w:p>
    <w:p w14:paraId="1C57CFBD" w14:textId="0B748570" w:rsidR="007C10C0" w:rsidRPr="007C10C0" w:rsidRDefault="007C10C0" w:rsidP="00F51F9F">
      <w:pPr>
        <w:pStyle w:val="BodyText"/>
        <w:ind w:left="810" w:right="900"/>
        <w:rPr>
          <w:rFonts w:ascii="Aptos" w:hAnsi="Aptos"/>
        </w:rPr>
      </w:pPr>
      <w:r w:rsidRPr="007C10C0">
        <w:rPr>
          <w:rFonts w:ascii="Aptos" w:hAnsi="Aptos"/>
        </w:rPr>
        <w:t xml:space="preserve">This application was reviewed pursuant to M.G.L. c. 111, §25C and the regulatory provisions of 105 CMR 100.000 et seq. Based upon a review of the materials submitted, the Department found that the Applicant has met each </w:t>
      </w:r>
      <w:proofErr w:type="spellStart"/>
      <w:r w:rsidRPr="007C10C0">
        <w:rPr>
          <w:rFonts w:ascii="Aptos" w:hAnsi="Aptos"/>
        </w:rPr>
        <w:t>DoN</w:t>
      </w:r>
      <w:proofErr w:type="spellEnd"/>
      <w:r w:rsidRPr="007C10C0">
        <w:rPr>
          <w:rFonts w:ascii="Aptos" w:hAnsi="Aptos"/>
        </w:rPr>
        <w:t xml:space="preserve"> factor and approves this Determination of Need application</w:t>
      </w:r>
      <w:r w:rsidR="00F51F9F">
        <w:rPr>
          <w:rFonts w:ascii="Aptos" w:hAnsi="Aptos"/>
        </w:rPr>
        <w:t xml:space="preserve"> </w:t>
      </w:r>
      <w:r w:rsidRPr="007C10C0">
        <w:rPr>
          <w:rFonts w:ascii="Aptos" w:hAnsi="Aptos"/>
        </w:rPr>
        <w:t>subject to all standard conditions (105 CMR 100.310) and pursuant to 105 CMR 100.360, subject to the Other Conditions listed below.</w:t>
      </w:r>
    </w:p>
    <w:p w14:paraId="6FC95754" w14:textId="77777777" w:rsidR="007C10C0" w:rsidRPr="007C10C0" w:rsidRDefault="007C10C0" w:rsidP="007C10C0">
      <w:pPr>
        <w:pStyle w:val="BodyText"/>
        <w:ind w:left="810" w:right="900"/>
        <w:rPr>
          <w:rFonts w:ascii="Aptos" w:hAnsi="Aptos"/>
        </w:rPr>
      </w:pPr>
    </w:p>
    <w:p w14:paraId="1A283145" w14:textId="77777777" w:rsidR="007C10C0" w:rsidRPr="007C10C0" w:rsidRDefault="007C10C0" w:rsidP="007C10C0">
      <w:pPr>
        <w:pStyle w:val="BodyText"/>
        <w:ind w:left="810" w:right="900"/>
        <w:rPr>
          <w:rFonts w:ascii="Aptos" w:hAnsi="Aptos"/>
        </w:rPr>
      </w:pPr>
      <w:r w:rsidRPr="007C10C0">
        <w:rPr>
          <w:rFonts w:ascii="Aptos" w:hAnsi="Aptos"/>
        </w:rPr>
        <w:t xml:space="preserve">In compliance with the provisions of 105 CMR 100.310(A)(2) and (11), the Holder shall submit an acknowledgment of receipt to the Department (attached) and include a written attestation of participation or </w:t>
      </w:r>
      <w:proofErr w:type="gramStart"/>
      <w:r w:rsidRPr="007C10C0">
        <w:rPr>
          <w:rFonts w:ascii="Aptos" w:hAnsi="Aptos"/>
        </w:rPr>
        <w:t>intent</w:t>
      </w:r>
      <w:proofErr w:type="gramEnd"/>
      <w:r w:rsidRPr="007C10C0">
        <w:rPr>
          <w:rFonts w:ascii="Aptos" w:hAnsi="Aptos"/>
        </w:rPr>
        <w:t xml:space="preserve"> to participate in MassHealth.</w:t>
      </w:r>
    </w:p>
    <w:p w14:paraId="12F6F25F" w14:textId="77777777" w:rsidR="007C10C0" w:rsidRPr="007C10C0" w:rsidRDefault="007C10C0" w:rsidP="007C10C0">
      <w:pPr>
        <w:pStyle w:val="BodyText"/>
        <w:ind w:left="810" w:right="900"/>
        <w:rPr>
          <w:rFonts w:ascii="Aptos" w:hAnsi="Aptos"/>
        </w:rPr>
      </w:pPr>
    </w:p>
    <w:p w14:paraId="26BCD2DF" w14:textId="77777777" w:rsidR="007C10C0" w:rsidRPr="007C10C0" w:rsidRDefault="007C10C0" w:rsidP="007C10C0">
      <w:pPr>
        <w:pStyle w:val="BodyText"/>
        <w:ind w:left="810" w:right="900"/>
        <w:rPr>
          <w:rFonts w:ascii="Aptos" w:hAnsi="Aptos"/>
        </w:rPr>
      </w:pPr>
      <w:r w:rsidRPr="007C10C0">
        <w:rPr>
          <w:rFonts w:ascii="Aptos" w:hAnsi="Aptos"/>
        </w:rPr>
        <w:t xml:space="preserve">In compliance with 105 CMR 100.310(A)(12), which requires a report to the Department, at a minimum on an annual basis, including the measures related to achievement of the </w:t>
      </w:r>
      <w:proofErr w:type="spellStart"/>
      <w:r w:rsidRPr="007C10C0">
        <w:rPr>
          <w:rFonts w:ascii="Aptos" w:hAnsi="Aptos"/>
        </w:rPr>
        <w:t>DoN</w:t>
      </w:r>
      <w:proofErr w:type="spellEnd"/>
      <w:r w:rsidRPr="007C10C0">
        <w:rPr>
          <w:rFonts w:ascii="Aptos" w:hAnsi="Aptos"/>
        </w:rPr>
        <w:t xml:space="preserve"> factors for a period of five years from completion of the Proposed Project, the Holder shall address its assertions with respect to all the factors.</w:t>
      </w:r>
    </w:p>
    <w:p w14:paraId="34F27CDE" w14:textId="77777777" w:rsidR="007C10C0" w:rsidRPr="007C10C0" w:rsidRDefault="007C10C0" w:rsidP="007C10C0">
      <w:pPr>
        <w:pStyle w:val="BodyText"/>
        <w:ind w:left="810" w:right="900"/>
        <w:rPr>
          <w:rFonts w:ascii="Aptos" w:hAnsi="Aptos"/>
        </w:rPr>
      </w:pPr>
    </w:p>
    <w:p w14:paraId="55AD31E8" w14:textId="1F9073B2" w:rsidR="007C10C0" w:rsidRPr="007C10C0" w:rsidRDefault="007C10C0" w:rsidP="007C10C0">
      <w:pPr>
        <w:pStyle w:val="BodyText"/>
        <w:ind w:left="810" w:right="900"/>
        <w:rPr>
          <w:rFonts w:ascii="Aptos" w:hAnsi="Aptos"/>
        </w:rPr>
      </w:pPr>
      <w:r w:rsidRPr="007C10C0">
        <w:rPr>
          <w:rFonts w:ascii="Aptos" w:hAnsi="Aptos"/>
        </w:rPr>
        <w:t xml:space="preserve">Please notify the </w:t>
      </w:r>
      <w:proofErr w:type="spellStart"/>
      <w:r w:rsidRPr="007C10C0">
        <w:rPr>
          <w:rFonts w:ascii="Aptos" w:hAnsi="Aptos"/>
        </w:rPr>
        <w:t>DoN</w:t>
      </w:r>
      <w:proofErr w:type="spellEnd"/>
      <w:r w:rsidRPr="007C10C0">
        <w:rPr>
          <w:rFonts w:ascii="Aptos" w:hAnsi="Aptos"/>
        </w:rPr>
        <w:t xml:space="preserve"> Program at </w:t>
      </w:r>
      <w:hyperlink r:id="rId13" w:history="1">
        <w:r w:rsidR="00F51F9F" w:rsidRPr="0015229F">
          <w:rPr>
            <w:rStyle w:val="Hyperlink"/>
            <w:rFonts w:ascii="Aptos" w:hAnsi="Aptos"/>
          </w:rPr>
          <w:t>DPH.DON@mass.gov</w:t>
        </w:r>
      </w:hyperlink>
      <w:r w:rsidR="00F51F9F">
        <w:rPr>
          <w:rFonts w:ascii="Aptos" w:hAnsi="Aptos"/>
        </w:rPr>
        <w:t xml:space="preserve"> </w:t>
      </w:r>
      <w:r w:rsidRPr="007C10C0">
        <w:rPr>
          <w:rFonts w:ascii="Aptos" w:hAnsi="Aptos"/>
        </w:rPr>
        <w:t xml:space="preserve">of the anticipated completion date of all the components of the </w:t>
      </w:r>
      <w:proofErr w:type="spellStart"/>
      <w:r w:rsidRPr="007C10C0">
        <w:rPr>
          <w:rFonts w:ascii="Aptos" w:hAnsi="Aptos"/>
        </w:rPr>
        <w:t>DoN</w:t>
      </w:r>
      <w:proofErr w:type="spellEnd"/>
      <w:r w:rsidRPr="007C10C0">
        <w:rPr>
          <w:rFonts w:ascii="Aptos" w:hAnsi="Aptos"/>
        </w:rPr>
        <w:t xml:space="preserve">-approved Project once it has been established. Additionally, please send an email confirming the Project's completion (licensure/ amended licensure approval date) and the first day of operations to determine the annual </w:t>
      </w:r>
      <w:proofErr w:type="spellStart"/>
      <w:r w:rsidRPr="007C10C0">
        <w:rPr>
          <w:rFonts w:ascii="Aptos" w:hAnsi="Aptos"/>
        </w:rPr>
        <w:t>DoN</w:t>
      </w:r>
      <w:proofErr w:type="spellEnd"/>
      <w:r w:rsidRPr="007C10C0">
        <w:rPr>
          <w:rFonts w:ascii="Aptos" w:hAnsi="Aptos"/>
        </w:rPr>
        <w:t xml:space="preserve"> reporting timeline.</w:t>
      </w:r>
    </w:p>
    <w:p w14:paraId="70606247" w14:textId="77777777" w:rsidR="007C10C0" w:rsidRPr="007C10C0" w:rsidRDefault="007C10C0" w:rsidP="007C10C0">
      <w:pPr>
        <w:pStyle w:val="BodyText"/>
        <w:ind w:left="810" w:right="900"/>
        <w:rPr>
          <w:rFonts w:ascii="Aptos" w:hAnsi="Aptos"/>
        </w:rPr>
      </w:pPr>
    </w:p>
    <w:p w14:paraId="3CA72532" w14:textId="77777777" w:rsidR="007C10C0" w:rsidRPr="00F51F9F" w:rsidRDefault="007C10C0" w:rsidP="007C10C0">
      <w:pPr>
        <w:pStyle w:val="BodyText"/>
        <w:ind w:left="810" w:right="900"/>
        <w:rPr>
          <w:rFonts w:ascii="Aptos" w:hAnsi="Aptos"/>
          <w:b/>
          <w:bCs/>
        </w:rPr>
      </w:pPr>
      <w:r w:rsidRPr="00F51F9F">
        <w:rPr>
          <w:rFonts w:ascii="Aptos" w:hAnsi="Aptos"/>
          <w:b/>
          <w:bCs/>
        </w:rPr>
        <w:t xml:space="preserve">Other Conditions to the </w:t>
      </w:r>
      <w:proofErr w:type="spellStart"/>
      <w:r w:rsidRPr="00F51F9F">
        <w:rPr>
          <w:rFonts w:ascii="Aptos" w:hAnsi="Aptos"/>
          <w:b/>
          <w:bCs/>
        </w:rPr>
        <w:t>DoN</w:t>
      </w:r>
      <w:proofErr w:type="spellEnd"/>
    </w:p>
    <w:p w14:paraId="734ABC1D" w14:textId="77777777" w:rsidR="007C10C0" w:rsidRPr="007C10C0" w:rsidRDefault="007C10C0" w:rsidP="007C10C0">
      <w:pPr>
        <w:pStyle w:val="BodyText"/>
        <w:ind w:left="810" w:right="900"/>
        <w:rPr>
          <w:rFonts w:ascii="Aptos" w:hAnsi="Aptos"/>
        </w:rPr>
      </w:pPr>
    </w:p>
    <w:p w14:paraId="07A5F33F" w14:textId="77777777" w:rsidR="0019544E" w:rsidRDefault="007C10C0" w:rsidP="0019544E">
      <w:pPr>
        <w:pStyle w:val="BodyText"/>
        <w:numPr>
          <w:ilvl w:val="0"/>
          <w:numId w:val="27"/>
        </w:numPr>
        <w:ind w:right="900"/>
        <w:rPr>
          <w:rFonts w:ascii="Aptos" w:hAnsi="Aptos"/>
        </w:rPr>
      </w:pPr>
      <w:r w:rsidRPr="00F51F9F">
        <w:rPr>
          <w:rFonts w:ascii="Aptos" w:hAnsi="Aptos"/>
          <w:b/>
          <w:bCs/>
        </w:rPr>
        <w:t>Factor 6:</w:t>
      </w:r>
      <w:r w:rsidRPr="007C10C0">
        <w:rPr>
          <w:rFonts w:ascii="Aptos" w:hAnsi="Aptos"/>
        </w:rPr>
        <w:t xml:space="preserve"> CHI Contribution</w:t>
      </w:r>
    </w:p>
    <w:p w14:paraId="72ED9542" w14:textId="77777777" w:rsidR="0019544E" w:rsidRDefault="007C10C0" w:rsidP="0019544E">
      <w:pPr>
        <w:pStyle w:val="BodyText"/>
        <w:numPr>
          <w:ilvl w:val="1"/>
          <w:numId w:val="27"/>
        </w:numPr>
        <w:ind w:right="900"/>
        <w:rPr>
          <w:rFonts w:ascii="Aptos" w:hAnsi="Aptos"/>
        </w:rPr>
      </w:pPr>
      <w:r w:rsidRPr="0019544E">
        <w:rPr>
          <w:rFonts w:ascii="Aptos" w:hAnsi="Aptos"/>
        </w:rPr>
        <w:t>Of the total required CHI contribution of $2,525,031.65</w:t>
      </w:r>
    </w:p>
    <w:p w14:paraId="3BD46A58" w14:textId="77777777" w:rsidR="0019544E" w:rsidRDefault="007C10C0" w:rsidP="0019544E">
      <w:pPr>
        <w:pStyle w:val="BodyText"/>
        <w:numPr>
          <w:ilvl w:val="2"/>
          <w:numId w:val="27"/>
        </w:numPr>
        <w:ind w:right="900"/>
        <w:rPr>
          <w:rFonts w:ascii="Aptos" w:hAnsi="Aptos"/>
        </w:rPr>
      </w:pPr>
      <w:r w:rsidRPr="0019544E">
        <w:rPr>
          <w:rFonts w:ascii="Aptos" w:hAnsi="Aptos"/>
        </w:rPr>
        <w:t>$612,320.17 will be directed to the CHI Statewide Initiative.</w:t>
      </w:r>
    </w:p>
    <w:p w14:paraId="3A36CDD5" w14:textId="77777777" w:rsidR="0019544E" w:rsidRDefault="007C10C0" w:rsidP="0019544E">
      <w:pPr>
        <w:pStyle w:val="BodyText"/>
        <w:numPr>
          <w:ilvl w:val="2"/>
          <w:numId w:val="27"/>
        </w:numPr>
        <w:ind w:right="900"/>
        <w:rPr>
          <w:rFonts w:ascii="Aptos" w:hAnsi="Aptos"/>
        </w:rPr>
      </w:pPr>
      <w:r w:rsidRPr="0019544E">
        <w:rPr>
          <w:rFonts w:ascii="Aptos" w:hAnsi="Aptos"/>
        </w:rPr>
        <w:t xml:space="preserve">$1,836,960.53 will be dedicated to local approaches to the </w:t>
      </w:r>
      <w:proofErr w:type="spellStart"/>
      <w:r w:rsidRPr="0019544E">
        <w:rPr>
          <w:rFonts w:ascii="Aptos" w:hAnsi="Aptos"/>
        </w:rPr>
        <w:t>DoN</w:t>
      </w:r>
      <w:proofErr w:type="spellEnd"/>
      <w:r w:rsidRPr="0019544E">
        <w:rPr>
          <w:rFonts w:ascii="Aptos" w:hAnsi="Aptos"/>
        </w:rPr>
        <w:t xml:space="preserve"> Health</w:t>
      </w:r>
      <w:r w:rsidR="0019544E">
        <w:rPr>
          <w:rFonts w:ascii="Aptos" w:hAnsi="Aptos"/>
        </w:rPr>
        <w:t xml:space="preserve"> </w:t>
      </w:r>
      <w:r w:rsidRPr="0019544E">
        <w:rPr>
          <w:rFonts w:ascii="Aptos" w:hAnsi="Aptos"/>
        </w:rPr>
        <w:t>Priorities.</w:t>
      </w:r>
    </w:p>
    <w:p w14:paraId="35BDAE7F" w14:textId="77777777" w:rsidR="0019544E" w:rsidRDefault="007C10C0" w:rsidP="0019544E">
      <w:pPr>
        <w:pStyle w:val="BodyText"/>
        <w:numPr>
          <w:ilvl w:val="2"/>
          <w:numId w:val="27"/>
        </w:numPr>
        <w:ind w:right="900"/>
        <w:rPr>
          <w:rFonts w:ascii="Aptos" w:hAnsi="Aptos"/>
        </w:rPr>
      </w:pPr>
      <w:r w:rsidRPr="0019544E">
        <w:rPr>
          <w:rFonts w:ascii="Aptos" w:hAnsi="Aptos"/>
        </w:rPr>
        <w:t>$75,750.95 will be designated as the administrative fee.</w:t>
      </w:r>
    </w:p>
    <w:p w14:paraId="3DBECCEF" w14:textId="77777777" w:rsidR="0019544E" w:rsidRDefault="0019544E" w:rsidP="0019544E">
      <w:pPr>
        <w:pStyle w:val="BodyText"/>
        <w:ind w:left="2250" w:right="900"/>
        <w:rPr>
          <w:rFonts w:ascii="Aptos" w:hAnsi="Aptos"/>
        </w:rPr>
      </w:pPr>
    </w:p>
    <w:p w14:paraId="139D3076" w14:textId="5EF754D4" w:rsidR="007C10C0" w:rsidRPr="00A2666A" w:rsidRDefault="007C10C0" w:rsidP="00A2666A">
      <w:pPr>
        <w:pStyle w:val="BodyText"/>
        <w:numPr>
          <w:ilvl w:val="1"/>
          <w:numId w:val="27"/>
        </w:numPr>
        <w:ind w:right="900"/>
        <w:rPr>
          <w:rFonts w:ascii="Aptos" w:hAnsi="Aptos"/>
        </w:rPr>
      </w:pPr>
      <w:r w:rsidRPr="0019544E">
        <w:rPr>
          <w:rFonts w:ascii="Aptos" w:hAnsi="Aptos"/>
        </w:rPr>
        <w:t>To comply with the Holder’s obligation to contribute to the CHI Statewide Initiative, the Holder must submit a check for $612,320.17 to Health Resources in Action (the fiscal agent for the CHI Statewide Initiative) within 30 days from the date of the</w:t>
      </w:r>
      <w:r w:rsidR="00A2666A">
        <w:rPr>
          <w:rFonts w:ascii="Aptos" w:hAnsi="Aptos"/>
        </w:rPr>
        <w:t xml:space="preserve"> </w:t>
      </w:r>
      <w:r w:rsidRPr="00A2666A">
        <w:rPr>
          <w:rFonts w:ascii="Aptos" w:hAnsi="Aptos"/>
        </w:rPr>
        <w:t>Notice of Approval.</w:t>
      </w:r>
    </w:p>
    <w:p w14:paraId="44A10F35" w14:textId="77777777" w:rsidR="00B816F0" w:rsidRDefault="007C10C0" w:rsidP="00B816F0">
      <w:pPr>
        <w:pStyle w:val="BodyText"/>
        <w:numPr>
          <w:ilvl w:val="2"/>
          <w:numId w:val="27"/>
        </w:numPr>
        <w:ind w:right="900"/>
        <w:rPr>
          <w:rFonts w:ascii="Aptos" w:hAnsi="Aptos"/>
        </w:rPr>
      </w:pPr>
      <w:r w:rsidRPr="007C10C0">
        <w:rPr>
          <w:rFonts w:ascii="Aptos" w:hAnsi="Aptos"/>
        </w:rPr>
        <w:t>Payments should be made out to:</w:t>
      </w:r>
    </w:p>
    <w:p w14:paraId="01D24135" w14:textId="77777777" w:rsidR="00B816F0" w:rsidRDefault="007C10C0" w:rsidP="00B816F0">
      <w:pPr>
        <w:pStyle w:val="BodyText"/>
        <w:ind w:left="2970" w:right="900"/>
        <w:rPr>
          <w:rFonts w:ascii="Aptos" w:hAnsi="Aptos"/>
        </w:rPr>
      </w:pPr>
      <w:r w:rsidRPr="00B816F0">
        <w:rPr>
          <w:rFonts w:ascii="Aptos" w:hAnsi="Aptos"/>
        </w:rPr>
        <w:t>Health Resources in Action, Inc. (</w:t>
      </w:r>
      <w:proofErr w:type="spellStart"/>
      <w:r w:rsidRPr="00B816F0">
        <w:rPr>
          <w:rFonts w:ascii="Aptos" w:hAnsi="Aptos"/>
        </w:rPr>
        <w:t>HRiA</w:t>
      </w:r>
      <w:proofErr w:type="spellEnd"/>
      <w:r w:rsidRPr="00B816F0">
        <w:rPr>
          <w:rFonts w:ascii="Aptos" w:hAnsi="Aptos"/>
        </w:rPr>
        <w:t xml:space="preserve">) </w:t>
      </w:r>
    </w:p>
    <w:p w14:paraId="5A5B6AD5" w14:textId="77777777" w:rsidR="00B816F0" w:rsidRDefault="007C10C0" w:rsidP="00B816F0">
      <w:pPr>
        <w:pStyle w:val="BodyText"/>
        <w:ind w:left="2970" w:right="900"/>
        <w:rPr>
          <w:rFonts w:ascii="Aptos" w:hAnsi="Aptos"/>
        </w:rPr>
      </w:pPr>
      <w:r w:rsidRPr="00B816F0">
        <w:rPr>
          <w:rFonts w:ascii="Aptos" w:hAnsi="Aptos"/>
        </w:rPr>
        <w:t>2 Boylston Street, 4th Floor</w:t>
      </w:r>
    </w:p>
    <w:p w14:paraId="27B85D53" w14:textId="77777777" w:rsidR="00B816F0" w:rsidRDefault="007C10C0" w:rsidP="00B816F0">
      <w:pPr>
        <w:pStyle w:val="BodyText"/>
        <w:ind w:left="2970" w:right="900"/>
        <w:rPr>
          <w:rFonts w:ascii="Aptos" w:hAnsi="Aptos"/>
        </w:rPr>
      </w:pPr>
      <w:r w:rsidRPr="007C10C0">
        <w:rPr>
          <w:rFonts w:ascii="Aptos" w:hAnsi="Aptos"/>
        </w:rPr>
        <w:t xml:space="preserve">Boston, MA 02116 Attn: MACHHAF c/o Bora Toro </w:t>
      </w:r>
    </w:p>
    <w:p w14:paraId="7FC94465" w14:textId="77777777" w:rsidR="00B816F0" w:rsidRDefault="007C10C0" w:rsidP="00B816F0">
      <w:pPr>
        <w:pStyle w:val="BodyText"/>
        <w:ind w:left="2970" w:right="900"/>
        <w:rPr>
          <w:rFonts w:ascii="Aptos" w:hAnsi="Aptos"/>
        </w:rPr>
      </w:pPr>
      <w:proofErr w:type="spellStart"/>
      <w:r w:rsidRPr="007C10C0">
        <w:rPr>
          <w:rFonts w:ascii="Aptos" w:hAnsi="Aptos"/>
        </w:rPr>
        <w:t>DoN</w:t>
      </w:r>
      <w:proofErr w:type="spellEnd"/>
      <w:r w:rsidRPr="007C10C0">
        <w:rPr>
          <w:rFonts w:ascii="Aptos" w:hAnsi="Aptos"/>
        </w:rPr>
        <w:t xml:space="preserve"> </w:t>
      </w:r>
      <w:proofErr w:type="gramStart"/>
      <w:r w:rsidRPr="007C10C0">
        <w:rPr>
          <w:rFonts w:ascii="Aptos" w:hAnsi="Aptos"/>
        </w:rPr>
        <w:t>project: #</w:t>
      </w:r>
      <w:proofErr w:type="gramEnd"/>
      <w:r w:rsidRPr="007C10C0">
        <w:rPr>
          <w:rFonts w:ascii="Aptos" w:hAnsi="Aptos"/>
        </w:rPr>
        <w:t xml:space="preserve"> DFCI-25090516-RS</w:t>
      </w:r>
    </w:p>
    <w:p w14:paraId="6A1A1D20" w14:textId="77777777" w:rsidR="001A0448" w:rsidRDefault="001A0448" w:rsidP="00B816F0">
      <w:pPr>
        <w:pStyle w:val="BodyText"/>
        <w:ind w:left="2970" w:right="900"/>
        <w:rPr>
          <w:rFonts w:ascii="Aptos" w:hAnsi="Aptos"/>
        </w:rPr>
      </w:pPr>
    </w:p>
    <w:p w14:paraId="21CBE761" w14:textId="524D55AB" w:rsidR="007C10C0" w:rsidRPr="001A0448" w:rsidRDefault="007C10C0" w:rsidP="001A0448">
      <w:pPr>
        <w:pStyle w:val="BodyText"/>
        <w:numPr>
          <w:ilvl w:val="2"/>
          <w:numId w:val="27"/>
        </w:numPr>
        <w:ind w:right="900"/>
        <w:rPr>
          <w:rFonts w:ascii="Aptos" w:hAnsi="Aptos"/>
        </w:rPr>
      </w:pPr>
      <w:r w:rsidRPr="007C10C0">
        <w:rPr>
          <w:rFonts w:ascii="Aptos" w:hAnsi="Aptos"/>
        </w:rPr>
        <w:t>Please send a PDF image of the check or confirmation of</w:t>
      </w:r>
      <w:r w:rsidR="001A0448">
        <w:rPr>
          <w:rFonts w:ascii="Aptos" w:hAnsi="Aptos"/>
        </w:rPr>
        <w:t xml:space="preserve"> </w:t>
      </w:r>
      <w:r w:rsidRPr="001A0448">
        <w:rPr>
          <w:rFonts w:ascii="Aptos" w:hAnsi="Aptos"/>
        </w:rPr>
        <w:t xml:space="preserve">payment to </w:t>
      </w:r>
      <w:hyperlink r:id="rId14" w:history="1">
        <w:r w:rsidR="001A0448" w:rsidRPr="0015229F">
          <w:rPr>
            <w:rStyle w:val="Hyperlink"/>
            <w:rFonts w:ascii="Aptos" w:hAnsi="Aptos"/>
          </w:rPr>
          <w:t>DONCHI@Mass.gov</w:t>
        </w:r>
      </w:hyperlink>
      <w:r w:rsidR="001A0448">
        <w:rPr>
          <w:rFonts w:ascii="Aptos" w:hAnsi="Aptos"/>
        </w:rPr>
        <w:t xml:space="preserve"> </w:t>
      </w:r>
      <w:r w:rsidRPr="001A0448">
        <w:rPr>
          <w:rFonts w:ascii="Aptos" w:hAnsi="Aptos"/>
        </w:rPr>
        <w:t xml:space="preserve">and </w:t>
      </w:r>
      <w:hyperlink r:id="rId15" w:history="1">
        <w:r w:rsidR="001A0448" w:rsidRPr="0015229F">
          <w:rPr>
            <w:rStyle w:val="Hyperlink"/>
            <w:rFonts w:ascii="Aptos" w:hAnsi="Aptos"/>
          </w:rPr>
          <w:t>dongrants@hria.org</w:t>
        </w:r>
      </w:hyperlink>
      <w:r w:rsidR="001A0448">
        <w:rPr>
          <w:rFonts w:ascii="Aptos" w:hAnsi="Aptos"/>
        </w:rPr>
        <w:t xml:space="preserve"> </w:t>
      </w:r>
      <w:r w:rsidRPr="001A0448">
        <w:rPr>
          <w:rFonts w:ascii="Aptos" w:hAnsi="Aptos"/>
        </w:rPr>
        <w:t xml:space="preserve">. If you should have any </w:t>
      </w:r>
      <w:r w:rsidRPr="001A0448">
        <w:rPr>
          <w:rFonts w:ascii="Aptos" w:hAnsi="Aptos"/>
        </w:rPr>
        <w:lastRenderedPageBreak/>
        <w:t xml:space="preserve">questions or concerns regarding the payment, please contact the CHI team at </w:t>
      </w:r>
      <w:hyperlink r:id="rId16" w:history="1">
        <w:r w:rsidR="00C152E1" w:rsidRPr="0015229F">
          <w:rPr>
            <w:rStyle w:val="Hyperlink"/>
            <w:rFonts w:ascii="Aptos" w:hAnsi="Aptos"/>
          </w:rPr>
          <w:t>DONCHI@Mass.gov</w:t>
        </w:r>
      </w:hyperlink>
      <w:r w:rsidR="00C152E1">
        <w:rPr>
          <w:rFonts w:ascii="Aptos" w:hAnsi="Aptos"/>
        </w:rPr>
        <w:t xml:space="preserve"> </w:t>
      </w:r>
      <w:r w:rsidRPr="001A0448">
        <w:rPr>
          <w:rFonts w:ascii="Aptos" w:hAnsi="Aptos"/>
        </w:rPr>
        <w:t>.</w:t>
      </w:r>
    </w:p>
    <w:p w14:paraId="26782877" w14:textId="77777777" w:rsidR="007C10C0" w:rsidRPr="007C10C0" w:rsidRDefault="007C10C0" w:rsidP="007C10C0">
      <w:pPr>
        <w:pStyle w:val="BodyText"/>
        <w:ind w:left="810" w:right="900"/>
        <w:rPr>
          <w:rFonts w:ascii="Aptos" w:hAnsi="Aptos"/>
        </w:rPr>
      </w:pPr>
    </w:p>
    <w:p w14:paraId="679303DE" w14:textId="77777777" w:rsidR="00C152E1" w:rsidRDefault="007C10C0" w:rsidP="00C152E1">
      <w:pPr>
        <w:pStyle w:val="BodyText"/>
        <w:numPr>
          <w:ilvl w:val="0"/>
          <w:numId w:val="27"/>
        </w:numPr>
        <w:ind w:right="900"/>
        <w:rPr>
          <w:rFonts w:ascii="Aptos" w:hAnsi="Aptos"/>
        </w:rPr>
      </w:pPr>
      <w:r w:rsidRPr="00C152E1">
        <w:rPr>
          <w:rFonts w:ascii="Aptos" w:hAnsi="Aptos"/>
          <w:b/>
          <w:bCs/>
        </w:rPr>
        <w:t>Factor 1(a):</w:t>
      </w:r>
      <w:r w:rsidRPr="007C10C0">
        <w:rPr>
          <w:rFonts w:ascii="Aptos" w:hAnsi="Aptos"/>
        </w:rPr>
        <w:t xml:space="preserve"> The Holder shall track and report the following:</w:t>
      </w:r>
    </w:p>
    <w:p w14:paraId="0E0EC7D0" w14:textId="77777777" w:rsidR="00C152E1" w:rsidRDefault="007C10C0" w:rsidP="00C152E1">
      <w:pPr>
        <w:pStyle w:val="BodyText"/>
        <w:numPr>
          <w:ilvl w:val="1"/>
          <w:numId w:val="27"/>
        </w:numPr>
        <w:ind w:right="900"/>
        <w:rPr>
          <w:rFonts w:ascii="Aptos" w:hAnsi="Aptos"/>
        </w:rPr>
      </w:pPr>
      <w:r w:rsidRPr="00C152E1">
        <w:rPr>
          <w:rFonts w:ascii="Aptos" w:hAnsi="Aptos"/>
        </w:rPr>
        <w:t>Total number of patients who meet the Medical Necessity Criteria for PBT service pursuant to the CMS Local Coverage Determination Letter L35075 and related Billing and Coding Articles or any successor CMS Coverage Guidance; and</w:t>
      </w:r>
    </w:p>
    <w:p w14:paraId="1D0FC5CB" w14:textId="5DF4A946" w:rsidR="007C10C0" w:rsidRPr="00C152E1" w:rsidRDefault="007C10C0" w:rsidP="00C152E1">
      <w:pPr>
        <w:pStyle w:val="BodyText"/>
        <w:numPr>
          <w:ilvl w:val="1"/>
          <w:numId w:val="27"/>
        </w:numPr>
        <w:ind w:right="900"/>
        <w:rPr>
          <w:rFonts w:ascii="Aptos" w:hAnsi="Aptos"/>
        </w:rPr>
      </w:pPr>
      <w:r w:rsidRPr="00C152E1">
        <w:rPr>
          <w:rFonts w:ascii="Aptos" w:hAnsi="Aptos"/>
        </w:rPr>
        <w:t xml:space="preserve">Treatments by ICD- 10 codes including staging </w:t>
      </w:r>
      <w:proofErr w:type="gramStart"/>
      <w:r w:rsidRPr="00C152E1">
        <w:rPr>
          <w:rFonts w:ascii="Aptos" w:hAnsi="Aptos"/>
        </w:rPr>
        <w:t>and also</w:t>
      </w:r>
      <w:proofErr w:type="gramEnd"/>
      <w:r w:rsidRPr="00C152E1">
        <w:rPr>
          <w:rFonts w:ascii="Aptos" w:hAnsi="Aptos"/>
        </w:rPr>
        <w:t>, differentiating the patients needing re-irradiation where cumulative critical structure dose exceeds tolerance dose.</w:t>
      </w:r>
    </w:p>
    <w:p w14:paraId="0123BA7E" w14:textId="77777777" w:rsidR="007C10C0" w:rsidRPr="007C10C0" w:rsidRDefault="007C10C0" w:rsidP="007C10C0">
      <w:pPr>
        <w:pStyle w:val="BodyText"/>
        <w:ind w:left="810" w:right="900"/>
        <w:rPr>
          <w:rFonts w:ascii="Aptos" w:hAnsi="Aptos"/>
        </w:rPr>
      </w:pPr>
    </w:p>
    <w:p w14:paraId="52B61AA9" w14:textId="77777777" w:rsidR="007C10C0" w:rsidRPr="007C10C0" w:rsidRDefault="007C10C0" w:rsidP="00970C7B">
      <w:pPr>
        <w:pStyle w:val="BodyText"/>
        <w:ind w:left="1530" w:right="900"/>
        <w:rPr>
          <w:rFonts w:ascii="Aptos" w:hAnsi="Aptos"/>
        </w:rPr>
      </w:pPr>
      <w:r w:rsidRPr="007C10C0">
        <w:rPr>
          <w:rFonts w:ascii="Aptos" w:hAnsi="Aptos"/>
        </w:rPr>
        <w:t xml:space="preserve">For 2a-2b, the Holder will provide data for all PBT </w:t>
      </w:r>
      <w:proofErr w:type="gramStart"/>
      <w:r w:rsidRPr="007C10C0">
        <w:rPr>
          <w:rFonts w:ascii="Aptos" w:hAnsi="Aptos"/>
        </w:rPr>
        <w:t>patients, and</w:t>
      </w:r>
      <w:proofErr w:type="gramEnd"/>
      <w:r w:rsidRPr="007C10C0">
        <w:rPr>
          <w:rFonts w:ascii="Aptos" w:hAnsi="Aptos"/>
        </w:rPr>
        <w:t xml:space="preserve"> will provide data for adult and pediatric patients separately.</w:t>
      </w:r>
    </w:p>
    <w:p w14:paraId="2F29A9A7" w14:textId="77777777" w:rsidR="007C10C0" w:rsidRPr="007C10C0" w:rsidRDefault="007C10C0" w:rsidP="007C10C0">
      <w:pPr>
        <w:pStyle w:val="BodyText"/>
        <w:ind w:left="810" w:right="900"/>
        <w:rPr>
          <w:rFonts w:ascii="Aptos" w:hAnsi="Aptos"/>
        </w:rPr>
      </w:pPr>
    </w:p>
    <w:p w14:paraId="262886F5" w14:textId="77777777" w:rsidR="00783A1E" w:rsidRDefault="007C10C0" w:rsidP="00783A1E">
      <w:pPr>
        <w:pStyle w:val="BodyText"/>
        <w:numPr>
          <w:ilvl w:val="0"/>
          <w:numId w:val="27"/>
        </w:numPr>
        <w:ind w:right="900"/>
        <w:rPr>
          <w:rFonts w:ascii="Aptos" w:hAnsi="Aptos"/>
        </w:rPr>
      </w:pPr>
      <w:r w:rsidRPr="00783A1E">
        <w:rPr>
          <w:rFonts w:ascii="Aptos" w:hAnsi="Aptos"/>
          <w:b/>
          <w:bCs/>
        </w:rPr>
        <w:t>Factor 1(b):</w:t>
      </w:r>
      <w:r w:rsidRPr="007C10C0">
        <w:rPr>
          <w:rFonts w:ascii="Aptos" w:hAnsi="Aptos"/>
        </w:rPr>
        <w:t xml:space="preserve"> To demonstrate that the Holder is advancing equitable access to PBT services, the Holder will report annually on the following:</w:t>
      </w:r>
    </w:p>
    <w:p w14:paraId="55191460" w14:textId="77777777" w:rsidR="00783A1E" w:rsidRDefault="007C10C0" w:rsidP="00783A1E">
      <w:pPr>
        <w:pStyle w:val="BodyText"/>
        <w:numPr>
          <w:ilvl w:val="1"/>
          <w:numId w:val="27"/>
        </w:numPr>
        <w:ind w:right="900"/>
        <w:rPr>
          <w:rFonts w:ascii="Aptos" w:hAnsi="Aptos"/>
        </w:rPr>
      </w:pPr>
      <w:r w:rsidRPr="00783A1E">
        <w:rPr>
          <w:rFonts w:ascii="Aptos" w:hAnsi="Aptos"/>
        </w:rPr>
        <w:t>Age (Birth-21, 22-35, 36-55, 56-64, and 65+), Payer-mix, race, ethnicity, Massachusetts county or state of residence if outside of Massachusetts, and preferred language of the Holder’s Patients Panel receiving PBT;</w:t>
      </w:r>
    </w:p>
    <w:p w14:paraId="33BE5762" w14:textId="77777777" w:rsidR="00783A1E" w:rsidRDefault="007C10C0" w:rsidP="00783A1E">
      <w:pPr>
        <w:pStyle w:val="BodyText"/>
        <w:numPr>
          <w:ilvl w:val="1"/>
          <w:numId w:val="27"/>
        </w:numPr>
        <w:ind w:right="900"/>
        <w:rPr>
          <w:rFonts w:ascii="Aptos" w:hAnsi="Aptos"/>
        </w:rPr>
      </w:pPr>
      <w:r w:rsidRPr="00783A1E">
        <w:rPr>
          <w:rFonts w:ascii="Aptos" w:hAnsi="Aptos"/>
        </w:rPr>
        <w:t>Age (Birth-21, 22-35, 36-55, 56-64, and 65+), Payer-mix, race, ethnicity, Massachusetts county or state of residence if outside of Massachusetts, and preferred language of the Holder’s entire Patient Panel;</w:t>
      </w:r>
    </w:p>
    <w:p w14:paraId="7AAA6A75" w14:textId="77777777" w:rsidR="00FF791B" w:rsidRDefault="007C10C0" w:rsidP="00FF791B">
      <w:pPr>
        <w:pStyle w:val="BodyText"/>
        <w:numPr>
          <w:ilvl w:val="1"/>
          <w:numId w:val="27"/>
        </w:numPr>
        <w:ind w:right="900"/>
        <w:rPr>
          <w:rFonts w:ascii="Aptos" w:hAnsi="Aptos"/>
        </w:rPr>
      </w:pPr>
      <w:r w:rsidRPr="00783A1E">
        <w:rPr>
          <w:rFonts w:ascii="Aptos" w:hAnsi="Aptos"/>
        </w:rPr>
        <w:t>Total percentage of PBT patients denied coverage by payer;</w:t>
      </w:r>
    </w:p>
    <w:p w14:paraId="309AA0DA" w14:textId="77777777" w:rsidR="00FF791B" w:rsidRDefault="007C10C0" w:rsidP="00FF791B">
      <w:pPr>
        <w:pStyle w:val="BodyText"/>
        <w:numPr>
          <w:ilvl w:val="1"/>
          <w:numId w:val="27"/>
        </w:numPr>
        <w:ind w:right="900"/>
        <w:rPr>
          <w:rFonts w:ascii="Aptos" w:hAnsi="Aptos"/>
        </w:rPr>
      </w:pPr>
      <w:r w:rsidRPr="00FF791B">
        <w:rPr>
          <w:rFonts w:ascii="Aptos" w:hAnsi="Aptos"/>
        </w:rPr>
        <w:t xml:space="preserve">Number of the Center’s patients referred </w:t>
      </w:r>
      <w:proofErr w:type="gramStart"/>
      <w:r w:rsidRPr="00FF791B">
        <w:rPr>
          <w:rFonts w:ascii="Aptos" w:hAnsi="Aptos"/>
        </w:rPr>
        <w:t>for</w:t>
      </w:r>
      <w:proofErr w:type="gramEnd"/>
      <w:r w:rsidRPr="00FF791B">
        <w:rPr>
          <w:rFonts w:ascii="Aptos" w:hAnsi="Aptos"/>
        </w:rPr>
        <w:t xml:space="preserve"> the Applicant’s sliding-scale payment and financial assistance program; and</w:t>
      </w:r>
    </w:p>
    <w:p w14:paraId="2D65615B" w14:textId="7A79E031" w:rsidR="007C10C0" w:rsidRPr="00FF791B" w:rsidRDefault="007C10C0" w:rsidP="00FF791B">
      <w:pPr>
        <w:pStyle w:val="BodyText"/>
        <w:numPr>
          <w:ilvl w:val="1"/>
          <w:numId w:val="27"/>
        </w:numPr>
        <w:ind w:right="900"/>
        <w:rPr>
          <w:rFonts w:ascii="Aptos" w:hAnsi="Aptos"/>
        </w:rPr>
      </w:pPr>
      <w:r w:rsidRPr="00FF791B">
        <w:rPr>
          <w:rFonts w:ascii="Aptos" w:hAnsi="Aptos"/>
        </w:rPr>
        <w:t>Identified barriers to accessing the Center as well as any evidence-based interventions the Holder implements to address those barriers.</w:t>
      </w:r>
    </w:p>
    <w:p w14:paraId="2554A4D8" w14:textId="77777777" w:rsidR="007C10C0" w:rsidRPr="007C10C0" w:rsidRDefault="007C10C0" w:rsidP="007C10C0">
      <w:pPr>
        <w:pStyle w:val="BodyText"/>
        <w:ind w:left="810" w:right="900"/>
        <w:rPr>
          <w:rFonts w:ascii="Aptos" w:hAnsi="Aptos"/>
        </w:rPr>
      </w:pPr>
    </w:p>
    <w:p w14:paraId="3B44C291" w14:textId="77777777" w:rsidR="007C10C0" w:rsidRPr="007C10C0" w:rsidRDefault="007C10C0" w:rsidP="00970C7B">
      <w:pPr>
        <w:pStyle w:val="BodyText"/>
        <w:ind w:left="1530" w:right="900"/>
        <w:rPr>
          <w:rFonts w:ascii="Aptos" w:hAnsi="Aptos"/>
        </w:rPr>
      </w:pPr>
      <w:r w:rsidRPr="007C10C0">
        <w:rPr>
          <w:rFonts w:ascii="Aptos" w:hAnsi="Aptos"/>
        </w:rPr>
        <w:t>For 3a-3d, the Holder will provide data for all patients and will provide data for adult and pediatric patients separately</w:t>
      </w:r>
    </w:p>
    <w:p w14:paraId="57E9152F" w14:textId="77777777" w:rsidR="007C10C0" w:rsidRPr="007C10C0" w:rsidRDefault="007C10C0" w:rsidP="00970C7B">
      <w:pPr>
        <w:pStyle w:val="BodyText"/>
        <w:ind w:left="1530" w:right="900"/>
        <w:rPr>
          <w:rFonts w:ascii="Aptos" w:hAnsi="Aptos"/>
        </w:rPr>
      </w:pPr>
    </w:p>
    <w:p w14:paraId="23DE841E" w14:textId="77777777" w:rsidR="007C10C0" w:rsidRPr="007C10C0" w:rsidRDefault="007C10C0" w:rsidP="00970C7B">
      <w:pPr>
        <w:pStyle w:val="BodyText"/>
        <w:ind w:left="1530" w:right="900"/>
        <w:rPr>
          <w:rFonts w:ascii="Aptos" w:hAnsi="Aptos"/>
        </w:rPr>
      </w:pPr>
      <w:r w:rsidRPr="007C10C0">
        <w:rPr>
          <w:rFonts w:ascii="Aptos" w:hAnsi="Aptos"/>
        </w:rPr>
        <w:t>If the Department determines the Holder’s payer-mix for the PBT service is materially different from the overall DFCI payer-mix overall, the Holder shall provide the Department with an explanation of such differences to allow the Department to determine whether the differences are the result of determinations outside the control of the Holder. If the Department determines the payer-mix differences are not due to forces outside the Holder’s control, the Holder shall develop a plan as agreed to with the Department to address such payer-mix disparities.</w:t>
      </w:r>
    </w:p>
    <w:p w14:paraId="2A7F36C9" w14:textId="77777777" w:rsidR="007C10C0" w:rsidRPr="007C10C0" w:rsidRDefault="007C10C0" w:rsidP="007C10C0">
      <w:pPr>
        <w:pStyle w:val="BodyText"/>
        <w:ind w:left="810" w:right="900"/>
        <w:rPr>
          <w:rFonts w:ascii="Aptos" w:hAnsi="Aptos"/>
        </w:rPr>
      </w:pPr>
    </w:p>
    <w:p w14:paraId="07D63BB7" w14:textId="77777777" w:rsidR="0048526E" w:rsidRDefault="007C10C0" w:rsidP="0048526E">
      <w:pPr>
        <w:pStyle w:val="BodyText"/>
        <w:numPr>
          <w:ilvl w:val="0"/>
          <w:numId w:val="27"/>
        </w:numPr>
        <w:ind w:right="900"/>
        <w:rPr>
          <w:rFonts w:ascii="Aptos" w:hAnsi="Aptos"/>
        </w:rPr>
      </w:pPr>
      <w:r w:rsidRPr="00970C7B">
        <w:rPr>
          <w:rFonts w:ascii="Aptos" w:hAnsi="Aptos"/>
          <w:b/>
          <w:bCs/>
        </w:rPr>
        <w:t xml:space="preserve">Factor 1(f) and Factor 2: Cost Containment: </w:t>
      </w:r>
      <w:r w:rsidRPr="007C10C0">
        <w:rPr>
          <w:rFonts w:ascii="Aptos" w:hAnsi="Aptos"/>
        </w:rPr>
        <w:t xml:space="preserve">To ensure that the Proposed Project competes on the basis of price, the Department will establish a baseline commercial rate of reimbursement for PBT services (the “Baseline”) pursuant to a methodology </w:t>
      </w:r>
      <w:r w:rsidRPr="007C10C0">
        <w:rPr>
          <w:rFonts w:ascii="Aptos" w:hAnsi="Aptos"/>
        </w:rPr>
        <w:lastRenderedPageBreak/>
        <w:t xml:space="preserve">selected in consultation with the Holder, with the intent to ensure that the Holder’s commercial reimbursement rates for PBT services do not exceed the then-highest commercial reimbursement rates in the Commonwealth. The Holder shall ensure that its initial weighted average commercial rates of reimbursement rates for PBT services at the Center do not exceed </w:t>
      </w:r>
      <w:proofErr w:type="gramStart"/>
      <w:r w:rsidRPr="007C10C0">
        <w:rPr>
          <w:rFonts w:ascii="Aptos" w:hAnsi="Aptos"/>
        </w:rPr>
        <w:t>the Baseline</w:t>
      </w:r>
      <w:proofErr w:type="gramEnd"/>
      <w:r w:rsidRPr="007C10C0">
        <w:rPr>
          <w:rFonts w:ascii="Aptos" w:hAnsi="Aptos"/>
        </w:rPr>
        <w:t>. For each subsequent year during the Reporting Period, the Holder shall ensure that its year-over-year percentage increase in weighted average commercial reimbursement for PBT services at the Center will not exceed 2.599%.</w:t>
      </w:r>
      <w:r w:rsidR="003D0825">
        <w:rPr>
          <w:rStyle w:val="FootnoteReference"/>
          <w:rFonts w:ascii="Aptos" w:hAnsi="Aptos"/>
        </w:rPr>
        <w:footnoteReference w:id="1"/>
      </w:r>
    </w:p>
    <w:p w14:paraId="4341BD41" w14:textId="77777777" w:rsidR="0048526E" w:rsidRDefault="0048526E" w:rsidP="0048526E">
      <w:pPr>
        <w:pStyle w:val="BodyText"/>
        <w:ind w:left="1530" w:right="900"/>
        <w:rPr>
          <w:rFonts w:ascii="Aptos" w:hAnsi="Aptos"/>
          <w:b/>
          <w:bCs/>
        </w:rPr>
      </w:pPr>
    </w:p>
    <w:p w14:paraId="492E63D6" w14:textId="40BD8FC8" w:rsidR="007C10C0" w:rsidRPr="0048526E" w:rsidRDefault="007C10C0" w:rsidP="0048526E">
      <w:pPr>
        <w:pStyle w:val="BodyText"/>
        <w:ind w:left="1530" w:right="900"/>
        <w:rPr>
          <w:rFonts w:ascii="Aptos" w:hAnsi="Aptos"/>
        </w:rPr>
      </w:pPr>
      <w:r w:rsidRPr="0048526E">
        <w:rPr>
          <w:rFonts w:ascii="Aptos" w:hAnsi="Aptos"/>
        </w:rPr>
        <w:t xml:space="preserve">The </w:t>
      </w:r>
      <w:proofErr w:type="spellStart"/>
      <w:r w:rsidRPr="0048526E">
        <w:rPr>
          <w:rFonts w:ascii="Aptos" w:hAnsi="Aptos"/>
        </w:rPr>
        <w:t>DoN</w:t>
      </w:r>
      <w:proofErr w:type="spellEnd"/>
      <w:r w:rsidRPr="0048526E">
        <w:rPr>
          <w:rFonts w:ascii="Aptos" w:hAnsi="Aptos"/>
        </w:rPr>
        <w:t xml:space="preserve"> Program shall review the information received from DFCI in accordance with Condition 4 to determine whether one or more of the following “Referral Indicators” is present:</w:t>
      </w:r>
    </w:p>
    <w:p w14:paraId="13B8EBBA" w14:textId="77777777" w:rsidR="007C10C0" w:rsidRPr="007C10C0" w:rsidRDefault="007C10C0" w:rsidP="007C10C0">
      <w:pPr>
        <w:pStyle w:val="BodyText"/>
        <w:ind w:left="810" w:right="900"/>
        <w:rPr>
          <w:rFonts w:ascii="Aptos" w:hAnsi="Aptos"/>
        </w:rPr>
      </w:pPr>
    </w:p>
    <w:p w14:paraId="4BEC5D94" w14:textId="77777777" w:rsidR="00FA616B" w:rsidRDefault="007C10C0" w:rsidP="008D630C">
      <w:pPr>
        <w:pStyle w:val="BodyText"/>
        <w:numPr>
          <w:ilvl w:val="1"/>
          <w:numId w:val="38"/>
        </w:numPr>
        <w:ind w:right="900"/>
        <w:rPr>
          <w:rFonts w:ascii="Aptos" w:hAnsi="Aptos"/>
        </w:rPr>
      </w:pPr>
      <w:r w:rsidRPr="007C10C0">
        <w:rPr>
          <w:rFonts w:ascii="Aptos" w:hAnsi="Aptos"/>
        </w:rPr>
        <w:t>In the initial year PBT is provided, the Holder’s weighted average commercial</w:t>
      </w:r>
      <w:r w:rsidR="007D60B1">
        <w:rPr>
          <w:rFonts w:ascii="Aptos" w:hAnsi="Aptos"/>
        </w:rPr>
        <w:t xml:space="preserve"> </w:t>
      </w:r>
      <w:r w:rsidRPr="007D60B1">
        <w:rPr>
          <w:rFonts w:ascii="Aptos" w:hAnsi="Aptos"/>
        </w:rPr>
        <w:t>reimbursement rates for PBT services at the Center exceeded the Baseline; or</w:t>
      </w:r>
    </w:p>
    <w:p w14:paraId="78FB493F" w14:textId="7D3095B6" w:rsidR="007C10C0" w:rsidRPr="00FA616B" w:rsidRDefault="007C10C0" w:rsidP="008D630C">
      <w:pPr>
        <w:pStyle w:val="BodyText"/>
        <w:numPr>
          <w:ilvl w:val="1"/>
          <w:numId w:val="38"/>
        </w:numPr>
        <w:ind w:right="900"/>
        <w:rPr>
          <w:rFonts w:ascii="Aptos" w:hAnsi="Aptos"/>
        </w:rPr>
      </w:pPr>
      <w:r w:rsidRPr="00FA616B">
        <w:rPr>
          <w:rFonts w:ascii="Aptos" w:hAnsi="Aptos"/>
        </w:rPr>
        <w:t>In any subsequent year, the Holder’s year-over-year increase in weighted average commercial reimbursement rates exceeded 2.599%.</w:t>
      </w:r>
    </w:p>
    <w:p w14:paraId="5B35E05C" w14:textId="77777777" w:rsidR="007C10C0" w:rsidRPr="007C10C0" w:rsidRDefault="007C10C0" w:rsidP="007C10C0">
      <w:pPr>
        <w:pStyle w:val="BodyText"/>
        <w:ind w:left="810" w:right="900"/>
        <w:rPr>
          <w:rFonts w:ascii="Aptos" w:hAnsi="Aptos"/>
        </w:rPr>
      </w:pPr>
    </w:p>
    <w:p w14:paraId="3CED079B" w14:textId="77777777" w:rsidR="007C10C0" w:rsidRPr="007C10C0" w:rsidRDefault="007C10C0" w:rsidP="0048526E">
      <w:pPr>
        <w:pStyle w:val="BodyText"/>
        <w:ind w:left="1530" w:right="900"/>
        <w:rPr>
          <w:rFonts w:ascii="Aptos" w:hAnsi="Aptos"/>
        </w:rPr>
      </w:pPr>
      <w:r w:rsidRPr="007C10C0">
        <w:rPr>
          <w:rFonts w:ascii="Aptos" w:hAnsi="Aptos"/>
        </w:rPr>
        <w:t xml:space="preserve">If the </w:t>
      </w:r>
      <w:proofErr w:type="spellStart"/>
      <w:r w:rsidRPr="007C10C0">
        <w:rPr>
          <w:rFonts w:ascii="Aptos" w:hAnsi="Aptos"/>
        </w:rPr>
        <w:t>DoN</w:t>
      </w:r>
      <w:proofErr w:type="spellEnd"/>
      <w:r w:rsidRPr="007C10C0">
        <w:rPr>
          <w:rFonts w:ascii="Aptos" w:hAnsi="Aptos"/>
        </w:rPr>
        <w:t xml:space="preserve"> Program finds one or more of the Referral Indicators, the matter shall be referred to the Public Health Council (PHC) for review. Upon referral to the PHC, the Holder shall have an opportunity to </w:t>
      </w:r>
      <w:proofErr w:type="gramStart"/>
      <w:r w:rsidRPr="007C10C0">
        <w:rPr>
          <w:rFonts w:ascii="Aptos" w:hAnsi="Aptos"/>
        </w:rPr>
        <w:t>show cause</w:t>
      </w:r>
      <w:proofErr w:type="gramEnd"/>
      <w:r w:rsidRPr="007C10C0">
        <w:rPr>
          <w:rFonts w:ascii="Aptos" w:hAnsi="Aptos"/>
        </w:rPr>
        <w:t xml:space="preserve"> why the PHC should not find the Holder out of compliance with this Condition.</w:t>
      </w:r>
    </w:p>
    <w:p w14:paraId="6C49AB82" w14:textId="77777777" w:rsidR="007C10C0" w:rsidRPr="007C10C0" w:rsidRDefault="007C10C0" w:rsidP="0048526E">
      <w:pPr>
        <w:pStyle w:val="BodyText"/>
        <w:ind w:left="1530" w:right="900"/>
        <w:rPr>
          <w:rFonts w:ascii="Aptos" w:hAnsi="Aptos"/>
        </w:rPr>
      </w:pPr>
    </w:p>
    <w:p w14:paraId="61459123" w14:textId="77777777" w:rsidR="007C10C0" w:rsidRPr="007C10C0" w:rsidRDefault="007C10C0" w:rsidP="0048526E">
      <w:pPr>
        <w:pStyle w:val="BodyText"/>
        <w:ind w:left="1530" w:right="900"/>
        <w:rPr>
          <w:rFonts w:ascii="Aptos" w:hAnsi="Aptos"/>
        </w:rPr>
      </w:pPr>
      <w:r w:rsidRPr="007C10C0">
        <w:rPr>
          <w:rFonts w:ascii="Aptos" w:hAnsi="Aptos"/>
        </w:rPr>
        <w:t xml:space="preserve">Pursuant to 100.310(A)(13), if the PHC determines that the Holder has failed to sufficiently demonstrate compliance with this Condition, the Holder shall fund projects which address one or more of the Health Priorities set out in Department Guideline, as approved by the Department, which in total, shall equal up to 2.5% of the total Capital Expenditure of the approved project. Said projects shall address one or more of the Health Priorities set out in Department </w:t>
      </w:r>
      <w:proofErr w:type="gramStart"/>
      <w:r w:rsidRPr="007C10C0">
        <w:rPr>
          <w:rFonts w:ascii="Aptos" w:hAnsi="Aptos"/>
        </w:rPr>
        <w:t>Guideline, and</w:t>
      </w:r>
      <w:proofErr w:type="gramEnd"/>
      <w:r w:rsidRPr="007C10C0">
        <w:rPr>
          <w:rFonts w:ascii="Aptos" w:hAnsi="Aptos"/>
        </w:rPr>
        <w:t xml:space="preserve"> shall be in addition to those projects approved by the Department in fulfillment of 105 CMR 100.210(A)(6). The Holder may satisfy this funding requirement through an additional contribution to the CHI statewide Initiative.</w:t>
      </w:r>
    </w:p>
    <w:p w14:paraId="44DDCFBF" w14:textId="77777777" w:rsidR="007C10C0" w:rsidRPr="007C10C0" w:rsidRDefault="007C10C0" w:rsidP="007C10C0">
      <w:pPr>
        <w:pStyle w:val="BodyText"/>
        <w:ind w:left="810" w:right="900"/>
        <w:rPr>
          <w:rFonts w:ascii="Aptos" w:hAnsi="Aptos"/>
        </w:rPr>
      </w:pPr>
    </w:p>
    <w:p w14:paraId="0C7798AC" w14:textId="77777777" w:rsidR="007C10C0" w:rsidRPr="007C10C0" w:rsidRDefault="007C10C0" w:rsidP="0048526E">
      <w:pPr>
        <w:pStyle w:val="BodyText"/>
        <w:numPr>
          <w:ilvl w:val="0"/>
          <w:numId w:val="27"/>
        </w:numPr>
        <w:ind w:right="900"/>
        <w:rPr>
          <w:rFonts w:ascii="Aptos" w:hAnsi="Aptos"/>
        </w:rPr>
      </w:pPr>
      <w:r w:rsidRPr="00FA616B">
        <w:rPr>
          <w:rFonts w:ascii="Aptos" w:hAnsi="Aptos"/>
          <w:b/>
          <w:bCs/>
        </w:rPr>
        <w:t xml:space="preserve">Factor 1(b): </w:t>
      </w:r>
      <w:r w:rsidRPr="007C10C0">
        <w:rPr>
          <w:rFonts w:ascii="Aptos" w:hAnsi="Aptos"/>
        </w:rPr>
        <w:t xml:space="preserve">No later than six months from the date of project approval, the Holder shall submit a plan for review by the Department detailing how to increase the percentage of Medicaid in its payer mix above the Holder's current distribution and support equitable access to PBT services across race, ethnicity, payer mix, and geography. Said plan should establish specific goals to increase both Medicaid in its payer mix, as well as diversity among its Patient Panel utilizing the PBT. The Holder shall provide with its annual report to the </w:t>
      </w:r>
      <w:proofErr w:type="gramStart"/>
      <w:r w:rsidRPr="007C10C0">
        <w:rPr>
          <w:rFonts w:ascii="Aptos" w:hAnsi="Aptos"/>
        </w:rPr>
        <w:t>Department</w:t>
      </w:r>
      <w:proofErr w:type="gramEnd"/>
      <w:r w:rsidRPr="007C10C0">
        <w:rPr>
          <w:rFonts w:ascii="Aptos" w:hAnsi="Aptos"/>
        </w:rPr>
        <w:t xml:space="preserve"> a report on implementation of said plan.</w:t>
      </w:r>
    </w:p>
    <w:p w14:paraId="6328C07F" w14:textId="77777777" w:rsidR="007C10C0" w:rsidRPr="007C10C0" w:rsidRDefault="007C10C0" w:rsidP="007C10C0">
      <w:pPr>
        <w:pStyle w:val="BodyText"/>
        <w:ind w:left="810" w:right="900"/>
        <w:rPr>
          <w:rFonts w:ascii="Aptos" w:hAnsi="Aptos"/>
        </w:rPr>
      </w:pPr>
    </w:p>
    <w:p w14:paraId="621123CF" w14:textId="35B8A173" w:rsidR="007C10C0" w:rsidRPr="007C10C0" w:rsidRDefault="007C10C0" w:rsidP="0048526E">
      <w:pPr>
        <w:pStyle w:val="BodyText"/>
        <w:ind w:left="1440" w:right="900"/>
        <w:rPr>
          <w:rFonts w:ascii="Aptos" w:hAnsi="Aptos"/>
        </w:rPr>
      </w:pPr>
      <w:r w:rsidRPr="007C10C0">
        <w:rPr>
          <w:rFonts w:ascii="Aptos" w:hAnsi="Aptos"/>
        </w:rPr>
        <w:t xml:space="preserve">If the </w:t>
      </w:r>
      <w:proofErr w:type="spellStart"/>
      <w:r w:rsidRPr="007C10C0">
        <w:rPr>
          <w:rFonts w:ascii="Aptos" w:hAnsi="Aptos"/>
        </w:rPr>
        <w:t>DoN</w:t>
      </w:r>
      <w:proofErr w:type="spellEnd"/>
      <w:r w:rsidRPr="007C10C0">
        <w:rPr>
          <w:rFonts w:ascii="Aptos" w:hAnsi="Aptos"/>
        </w:rPr>
        <w:t xml:space="preserve"> Program finds the Holder has not effectively implemented the approved plan and has failed to make substantive progress on its goals due to circumstances within the Holder’s control, the matter shall be referred to the Public Health Council (PHC) for review. Upon referral to the PHC, the Holder shall have an opportunity</w:t>
      </w:r>
      <w:r w:rsidR="00FA616B">
        <w:rPr>
          <w:rFonts w:ascii="Aptos" w:hAnsi="Aptos"/>
        </w:rPr>
        <w:t xml:space="preserve"> </w:t>
      </w:r>
      <w:r w:rsidRPr="007C10C0">
        <w:rPr>
          <w:rFonts w:ascii="Aptos" w:hAnsi="Aptos"/>
        </w:rPr>
        <w:t xml:space="preserve">to </w:t>
      </w:r>
      <w:proofErr w:type="gramStart"/>
      <w:r w:rsidRPr="007C10C0">
        <w:rPr>
          <w:rFonts w:ascii="Aptos" w:hAnsi="Aptos"/>
        </w:rPr>
        <w:t>show cause</w:t>
      </w:r>
      <w:proofErr w:type="gramEnd"/>
      <w:r w:rsidRPr="007C10C0">
        <w:rPr>
          <w:rFonts w:ascii="Aptos" w:hAnsi="Aptos"/>
        </w:rPr>
        <w:t xml:space="preserve"> why the PHC should not find the Holder out of compliance with this Condition.</w:t>
      </w:r>
    </w:p>
    <w:p w14:paraId="4697ACBE" w14:textId="77777777" w:rsidR="007C10C0" w:rsidRPr="007C10C0" w:rsidRDefault="007C10C0" w:rsidP="0048526E">
      <w:pPr>
        <w:pStyle w:val="BodyText"/>
        <w:ind w:left="1440" w:right="900"/>
        <w:rPr>
          <w:rFonts w:ascii="Aptos" w:hAnsi="Aptos"/>
        </w:rPr>
      </w:pPr>
    </w:p>
    <w:p w14:paraId="43CAC81E" w14:textId="77777777" w:rsidR="007C10C0" w:rsidRPr="007C10C0" w:rsidRDefault="007C10C0" w:rsidP="0048526E">
      <w:pPr>
        <w:pStyle w:val="BodyText"/>
        <w:ind w:left="1440" w:right="900"/>
        <w:rPr>
          <w:rFonts w:ascii="Aptos" w:hAnsi="Aptos"/>
        </w:rPr>
      </w:pPr>
      <w:r w:rsidRPr="007C10C0">
        <w:rPr>
          <w:rFonts w:ascii="Aptos" w:hAnsi="Aptos"/>
        </w:rPr>
        <w:t>Pursuant to 100.310(A)(13), if the PHC determines that the Holder has failed to sufficiently demonstrate compliance with this Condition, the Holder shall fund projects which address one or more of the Health Priorities set out in Department Guideline, as approved by the Department, which in total, shall equal up to 2.5% of the total Capital Expenditure of the approved project. Said projects shall address one or more of</w:t>
      </w:r>
    </w:p>
    <w:p w14:paraId="556C1198" w14:textId="77777777" w:rsidR="007C10C0" w:rsidRPr="007C10C0" w:rsidRDefault="007C10C0" w:rsidP="0048526E">
      <w:pPr>
        <w:pStyle w:val="BodyText"/>
        <w:ind w:left="1440" w:right="900"/>
        <w:rPr>
          <w:rFonts w:ascii="Aptos" w:hAnsi="Aptos"/>
        </w:rPr>
      </w:pPr>
      <w:r w:rsidRPr="007C10C0">
        <w:rPr>
          <w:rFonts w:ascii="Aptos" w:hAnsi="Aptos"/>
        </w:rPr>
        <w:t>the Health Priorities set out in Department Guideline and shall be in addition to those projects approved by the Department in fulfillment of 105 CMR 100.210(A)(6). The</w:t>
      </w:r>
    </w:p>
    <w:p w14:paraId="2DEBE73C" w14:textId="77777777" w:rsidR="007C10C0" w:rsidRPr="007C10C0" w:rsidRDefault="007C10C0" w:rsidP="0048526E">
      <w:pPr>
        <w:pStyle w:val="BodyText"/>
        <w:ind w:left="1440" w:right="900"/>
        <w:rPr>
          <w:rFonts w:ascii="Aptos" w:hAnsi="Aptos"/>
        </w:rPr>
      </w:pPr>
      <w:r w:rsidRPr="007C10C0">
        <w:rPr>
          <w:rFonts w:ascii="Aptos" w:hAnsi="Aptos"/>
        </w:rPr>
        <w:t xml:space="preserve"> </w:t>
      </w:r>
    </w:p>
    <w:p w14:paraId="4E12BBAB" w14:textId="77777777" w:rsidR="007C10C0" w:rsidRPr="007C10C0" w:rsidRDefault="007C10C0" w:rsidP="0048526E">
      <w:pPr>
        <w:pStyle w:val="BodyText"/>
        <w:ind w:left="1440" w:right="900"/>
        <w:rPr>
          <w:rFonts w:ascii="Aptos" w:hAnsi="Aptos"/>
        </w:rPr>
      </w:pPr>
      <w:r w:rsidRPr="007C10C0">
        <w:rPr>
          <w:rFonts w:ascii="Aptos" w:hAnsi="Aptos"/>
        </w:rPr>
        <w:t>Holder may satisfy this funding requirement through an additional contribution to the CHI statewide Initiative.</w:t>
      </w:r>
    </w:p>
    <w:p w14:paraId="3FB664EA" w14:textId="77777777" w:rsidR="007C10C0" w:rsidRPr="007C10C0" w:rsidRDefault="007C10C0" w:rsidP="007C10C0">
      <w:pPr>
        <w:pStyle w:val="BodyText"/>
        <w:ind w:left="810" w:right="900"/>
        <w:rPr>
          <w:rFonts w:ascii="Aptos" w:hAnsi="Aptos"/>
        </w:rPr>
      </w:pPr>
    </w:p>
    <w:p w14:paraId="623A3DED" w14:textId="77777777" w:rsidR="007C10C0" w:rsidRPr="007C10C0" w:rsidRDefault="007C10C0" w:rsidP="007C10C0">
      <w:pPr>
        <w:pStyle w:val="BodyText"/>
        <w:ind w:left="810" w:right="900"/>
        <w:rPr>
          <w:rFonts w:ascii="Aptos" w:hAnsi="Aptos"/>
        </w:rPr>
      </w:pPr>
      <w:r w:rsidRPr="007C10C0">
        <w:rPr>
          <w:rFonts w:ascii="Aptos" w:hAnsi="Aptos"/>
        </w:rPr>
        <w:t xml:space="preserve">Ongoing compliance with the conditions and all terms of the </w:t>
      </w:r>
      <w:proofErr w:type="spellStart"/>
      <w:r w:rsidRPr="007C10C0">
        <w:rPr>
          <w:rFonts w:ascii="Aptos" w:hAnsi="Aptos"/>
        </w:rPr>
        <w:t>DoN</w:t>
      </w:r>
      <w:proofErr w:type="spellEnd"/>
      <w:r w:rsidRPr="007C10C0">
        <w:rPr>
          <w:rFonts w:ascii="Aptos" w:hAnsi="Aptos"/>
        </w:rPr>
        <w:t xml:space="preserve"> is, pursuant to the Regulation, a precondition to the filing of any future </w:t>
      </w:r>
      <w:proofErr w:type="spellStart"/>
      <w:r w:rsidRPr="007C10C0">
        <w:rPr>
          <w:rFonts w:ascii="Aptos" w:hAnsi="Aptos"/>
        </w:rPr>
        <w:t>DoN</w:t>
      </w:r>
      <w:proofErr w:type="spellEnd"/>
      <w:r w:rsidRPr="007C10C0">
        <w:rPr>
          <w:rFonts w:ascii="Aptos" w:hAnsi="Aptos"/>
        </w:rPr>
        <w:t xml:space="preserve"> by the Holder.</w:t>
      </w:r>
    </w:p>
    <w:p w14:paraId="6F668D74" w14:textId="77777777" w:rsidR="007C10C0" w:rsidRPr="007C10C0" w:rsidRDefault="007C10C0" w:rsidP="007C10C0">
      <w:pPr>
        <w:pStyle w:val="BodyText"/>
        <w:ind w:left="810" w:right="900"/>
        <w:rPr>
          <w:rFonts w:ascii="Aptos" w:hAnsi="Aptos"/>
        </w:rPr>
      </w:pPr>
    </w:p>
    <w:p w14:paraId="4C4D8B9C" w14:textId="77777777" w:rsidR="007C10C0" w:rsidRPr="007C10C0" w:rsidRDefault="007C10C0" w:rsidP="007C10C0">
      <w:pPr>
        <w:pStyle w:val="BodyText"/>
        <w:ind w:left="810" w:right="900"/>
        <w:rPr>
          <w:rFonts w:ascii="Aptos" w:hAnsi="Aptos"/>
        </w:rPr>
      </w:pPr>
    </w:p>
    <w:p w14:paraId="55F1ABDF" w14:textId="77777777" w:rsidR="007C10C0" w:rsidRPr="007C10C0" w:rsidRDefault="007C10C0" w:rsidP="007C10C0">
      <w:pPr>
        <w:pStyle w:val="BodyText"/>
        <w:ind w:left="810" w:right="900"/>
        <w:rPr>
          <w:rFonts w:ascii="Aptos" w:hAnsi="Aptos"/>
        </w:rPr>
      </w:pPr>
    </w:p>
    <w:p w14:paraId="335B7FCD" w14:textId="77777777" w:rsidR="007C10C0" w:rsidRPr="007C10C0" w:rsidRDefault="007C10C0" w:rsidP="007C10C0">
      <w:pPr>
        <w:pStyle w:val="BodyText"/>
        <w:ind w:left="810" w:right="900"/>
        <w:rPr>
          <w:rFonts w:ascii="Aptos" w:hAnsi="Aptos"/>
        </w:rPr>
      </w:pPr>
    </w:p>
    <w:p w14:paraId="5842A3A1" w14:textId="77777777" w:rsidR="007C10C0" w:rsidRPr="007C10C0" w:rsidRDefault="007C10C0" w:rsidP="007C10C0">
      <w:pPr>
        <w:pStyle w:val="BodyText"/>
        <w:ind w:left="810" w:right="900"/>
        <w:rPr>
          <w:rFonts w:ascii="Aptos" w:hAnsi="Aptos"/>
        </w:rPr>
      </w:pPr>
      <w:r w:rsidRPr="007C10C0">
        <w:rPr>
          <w:rFonts w:ascii="Aptos" w:hAnsi="Aptos"/>
        </w:rPr>
        <w:t>Sincerely,</w:t>
      </w:r>
    </w:p>
    <w:p w14:paraId="0F8C2E42" w14:textId="77777777" w:rsidR="007C10C0" w:rsidRPr="007C10C0" w:rsidRDefault="007C10C0" w:rsidP="007C10C0">
      <w:pPr>
        <w:pStyle w:val="BodyText"/>
        <w:ind w:left="810" w:right="900"/>
        <w:rPr>
          <w:rFonts w:ascii="Aptos" w:hAnsi="Aptos"/>
        </w:rPr>
      </w:pPr>
    </w:p>
    <w:p w14:paraId="0FD75A7E" w14:textId="77777777" w:rsidR="007C10C0" w:rsidRPr="007C10C0" w:rsidRDefault="007C10C0" w:rsidP="007C10C0">
      <w:pPr>
        <w:pStyle w:val="BodyText"/>
        <w:ind w:left="810" w:right="900"/>
        <w:rPr>
          <w:rFonts w:ascii="Aptos" w:hAnsi="Aptos"/>
        </w:rPr>
      </w:pPr>
      <w:r w:rsidRPr="007C10C0">
        <w:rPr>
          <w:rFonts w:ascii="Aptos" w:hAnsi="Aptos"/>
        </w:rPr>
        <w:t>Teryl Smith RN, MPH</w:t>
      </w:r>
    </w:p>
    <w:p w14:paraId="53B7564F" w14:textId="77777777" w:rsidR="007C10C0" w:rsidRDefault="007C10C0" w:rsidP="007C10C0">
      <w:pPr>
        <w:pStyle w:val="BodyText"/>
        <w:ind w:left="810" w:right="900"/>
        <w:rPr>
          <w:rFonts w:ascii="Aptos" w:hAnsi="Aptos"/>
        </w:rPr>
      </w:pPr>
      <w:r w:rsidRPr="007C10C0">
        <w:rPr>
          <w:rFonts w:ascii="Aptos" w:hAnsi="Aptos"/>
        </w:rPr>
        <w:t>Bureau Director, Health Care Safety &amp; Quality</w:t>
      </w:r>
    </w:p>
    <w:p w14:paraId="395C6E8B" w14:textId="77777777" w:rsidR="008D630C" w:rsidRPr="007C10C0" w:rsidRDefault="008D630C" w:rsidP="007C10C0">
      <w:pPr>
        <w:pStyle w:val="BodyText"/>
        <w:ind w:left="810" w:right="900"/>
        <w:rPr>
          <w:rFonts w:ascii="Aptos" w:hAnsi="Aptos"/>
        </w:rPr>
      </w:pPr>
    </w:p>
    <w:p w14:paraId="3B76F9EE" w14:textId="77777777" w:rsidR="007C10C0" w:rsidRPr="007C10C0" w:rsidRDefault="007C10C0" w:rsidP="007C10C0">
      <w:pPr>
        <w:pStyle w:val="BodyText"/>
        <w:ind w:left="810" w:right="900"/>
        <w:rPr>
          <w:rFonts w:ascii="Aptos" w:hAnsi="Aptos"/>
        </w:rPr>
      </w:pPr>
      <w:r w:rsidRPr="007C10C0">
        <w:rPr>
          <w:rFonts w:ascii="Aptos" w:hAnsi="Aptos"/>
        </w:rPr>
        <w:t>cc:</w:t>
      </w:r>
    </w:p>
    <w:p w14:paraId="509BB5C6" w14:textId="77777777" w:rsidR="008D630C" w:rsidRDefault="007C10C0" w:rsidP="007C10C0">
      <w:pPr>
        <w:pStyle w:val="BodyText"/>
        <w:ind w:left="810" w:right="900"/>
        <w:rPr>
          <w:rFonts w:ascii="Aptos" w:hAnsi="Aptos"/>
        </w:rPr>
      </w:pPr>
      <w:r w:rsidRPr="007C10C0">
        <w:rPr>
          <w:rFonts w:ascii="Aptos" w:hAnsi="Aptos"/>
        </w:rPr>
        <w:t xml:space="preserve">Jaclyn K. Gagné, Chief Deputy General Counsel, Health Care Licensure </w:t>
      </w:r>
    </w:p>
    <w:p w14:paraId="5E5EE225" w14:textId="2A09AF6D" w:rsidR="007C10C0" w:rsidRPr="007C10C0" w:rsidRDefault="007C10C0" w:rsidP="007C10C0">
      <w:pPr>
        <w:pStyle w:val="BodyText"/>
        <w:ind w:left="810" w:right="900"/>
        <w:rPr>
          <w:rFonts w:ascii="Aptos" w:hAnsi="Aptos"/>
        </w:rPr>
      </w:pPr>
      <w:r w:rsidRPr="007C10C0">
        <w:rPr>
          <w:rFonts w:ascii="Aptos" w:hAnsi="Aptos"/>
        </w:rPr>
        <w:t>Susannah Arterian Esq, Deputy General Counsel</w:t>
      </w:r>
    </w:p>
    <w:p w14:paraId="13C0FF4B" w14:textId="77777777" w:rsidR="008D630C" w:rsidRDefault="007C10C0" w:rsidP="007C10C0">
      <w:pPr>
        <w:pStyle w:val="BodyText"/>
        <w:ind w:left="810" w:right="900"/>
        <w:rPr>
          <w:rFonts w:ascii="Aptos" w:hAnsi="Aptos"/>
        </w:rPr>
      </w:pPr>
      <w:r w:rsidRPr="007C10C0">
        <w:rPr>
          <w:rFonts w:ascii="Aptos" w:hAnsi="Aptos"/>
        </w:rPr>
        <w:t xml:space="preserve">Stephen Davis, Director, Division of Health Care Facility Licensure and Certification </w:t>
      </w:r>
    </w:p>
    <w:p w14:paraId="7916989A" w14:textId="00994A38" w:rsidR="007C10C0" w:rsidRPr="007C10C0" w:rsidRDefault="007C10C0" w:rsidP="007C10C0">
      <w:pPr>
        <w:pStyle w:val="BodyText"/>
        <w:ind w:left="810" w:right="900"/>
        <w:rPr>
          <w:rFonts w:ascii="Aptos" w:hAnsi="Aptos"/>
        </w:rPr>
      </w:pPr>
      <w:r w:rsidRPr="007C10C0">
        <w:rPr>
          <w:rFonts w:ascii="Aptos" w:hAnsi="Aptos"/>
        </w:rPr>
        <w:t>Judy Bernice, Division of Health Care Facility Licensure and Certification</w:t>
      </w:r>
    </w:p>
    <w:p w14:paraId="408AFA47" w14:textId="77777777" w:rsidR="008D630C" w:rsidRDefault="007C10C0" w:rsidP="007C10C0">
      <w:pPr>
        <w:pStyle w:val="BodyText"/>
        <w:ind w:left="810" w:right="900"/>
        <w:rPr>
          <w:rFonts w:ascii="Aptos" w:hAnsi="Aptos"/>
        </w:rPr>
      </w:pPr>
      <w:r w:rsidRPr="007C10C0">
        <w:rPr>
          <w:rFonts w:ascii="Aptos" w:hAnsi="Aptos"/>
        </w:rPr>
        <w:t xml:space="preserve">Hilary Ward, Division of Health Care Facility Licensure and Certification </w:t>
      </w:r>
    </w:p>
    <w:p w14:paraId="72E9531D" w14:textId="6E0E9585" w:rsidR="007C10C0" w:rsidRPr="007C10C0" w:rsidRDefault="007C10C0" w:rsidP="007C10C0">
      <w:pPr>
        <w:pStyle w:val="BodyText"/>
        <w:ind w:left="810" w:right="900"/>
        <w:rPr>
          <w:rFonts w:ascii="Aptos" w:hAnsi="Aptos"/>
        </w:rPr>
      </w:pPr>
      <w:r w:rsidRPr="007C10C0">
        <w:rPr>
          <w:rFonts w:ascii="Aptos" w:hAnsi="Aptos"/>
        </w:rPr>
        <w:t>Samuel Louis, Office of Health Equity</w:t>
      </w:r>
    </w:p>
    <w:p w14:paraId="3BBB193C" w14:textId="77777777" w:rsidR="008D630C" w:rsidRDefault="007C10C0" w:rsidP="007C10C0">
      <w:pPr>
        <w:pStyle w:val="BodyText"/>
        <w:ind w:left="810" w:right="900"/>
        <w:rPr>
          <w:rFonts w:ascii="Aptos" w:hAnsi="Aptos"/>
        </w:rPr>
      </w:pPr>
      <w:r w:rsidRPr="007C10C0">
        <w:rPr>
          <w:rFonts w:ascii="Aptos" w:hAnsi="Aptos"/>
        </w:rPr>
        <w:t xml:space="preserve">Jennica Allen, Division of Community Health Planning and Engagement </w:t>
      </w:r>
    </w:p>
    <w:p w14:paraId="5AC22445" w14:textId="77777777" w:rsidR="008D630C" w:rsidRDefault="007C10C0" w:rsidP="007C10C0">
      <w:pPr>
        <w:pStyle w:val="BodyText"/>
        <w:ind w:left="810" w:right="900"/>
        <w:rPr>
          <w:rFonts w:ascii="Aptos" w:hAnsi="Aptos"/>
        </w:rPr>
      </w:pPr>
      <w:r w:rsidRPr="007C10C0">
        <w:rPr>
          <w:rFonts w:ascii="Aptos" w:hAnsi="Aptos"/>
        </w:rPr>
        <w:t xml:space="preserve">Elizabeth Maffei, Division of Community Health Planning and Engagement </w:t>
      </w:r>
    </w:p>
    <w:p w14:paraId="58D4F1E6" w14:textId="77777777" w:rsidR="008D630C" w:rsidRDefault="007C10C0" w:rsidP="007C10C0">
      <w:pPr>
        <w:pStyle w:val="BodyText"/>
        <w:ind w:left="810" w:right="900"/>
        <w:rPr>
          <w:rFonts w:ascii="Aptos" w:hAnsi="Aptos"/>
        </w:rPr>
      </w:pPr>
      <w:r w:rsidRPr="007C10C0">
        <w:rPr>
          <w:rFonts w:ascii="Aptos" w:hAnsi="Aptos"/>
        </w:rPr>
        <w:t xml:space="preserve">Katelyn Teague, Division of Community Health Planning and Engagement </w:t>
      </w:r>
    </w:p>
    <w:p w14:paraId="7C267372" w14:textId="64F652D7" w:rsidR="007C10C0" w:rsidRPr="007C10C0" w:rsidRDefault="007C10C0" w:rsidP="007C10C0">
      <w:pPr>
        <w:pStyle w:val="BodyText"/>
        <w:ind w:left="810" w:right="900"/>
        <w:rPr>
          <w:rFonts w:ascii="Aptos" w:hAnsi="Aptos"/>
        </w:rPr>
      </w:pPr>
      <w:r w:rsidRPr="007C10C0">
        <w:rPr>
          <w:rFonts w:ascii="Aptos" w:hAnsi="Aptos"/>
        </w:rPr>
        <w:t>Katherine Mills, Health Policy Commission</w:t>
      </w:r>
    </w:p>
    <w:p w14:paraId="457C19D9" w14:textId="77777777" w:rsidR="008D630C" w:rsidRDefault="007C10C0" w:rsidP="007C10C0">
      <w:pPr>
        <w:pStyle w:val="BodyText"/>
        <w:ind w:left="810" w:right="900"/>
        <w:rPr>
          <w:rFonts w:ascii="Aptos" w:hAnsi="Aptos"/>
        </w:rPr>
      </w:pPr>
      <w:r w:rsidRPr="007C10C0">
        <w:rPr>
          <w:rFonts w:ascii="Aptos" w:hAnsi="Aptos"/>
        </w:rPr>
        <w:t xml:space="preserve">Christopher King, Executive Office of Health and Human Services </w:t>
      </w:r>
    </w:p>
    <w:p w14:paraId="07F67C21" w14:textId="77777777" w:rsidR="008D630C" w:rsidRDefault="007C10C0" w:rsidP="007C10C0">
      <w:pPr>
        <w:pStyle w:val="BodyText"/>
        <w:ind w:left="810" w:right="900"/>
        <w:rPr>
          <w:rFonts w:ascii="Aptos" w:hAnsi="Aptos"/>
        </w:rPr>
      </w:pPr>
      <w:r w:rsidRPr="007C10C0">
        <w:rPr>
          <w:rFonts w:ascii="Aptos" w:hAnsi="Aptos"/>
        </w:rPr>
        <w:t xml:space="preserve">Tomaso Calicchio, Executive Office of Health and Human Services </w:t>
      </w:r>
    </w:p>
    <w:p w14:paraId="4D63B08A" w14:textId="77777777" w:rsidR="008D630C" w:rsidRDefault="007C10C0" w:rsidP="007C10C0">
      <w:pPr>
        <w:pStyle w:val="BodyText"/>
        <w:ind w:left="810" w:right="900"/>
        <w:rPr>
          <w:rFonts w:ascii="Aptos" w:hAnsi="Aptos"/>
        </w:rPr>
      </w:pPr>
      <w:r w:rsidRPr="007C10C0">
        <w:rPr>
          <w:rFonts w:ascii="Aptos" w:hAnsi="Aptos"/>
        </w:rPr>
        <w:t xml:space="preserve">Hai Nguyen, Executive Office of Health and Human Services </w:t>
      </w:r>
    </w:p>
    <w:p w14:paraId="1DBED033" w14:textId="77777777" w:rsidR="008D630C" w:rsidRDefault="007C10C0" w:rsidP="007C10C0">
      <w:pPr>
        <w:pStyle w:val="BodyText"/>
        <w:ind w:left="810" w:right="900"/>
        <w:rPr>
          <w:rFonts w:ascii="Aptos" w:hAnsi="Aptos"/>
        </w:rPr>
      </w:pPr>
      <w:r w:rsidRPr="007C10C0">
        <w:rPr>
          <w:rFonts w:ascii="Aptos" w:hAnsi="Aptos"/>
        </w:rPr>
        <w:lastRenderedPageBreak/>
        <w:t xml:space="preserve">Karina Mejias, Executive Office of Health and Human Services </w:t>
      </w:r>
    </w:p>
    <w:p w14:paraId="624C6FBD" w14:textId="77777777" w:rsidR="008D630C" w:rsidRDefault="007C10C0" w:rsidP="007C10C0">
      <w:pPr>
        <w:pStyle w:val="BodyText"/>
        <w:ind w:left="810" w:right="900"/>
        <w:rPr>
          <w:rFonts w:ascii="Aptos" w:hAnsi="Aptos"/>
        </w:rPr>
      </w:pPr>
      <w:r w:rsidRPr="007C10C0">
        <w:rPr>
          <w:rFonts w:ascii="Aptos" w:hAnsi="Aptos"/>
        </w:rPr>
        <w:t xml:space="preserve">Pavel Terpelets, Executive Office of Health and Human Services </w:t>
      </w:r>
    </w:p>
    <w:p w14:paraId="6A27DC9D" w14:textId="3C45F172" w:rsidR="007C10C0" w:rsidRPr="007C10C0" w:rsidRDefault="007C10C0" w:rsidP="007C10C0">
      <w:pPr>
        <w:pStyle w:val="BodyText"/>
        <w:ind w:left="810" w:right="900"/>
        <w:rPr>
          <w:rFonts w:ascii="Aptos" w:hAnsi="Aptos"/>
        </w:rPr>
      </w:pPr>
      <w:r w:rsidRPr="007C10C0">
        <w:rPr>
          <w:rFonts w:ascii="Aptos" w:hAnsi="Aptos"/>
        </w:rPr>
        <w:t>Elizabeth Almanzor, Center for Health Information and Analysis</w:t>
      </w:r>
    </w:p>
    <w:p w14:paraId="11502898" w14:textId="44DD5B2E" w:rsidR="00063885" w:rsidRPr="00063885" w:rsidRDefault="00063885" w:rsidP="007C10C0">
      <w:pPr>
        <w:pStyle w:val="BodyText"/>
        <w:ind w:left="810" w:right="900"/>
        <w:rPr>
          <w:rFonts w:ascii="Aptos" w:hAnsi="Aptos"/>
        </w:rPr>
      </w:pPr>
    </w:p>
    <w:sectPr w:rsidR="00063885" w:rsidRPr="00063885" w:rsidSect="00063885">
      <w:type w:val="continuous"/>
      <w:pgSz w:w="12240" w:h="15840"/>
      <w:pgMar w:top="1360" w:right="260" w:bottom="1260" w:left="6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1D80" w14:textId="77777777" w:rsidR="00892BB1" w:rsidRDefault="00892BB1">
      <w:r>
        <w:separator/>
      </w:r>
    </w:p>
  </w:endnote>
  <w:endnote w:type="continuationSeparator" w:id="0">
    <w:p w14:paraId="006FEEEF" w14:textId="77777777" w:rsidR="00892BB1" w:rsidRDefault="0089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093247"/>
      <w:docPartObj>
        <w:docPartGallery w:val="Page Numbers (Bottom of Page)"/>
        <w:docPartUnique/>
      </w:docPartObj>
    </w:sdtPr>
    <w:sdtEndPr>
      <w:rPr>
        <w:rFonts w:ascii="Aptos" w:hAnsi="Aptos"/>
        <w:noProof/>
      </w:rPr>
    </w:sdtEndPr>
    <w:sdtContent>
      <w:p w14:paraId="0F0E0268" w14:textId="13D74C16" w:rsidR="00143626" w:rsidRPr="00143626" w:rsidRDefault="00143626">
        <w:pPr>
          <w:pStyle w:val="Footer"/>
          <w:jc w:val="center"/>
          <w:rPr>
            <w:rFonts w:ascii="Aptos" w:hAnsi="Aptos"/>
          </w:rPr>
        </w:pPr>
        <w:r w:rsidRPr="00143626">
          <w:rPr>
            <w:rFonts w:ascii="Aptos" w:hAnsi="Aptos"/>
          </w:rPr>
          <w:fldChar w:fldCharType="begin"/>
        </w:r>
        <w:r w:rsidRPr="00143626">
          <w:rPr>
            <w:rFonts w:ascii="Aptos" w:hAnsi="Aptos"/>
          </w:rPr>
          <w:instrText xml:space="preserve"> PAGE   \* MERGEFORMAT </w:instrText>
        </w:r>
        <w:r w:rsidRPr="00143626">
          <w:rPr>
            <w:rFonts w:ascii="Aptos" w:hAnsi="Aptos"/>
          </w:rPr>
          <w:fldChar w:fldCharType="separate"/>
        </w:r>
        <w:r w:rsidRPr="00143626">
          <w:rPr>
            <w:rFonts w:ascii="Aptos" w:hAnsi="Aptos"/>
            <w:noProof/>
          </w:rPr>
          <w:t>2</w:t>
        </w:r>
        <w:r w:rsidRPr="00143626">
          <w:rPr>
            <w:rFonts w:ascii="Aptos" w:hAnsi="Aptos"/>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DCB1" w14:textId="77777777" w:rsidR="00892BB1" w:rsidRDefault="00892BB1">
      <w:r>
        <w:separator/>
      </w:r>
    </w:p>
  </w:footnote>
  <w:footnote w:type="continuationSeparator" w:id="0">
    <w:p w14:paraId="3E79D0BD" w14:textId="77777777" w:rsidR="00892BB1" w:rsidRDefault="00892BB1">
      <w:r>
        <w:continuationSeparator/>
      </w:r>
    </w:p>
  </w:footnote>
  <w:footnote w:id="1">
    <w:p w14:paraId="2A088F8B" w14:textId="6070D422" w:rsidR="003D0825" w:rsidRPr="003D0825" w:rsidRDefault="003D0825">
      <w:pPr>
        <w:pStyle w:val="FootnoteText"/>
        <w:rPr>
          <w:rFonts w:ascii="Aptos" w:hAnsi="Aptos"/>
        </w:rPr>
      </w:pPr>
      <w:r w:rsidRPr="003D0825">
        <w:rPr>
          <w:rStyle w:val="FootnoteReference"/>
          <w:rFonts w:ascii="Aptos" w:hAnsi="Aptos"/>
          <w:sz w:val="22"/>
          <w:szCs w:val="22"/>
        </w:rPr>
        <w:footnoteRef/>
      </w:r>
      <w:r w:rsidRPr="003D0825">
        <w:rPr>
          <w:rFonts w:ascii="Aptos" w:hAnsi="Aptos"/>
          <w:sz w:val="22"/>
          <w:szCs w:val="22"/>
        </w:rPr>
        <w:t xml:space="preserve"> This percentage reflects MassHealth’s Inflation Factor for Operating Costs price changes between RY23 and RY24 in the most recent Rate Year where an Inflation Factor is established.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19A621E"/>
    <w:multiLevelType w:val="hybridMultilevel"/>
    <w:tmpl w:val="AF5285B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 w15:restartNumberingAfterBreak="0">
    <w:nsid w:val="17FE1C1B"/>
    <w:multiLevelType w:val="hybridMultilevel"/>
    <w:tmpl w:val="E66EBD4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0E0D84"/>
    <w:multiLevelType w:val="hybridMultilevel"/>
    <w:tmpl w:val="821A8038"/>
    <w:lvl w:ilvl="0" w:tplc="FFFFFFFF">
      <w:start w:val="1"/>
      <w:numFmt w:val="decimal"/>
      <w:lvlText w:val="%1."/>
      <w:lvlJc w:val="left"/>
      <w:pPr>
        <w:ind w:left="1530" w:hanging="360"/>
      </w:pPr>
    </w:lvl>
    <w:lvl w:ilvl="1" w:tplc="0409000F">
      <w:start w:val="1"/>
      <w:numFmt w:val="decimal"/>
      <w:lvlText w:val="%2."/>
      <w:lvlJc w:val="left"/>
      <w:pPr>
        <w:ind w:left="2250" w:hanging="360"/>
      </w:pPr>
    </w:lvl>
    <w:lvl w:ilvl="2" w:tplc="FFFFFFFF">
      <w:start w:val="1"/>
      <w:numFmt w:val="lowerRoman"/>
      <w:lvlText w:val="%3."/>
      <w:lvlJc w:val="right"/>
      <w:pPr>
        <w:ind w:left="3150" w:hanging="36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8"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9"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478383E"/>
    <w:multiLevelType w:val="hybridMultilevel"/>
    <w:tmpl w:val="A6C08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07141"/>
    <w:multiLevelType w:val="hybridMultilevel"/>
    <w:tmpl w:val="202EF38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8114F8B"/>
    <w:multiLevelType w:val="hybridMultilevel"/>
    <w:tmpl w:val="8BA26736"/>
    <w:lvl w:ilvl="0" w:tplc="0D526A5E">
      <w:start w:val="2"/>
      <w:numFmt w:val="decimal"/>
      <w:lvlText w:val="%1."/>
      <w:lvlJc w:val="left"/>
      <w:pPr>
        <w:ind w:left="6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DE8268">
      <w:start w:val="1"/>
      <w:numFmt w:val="lowerLetter"/>
      <w:lvlText w:val="%2."/>
      <w:lvlJc w:val="left"/>
      <w:pPr>
        <w:ind w:left="1361"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tplc="673E22AA">
      <w:numFmt w:val="bullet"/>
      <w:lvlText w:val="•"/>
      <w:lvlJc w:val="left"/>
      <w:pPr>
        <w:ind w:left="2368" w:hanging="420"/>
      </w:pPr>
      <w:rPr>
        <w:rFonts w:hint="default"/>
        <w:lang w:val="en-US" w:eastAsia="en-US" w:bidi="ar-SA"/>
      </w:rPr>
    </w:lvl>
    <w:lvl w:ilvl="3" w:tplc="4502E216">
      <w:numFmt w:val="bullet"/>
      <w:lvlText w:val="•"/>
      <w:lvlJc w:val="left"/>
      <w:pPr>
        <w:ind w:left="3377" w:hanging="420"/>
      </w:pPr>
      <w:rPr>
        <w:rFonts w:hint="default"/>
        <w:lang w:val="en-US" w:eastAsia="en-US" w:bidi="ar-SA"/>
      </w:rPr>
    </w:lvl>
    <w:lvl w:ilvl="4" w:tplc="29642BB2">
      <w:numFmt w:val="bullet"/>
      <w:lvlText w:val="•"/>
      <w:lvlJc w:val="left"/>
      <w:pPr>
        <w:ind w:left="4386" w:hanging="420"/>
      </w:pPr>
      <w:rPr>
        <w:rFonts w:hint="default"/>
        <w:lang w:val="en-US" w:eastAsia="en-US" w:bidi="ar-SA"/>
      </w:rPr>
    </w:lvl>
    <w:lvl w:ilvl="5" w:tplc="D2C443B6">
      <w:numFmt w:val="bullet"/>
      <w:lvlText w:val="•"/>
      <w:lvlJc w:val="left"/>
      <w:pPr>
        <w:ind w:left="5395" w:hanging="420"/>
      </w:pPr>
      <w:rPr>
        <w:rFonts w:hint="default"/>
        <w:lang w:val="en-US" w:eastAsia="en-US" w:bidi="ar-SA"/>
      </w:rPr>
    </w:lvl>
    <w:lvl w:ilvl="6" w:tplc="01FECF02">
      <w:numFmt w:val="bullet"/>
      <w:lvlText w:val="•"/>
      <w:lvlJc w:val="left"/>
      <w:pPr>
        <w:ind w:left="6404" w:hanging="420"/>
      </w:pPr>
      <w:rPr>
        <w:rFonts w:hint="default"/>
        <w:lang w:val="en-US" w:eastAsia="en-US" w:bidi="ar-SA"/>
      </w:rPr>
    </w:lvl>
    <w:lvl w:ilvl="7" w:tplc="13983662">
      <w:numFmt w:val="bullet"/>
      <w:lvlText w:val="•"/>
      <w:lvlJc w:val="left"/>
      <w:pPr>
        <w:ind w:left="7413" w:hanging="420"/>
      </w:pPr>
      <w:rPr>
        <w:rFonts w:hint="default"/>
        <w:lang w:val="en-US" w:eastAsia="en-US" w:bidi="ar-SA"/>
      </w:rPr>
    </w:lvl>
    <w:lvl w:ilvl="8" w:tplc="9A02CB9C">
      <w:numFmt w:val="bullet"/>
      <w:lvlText w:val="•"/>
      <w:lvlJc w:val="left"/>
      <w:pPr>
        <w:ind w:left="8422" w:hanging="420"/>
      </w:pPr>
      <w:rPr>
        <w:rFonts w:hint="default"/>
        <w:lang w:val="en-US" w:eastAsia="en-US" w:bidi="ar-SA"/>
      </w:rPr>
    </w:lvl>
  </w:abstractNum>
  <w:abstractNum w:abstractNumId="13" w15:restartNumberingAfterBreak="0">
    <w:nsid w:val="2C131B4A"/>
    <w:multiLevelType w:val="hybridMultilevel"/>
    <w:tmpl w:val="737AA018"/>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3150" w:hanging="36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7" w15:restartNumberingAfterBreak="0">
    <w:nsid w:val="325C2A15"/>
    <w:multiLevelType w:val="hybridMultilevel"/>
    <w:tmpl w:val="25E06E2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21"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8329D8"/>
    <w:multiLevelType w:val="hybridMultilevel"/>
    <w:tmpl w:val="F8D0E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AD458B"/>
    <w:multiLevelType w:val="hybridMultilevel"/>
    <w:tmpl w:val="469C1B5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14E6A1A"/>
    <w:multiLevelType w:val="hybridMultilevel"/>
    <w:tmpl w:val="83AA9EC2"/>
    <w:lvl w:ilvl="0" w:tplc="EF006872">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E5B50"/>
    <w:multiLevelType w:val="hybridMultilevel"/>
    <w:tmpl w:val="8E0CEC1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B1213DC"/>
    <w:multiLevelType w:val="hybridMultilevel"/>
    <w:tmpl w:val="71F091E4"/>
    <w:lvl w:ilvl="0" w:tplc="EF006872">
      <w:start w:val="1"/>
      <w:numFmt w:val="lowerLetter"/>
      <w:lvlText w:val="%1."/>
      <w:lvlJc w:val="left"/>
      <w:pPr>
        <w:ind w:left="4140" w:hanging="360"/>
      </w:pPr>
      <w:rPr>
        <w:rFonts w:hint="default"/>
      </w:rPr>
    </w:lvl>
    <w:lvl w:ilvl="1" w:tplc="04090019" w:tentative="1">
      <w:start w:val="1"/>
      <w:numFmt w:val="lowerLetter"/>
      <w:lvlText w:val="%2."/>
      <w:lvlJc w:val="left"/>
      <w:pPr>
        <w:ind w:left="3330" w:hanging="360"/>
      </w:pPr>
    </w:lvl>
    <w:lvl w:ilvl="2" w:tplc="0409000F">
      <w:start w:val="1"/>
      <w:numFmt w:val="decimal"/>
      <w:lvlText w:val="%3."/>
      <w:lvlJc w:val="left"/>
      <w:pPr>
        <w:ind w:left="1530" w:hanging="36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15:restartNumberingAfterBreak="0">
    <w:nsid w:val="5C26651B"/>
    <w:multiLevelType w:val="hybridMultilevel"/>
    <w:tmpl w:val="295C2B9A"/>
    <w:lvl w:ilvl="0" w:tplc="10B2D864">
      <w:start w:val="1"/>
      <w:numFmt w:val="lowerLetter"/>
      <w:lvlText w:val="%1."/>
      <w:lvlJc w:val="left"/>
      <w:pPr>
        <w:ind w:left="13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13ED666">
      <w:start w:val="1"/>
      <w:numFmt w:val="lowerRoman"/>
      <w:lvlText w:val="%2."/>
      <w:lvlJc w:val="left"/>
      <w:pPr>
        <w:ind w:left="208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A4865710">
      <w:numFmt w:val="bullet"/>
      <w:lvlText w:val="•"/>
      <w:lvlJc w:val="left"/>
      <w:pPr>
        <w:ind w:left="3008" w:hanging="308"/>
      </w:pPr>
      <w:rPr>
        <w:rFonts w:hint="default"/>
        <w:lang w:val="en-US" w:eastAsia="en-US" w:bidi="ar-SA"/>
      </w:rPr>
    </w:lvl>
    <w:lvl w:ilvl="3" w:tplc="8E3641B4">
      <w:numFmt w:val="bullet"/>
      <w:lvlText w:val="•"/>
      <w:lvlJc w:val="left"/>
      <w:pPr>
        <w:ind w:left="3937" w:hanging="308"/>
      </w:pPr>
      <w:rPr>
        <w:rFonts w:hint="default"/>
        <w:lang w:val="en-US" w:eastAsia="en-US" w:bidi="ar-SA"/>
      </w:rPr>
    </w:lvl>
    <w:lvl w:ilvl="4" w:tplc="0DDAA740">
      <w:numFmt w:val="bullet"/>
      <w:lvlText w:val="•"/>
      <w:lvlJc w:val="left"/>
      <w:pPr>
        <w:ind w:left="4866" w:hanging="308"/>
      </w:pPr>
      <w:rPr>
        <w:rFonts w:hint="default"/>
        <w:lang w:val="en-US" w:eastAsia="en-US" w:bidi="ar-SA"/>
      </w:rPr>
    </w:lvl>
    <w:lvl w:ilvl="5" w:tplc="C690373C">
      <w:numFmt w:val="bullet"/>
      <w:lvlText w:val="•"/>
      <w:lvlJc w:val="left"/>
      <w:pPr>
        <w:ind w:left="5795" w:hanging="308"/>
      </w:pPr>
      <w:rPr>
        <w:rFonts w:hint="default"/>
        <w:lang w:val="en-US" w:eastAsia="en-US" w:bidi="ar-SA"/>
      </w:rPr>
    </w:lvl>
    <w:lvl w:ilvl="6" w:tplc="77742B5E">
      <w:numFmt w:val="bullet"/>
      <w:lvlText w:val="•"/>
      <w:lvlJc w:val="left"/>
      <w:pPr>
        <w:ind w:left="6724" w:hanging="308"/>
      </w:pPr>
      <w:rPr>
        <w:rFonts w:hint="default"/>
        <w:lang w:val="en-US" w:eastAsia="en-US" w:bidi="ar-SA"/>
      </w:rPr>
    </w:lvl>
    <w:lvl w:ilvl="7" w:tplc="F9967726">
      <w:numFmt w:val="bullet"/>
      <w:lvlText w:val="•"/>
      <w:lvlJc w:val="left"/>
      <w:pPr>
        <w:ind w:left="7653" w:hanging="308"/>
      </w:pPr>
      <w:rPr>
        <w:rFonts w:hint="default"/>
        <w:lang w:val="en-US" w:eastAsia="en-US" w:bidi="ar-SA"/>
      </w:rPr>
    </w:lvl>
    <w:lvl w:ilvl="8" w:tplc="7F1A6E6A">
      <w:numFmt w:val="bullet"/>
      <w:lvlText w:val="•"/>
      <w:lvlJc w:val="left"/>
      <w:pPr>
        <w:ind w:left="8582" w:hanging="308"/>
      </w:pPr>
      <w:rPr>
        <w:rFonts w:hint="default"/>
        <w:lang w:val="en-US" w:eastAsia="en-US" w:bidi="ar-SA"/>
      </w:rPr>
    </w:lvl>
  </w:abstractNum>
  <w:abstractNum w:abstractNumId="32" w15:restartNumberingAfterBreak="0">
    <w:nsid w:val="6B196516"/>
    <w:multiLevelType w:val="hybridMultilevel"/>
    <w:tmpl w:val="CBFE81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1D61"/>
    <w:multiLevelType w:val="hybridMultilevel"/>
    <w:tmpl w:val="A580873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5" w15:restartNumberingAfterBreak="0">
    <w:nsid w:val="712B52F7"/>
    <w:multiLevelType w:val="hybridMultilevel"/>
    <w:tmpl w:val="38CC75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6561AD2"/>
    <w:multiLevelType w:val="hybridMultilevel"/>
    <w:tmpl w:val="5ABA2B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16"/>
  </w:num>
  <w:num w:numId="2" w16cid:durableId="762186708">
    <w:abstractNumId w:val="33"/>
  </w:num>
  <w:num w:numId="3" w16cid:durableId="1646734026">
    <w:abstractNumId w:val="15"/>
  </w:num>
  <w:num w:numId="4" w16cid:durableId="1199271187">
    <w:abstractNumId w:val="20"/>
  </w:num>
  <w:num w:numId="5" w16cid:durableId="681317537">
    <w:abstractNumId w:val="5"/>
  </w:num>
  <w:num w:numId="6" w16cid:durableId="1381707578">
    <w:abstractNumId w:val="1"/>
  </w:num>
  <w:num w:numId="7" w16cid:durableId="1098794647">
    <w:abstractNumId w:val="0"/>
  </w:num>
  <w:num w:numId="8" w16cid:durableId="1471090044">
    <w:abstractNumId w:val="9"/>
  </w:num>
  <w:num w:numId="9" w16cid:durableId="1618444258">
    <w:abstractNumId w:val="37"/>
  </w:num>
  <w:num w:numId="10" w16cid:durableId="803431336">
    <w:abstractNumId w:val="14"/>
  </w:num>
  <w:num w:numId="11" w16cid:durableId="1804107474">
    <w:abstractNumId w:val="22"/>
  </w:num>
  <w:num w:numId="12" w16cid:durableId="821509815">
    <w:abstractNumId w:val="25"/>
  </w:num>
  <w:num w:numId="13" w16cid:durableId="1251425427">
    <w:abstractNumId w:val="18"/>
  </w:num>
  <w:num w:numId="14" w16cid:durableId="70465832">
    <w:abstractNumId w:val="21"/>
  </w:num>
  <w:num w:numId="15" w16cid:durableId="1239251066">
    <w:abstractNumId w:val="19"/>
  </w:num>
  <w:num w:numId="16" w16cid:durableId="341590028">
    <w:abstractNumId w:val="3"/>
  </w:num>
  <w:num w:numId="17" w16cid:durableId="908684904">
    <w:abstractNumId w:val="28"/>
  </w:num>
  <w:num w:numId="18" w16cid:durableId="1312096729">
    <w:abstractNumId w:val="8"/>
  </w:num>
  <w:num w:numId="19" w16cid:durableId="623849512">
    <w:abstractNumId w:val="2"/>
  </w:num>
  <w:num w:numId="20" w16cid:durableId="350842595">
    <w:abstractNumId w:val="23"/>
  </w:num>
  <w:num w:numId="21" w16cid:durableId="695741340">
    <w:abstractNumId w:val="12"/>
  </w:num>
  <w:num w:numId="22" w16cid:durableId="279993137">
    <w:abstractNumId w:val="31"/>
  </w:num>
  <w:num w:numId="23" w16cid:durableId="1419055783">
    <w:abstractNumId w:val="17"/>
  </w:num>
  <w:num w:numId="24" w16cid:durableId="1463115669">
    <w:abstractNumId w:val="4"/>
  </w:num>
  <w:num w:numId="25" w16cid:durableId="331954822">
    <w:abstractNumId w:val="34"/>
  </w:num>
  <w:num w:numId="26" w16cid:durableId="1039355279">
    <w:abstractNumId w:val="10"/>
  </w:num>
  <w:num w:numId="27" w16cid:durableId="254480819">
    <w:abstractNumId w:val="13"/>
  </w:num>
  <w:num w:numId="28" w16cid:durableId="1888561016">
    <w:abstractNumId w:val="29"/>
  </w:num>
  <w:num w:numId="29" w16cid:durableId="409893863">
    <w:abstractNumId w:val="11"/>
  </w:num>
  <w:num w:numId="30" w16cid:durableId="234321053">
    <w:abstractNumId w:val="35"/>
  </w:num>
  <w:num w:numId="31" w16cid:durableId="302855954">
    <w:abstractNumId w:val="36"/>
  </w:num>
  <w:num w:numId="32" w16cid:durableId="656303157">
    <w:abstractNumId w:val="6"/>
  </w:num>
  <w:num w:numId="33" w16cid:durableId="340667973">
    <w:abstractNumId w:val="24"/>
  </w:num>
  <w:num w:numId="34" w16cid:durableId="857277905">
    <w:abstractNumId w:val="27"/>
  </w:num>
  <w:num w:numId="35" w16cid:durableId="363750025">
    <w:abstractNumId w:val="30"/>
  </w:num>
  <w:num w:numId="36" w16cid:durableId="1544444071">
    <w:abstractNumId w:val="26"/>
  </w:num>
  <w:num w:numId="37" w16cid:durableId="2065369671">
    <w:abstractNumId w:val="32"/>
  </w:num>
  <w:num w:numId="38" w16cid:durableId="632102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5468D"/>
    <w:rsid w:val="00063885"/>
    <w:rsid w:val="000B6559"/>
    <w:rsid w:val="000D1CF0"/>
    <w:rsid w:val="000D2F88"/>
    <w:rsid w:val="000D3FB0"/>
    <w:rsid w:val="000E2928"/>
    <w:rsid w:val="000F09F9"/>
    <w:rsid w:val="000F3926"/>
    <w:rsid w:val="00143626"/>
    <w:rsid w:val="0015099B"/>
    <w:rsid w:val="00164791"/>
    <w:rsid w:val="001825F9"/>
    <w:rsid w:val="00186596"/>
    <w:rsid w:val="0019544E"/>
    <w:rsid w:val="00197F86"/>
    <w:rsid w:val="001A0448"/>
    <w:rsid w:val="001D6D5B"/>
    <w:rsid w:val="001E5A42"/>
    <w:rsid w:val="001F5073"/>
    <w:rsid w:val="00214171"/>
    <w:rsid w:val="0024067D"/>
    <w:rsid w:val="00290C8F"/>
    <w:rsid w:val="002C47A2"/>
    <w:rsid w:val="002C5E17"/>
    <w:rsid w:val="00321E11"/>
    <w:rsid w:val="003A5E44"/>
    <w:rsid w:val="003A7506"/>
    <w:rsid w:val="003B3599"/>
    <w:rsid w:val="003C1141"/>
    <w:rsid w:val="003D0825"/>
    <w:rsid w:val="003E5393"/>
    <w:rsid w:val="003F022A"/>
    <w:rsid w:val="00413D9A"/>
    <w:rsid w:val="00414836"/>
    <w:rsid w:val="00445775"/>
    <w:rsid w:val="004628B2"/>
    <w:rsid w:val="0048526E"/>
    <w:rsid w:val="004A0AEC"/>
    <w:rsid w:val="004B1E52"/>
    <w:rsid w:val="004E027A"/>
    <w:rsid w:val="004E26E5"/>
    <w:rsid w:val="00513028"/>
    <w:rsid w:val="0053354C"/>
    <w:rsid w:val="00554AC4"/>
    <w:rsid w:val="0055755B"/>
    <w:rsid w:val="005E53D6"/>
    <w:rsid w:val="00641449"/>
    <w:rsid w:val="006547AF"/>
    <w:rsid w:val="006732EA"/>
    <w:rsid w:val="00681FDA"/>
    <w:rsid w:val="006C6B86"/>
    <w:rsid w:val="00716874"/>
    <w:rsid w:val="00725384"/>
    <w:rsid w:val="007611B0"/>
    <w:rsid w:val="00783A1E"/>
    <w:rsid w:val="0079253C"/>
    <w:rsid w:val="007A5626"/>
    <w:rsid w:val="007C0327"/>
    <w:rsid w:val="007C10C0"/>
    <w:rsid w:val="007C351A"/>
    <w:rsid w:val="007D60B1"/>
    <w:rsid w:val="00804240"/>
    <w:rsid w:val="00806568"/>
    <w:rsid w:val="00811356"/>
    <w:rsid w:val="0083193A"/>
    <w:rsid w:val="008336CC"/>
    <w:rsid w:val="00865BCA"/>
    <w:rsid w:val="00892BB1"/>
    <w:rsid w:val="00897125"/>
    <w:rsid w:val="008B0404"/>
    <w:rsid w:val="008D5B84"/>
    <w:rsid w:val="008D630C"/>
    <w:rsid w:val="008E5521"/>
    <w:rsid w:val="008E7386"/>
    <w:rsid w:val="00913A91"/>
    <w:rsid w:val="00944448"/>
    <w:rsid w:val="0096649E"/>
    <w:rsid w:val="00970C7B"/>
    <w:rsid w:val="00993447"/>
    <w:rsid w:val="009B09D3"/>
    <w:rsid w:val="00A14492"/>
    <w:rsid w:val="00A2666A"/>
    <w:rsid w:val="00A727E6"/>
    <w:rsid w:val="00A83757"/>
    <w:rsid w:val="00A94B74"/>
    <w:rsid w:val="00AA4094"/>
    <w:rsid w:val="00AC7937"/>
    <w:rsid w:val="00B816F0"/>
    <w:rsid w:val="00BB45AE"/>
    <w:rsid w:val="00BC6819"/>
    <w:rsid w:val="00C152E1"/>
    <w:rsid w:val="00C421A9"/>
    <w:rsid w:val="00C42626"/>
    <w:rsid w:val="00C43DBE"/>
    <w:rsid w:val="00C5214F"/>
    <w:rsid w:val="00C676B8"/>
    <w:rsid w:val="00C7386E"/>
    <w:rsid w:val="00C76F63"/>
    <w:rsid w:val="00CB7D7B"/>
    <w:rsid w:val="00CC1370"/>
    <w:rsid w:val="00CF460A"/>
    <w:rsid w:val="00CF4C90"/>
    <w:rsid w:val="00D76CB3"/>
    <w:rsid w:val="00D81782"/>
    <w:rsid w:val="00DB68C1"/>
    <w:rsid w:val="00DD55B5"/>
    <w:rsid w:val="00DD783A"/>
    <w:rsid w:val="00DE46FF"/>
    <w:rsid w:val="00DF3412"/>
    <w:rsid w:val="00E132E0"/>
    <w:rsid w:val="00E341B8"/>
    <w:rsid w:val="00E6297C"/>
    <w:rsid w:val="00E779BE"/>
    <w:rsid w:val="00F246D2"/>
    <w:rsid w:val="00F44CD0"/>
    <w:rsid w:val="00F51F9F"/>
    <w:rsid w:val="00F663CE"/>
    <w:rsid w:val="00FA616B"/>
    <w:rsid w:val="00FC1E56"/>
    <w:rsid w:val="00FD4921"/>
    <w:rsid w:val="00FD6504"/>
    <w:rsid w:val="00FE2F07"/>
    <w:rsid w:val="00FF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paragraph" w:styleId="Heading1">
    <w:name w:val="heading 1"/>
    <w:basedOn w:val="BodyText"/>
    <w:link w:val="Heading1Char"/>
    <w:uiPriority w:val="9"/>
    <w:qFormat/>
    <w:rsid w:val="00DE46FF"/>
    <w:pPr>
      <w:ind w:left="810" w:right="900"/>
      <w:outlineLvl w:val="0"/>
    </w:pPr>
    <w:rPr>
      <w:rFonts w:ascii="Aptos" w:hAnsi="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 w:type="character" w:customStyle="1" w:styleId="Heading1Char">
    <w:name w:val="Heading 1 Char"/>
    <w:basedOn w:val="DefaultParagraphFont"/>
    <w:link w:val="Heading1"/>
    <w:uiPriority w:val="9"/>
    <w:rsid w:val="00DE46FF"/>
    <w:rPr>
      <w:rFonts w:ascii="Aptos" w:eastAsia="Times New Roman" w:hAnsi="Aptos" w:cs="Times New Roman"/>
      <w:sz w:val="24"/>
      <w:szCs w:val="24"/>
    </w:rPr>
  </w:style>
  <w:style w:type="paragraph" w:styleId="FootnoteText">
    <w:name w:val="footnote text"/>
    <w:basedOn w:val="Normal"/>
    <w:link w:val="FootnoteTextChar"/>
    <w:uiPriority w:val="99"/>
    <w:semiHidden/>
    <w:unhideWhenUsed/>
    <w:rsid w:val="003D0825"/>
    <w:rPr>
      <w:sz w:val="20"/>
    </w:rPr>
  </w:style>
  <w:style w:type="character" w:customStyle="1" w:styleId="FootnoteTextChar">
    <w:name w:val="Footnote Text Char"/>
    <w:basedOn w:val="DefaultParagraphFont"/>
    <w:link w:val="FootnoteText"/>
    <w:uiPriority w:val="99"/>
    <w:semiHidden/>
    <w:rsid w:val="003D08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0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H.DON@mas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Wilson@ebglaw.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NCHI@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ongrants@hria.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AB55A-ADB3-46E8-B0EF-D450083AAD8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238</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Shields Imaging Final Action</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Farber Proton Final Action</dc:title>
  <dc:subject/>
  <dc:creator>Marks, Brett (DPH)</dc:creator>
  <cp:keywords/>
  <dc:description/>
  <cp:lastModifiedBy>Marks, Brett (DPH)</cp:lastModifiedBy>
  <cp:revision>93</cp:revision>
  <dcterms:created xsi:type="dcterms:W3CDTF">2023-05-18T13:56:00Z</dcterms:created>
  <dcterms:modified xsi:type="dcterms:W3CDTF">2026-05-15T12:40:00Z</dcterms:modified>
</cp:coreProperties>
</file>