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0F32" w14:textId="1A2F348A" w:rsidR="00AC7937" w:rsidRDefault="00AC7937" w:rsidP="00AC7937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4C60B32" wp14:editId="4CA85607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</w:r>
      <w:r w:rsidR="00F44CD0"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>The Commonwealth of Massachusetts</w:t>
      </w:r>
    </w:p>
    <w:p w14:paraId="36F9C635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735BF50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53F934A8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51B3562C" w14:textId="77777777" w:rsidR="008E5521" w:rsidRDefault="008E5521" w:rsidP="008E5521">
      <w:pPr>
        <w:ind w:right="2340"/>
        <w:contextualSpacing/>
        <w:rPr>
          <w:rFonts w:ascii="Arial Rounded MT Bold" w:hAnsi="Arial Rounded MT Bold"/>
          <w:sz w:val="16"/>
        </w:rPr>
        <w:sectPr w:rsidR="008E5521" w:rsidSect="0011358C">
          <w:headerReference w:type="even" r:id="rId9"/>
          <w:footerReference w:type="default" r:id="rId10"/>
          <w:headerReference w:type="first" r:id="rId11"/>
          <w:pgSz w:w="12240" w:h="15840"/>
          <w:pgMar w:top="540" w:right="260" w:bottom="1260" w:left="640" w:header="0" w:footer="0" w:gutter="0"/>
          <w:cols w:space="720"/>
          <w:docGrid w:linePitch="326"/>
        </w:sectPr>
      </w:pPr>
    </w:p>
    <w:p w14:paraId="55CEE6EB" w14:textId="77777777" w:rsidR="00AC7937" w:rsidRPr="001D6D5B" w:rsidRDefault="00AC7937" w:rsidP="008E5521">
      <w:pPr>
        <w:ind w:right="2340" w:firstLine="720"/>
        <w:contextualSpacing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MAURA T. HEALEY</w:t>
      </w:r>
    </w:p>
    <w:p w14:paraId="7D7DA174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sz w:val="14"/>
          <w:szCs w:val="18"/>
        </w:rPr>
      </w:pPr>
      <w:r w:rsidRPr="001D6D5B">
        <w:rPr>
          <w:sz w:val="14"/>
          <w:szCs w:val="18"/>
        </w:rPr>
        <w:t>Governor</w:t>
      </w:r>
    </w:p>
    <w:p w14:paraId="57A7E868" w14:textId="77777777" w:rsidR="00AC7937" w:rsidRPr="001D6D5B" w:rsidRDefault="00AC7937" w:rsidP="00AC7937">
      <w:pPr>
        <w:ind w:right="2340"/>
        <w:contextualSpacing/>
        <w:jc w:val="center"/>
        <w:rPr>
          <w:sz w:val="14"/>
          <w:szCs w:val="18"/>
        </w:rPr>
      </w:pPr>
    </w:p>
    <w:p w14:paraId="5F8BD4FE" w14:textId="77777777" w:rsidR="00AC7937" w:rsidRPr="001D6D5B" w:rsidRDefault="00AC7937" w:rsidP="00AC7937">
      <w:pPr>
        <w:ind w:right="225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KIMBERLEY DRISCOLL</w:t>
      </w:r>
    </w:p>
    <w:p w14:paraId="1276EDBE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 w:val="14"/>
          <w:szCs w:val="22"/>
        </w:rPr>
      </w:pPr>
      <w:r w:rsidRPr="001D6D5B">
        <w:rPr>
          <w:sz w:val="14"/>
          <w:szCs w:val="18"/>
        </w:rPr>
        <w:t>Lieutenant Governor</w:t>
      </w:r>
    </w:p>
    <w:p w14:paraId="778B40DA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3443D931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29EFF928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76362A87" w14:textId="1F7BEFC7" w:rsidR="00AC7937" w:rsidRPr="001D6D5B" w:rsidRDefault="00AC7937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ATHLEEN E. WALSH</w:t>
      </w:r>
    </w:p>
    <w:p w14:paraId="170A635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  <w:r w:rsidRPr="001D6D5B">
        <w:rPr>
          <w:sz w:val="14"/>
          <w:szCs w:val="18"/>
        </w:rPr>
        <w:t>Secretary</w:t>
      </w:r>
    </w:p>
    <w:p w14:paraId="04911862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</w:p>
    <w:p w14:paraId="52FEDDB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2"/>
          <w:szCs w:val="16"/>
        </w:rPr>
      </w:pPr>
      <w:r w:rsidRPr="001D6D5B">
        <w:rPr>
          <w:sz w:val="12"/>
          <w:szCs w:val="16"/>
        </w:rPr>
        <w:t>ROBERT GOLDSTEIN, MD, PhD</w:t>
      </w:r>
    </w:p>
    <w:p w14:paraId="2349E991" w14:textId="265CD908" w:rsidR="00AC7937" w:rsidRPr="00C2477D" w:rsidRDefault="00AC7937" w:rsidP="00AC7937">
      <w:pPr>
        <w:pStyle w:val="Weld"/>
        <w:framePr w:hSpace="0" w:wrap="auto" w:vAnchor="margin" w:hAnchor="text" w:xAlign="left" w:yAlign="inline"/>
        <w:ind w:left="1980"/>
      </w:pPr>
      <w:r w:rsidRPr="001D6D5B">
        <w:rPr>
          <w:sz w:val="14"/>
          <w:szCs w:val="12"/>
        </w:rPr>
        <w:t>Commissioner</w:t>
      </w:r>
    </w:p>
    <w:p w14:paraId="659222A9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32489612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25B200DD" w14:textId="77777777" w:rsidR="00AC7937" w:rsidRPr="00A763BA" w:rsidRDefault="00000000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2" w:history="1">
        <w:r w:rsidR="00AC7937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67FDC148" w14:textId="77777777" w:rsidR="008E5521" w:rsidRDefault="008E5521" w:rsidP="00AC7937">
      <w:pPr>
        <w:rPr>
          <w:szCs w:val="24"/>
        </w:rPr>
        <w:sectPr w:rsidR="008E5521" w:rsidSect="0011358C">
          <w:type w:val="continuous"/>
          <w:pgSz w:w="12240" w:h="15840"/>
          <w:pgMar w:top="1380" w:right="260" w:bottom="1260" w:left="640" w:header="0" w:footer="1061" w:gutter="0"/>
          <w:cols w:num="2" w:space="720"/>
        </w:sectPr>
      </w:pPr>
    </w:p>
    <w:p w14:paraId="2955938A" w14:textId="02A2FB58" w:rsidR="004E26E5" w:rsidRDefault="00CC5553" w:rsidP="004E26E5">
      <w:pPr>
        <w:pStyle w:val="BodyText"/>
        <w:ind w:left="810"/>
      </w:pPr>
      <w:r>
        <w:t>April 17</w:t>
      </w:r>
      <w:r w:rsidR="004E26E5">
        <w:t>, 2024</w:t>
      </w:r>
    </w:p>
    <w:p w14:paraId="5309E7A1" w14:textId="77777777" w:rsidR="004E26E5" w:rsidRDefault="004E26E5" w:rsidP="004E26E5">
      <w:pPr>
        <w:pStyle w:val="BodyText"/>
        <w:rPr>
          <w:spacing w:val="-4"/>
        </w:rPr>
      </w:pPr>
    </w:p>
    <w:p w14:paraId="73795705" w14:textId="77777777" w:rsidR="007220C6" w:rsidRDefault="007220C6" w:rsidP="007220C6">
      <w:pPr>
        <w:pStyle w:val="BodyText"/>
        <w:ind w:left="800" w:right="8207"/>
      </w:pPr>
      <w:r>
        <w:t>Crystal</w:t>
      </w:r>
      <w:r>
        <w:rPr>
          <w:spacing w:val="-15"/>
        </w:rPr>
        <w:t xml:space="preserve"> </w:t>
      </w:r>
      <w:r>
        <w:t>Bloom,</w:t>
      </w:r>
      <w:r>
        <w:rPr>
          <w:spacing w:val="-15"/>
        </w:rPr>
        <w:t xml:space="preserve"> </w:t>
      </w:r>
      <w:r>
        <w:t xml:space="preserve">Esq </w:t>
      </w:r>
      <w:r>
        <w:rPr>
          <w:spacing w:val="-2"/>
        </w:rPr>
        <w:t>Partner</w:t>
      </w:r>
    </w:p>
    <w:p w14:paraId="110C5C72" w14:textId="77777777" w:rsidR="007220C6" w:rsidRDefault="007220C6" w:rsidP="007220C6">
      <w:pPr>
        <w:pStyle w:val="BodyText"/>
        <w:spacing w:before="1"/>
        <w:ind w:left="800" w:right="8207"/>
      </w:pPr>
      <w:r>
        <w:t>Husch</w:t>
      </w:r>
      <w:r>
        <w:rPr>
          <w:spacing w:val="-15"/>
        </w:rPr>
        <w:t xml:space="preserve"> </w:t>
      </w:r>
      <w:r>
        <w:t>Blackwell</w:t>
      </w:r>
      <w:r>
        <w:rPr>
          <w:spacing w:val="-15"/>
        </w:rPr>
        <w:t xml:space="preserve"> </w:t>
      </w:r>
      <w:r>
        <w:t>LLP One Beacon Street, Suite 1320</w:t>
      </w:r>
    </w:p>
    <w:p w14:paraId="22433E2F" w14:textId="77777777" w:rsidR="007220C6" w:rsidRDefault="007220C6" w:rsidP="007220C6">
      <w:pPr>
        <w:pStyle w:val="BodyText"/>
        <w:ind w:left="800"/>
      </w:pPr>
      <w:r>
        <w:t>Boston,</w:t>
      </w:r>
      <w:r>
        <w:rPr>
          <w:spacing w:val="-1"/>
        </w:rPr>
        <w:t xml:space="preserve"> </w:t>
      </w:r>
      <w:r>
        <w:t>MA 02108-</w:t>
      </w:r>
      <w:r>
        <w:rPr>
          <w:spacing w:val="-4"/>
        </w:rPr>
        <w:t>3106</w:t>
      </w:r>
    </w:p>
    <w:p w14:paraId="08B55078" w14:textId="77777777" w:rsidR="007220C6" w:rsidRDefault="007220C6" w:rsidP="007220C6">
      <w:pPr>
        <w:pStyle w:val="BodyText"/>
      </w:pPr>
    </w:p>
    <w:p w14:paraId="2EDCB255" w14:textId="77777777" w:rsidR="007220C6" w:rsidRDefault="007220C6" w:rsidP="007220C6">
      <w:pPr>
        <w:pStyle w:val="BodyText"/>
        <w:ind w:left="800"/>
      </w:pPr>
      <w:r>
        <w:t>VIA</w:t>
      </w:r>
      <w:r>
        <w:rPr>
          <w:spacing w:val="-3"/>
        </w:rPr>
        <w:t xml:space="preserve"> </w:t>
      </w:r>
      <w:r>
        <w:t>Email:</w:t>
      </w:r>
      <w:r>
        <w:rPr>
          <w:spacing w:val="-2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Crystal.Bloom@huschblackwell.com</w:t>
        </w:r>
      </w:hyperlink>
    </w:p>
    <w:p w14:paraId="63B23D32" w14:textId="77777777" w:rsidR="007220C6" w:rsidRDefault="007220C6" w:rsidP="007220C6">
      <w:pPr>
        <w:pStyle w:val="BodyText"/>
      </w:pPr>
    </w:p>
    <w:p w14:paraId="47E28A98" w14:textId="77777777" w:rsidR="007220C6" w:rsidRDefault="007220C6" w:rsidP="007220C6">
      <w:pPr>
        <w:pStyle w:val="BodyText"/>
        <w:ind w:left="800"/>
      </w:pP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Action:</w:t>
      </w:r>
      <w:r>
        <w:rPr>
          <w:spacing w:val="58"/>
        </w:rPr>
        <w:t xml:space="preserve"> </w:t>
      </w:r>
      <w:r>
        <w:t>MGB-23120414-</w:t>
      </w:r>
      <w:r>
        <w:rPr>
          <w:spacing w:val="-5"/>
        </w:rPr>
        <w:t>AM</w:t>
      </w:r>
    </w:p>
    <w:p w14:paraId="58EBC47B" w14:textId="77777777" w:rsidR="007220C6" w:rsidRDefault="007220C6" w:rsidP="007220C6">
      <w:pPr>
        <w:pStyle w:val="BodyText"/>
        <w:ind w:left="3172"/>
      </w:pPr>
      <w:r>
        <w:t>Significant</w:t>
      </w:r>
      <w:r>
        <w:rPr>
          <w:spacing w:val="-1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DoN</w:t>
      </w:r>
      <w:proofErr w:type="spellEnd"/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#MGB-20121612-</w:t>
      </w:r>
      <w:r>
        <w:rPr>
          <w:spacing w:val="-5"/>
        </w:rPr>
        <w:t>HE</w:t>
      </w:r>
    </w:p>
    <w:p w14:paraId="67DD85A9" w14:textId="77777777" w:rsidR="007220C6" w:rsidRDefault="007220C6" w:rsidP="007220C6">
      <w:pPr>
        <w:pStyle w:val="BodyText"/>
      </w:pPr>
    </w:p>
    <w:p w14:paraId="385DA293" w14:textId="77777777" w:rsidR="007220C6" w:rsidRDefault="007220C6" w:rsidP="007220C6">
      <w:pPr>
        <w:pStyle w:val="BodyText"/>
        <w:ind w:left="800"/>
      </w:pPr>
      <w:r>
        <w:t>Dear</w:t>
      </w:r>
      <w:r>
        <w:rPr>
          <w:spacing w:val="-2"/>
        </w:rPr>
        <w:t xml:space="preserve"> </w:t>
      </w:r>
      <w:r>
        <w:t>Attorney</w:t>
      </w:r>
      <w:r>
        <w:rPr>
          <w:spacing w:val="-2"/>
        </w:rPr>
        <w:t xml:space="preserve"> Bloom,</w:t>
      </w:r>
    </w:p>
    <w:p w14:paraId="7B32B6BE" w14:textId="77777777" w:rsidR="007220C6" w:rsidRDefault="007220C6" w:rsidP="007220C6">
      <w:pPr>
        <w:pStyle w:val="BodyText"/>
        <w:spacing w:before="241"/>
        <w:ind w:left="800" w:right="1215"/>
      </w:pPr>
      <w:r>
        <w:t xml:space="preserve">At their meeting of April 17, 2024, the </w:t>
      </w:r>
      <w:proofErr w:type="gramStart"/>
      <w:r>
        <w:t>Commissioner</w:t>
      </w:r>
      <w:proofErr w:type="gramEnd"/>
      <w:r>
        <w:t xml:space="preserve"> and the Public Health Council, acting together as the Department, voted pursuant to 105 C.M.R. 100.635(A)(2) to approve the request by</w:t>
      </w:r>
      <w:r>
        <w:rPr>
          <w:spacing w:val="-3"/>
        </w:rPr>
        <w:t xml:space="preserve"> </w:t>
      </w:r>
      <w:r>
        <w:t>Mass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Brigham,</w:t>
      </w:r>
      <w:r>
        <w:rPr>
          <w:spacing w:val="-4"/>
        </w:rPr>
        <w:t xml:space="preserve"> </w:t>
      </w:r>
      <w:r>
        <w:t>Inc.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located at Mass General Hospital 55 Fruit St in Boston.</w:t>
      </w:r>
      <w:r>
        <w:rPr>
          <w:spacing w:val="40"/>
        </w:rPr>
        <w:t xml:space="preserve"> </w:t>
      </w:r>
      <w:r>
        <w:t>This approval incorporates the Memorandum to the Public Health Council (Memorandum) and the Public Health Council proceedings</w:t>
      </w:r>
      <w:r>
        <w:rPr>
          <w:spacing w:val="40"/>
        </w:rPr>
        <w:t xml:space="preserve"> </w:t>
      </w:r>
      <w:r>
        <w:t>concerning this Request. The approval is for the addition of 94 inpatient beds to Mass General</w:t>
      </w:r>
    </w:p>
    <w:p w14:paraId="639992F4" w14:textId="77777777" w:rsidR="007220C6" w:rsidRDefault="007220C6" w:rsidP="007220C6">
      <w:pPr>
        <w:pStyle w:val="BodyText"/>
        <w:spacing w:before="2" w:line="237" w:lineRule="auto"/>
        <w:ind w:left="800" w:right="1188"/>
      </w:pPr>
      <w:r>
        <w:t>Hospital’s</w:t>
      </w:r>
      <w:r>
        <w:rPr>
          <w:spacing w:val="-4"/>
        </w:rPr>
        <w:t xml:space="preserve"> </w:t>
      </w:r>
      <w:r>
        <w:t>license.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$0.00,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Capital Expenditure remains unchanged.</w:t>
      </w:r>
    </w:p>
    <w:p w14:paraId="15A78544" w14:textId="77777777" w:rsidR="007220C6" w:rsidRDefault="007220C6" w:rsidP="007220C6">
      <w:pPr>
        <w:pStyle w:val="BodyText"/>
        <w:spacing w:before="1"/>
      </w:pPr>
    </w:p>
    <w:p w14:paraId="56B04763" w14:textId="7312102F" w:rsidR="007220C6" w:rsidRDefault="007220C6" w:rsidP="007220C6">
      <w:pPr>
        <w:pStyle w:val="BodyText"/>
        <w:ind w:left="800" w:right="1188"/>
      </w:pPr>
      <w:r>
        <w:t>Based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submitted,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record,</w:t>
      </w:r>
      <w:r w:rsidR="00812425">
        <w:rPr>
          <w:rStyle w:val="FootnoteReference"/>
        </w:rPr>
        <w:footnoteReference w:id="1"/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that the Significant Change is within the scope of the Notice of Determination of Need as previously approved by the Department and … is reasonable” 105 C.M.R. 100.635(A)(2), which are the requirements for approval of an Amendment. This Notice of Final Action incorporates by reference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Memorandum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Commissioner,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Council proceedings concerning this Amendment.</w:t>
      </w:r>
    </w:p>
    <w:p w14:paraId="43AF77F5" w14:textId="77777777" w:rsidR="007220C6" w:rsidRDefault="007220C6" w:rsidP="007220C6">
      <w:pPr>
        <w:pStyle w:val="BodyText"/>
        <w:spacing w:before="1"/>
      </w:pPr>
    </w:p>
    <w:p w14:paraId="3D99C76C" w14:textId="77777777" w:rsidR="007220C6" w:rsidRDefault="007220C6" w:rsidP="007220C6">
      <w:pPr>
        <w:pStyle w:val="BodyText"/>
        <w:ind w:left="800" w:right="1188"/>
      </w:pPr>
      <w:r>
        <w:t>In</w:t>
      </w:r>
      <w:r>
        <w:rPr>
          <w:spacing w:val="-1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105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100.310(A)(2)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(11),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submit an acknowledgment of receipt to the Department (attached) and include a written attestation of participation or intent to participate in MassHealth.</w:t>
      </w:r>
    </w:p>
    <w:p w14:paraId="4F8456C5" w14:textId="1AEA1A95" w:rsidR="007220C6" w:rsidRDefault="007220C6" w:rsidP="007220C6">
      <w:pPr>
        <w:pStyle w:val="BodyText"/>
        <w:spacing w:before="202"/>
        <w:rPr>
          <w:sz w:val="20"/>
        </w:rPr>
      </w:pPr>
    </w:p>
    <w:p w14:paraId="11E07ADC" w14:textId="3DBD1C0E" w:rsidR="007220C6" w:rsidRDefault="007220C6" w:rsidP="00E70DDD">
      <w:pPr>
        <w:spacing w:before="105"/>
        <w:ind w:left="800"/>
        <w:rPr>
          <w:sz w:val="16"/>
        </w:rPr>
        <w:sectPr w:rsidR="007220C6" w:rsidSect="0011358C">
          <w:type w:val="continuous"/>
          <w:pgSz w:w="12240" w:h="15840"/>
          <w:pgMar w:top="560" w:right="260" w:bottom="280" w:left="640" w:header="720" w:footer="720" w:gutter="0"/>
          <w:cols w:space="720"/>
        </w:sectPr>
      </w:pPr>
      <w:bookmarkStart w:id="0" w:name="_bookmark0"/>
      <w:bookmarkEnd w:id="0"/>
    </w:p>
    <w:p w14:paraId="6BD5FF45" w14:textId="77777777" w:rsidR="007220C6" w:rsidRDefault="007220C6" w:rsidP="007220C6">
      <w:pPr>
        <w:pStyle w:val="BodyText"/>
        <w:spacing w:before="68"/>
        <w:ind w:left="800" w:right="1287"/>
      </w:pPr>
      <w:r>
        <w:t>Please</w:t>
      </w:r>
      <w:r>
        <w:rPr>
          <w:spacing w:val="-4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DoN</w:t>
      </w:r>
      <w:proofErr w:type="spellEnd"/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4">
        <w:r>
          <w:rPr>
            <w:color w:val="2E5395"/>
            <w:u w:val="single" w:color="2E5395"/>
          </w:rPr>
          <w:t>DPH.DON@mass.gov</w:t>
        </w:r>
      </w:hyperlink>
      <w:r>
        <w:rPr>
          <w:color w:val="2E5395"/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anticipated</w:t>
      </w:r>
      <w:r>
        <w:rPr>
          <w:spacing w:val="-1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 all the components of the approved Amendment Project once it has been established.</w:t>
      </w:r>
    </w:p>
    <w:p w14:paraId="0BAEE07F" w14:textId="77777777" w:rsidR="007220C6" w:rsidRDefault="007220C6" w:rsidP="007220C6">
      <w:pPr>
        <w:pStyle w:val="BodyText"/>
        <w:ind w:left="800" w:right="1188"/>
      </w:pPr>
      <w:r>
        <w:t xml:space="preserve">Additionally, please send an email confirming the Project's completion (licensure/ amended licensure approval date) and the first day of operations to determine the annual </w:t>
      </w:r>
      <w:proofErr w:type="spellStart"/>
      <w:r>
        <w:t>DoN</w:t>
      </w:r>
      <w:proofErr w:type="spellEnd"/>
      <w:r>
        <w:t xml:space="preserve"> reporting timeline.</w:t>
      </w:r>
      <w:r>
        <w:rPr>
          <w:spacing w:val="-4"/>
        </w:rPr>
        <w:t xml:space="preserve"> </w:t>
      </w:r>
      <w:r>
        <w:t>Post</w:t>
      </w:r>
      <w:r>
        <w:rPr>
          <w:spacing w:val="-3"/>
        </w:rPr>
        <w:t xml:space="preserve"> </w:t>
      </w:r>
      <w:proofErr w:type="spellStart"/>
      <w:r>
        <w:t>DoN</w:t>
      </w:r>
      <w:proofErr w:type="spellEnd"/>
      <w:r>
        <w:rPr>
          <w:spacing w:val="-5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3"/>
        </w:rPr>
        <w:t xml:space="preserve"> </w:t>
      </w:r>
      <w:proofErr w:type="spellStart"/>
      <w:r>
        <w:t>DoN</w:t>
      </w:r>
      <w:proofErr w:type="spellEnd"/>
      <w:r>
        <w:rPr>
          <w:spacing w:val="-2"/>
        </w:rPr>
        <w:t xml:space="preserve"> </w:t>
      </w:r>
      <w:r>
        <w:t>(#MGB-20121612-HE)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five years after the completion of the Amendment Project with Amendment Conditions included in the reporting.</w:t>
      </w:r>
    </w:p>
    <w:p w14:paraId="4EE7274D" w14:textId="77777777" w:rsidR="007220C6" w:rsidRDefault="007220C6" w:rsidP="007220C6">
      <w:pPr>
        <w:pStyle w:val="BodyText"/>
        <w:spacing w:before="17"/>
      </w:pPr>
    </w:p>
    <w:p w14:paraId="14DB9389" w14:textId="77777777" w:rsidR="007220C6" w:rsidRDefault="007220C6" w:rsidP="007220C6">
      <w:pPr>
        <w:ind w:left="800"/>
        <w:rPr>
          <w:b/>
        </w:rPr>
      </w:pP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Conditions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proofErr w:type="spellStart"/>
      <w:r>
        <w:rPr>
          <w:b/>
          <w:spacing w:val="-5"/>
        </w:rPr>
        <w:t>DoN</w:t>
      </w:r>
      <w:proofErr w:type="spellEnd"/>
    </w:p>
    <w:p w14:paraId="46B7AB16" w14:textId="77777777" w:rsidR="007220C6" w:rsidRDefault="007220C6" w:rsidP="007220C6">
      <w:pPr>
        <w:pStyle w:val="ListParagraph"/>
        <w:widowControl w:val="0"/>
        <w:numPr>
          <w:ilvl w:val="0"/>
          <w:numId w:val="8"/>
        </w:numPr>
        <w:tabs>
          <w:tab w:val="left" w:pos="1520"/>
        </w:tabs>
        <w:autoSpaceDE w:val="0"/>
        <w:autoSpaceDN w:val="0"/>
        <w:spacing w:before="10" w:line="230" w:lineRule="auto"/>
        <w:ind w:right="1717"/>
        <w:contextualSpacing w:val="0"/>
      </w:pPr>
      <w:r>
        <w:t>To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post-acute</w:t>
      </w:r>
      <w:r>
        <w:rPr>
          <w:spacing w:val="-3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discharge</w:t>
      </w:r>
      <w:r>
        <w:rPr>
          <w:spacing w:val="-5"/>
        </w:rPr>
        <w:t xml:space="preserve"> </w:t>
      </w:r>
      <w:r>
        <w:t>delays,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Holder</w:t>
      </w:r>
      <w:r>
        <w:rPr>
          <w:spacing w:val="-5"/>
        </w:rPr>
        <w:t xml:space="preserve"> </w:t>
      </w:r>
      <w:r>
        <w:t>shall provide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delays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M/S population.</w:t>
      </w:r>
    </w:p>
    <w:p w14:paraId="0F2B4D4D" w14:textId="77777777" w:rsidR="007220C6" w:rsidRDefault="007220C6" w:rsidP="007220C6">
      <w:pPr>
        <w:pStyle w:val="ListParagraph"/>
        <w:widowControl w:val="0"/>
        <w:numPr>
          <w:ilvl w:val="0"/>
          <w:numId w:val="8"/>
        </w:numPr>
        <w:tabs>
          <w:tab w:val="left" w:pos="1520"/>
        </w:tabs>
        <w:autoSpaceDE w:val="0"/>
        <w:autoSpaceDN w:val="0"/>
        <w:spacing w:before="6" w:line="235" w:lineRule="auto"/>
        <w:ind w:right="1289"/>
        <w:contextualSpacing w:val="0"/>
      </w:pPr>
      <w:r>
        <w:t>To track the effectiveness of the Holder’s efforts to direct admissions to community hospitals,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Tertiary</w:t>
      </w:r>
      <w:r>
        <w:rPr>
          <w:spacing w:val="-3"/>
        </w:rPr>
        <w:t xml:space="preserve"> </w:t>
      </w:r>
      <w:r>
        <w:t>admissions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annual Post </w:t>
      </w:r>
      <w:proofErr w:type="spellStart"/>
      <w:r>
        <w:t>DoN</w:t>
      </w:r>
      <w:proofErr w:type="spellEnd"/>
      <w:r>
        <w:t xml:space="preserve"> reporting for the original project #MGB-20121612-HE.</w:t>
      </w:r>
    </w:p>
    <w:p w14:paraId="0B414271" w14:textId="77777777" w:rsidR="007220C6" w:rsidRDefault="007220C6" w:rsidP="007220C6">
      <w:pPr>
        <w:pStyle w:val="BodyText"/>
      </w:pPr>
    </w:p>
    <w:p w14:paraId="619E96C1" w14:textId="77777777" w:rsidR="007220C6" w:rsidRDefault="007220C6" w:rsidP="007220C6">
      <w:pPr>
        <w:pStyle w:val="BodyText"/>
        <w:ind w:left="800" w:right="1287"/>
      </w:pPr>
      <w:r>
        <w:t>The</w:t>
      </w:r>
      <w:r>
        <w:rPr>
          <w:spacing w:val="-5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beds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proofErr w:type="spellStart"/>
      <w:r>
        <w:t>DoN</w:t>
      </w:r>
      <w:proofErr w:type="spellEnd"/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Conditions and Outcome Measures data for the original project #MGB-20121612-HE.</w:t>
      </w:r>
    </w:p>
    <w:p w14:paraId="1C0A62AD" w14:textId="77777777" w:rsidR="007220C6" w:rsidRDefault="007220C6" w:rsidP="007220C6">
      <w:pPr>
        <w:pStyle w:val="BodyText"/>
      </w:pPr>
    </w:p>
    <w:p w14:paraId="5578444A" w14:textId="77777777" w:rsidR="007220C6" w:rsidRDefault="007220C6" w:rsidP="007220C6">
      <w:pPr>
        <w:pStyle w:val="BodyText"/>
        <w:ind w:left="800" w:right="1214"/>
      </w:pPr>
      <w:r>
        <w:t>Ongoing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DoN</w:t>
      </w:r>
      <w:proofErr w:type="spellEnd"/>
      <w:r>
        <w:rPr>
          <w:spacing w:val="-3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Regulation, a precondition to the filing of any future </w:t>
      </w:r>
      <w:proofErr w:type="spellStart"/>
      <w:r>
        <w:t>DoN</w:t>
      </w:r>
      <w:proofErr w:type="spellEnd"/>
      <w:r>
        <w:t xml:space="preserve"> by the Holder.</w:t>
      </w:r>
    </w:p>
    <w:p w14:paraId="01E0A2A1" w14:textId="77777777" w:rsidR="007220C6" w:rsidRDefault="007220C6" w:rsidP="007220C6">
      <w:pPr>
        <w:pStyle w:val="BodyText"/>
      </w:pPr>
    </w:p>
    <w:p w14:paraId="21CBA281" w14:textId="77777777" w:rsidR="007220C6" w:rsidRDefault="007220C6" w:rsidP="007220C6">
      <w:pPr>
        <w:pStyle w:val="BodyText"/>
      </w:pPr>
    </w:p>
    <w:p w14:paraId="1C25E232" w14:textId="77777777" w:rsidR="007220C6" w:rsidRDefault="007220C6" w:rsidP="007220C6">
      <w:pPr>
        <w:pStyle w:val="BodyText"/>
        <w:ind w:left="800"/>
      </w:pPr>
      <w:r>
        <w:rPr>
          <w:spacing w:val="-2"/>
        </w:rPr>
        <w:t>Sincerely,</w:t>
      </w:r>
    </w:p>
    <w:p w14:paraId="74634C89" w14:textId="77777777" w:rsidR="007220C6" w:rsidRDefault="007220C6" w:rsidP="007220C6">
      <w:pPr>
        <w:pStyle w:val="BodyText"/>
        <w:spacing w:before="1"/>
      </w:pPr>
    </w:p>
    <w:p w14:paraId="207C22B3" w14:textId="77777777" w:rsidR="007220C6" w:rsidRDefault="007220C6" w:rsidP="007220C6">
      <w:pPr>
        <w:ind w:left="800"/>
        <w:rPr>
          <w:rFonts w:ascii="Vladimir Script"/>
          <w:i/>
        </w:rPr>
      </w:pPr>
      <w:r>
        <w:rPr>
          <w:rFonts w:ascii="Vladimir Script"/>
          <w:i/>
        </w:rPr>
        <w:t>Dennis</w:t>
      </w:r>
      <w:r>
        <w:rPr>
          <w:rFonts w:ascii="Vladimir Script"/>
          <w:i/>
          <w:spacing w:val="-3"/>
        </w:rPr>
        <w:t xml:space="preserve"> </w:t>
      </w:r>
      <w:r>
        <w:rPr>
          <w:rFonts w:ascii="Vladimir Script"/>
          <w:i/>
          <w:spacing w:val="-2"/>
        </w:rPr>
        <w:t>Renaud</w:t>
      </w:r>
    </w:p>
    <w:p w14:paraId="554BFB7A" w14:textId="77777777" w:rsidR="007220C6" w:rsidRDefault="007220C6" w:rsidP="007220C6">
      <w:pPr>
        <w:pStyle w:val="BodyText"/>
        <w:spacing w:before="222"/>
        <w:ind w:left="800"/>
      </w:pPr>
      <w:r>
        <w:t>Dennis</w:t>
      </w:r>
      <w:r>
        <w:rPr>
          <w:spacing w:val="-4"/>
        </w:rPr>
        <w:t xml:space="preserve"> </w:t>
      </w:r>
      <w:r>
        <w:rPr>
          <w:spacing w:val="-2"/>
        </w:rPr>
        <w:t>Renaud</w:t>
      </w:r>
    </w:p>
    <w:p w14:paraId="5EFB57FA" w14:textId="77777777" w:rsidR="007220C6" w:rsidRDefault="007220C6" w:rsidP="007220C6">
      <w:pPr>
        <w:pStyle w:val="BodyText"/>
        <w:ind w:left="800"/>
      </w:pPr>
      <w:r>
        <w:t>Director,</w:t>
      </w:r>
      <w:r>
        <w:rPr>
          <w:spacing w:val="-3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Program</w:t>
      </w:r>
    </w:p>
    <w:p w14:paraId="6B6AF7CC" w14:textId="77777777" w:rsidR="007220C6" w:rsidRDefault="007220C6" w:rsidP="007220C6">
      <w:pPr>
        <w:pStyle w:val="BodyText"/>
      </w:pPr>
    </w:p>
    <w:p w14:paraId="01B12F1F" w14:textId="77777777" w:rsidR="007220C6" w:rsidRDefault="007220C6" w:rsidP="007220C6">
      <w:pPr>
        <w:pStyle w:val="BodyText"/>
        <w:spacing w:before="138"/>
      </w:pPr>
    </w:p>
    <w:p w14:paraId="05695BDB" w14:textId="77777777" w:rsidR="007220C6" w:rsidRDefault="007220C6" w:rsidP="007220C6">
      <w:pPr>
        <w:spacing w:before="1"/>
        <w:ind w:left="800"/>
        <w:rPr>
          <w:sz w:val="20"/>
        </w:rPr>
      </w:pPr>
      <w:r>
        <w:rPr>
          <w:spacing w:val="-5"/>
          <w:sz w:val="20"/>
        </w:rPr>
        <w:t>cc:</w:t>
      </w:r>
    </w:p>
    <w:p w14:paraId="35F59EC1" w14:textId="77777777" w:rsidR="007220C6" w:rsidRDefault="007220C6" w:rsidP="007220C6">
      <w:pPr>
        <w:ind w:left="800" w:right="4454"/>
        <w:rPr>
          <w:sz w:val="20"/>
        </w:rPr>
      </w:pPr>
      <w:r>
        <w:rPr>
          <w:sz w:val="20"/>
        </w:rPr>
        <w:t>Elizabeth</w:t>
      </w:r>
      <w:r>
        <w:rPr>
          <w:spacing w:val="-9"/>
          <w:sz w:val="20"/>
        </w:rPr>
        <w:t xml:space="preserve"> </w:t>
      </w:r>
      <w:r>
        <w:rPr>
          <w:sz w:val="20"/>
        </w:rPr>
        <w:t>Kelley,</w:t>
      </w:r>
      <w:r>
        <w:rPr>
          <w:spacing w:val="-9"/>
          <w:sz w:val="20"/>
        </w:rPr>
        <w:t xml:space="preserve"> </w:t>
      </w:r>
      <w:r>
        <w:rPr>
          <w:sz w:val="20"/>
        </w:rPr>
        <w:t>Director</w:t>
      </w:r>
      <w:r>
        <w:rPr>
          <w:spacing w:val="-9"/>
          <w:sz w:val="20"/>
        </w:rPr>
        <w:t xml:space="preserve"> </w:t>
      </w:r>
      <w:r>
        <w:rPr>
          <w:sz w:val="20"/>
        </w:rPr>
        <w:t>Bureau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Health</w:t>
      </w:r>
      <w:r>
        <w:rPr>
          <w:spacing w:val="-9"/>
          <w:sz w:val="20"/>
        </w:rPr>
        <w:t xml:space="preserve"> </w:t>
      </w:r>
      <w:r>
        <w:rPr>
          <w:sz w:val="20"/>
        </w:rPr>
        <w:t>Care</w:t>
      </w:r>
      <w:r>
        <w:rPr>
          <w:spacing w:val="-9"/>
          <w:sz w:val="20"/>
        </w:rPr>
        <w:t xml:space="preserve"> </w:t>
      </w:r>
      <w:r>
        <w:rPr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Quality Rebecca Kaye, General Counsel’s Office</w:t>
      </w:r>
    </w:p>
    <w:p w14:paraId="2AD81371" w14:textId="77777777" w:rsidR="007220C6" w:rsidRDefault="007220C6" w:rsidP="007220C6">
      <w:pPr>
        <w:spacing w:before="1"/>
        <w:ind w:left="800" w:right="3424"/>
        <w:rPr>
          <w:sz w:val="20"/>
        </w:rPr>
      </w:pPr>
      <w:r>
        <w:rPr>
          <w:sz w:val="20"/>
        </w:rPr>
        <w:t>Stephen</w:t>
      </w:r>
      <w:r>
        <w:rPr>
          <w:spacing w:val="-8"/>
          <w:sz w:val="20"/>
        </w:rPr>
        <w:t xml:space="preserve"> </w:t>
      </w:r>
      <w:r>
        <w:rPr>
          <w:sz w:val="20"/>
        </w:rPr>
        <w:t>Davis,</w:t>
      </w:r>
      <w:r>
        <w:rPr>
          <w:spacing w:val="-9"/>
          <w:sz w:val="20"/>
        </w:rPr>
        <w:t xml:space="preserve"> </w:t>
      </w:r>
      <w:r>
        <w:rPr>
          <w:sz w:val="20"/>
        </w:rPr>
        <w:t>Director,</w:t>
      </w:r>
      <w:r>
        <w:rPr>
          <w:spacing w:val="-8"/>
          <w:sz w:val="20"/>
        </w:rPr>
        <w:t xml:space="preserve"> </w:t>
      </w:r>
      <w:r>
        <w:rPr>
          <w:sz w:val="20"/>
        </w:rPr>
        <w:t>Division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Health</w:t>
      </w:r>
      <w:r>
        <w:rPr>
          <w:spacing w:val="-9"/>
          <w:sz w:val="20"/>
        </w:rPr>
        <w:t xml:space="preserve"> </w:t>
      </w:r>
      <w:r>
        <w:rPr>
          <w:sz w:val="20"/>
        </w:rPr>
        <w:t>Care</w:t>
      </w:r>
      <w:r>
        <w:rPr>
          <w:spacing w:val="-9"/>
          <w:sz w:val="20"/>
        </w:rPr>
        <w:t xml:space="preserve"> </w:t>
      </w:r>
      <w:r>
        <w:rPr>
          <w:sz w:val="20"/>
        </w:rPr>
        <w:t>Facility</w:t>
      </w:r>
      <w:r>
        <w:rPr>
          <w:spacing w:val="-7"/>
          <w:sz w:val="20"/>
        </w:rPr>
        <w:t xml:space="preserve"> </w:t>
      </w:r>
      <w:r>
        <w:rPr>
          <w:sz w:val="20"/>
        </w:rPr>
        <w:t>Licensure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Certification Judy Bernice, Division of Health Care Facility Licensure and Certification</w:t>
      </w:r>
    </w:p>
    <w:p w14:paraId="3E6EAF97" w14:textId="77777777" w:rsidR="007220C6" w:rsidRDefault="007220C6" w:rsidP="007220C6">
      <w:pPr>
        <w:ind w:left="800" w:right="5078"/>
        <w:rPr>
          <w:sz w:val="20"/>
        </w:rPr>
      </w:pPr>
      <w:r>
        <w:rPr>
          <w:sz w:val="20"/>
        </w:rPr>
        <w:t>Hilary</w:t>
      </w:r>
      <w:r>
        <w:rPr>
          <w:spacing w:val="-7"/>
          <w:sz w:val="20"/>
        </w:rPr>
        <w:t xml:space="preserve"> </w:t>
      </w:r>
      <w:r>
        <w:rPr>
          <w:sz w:val="20"/>
        </w:rPr>
        <w:t>Ward,</w:t>
      </w:r>
      <w:r>
        <w:rPr>
          <w:spacing w:val="-13"/>
          <w:sz w:val="20"/>
        </w:rPr>
        <w:t xml:space="preserve"> </w:t>
      </w:r>
      <w:r>
        <w:rPr>
          <w:sz w:val="20"/>
        </w:rPr>
        <w:t>Health</w:t>
      </w:r>
      <w:r>
        <w:rPr>
          <w:spacing w:val="-12"/>
          <w:sz w:val="20"/>
        </w:rPr>
        <w:t xml:space="preserve"> </w:t>
      </w:r>
      <w:r>
        <w:rPr>
          <w:sz w:val="20"/>
        </w:rPr>
        <w:t>Care</w:t>
      </w:r>
      <w:r>
        <w:rPr>
          <w:spacing w:val="-13"/>
          <w:sz w:val="20"/>
        </w:rPr>
        <w:t xml:space="preserve"> </w:t>
      </w:r>
      <w:r>
        <w:rPr>
          <w:sz w:val="20"/>
        </w:rPr>
        <w:t>Facility</w:t>
      </w:r>
      <w:r>
        <w:rPr>
          <w:spacing w:val="-12"/>
          <w:sz w:val="20"/>
        </w:rPr>
        <w:t xml:space="preserve"> </w:t>
      </w:r>
      <w:r>
        <w:rPr>
          <w:sz w:val="20"/>
        </w:rPr>
        <w:t>Licensure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Certification Samuel Louis, Office of Health Equity</w:t>
      </w:r>
    </w:p>
    <w:p w14:paraId="37531005" w14:textId="77777777" w:rsidR="007220C6" w:rsidRDefault="007220C6" w:rsidP="007220C6">
      <w:pPr>
        <w:ind w:left="800" w:right="4454"/>
        <w:rPr>
          <w:sz w:val="20"/>
        </w:rPr>
      </w:pPr>
      <w:r>
        <w:rPr>
          <w:sz w:val="20"/>
        </w:rPr>
        <w:t>Jennica Allen, Division of Community Health Planning and Engagement Elizabeth</w:t>
      </w:r>
      <w:r>
        <w:rPr>
          <w:spacing w:val="-10"/>
          <w:sz w:val="20"/>
        </w:rPr>
        <w:t xml:space="preserve"> </w:t>
      </w:r>
      <w:r>
        <w:rPr>
          <w:sz w:val="20"/>
        </w:rPr>
        <w:t>Maffei,</w:t>
      </w:r>
      <w:r>
        <w:rPr>
          <w:spacing w:val="-10"/>
          <w:sz w:val="20"/>
        </w:rPr>
        <w:t xml:space="preserve"> </w:t>
      </w:r>
      <w:r>
        <w:rPr>
          <w:sz w:val="20"/>
        </w:rPr>
        <w:t>Division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Community</w:t>
      </w:r>
      <w:r>
        <w:rPr>
          <w:spacing w:val="-10"/>
          <w:sz w:val="20"/>
        </w:rPr>
        <w:t xml:space="preserve"> </w:t>
      </w:r>
      <w:r>
        <w:rPr>
          <w:sz w:val="20"/>
        </w:rPr>
        <w:t>Health</w:t>
      </w:r>
      <w:r>
        <w:rPr>
          <w:spacing w:val="-8"/>
          <w:sz w:val="20"/>
        </w:rPr>
        <w:t xml:space="preserve"> </w:t>
      </w:r>
      <w:r>
        <w:rPr>
          <w:sz w:val="20"/>
        </w:rPr>
        <w:t>Planning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Engagement Katelyn Teague, Division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Community Health Planning and Engagement Katherine Mills, Health Policy Commission</w:t>
      </w:r>
    </w:p>
    <w:p w14:paraId="089A5355" w14:textId="77777777" w:rsidR="007220C6" w:rsidRDefault="007220C6" w:rsidP="007220C6">
      <w:pPr>
        <w:ind w:left="800" w:right="5078"/>
        <w:rPr>
          <w:sz w:val="20"/>
        </w:rPr>
      </w:pPr>
      <w:r>
        <w:rPr>
          <w:sz w:val="20"/>
        </w:rPr>
        <w:t>Roxanne Rocco, Center for Medicaid and Medicare Services Christopher King,</w:t>
      </w:r>
      <w:r>
        <w:rPr>
          <w:spacing w:val="-3"/>
          <w:sz w:val="20"/>
        </w:rPr>
        <w:t xml:space="preserve"> </w:t>
      </w:r>
      <w:r>
        <w:rPr>
          <w:sz w:val="20"/>
        </w:rPr>
        <w:t>Executive</w:t>
      </w:r>
      <w:r>
        <w:rPr>
          <w:spacing w:val="-6"/>
          <w:sz w:val="20"/>
        </w:rPr>
        <w:t xml:space="preserve"> </w:t>
      </w:r>
      <w:r>
        <w:rPr>
          <w:sz w:val="20"/>
        </w:rPr>
        <w:t>Office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Human</w:t>
      </w:r>
      <w:r>
        <w:rPr>
          <w:spacing w:val="-3"/>
          <w:sz w:val="20"/>
        </w:rPr>
        <w:t xml:space="preserve"> </w:t>
      </w:r>
      <w:r>
        <w:rPr>
          <w:sz w:val="20"/>
        </w:rPr>
        <w:t>Services Tomaso</w:t>
      </w:r>
      <w:r>
        <w:rPr>
          <w:spacing w:val="-9"/>
          <w:sz w:val="20"/>
        </w:rPr>
        <w:t xml:space="preserve"> </w:t>
      </w:r>
      <w:r>
        <w:rPr>
          <w:sz w:val="20"/>
        </w:rPr>
        <w:t>Calicchio,</w:t>
      </w:r>
      <w:r>
        <w:rPr>
          <w:spacing w:val="-12"/>
          <w:sz w:val="20"/>
        </w:rPr>
        <w:t xml:space="preserve"> </w:t>
      </w:r>
      <w:r>
        <w:rPr>
          <w:sz w:val="20"/>
        </w:rPr>
        <w:t>Executive</w:t>
      </w:r>
      <w:r>
        <w:rPr>
          <w:spacing w:val="-12"/>
          <w:sz w:val="20"/>
        </w:rPr>
        <w:t xml:space="preserve"> </w:t>
      </w:r>
      <w:r>
        <w:rPr>
          <w:sz w:val="20"/>
        </w:rPr>
        <w:t>Office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Health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Human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Services Hai Nguyen, Executive Office of Health and Human Services Karina Mejias, Executive Office of Health and Human Services Pavel </w:t>
      </w:r>
      <w:proofErr w:type="spellStart"/>
      <w:r>
        <w:rPr>
          <w:sz w:val="20"/>
        </w:rPr>
        <w:t>Terpelets</w:t>
      </w:r>
      <w:proofErr w:type="spellEnd"/>
      <w:r>
        <w:rPr>
          <w:sz w:val="20"/>
        </w:rPr>
        <w:t>, Executive Office of Health and Human Services Elizabeth Almanzor, Center for Health Information Analysis</w:t>
      </w:r>
    </w:p>
    <w:p w14:paraId="1843C5EA" w14:textId="47D88B93" w:rsidR="00AC7937" w:rsidRPr="00E132E0" w:rsidRDefault="00AC7937" w:rsidP="0079253C">
      <w:pPr>
        <w:pStyle w:val="BodyText"/>
        <w:spacing w:before="1"/>
        <w:ind w:left="800"/>
        <w:rPr>
          <w:sz w:val="22"/>
          <w:szCs w:val="22"/>
        </w:rPr>
      </w:pPr>
    </w:p>
    <w:sectPr w:rsidR="00AC7937" w:rsidRPr="00E132E0" w:rsidSect="0011358C">
      <w:type w:val="continuous"/>
      <w:pgSz w:w="12240" w:h="15840"/>
      <w:pgMar w:top="1380" w:right="260" w:bottom="1260" w:left="6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758C" w14:textId="77777777" w:rsidR="0011358C" w:rsidRDefault="0011358C">
      <w:r>
        <w:separator/>
      </w:r>
    </w:p>
  </w:endnote>
  <w:endnote w:type="continuationSeparator" w:id="0">
    <w:p w14:paraId="6B9234C5" w14:textId="77777777" w:rsidR="0011358C" w:rsidRDefault="0011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BF3D" w14:textId="4B5D1D11" w:rsidR="00897125" w:rsidRDefault="00897125">
    <w:pPr>
      <w:pStyle w:val="Footer"/>
      <w:jc w:val="center"/>
    </w:pPr>
  </w:p>
  <w:p w14:paraId="1DA8BC52" w14:textId="77777777" w:rsidR="00897125" w:rsidRDefault="00897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1CD1C" w14:textId="77777777" w:rsidR="0011358C" w:rsidRDefault="0011358C">
      <w:r>
        <w:separator/>
      </w:r>
    </w:p>
  </w:footnote>
  <w:footnote w:type="continuationSeparator" w:id="0">
    <w:p w14:paraId="6E458D5F" w14:textId="77777777" w:rsidR="0011358C" w:rsidRDefault="0011358C">
      <w:r>
        <w:continuationSeparator/>
      </w:r>
    </w:p>
  </w:footnote>
  <w:footnote w:id="1">
    <w:p w14:paraId="1703E073" w14:textId="7D05C16D" w:rsidR="00812425" w:rsidRDefault="008124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70DDD">
        <w:rPr>
          <w:sz w:val="16"/>
        </w:rPr>
        <w:t>2022</w:t>
      </w:r>
      <w:r w:rsidR="00E70DDD">
        <w:rPr>
          <w:spacing w:val="-3"/>
          <w:sz w:val="16"/>
        </w:rPr>
        <w:t xml:space="preserve"> </w:t>
      </w:r>
      <w:r w:rsidR="00E70DDD">
        <w:rPr>
          <w:sz w:val="16"/>
        </w:rPr>
        <w:t>Staff</w:t>
      </w:r>
      <w:r w:rsidR="00E70DDD">
        <w:rPr>
          <w:spacing w:val="-8"/>
          <w:sz w:val="16"/>
        </w:rPr>
        <w:t xml:space="preserve"> </w:t>
      </w:r>
      <w:r w:rsidR="00E70DDD">
        <w:rPr>
          <w:sz w:val="16"/>
        </w:rPr>
        <w:t>Report</w:t>
      </w:r>
      <w:r w:rsidR="00E70DDD">
        <w:rPr>
          <w:spacing w:val="-4"/>
          <w:sz w:val="16"/>
        </w:rPr>
        <w:t xml:space="preserve"> </w:t>
      </w:r>
      <w:r w:rsidR="00E70DDD">
        <w:rPr>
          <w:sz w:val="16"/>
        </w:rPr>
        <w:t>and</w:t>
      </w:r>
      <w:r w:rsidR="00E70DDD">
        <w:rPr>
          <w:spacing w:val="-2"/>
          <w:sz w:val="16"/>
        </w:rPr>
        <w:t xml:space="preserve"> </w:t>
      </w:r>
      <w:r w:rsidR="00E70DDD">
        <w:rPr>
          <w:sz w:val="16"/>
        </w:rPr>
        <w:t>Notice</w:t>
      </w:r>
      <w:r w:rsidR="00E70DDD">
        <w:rPr>
          <w:spacing w:val="-7"/>
          <w:sz w:val="16"/>
        </w:rPr>
        <w:t xml:space="preserve"> </w:t>
      </w:r>
      <w:r w:rsidR="00E70DDD">
        <w:rPr>
          <w:sz w:val="16"/>
        </w:rPr>
        <w:t>of</w:t>
      </w:r>
      <w:r w:rsidR="00E70DDD">
        <w:rPr>
          <w:spacing w:val="-6"/>
          <w:sz w:val="16"/>
        </w:rPr>
        <w:t xml:space="preserve"> </w:t>
      </w:r>
      <w:r w:rsidR="00E70DDD">
        <w:rPr>
          <w:sz w:val="16"/>
        </w:rPr>
        <w:t>Final</w:t>
      </w:r>
      <w:r w:rsidR="00E70DDD">
        <w:rPr>
          <w:spacing w:val="-5"/>
          <w:sz w:val="16"/>
        </w:rPr>
        <w:t xml:space="preserve"> </w:t>
      </w:r>
      <w:r w:rsidR="00E70DDD">
        <w:rPr>
          <w:sz w:val="16"/>
        </w:rPr>
        <w:t>Action</w:t>
      </w:r>
      <w:r w:rsidR="00E70DDD">
        <w:rPr>
          <w:spacing w:val="-4"/>
          <w:sz w:val="16"/>
        </w:rPr>
        <w:t xml:space="preserve"> </w:t>
      </w:r>
      <w:r w:rsidR="00E70DDD">
        <w:rPr>
          <w:sz w:val="16"/>
        </w:rPr>
        <w:t>(Project</w:t>
      </w:r>
      <w:r w:rsidR="00E70DDD">
        <w:rPr>
          <w:spacing w:val="-6"/>
          <w:sz w:val="16"/>
        </w:rPr>
        <w:t xml:space="preserve"> </w:t>
      </w:r>
      <w:r w:rsidR="00E70DDD">
        <w:rPr>
          <w:sz w:val="16"/>
        </w:rPr>
        <w:t>#</w:t>
      </w:r>
      <w:r w:rsidR="00E70DDD">
        <w:rPr>
          <w:spacing w:val="-5"/>
          <w:sz w:val="16"/>
        </w:rPr>
        <w:t xml:space="preserve"> </w:t>
      </w:r>
      <w:r w:rsidR="00E70DDD">
        <w:rPr>
          <w:sz w:val="16"/>
        </w:rPr>
        <w:t>MGB-20121612-</w:t>
      </w:r>
      <w:r w:rsidR="00E70DDD">
        <w:rPr>
          <w:spacing w:val="-5"/>
          <w:sz w:val="16"/>
        </w:rPr>
        <w:t>HE)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A3FB" w14:textId="77777777" w:rsidR="006732EA" w:rsidRDefault="00000000">
    <w:pPr>
      <w:pStyle w:val="Header"/>
    </w:pPr>
    <w:r>
      <w:rPr>
        <w:noProof/>
      </w:rPr>
      <w:pict w14:anchorId="70F93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D74C" w14:textId="77777777" w:rsidR="006732EA" w:rsidRDefault="00000000">
    <w:pPr>
      <w:pStyle w:val="Header"/>
    </w:pPr>
    <w:r>
      <w:rPr>
        <w:noProof/>
      </w:rPr>
      <w:pict w14:anchorId="23683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952"/>
    <w:multiLevelType w:val="hybridMultilevel"/>
    <w:tmpl w:val="9108661C"/>
    <w:lvl w:ilvl="0" w:tplc="A7ECA7A0">
      <w:start w:val="1"/>
      <w:numFmt w:val="decimal"/>
      <w:lvlText w:val="%1)"/>
      <w:lvlJc w:val="left"/>
      <w:pPr>
        <w:ind w:left="15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6AD1B2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2" w:tplc="309E7C2A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3" w:tplc="E646B8F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4" w:tplc="BE508BF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5" w:tplc="F27AC614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6" w:tplc="769A6BD4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7" w:tplc="1A186C08">
      <w:numFmt w:val="bullet"/>
      <w:lvlText w:val="•"/>
      <w:lvlJc w:val="left"/>
      <w:pPr>
        <w:ind w:left="8394" w:hanging="360"/>
      </w:pPr>
      <w:rPr>
        <w:rFonts w:hint="default"/>
        <w:lang w:val="en-US" w:eastAsia="en-US" w:bidi="ar-SA"/>
      </w:rPr>
    </w:lvl>
    <w:lvl w:ilvl="8" w:tplc="DBDC451A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653A2A"/>
    <w:multiLevelType w:val="hybridMultilevel"/>
    <w:tmpl w:val="6DAA7AE8"/>
    <w:lvl w:ilvl="0" w:tplc="A352EA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D693338"/>
    <w:multiLevelType w:val="hybridMultilevel"/>
    <w:tmpl w:val="90161CA0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" w15:restartNumberingAfterBreak="0">
    <w:nsid w:val="17891C86"/>
    <w:multiLevelType w:val="hybridMultilevel"/>
    <w:tmpl w:val="FFBC8EA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2E8A1D28"/>
    <w:multiLevelType w:val="hybridMultilevel"/>
    <w:tmpl w:val="8256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7340"/>
    <w:multiLevelType w:val="hybridMultilevel"/>
    <w:tmpl w:val="75BE6250"/>
    <w:lvl w:ilvl="0" w:tplc="27705312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6AE088">
      <w:start w:val="1"/>
      <w:numFmt w:val="lowerLetter"/>
      <w:lvlText w:val="%2."/>
      <w:lvlJc w:val="left"/>
      <w:pPr>
        <w:ind w:left="2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887F6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0730228C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98265F30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3DB6D95C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6" w:tplc="50B47B10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BA502FFE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9BEA1150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C1B07D1"/>
    <w:multiLevelType w:val="hybridMultilevel"/>
    <w:tmpl w:val="BAE09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11627">
    <w:abstractNumId w:val="5"/>
  </w:num>
  <w:num w:numId="2" w16cid:durableId="762186708">
    <w:abstractNumId w:val="7"/>
  </w:num>
  <w:num w:numId="3" w16cid:durableId="1646734026">
    <w:abstractNumId w:val="4"/>
  </w:num>
  <w:num w:numId="4" w16cid:durableId="1199271187">
    <w:abstractNumId w:val="6"/>
  </w:num>
  <w:num w:numId="5" w16cid:durableId="681317537">
    <w:abstractNumId w:val="3"/>
  </w:num>
  <w:num w:numId="6" w16cid:durableId="1381707578">
    <w:abstractNumId w:val="2"/>
  </w:num>
  <w:num w:numId="7" w16cid:durableId="1098794647">
    <w:abstractNumId w:val="1"/>
  </w:num>
  <w:num w:numId="8" w16cid:durableId="190529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37"/>
    <w:rsid w:val="000D2F88"/>
    <w:rsid w:val="0011358C"/>
    <w:rsid w:val="001D6D5B"/>
    <w:rsid w:val="001F5073"/>
    <w:rsid w:val="0024067D"/>
    <w:rsid w:val="00290C8F"/>
    <w:rsid w:val="003C1141"/>
    <w:rsid w:val="003E5393"/>
    <w:rsid w:val="004A0AEC"/>
    <w:rsid w:val="004E26E5"/>
    <w:rsid w:val="005E53D6"/>
    <w:rsid w:val="006547AF"/>
    <w:rsid w:val="006732EA"/>
    <w:rsid w:val="00681FDA"/>
    <w:rsid w:val="006C6B86"/>
    <w:rsid w:val="00716874"/>
    <w:rsid w:val="007220C6"/>
    <w:rsid w:val="0079253C"/>
    <w:rsid w:val="00812425"/>
    <w:rsid w:val="00897125"/>
    <w:rsid w:val="008D5B84"/>
    <w:rsid w:val="008E5521"/>
    <w:rsid w:val="00AC7937"/>
    <w:rsid w:val="00BB45AE"/>
    <w:rsid w:val="00BC6819"/>
    <w:rsid w:val="00C421A9"/>
    <w:rsid w:val="00C42626"/>
    <w:rsid w:val="00C43DBE"/>
    <w:rsid w:val="00C46BA4"/>
    <w:rsid w:val="00CC5553"/>
    <w:rsid w:val="00D81782"/>
    <w:rsid w:val="00E132E0"/>
    <w:rsid w:val="00E70DDD"/>
    <w:rsid w:val="00F4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4FFF"/>
  <w15:chartTrackingRefBased/>
  <w15:docId w15:val="{51A91683-A87A-427B-B3BE-5FFD967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C793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C793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C793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AC7937"/>
    <w:rPr>
      <w:color w:val="0000FF"/>
      <w:u w:val="single"/>
    </w:rPr>
  </w:style>
  <w:style w:type="paragraph" w:styleId="Header">
    <w:name w:val="header"/>
    <w:basedOn w:val="Normal"/>
    <w:link w:val="HeaderChar"/>
    <w:rsid w:val="00AC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AC79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C793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937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C793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AC7937"/>
  </w:style>
  <w:style w:type="character" w:customStyle="1" w:styleId="eop">
    <w:name w:val="eop"/>
    <w:basedOn w:val="DefaultParagraphFont"/>
    <w:rsid w:val="00AC7937"/>
  </w:style>
  <w:style w:type="character" w:customStyle="1" w:styleId="spellingerror">
    <w:name w:val="spellingerror"/>
    <w:basedOn w:val="DefaultParagraphFont"/>
    <w:rsid w:val="00AC7937"/>
  </w:style>
  <w:style w:type="character" w:customStyle="1" w:styleId="ListParagraphChar">
    <w:name w:val="List Paragraph Char"/>
    <w:link w:val="ListParagraph"/>
    <w:uiPriority w:val="34"/>
    <w:locked/>
    <w:rsid w:val="00AC793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93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97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125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4E26E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1242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42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4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ystal.Bloom@huschblackw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dp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DPH.DON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13FF-02FC-4632-B55B-D03A4C31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26</cp:revision>
  <dcterms:created xsi:type="dcterms:W3CDTF">2023-05-18T13:56:00Z</dcterms:created>
  <dcterms:modified xsi:type="dcterms:W3CDTF">2024-04-23T12:31:00Z</dcterms:modified>
</cp:coreProperties>
</file>