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0A62DD27" w:rsidR="00DD783A" w:rsidRDefault="00DD783A" w:rsidP="00DD783A">
      <w:pPr>
        <w:pStyle w:val="ExecOffice"/>
        <w:framePr w:w="0" w:hSpace="0" w:wrap="auto" w:vAnchor="margin" w:hAnchor="text" w:xAlign="left" w:yAlign="inline"/>
      </w:pPr>
      <w:r w:rsidRPr="00DD783A">
        <w:t>617-624-6000 | mass.gov/</w:t>
      </w:r>
      <w:proofErr w:type="spellStart"/>
      <w:r w:rsidRPr="00DD783A">
        <w:t>dph</w:t>
      </w:r>
      <w:proofErr w:type="spellEnd"/>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headerReference w:type="first" r:id="rId9"/>
          <w:pgSz w:w="12240" w:h="15840"/>
          <w:pgMar w:top="540" w:right="260" w:bottom="1260" w:left="640" w:header="0" w:footer="1061" w:gutter="0"/>
          <w:cols w:space="720"/>
        </w:sectPr>
      </w:pPr>
    </w:p>
    <w:p w14:paraId="55CEE6EB" w14:textId="77777777" w:rsidR="00AC7937" w:rsidRPr="001D6D5B" w:rsidRDefault="00AC7937" w:rsidP="00DB68C1">
      <w:pPr>
        <w:ind w:left="450" w:right="2340" w:firstLine="27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DB68C1">
      <w:pPr>
        <w:pStyle w:val="Weld"/>
        <w:framePr w:hSpace="0" w:wrap="auto" w:vAnchor="margin" w:hAnchor="text" w:xAlign="left" w:yAlign="inline"/>
        <w:ind w:left="450" w:right="2340" w:firstLine="270"/>
        <w:jc w:val="left"/>
        <w:rPr>
          <w:sz w:val="14"/>
          <w:szCs w:val="18"/>
        </w:rPr>
      </w:pPr>
      <w:r w:rsidRPr="001D6D5B">
        <w:rPr>
          <w:sz w:val="14"/>
          <w:szCs w:val="18"/>
        </w:rPr>
        <w:t>Governor</w:t>
      </w:r>
    </w:p>
    <w:p w14:paraId="57A7E868" w14:textId="77777777" w:rsidR="00AC7937" w:rsidRPr="001D6D5B" w:rsidRDefault="00AC7937" w:rsidP="00DB68C1">
      <w:pPr>
        <w:ind w:left="450" w:right="2340" w:firstLine="270"/>
        <w:contextualSpacing/>
        <w:rPr>
          <w:sz w:val="14"/>
          <w:szCs w:val="18"/>
        </w:rPr>
      </w:pPr>
    </w:p>
    <w:p w14:paraId="5F8BD4FE" w14:textId="77777777" w:rsidR="00AC7937" w:rsidRPr="001D6D5B" w:rsidRDefault="00AC7937" w:rsidP="00DB68C1">
      <w:pPr>
        <w:ind w:left="450" w:right="2250" w:firstLine="270"/>
        <w:contextualSpacing/>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DB68C1">
      <w:pPr>
        <w:pStyle w:val="Weld"/>
        <w:framePr w:hSpace="0" w:wrap="auto" w:vAnchor="margin" w:hAnchor="text" w:xAlign="left" w:yAlign="inline"/>
        <w:ind w:left="450" w:right="2340" w:firstLine="270"/>
        <w:jc w:val="left"/>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170A6353" w14:textId="17EBC57B" w:rsidR="00AC7937" w:rsidRPr="001D6D5B" w:rsidRDefault="00413D9A" w:rsidP="0083193A">
      <w:pPr>
        <w:pStyle w:val="Weld"/>
        <w:framePr w:hSpace="0" w:wrap="auto" w:vAnchor="margin" w:hAnchor="text" w:xAlign="left" w:yAlign="inline"/>
        <w:ind w:left="1980" w:right="900"/>
        <w:jc w:val="right"/>
        <w:rPr>
          <w:sz w:val="14"/>
          <w:szCs w:val="18"/>
        </w:rPr>
      </w:pPr>
      <w:r w:rsidRPr="00413D9A">
        <w:t xml:space="preserve">Kiame Mahaniah, MD, MBA </w:t>
      </w:r>
      <w:r w:rsidR="00AC7937" w:rsidRPr="001D6D5B">
        <w:rPr>
          <w:sz w:val="14"/>
          <w:szCs w:val="18"/>
        </w:rPr>
        <w:t>Secretary</w:t>
      </w:r>
    </w:p>
    <w:p w14:paraId="04911862" w14:textId="77777777" w:rsidR="00AC7937" w:rsidRPr="001D6D5B" w:rsidRDefault="00AC7937" w:rsidP="0083193A">
      <w:pPr>
        <w:pStyle w:val="Weld"/>
        <w:framePr w:hSpace="0" w:wrap="auto" w:vAnchor="margin" w:hAnchor="text" w:xAlign="left" w:yAlign="inline"/>
        <w:ind w:left="1980" w:right="900"/>
        <w:jc w:val="right"/>
        <w:rPr>
          <w:sz w:val="14"/>
          <w:szCs w:val="18"/>
        </w:rPr>
      </w:pPr>
    </w:p>
    <w:p w14:paraId="52FEDDB3" w14:textId="77777777" w:rsidR="00AC7937" w:rsidRPr="001D6D5B" w:rsidRDefault="00AC7937" w:rsidP="0083193A">
      <w:pPr>
        <w:pStyle w:val="Weld"/>
        <w:framePr w:hSpace="0" w:wrap="auto" w:vAnchor="margin" w:hAnchor="text" w:xAlign="left" w:yAlign="inline"/>
        <w:ind w:left="1980" w:right="900"/>
        <w:jc w:val="right"/>
        <w:rPr>
          <w:sz w:val="12"/>
          <w:szCs w:val="16"/>
        </w:rPr>
      </w:pPr>
      <w:r w:rsidRPr="001D6D5B">
        <w:rPr>
          <w:sz w:val="12"/>
          <w:szCs w:val="16"/>
        </w:rPr>
        <w:t>ROBERT GOLDSTEIN, MD, PhD</w:t>
      </w:r>
    </w:p>
    <w:p w14:paraId="2349E991" w14:textId="265CD908" w:rsidR="00AC7937" w:rsidRPr="00C2477D" w:rsidRDefault="00AC7937" w:rsidP="0083193A">
      <w:pPr>
        <w:pStyle w:val="Weld"/>
        <w:framePr w:hSpace="0" w:wrap="auto" w:vAnchor="margin" w:hAnchor="text" w:xAlign="left" w:yAlign="inline"/>
        <w:ind w:left="1980" w:right="900"/>
        <w:jc w:val="right"/>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45A55E35" w14:textId="77777777" w:rsidR="00721435" w:rsidRPr="00166333" w:rsidRDefault="00721435" w:rsidP="00721435">
      <w:pPr>
        <w:ind w:left="720" w:right="900"/>
        <w:rPr>
          <w:rFonts w:asciiTheme="minorHAnsi" w:hAnsiTheme="minorHAnsi" w:cstheme="minorHAnsi"/>
        </w:rPr>
      </w:pPr>
      <w:r>
        <w:rPr>
          <w:rFonts w:asciiTheme="minorHAnsi" w:hAnsiTheme="minorHAnsi" w:cstheme="minorHAnsi"/>
        </w:rPr>
        <w:t>March 2nd</w:t>
      </w:r>
      <w:r w:rsidRPr="00166333">
        <w:rPr>
          <w:rFonts w:asciiTheme="minorHAnsi" w:hAnsiTheme="minorHAnsi" w:cstheme="minorHAnsi"/>
        </w:rPr>
        <w:t>, 2025</w:t>
      </w:r>
    </w:p>
    <w:p w14:paraId="741BFB35" w14:textId="77777777" w:rsidR="00721435" w:rsidRPr="00166333" w:rsidRDefault="00721435" w:rsidP="00721435">
      <w:pPr>
        <w:ind w:left="720" w:right="900"/>
        <w:rPr>
          <w:rFonts w:asciiTheme="minorHAnsi" w:hAnsiTheme="minorHAnsi" w:cstheme="minorHAnsi"/>
        </w:rPr>
      </w:pPr>
    </w:p>
    <w:p w14:paraId="708105EE" w14:textId="77777777" w:rsidR="00721435" w:rsidRDefault="00721435" w:rsidP="00721435">
      <w:pPr>
        <w:ind w:left="720" w:right="900"/>
        <w:rPr>
          <w:rFonts w:asciiTheme="minorHAnsi" w:hAnsiTheme="minorHAnsi" w:cstheme="minorHAnsi"/>
        </w:rPr>
      </w:pPr>
      <w:r w:rsidRPr="00166333">
        <w:rPr>
          <w:rFonts w:asciiTheme="minorHAnsi" w:hAnsiTheme="minorHAnsi" w:cstheme="minorHAnsi"/>
        </w:rPr>
        <w:t xml:space="preserve">Via email - </w:t>
      </w:r>
      <w:hyperlink r:id="rId10">
        <w:r w:rsidRPr="00166333">
          <w:rPr>
            <w:rStyle w:val="Hyperlink"/>
            <w:rFonts w:asciiTheme="minorHAnsi" w:hAnsiTheme="minorHAnsi" w:cstheme="minorHAnsi"/>
          </w:rPr>
          <w:t>ekretchmer@kb-law.com</w:t>
        </w:r>
      </w:hyperlink>
      <w:r w:rsidRPr="00166333">
        <w:rPr>
          <w:rFonts w:asciiTheme="minorHAnsi" w:hAnsiTheme="minorHAnsi" w:cstheme="minorHAnsi"/>
        </w:rPr>
        <w:t xml:space="preserve"> </w:t>
      </w:r>
    </w:p>
    <w:p w14:paraId="20CD6809" w14:textId="77777777" w:rsidR="00721435" w:rsidRDefault="00721435" w:rsidP="00721435">
      <w:pPr>
        <w:ind w:left="720" w:right="900"/>
        <w:rPr>
          <w:rFonts w:asciiTheme="minorHAnsi" w:hAnsiTheme="minorHAnsi" w:cstheme="minorHAnsi"/>
        </w:rPr>
      </w:pPr>
    </w:p>
    <w:p w14:paraId="031CDC64"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Emily B. Kretchmer, Esq.</w:t>
      </w:r>
    </w:p>
    <w:p w14:paraId="053FA7DF" w14:textId="77777777" w:rsidR="00721435" w:rsidRDefault="00721435" w:rsidP="00721435">
      <w:pPr>
        <w:ind w:left="720" w:right="900"/>
        <w:rPr>
          <w:rFonts w:asciiTheme="minorHAnsi" w:hAnsiTheme="minorHAnsi" w:cstheme="minorHAnsi"/>
        </w:rPr>
      </w:pPr>
      <w:r w:rsidRPr="00166333">
        <w:rPr>
          <w:rFonts w:asciiTheme="minorHAnsi" w:hAnsiTheme="minorHAnsi" w:cstheme="minorHAnsi"/>
        </w:rPr>
        <w:t>Krokidas &amp; Bluestein LLP</w:t>
      </w:r>
    </w:p>
    <w:p w14:paraId="7617CAB0"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600 Atlantic Ave</w:t>
      </w:r>
    </w:p>
    <w:p w14:paraId="09C7A703"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Boston, MA 02210</w:t>
      </w:r>
    </w:p>
    <w:p w14:paraId="4B5EC3A1" w14:textId="77777777" w:rsidR="00721435" w:rsidRDefault="00721435" w:rsidP="00721435">
      <w:pPr>
        <w:ind w:left="720" w:right="900"/>
        <w:rPr>
          <w:rFonts w:asciiTheme="minorHAnsi" w:hAnsiTheme="minorHAnsi" w:cstheme="minorHAnsi"/>
        </w:rPr>
      </w:pPr>
    </w:p>
    <w:p w14:paraId="0D83D168"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 xml:space="preserve">Final Action: Notice of Determination of Need </w:t>
      </w:r>
      <w:r w:rsidRPr="00166333">
        <w:rPr>
          <w:rFonts w:asciiTheme="minorHAnsi" w:hAnsiTheme="minorHAnsi" w:cstheme="minorHAnsi"/>
          <w:bCs/>
        </w:rPr>
        <w:t xml:space="preserve">Sherrill House, </w:t>
      </w:r>
      <w:proofErr w:type="gramStart"/>
      <w:r w:rsidRPr="00166333">
        <w:rPr>
          <w:rFonts w:asciiTheme="minorHAnsi" w:hAnsiTheme="minorHAnsi" w:cstheme="minorHAnsi"/>
          <w:bCs/>
        </w:rPr>
        <w:t>Inc.</w:t>
      </w:r>
      <w:r w:rsidRPr="00166333">
        <w:rPr>
          <w:rFonts w:asciiTheme="minorHAnsi" w:hAnsiTheme="minorHAnsi" w:cstheme="minorHAnsi"/>
        </w:rPr>
        <w:t xml:space="preserve"> #</w:t>
      </w:r>
      <w:proofErr w:type="gramEnd"/>
      <w:r w:rsidRPr="00166333">
        <w:rPr>
          <w:rFonts w:asciiTheme="minorHAnsi" w:hAnsiTheme="minorHAnsi" w:cstheme="minorHAnsi"/>
        </w:rPr>
        <w:t xml:space="preserve"> </w:t>
      </w:r>
      <w:r w:rsidRPr="00166333">
        <w:rPr>
          <w:rFonts w:asciiTheme="minorHAnsi" w:hAnsiTheme="minorHAnsi" w:cstheme="minorHAnsi"/>
          <w:bCs/>
        </w:rPr>
        <w:t>25091910-CL</w:t>
      </w:r>
    </w:p>
    <w:p w14:paraId="15053510" w14:textId="77777777" w:rsidR="00721435" w:rsidRPr="00166333" w:rsidRDefault="00721435" w:rsidP="00721435">
      <w:pPr>
        <w:ind w:left="720" w:right="900"/>
        <w:rPr>
          <w:rFonts w:asciiTheme="minorHAnsi" w:hAnsiTheme="minorHAnsi" w:cstheme="minorHAnsi"/>
        </w:rPr>
      </w:pPr>
    </w:p>
    <w:p w14:paraId="03D155B9" w14:textId="77777777" w:rsidR="00721435" w:rsidRDefault="00721435" w:rsidP="00721435">
      <w:pPr>
        <w:ind w:left="720" w:right="900"/>
        <w:rPr>
          <w:rFonts w:asciiTheme="minorHAnsi" w:hAnsiTheme="minorHAnsi" w:cstheme="minorHAnsi"/>
        </w:rPr>
      </w:pPr>
      <w:r w:rsidRPr="00166333">
        <w:rPr>
          <w:rFonts w:asciiTheme="minorHAnsi" w:hAnsiTheme="minorHAnsi" w:cstheme="minorHAnsi"/>
        </w:rPr>
        <w:t xml:space="preserve">Dear </w:t>
      </w:r>
      <w:proofErr w:type="gramStart"/>
      <w:r w:rsidRPr="00166333">
        <w:rPr>
          <w:rFonts w:asciiTheme="minorHAnsi" w:hAnsiTheme="minorHAnsi" w:cstheme="minorHAnsi"/>
        </w:rPr>
        <w:t>Attorney</w:t>
      </w:r>
      <w:proofErr w:type="gramEnd"/>
      <w:r w:rsidRPr="00166333">
        <w:rPr>
          <w:rFonts w:asciiTheme="minorHAnsi" w:hAnsiTheme="minorHAnsi" w:cstheme="minorHAnsi"/>
        </w:rPr>
        <w:t xml:space="preserve"> Kretchmer,</w:t>
      </w:r>
    </w:p>
    <w:p w14:paraId="10D24272" w14:textId="77777777" w:rsidR="00721435" w:rsidRPr="00166333" w:rsidRDefault="00721435" w:rsidP="00721435">
      <w:pPr>
        <w:ind w:left="720" w:right="900"/>
        <w:rPr>
          <w:rFonts w:asciiTheme="minorHAnsi" w:hAnsiTheme="minorHAnsi" w:cstheme="minorHAnsi"/>
        </w:rPr>
      </w:pPr>
    </w:p>
    <w:p w14:paraId="6D4BD7A4"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This shall serve as notification that, based on the information provided by the Applicant and staff analysis, and pursuant to M.G.L. c. 111, § 25C and the regulatory provisions of 105 CMR</w:t>
      </w:r>
    </w:p>
    <w:p w14:paraId="119CB2AE"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100.000 et seq, including 105 CMR 100.630 (A)(1), I hereby approve the Conservation Project application for Determination of Need (</w:t>
      </w:r>
      <w:proofErr w:type="spellStart"/>
      <w:r w:rsidRPr="00166333">
        <w:rPr>
          <w:rFonts w:asciiTheme="minorHAnsi" w:hAnsiTheme="minorHAnsi" w:cstheme="minorHAnsi"/>
        </w:rPr>
        <w:t>DoN</w:t>
      </w:r>
      <w:proofErr w:type="spellEnd"/>
      <w:r w:rsidRPr="00166333">
        <w:rPr>
          <w:rFonts w:asciiTheme="minorHAnsi" w:hAnsiTheme="minorHAnsi" w:cstheme="minorHAnsi"/>
        </w:rPr>
        <w:t xml:space="preserve">) filed by Sherrill House, Inc. (“Applicant” or “Sherrill House”) </w:t>
      </w:r>
      <w:proofErr w:type="gramStart"/>
      <w:r w:rsidRPr="00166333">
        <w:rPr>
          <w:rFonts w:asciiTheme="minorHAnsi" w:hAnsiTheme="minorHAnsi" w:cstheme="minorHAnsi"/>
        </w:rPr>
        <w:t>located  at</w:t>
      </w:r>
      <w:proofErr w:type="gramEnd"/>
      <w:r w:rsidRPr="00166333">
        <w:rPr>
          <w:rFonts w:asciiTheme="minorHAnsi" w:hAnsiTheme="minorHAnsi" w:cstheme="minorHAnsi"/>
        </w:rPr>
        <w:t xml:space="preserve"> 135 South Huntington Avenue, Boston. The approved Conservation Project includes relocation and renovation of the rehabilitation gym and maintaining the building envelop by replacing the roof and rooftop HVAC units, the elevator flooring, fire panel motherboard, and windows. The approved capital expenditure for the project is $4,431,332.00 and the CHI commitment for the project is $44,313.32. </w:t>
      </w:r>
    </w:p>
    <w:p w14:paraId="437F79AE" w14:textId="77777777" w:rsidR="00721435" w:rsidRPr="00166333" w:rsidRDefault="00721435" w:rsidP="00721435">
      <w:pPr>
        <w:ind w:left="720" w:right="900"/>
        <w:rPr>
          <w:rFonts w:asciiTheme="minorHAnsi" w:hAnsiTheme="minorHAnsi" w:cstheme="minorHAnsi"/>
        </w:rPr>
      </w:pPr>
    </w:p>
    <w:p w14:paraId="0C6BD218" w14:textId="77777777" w:rsidR="00721435" w:rsidRDefault="00721435" w:rsidP="00721435">
      <w:pPr>
        <w:ind w:left="720" w:right="900"/>
        <w:rPr>
          <w:rFonts w:asciiTheme="minorHAnsi" w:hAnsiTheme="minorHAnsi" w:cstheme="minorHAnsi"/>
        </w:rPr>
      </w:pPr>
      <w:r w:rsidRPr="00166333">
        <w:rPr>
          <w:rFonts w:asciiTheme="minorHAnsi" w:hAnsiTheme="minorHAnsi" w:cstheme="minorHAnsi"/>
        </w:rPr>
        <w:t>This Notice of Final Action incorporates by reference the Memorandum concerning this Application and is subject to the conditions set forth therein. In compliance with the provisions of 105 CMR 100.310 A (2) the Holder shall submit an acknowledgment of receipt to the Department (attached).</w:t>
      </w:r>
    </w:p>
    <w:p w14:paraId="1F6799F1" w14:textId="77777777" w:rsidR="00721435" w:rsidRPr="00166333" w:rsidRDefault="00721435" w:rsidP="00721435">
      <w:pPr>
        <w:ind w:left="720" w:right="900"/>
        <w:rPr>
          <w:rFonts w:asciiTheme="minorHAnsi" w:hAnsiTheme="minorHAnsi" w:cstheme="minorHAnsi"/>
        </w:rPr>
      </w:pPr>
    </w:p>
    <w:p w14:paraId="6489875E"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 xml:space="preserve">In compliance with 105 CMR 100.310(A)(12), which requires a report to the Department, at a minimum on an annual basis, including the measures related to achievement of the </w:t>
      </w:r>
      <w:proofErr w:type="spellStart"/>
      <w:r w:rsidRPr="00166333">
        <w:rPr>
          <w:rFonts w:asciiTheme="minorHAnsi" w:hAnsiTheme="minorHAnsi" w:cstheme="minorHAnsi"/>
        </w:rPr>
        <w:t>DoN</w:t>
      </w:r>
      <w:proofErr w:type="spellEnd"/>
      <w:r w:rsidRPr="00166333">
        <w:rPr>
          <w:rFonts w:asciiTheme="minorHAnsi" w:hAnsiTheme="minorHAnsi" w:cstheme="minorHAnsi"/>
        </w:rPr>
        <w:t xml:space="preserve"> factors for a period of five years from completion of the Proposed Project, the Holder shall address its assertions with respect to all applicable factors.</w:t>
      </w:r>
    </w:p>
    <w:p w14:paraId="0B1B12AB" w14:textId="77777777" w:rsidR="00721435" w:rsidRPr="00166333" w:rsidRDefault="00721435" w:rsidP="00721435">
      <w:pPr>
        <w:ind w:left="720" w:right="900"/>
        <w:rPr>
          <w:rFonts w:asciiTheme="minorHAnsi" w:hAnsiTheme="minorHAnsi" w:cstheme="minorHAnsi"/>
        </w:rPr>
      </w:pPr>
    </w:p>
    <w:p w14:paraId="28A7E4B7"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lastRenderedPageBreak/>
        <w:t xml:space="preserve">Please notify the </w:t>
      </w:r>
      <w:proofErr w:type="spellStart"/>
      <w:r w:rsidRPr="00166333">
        <w:rPr>
          <w:rFonts w:asciiTheme="minorHAnsi" w:hAnsiTheme="minorHAnsi" w:cstheme="minorHAnsi"/>
        </w:rPr>
        <w:t>DoN</w:t>
      </w:r>
      <w:proofErr w:type="spellEnd"/>
      <w:r w:rsidRPr="00166333">
        <w:rPr>
          <w:rFonts w:asciiTheme="minorHAnsi" w:hAnsiTheme="minorHAnsi" w:cstheme="minorHAnsi"/>
        </w:rPr>
        <w:t xml:space="preserve"> Program at </w:t>
      </w:r>
      <w:hyperlink r:id="rId11">
        <w:r w:rsidRPr="00166333">
          <w:rPr>
            <w:rStyle w:val="Hyperlink"/>
            <w:rFonts w:asciiTheme="minorHAnsi" w:hAnsiTheme="minorHAnsi" w:cstheme="minorHAnsi"/>
          </w:rPr>
          <w:t>DPH.DON@State.MA.US</w:t>
        </w:r>
      </w:hyperlink>
      <w:r w:rsidRPr="00166333">
        <w:rPr>
          <w:rFonts w:asciiTheme="minorHAnsi" w:hAnsiTheme="minorHAnsi" w:cstheme="minorHAnsi"/>
        </w:rPr>
        <w:t xml:space="preserve"> of the anticipated completion date of all the components of the </w:t>
      </w:r>
      <w:proofErr w:type="spellStart"/>
      <w:r w:rsidRPr="00166333">
        <w:rPr>
          <w:rFonts w:asciiTheme="minorHAnsi" w:hAnsiTheme="minorHAnsi" w:cstheme="minorHAnsi"/>
        </w:rPr>
        <w:t>DoN</w:t>
      </w:r>
      <w:proofErr w:type="spellEnd"/>
      <w:r w:rsidRPr="00166333">
        <w:rPr>
          <w:rFonts w:asciiTheme="minorHAnsi" w:hAnsiTheme="minorHAnsi" w:cstheme="minorHAnsi"/>
        </w:rPr>
        <w:t>-approved Project once it has been established.</w:t>
      </w:r>
      <w:r>
        <w:rPr>
          <w:rFonts w:asciiTheme="minorHAnsi" w:hAnsiTheme="minorHAnsi" w:cstheme="minorHAnsi"/>
        </w:rPr>
        <w:t xml:space="preserve"> Additionally, </w:t>
      </w:r>
      <w:r w:rsidRPr="00166333">
        <w:rPr>
          <w:rFonts w:asciiTheme="minorHAnsi" w:hAnsiTheme="minorHAnsi" w:cstheme="minorHAnsi"/>
        </w:rPr>
        <w:t xml:space="preserve">send an email confirming the Project's completion (licensure/ amended licensure approval date) and the first day of operations to determine the annual </w:t>
      </w:r>
      <w:proofErr w:type="spellStart"/>
      <w:r w:rsidRPr="00166333">
        <w:rPr>
          <w:rFonts w:asciiTheme="minorHAnsi" w:hAnsiTheme="minorHAnsi" w:cstheme="minorHAnsi"/>
        </w:rPr>
        <w:t>DoN</w:t>
      </w:r>
      <w:proofErr w:type="spellEnd"/>
      <w:r w:rsidRPr="00166333">
        <w:rPr>
          <w:rFonts w:asciiTheme="minorHAnsi" w:hAnsiTheme="minorHAnsi" w:cstheme="minorHAnsi"/>
        </w:rPr>
        <w:t xml:space="preserve"> reporting timeline.</w:t>
      </w:r>
    </w:p>
    <w:p w14:paraId="4BFE1BF8" w14:textId="77777777" w:rsidR="00721435" w:rsidRDefault="00721435" w:rsidP="00721435">
      <w:pPr>
        <w:ind w:left="720" w:right="900"/>
        <w:rPr>
          <w:rFonts w:asciiTheme="minorHAnsi" w:hAnsiTheme="minorHAnsi" w:cstheme="minorHAnsi"/>
        </w:rPr>
      </w:pPr>
    </w:p>
    <w:p w14:paraId="6E83CA9D"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 xml:space="preserve">Ongoing compliance with the conditions and all terms of the </w:t>
      </w:r>
      <w:proofErr w:type="spellStart"/>
      <w:r w:rsidRPr="00166333">
        <w:rPr>
          <w:rFonts w:asciiTheme="minorHAnsi" w:hAnsiTheme="minorHAnsi" w:cstheme="minorHAnsi"/>
        </w:rPr>
        <w:t>DoN</w:t>
      </w:r>
      <w:proofErr w:type="spellEnd"/>
      <w:r w:rsidRPr="00166333">
        <w:rPr>
          <w:rFonts w:asciiTheme="minorHAnsi" w:hAnsiTheme="minorHAnsi" w:cstheme="minorHAnsi"/>
        </w:rPr>
        <w:t xml:space="preserve"> is, pursuant to the Regulation, a precondition to the filing of any future </w:t>
      </w:r>
      <w:proofErr w:type="spellStart"/>
      <w:r w:rsidRPr="00166333">
        <w:rPr>
          <w:rFonts w:asciiTheme="minorHAnsi" w:hAnsiTheme="minorHAnsi" w:cstheme="minorHAnsi"/>
        </w:rPr>
        <w:t>DoN</w:t>
      </w:r>
      <w:proofErr w:type="spellEnd"/>
      <w:r w:rsidRPr="00166333">
        <w:rPr>
          <w:rFonts w:asciiTheme="minorHAnsi" w:hAnsiTheme="minorHAnsi" w:cstheme="minorHAnsi"/>
        </w:rPr>
        <w:t xml:space="preserve"> by the Holder.</w:t>
      </w:r>
    </w:p>
    <w:p w14:paraId="5100DADA" w14:textId="77777777" w:rsidR="00721435" w:rsidRDefault="00721435" w:rsidP="00721435">
      <w:pPr>
        <w:ind w:left="720" w:right="900"/>
        <w:rPr>
          <w:rFonts w:asciiTheme="minorHAnsi" w:hAnsiTheme="minorHAnsi" w:cstheme="minorHAnsi"/>
        </w:rPr>
      </w:pPr>
    </w:p>
    <w:p w14:paraId="28D8B3BD"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[signature on file]</w:t>
      </w:r>
    </w:p>
    <w:p w14:paraId="1C742BA2" w14:textId="77777777" w:rsidR="00721435" w:rsidRDefault="00721435" w:rsidP="00721435">
      <w:pPr>
        <w:ind w:left="720" w:right="900"/>
        <w:rPr>
          <w:rFonts w:asciiTheme="minorHAnsi" w:hAnsiTheme="minorHAnsi" w:cstheme="minorHAnsi"/>
        </w:rPr>
      </w:pPr>
    </w:p>
    <w:p w14:paraId="2FBAB4C1" w14:textId="77777777" w:rsidR="00721435" w:rsidRPr="00166333" w:rsidRDefault="00721435" w:rsidP="00721435">
      <w:pPr>
        <w:ind w:left="720" w:right="900"/>
        <w:rPr>
          <w:rFonts w:asciiTheme="minorHAnsi" w:hAnsiTheme="minorHAnsi" w:cstheme="minorHAnsi"/>
        </w:rPr>
      </w:pPr>
    </w:p>
    <w:p w14:paraId="28B50DDB"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Robert Goldstein, MD, PhD</w:t>
      </w:r>
    </w:p>
    <w:p w14:paraId="44E157CF" w14:textId="77777777" w:rsidR="00721435" w:rsidRPr="00166333" w:rsidRDefault="00721435" w:rsidP="00721435">
      <w:pPr>
        <w:ind w:left="720" w:right="900"/>
        <w:rPr>
          <w:rFonts w:asciiTheme="minorHAnsi" w:hAnsiTheme="minorHAnsi" w:cstheme="minorHAnsi"/>
        </w:rPr>
      </w:pPr>
      <w:r w:rsidRPr="00166333">
        <w:rPr>
          <w:rFonts w:asciiTheme="minorHAnsi" w:hAnsiTheme="minorHAnsi" w:cstheme="minorHAnsi"/>
        </w:rPr>
        <w:t>Commissioner, Massachusetts Department of Public Health</w:t>
      </w:r>
    </w:p>
    <w:p w14:paraId="13F28475" w14:textId="77777777" w:rsidR="00721435" w:rsidRDefault="00721435" w:rsidP="00721435">
      <w:pPr>
        <w:rPr>
          <w:rFonts w:asciiTheme="minorHAnsi" w:hAnsiTheme="minorHAnsi" w:cstheme="minorHAnsi"/>
        </w:rPr>
      </w:pPr>
    </w:p>
    <w:p w14:paraId="59D03154" w14:textId="77777777" w:rsidR="00721435" w:rsidRDefault="00721435" w:rsidP="00721435">
      <w:pPr>
        <w:rPr>
          <w:rFonts w:asciiTheme="minorHAnsi" w:hAnsiTheme="minorHAnsi" w:cstheme="minorHAnsi"/>
        </w:rPr>
      </w:pPr>
    </w:p>
    <w:p w14:paraId="23013F88"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cc:</w:t>
      </w:r>
    </w:p>
    <w:p w14:paraId="01EEF9FC"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Teryl Smith, Director, Bureau of Health Care Safety and Quality</w:t>
      </w:r>
    </w:p>
    <w:p w14:paraId="47F8E727"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Jaclyn Gagné, Chief Deputy General Counsel, Health Care Licensure</w:t>
      </w:r>
    </w:p>
    <w:p w14:paraId="32C89C43"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Stephen Davis, Director, Division of Health Care Facility Licensure and Certification </w:t>
      </w:r>
    </w:p>
    <w:p w14:paraId="551F7FB2"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Judy Bernice, Division of Health Care Facility Licensure and Certification</w:t>
      </w:r>
    </w:p>
    <w:p w14:paraId="3472A2D6"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Hilary Ward, Division of Health Care Facility Licensure and Certification</w:t>
      </w:r>
    </w:p>
    <w:p w14:paraId="2CDDB70C"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Samuel Louis, Office of Health Equity</w:t>
      </w:r>
    </w:p>
    <w:p w14:paraId="50C40FE4"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Jennica Allen, Division of Community Health Planning and Engagement </w:t>
      </w:r>
    </w:p>
    <w:p w14:paraId="0CA27114"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Elizabeth Maffei, Division of Community Health Planning and Engagement </w:t>
      </w:r>
    </w:p>
    <w:p w14:paraId="4ED8B82C"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Katelyn Teague, Division of Community Health Planning and Engagement </w:t>
      </w:r>
    </w:p>
    <w:p w14:paraId="6B1E5AC1"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Emily Williamson, Center for Health Information and Analysis</w:t>
      </w:r>
    </w:p>
    <w:p w14:paraId="068C981A"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Katherine Mills, Health Policy Commission</w:t>
      </w:r>
    </w:p>
    <w:p w14:paraId="5AB3C5D5"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Christopher King, Executive Office of Health and Human Services </w:t>
      </w:r>
    </w:p>
    <w:p w14:paraId="3DB9528C"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Robin Lipson, Executive Office of Aging and Independence </w:t>
      </w:r>
    </w:p>
    <w:p w14:paraId="09A09A5B"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Tomaso Calicchio, Executive Office of Health and Human Services</w:t>
      </w:r>
    </w:p>
    <w:p w14:paraId="714E5233"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 xml:space="preserve">Hai Nguyen, Executive Office of Health and Human Services </w:t>
      </w:r>
    </w:p>
    <w:p w14:paraId="64B450C2" w14:textId="77777777" w:rsidR="00721435" w:rsidRPr="00166333" w:rsidRDefault="00721435" w:rsidP="00721435">
      <w:pPr>
        <w:ind w:left="720"/>
        <w:rPr>
          <w:rFonts w:asciiTheme="minorHAnsi" w:hAnsiTheme="minorHAnsi" w:cstheme="minorHAnsi"/>
        </w:rPr>
      </w:pPr>
      <w:r w:rsidRPr="00166333">
        <w:rPr>
          <w:rFonts w:asciiTheme="minorHAnsi" w:hAnsiTheme="minorHAnsi" w:cstheme="minorHAnsi"/>
        </w:rPr>
        <w:t>Elizabeth Almanzor, Center for Health Information Analysis</w:t>
      </w:r>
    </w:p>
    <w:p w14:paraId="5C7CA166" w14:textId="77777777" w:rsidR="003849BD" w:rsidRPr="004F4F8E" w:rsidRDefault="003849BD" w:rsidP="00721435">
      <w:pPr>
        <w:ind w:left="720" w:right="900"/>
        <w:rPr>
          <w:rFonts w:ascii="Calibri" w:hAnsi="Calibri" w:cs="Calibri"/>
          <w:szCs w:val="24"/>
        </w:rPr>
      </w:pPr>
      <w:r w:rsidRPr="004F4F8E">
        <w:rPr>
          <w:rFonts w:ascii="Calibri" w:hAnsi="Calibri" w:cs="Calibri"/>
          <w:szCs w:val="24"/>
        </w:rPr>
        <w:t xml:space="preserve">Katherine Mills, Health Policy Commission </w:t>
      </w:r>
    </w:p>
    <w:p w14:paraId="3448A271" w14:textId="77777777" w:rsidR="003849BD" w:rsidRPr="004F4F8E" w:rsidRDefault="003849BD" w:rsidP="00721435">
      <w:pPr>
        <w:ind w:left="720" w:right="900"/>
        <w:rPr>
          <w:rFonts w:ascii="Calibri" w:hAnsi="Calibri" w:cs="Calibri"/>
          <w:szCs w:val="24"/>
        </w:rPr>
      </w:pPr>
      <w:r w:rsidRPr="004F4F8E">
        <w:rPr>
          <w:rFonts w:ascii="Calibri" w:hAnsi="Calibri" w:cs="Calibri"/>
          <w:szCs w:val="24"/>
        </w:rPr>
        <w:t xml:space="preserve">Roxanne Rocco, Center for Medicaid and Medicare Services </w:t>
      </w:r>
    </w:p>
    <w:p w14:paraId="618CA177" w14:textId="77777777" w:rsidR="003849BD" w:rsidRPr="004F4F8E" w:rsidRDefault="003849BD" w:rsidP="00721435">
      <w:pPr>
        <w:ind w:left="720" w:right="900"/>
        <w:rPr>
          <w:rFonts w:ascii="Calibri" w:hAnsi="Calibri" w:cs="Calibri"/>
          <w:szCs w:val="24"/>
        </w:rPr>
      </w:pPr>
      <w:r w:rsidRPr="004F4F8E">
        <w:rPr>
          <w:rFonts w:ascii="Calibri" w:hAnsi="Calibri" w:cs="Calibri"/>
          <w:szCs w:val="24"/>
        </w:rPr>
        <w:t xml:space="preserve">Christopher King, Executive Office of Health and Human Services </w:t>
      </w:r>
    </w:p>
    <w:p w14:paraId="6B1B38F4" w14:textId="77777777" w:rsidR="003849BD" w:rsidRPr="004F4F8E" w:rsidRDefault="003849BD" w:rsidP="00721435">
      <w:pPr>
        <w:ind w:left="720" w:right="900"/>
        <w:rPr>
          <w:rFonts w:ascii="Calibri" w:hAnsi="Calibri" w:cs="Calibri"/>
          <w:szCs w:val="24"/>
        </w:rPr>
      </w:pPr>
      <w:r w:rsidRPr="004F4F8E">
        <w:rPr>
          <w:rFonts w:ascii="Calibri" w:hAnsi="Calibri" w:cs="Calibri"/>
          <w:szCs w:val="24"/>
        </w:rPr>
        <w:t xml:space="preserve">Tomaso Calicchio, Executive Office of Health and Human Services </w:t>
      </w:r>
    </w:p>
    <w:p w14:paraId="0E64E9F8" w14:textId="77777777" w:rsidR="003849BD" w:rsidRPr="004F4F8E" w:rsidRDefault="003849BD" w:rsidP="00721435">
      <w:pPr>
        <w:ind w:left="720" w:right="900"/>
        <w:rPr>
          <w:rFonts w:ascii="Calibri" w:hAnsi="Calibri" w:cs="Calibri"/>
          <w:szCs w:val="24"/>
        </w:rPr>
      </w:pPr>
      <w:r w:rsidRPr="004F4F8E">
        <w:rPr>
          <w:rFonts w:ascii="Calibri" w:hAnsi="Calibri" w:cs="Calibri"/>
          <w:szCs w:val="24"/>
        </w:rPr>
        <w:t xml:space="preserve">Hai Nguyen, Executive Office of Health and Human Services </w:t>
      </w:r>
    </w:p>
    <w:p w14:paraId="5070965A" w14:textId="77777777" w:rsidR="003849BD" w:rsidRPr="004F4F8E" w:rsidRDefault="003849BD" w:rsidP="00E169EB">
      <w:pPr>
        <w:ind w:left="630" w:right="900"/>
        <w:rPr>
          <w:rFonts w:ascii="Calibri" w:hAnsi="Calibri" w:cs="Calibri"/>
          <w:szCs w:val="24"/>
        </w:rPr>
      </w:pPr>
      <w:r w:rsidRPr="004F4F8E">
        <w:rPr>
          <w:rFonts w:ascii="Calibri" w:hAnsi="Calibri" w:cs="Calibri"/>
          <w:szCs w:val="24"/>
        </w:rPr>
        <w:t xml:space="preserve">Karina Mejias, Executive Office of Health and Human Services </w:t>
      </w:r>
    </w:p>
    <w:p w14:paraId="0A44CA93" w14:textId="77777777" w:rsidR="003849BD" w:rsidRPr="004F4F8E" w:rsidRDefault="003849BD" w:rsidP="00E169EB">
      <w:pPr>
        <w:ind w:left="630" w:right="900"/>
        <w:rPr>
          <w:rFonts w:ascii="Calibri" w:hAnsi="Calibri" w:cs="Calibri"/>
          <w:szCs w:val="24"/>
        </w:rPr>
      </w:pPr>
      <w:r w:rsidRPr="004F4F8E">
        <w:rPr>
          <w:rFonts w:ascii="Calibri" w:hAnsi="Calibri" w:cs="Calibri"/>
          <w:szCs w:val="24"/>
        </w:rPr>
        <w:t xml:space="preserve">Pavel Terpelets, Executive Office of Health and Human Services </w:t>
      </w:r>
    </w:p>
    <w:p w14:paraId="0C1C0EA5" w14:textId="77777777" w:rsidR="003849BD" w:rsidRPr="004F4F8E" w:rsidRDefault="003849BD" w:rsidP="00E169EB">
      <w:pPr>
        <w:ind w:left="630" w:right="900"/>
        <w:rPr>
          <w:rFonts w:ascii="Calibri" w:hAnsi="Calibri" w:cs="Calibri"/>
          <w:szCs w:val="24"/>
        </w:rPr>
      </w:pPr>
      <w:r w:rsidRPr="004F4F8E">
        <w:rPr>
          <w:rFonts w:ascii="Calibri" w:hAnsi="Calibri" w:cs="Calibri"/>
          <w:szCs w:val="24"/>
        </w:rPr>
        <w:t>Elizabeth Almanzor, Center for Health Information Analysis</w:t>
      </w:r>
    </w:p>
    <w:p w14:paraId="2B6A8DFC" w14:textId="77777777" w:rsidR="003849BD" w:rsidRPr="009908FF" w:rsidRDefault="003849BD" w:rsidP="003849BD"/>
    <w:p w14:paraId="1843C5EA" w14:textId="47D88B93" w:rsidR="00AC7937" w:rsidRPr="00E132E0" w:rsidRDefault="00AC7937" w:rsidP="003849BD">
      <w:pPr>
        <w:pStyle w:val="BodyText"/>
        <w:ind w:left="810" w:right="1170"/>
        <w:rPr>
          <w:sz w:val="22"/>
          <w:szCs w:val="22"/>
        </w:rPr>
      </w:pPr>
    </w:p>
    <w:sectPr w:rsidR="00AC7937" w:rsidRPr="00E132E0" w:rsidSect="00AD26F8">
      <w:type w:val="continuous"/>
      <w:pgSz w:w="12240" w:h="15840"/>
      <w:pgMar w:top="1360" w:right="260" w:bottom="1260" w:left="6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D7B1" w14:textId="77777777" w:rsidR="004F1358" w:rsidRDefault="004F1358">
      <w:r>
        <w:separator/>
      </w:r>
    </w:p>
  </w:endnote>
  <w:endnote w:type="continuationSeparator" w:id="0">
    <w:p w14:paraId="5DBE7AE7" w14:textId="77777777" w:rsidR="004F1358" w:rsidRDefault="004F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1FC7" w14:textId="77777777" w:rsidR="004F1358" w:rsidRDefault="004F1358">
      <w:r>
        <w:separator/>
      </w:r>
    </w:p>
  </w:footnote>
  <w:footnote w:type="continuationSeparator" w:id="0">
    <w:p w14:paraId="126C928D" w14:textId="77777777" w:rsidR="004F1358" w:rsidRDefault="004F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CE43E9"/>
    <w:multiLevelType w:val="hybridMultilevel"/>
    <w:tmpl w:val="D4B0E95A"/>
    <w:lvl w:ilvl="0" w:tplc="72A811D2">
      <w:start w:val="1"/>
      <w:numFmt w:val="decimal"/>
      <w:lvlText w:val="%1."/>
      <w:lvlJc w:val="left"/>
      <w:pPr>
        <w:ind w:left="720" w:hanging="360"/>
      </w:pPr>
    </w:lvl>
    <w:lvl w:ilvl="1" w:tplc="E8DC04A2">
      <w:start w:val="1"/>
      <w:numFmt w:val="lowerLetter"/>
      <w:lvlText w:val="%2."/>
      <w:lvlJc w:val="left"/>
      <w:pPr>
        <w:ind w:left="1440" w:hanging="360"/>
      </w:pPr>
    </w:lvl>
    <w:lvl w:ilvl="2" w:tplc="370E946A">
      <w:start w:val="1"/>
      <w:numFmt w:val="lowerRoman"/>
      <w:lvlText w:val="%3."/>
      <w:lvlJc w:val="right"/>
      <w:pPr>
        <w:ind w:left="2160" w:hanging="180"/>
      </w:pPr>
    </w:lvl>
    <w:lvl w:ilvl="3" w:tplc="432EC556">
      <w:start w:val="1"/>
      <w:numFmt w:val="decimal"/>
      <w:lvlText w:val="%4."/>
      <w:lvlJc w:val="left"/>
      <w:pPr>
        <w:ind w:left="2880" w:hanging="360"/>
      </w:pPr>
    </w:lvl>
    <w:lvl w:ilvl="4" w:tplc="0B80684E">
      <w:start w:val="1"/>
      <w:numFmt w:val="lowerLetter"/>
      <w:lvlText w:val="%5."/>
      <w:lvlJc w:val="left"/>
      <w:pPr>
        <w:ind w:left="3600" w:hanging="360"/>
      </w:pPr>
    </w:lvl>
    <w:lvl w:ilvl="5" w:tplc="F3CEA8E4">
      <w:start w:val="1"/>
      <w:numFmt w:val="lowerRoman"/>
      <w:lvlText w:val="%6."/>
      <w:lvlJc w:val="right"/>
      <w:pPr>
        <w:ind w:left="4320" w:hanging="180"/>
      </w:pPr>
    </w:lvl>
    <w:lvl w:ilvl="6" w:tplc="D3E44D36">
      <w:start w:val="1"/>
      <w:numFmt w:val="decimal"/>
      <w:lvlText w:val="%7."/>
      <w:lvlJc w:val="left"/>
      <w:pPr>
        <w:ind w:left="5040" w:hanging="360"/>
      </w:pPr>
    </w:lvl>
    <w:lvl w:ilvl="7" w:tplc="7C9AAE34">
      <w:start w:val="1"/>
      <w:numFmt w:val="lowerLetter"/>
      <w:lvlText w:val="%8."/>
      <w:lvlJc w:val="left"/>
      <w:pPr>
        <w:ind w:left="5760" w:hanging="360"/>
      </w:pPr>
    </w:lvl>
    <w:lvl w:ilvl="8" w:tplc="A57405A8">
      <w:start w:val="1"/>
      <w:numFmt w:val="lowerRoman"/>
      <w:lvlText w:val="%9."/>
      <w:lvlJc w:val="right"/>
      <w:pPr>
        <w:ind w:left="6480" w:hanging="180"/>
      </w:pPr>
    </w:lvl>
  </w:abstractNum>
  <w:abstractNum w:abstractNumId="2"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5"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1" w15:restartNumberingAfterBreak="0">
    <w:nsid w:val="320B7E90"/>
    <w:multiLevelType w:val="hybridMultilevel"/>
    <w:tmpl w:val="D1F40856"/>
    <w:lvl w:ilvl="0" w:tplc="FFFFFFFF">
      <w:start w:val="1"/>
      <w:numFmt w:val="decimal"/>
      <w:lvlText w:val="%1."/>
      <w:lvlJc w:val="left"/>
      <w:pPr>
        <w:ind w:left="252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365D4D99"/>
    <w:multiLevelType w:val="hybridMultilevel"/>
    <w:tmpl w:val="61B004AA"/>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6"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90956"/>
    <w:multiLevelType w:val="hybridMultilevel"/>
    <w:tmpl w:val="1180BFA0"/>
    <w:lvl w:ilvl="0" w:tplc="E8DC04A2">
      <w:start w:val="1"/>
      <w:numFmt w:val="lowerLetter"/>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3529F"/>
    <w:multiLevelType w:val="hybridMultilevel"/>
    <w:tmpl w:val="41FCC752"/>
    <w:lvl w:ilvl="0" w:tplc="FFFFFFFF">
      <w:start w:val="1"/>
      <w:numFmt w:val="lowerLetter"/>
      <w:lvlText w:val="%1."/>
      <w:lvlJc w:val="left"/>
      <w:pPr>
        <w:ind w:left="144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E8DC04A2">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DD0C0B"/>
    <w:multiLevelType w:val="hybridMultilevel"/>
    <w:tmpl w:val="4CC69EEC"/>
    <w:lvl w:ilvl="0" w:tplc="FFFFFFFF">
      <w:start w:val="1"/>
      <w:numFmt w:val="lowerLetter"/>
      <w:lvlText w:val="%1."/>
      <w:lvlJc w:val="left"/>
      <w:pPr>
        <w:ind w:left="1440" w:hanging="360"/>
      </w:pPr>
    </w:lvl>
    <w:lvl w:ilvl="1" w:tplc="FFFFFFFF">
      <w:start w:val="1"/>
      <w:numFmt w:val="decimal"/>
      <w:lvlText w:val="%2."/>
      <w:lvlJc w:val="left"/>
      <w:pPr>
        <w:ind w:left="1440" w:hanging="360"/>
      </w:pPr>
    </w:lvl>
    <w:lvl w:ilvl="2" w:tplc="E8DC04A2">
      <w:start w:val="1"/>
      <w:numFmt w:val="lowerLetter"/>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E7D07"/>
    <w:multiLevelType w:val="hybridMultilevel"/>
    <w:tmpl w:val="2B4C603A"/>
    <w:lvl w:ilvl="0" w:tplc="E8DC04A2">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79C7C79"/>
    <w:multiLevelType w:val="hybridMultilevel"/>
    <w:tmpl w:val="213E88AE"/>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10"/>
  </w:num>
  <w:num w:numId="2" w16cid:durableId="762186708">
    <w:abstractNumId w:val="25"/>
  </w:num>
  <w:num w:numId="3" w16cid:durableId="1646734026">
    <w:abstractNumId w:val="9"/>
  </w:num>
  <w:num w:numId="4" w16cid:durableId="1199271187">
    <w:abstractNumId w:val="15"/>
  </w:num>
  <w:num w:numId="5" w16cid:durableId="681317537">
    <w:abstractNumId w:val="5"/>
  </w:num>
  <w:num w:numId="6" w16cid:durableId="1381707578">
    <w:abstractNumId w:val="2"/>
  </w:num>
  <w:num w:numId="7" w16cid:durableId="1098794647">
    <w:abstractNumId w:val="0"/>
  </w:num>
  <w:num w:numId="8" w16cid:durableId="1471090044">
    <w:abstractNumId w:val="7"/>
  </w:num>
  <w:num w:numId="9" w16cid:durableId="1618444258">
    <w:abstractNumId w:val="26"/>
  </w:num>
  <w:num w:numId="10" w16cid:durableId="803431336">
    <w:abstractNumId w:val="8"/>
  </w:num>
  <w:num w:numId="11" w16cid:durableId="1804107474">
    <w:abstractNumId w:val="17"/>
  </w:num>
  <w:num w:numId="12" w16cid:durableId="821509815">
    <w:abstractNumId w:val="21"/>
  </w:num>
  <w:num w:numId="13" w16cid:durableId="1251425427">
    <w:abstractNumId w:val="12"/>
  </w:num>
  <w:num w:numId="14" w16cid:durableId="70465832">
    <w:abstractNumId w:val="16"/>
  </w:num>
  <w:num w:numId="15" w16cid:durableId="1239251066">
    <w:abstractNumId w:val="14"/>
  </w:num>
  <w:num w:numId="16" w16cid:durableId="341590028">
    <w:abstractNumId w:val="4"/>
  </w:num>
  <w:num w:numId="17" w16cid:durableId="908684904">
    <w:abstractNumId w:val="23"/>
  </w:num>
  <w:num w:numId="18" w16cid:durableId="1312096729">
    <w:abstractNumId w:val="6"/>
  </w:num>
  <w:num w:numId="19" w16cid:durableId="623849512">
    <w:abstractNumId w:val="3"/>
  </w:num>
  <w:num w:numId="20" w16cid:durableId="350842595">
    <w:abstractNumId w:val="18"/>
  </w:num>
  <w:num w:numId="21" w16cid:durableId="350953261">
    <w:abstractNumId w:val="1"/>
  </w:num>
  <w:num w:numId="22" w16cid:durableId="2110852615">
    <w:abstractNumId w:val="19"/>
  </w:num>
  <w:num w:numId="23" w16cid:durableId="1479615724">
    <w:abstractNumId w:val="20"/>
  </w:num>
  <w:num w:numId="24" w16cid:durableId="714810557">
    <w:abstractNumId w:val="22"/>
  </w:num>
  <w:num w:numId="25" w16cid:durableId="1311976870">
    <w:abstractNumId w:val="27"/>
  </w:num>
  <w:num w:numId="26" w16cid:durableId="1344673564">
    <w:abstractNumId w:val="13"/>
  </w:num>
  <w:num w:numId="27" w16cid:durableId="51538868">
    <w:abstractNumId w:val="11"/>
  </w:num>
  <w:num w:numId="28" w16cid:durableId="10067136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B6559"/>
    <w:rsid w:val="000D1CF0"/>
    <w:rsid w:val="000D2F88"/>
    <w:rsid w:val="000E2928"/>
    <w:rsid w:val="0015099B"/>
    <w:rsid w:val="00164791"/>
    <w:rsid w:val="001825F9"/>
    <w:rsid w:val="00186596"/>
    <w:rsid w:val="00197F86"/>
    <w:rsid w:val="001C4053"/>
    <w:rsid w:val="001D6D5B"/>
    <w:rsid w:val="001E5A42"/>
    <w:rsid w:val="001F5073"/>
    <w:rsid w:val="002117BA"/>
    <w:rsid w:val="00214171"/>
    <w:rsid w:val="0024067D"/>
    <w:rsid w:val="002764D2"/>
    <w:rsid w:val="00290C8F"/>
    <w:rsid w:val="002C5E17"/>
    <w:rsid w:val="00321E11"/>
    <w:rsid w:val="003849BD"/>
    <w:rsid w:val="003A5E44"/>
    <w:rsid w:val="003C1141"/>
    <w:rsid w:val="003E5393"/>
    <w:rsid w:val="003F022A"/>
    <w:rsid w:val="00413D9A"/>
    <w:rsid w:val="004A0AEC"/>
    <w:rsid w:val="004B1E52"/>
    <w:rsid w:val="004C4A6E"/>
    <w:rsid w:val="004E027A"/>
    <w:rsid w:val="004E26E5"/>
    <w:rsid w:val="004F1358"/>
    <w:rsid w:val="00513028"/>
    <w:rsid w:val="00554AC4"/>
    <w:rsid w:val="005B47F6"/>
    <w:rsid w:val="005E53D6"/>
    <w:rsid w:val="006547AF"/>
    <w:rsid w:val="006732EA"/>
    <w:rsid w:val="00681FDA"/>
    <w:rsid w:val="006C6B86"/>
    <w:rsid w:val="00716874"/>
    <w:rsid w:val="00721435"/>
    <w:rsid w:val="00731733"/>
    <w:rsid w:val="007611B0"/>
    <w:rsid w:val="0079253C"/>
    <w:rsid w:val="007A5626"/>
    <w:rsid w:val="007C0327"/>
    <w:rsid w:val="007C351A"/>
    <w:rsid w:val="0083193A"/>
    <w:rsid w:val="00831E97"/>
    <w:rsid w:val="008336CC"/>
    <w:rsid w:val="00897125"/>
    <w:rsid w:val="008D5B84"/>
    <w:rsid w:val="008E5521"/>
    <w:rsid w:val="008E7386"/>
    <w:rsid w:val="0096649E"/>
    <w:rsid w:val="00993447"/>
    <w:rsid w:val="009B09D3"/>
    <w:rsid w:val="00A14492"/>
    <w:rsid w:val="00A83757"/>
    <w:rsid w:val="00A94B74"/>
    <w:rsid w:val="00AA4094"/>
    <w:rsid w:val="00AC7937"/>
    <w:rsid w:val="00AD26F8"/>
    <w:rsid w:val="00AE0515"/>
    <w:rsid w:val="00B87930"/>
    <w:rsid w:val="00BB45AE"/>
    <w:rsid w:val="00BC6819"/>
    <w:rsid w:val="00C15BD0"/>
    <w:rsid w:val="00C421A9"/>
    <w:rsid w:val="00C42626"/>
    <w:rsid w:val="00C43DBE"/>
    <w:rsid w:val="00C676B8"/>
    <w:rsid w:val="00C7386E"/>
    <w:rsid w:val="00C76F63"/>
    <w:rsid w:val="00C800D7"/>
    <w:rsid w:val="00CC1370"/>
    <w:rsid w:val="00CF4C90"/>
    <w:rsid w:val="00D744A2"/>
    <w:rsid w:val="00D81782"/>
    <w:rsid w:val="00DA2DF1"/>
    <w:rsid w:val="00DB68C1"/>
    <w:rsid w:val="00DD783A"/>
    <w:rsid w:val="00DF3412"/>
    <w:rsid w:val="00E132E0"/>
    <w:rsid w:val="00E169EB"/>
    <w:rsid w:val="00E341B8"/>
    <w:rsid w:val="00E6297C"/>
    <w:rsid w:val="00EE0385"/>
    <w:rsid w:val="00F246D2"/>
    <w:rsid w:val="00F44CD0"/>
    <w:rsid w:val="00F7416E"/>
    <w:rsid w:val="00FB3779"/>
    <w:rsid w:val="00FC7EAA"/>
    <w:rsid w:val="00FD4921"/>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hyperlink" Target="mailto:ekretchmer@kb-law.com"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71</cp:revision>
  <dcterms:created xsi:type="dcterms:W3CDTF">2023-05-18T13:56:00Z</dcterms:created>
  <dcterms:modified xsi:type="dcterms:W3CDTF">2026-03-04T17:17:00Z</dcterms:modified>
</cp:coreProperties>
</file>