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E0F32" w14:textId="1A2F348A" w:rsidR="00AC7937" w:rsidRDefault="00AC7937" w:rsidP="00AC7937">
      <w:pPr>
        <w:rPr>
          <w:rFonts w:ascii="Arial" w:hAnsi="Arial"/>
          <w:sz w:val="36"/>
        </w:rPr>
      </w:pPr>
      <w:r>
        <w:rPr>
          <w:rFonts w:ascii="LinePrinter" w:hAnsi="LinePrinter"/>
          <w:noProof/>
        </w:rPr>
        <w:drawing>
          <wp:inline distT="0" distB="0" distL="0" distR="0" wp14:anchorId="54C60B32" wp14:editId="4CA85607">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r>
      <w:r w:rsidR="00F44CD0">
        <w:rPr>
          <w:rFonts w:ascii="Arial" w:hAnsi="Arial"/>
          <w:sz w:val="36"/>
        </w:rPr>
        <w:tab/>
      </w:r>
      <w:r>
        <w:rPr>
          <w:rFonts w:ascii="Arial" w:hAnsi="Arial"/>
          <w:sz w:val="36"/>
        </w:rPr>
        <w:t>The Commonwealth of Massachusetts</w:t>
      </w:r>
    </w:p>
    <w:p w14:paraId="36F9C635" w14:textId="77777777" w:rsidR="00AC7937" w:rsidRDefault="00AC7937" w:rsidP="00AC7937">
      <w:pPr>
        <w:pStyle w:val="ExecOffice"/>
        <w:framePr w:w="0" w:hSpace="0" w:wrap="auto" w:vAnchor="margin" w:hAnchor="text" w:xAlign="left" w:yAlign="inline"/>
      </w:pPr>
      <w:r>
        <w:t>Executive Office of Health and Human Services</w:t>
      </w:r>
    </w:p>
    <w:p w14:paraId="2735BF50" w14:textId="77777777" w:rsidR="00AC7937" w:rsidRDefault="00AC7937" w:rsidP="00AC7937">
      <w:pPr>
        <w:pStyle w:val="ExecOffice"/>
        <w:framePr w:w="0" w:hSpace="0" w:wrap="auto" w:vAnchor="margin" w:hAnchor="text" w:xAlign="left" w:yAlign="inline"/>
      </w:pPr>
      <w:r>
        <w:t>Department of Public Health</w:t>
      </w:r>
    </w:p>
    <w:p w14:paraId="53F934A8" w14:textId="77777777" w:rsidR="00AC7937" w:rsidRDefault="00AC7937" w:rsidP="00AC7937">
      <w:pPr>
        <w:pStyle w:val="ExecOffice"/>
        <w:framePr w:w="0" w:hSpace="0" w:wrap="auto" w:vAnchor="margin" w:hAnchor="text" w:xAlign="left" w:yAlign="inline"/>
      </w:pPr>
      <w:r>
        <w:t>250 Washington Street, Boston, MA 02108-4619</w:t>
      </w:r>
    </w:p>
    <w:p w14:paraId="51B3562C" w14:textId="77777777" w:rsidR="008E5521" w:rsidRDefault="008E5521" w:rsidP="008E5521">
      <w:pPr>
        <w:ind w:right="2340"/>
        <w:contextualSpacing/>
        <w:rPr>
          <w:rFonts w:ascii="Arial Rounded MT Bold" w:hAnsi="Arial Rounded MT Bold"/>
          <w:sz w:val="16"/>
        </w:rPr>
        <w:sectPr w:rsidR="008E5521" w:rsidSect="00716874">
          <w:headerReference w:type="even" r:id="rId8"/>
          <w:footerReference w:type="default" r:id="rId9"/>
          <w:headerReference w:type="first" r:id="rId10"/>
          <w:pgSz w:w="12240" w:h="15840"/>
          <w:pgMar w:top="540" w:right="260" w:bottom="1260" w:left="640" w:header="0" w:footer="1061" w:gutter="0"/>
          <w:cols w:space="720"/>
        </w:sectPr>
      </w:pPr>
    </w:p>
    <w:p w14:paraId="55CEE6EB" w14:textId="77777777" w:rsidR="00AC7937" w:rsidRPr="001D6D5B" w:rsidRDefault="00AC7937" w:rsidP="008E5521">
      <w:pPr>
        <w:ind w:right="2340" w:firstLine="720"/>
        <w:contextualSpacing/>
        <w:rPr>
          <w:rFonts w:ascii="Arial Rounded MT Bold" w:hAnsi="Arial Rounded MT Bold"/>
          <w:sz w:val="16"/>
        </w:rPr>
      </w:pPr>
      <w:r w:rsidRPr="001D6D5B">
        <w:rPr>
          <w:rFonts w:ascii="Arial Rounded MT Bold" w:hAnsi="Arial Rounded MT Bold"/>
          <w:sz w:val="16"/>
        </w:rPr>
        <w:t>MAURA T. HEALEY</w:t>
      </w:r>
    </w:p>
    <w:p w14:paraId="7D7DA174" w14:textId="77777777" w:rsidR="00AC7937" w:rsidRPr="001D6D5B" w:rsidRDefault="00AC7937" w:rsidP="00AC7937">
      <w:pPr>
        <w:pStyle w:val="Weld"/>
        <w:framePr w:hSpace="0" w:wrap="auto" w:vAnchor="margin" w:hAnchor="text" w:xAlign="left" w:yAlign="inline"/>
        <w:ind w:right="2340"/>
        <w:rPr>
          <w:sz w:val="14"/>
          <w:szCs w:val="18"/>
        </w:rPr>
      </w:pPr>
      <w:r w:rsidRPr="001D6D5B">
        <w:rPr>
          <w:sz w:val="14"/>
          <w:szCs w:val="18"/>
        </w:rPr>
        <w:t>Governor</w:t>
      </w:r>
    </w:p>
    <w:p w14:paraId="57A7E868" w14:textId="77777777" w:rsidR="00AC7937" w:rsidRPr="001D6D5B" w:rsidRDefault="00AC7937" w:rsidP="00AC7937">
      <w:pPr>
        <w:ind w:right="2340"/>
        <w:contextualSpacing/>
        <w:jc w:val="center"/>
        <w:rPr>
          <w:sz w:val="14"/>
          <w:szCs w:val="18"/>
        </w:rPr>
      </w:pPr>
    </w:p>
    <w:p w14:paraId="5F8BD4FE" w14:textId="77777777" w:rsidR="00AC7937" w:rsidRPr="001D6D5B" w:rsidRDefault="00AC7937" w:rsidP="00AC7937">
      <w:pPr>
        <w:ind w:right="2250"/>
        <w:contextualSpacing/>
        <w:jc w:val="center"/>
        <w:rPr>
          <w:rFonts w:ascii="Arial Rounded MT Bold" w:hAnsi="Arial Rounded MT Bold"/>
          <w:sz w:val="16"/>
        </w:rPr>
      </w:pPr>
      <w:r w:rsidRPr="001D6D5B">
        <w:rPr>
          <w:rFonts w:ascii="Arial Rounded MT Bold" w:hAnsi="Arial Rounded MT Bold"/>
          <w:sz w:val="16"/>
        </w:rPr>
        <w:t>KIMBERLEY DRISCOLL</w:t>
      </w:r>
    </w:p>
    <w:p w14:paraId="1276EDBE" w14:textId="77777777" w:rsidR="00AC7937" w:rsidRPr="001D6D5B" w:rsidRDefault="00AC7937" w:rsidP="00AC7937">
      <w:pPr>
        <w:pStyle w:val="Weld"/>
        <w:framePr w:hSpace="0" w:wrap="auto" w:vAnchor="margin" w:hAnchor="text" w:xAlign="left" w:yAlign="inline"/>
        <w:ind w:right="2340"/>
        <w:rPr>
          <w:rFonts w:ascii="Calibri" w:hAnsi="Calibri" w:cs="Calibri"/>
          <w:sz w:val="14"/>
          <w:szCs w:val="22"/>
        </w:rPr>
      </w:pPr>
      <w:r w:rsidRPr="001D6D5B">
        <w:rPr>
          <w:sz w:val="14"/>
          <w:szCs w:val="18"/>
        </w:rPr>
        <w:t>Lieutenant Governor</w:t>
      </w:r>
    </w:p>
    <w:p w14:paraId="778B40DA" w14:textId="77777777" w:rsidR="00AC7937" w:rsidRPr="001D6D5B" w:rsidRDefault="00AC7937" w:rsidP="00AC7937">
      <w:pPr>
        <w:pStyle w:val="Weld"/>
        <w:framePr w:hSpace="0" w:wrap="auto" w:vAnchor="margin" w:hAnchor="text" w:xAlign="left" w:yAlign="inline"/>
        <w:ind w:right="2340"/>
        <w:jc w:val="left"/>
        <w:rPr>
          <w:sz w:val="14"/>
          <w:szCs w:val="18"/>
        </w:rPr>
      </w:pPr>
    </w:p>
    <w:p w14:paraId="3443D931" w14:textId="77777777" w:rsidR="00AC7937" w:rsidRPr="001D6D5B" w:rsidRDefault="00AC7937" w:rsidP="00AC7937">
      <w:pPr>
        <w:pStyle w:val="Weld"/>
        <w:framePr w:hSpace="0" w:wrap="auto" w:vAnchor="margin" w:hAnchor="text" w:xAlign="left" w:yAlign="inline"/>
        <w:ind w:right="2340"/>
        <w:jc w:val="left"/>
        <w:rPr>
          <w:sz w:val="14"/>
          <w:szCs w:val="18"/>
        </w:rPr>
      </w:pPr>
    </w:p>
    <w:p w14:paraId="29EFF928" w14:textId="77777777" w:rsidR="00AC7937" w:rsidRPr="001D6D5B" w:rsidRDefault="00AC7937" w:rsidP="00AC7937">
      <w:pPr>
        <w:pStyle w:val="Weld"/>
        <w:framePr w:hSpace="0" w:wrap="auto" w:vAnchor="margin" w:hAnchor="text" w:xAlign="left" w:yAlign="inline"/>
        <w:ind w:right="2340"/>
        <w:jc w:val="left"/>
        <w:rPr>
          <w:sz w:val="14"/>
          <w:szCs w:val="18"/>
        </w:rPr>
      </w:pPr>
    </w:p>
    <w:p w14:paraId="6476AC26" w14:textId="77777777" w:rsidR="001D6D5B" w:rsidRDefault="001D6D5B" w:rsidP="00AC7937">
      <w:pPr>
        <w:ind w:left="1980"/>
        <w:contextualSpacing/>
        <w:jc w:val="center"/>
        <w:rPr>
          <w:rFonts w:ascii="Arial Rounded MT Bold" w:hAnsi="Arial Rounded MT Bold"/>
          <w:sz w:val="16"/>
        </w:rPr>
      </w:pPr>
    </w:p>
    <w:p w14:paraId="76362A87" w14:textId="436DC04A" w:rsidR="00AC7937" w:rsidRPr="001D6D5B" w:rsidRDefault="00AC7937" w:rsidP="00AC7937">
      <w:pPr>
        <w:ind w:left="1980"/>
        <w:contextualSpacing/>
        <w:jc w:val="center"/>
        <w:rPr>
          <w:rFonts w:ascii="Arial Rounded MT Bold" w:hAnsi="Arial Rounded MT Bold"/>
          <w:sz w:val="16"/>
        </w:rPr>
      </w:pPr>
      <w:r w:rsidRPr="001D6D5B">
        <w:rPr>
          <w:rFonts w:ascii="Arial Rounded MT Bold" w:hAnsi="Arial Rounded MT Bold"/>
          <w:sz w:val="16"/>
        </w:rPr>
        <w:t>KATHLEEN E. WALSH</w:t>
      </w:r>
    </w:p>
    <w:p w14:paraId="170A6353" w14:textId="77777777" w:rsidR="00AC7937" w:rsidRPr="001D6D5B" w:rsidRDefault="00AC7937" w:rsidP="00AC7937">
      <w:pPr>
        <w:pStyle w:val="Weld"/>
        <w:framePr w:hSpace="0" w:wrap="auto" w:vAnchor="margin" w:hAnchor="text" w:xAlign="left" w:yAlign="inline"/>
        <w:ind w:left="1980"/>
        <w:rPr>
          <w:sz w:val="14"/>
          <w:szCs w:val="18"/>
        </w:rPr>
      </w:pPr>
      <w:r w:rsidRPr="001D6D5B">
        <w:rPr>
          <w:sz w:val="14"/>
          <w:szCs w:val="18"/>
        </w:rPr>
        <w:t>Secretary</w:t>
      </w:r>
    </w:p>
    <w:p w14:paraId="04911862" w14:textId="77777777" w:rsidR="00AC7937" w:rsidRPr="001D6D5B" w:rsidRDefault="00AC7937" w:rsidP="00AC7937">
      <w:pPr>
        <w:pStyle w:val="Weld"/>
        <w:framePr w:hSpace="0" w:wrap="auto" w:vAnchor="margin" w:hAnchor="text" w:xAlign="left" w:yAlign="inline"/>
        <w:ind w:left="1980"/>
        <w:rPr>
          <w:sz w:val="14"/>
          <w:szCs w:val="18"/>
        </w:rPr>
      </w:pPr>
    </w:p>
    <w:p w14:paraId="52FEDDB3" w14:textId="77777777" w:rsidR="00AC7937" w:rsidRPr="001D6D5B" w:rsidRDefault="00AC7937" w:rsidP="00AC7937">
      <w:pPr>
        <w:pStyle w:val="Weld"/>
        <w:framePr w:hSpace="0" w:wrap="auto" w:vAnchor="margin" w:hAnchor="text" w:xAlign="left" w:yAlign="inline"/>
        <w:ind w:left="1980"/>
        <w:rPr>
          <w:sz w:val="12"/>
          <w:szCs w:val="16"/>
        </w:rPr>
      </w:pPr>
      <w:r w:rsidRPr="001D6D5B">
        <w:rPr>
          <w:sz w:val="12"/>
          <w:szCs w:val="16"/>
        </w:rPr>
        <w:t>ROBERT GOLDSTEIN, MD, PhD</w:t>
      </w:r>
    </w:p>
    <w:p w14:paraId="2349E991" w14:textId="265CD908" w:rsidR="00AC7937" w:rsidRPr="00C2477D" w:rsidRDefault="00AC7937" w:rsidP="00AC7937">
      <w:pPr>
        <w:pStyle w:val="Weld"/>
        <w:framePr w:hSpace="0" w:wrap="auto" w:vAnchor="margin" w:hAnchor="text" w:xAlign="left" w:yAlign="inline"/>
        <w:ind w:left="1980"/>
      </w:pPr>
      <w:r w:rsidRPr="001D6D5B">
        <w:rPr>
          <w:sz w:val="14"/>
          <w:szCs w:val="12"/>
        </w:rPr>
        <w:t>Commissioner</w:t>
      </w:r>
    </w:p>
    <w:p w14:paraId="659222A9"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p>
    <w:p w14:paraId="32489612"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25B200DD" w14:textId="77777777" w:rsidR="00AC7937" w:rsidRPr="00A763BA" w:rsidRDefault="00000000" w:rsidP="00AC7937">
      <w:pPr>
        <w:pStyle w:val="Governor"/>
        <w:framePr w:hSpace="0" w:wrap="auto" w:vAnchor="margin" w:hAnchor="text" w:xAlign="left" w:yAlign="inline"/>
        <w:spacing w:after="0"/>
        <w:ind w:left="1980"/>
        <w:rPr>
          <w:sz w:val="16"/>
        </w:rPr>
      </w:pPr>
      <w:hyperlink r:id="rId11" w:history="1">
        <w:r w:rsidR="00AC7937" w:rsidRPr="00A51A30">
          <w:rPr>
            <w:rStyle w:val="Hyperlink"/>
            <w:rFonts w:ascii="Arial" w:hAnsi="Arial" w:cs="Arial"/>
            <w:b/>
            <w:szCs w:val="14"/>
            <w:lang w:val="fr-FR"/>
          </w:rPr>
          <w:t>www.mass.gov/dph</w:t>
        </w:r>
      </w:hyperlink>
    </w:p>
    <w:p w14:paraId="67FDC148" w14:textId="77777777" w:rsidR="008E5521" w:rsidRDefault="008E5521" w:rsidP="00AC7937">
      <w:pPr>
        <w:rPr>
          <w:szCs w:val="24"/>
        </w:rPr>
        <w:sectPr w:rsidR="008E5521" w:rsidSect="00716874">
          <w:type w:val="continuous"/>
          <w:pgSz w:w="12240" w:h="15840"/>
          <w:pgMar w:top="1380" w:right="260" w:bottom="1260" w:left="640" w:header="0" w:footer="1061" w:gutter="0"/>
          <w:cols w:num="2" w:space="720"/>
        </w:sectPr>
      </w:pPr>
    </w:p>
    <w:p w14:paraId="4EB8C7EB" w14:textId="77777777" w:rsidR="00AC7937" w:rsidRDefault="00AC7937" w:rsidP="00AC7937">
      <w:pPr>
        <w:rPr>
          <w:szCs w:val="24"/>
        </w:rPr>
      </w:pPr>
    </w:p>
    <w:p w14:paraId="6A5FBAB3" w14:textId="77777777" w:rsidR="009D0BEE" w:rsidRPr="0095602A" w:rsidRDefault="009D0BEE" w:rsidP="009D0BEE">
      <w:pPr>
        <w:pStyle w:val="BodyText"/>
        <w:ind w:left="630" w:right="1260"/>
        <w:rPr>
          <w:color w:val="000000" w:themeColor="text1"/>
        </w:rPr>
      </w:pPr>
      <w:r w:rsidRPr="0095602A">
        <w:rPr>
          <w:color w:val="000000" w:themeColor="text1"/>
        </w:rPr>
        <w:t>September 13, 2024</w:t>
      </w:r>
    </w:p>
    <w:p w14:paraId="758A4EAC" w14:textId="77777777" w:rsidR="009D0BEE" w:rsidRPr="0095602A" w:rsidRDefault="009D0BEE" w:rsidP="009D0BEE">
      <w:pPr>
        <w:pStyle w:val="BodyText"/>
        <w:ind w:left="630" w:right="1260"/>
        <w:rPr>
          <w:color w:val="000000" w:themeColor="text1"/>
          <w:spacing w:val="-4"/>
        </w:rPr>
      </w:pPr>
    </w:p>
    <w:p w14:paraId="55F92108" w14:textId="77777777" w:rsidR="009D0BEE" w:rsidRPr="0095602A" w:rsidRDefault="009D0BEE" w:rsidP="009D0BEE">
      <w:pPr>
        <w:pStyle w:val="BodyText"/>
        <w:ind w:left="630" w:right="1260"/>
        <w:rPr>
          <w:color w:val="000000" w:themeColor="text1"/>
          <w:spacing w:val="-4"/>
        </w:rPr>
      </w:pPr>
      <w:r w:rsidRPr="0095602A">
        <w:rPr>
          <w:color w:val="000000" w:themeColor="text1"/>
          <w:spacing w:val="-4"/>
        </w:rPr>
        <w:t>Kathleen G. Healy</w:t>
      </w:r>
    </w:p>
    <w:p w14:paraId="5175162F" w14:textId="77777777" w:rsidR="009D0BEE" w:rsidRPr="0095602A" w:rsidRDefault="009D0BEE" w:rsidP="009D0BEE">
      <w:pPr>
        <w:pStyle w:val="BodyText"/>
        <w:ind w:left="630" w:right="1260"/>
        <w:rPr>
          <w:color w:val="000000" w:themeColor="text1"/>
          <w:spacing w:val="-4"/>
        </w:rPr>
      </w:pPr>
      <w:r w:rsidRPr="0095602A">
        <w:rPr>
          <w:color w:val="000000" w:themeColor="text1"/>
          <w:spacing w:val="-4"/>
        </w:rPr>
        <w:t>Legal Counsel</w:t>
      </w:r>
    </w:p>
    <w:p w14:paraId="13E0E098" w14:textId="77777777" w:rsidR="009D0BEE" w:rsidRPr="0095602A" w:rsidRDefault="009D0BEE" w:rsidP="009D0BEE">
      <w:pPr>
        <w:pStyle w:val="BodyText"/>
        <w:ind w:left="630" w:right="1260"/>
        <w:rPr>
          <w:color w:val="000000" w:themeColor="text1"/>
          <w:spacing w:val="-4"/>
        </w:rPr>
      </w:pPr>
      <w:r w:rsidRPr="0095602A">
        <w:rPr>
          <w:color w:val="000000" w:themeColor="text1"/>
          <w:spacing w:val="-4"/>
        </w:rPr>
        <w:t>Robinson and Cole</w:t>
      </w:r>
    </w:p>
    <w:p w14:paraId="3514E0B1" w14:textId="77777777" w:rsidR="009D0BEE" w:rsidRPr="0095602A" w:rsidRDefault="009D0BEE" w:rsidP="009D0BEE">
      <w:pPr>
        <w:pStyle w:val="BodyText"/>
        <w:ind w:left="630" w:right="1260"/>
        <w:rPr>
          <w:color w:val="000000" w:themeColor="text1"/>
          <w:spacing w:val="-4"/>
        </w:rPr>
      </w:pPr>
      <w:r w:rsidRPr="0095602A">
        <w:rPr>
          <w:color w:val="000000" w:themeColor="text1"/>
          <w:spacing w:val="-4"/>
        </w:rPr>
        <w:t>One Boston Place, 25</w:t>
      </w:r>
      <w:r w:rsidRPr="0095602A">
        <w:rPr>
          <w:color w:val="000000" w:themeColor="text1"/>
          <w:spacing w:val="-4"/>
          <w:vertAlign w:val="superscript"/>
        </w:rPr>
        <w:t>th</w:t>
      </w:r>
      <w:r w:rsidRPr="0095602A">
        <w:rPr>
          <w:color w:val="000000" w:themeColor="text1"/>
          <w:spacing w:val="-4"/>
        </w:rPr>
        <w:t xml:space="preserve"> floor</w:t>
      </w:r>
    </w:p>
    <w:p w14:paraId="7CFCA5FD" w14:textId="77777777" w:rsidR="009D0BEE" w:rsidRPr="0095602A" w:rsidRDefault="009D0BEE" w:rsidP="009D0BEE">
      <w:pPr>
        <w:pStyle w:val="BodyText"/>
        <w:ind w:left="630" w:right="1260"/>
        <w:rPr>
          <w:color w:val="000000" w:themeColor="text1"/>
          <w:spacing w:val="-4"/>
        </w:rPr>
      </w:pPr>
      <w:r w:rsidRPr="0095602A">
        <w:rPr>
          <w:color w:val="000000" w:themeColor="text1"/>
          <w:spacing w:val="-4"/>
        </w:rPr>
        <w:t>Boston, MA 02108</w:t>
      </w:r>
    </w:p>
    <w:p w14:paraId="0378C3E4" w14:textId="77777777" w:rsidR="009D0BEE" w:rsidRPr="0095602A" w:rsidRDefault="009D0BEE" w:rsidP="009D0BEE">
      <w:pPr>
        <w:pStyle w:val="BodyText"/>
        <w:ind w:left="630" w:right="1260"/>
        <w:rPr>
          <w:color w:val="000000" w:themeColor="text1"/>
          <w:spacing w:val="-4"/>
        </w:rPr>
      </w:pPr>
    </w:p>
    <w:p w14:paraId="4AFFA15F" w14:textId="77777777" w:rsidR="009D0BEE" w:rsidRPr="0095602A" w:rsidRDefault="009D0BEE" w:rsidP="009D0BEE">
      <w:pPr>
        <w:pStyle w:val="BodyText"/>
        <w:ind w:left="630" w:right="1260"/>
        <w:rPr>
          <w:color w:val="000000" w:themeColor="text1"/>
          <w:highlight w:val="yellow"/>
        </w:rPr>
      </w:pPr>
    </w:p>
    <w:p w14:paraId="4BDEA568" w14:textId="77777777" w:rsidR="009D0BEE" w:rsidRPr="0095602A" w:rsidRDefault="009D0BEE" w:rsidP="009D0BEE">
      <w:pPr>
        <w:ind w:left="630" w:right="1260"/>
        <w:rPr>
          <w:color w:val="000000" w:themeColor="text1"/>
          <w:szCs w:val="24"/>
        </w:rPr>
      </w:pPr>
      <w:r w:rsidRPr="0095602A">
        <w:rPr>
          <w:color w:val="000000" w:themeColor="text1"/>
          <w:szCs w:val="24"/>
        </w:rPr>
        <w:t>VIA Email:</w:t>
      </w:r>
      <w:r w:rsidRPr="0095602A">
        <w:rPr>
          <w:color w:val="000000" w:themeColor="text1"/>
          <w:spacing w:val="-1"/>
          <w:szCs w:val="24"/>
        </w:rPr>
        <w:t xml:space="preserve"> </w:t>
      </w:r>
      <w:hyperlink r:id="rId12" w:history="1">
        <w:r w:rsidRPr="0095602A">
          <w:rPr>
            <w:rStyle w:val="Hyperlink"/>
            <w:color w:val="000000" w:themeColor="text1"/>
            <w:spacing w:val="-1"/>
            <w:szCs w:val="24"/>
          </w:rPr>
          <w:t>khealy@rc.com</w:t>
        </w:r>
      </w:hyperlink>
      <w:r w:rsidRPr="0095602A">
        <w:rPr>
          <w:color w:val="000000" w:themeColor="text1"/>
          <w:spacing w:val="-1"/>
          <w:szCs w:val="24"/>
        </w:rPr>
        <w:t xml:space="preserve"> </w:t>
      </w:r>
    </w:p>
    <w:p w14:paraId="377C7633" w14:textId="77777777" w:rsidR="009D0BEE" w:rsidRPr="0095602A" w:rsidRDefault="009D0BEE" w:rsidP="009D0BEE">
      <w:pPr>
        <w:pStyle w:val="BodyText"/>
        <w:ind w:left="630" w:right="1260"/>
        <w:rPr>
          <w:color w:val="000000" w:themeColor="text1"/>
        </w:rPr>
      </w:pPr>
    </w:p>
    <w:p w14:paraId="3CCF6030" w14:textId="77777777" w:rsidR="009D0BEE" w:rsidRPr="0095602A" w:rsidRDefault="009D0BEE" w:rsidP="009D0BEE">
      <w:pPr>
        <w:pStyle w:val="TableParagraph"/>
        <w:spacing w:before="1" w:line="249" w:lineRule="exact"/>
        <w:ind w:left="630" w:right="1260"/>
        <w:rPr>
          <w:rFonts w:ascii="Times New Roman" w:hAnsi="Times New Roman" w:cs="Times New Roman"/>
          <w:color w:val="000000" w:themeColor="text1"/>
          <w:szCs w:val="24"/>
          <w:shd w:val="clear" w:color="auto" w:fill="FFFFFF"/>
        </w:rPr>
      </w:pPr>
      <w:r w:rsidRPr="0095602A">
        <w:rPr>
          <w:rFonts w:ascii="Times New Roman" w:hAnsi="Times New Roman" w:cs="Times New Roman"/>
          <w:color w:val="000000" w:themeColor="text1"/>
          <w:szCs w:val="24"/>
        </w:rPr>
        <w:t>Notice of Final</w:t>
      </w:r>
      <w:r w:rsidRPr="0095602A">
        <w:rPr>
          <w:rFonts w:ascii="Times New Roman" w:hAnsi="Times New Roman" w:cs="Times New Roman"/>
          <w:color w:val="000000" w:themeColor="text1"/>
          <w:spacing w:val="-2"/>
          <w:szCs w:val="24"/>
        </w:rPr>
        <w:t xml:space="preserve"> </w:t>
      </w:r>
      <w:r w:rsidRPr="0095602A">
        <w:rPr>
          <w:rFonts w:ascii="Times New Roman" w:hAnsi="Times New Roman" w:cs="Times New Roman"/>
          <w:color w:val="000000" w:themeColor="text1"/>
          <w:szCs w:val="24"/>
        </w:rPr>
        <w:t>Action:</w:t>
      </w:r>
      <w:r w:rsidRPr="0095602A">
        <w:rPr>
          <w:rFonts w:ascii="Times New Roman" w:hAnsi="Times New Roman" w:cs="Times New Roman"/>
          <w:color w:val="000000" w:themeColor="text1"/>
          <w:spacing w:val="-1"/>
          <w:szCs w:val="24"/>
        </w:rPr>
        <w:t xml:space="preserve">  </w:t>
      </w:r>
      <w:r w:rsidRPr="0095602A">
        <w:rPr>
          <w:rFonts w:ascii="Times New Roman" w:hAnsi="Times New Roman" w:cs="Times New Roman"/>
          <w:color w:val="000000" w:themeColor="text1"/>
          <w:szCs w:val="24"/>
          <w:shd w:val="clear" w:color="auto" w:fill="FFFFFF"/>
        </w:rPr>
        <w:t>Southcoast Health System Inc. SHS-24050109-TO</w:t>
      </w:r>
    </w:p>
    <w:p w14:paraId="7AA9ED39" w14:textId="77777777" w:rsidR="009D0BEE" w:rsidRPr="0095602A" w:rsidRDefault="009D0BEE" w:rsidP="009D0BEE">
      <w:pPr>
        <w:pStyle w:val="TableParagraph"/>
        <w:spacing w:before="1" w:line="249" w:lineRule="exact"/>
        <w:ind w:left="630" w:right="1260"/>
        <w:rPr>
          <w:rFonts w:ascii="Times New Roman" w:hAnsi="Times New Roman" w:cs="Times New Roman"/>
          <w:color w:val="000000" w:themeColor="text1"/>
          <w:szCs w:val="24"/>
          <w:highlight w:val="yellow"/>
        </w:rPr>
      </w:pPr>
    </w:p>
    <w:p w14:paraId="63FE911A" w14:textId="77777777" w:rsidR="009D0BEE" w:rsidRPr="0095602A" w:rsidRDefault="009D0BEE" w:rsidP="009D0BEE">
      <w:pPr>
        <w:pStyle w:val="BodyText"/>
        <w:spacing w:after="240"/>
        <w:ind w:left="630" w:right="1260"/>
        <w:rPr>
          <w:color w:val="000000" w:themeColor="text1"/>
        </w:rPr>
      </w:pPr>
      <w:r w:rsidRPr="0095602A">
        <w:rPr>
          <w:color w:val="000000" w:themeColor="text1"/>
        </w:rPr>
        <w:t>Dear Attorney Healy,</w:t>
      </w:r>
    </w:p>
    <w:p w14:paraId="381173C7" w14:textId="77777777" w:rsidR="009D0BEE" w:rsidRPr="0095602A" w:rsidRDefault="009D0BEE" w:rsidP="009D0BEE">
      <w:pPr>
        <w:ind w:left="630" w:right="1260"/>
        <w:contextualSpacing/>
        <w:rPr>
          <w:color w:val="000000" w:themeColor="text1"/>
          <w:szCs w:val="24"/>
          <w:highlight w:val="yellow"/>
        </w:rPr>
      </w:pPr>
      <w:r w:rsidRPr="0095602A">
        <w:rPr>
          <w:color w:val="000000" w:themeColor="text1"/>
          <w:szCs w:val="24"/>
        </w:rPr>
        <w:t>At their meeting of September 11, 2024, the Commissioner and the Public Health Council, acting together as the Department, voted pursuant to M.G.L. c.111, §25C and the regulations adopted thereunder, to approve the Determination of Need (</w:t>
      </w:r>
      <w:proofErr w:type="spellStart"/>
      <w:r w:rsidRPr="0095602A">
        <w:rPr>
          <w:color w:val="000000" w:themeColor="text1"/>
          <w:szCs w:val="24"/>
        </w:rPr>
        <w:t>DoN</w:t>
      </w:r>
      <w:proofErr w:type="spellEnd"/>
      <w:r w:rsidRPr="0095602A">
        <w:rPr>
          <w:color w:val="000000" w:themeColor="text1"/>
          <w:szCs w:val="24"/>
        </w:rPr>
        <w:t xml:space="preserve">) application filed by Southcoast Health Systems, Inc., located at 101 Page Street, Boston, MA 02740, for the Transfer of Ownership of </w:t>
      </w:r>
      <w:r w:rsidRPr="0095602A">
        <w:rPr>
          <w:color w:val="000000" w:themeColor="text1"/>
          <w:szCs w:val="24"/>
          <w:shd w:val="clear" w:color="auto" w:fill="FFFFFF"/>
        </w:rPr>
        <w:t xml:space="preserve">Same Day </w:t>
      </w:r>
      <w:proofErr w:type="spellStart"/>
      <w:r w:rsidRPr="0095602A">
        <w:rPr>
          <w:color w:val="000000" w:themeColor="text1"/>
          <w:szCs w:val="24"/>
          <w:shd w:val="clear" w:color="auto" w:fill="FFFFFF"/>
        </w:rPr>
        <w:t>Surgicare</w:t>
      </w:r>
      <w:proofErr w:type="spellEnd"/>
      <w:r w:rsidRPr="0095602A">
        <w:rPr>
          <w:color w:val="000000" w:themeColor="text1"/>
          <w:szCs w:val="24"/>
          <w:shd w:val="clear" w:color="auto" w:fill="FFFFFF"/>
        </w:rPr>
        <w:t xml:space="preserve"> of New England, Inc., located at </w:t>
      </w:r>
      <w:r w:rsidRPr="0095602A">
        <w:rPr>
          <w:color w:val="000000" w:themeColor="text1"/>
          <w:szCs w:val="24"/>
        </w:rPr>
        <w:t>272 Stanley Street, Fall River, MA 02720.</w:t>
      </w:r>
      <w:r w:rsidRPr="0095602A">
        <w:rPr>
          <w:color w:val="000000" w:themeColor="text1"/>
          <w:szCs w:val="24"/>
          <w:shd w:val="clear" w:color="auto" w:fill="FFFFFF"/>
        </w:rPr>
        <w:t xml:space="preserve"> </w:t>
      </w:r>
      <w:r w:rsidRPr="0095602A">
        <w:rPr>
          <w:color w:val="000000" w:themeColor="text1"/>
          <w:szCs w:val="24"/>
        </w:rPr>
        <w:t>This Notice of Final Action incorporates by reference the Staff Report and the Public Health Council proceedings concerning this application.</w:t>
      </w:r>
    </w:p>
    <w:p w14:paraId="10937143" w14:textId="77777777" w:rsidR="009D0BEE" w:rsidRPr="0095602A" w:rsidRDefault="009D0BEE" w:rsidP="009D0BEE">
      <w:pPr>
        <w:ind w:left="630" w:right="1260"/>
        <w:contextualSpacing/>
        <w:rPr>
          <w:color w:val="000000" w:themeColor="text1"/>
          <w:szCs w:val="24"/>
          <w:highlight w:val="yellow"/>
        </w:rPr>
      </w:pPr>
    </w:p>
    <w:p w14:paraId="036CD443" w14:textId="77777777" w:rsidR="009D0BEE" w:rsidRPr="0095602A" w:rsidRDefault="009D0BEE" w:rsidP="009D0BEE">
      <w:pPr>
        <w:ind w:left="630" w:right="1260"/>
        <w:contextualSpacing/>
        <w:rPr>
          <w:color w:val="000000" w:themeColor="text1"/>
          <w:szCs w:val="24"/>
        </w:rPr>
      </w:pPr>
      <w:r w:rsidRPr="0095602A">
        <w:rPr>
          <w:color w:val="000000" w:themeColor="text1"/>
          <w:szCs w:val="24"/>
        </w:rPr>
        <w:t xml:space="preserve">This application was reviewed pursuant to M.G.L. c. 111, §25C and the regulatory provisions of 105 CMR 100.000 et seq. Based upon a review of the materials submitted, the Department found that the Applicant has met each </w:t>
      </w:r>
      <w:proofErr w:type="spellStart"/>
      <w:r w:rsidRPr="0095602A">
        <w:rPr>
          <w:color w:val="000000" w:themeColor="text1"/>
          <w:szCs w:val="24"/>
        </w:rPr>
        <w:t>DoN</w:t>
      </w:r>
      <w:proofErr w:type="spellEnd"/>
      <w:r w:rsidRPr="0095602A">
        <w:rPr>
          <w:color w:val="000000" w:themeColor="text1"/>
          <w:szCs w:val="24"/>
        </w:rPr>
        <w:t xml:space="preserve"> factor and approves this Determination of Need application subject to all </w:t>
      </w:r>
      <w:r>
        <w:rPr>
          <w:color w:val="000000" w:themeColor="text1"/>
          <w:szCs w:val="24"/>
        </w:rPr>
        <w:t xml:space="preserve">applicable </w:t>
      </w:r>
      <w:r w:rsidRPr="0095602A">
        <w:rPr>
          <w:color w:val="000000" w:themeColor="text1"/>
          <w:szCs w:val="24"/>
        </w:rPr>
        <w:t>standard conditions (105 CMR 100.310)</w:t>
      </w:r>
      <w:r>
        <w:rPr>
          <w:color w:val="000000" w:themeColor="text1"/>
          <w:szCs w:val="24"/>
        </w:rPr>
        <w:t>,</w:t>
      </w:r>
      <w:r w:rsidRPr="0095602A">
        <w:rPr>
          <w:color w:val="000000" w:themeColor="text1"/>
          <w:szCs w:val="24"/>
        </w:rPr>
        <w:t xml:space="preserve"> and pursuant to 105 CMR 100.360, subject to Other Conditions listed below. The Total Value for the Proposed Project is $5,300,000.00.</w:t>
      </w:r>
    </w:p>
    <w:p w14:paraId="0117B54F" w14:textId="77777777" w:rsidR="009D0BEE" w:rsidRPr="0095602A" w:rsidRDefault="009D0BEE" w:rsidP="009D0BEE">
      <w:pPr>
        <w:ind w:left="630" w:right="1260"/>
        <w:contextualSpacing/>
        <w:rPr>
          <w:color w:val="000000" w:themeColor="text1"/>
          <w:szCs w:val="24"/>
          <w:highlight w:val="yellow"/>
        </w:rPr>
      </w:pPr>
    </w:p>
    <w:p w14:paraId="05933633" w14:textId="77777777" w:rsidR="009D0BEE" w:rsidRPr="0095602A" w:rsidRDefault="009D0BEE" w:rsidP="009D0BEE">
      <w:pPr>
        <w:ind w:left="630" w:right="1260"/>
        <w:contextualSpacing/>
        <w:rPr>
          <w:color w:val="000000" w:themeColor="text1"/>
          <w:szCs w:val="24"/>
        </w:rPr>
      </w:pPr>
      <w:r w:rsidRPr="0095602A">
        <w:rPr>
          <w:color w:val="000000" w:themeColor="text1"/>
          <w:szCs w:val="24"/>
        </w:rPr>
        <w:t>In compliance with the provisions of 105 CMR 100.310(A)(2) and (11), the Holder shall submit an acknowledgment of receipt to the Department (attached) and include a written attestation of participation or intent to participate in MassHealth.</w:t>
      </w:r>
    </w:p>
    <w:p w14:paraId="7B92F33B" w14:textId="77777777" w:rsidR="009D0BEE" w:rsidRPr="0095602A" w:rsidRDefault="009D0BEE" w:rsidP="009D0BEE">
      <w:pPr>
        <w:pStyle w:val="paragraph"/>
        <w:spacing w:before="0" w:beforeAutospacing="0" w:after="0" w:afterAutospacing="0"/>
        <w:ind w:left="630" w:right="1260"/>
        <w:textAlignment w:val="baseline"/>
        <w:rPr>
          <w:rStyle w:val="eop"/>
          <w:color w:val="000000" w:themeColor="text1"/>
        </w:rPr>
      </w:pPr>
      <w:r w:rsidRPr="0095602A">
        <w:rPr>
          <w:rStyle w:val="normaltextrun"/>
          <w:color w:val="000000" w:themeColor="text1"/>
        </w:rPr>
        <w:t> </w:t>
      </w:r>
      <w:r w:rsidRPr="0095602A">
        <w:rPr>
          <w:rStyle w:val="eop"/>
          <w:color w:val="000000" w:themeColor="text1"/>
        </w:rPr>
        <w:t> </w:t>
      </w:r>
    </w:p>
    <w:p w14:paraId="4F8A0651" w14:textId="77777777" w:rsidR="009D0BEE" w:rsidRPr="0095602A" w:rsidRDefault="009D0BEE" w:rsidP="009D0BEE">
      <w:pPr>
        <w:ind w:left="630" w:right="1260"/>
        <w:rPr>
          <w:color w:val="000000" w:themeColor="text1"/>
          <w:szCs w:val="24"/>
          <w:bdr w:val="none" w:sz="0" w:space="0" w:color="auto" w:frame="1"/>
          <w:shd w:val="clear" w:color="auto" w:fill="FFFFFF"/>
        </w:rPr>
      </w:pPr>
      <w:r w:rsidRPr="0095602A">
        <w:rPr>
          <w:color w:val="000000" w:themeColor="text1"/>
          <w:szCs w:val="24"/>
          <w:bdr w:val="none" w:sz="0" w:space="0" w:color="auto" w:frame="1"/>
          <w:shd w:val="clear" w:color="auto" w:fill="FFFFFF"/>
        </w:rPr>
        <w:lastRenderedPageBreak/>
        <w:t xml:space="preserve">In compliance with 105 CMR 100.310(A)(12), which requires a report to the Department, at a minimum on an annual basis, including the measures related to achievement of the </w:t>
      </w:r>
      <w:proofErr w:type="spellStart"/>
      <w:r w:rsidRPr="0095602A">
        <w:rPr>
          <w:color w:val="000000" w:themeColor="text1"/>
          <w:szCs w:val="24"/>
          <w:bdr w:val="none" w:sz="0" w:space="0" w:color="auto" w:frame="1"/>
          <w:shd w:val="clear" w:color="auto" w:fill="FFFFFF"/>
        </w:rPr>
        <w:t>DoN</w:t>
      </w:r>
      <w:proofErr w:type="spellEnd"/>
      <w:r w:rsidRPr="0095602A">
        <w:rPr>
          <w:color w:val="000000" w:themeColor="text1"/>
          <w:szCs w:val="24"/>
          <w:bdr w:val="none" w:sz="0" w:space="0" w:color="auto" w:frame="1"/>
          <w:shd w:val="clear" w:color="auto" w:fill="FFFFFF"/>
        </w:rPr>
        <w:t xml:space="preserve"> factors for a period of five years from completion of the Proposed Project, the Holder shall address its assertions with respect to all the applicable factors.</w:t>
      </w:r>
    </w:p>
    <w:p w14:paraId="7D2130F5" w14:textId="77777777" w:rsidR="009D0BEE" w:rsidRPr="0095602A" w:rsidRDefault="009D0BEE" w:rsidP="009D0BEE">
      <w:pPr>
        <w:ind w:left="630" w:right="1260"/>
        <w:rPr>
          <w:color w:val="000000" w:themeColor="text1"/>
          <w:szCs w:val="24"/>
          <w:bdr w:val="none" w:sz="0" w:space="0" w:color="auto" w:frame="1"/>
          <w:shd w:val="clear" w:color="auto" w:fill="FFFFFF"/>
        </w:rPr>
      </w:pPr>
    </w:p>
    <w:p w14:paraId="7D60178B" w14:textId="77777777" w:rsidR="009D0BEE" w:rsidRPr="0095602A" w:rsidRDefault="009D0BEE" w:rsidP="009D0BEE">
      <w:pPr>
        <w:ind w:left="630" w:right="1260"/>
        <w:contextualSpacing/>
        <w:rPr>
          <w:color w:val="000000" w:themeColor="text1"/>
          <w:szCs w:val="24"/>
          <w:bdr w:val="none" w:sz="0" w:space="0" w:color="auto" w:frame="1"/>
          <w:shd w:val="clear" w:color="auto" w:fill="FFFFFF"/>
        </w:rPr>
      </w:pPr>
      <w:r w:rsidRPr="0095602A">
        <w:rPr>
          <w:color w:val="000000" w:themeColor="text1"/>
          <w:szCs w:val="24"/>
          <w:bdr w:val="none" w:sz="0" w:space="0" w:color="auto" w:frame="1"/>
          <w:shd w:val="clear" w:color="auto" w:fill="FFFFFF"/>
        </w:rPr>
        <w:t xml:space="preserve">Please notify the </w:t>
      </w:r>
      <w:proofErr w:type="spellStart"/>
      <w:r w:rsidRPr="0095602A">
        <w:rPr>
          <w:color w:val="000000" w:themeColor="text1"/>
          <w:szCs w:val="24"/>
          <w:bdr w:val="none" w:sz="0" w:space="0" w:color="auto" w:frame="1"/>
          <w:shd w:val="clear" w:color="auto" w:fill="FFFFFF"/>
        </w:rPr>
        <w:t>DoN</w:t>
      </w:r>
      <w:proofErr w:type="spellEnd"/>
      <w:r w:rsidRPr="0095602A">
        <w:rPr>
          <w:color w:val="000000" w:themeColor="text1"/>
          <w:szCs w:val="24"/>
          <w:bdr w:val="none" w:sz="0" w:space="0" w:color="auto" w:frame="1"/>
          <w:shd w:val="clear" w:color="auto" w:fill="FFFFFF"/>
        </w:rPr>
        <w:t xml:space="preserve"> Program at </w:t>
      </w:r>
      <w:hyperlink r:id="rId13" w:history="1">
        <w:r w:rsidRPr="0095602A">
          <w:rPr>
            <w:rStyle w:val="Hyperlink"/>
            <w:color w:val="000000" w:themeColor="text1"/>
            <w:szCs w:val="24"/>
            <w:bdr w:val="none" w:sz="0" w:space="0" w:color="auto" w:frame="1"/>
            <w:shd w:val="clear" w:color="auto" w:fill="FFFFFF"/>
          </w:rPr>
          <w:t>DPH.DON@mass.gov</w:t>
        </w:r>
      </w:hyperlink>
      <w:r w:rsidRPr="0095602A">
        <w:rPr>
          <w:color w:val="000000" w:themeColor="text1"/>
          <w:szCs w:val="24"/>
          <w:bdr w:val="none" w:sz="0" w:space="0" w:color="auto" w:frame="1"/>
          <w:shd w:val="clear" w:color="auto" w:fill="FFFFFF"/>
        </w:rPr>
        <w:t xml:space="preserve"> confirming the Project's completion (closure of transaction and licensure/approval date) to determine the annual </w:t>
      </w:r>
      <w:proofErr w:type="spellStart"/>
      <w:r w:rsidRPr="0095602A">
        <w:rPr>
          <w:color w:val="000000" w:themeColor="text1"/>
          <w:szCs w:val="24"/>
          <w:bdr w:val="none" w:sz="0" w:space="0" w:color="auto" w:frame="1"/>
          <w:shd w:val="clear" w:color="auto" w:fill="FFFFFF"/>
        </w:rPr>
        <w:t>DoN</w:t>
      </w:r>
      <w:proofErr w:type="spellEnd"/>
      <w:r w:rsidRPr="0095602A">
        <w:rPr>
          <w:color w:val="000000" w:themeColor="text1"/>
          <w:szCs w:val="24"/>
          <w:bdr w:val="none" w:sz="0" w:space="0" w:color="auto" w:frame="1"/>
          <w:shd w:val="clear" w:color="auto" w:fill="FFFFFF"/>
        </w:rPr>
        <w:t xml:space="preserve"> reporting timeline.  </w:t>
      </w:r>
    </w:p>
    <w:p w14:paraId="6A74291A" w14:textId="77777777" w:rsidR="009D0BEE" w:rsidRPr="0095602A" w:rsidRDefault="009D0BEE" w:rsidP="009D0BEE">
      <w:pPr>
        <w:ind w:left="630" w:right="1260"/>
        <w:contextualSpacing/>
        <w:rPr>
          <w:color w:val="000000" w:themeColor="text1"/>
          <w:szCs w:val="24"/>
        </w:rPr>
      </w:pPr>
    </w:p>
    <w:p w14:paraId="0559C329" w14:textId="77777777" w:rsidR="009D0BEE" w:rsidRPr="0095602A" w:rsidRDefault="009D0BEE" w:rsidP="009D0BEE">
      <w:pPr>
        <w:pStyle w:val="BodyText"/>
        <w:ind w:left="630" w:right="1260"/>
        <w:rPr>
          <w:b/>
          <w:bCs/>
          <w:color w:val="000000" w:themeColor="text1"/>
        </w:rPr>
      </w:pPr>
      <w:r w:rsidRPr="0095602A">
        <w:rPr>
          <w:b/>
          <w:bCs/>
          <w:color w:val="000000" w:themeColor="text1"/>
        </w:rPr>
        <w:t xml:space="preserve">Other Conditions to the </w:t>
      </w:r>
      <w:proofErr w:type="spellStart"/>
      <w:r w:rsidRPr="0095602A">
        <w:rPr>
          <w:b/>
          <w:bCs/>
          <w:color w:val="000000" w:themeColor="text1"/>
        </w:rPr>
        <w:t>DoN</w:t>
      </w:r>
      <w:proofErr w:type="spellEnd"/>
    </w:p>
    <w:p w14:paraId="5FA0A0E8" w14:textId="77777777" w:rsidR="009D0BEE" w:rsidRPr="0095602A" w:rsidRDefault="009D0BEE" w:rsidP="009D0BEE">
      <w:pPr>
        <w:ind w:left="630" w:right="1260"/>
        <w:rPr>
          <w:rFonts w:eastAsiaTheme="minorEastAsia"/>
          <w:color w:val="000000" w:themeColor="text1"/>
          <w:szCs w:val="24"/>
        </w:rPr>
      </w:pPr>
    </w:p>
    <w:p w14:paraId="3049DA25" w14:textId="77777777" w:rsidR="009D0BEE" w:rsidRPr="0095602A" w:rsidRDefault="009D0BEE" w:rsidP="009D0BEE">
      <w:pPr>
        <w:pStyle w:val="ListParagraph"/>
        <w:numPr>
          <w:ilvl w:val="0"/>
          <w:numId w:val="8"/>
        </w:numPr>
        <w:ind w:right="1260"/>
        <w:rPr>
          <w:color w:val="000000" w:themeColor="text1"/>
          <w:szCs w:val="24"/>
        </w:rPr>
      </w:pPr>
      <w:r w:rsidRPr="0095602A">
        <w:rPr>
          <w:color w:val="000000" w:themeColor="text1"/>
          <w:szCs w:val="24"/>
        </w:rPr>
        <w:t xml:space="preserve">In addition to the measures provided in Appendix 1, commencing with the approval of this </w:t>
      </w:r>
      <w:proofErr w:type="spellStart"/>
      <w:r w:rsidRPr="0095602A">
        <w:rPr>
          <w:color w:val="000000" w:themeColor="text1"/>
          <w:szCs w:val="24"/>
        </w:rPr>
        <w:t>DoN</w:t>
      </w:r>
      <w:proofErr w:type="spellEnd"/>
      <w:r w:rsidRPr="0095602A">
        <w:rPr>
          <w:color w:val="000000" w:themeColor="text1"/>
          <w:szCs w:val="24"/>
        </w:rPr>
        <w:t xml:space="preserve">, and continuing for a period of five years after the Proposed Project is complete, the Holder shall provide the following information as part of the annual report required by 105 CMR 100.310(A)(12): </w:t>
      </w:r>
    </w:p>
    <w:p w14:paraId="1C428C91" w14:textId="77777777" w:rsidR="009D0BEE" w:rsidRPr="0095602A" w:rsidRDefault="009D0BEE" w:rsidP="009D0BEE">
      <w:pPr>
        <w:pStyle w:val="ListParagraph"/>
        <w:ind w:left="990" w:right="1260"/>
        <w:rPr>
          <w:color w:val="000000" w:themeColor="text1"/>
          <w:szCs w:val="24"/>
        </w:rPr>
      </w:pPr>
    </w:p>
    <w:p w14:paraId="40176952" w14:textId="77777777" w:rsidR="009D0BEE" w:rsidRPr="0095602A" w:rsidRDefault="009D0BEE" w:rsidP="009D0BEE">
      <w:pPr>
        <w:ind w:left="1440" w:right="1260"/>
        <w:rPr>
          <w:color w:val="000000" w:themeColor="text1"/>
          <w:szCs w:val="24"/>
        </w:rPr>
      </w:pPr>
      <w:r w:rsidRPr="0095602A">
        <w:rPr>
          <w:color w:val="000000" w:themeColor="text1"/>
          <w:szCs w:val="24"/>
        </w:rPr>
        <w:t xml:space="preserve">a. Annually, for both SHS (outpatient) and SDS, the applicant will report the following: </w:t>
      </w:r>
    </w:p>
    <w:p w14:paraId="5D30560A" w14:textId="77777777" w:rsidR="009D0BEE" w:rsidRPr="0095602A" w:rsidRDefault="009D0BEE" w:rsidP="009D0BEE">
      <w:pPr>
        <w:ind w:left="1440" w:right="1260"/>
        <w:rPr>
          <w:color w:val="000000" w:themeColor="text1"/>
          <w:szCs w:val="24"/>
        </w:rPr>
      </w:pPr>
    </w:p>
    <w:p w14:paraId="2261A303" w14:textId="77777777" w:rsidR="009D0BEE" w:rsidRPr="0095602A" w:rsidRDefault="009D0BEE" w:rsidP="009D0BEE">
      <w:pPr>
        <w:ind w:left="1440" w:right="1260" w:firstLine="720"/>
        <w:rPr>
          <w:color w:val="000000" w:themeColor="text1"/>
          <w:szCs w:val="24"/>
        </w:rPr>
      </w:pPr>
      <w:r>
        <w:rPr>
          <w:color w:val="000000" w:themeColor="text1"/>
          <w:szCs w:val="24"/>
        </w:rPr>
        <w:t xml:space="preserve"> </w:t>
      </w:r>
      <w:proofErr w:type="spellStart"/>
      <w:r w:rsidRPr="0095602A">
        <w:rPr>
          <w:color w:val="000000" w:themeColor="text1"/>
          <w:szCs w:val="24"/>
        </w:rPr>
        <w:t>i</w:t>
      </w:r>
      <w:proofErr w:type="spellEnd"/>
      <w:r w:rsidRPr="0095602A">
        <w:rPr>
          <w:color w:val="000000" w:themeColor="text1"/>
          <w:szCs w:val="24"/>
        </w:rPr>
        <w:t>. Surgical volume by specialty</w:t>
      </w:r>
    </w:p>
    <w:p w14:paraId="16B77AB7" w14:textId="77777777" w:rsidR="009D0BEE" w:rsidRPr="0095602A" w:rsidRDefault="009D0BEE" w:rsidP="009D0BEE">
      <w:pPr>
        <w:ind w:left="1440" w:right="1260" w:firstLine="720"/>
        <w:rPr>
          <w:color w:val="000000" w:themeColor="text1"/>
          <w:szCs w:val="24"/>
        </w:rPr>
      </w:pPr>
      <w:r w:rsidRPr="0095602A">
        <w:rPr>
          <w:color w:val="000000" w:themeColor="text1"/>
          <w:szCs w:val="24"/>
        </w:rPr>
        <w:t xml:space="preserve"> ii. Surgical payer-mix </w:t>
      </w:r>
    </w:p>
    <w:p w14:paraId="17EB830B" w14:textId="77777777" w:rsidR="009D0BEE" w:rsidRPr="0095602A" w:rsidRDefault="009D0BEE" w:rsidP="009D0BEE">
      <w:pPr>
        <w:ind w:left="1440" w:right="1260" w:firstLine="720"/>
        <w:rPr>
          <w:color w:val="000000" w:themeColor="text1"/>
          <w:szCs w:val="24"/>
        </w:rPr>
      </w:pPr>
      <w:r w:rsidRPr="0095602A">
        <w:rPr>
          <w:color w:val="000000" w:themeColor="text1"/>
          <w:szCs w:val="24"/>
        </w:rPr>
        <w:t xml:space="preserve">iii. Surgical Patients by race and ethnicity </w:t>
      </w:r>
    </w:p>
    <w:p w14:paraId="410EF831" w14:textId="77777777" w:rsidR="009D0BEE" w:rsidRPr="0095602A" w:rsidRDefault="009D0BEE" w:rsidP="009D0BEE">
      <w:pPr>
        <w:ind w:left="1440" w:right="1260" w:firstLine="720"/>
        <w:rPr>
          <w:color w:val="000000" w:themeColor="text1"/>
          <w:szCs w:val="24"/>
        </w:rPr>
      </w:pPr>
      <w:r w:rsidRPr="0095602A">
        <w:rPr>
          <w:color w:val="000000" w:themeColor="text1"/>
          <w:szCs w:val="24"/>
        </w:rPr>
        <w:t xml:space="preserve">iv. Surgical Volume by Age </w:t>
      </w:r>
    </w:p>
    <w:p w14:paraId="7654364E" w14:textId="77777777" w:rsidR="009D0BEE" w:rsidRPr="0095602A" w:rsidRDefault="009D0BEE" w:rsidP="009D0BEE">
      <w:pPr>
        <w:ind w:left="630" w:right="1260"/>
        <w:rPr>
          <w:color w:val="000000" w:themeColor="text1"/>
          <w:szCs w:val="24"/>
        </w:rPr>
      </w:pPr>
    </w:p>
    <w:p w14:paraId="17B44B9E" w14:textId="77777777" w:rsidR="009D0BEE" w:rsidRPr="0095602A" w:rsidRDefault="009D0BEE" w:rsidP="009D0BEE">
      <w:pPr>
        <w:ind w:left="1440" w:right="1260"/>
        <w:rPr>
          <w:rFonts w:eastAsiaTheme="minorEastAsia"/>
          <w:color w:val="000000" w:themeColor="text1"/>
          <w:szCs w:val="24"/>
        </w:rPr>
      </w:pPr>
      <w:r w:rsidRPr="0095602A">
        <w:rPr>
          <w:color w:val="000000" w:themeColor="text1"/>
          <w:szCs w:val="24"/>
        </w:rPr>
        <w:t>b. In addition to SDS’s obligation to participate in MassHealth, pursuant to 105 CMR 100.310(A)(11), the Holder must certify annually that all physicians and health professionals who practice at SDS are enrolled as participating providers of MassHealth to support equitable access to all clinicians at the facility regardless of payer.</w:t>
      </w:r>
    </w:p>
    <w:p w14:paraId="7AC5BAD8" w14:textId="77777777" w:rsidR="009D0BEE" w:rsidRPr="0095602A" w:rsidRDefault="009D0BEE" w:rsidP="009D0BEE">
      <w:pPr>
        <w:ind w:left="630" w:right="1260"/>
        <w:rPr>
          <w:rFonts w:eastAsiaTheme="minorEastAsia"/>
          <w:color w:val="000000" w:themeColor="text1"/>
          <w:szCs w:val="24"/>
        </w:rPr>
      </w:pPr>
    </w:p>
    <w:p w14:paraId="0E9DF77E" w14:textId="77777777" w:rsidR="009D0BEE" w:rsidRPr="0095602A" w:rsidRDefault="009D0BEE" w:rsidP="009D0BEE">
      <w:pPr>
        <w:ind w:left="630" w:right="1260"/>
        <w:rPr>
          <w:rFonts w:eastAsiaTheme="minorEastAsia"/>
          <w:color w:val="000000" w:themeColor="text1"/>
          <w:szCs w:val="24"/>
        </w:rPr>
      </w:pPr>
      <w:r w:rsidRPr="0095602A">
        <w:rPr>
          <w:rFonts w:eastAsiaTheme="minorEastAsia"/>
          <w:color w:val="000000" w:themeColor="text1"/>
          <w:szCs w:val="24"/>
        </w:rPr>
        <w:t xml:space="preserve">Ongoing compliance with the conditions and all terms of the </w:t>
      </w:r>
      <w:proofErr w:type="spellStart"/>
      <w:r w:rsidRPr="0095602A">
        <w:rPr>
          <w:rFonts w:eastAsiaTheme="minorEastAsia"/>
          <w:color w:val="000000" w:themeColor="text1"/>
          <w:szCs w:val="24"/>
        </w:rPr>
        <w:t>DoN</w:t>
      </w:r>
      <w:proofErr w:type="spellEnd"/>
      <w:r w:rsidRPr="0095602A">
        <w:rPr>
          <w:rFonts w:eastAsiaTheme="minorEastAsia"/>
          <w:color w:val="000000" w:themeColor="text1"/>
          <w:szCs w:val="24"/>
        </w:rPr>
        <w:t xml:space="preserve"> is, pursuant to the Regulation, a precondition to the filing of any future </w:t>
      </w:r>
      <w:proofErr w:type="spellStart"/>
      <w:r w:rsidRPr="0095602A">
        <w:rPr>
          <w:rFonts w:eastAsiaTheme="minorEastAsia"/>
          <w:color w:val="000000" w:themeColor="text1"/>
          <w:szCs w:val="24"/>
        </w:rPr>
        <w:t>DoN</w:t>
      </w:r>
      <w:proofErr w:type="spellEnd"/>
      <w:r w:rsidRPr="0095602A">
        <w:rPr>
          <w:rFonts w:eastAsiaTheme="minorEastAsia"/>
          <w:color w:val="000000" w:themeColor="text1"/>
          <w:szCs w:val="24"/>
        </w:rPr>
        <w:t xml:space="preserve"> by the Holder.</w:t>
      </w:r>
    </w:p>
    <w:p w14:paraId="5D2C5C89" w14:textId="77777777" w:rsidR="009D0BEE" w:rsidRPr="00ED59F8" w:rsidRDefault="009D0BEE" w:rsidP="009D0BEE">
      <w:pPr>
        <w:ind w:left="630" w:right="1260"/>
        <w:rPr>
          <w:rFonts w:eastAsiaTheme="minorEastAsia"/>
          <w:color w:val="000000" w:themeColor="text1"/>
          <w:szCs w:val="24"/>
        </w:rPr>
      </w:pPr>
    </w:p>
    <w:p w14:paraId="09E6E3B7" w14:textId="77777777" w:rsidR="009D0BEE" w:rsidRPr="00C26577" w:rsidRDefault="009D0BEE" w:rsidP="009D0BEE">
      <w:pPr>
        <w:ind w:left="630" w:right="1260"/>
        <w:rPr>
          <w:szCs w:val="24"/>
          <w:highlight w:val="yellow"/>
        </w:rPr>
      </w:pPr>
    </w:p>
    <w:p w14:paraId="79BAA530" w14:textId="77777777" w:rsidR="009D0BEE" w:rsidRPr="00570E2C" w:rsidRDefault="009D0BEE" w:rsidP="009D0BEE">
      <w:pPr>
        <w:ind w:left="630" w:right="1260"/>
        <w:contextualSpacing/>
        <w:rPr>
          <w:szCs w:val="24"/>
        </w:rPr>
      </w:pPr>
      <w:r w:rsidRPr="00570E2C">
        <w:rPr>
          <w:szCs w:val="24"/>
        </w:rPr>
        <w:t>Sincerely,</w:t>
      </w:r>
    </w:p>
    <w:p w14:paraId="08602E1C" w14:textId="77777777" w:rsidR="009D0BEE" w:rsidRPr="00570E2C" w:rsidRDefault="009D0BEE" w:rsidP="009D0BEE">
      <w:pPr>
        <w:ind w:left="630" w:right="1260"/>
        <w:contextualSpacing/>
        <w:rPr>
          <w:szCs w:val="24"/>
        </w:rPr>
      </w:pPr>
    </w:p>
    <w:p w14:paraId="6CD58B76" w14:textId="77777777" w:rsidR="009D0BEE" w:rsidRPr="00AF164C" w:rsidRDefault="009D0BEE" w:rsidP="009D0BEE">
      <w:pPr>
        <w:ind w:left="630" w:right="1260"/>
        <w:contextualSpacing/>
        <w:rPr>
          <w:rFonts w:ascii="Palace Script MT" w:hAnsi="Palace Script MT"/>
          <w:sz w:val="48"/>
          <w:szCs w:val="48"/>
        </w:rPr>
      </w:pPr>
      <w:r w:rsidRPr="00AF164C">
        <w:rPr>
          <w:rFonts w:ascii="Palace Script MT" w:hAnsi="Palace Script MT"/>
          <w:sz w:val="48"/>
          <w:szCs w:val="48"/>
        </w:rPr>
        <w:t>Dennis Renaud</w:t>
      </w:r>
    </w:p>
    <w:p w14:paraId="57541CE9" w14:textId="77777777" w:rsidR="009D0BEE" w:rsidRPr="00570E2C" w:rsidRDefault="009D0BEE" w:rsidP="009D0BEE">
      <w:pPr>
        <w:ind w:left="630" w:right="1260"/>
        <w:contextualSpacing/>
        <w:rPr>
          <w:szCs w:val="24"/>
        </w:rPr>
      </w:pPr>
    </w:p>
    <w:p w14:paraId="50E5F7FA" w14:textId="77777777" w:rsidR="009D0BEE" w:rsidRPr="00570E2C" w:rsidRDefault="009D0BEE" w:rsidP="009D0BEE">
      <w:pPr>
        <w:ind w:left="630" w:right="1260"/>
        <w:contextualSpacing/>
        <w:rPr>
          <w:szCs w:val="24"/>
        </w:rPr>
      </w:pPr>
      <w:r w:rsidRPr="00570E2C">
        <w:rPr>
          <w:szCs w:val="24"/>
        </w:rPr>
        <w:t>Dennis Renaud</w:t>
      </w:r>
    </w:p>
    <w:p w14:paraId="216709CA" w14:textId="77777777" w:rsidR="009D0BEE" w:rsidRPr="00570E2C" w:rsidRDefault="009D0BEE" w:rsidP="009D0BEE">
      <w:pPr>
        <w:ind w:left="630" w:right="1260"/>
        <w:contextualSpacing/>
        <w:rPr>
          <w:szCs w:val="24"/>
        </w:rPr>
      </w:pPr>
      <w:r w:rsidRPr="00570E2C">
        <w:rPr>
          <w:szCs w:val="24"/>
        </w:rPr>
        <w:t>Director, Determination of Need Program</w:t>
      </w:r>
    </w:p>
    <w:p w14:paraId="08EF474E" w14:textId="77777777" w:rsidR="009D0BEE" w:rsidRPr="00E95948" w:rsidRDefault="009D0BEE" w:rsidP="009D0BEE">
      <w:pPr>
        <w:ind w:left="630" w:right="1260"/>
        <w:rPr>
          <w:spacing w:val="-5"/>
          <w:sz w:val="20"/>
          <w:highlight w:val="yellow"/>
        </w:rPr>
      </w:pPr>
    </w:p>
    <w:p w14:paraId="5E8F224C" w14:textId="77777777" w:rsidR="009D0BEE" w:rsidRPr="00E95948" w:rsidRDefault="009D0BEE" w:rsidP="009D0BEE">
      <w:pPr>
        <w:ind w:left="630" w:right="1260"/>
        <w:rPr>
          <w:spacing w:val="-5"/>
          <w:sz w:val="20"/>
          <w:highlight w:val="yellow"/>
        </w:rPr>
      </w:pPr>
    </w:p>
    <w:p w14:paraId="3423A8D5" w14:textId="77777777" w:rsidR="009D0BEE" w:rsidRPr="00DA678F" w:rsidRDefault="009D0BEE" w:rsidP="009D0BEE">
      <w:pPr>
        <w:ind w:left="630" w:right="1260"/>
        <w:rPr>
          <w:spacing w:val="-5"/>
          <w:sz w:val="20"/>
        </w:rPr>
      </w:pPr>
    </w:p>
    <w:p w14:paraId="5710CA72" w14:textId="77777777" w:rsidR="009D0BEE" w:rsidRDefault="009D0BEE" w:rsidP="009D0BEE">
      <w:pPr>
        <w:ind w:left="630" w:right="1260"/>
        <w:rPr>
          <w:sz w:val="20"/>
        </w:rPr>
      </w:pPr>
      <w:r w:rsidRPr="00DA678F">
        <w:rPr>
          <w:spacing w:val="-5"/>
          <w:sz w:val="20"/>
        </w:rPr>
        <w:t>cc:</w:t>
      </w:r>
    </w:p>
    <w:p w14:paraId="3A3353CD" w14:textId="77777777" w:rsidR="009D0BEE" w:rsidRDefault="009D0BEE" w:rsidP="009D0BEE">
      <w:pPr>
        <w:ind w:left="630" w:right="1260"/>
        <w:rPr>
          <w:sz w:val="20"/>
        </w:rPr>
      </w:pPr>
      <w:r w:rsidRPr="00E05F14">
        <w:rPr>
          <w:sz w:val="20"/>
        </w:rPr>
        <w:t>Antonio Sousa, Acting Director, Bureau of Health Care Safety and Quality</w:t>
      </w:r>
    </w:p>
    <w:p w14:paraId="5E22B7E3" w14:textId="77777777" w:rsidR="009D0BEE" w:rsidRPr="00DA678F" w:rsidRDefault="009D0BEE" w:rsidP="009D0BEE">
      <w:pPr>
        <w:ind w:left="630" w:right="1260"/>
        <w:rPr>
          <w:sz w:val="20"/>
        </w:rPr>
      </w:pPr>
      <w:r w:rsidRPr="00DA678F">
        <w:rPr>
          <w:sz w:val="20"/>
        </w:rPr>
        <w:t>Rebecca Kaye, General Counsel’s Office</w:t>
      </w:r>
    </w:p>
    <w:p w14:paraId="74F56630" w14:textId="77777777" w:rsidR="009D0BEE" w:rsidRPr="00DA678F" w:rsidRDefault="009D0BEE" w:rsidP="009D0BEE">
      <w:pPr>
        <w:ind w:left="630" w:right="1260"/>
        <w:rPr>
          <w:sz w:val="20"/>
        </w:rPr>
      </w:pPr>
      <w:r w:rsidRPr="00DA678F">
        <w:rPr>
          <w:sz w:val="20"/>
        </w:rPr>
        <w:t>Stephen</w:t>
      </w:r>
      <w:r w:rsidRPr="00DA678F">
        <w:rPr>
          <w:spacing w:val="-5"/>
          <w:sz w:val="20"/>
        </w:rPr>
        <w:t xml:space="preserve"> </w:t>
      </w:r>
      <w:r w:rsidRPr="00DA678F">
        <w:rPr>
          <w:sz w:val="20"/>
        </w:rPr>
        <w:t>Davis,</w:t>
      </w:r>
      <w:r w:rsidRPr="00DA678F">
        <w:rPr>
          <w:spacing w:val="-5"/>
          <w:sz w:val="20"/>
        </w:rPr>
        <w:t xml:space="preserve"> </w:t>
      </w:r>
      <w:r w:rsidRPr="00DA678F">
        <w:rPr>
          <w:sz w:val="20"/>
        </w:rPr>
        <w:t>Director,</w:t>
      </w:r>
      <w:r w:rsidRPr="00DA678F">
        <w:rPr>
          <w:spacing w:val="-5"/>
          <w:sz w:val="20"/>
        </w:rPr>
        <w:t xml:space="preserve"> </w:t>
      </w:r>
      <w:r w:rsidRPr="00DA678F">
        <w:rPr>
          <w:sz w:val="20"/>
        </w:rPr>
        <w:t>Division</w:t>
      </w:r>
      <w:r w:rsidRPr="00DA678F">
        <w:rPr>
          <w:spacing w:val="-5"/>
          <w:sz w:val="20"/>
        </w:rPr>
        <w:t xml:space="preserve"> </w:t>
      </w:r>
      <w:r w:rsidRPr="00DA678F">
        <w:rPr>
          <w:sz w:val="20"/>
        </w:rPr>
        <w:t>of</w:t>
      </w:r>
      <w:r w:rsidRPr="00DA678F">
        <w:rPr>
          <w:spacing w:val="-5"/>
          <w:sz w:val="20"/>
        </w:rPr>
        <w:t xml:space="preserve"> </w:t>
      </w:r>
      <w:r w:rsidRPr="00DA678F">
        <w:rPr>
          <w:sz w:val="20"/>
        </w:rPr>
        <w:t>Health</w:t>
      </w:r>
      <w:r w:rsidRPr="00DA678F">
        <w:rPr>
          <w:spacing w:val="-5"/>
          <w:sz w:val="20"/>
        </w:rPr>
        <w:t xml:space="preserve"> </w:t>
      </w:r>
      <w:r w:rsidRPr="00DA678F">
        <w:rPr>
          <w:sz w:val="20"/>
        </w:rPr>
        <w:t>Care</w:t>
      </w:r>
      <w:r w:rsidRPr="00DA678F">
        <w:rPr>
          <w:spacing w:val="-4"/>
          <w:sz w:val="20"/>
        </w:rPr>
        <w:t xml:space="preserve"> </w:t>
      </w:r>
      <w:r w:rsidRPr="00DA678F">
        <w:rPr>
          <w:sz w:val="20"/>
        </w:rPr>
        <w:t>Facility</w:t>
      </w:r>
      <w:r w:rsidRPr="00DA678F">
        <w:rPr>
          <w:spacing w:val="-3"/>
          <w:sz w:val="20"/>
        </w:rPr>
        <w:t xml:space="preserve"> </w:t>
      </w:r>
      <w:r w:rsidRPr="00DA678F">
        <w:rPr>
          <w:sz w:val="20"/>
        </w:rPr>
        <w:t>Licensure</w:t>
      </w:r>
      <w:r w:rsidRPr="00DA678F">
        <w:rPr>
          <w:spacing w:val="-4"/>
          <w:sz w:val="20"/>
        </w:rPr>
        <w:t xml:space="preserve"> </w:t>
      </w:r>
      <w:r w:rsidRPr="00DA678F">
        <w:rPr>
          <w:sz w:val="20"/>
        </w:rPr>
        <w:t>and</w:t>
      </w:r>
      <w:r w:rsidRPr="00DA678F">
        <w:rPr>
          <w:spacing w:val="-5"/>
          <w:sz w:val="20"/>
        </w:rPr>
        <w:t xml:space="preserve"> </w:t>
      </w:r>
      <w:r w:rsidRPr="00DA678F">
        <w:rPr>
          <w:sz w:val="20"/>
        </w:rPr>
        <w:t xml:space="preserve">Certification </w:t>
      </w:r>
    </w:p>
    <w:p w14:paraId="055E40C5" w14:textId="77777777" w:rsidR="009D0BEE" w:rsidRPr="0084428E" w:rsidRDefault="009D0BEE" w:rsidP="009D0BEE">
      <w:pPr>
        <w:ind w:left="630" w:right="1260"/>
        <w:rPr>
          <w:sz w:val="20"/>
        </w:rPr>
      </w:pPr>
      <w:r w:rsidRPr="0084428E">
        <w:rPr>
          <w:sz w:val="20"/>
        </w:rPr>
        <w:t>Judy Bernice, Division of Health Care Facility Licensure and Certification</w:t>
      </w:r>
    </w:p>
    <w:p w14:paraId="0BE76677" w14:textId="77777777" w:rsidR="009D0BEE" w:rsidRDefault="009D0BEE" w:rsidP="009D0BEE">
      <w:pPr>
        <w:ind w:left="630" w:right="1260"/>
        <w:rPr>
          <w:sz w:val="20"/>
        </w:rPr>
      </w:pPr>
      <w:r w:rsidRPr="0084428E">
        <w:rPr>
          <w:sz w:val="20"/>
        </w:rPr>
        <w:t>Hilary Ward,</w:t>
      </w:r>
      <w:r w:rsidRPr="0084428E">
        <w:rPr>
          <w:spacing w:val="-7"/>
          <w:sz w:val="20"/>
        </w:rPr>
        <w:t xml:space="preserve"> </w:t>
      </w:r>
      <w:r w:rsidRPr="0084428E">
        <w:rPr>
          <w:sz w:val="20"/>
        </w:rPr>
        <w:t>Health</w:t>
      </w:r>
      <w:r w:rsidRPr="0084428E">
        <w:rPr>
          <w:spacing w:val="-7"/>
          <w:sz w:val="20"/>
        </w:rPr>
        <w:t xml:space="preserve"> </w:t>
      </w:r>
      <w:r w:rsidRPr="0084428E">
        <w:rPr>
          <w:sz w:val="20"/>
        </w:rPr>
        <w:t>Care</w:t>
      </w:r>
      <w:r w:rsidRPr="0084428E">
        <w:rPr>
          <w:spacing w:val="-7"/>
          <w:sz w:val="20"/>
        </w:rPr>
        <w:t xml:space="preserve"> </w:t>
      </w:r>
      <w:r w:rsidRPr="0084428E">
        <w:rPr>
          <w:sz w:val="20"/>
        </w:rPr>
        <w:t>Facility</w:t>
      </w:r>
      <w:r w:rsidRPr="0084428E">
        <w:rPr>
          <w:spacing w:val="-7"/>
          <w:sz w:val="20"/>
        </w:rPr>
        <w:t xml:space="preserve"> </w:t>
      </w:r>
      <w:r w:rsidRPr="0084428E">
        <w:rPr>
          <w:sz w:val="20"/>
        </w:rPr>
        <w:t>Licensure</w:t>
      </w:r>
      <w:r w:rsidRPr="0084428E">
        <w:rPr>
          <w:spacing w:val="-7"/>
          <w:sz w:val="20"/>
        </w:rPr>
        <w:t xml:space="preserve"> </w:t>
      </w:r>
      <w:r w:rsidRPr="0084428E">
        <w:rPr>
          <w:sz w:val="20"/>
        </w:rPr>
        <w:t>and</w:t>
      </w:r>
      <w:r w:rsidRPr="0084428E">
        <w:rPr>
          <w:spacing w:val="-6"/>
          <w:sz w:val="20"/>
        </w:rPr>
        <w:t xml:space="preserve"> </w:t>
      </w:r>
      <w:r w:rsidRPr="0084428E">
        <w:rPr>
          <w:sz w:val="20"/>
        </w:rPr>
        <w:t xml:space="preserve">Certification </w:t>
      </w:r>
    </w:p>
    <w:p w14:paraId="47528CBE" w14:textId="77777777" w:rsidR="009D0BEE" w:rsidRPr="0084428E" w:rsidRDefault="009D0BEE" w:rsidP="009D0BEE">
      <w:pPr>
        <w:ind w:left="630" w:right="1260"/>
        <w:rPr>
          <w:sz w:val="20"/>
        </w:rPr>
      </w:pPr>
      <w:r w:rsidRPr="0084428E">
        <w:rPr>
          <w:sz w:val="20"/>
        </w:rPr>
        <w:lastRenderedPageBreak/>
        <w:t>Samuel Louis, Office of Health Equity</w:t>
      </w:r>
    </w:p>
    <w:p w14:paraId="44EE20A0" w14:textId="77777777" w:rsidR="009D0BEE" w:rsidRPr="0084428E" w:rsidRDefault="009D0BEE" w:rsidP="009D0BEE">
      <w:pPr>
        <w:ind w:left="630" w:right="1260"/>
        <w:rPr>
          <w:sz w:val="20"/>
        </w:rPr>
      </w:pPr>
      <w:r w:rsidRPr="0084428E">
        <w:rPr>
          <w:sz w:val="20"/>
        </w:rPr>
        <w:t xml:space="preserve">Jennica Allen, Division of Community Health Planning and Engagement </w:t>
      </w:r>
    </w:p>
    <w:p w14:paraId="7E667E87" w14:textId="77777777" w:rsidR="009D0BEE" w:rsidRPr="0084428E" w:rsidRDefault="009D0BEE" w:rsidP="009D0BEE">
      <w:pPr>
        <w:ind w:left="630" w:right="1260"/>
        <w:rPr>
          <w:sz w:val="20"/>
        </w:rPr>
      </w:pPr>
      <w:r w:rsidRPr="0084428E">
        <w:rPr>
          <w:sz w:val="20"/>
        </w:rPr>
        <w:t>Elizabeth</w:t>
      </w:r>
      <w:r w:rsidRPr="0084428E">
        <w:rPr>
          <w:spacing w:val="-5"/>
          <w:sz w:val="20"/>
        </w:rPr>
        <w:t xml:space="preserve"> </w:t>
      </w:r>
      <w:r w:rsidRPr="0084428E">
        <w:rPr>
          <w:sz w:val="20"/>
        </w:rPr>
        <w:t>Maffei,</w:t>
      </w:r>
      <w:r w:rsidRPr="0084428E">
        <w:rPr>
          <w:spacing w:val="-4"/>
          <w:sz w:val="20"/>
        </w:rPr>
        <w:t xml:space="preserve"> </w:t>
      </w:r>
      <w:r w:rsidRPr="0084428E">
        <w:rPr>
          <w:sz w:val="20"/>
        </w:rPr>
        <w:t>Division</w:t>
      </w:r>
      <w:r w:rsidRPr="0084428E">
        <w:rPr>
          <w:spacing w:val="-5"/>
          <w:sz w:val="20"/>
        </w:rPr>
        <w:t xml:space="preserve"> </w:t>
      </w:r>
      <w:r w:rsidRPr="0084428E">
        <w:rPr>
          <w:sz w:val="20"/>
        </w:rPr>
        <w:t>of</w:t>
      </w:r>
      <w:r w:rsidRPr="0084428E">
        <w:rPr>
          <w:spacing w:val="-5"/>
          <w:sz w:val="20"/>
        </w:rPr>
        <w:t xml:space="preserve"> </w:t>
      </w:r>
      <w:r w:rsidRPr="0084428E">
        <w:rPr>
          <w:sz w:val="20"/>
        </w:rPr>
        <w:t>Community</w:t>
      </w:r>
      <w:r w:rsidRPr="0084428E">
        <w:rPr>
          <w:spacing w:val="-5"/>
          <w:sz w:val="20"/>
        </w:rPr>
        <w:t xml:space="preserve"> </w:t>
      </w:r>
      <w:r w:rsidRPr="0084428E">
        <w:rPr>
          <w:sz w:val="20"/>
        </w:rPr>
        <w:t>Health</w:t>
      </w:r>
      <w:r w:rsidRPr="0084428E">
        <w:rPr>
          <w:spacing w:val="-3"/>
          <w:sz w:val="20"/>
        </w:rPr>
        <w:t xml:space="preserve"> </w:t>
      </w:r>
      <w:r w:rsidRPr="0084428E">
        <w:rPr>
          <w:sz w:val="20"/>
        </w:rPr>
        <w:t>Planning</w:t>
      </w:r>
      <w:r w:rsidRPr="0084428E">
        <w:rPr>
          <w:spacing w:val="-5"/>
          <w:sz w:val="20"/>
        </w:rPr>
        <w:t xml:space="preserve"> </w:t>
      </w:r>
      <w:r w:rsidRPr="0084428E">
        <w:rPr>
          <w:sz w:val="20"/>
        </w:rPr>
        <w:t>and</w:t>
      </w:r>
      <w:r w:rsidRPr="0084428E">
        <w:rPr>
          <w:spacing w:val="-5"/>
          <w:sz w:val="20"/>
        </w:rPr>
        <w:t xml:space="preserve"> </w:t>
      </w:r>
      <w:r w:rsidRPr="0084428E">
        <w:rPr>
          <w:sz w:val="20"/>
        </w:rPr>
        <w:t xml:space="preserve">Engagement </w:t>
      </w:r>
    </w:p>
    <w:p w14:paraId="3D10EA2B" w14:textId="77777777" w:rsidR="009D0BEE" w:rsidRPr="00096C00" w:rsidRDefault="009D0BEE" w:rsidP="009D0BEE">
      <w:pPr>
        <w:ind w:left="630" w:right="1260"/>
        <w:rPr>
          <w:sz w:val="20"/>
        </w:rPr>
      </w:pPr>
      <w:r w:rsidRPr="00096C00">
        <w:rPr>
          <w:sz w:val="20"/>
        </w:rPr>
        <w:t xml:space="preserve">Katelyn Teague, Division of Community Health Planning and Engagement </w:t>
      </w:r>
    </w:p>
    <w:p w14:paraId="4CF44777" w14:textId="77777777" w:rsidR="009D0BEE" w:rsidRPr="00096C00" w:rsidRDefault="009D0BEE" w:rsidP="009D0BEE">
      <w:pPr>
        <w:ind w:left="630" w:right="1260"/>
        <w:rPr>
          <w:sz w:val="20"/>
        </w:rPr>
      </w:pPr>
      <w:r w:rsidRPr="00096C00">
        <w:rPr>
          <w:sz w:val="20"/>
        </w:rPr>
        <w:t>Katherine</w:t>
      </w:r>
      <w:r w:rsidRPr="00096C00">
        <w:rPr>
          <w:spacing w:val="-10"/>
          <w:sz w:val="20"/>
        </w:rPr>
        <w:t xml:space="preserve"> </w:t>
      </w:r>
      <w:r w:rsidRPr="00096C00">
        <w:rPr>
          <w:sz w:val="20"/>
        </w:rPr>
        <w:t>Mills,</w:t>
      </w:r>
      <w:r w:rsidRPr="00096C00">
        <w:rPr>
          <w:spacing w:val="-10"/>
          <w:sz w:val="20"/>
        </w:rPr>
        <w:t xml:space="preserve"> </w:t>
      </w:r>
      <w:r w:rsidRPr="00096C00">
        <w:rPr>
          <w:sz w:val="20"/>
        </w:rPr>
        <w:t>Health</w:t>
      </w:r>
      <w:r w:rsidRPr="00096C00">
        <w:rPr>
          <w:spacing w:val="-9"/>
          <w:sz w:val="20"/>
        </w:rPr>
        <w:t xml:space="preserve"> </w:t>
      </w:r>
      <w:r w:rsidRPr="00096C00">
        <w:rPr>
          <w:sz w:val="20"/>
        </w:rPr>
        <w:t>Policy</w:t>
      </w:r>
      <w:r w:rsidRPr="00096C00">
        <w:rPr>
          <w:spacing w:val="-10"/>
          <w:sz w:val="20"/>
        </w:rPr>
        <w:t xml:space="preserve"> </w:t>
      </w:r>
      <w:r w:rsidRPr="00096C00">
        <w:rPr>
          <w:sz w:val="20"/>
        </w:rPr>
        <w:t xml:space="preserve">Commission </w:t>
      </w:r>
    </w:p>
    <w:p w14:paraId="526683E2" w14:textId="77777777" w:rsidR="009D0BEE" w:rsidRPr="00E95948" w:rsidRDefault="009D0BEE" w:rsidP="009D0BEE">
      <w:pPr>
        <w:ind w:left="630" w:right="1260"/>
        <w:rPr>
          <w:sz w:val="20"/>
          <w:highlight w:val="yellow"/>
        </w:rPr>
      </w:pPr>
      <w:r w:rsidRPr="0084428E">
        <w:rPr>
          <w:sz w:val="20"/>
        </w:rPr>
        <w:t>Roxanne Rocco, Center for Medicaid and Medicare Services</w:t>
      </w:r>
    </w:p>
    <w:p w14:paraId="41DE6545" w14:textId="77777777" w:rsidR="009D0BEE" w:rsidRPr="00D064B2" w:rsidRDefault="009D0BEE" w:rsidP="009D0BEE">
      <w:pPr>
        <w:ind w:left="630" w:right="1260"/>
        <w:rPr>
          <w:sz w:val="20"/>
        </w:rPr>
      </w:pPr>
      <w:r w:rsidRPr="00D064B2">
        <w:rPr>
          <w:sz w:val="20"/>
        </w:rPr>
        <w:t>Christopher King,</w:t>
      </w:r>
      <w:r w:rsidRPr="00D064B2">
        <w:rPr>
          <w:spacing w:val="-6"/>
          <w:sz w:val="20"/>
        </w:rPr>
        <w:t xml:space="preserve"> </w:t>
      </w:r>
      <w:r w:rsidRPr="00D064B2">
        <w:rPr>
          <w:sz w:val="20"/>
        </w:rPr>
        <w:t>Executive</w:t>
      </w:r>
      <w:r w:rsidRPr="00D064B2">
        <w:rPr>
          <w:spacing w:val="-7"/>
          <w:sz w:val="20"/>
        </w:rPr>
        <w:t xml:space="preserve"> </w:t>
      </w:r>
      <w:r w:rsidRPr="00D064B2">
        <w:rPr>
          <w:sz w:val="20"/>
        </w:rPr>
        <w:t>Office</w:t>
      </w:r>
      <w:r w:rsidRPr="00D064B2">
        <w:rPr>
          <w:spacing w:val="-5"/>
          <w:sz w:val="20"/>
        </w:rPr>
        <w:t xml:space="preserve"> </w:t>
      </w:r>
      <w:r w:rsidRPr="00D064B2">
        <w:rPr>
          <w:sz w:val="20"/>
        </w:rPr>
        <w:t>of</w:t>
      </w:r>
      <w:r w:rsidRPr="00D064B2">
        <w:rPr>
          <w:spacing w:val="-6"/>
          <w:sz w:val="20"/>
        </w:rPr>
        <w:t xml:space="preserve"> </w:t>
      </w:r>
      <w:r w:rsidRPr="00D064B2">
        <w:rPr>
          <w:sz w:val="20"/>
        </w:rPr>
        <w:t>Health</w:t>
      </w:r>
      <w:r w:rsidRPr="00D064B2">
        <w:rPr>
          <w:spacing w:val="-4"/>
          <w:sz w:val="20"/>
        </w:rPr>
        <w:t xml:space="preserve"> </w:t>
      </w:r>
      <w:r w:rsidRPr="00D064B2">
        <w:rPr>
          <w:sz w:val="20"/>
        </w:rPr>
        <w:t>and</w:t>
      </w:r>
      <w:r w:rsidRPr="00D064B2">
        <w:rPr>
          <w:spacing w:val="-6"/>
          <w:sz w:val="20"/>
        </w:rPr>
        <w:t xml:space="preserve"> </w:t>
      </w:r>
      <w:r w:rsidRPr="00D064B2">
        <w:rPr>
          <w:sz w:val="20"/>
        </w:rPr>
        <w:t>Human</w:t>
      </w:r>
      <w:r w:rsidRPr="00D064B2">
        <w:rPr>
          <w:spacing w:val="-6"/>
          <w:sz w:val="20"/>
        </w:rPr>
        <w:t xml:space="preserve"> </w:t>
      </w:r>
      <w:r w:rsidRPr="00D064B2">
        <w:rPr>
          <w:sz w:val="20"/>
        </w:rPr>
        <w:t>Services</w:t>
      </w:r>
    </w:p>
    <w:p w14:paraId="0BDFDEB0" w14:textId="77777777" w:rsidR="009D0BEE" w:rsidRPr="00D064B2" w:rsidRDefault="009D0BEE" w:rsidP="009D0BEE">
      <w:pPr>
        <w:ind w:left="630" w:right="1260"/>
        <w:rPr>
          <w:sz w:val="20"/>
        </w:rPr>
      </w:pPr>
      <w:r w:rsidRPr="00D064B2">
        <w:rPr>
          <w:sz w:val="20"/>
        </w:rPr>
        <w:t>Tomaso</w:t>
      </w:r>
      <w:r w:rsidRPr="00D064B2">
        <w:rPr>
          <w:spacing w:val="-4"/>
          <w:sz w:val="20"/>
        </w:rPr>
        <w:t xml:space="preserve"> </w:t>
      </w:r>
      <w:r w:rsidRPr="00D064B2">
        <w:rPr>
          <w:sz w:val="20"/>
        </w:rPr>
        <w:t>Calicchio,</w:t>
      </w:r>
      <w:r w:rsidRPr="00D064B2">
        <w:rPr>
          <w:spacing w:val="-6"/>
          <w:sz w:val="20"/>
        </w:rPr>
        <w:t xml:space="preserve"> </w:t>
      </w:r>
      <w:r w:rsidRPr="00D064B2">
        <w:rPr>
          <w:sz w:val="20"/>
        </w:rPr>
        <w:t>Executive</w:t>
      </w:r>
      <w:r w:rsidRPr="00D064B2">
        <w:rPr>
          <w:spacing w:val="-7"/>
          <w:sz w:val="20"/>
        </w:rPr>
        <w:t xml:space="preserve"> </w:t>
      </w:r>
      <w:r w:rsidRPr="00D064B2">
        <w:rPr>
          <w:sz w:val="20"/>
        </w:rPr>
        <w:t>Office</w:t>
      </w:r>
      <w:r w:rsidRPr="00D064B2">
        <w:rPr>
          <w:spacing w:val="-5"/>
          <w:sz w:val="20"/>
        </w:rPr>
        <w:t xml:space="preserve"> </w:t>
      </w:r>
      <w:r w:rsidRPr="00D064B2">
        <w:rPr>
          <w:sz w:val="20"/>
        </w:rPr>
        <w:t>of</w:t>
      </w:r>
      <w:r w:rsidRPr="00D064B2">
        <w:rPr>
          <w:spacing w:val="-6"/>
          <w:sz w:val="20"/>
        </w:rPr>
        <w:t xml:space="preserve"> </w:t>
      </w:r>
      <w:r w:rsidRPr="00D064B2">
        <w:rPr>
          <w:sz w:val="20"/>
        </w:rPr>
        <w:t>Health</w:t>
      </w:r>
      <w:r w:rsidRPr="00D064B2">
        <w:rPr>
          <w:spacing w:val="-4"/>
          <w:sz w:val="20"/>
        </w:rPr>
        <w:t xml:space="preserve"> </w:t>
      </w:r>
      <w:r w:rsidRPr="00D064B2">
        <w:rPr>
          <w:sz w:val="20"/>
        </w:rPr>
        <w:t>and</w:t>
      </w:r>
      <w:r w:rsidRPr="00D064B2">
        <w:rPr>
          <w:spacing w:val="-6"/>
          <w:sz w:val="20"/>
        </w:rPr>
        <w:t xml:space="preserve"> </w:t>
      </w:r>
      <w:r w:rsidRPr="00D064B2">
        <w:rPr>
          <w:sz w:val="20"/>
        </w:rPr>
        <w:t>Human</w:t>
      </w:r>
      <w:r w:rsidRPr="00D064B2">
        <w:rPr>
          <w:spacing w:val="-6"/>
          <w:sz w:val="20"/>
        </w:rPr>
        <w:t xml:space="preserve"> </w:t>
      </w:r>
      <w:r w:rsidRPr="00D064B2">
        <w:rPr>
          <w:sz w:val="20"/>
        </w:rPr>
        <w:t xml:space="preserve">Services </w:t>
      </w:r>
    </w:p>
    <w:p w14:paraId="266EB884" w14:textId="77777777" w:rsidR="009D0BEE" w:rsidRPr="00D064B2" w:rsidRDefault="009D0BEE" w:rsidP="009D0BEE">
      <w:pPr>
        <w:ind w:left="630" w:right="1260"/>
        <w:rPr>
          <w:sz w:val="20"/>
        </w:rPr>
      </w:pPr>
      <w:r w:rsidRPr="00D064B2">
        <w:rPr>
          <w:sz w:val="20"/>
        </w:rPr>
        <w:t xml:space="preserve">Hai Nguyen, Executive Office of Health and Human Services </w:t>
      </w:r>
    </w:p>
    <w:p w14:paraId="00A96ABC" w14:textId="77777777" w:rsidR="009D0BEE" w:rsidRPr="00D064B2" w:rsidRDefault="009D0BEE" w:rsidP="009D0BEE">
      <w:pPr>
        <w:ind w:left="630" w:right="1260"/>
        <w:rPr>
          <w:sz w:val="20"/>
        </w:rPr>
      </w:pPr>
      <w:r w:rsidRPr="00D064B2">
        <w:rPr>
          <w:sz w:val="20"/>
        </w:rPr>
        <w:t>Karina Mejias, Executive Office of Health and Human Services</w:t>
      </w:r>
    </w:p>
    <w:p w14:paraId="7E706C69" w14:textId="77777777" w:rsidR="009D0BEE" w:rsidRDefault="009D0BEE" w:rsidP="009D0BEE">
      <w:pPr>
        <w:ind w:left="630" w:right="1260"/>
        <w:rPr>
          <w:sz w:val="20"/>
        </w:rPr>
      </w:pPr>
      <w:r w:rsidRPr="00096C00">
        <w:rPr>
          <w:sz w:val="20"/>
        </w:rPr>
        <w:t xml:space="preserve">Pavel </w:t>
      </w:r>
      <w:proofErr w:type="spellStart"/>
      <w:r w:rsidRPr="00096C00">
        <w:rPr>
          <w:sz w:val="20"/>
        </w:rPr>
        <w:t>Terpelets</w:t>
      </w:r>
      <w:proofErr w:type="spellEnd"/>
      <w:r w:rsidRPr="00096C00">
        <w:rPr>
          <w:sz w:val="20"/>
        </w:rPr>
        <w:t>, Executive Office of Health and Human Services</w:t>
      </w:r>
    </w:p>
    <w:p w14:paraId="39FBE83D" w14:textId="77777777" w:rsidR="009D0BEE" w:rsidRDefault="009D0BEE" w:rsidP="009D0BEE">
      <w:pPr>
        <w:ind w:left="630" w:right="1260"/>
        <w:rPr>
          <w:sz w:val="20"/>
        </w:rPr>
      </w:pPr>
      <w:r>
        <w:rPr>
          <w:sz w:val="20"/>
        </w:rPr>
        <w:t xml:space="preserve">Elizabeth Almanzor, </w:t>
      </w:r>
      <w:r w:rsidRPr="00F432B2">
        <w:rPr>
          <w:sz w:val="20"/>
        </w:rPr>
        <w:t>Center for Health Information Analysi</w:t>
      </w:r>
      <w:r>
        <w:rPr>
          <w:sz w:val="20"/>
        </w:rPr>
        <w:t>s</w:t>
      </w:r>
    </w:p>
    <w:p w14:paraId="1009475A" w14:textId="77777777" w:rsidR="009D0BEE" w:rsidRPr="009908FF" w:rsidRDefault="009D0BEE" w:rsidP="009D0BEE">
      <w:pPr>
        <w:ind w:right="1260"/>
      </w:pPr>
    </w:p>
    <w:p w14:paraId="1843C5EA" w14:textId="47D88B93" w:rsidR="00AC7937" w:rsidRPr="00E132E0" w:rsidRDefault="00AC7937" w:rsidP="0079253C">
      <w:pPr>
        <w:pStyle w:val="BodyText"/>
        <w:spacing w:before="1"/>
        <w:ind w:left="800"/>
        <w:rPr>
          <w:sz w:val="22"/>
          <w:szCs w:val="22"/>
        </w:rPr>
      </w:pPr>
    </w:p>
    <w:sectPr w:rsidR="00AC7937" w:rsidRPr="00E132E0" w:rsidSect="00716874">
      <w:type w:val="continuous"/>
      <w:pgSz w:w="12240" w:h="15840"/>
      <w:pgMar w:top="1380" w:right="260" w:bottom="1260" w:left="64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7CB32" w14:textId="77777777" w:rsidR="00095113" w:rsidRDefault="00095113">
      <w:r>
        <w:separator/>
      </w:r>
    </w:p>
  </w:endnote>
  <w:endnote w:type="continuationSeparator" w:id="0">
    <w:p w14:paraId="17582BB9" w14:textId="77777777" w:rsidR="00095113" w:rsidRDefault="00095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CBF3D" w14:textId="2C27F215" w:rsidR="00897125" w:rsidRDefault="00897125">
    <w:pPr>
      <w:pStyle w:val="Footer"/>
      <w:jc w:val="center"/>
    </w:pPr>
  </w:p>
  <w:p w14:paraId="1DA8BC52" w14:textId="77777777" w:rsidR="00897125" w:rsidRDefault="00897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020E5" w14:textId="77777777" w:rsidR="00095113" w:rsidRDefault="00095113">
      <w:r>
        <w:separator/>
      </w:r>
    </w:p>
  </w:footnote>
  <w:footnote w:type="continuationSeparator" w:id="0">
    <w:p w14:paraId="12EEAFC1" w14:textId="77777777" w:rsidR="00095113" w:rsidRDefault="00095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2A3FB" w14:textId="77777777" w:rsidR="006732EA" w:rsidRDefault="00000000">
    <w:pPr>
      <w:pStyle w:val="Header"/>
    </w:pPr>
    <w:r>
      <w:rPr>
        <w:noProof/>
      </w:rPr>
      <w:pict w14:anchorId="70F93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9264;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5D74C" w14:textId="77777777" w:rsidR="006732EA" w:rsidRDefault="00000000">
    <w:pPr>
      <w:pStyle w:val="Header"/>
    </w:pPr>
    <w:r>
      <w:rPr>
        <w:noProof/>
      </w:rPr>
      <w:pict w14:anchorId="23683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A2A"/>
    <w:multiLevelType w:val="hybridMultilevel"/>
    <w:tmpl w:val="6DAA7AE8"/>
    <w:lvl w:ilvl="0" w:tplc="A352EA2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D693338"/>
    <w:multiLevelType w:val="hybridMultilevel"/>
    <w:tmpl w:val="90161CA0"/>
    <w:lvl w:ilvl="0" w:tplc="0409000F">
      <w:start w:val="1"/>
      <w:numFmt w:val="decimal"/>
      <w:lvlText w:val="%1."/>
      <w:lvlJc w:val="left"/>
      <w:pPr>
        <w:ind w:left="1520" w:hanging="360"/>
      </w:pPr>
    </w:lvl>
    <w:lvl w:ilvl="1" w:tplc="04090019">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 w15:restartNumberingAfterBreak="0">
    <w:nsid w:val="17891C86"/>
    <w:multiLevelType w:val="hybridMultilevel"/>
    <w:tmpl w:val="FFBC8EA0"/>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3" w15:restartNumberingAfterBreak="0">
    <w:nsid w:val="2E8A1D28"/>
    <w:multiLevelType w:val="hybridMultilevel"/>
    <w:tmpl w:val="8256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5" w15:restartNumberingAfterBreak="0">
    <w:nsid w:val="36D67340"/>
    <w:multiLevelType w:val="hybridMultilevel"/>
    <w:tmpl w:val="75BE6250"/>
    <w:lvl w:ilvl="0" w:tplc="27705312">
      <w:start w:val="1"/>
      <w:numFmt w:val="decimal"/>
      <w:lvlText w:val="%1."/>
      <w:lvlJc w:val="left"/>
      <w:pPr>
        <w:ind w:left="15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A6AE088">
      <w:start w:val="1"/>
      <w:numFmt w:val="lowerLetter"/>
      <w:lvlText w:val="%2."/>
      <w:lvlJc w:val="left"/>
      <w:pPr>
        <w:ind w:left="22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3887F6E">
      <w:numFmt w:val="bullet"/>
      <w:lvlText w:val="•"/>
      <w:lvlJc w:val="left"/>
      <w:pPr>
        <w:ind w:left="3251" w:hanging="360"/>
      </w:pPr>
      <w:rPr>
        <w:rFonts w:hint="default"/>
        <w:lang w:val="en-US" w:eastAsia="en-US" w:bidi="ar-SA"/>
      </w:rPr>
    </w:lvl>
    <w:lvl w:ilvl="3" w:tplc="0730228C">
      <w:numFmt w:val="bullet"/>
      <w:lvlText w:val="•"/>
      <w:lvlJc w:val="left"/>
      <w:pPr>
        <w:ind w:left="4262" w:hanging="360"/>
      </w:pPr>
      <w:rPr>
        <w:rFonts w:hint="default"/>
        <w:lang w:val="en-US" w:eastAsia="en-US" w:bidi="ar-SA"/>
      </w:rPr>
    </w:lvl>
    <w:lvl w:ilvl="4" w:tplc="98265F30">
      <w:numFmt w:val="bullet"/>
      <w:lvlText w:val="•"/>
      <w:lvlJc w:val="left"/>
      <w:pPr>
        <w:ind w:left="5273" w:hanging="360"/>
      </w:pPr>
      <w:rPr>
        <w:rFonts w:hint="default"/>
        <w:lang w:val="en-US" w:eastAsia="en-US" w:bidi="ar-SA"/>
      </w:rPr>
    </w:lvl>
    <w:lvl w:ilvl="5" w:tplc="3DB6D95C">
      <w:numFmt w:val="bullet"/>
      <w:lvlText w:val="•"/>
      <w:lvlJc w:val="left"/>
      <w:pPr>
        <w:ind w:left="6284" w:hanging="360"/>
      </w:pPr>
      <w:rPr>
        <w:rFonts w:hint="default"/>
        <w:lang w:val="en-US" w:eastAsia="en-US" w:bidi="ar-SA"/>
      </w:rPr>
    </w:lvl>
    <w:lvl w:ilvl="6" w:tplc="50B47B10">
      <w:numFmt w:val="bullet"/>
      <w:lvlText w:val="•"/>
      <w:lvlJc w:val="left"/>
      <w:pPr>
        <w:ind w:left="7295" w:hanging="360"/>
      </w:pPr>
      <w:rPr>
        <w:rFonts w:hint="default"/>
        <w:lang w:val="en-US" w:eastAsia="en-US" w:bidi="ar-SA"/>
      </w:rPr>
    </w:lvl>
    <w:lvl w:ilvl="7" w:tplc="BA502FFE">
      <w:numFmt w:val="bullet"/>
      <w:lvlText w:val="•"/>
      <w:lvlJc w:val="left"/>
      <w:pPr>
        <w:ind w:left="8306" w:hanging="360"/>
      </w:pPr>
      <w:rPr>
        <w:rFonts w:hint="default"/>
        <w:lang w:val="en-US" w:eastAsia="en-US" w:bidi="ar-SA"/>
      </w:rPr>
    </w:lvl>
    <w:lvl w:ilvl="8" w:tplc="9BEA1150">
      <w:numFmt w:val="bullet"/>
      <w:lvlText w:val="•"/>
      <w:lvlJc w:val="left"/>
      <w:pPr>
        <w:ind w:left="9317" w:hanging="360"/>
      </w:pPr>
      <w:rPr>
        <w:rFonts w:hint="default"/>
        <w:lang w:val="en-US" w:eastAsia="en-US" w:bidi="ar-SA"/>
      </w:rPr>
    </w:lvl>
  </w:abstractNum>
  <w:abstractNum w:abstractNumId="6" w15:restartNumberingAfterBreak="0">
    <w:nsid w:val="53250540"/>
    <w:multiLevelType w:val="hybridMultilevel"/>
    <w:tmpl w:val="6EDA1D0A"/>
    <w:lvl w:ilvl="0" w:tplc="D2E06C2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6C1B07D1"/>
    <w:multiLevelType w:val="hybridMultilevel"/>
    <w:tmpl w:val="BAE09C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9311627">
    <w:abstractNumId w:val="4"/>
  </w:num>
  <w:num w:numId="2" w16cid:durableId="762186708">
    <w:abstractNumId w:val="7"/>
  </w:num>
  <w:num w:numId="3" w16cid:durableId="1646734026">
    <w:abstractNumId w:val="3"/>
  </w:num>
  <w:num w:numId="4" w16cid:durableId="1199271187">
    <w:abstractNumId w:val="5"/>
  </w:num>
  <w:num w:numId="5" w16cid:durableId="681317537">
    <w:abstractNumId w:val="2"/>
  </w:num>
  <w:num w:numId="6" w16cid:durableId="1381707578">
    <w:abstractNumId w:val="1"/>
  </w:num>
  <w:num w:numId="7" w16cid:durableId="1098794647">
    <w:abstractNumId w:val="0"/>
  </w:num>
  <w:num w:numId="8" w16cid:durableId="6522211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37"/>
    <w:rsid w:val="00095113"/>
    <w:rsid w:val="000D191F"/>
    <w:rsid w:val="000D2F88"/>
    <w:rsid w:val="001D6D5B"/>
    <w:rsid w:val="001F5073"/>
    <w:rsid w:val="0024067D"/>
    <w:rsid w:val="00290C8F"/>
    <w:rsid w:val="003B161D"/>
    <w:rsid w:val="003C1141"/>
    <w:rsid w:val="003E5393"/>
    <w:rsid w:val="004A0AEC"/>
    <w:rsid w:val="004E26E5"/>
    <w:rsid w:val="005E53D6"/>
    <w:rsid w:val="006547AF"/>
    <w:rsid w:val="006732EA"/>
    <w:rsid w:val="00681FDA"/>
    <w:rsid w:val="006948D4"/>
    <w:rsid w:val="006C6B86"/>
    <w:rsid w:val="00716874"/>
    <w:rsid w:val="0079253C"/>
    <w:rsid w:val="007D4F86"/>
    <w:rsid w:val="00897125"/>
    <w:rsid w:val="008D5B84"/>
    <w:rsid w:val="008E5521"/>
    <w:rsid w:val="009D0BEE"/>
    <w:rsid w:val="00AC7937"/>
    <w:rsid w:val="00B80791"/>
    <w:rsid w:val="00BB45AE"/>
    <w:rsid w:val="00BC6819"/>
    <w:rsid w:val="00C421A9"/>
    <w:rsid w:val="00C42626"/>
    <w:rsid w:val="00C43DBE"/>
    <w:rsid w:val="00D81782"/>
    <w:rsid w:val="00E132E0"/>
    <w:rsid w:val="00F44CD0"/>
    <w:rsid w:val="00FC3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4FFF"/>
  <w15:chartTrackingRefBased/>
  <w15:docId w15:val="{51A91683-A87A-427B-B3BE-5FFD967C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3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AC7937"/>
    <w:pPr>
      <w:framePr w:w="6927" w:hSpace="187" w:wrap="notBeside" w:vAnchor="text" w:hAnchor="page" w:x="3594" w:y="1"/>
      <w:jc w:val="center"/>
    </w:pPr>
    <w:rPr>
      <w:rFonts w:ascii="Arial" w:hAnsi="Arial"/>
      <w:sz w:val="28"/>
    </w:rPr>
  </w:style>
  <w:style w:type="paragraph" w:customStyle="1" w:styleId="Weld">
    <w:name w:val="Weld"/>
    <w:basedOn w:val="Normal"/>
    <w:rsid w:val="00AC7937"/>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AC7937"/>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AC7937"/>
    <w:rPr>
      <w:color w:val="0000FF"/>
      <w:u w:val="single"/>
    </w:rPr>
  </w:style>
  <w:style w:type="paragraph" w:styleId="Header">
    <w:name w:val="header"/>
    <w:basedOn w:val="Normal"/>
    <w:link w:val="HeaderChar"/>
    <w:rsid w:val="00AC7937"/>
    <w:pPr>
      <w:tabs>
        <w:tab w:val="center" w:pos="4680"/>
        <w:tab w:val="right" w:pos="9360"/>
      </w:tabs>
    </w:pPr>
  </w:style>
  <w:style w:type="character" w:customStyle="1" w:styleId="HeaderChar">
    <w:name w:val="Header Char"/>
    <w:basedOn w:val="DefaultParagraphFont"/>
    <w:link w:val="Header"/>
    <w:rsid w:val="00AC7937"/>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AC7937"/>
    <w:pPr>
      <w:ind w:left="720"/>
      <w:contextualSpacing/>
    </w:pPr>
  </w:style>
  <w:style w:type="paragraph" w:styleId="BodyText">
    <w:name w:val="Body Text"/>
    <w:basedOn w:val="Normal"/>
    <w:link w:val="BodyTextChar"/>
    <w:uiPriority w:val="1"/>
    <w:qFormat/>
    <w:rsid w:val="00AC7937"/>
    <w:pPr>
      <w:widowControl w:val="0"/>
      <w:autoSpaceDE w:val="0"/>
      <w:autoSpaceDN w:val="0"/>
    </w:pPr>
    <w:rPr>
      <w:szCs w:val="24"/>
    </w:rPr>
  </w:style>
  <w:style w:type="character" w:customStyle="1" w:styleId="BodyTextChar">
    <w:name w:val="Body Text Char"/>
    <w:basedOn w:val="DefaultParagraphFont"/>
    <w:link w:val="BodyText"/>
    <w:uiPriority w:val="1"/>
    <w:rsid w:val="00AC7937"/>
    <w:rPr>
      <w:rFonts w:ascii="Times New Roman" w:eastAsia="Times New Roman" w:hAnsi="Times New Roman" w:cs="Times New Roman"/>
      <w:sz w:val="24"/>
      <w:szCs w:val="24"/>
    </w:rPr>
  </w:style>
  <w:style w:type="paragraph" w:customStyle="1" w:styleId="paragraph">
    <w:name w:val="paragraph"/>
    <w:basedOn w:val="Normal"/>
    <w:rsid w:val="00AC7937"/>
    <w:pPr>
      <w:spacing w:before="100" w:beforeAutospacing="1" w:after="100" w:afterAutospacing="1"/>
    </w:pPr>
    <w:rPr>
      <w:szCs w:val="24"/>
    </w:rPr>
  </w:style>
  <w:style w:type="character" w:customStyle="1" w:styleId="normaltextrun">
    <w:name w:val="normaltextrun"/>
    <w:basedOn w:val="DefaultParagraphFont"/>
    <w:rsid w:val="00AC7937"/>
  </w:style>
  <w:style w:type="character" w:customStyle="1" w:styleId="eop">
    <w:name w:val="eop"/>
    <w:basedOn w:val="DefaultParagraphFont"/>
    <w:uiPriority w:val="1"/>
    <w:rsid w:val="00AC7937"/>
  </w:style>
  <w:style w:type="character" w:customStyle="1" w:styleId="spellingerror">
    <w:name w:val="spellingerror"/>
    <w:basedOn w:val="DefaultParagraphFont"/>
    <w:rsid w:val="00AC7937"/>
  </w:style>
  <w:style w:type="character" w:customStyle="1" w:styleId="ListParagraphChar">
    <w:name w:val="List Paragraph Char"/>
    <w:link w:val="ListParagraph"/>
    <w:uiPriority w:val="34"/>
    <w:locked/>
    <w:rsid w:val="00AC7937"/>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AC7937"/>
    <w:rPr>
      <w:color w:val="605E5C"/>
      <w:shd w:val="clear" w:color="auto" w:fill="E1DFDD"/>
    </w:rPr>
  </w:style>
  <w:style w:type="paragraph" w:styleId="Footer">
    <w:name w:val="footer"/>
    <w:basedOn w:val="Normal"/>
    <w:link w:val="FooterChar"/>
    <w:uiPriority w:val="99"/>
    <w:unhideWhenUsed/>
    <w:rsid w:val="00897125"/>
    <w:pPr>
      <w:tabs>
        <w:tab w:val="center" w:pos="4680"/>
        <w:tab w:val="right" w:pos="9360"/>
      </w:tabs>
    </w:pPr>
  </w:style>
  <w:style w:type="character" w:customStyle="1" w:styleId="FooterChar">
    <w:name w:val="Footer Char"/>
    <w:basedOn w:val="DefaultParagraphFont"/>
    <w:link w:val="Footer"/>
    <w:uiPriority w:val="99"/>
    <w:rsid w:val="00897125"/>
    <w:rPr>
      <w:rFonts w:ascii="Times New Roman" w:eastAsia="Times New Roman" w:hAnsi="Times New Roman" w:cs="Times New Roman"/>
      <w:sz w:val="24"/>
      <w:szCs w:val="20"/>
    </w:rPr>
  </w:style>
  <w:style w:type="paragraph" w:styleId="NoSpacing">
    <w:name w:val="No Spacing"/>
    <w:uiPriority w:val="1"/>
    <w:qFormat/>
    <w:rsid w:val="004E26E5"/>
    <w:pPr>
      <w:spacing w:after="0" w:line="240" w:lineRule="auto"/>
    </w:pPr>
  </w:style>
  <w:style w:type="paragraph" w:customStyle="1" w:styleId="TableParagraph">
    <w:name w:val="Table Paragraph"/>
    <w:basedOn w:val="Normal"/>
    <w:uiPriority w:val="1"/>
    <w:qFormat/>
    <w:rsid w:val="009D0BEE"/>
    <w:pPr>
      <w:widowControl w:val="0"/>
      <w:autoSpaceDE w:val="0"/>
      <w:autoSpaceDN w:val="0"/>
      <w:ind w:left="107"/>
    </w:pPr>
    <w:rPr>
      <w:rFonts w:ascii="Calibri" w:eastAsiaTheme="minorHAnsi" w:hAnsi="Calibr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PH.DON@mass.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healy@r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24</cp:revision>
  <dcterms:created xsi:type="dcterms:W3CDTF">2023-05-18T13:56:00Z</dcterms:created>
  <dcterms:modified xsi:type="dcterms:W3CDTF">2024-09-18T13:56:00Z</dcterms:modified>
</cp:coreProperties>
</file>