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6DA2" w14:textId="77777777" w:rsidR="001C0694" w:rsidRDefault="001C0694" w:rsidP="001C0694">
      <w:pPr>
        <w:rPr>
          <w:rFonts w:ascii="Arial" w:hAnsi="Arial"/>
          <w:sz w:val="36"/>
        </w:rPr>
      </w:pPr>
      <w:r>
        <w:rPr>
          <w:rFonts w:ascii="LinePrinter" w:hAnsi="LinePrinter"/>
          <w:noProof/>
        </w:rPr>
        <w:drawing>
          <wp:inline distT="0" distB="0" distL="0" distR="0" wp14:anchorId="038163EA" wp14:editId="15E2CA19">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77EC8E87" w14:textId="77777777" w:rsidR="001C0694" w:rsidRDefault="001C0694" w:rsidP="001C0694">
      <w:pPr>
        <w:pStyle w:val="ExecOffice"/>
        <w:framePr w:w="0" w:hSpace="0" w:wrap="auto" w:vAnchor="margin" w:hAnchor="text" w:xAlign="left" w:yAlign="inline"/>
      </w:pPr>
      <w:r>
        <w:t>Executive Office of Health and Human Services</w:t>
      </w:r>
    </w:p>
    <w:p w14:paraId="4924D777" w14:textId="77777777" w:rsidR="001C0694" w:rsidRDefault="001C0694" w:rsidP="001C0694">
      <w:pPr>
        <w:pStyle w:val="ExecOffice"/>
        <w:framePr w:w="0" w:hSpace="0" w:wrap="auto" w:vAnchor="margin" w:hAnchor="text" w:xAlign="left" w:yAlign="inline"/>
      </w:pPr>
      <w:r>
        <w:t>Department of Public Health</w:t>
      </w:r>
    </w:p>
    <w:p w14:paraId="256AC4FA" w14:textId="77777777" w:rsidR="001C0694" w:rsidRDefault="001C0694" w:rsidP="001C0694">
      <w:pPr>
        <w:pStyle w:val="ExecOffice"/>
        <w:framePr w:w="0" w:hSpace="0" w:wrap="auto" w:vAnchor="margin" w:hAnchor="text" w:xAlign="left" w:yAlign="inline"/>
      </w:pPr>
      <w:r>
        <w:t>250 Washington Street, Boston, MA 02108-4619</w:t>
      </w:r>
    </w:p>
    <w:p w14:paraId="0C136F02" w14:textId="77777777" w:rsidR="001C0694" w:rsidRDefault="001C0694" w:rsidP="001C0694">
      <w:pPr>
        <w:ind w:right="2790"/>
        <w:contextualSpacing/>
        <w:rPr>
          <w:rFonts w:ascii="Arial Rounded MT Bold" w:hAnsi="Arial Rounded MT Bold"/>
          <w:sz w:val="18"/>
          <w:szCs w:val="22"/>
        </w:rPr>
        <w:sectPr w:rsidR="001C0694" w:rsidSect="006C4ECC">
          <w:headerReference w:type="even" r:id="rId6"/>
          <w:footerReference w:type="default" r:id="rId7"/>
          <w:headerReference w:type="first" r:id="rId8"/>
          <w:pgSz w:w="12240" w:h="15840"/>
          <w:pgMar w:top="536" w:right="1440" w:bottom="1440" w:left="1440" w:header="720" w:footer="576" w:gutter="0"/>
          <w:cols w:space="720"/>
          <w:docGrid w:linePitch="360"/>
        </w:sectPr>
      </w:pPr>
    </w:p>
    <w:p w14:paraId="60965E71" w14:textId="77777777" w:rsidR="001C0694" w:rsidRDefault="001C0694" w:rsidP="001C0694">
      <w:pPr>
        <w:ind w:right="2790"/>
        <w:contextualSpacing/>
        <w:rPr>
          <w:rFonts w:ascii="Arial Rounded MT Bold" w:hAnsi="Arial Rounded MT Bold"/>
          <w:sz w:val="18"/>
          <w:szCs w:val="22"/>
        </w:rPr>
      </w:pPr>
    </w:p>
    <w:p w14:paraId="03B1F02B" w14:textId="77777777" w:rsidR="001C0694" w:rsidRPr="00554081" w:rsidRDefault="001C0694" w:rsidP="001C0694">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5C57504D" w14:textId="77777777" w:rsidR="001C0694" w:rsidRDefault="001C0694" w:rsidP="001C0694">
      <w:pPr>
        <w:pStyle w:val="Weld"/>
        <w:framePr w:hSpace="0" w:wrap="auto" w:vAnchor="margin" w:hAnchor="text" w:xAlign="left" w:yAlign="inline"/>
        <w:ind w:right="2340"/>
      </w:pPr>
      <w:r>
        <w:t>Governor</w:t>
      </w:r>
    </w:p>
    <w:p w14:paraId="1CB07A09" w14:textId="77777777" w:rsidR="001C0694" w:rsidRDefault="001C0694" w:rsidP="001C0694">
      <w:pPr>
        <w:ind w:right="2340"/>
        <w:contextualSpacing/>
        <w:jc w:val="center"/>
        <w:rPr>
          <w:sz w:val="16"/>
        </w:rPr>
      </w:pPr>
    </w:p>
    <w:p w14:paraId="39465980" w14:textId="77777777" w:rsidR="001C0694" w:rsidRPr="00554081" w:rsidRDefault="001C0694" w:rsidP="001C0694">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5AE4601C" w14:textId="77777777" w:rsidR="001C0694" w:rsidRPr="00624404" w:rsidRDefault="001C0694" w:rsidP="001C0694">
      <w:pPr>
        <w:pStyle w:val="Weld"/>
        <w:framePr w:hSpace="0" w:wrap="auto" w:vAnchor="margin" w:hAnchor="text" w:xAlign="left" w:yAlign="inline"/>
        <w:ind w:right="2340"/>
        <w:rPr>
          <w:rFonts w:ascii="Calibri" w:hAnsi="Calibri" w:cs="Calibri"/>
          <w:szCs w:val="24"/>
        </w:rPr>
      </w:pPr>
      <w:r>
        <w:t>Lieutenant Governor</w:t>
      </w:r>
    </w:p>
    <w:p w14:paraId="0647FF7F" w14:textId="77777777" w:rsidR="001C0694" w:rsidRDefault="001C0694" w:rsidP="001C0694">
      <w:pPr>
        <w:pStyle w:val="Weld"/>
        <w:framePr w:hSpace="0" w:wrap="auto" w:vAnchor="margin" w:hAnchor="text" w:xAlign="left" w:yAlign="inline"/>
        <w:ind w:right="2340"/>
        <w:jc w:val="left"/>
      </w:pPr>
    </w:p>
    <w:p w14:paraId="13215F24" w14:textId="77777777" w:rsidR="001C0694" w:rsidRDefault="001C0694" w:rsidP="001C0694">
      <w:pPr>
        <w:pStyle w:val="Weld"/>
        <w:framePr w:hSpace="0" w:wrap="auto" w:vAnchor="margin" w:hAnchor="text" w:xAlign="left" w:yAlign="inline"/>
        <w:ind w:right="2340"/>
        <w:jc w:val="left"/>
      </w:pPr>
    </w:p>
    <w:p w14:paraId="024B9DCE" w14:textId="77777777" w:rsidR="001C0694" w:rsidRDefault="001C0694" w:rsidP="001C0694">
      <w:pPr>
        <w:pStyle w:val="Weld"/>
        <w:framePr w:hSpace="0" w:wrap="auto" w:vAnchor="margin" w:hAnchor="text" w:xAlign="left" w:yAlign="inline"/>
        <w:ind w:right="2340"/>
        <w:jc w:val="left"/>
      </w:pPr>
    </w:p>
    <w:p w14:paraId="29F1A461" w14:textId="77777777" w:rsidR="001C0694" w:rsidRPr="00554081" w:rsidRDefault="001C0694" w:rsidP="001C0694">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363BEE17" w14:textId="77777777" w:rsidR="001C0694" w:rsidRDefault="001C0694" w:rsidP="001C0694">
      <w:pPr>
        <w:pStyle w:val="Weld"/>
        <w:framePr w:hSpace="0" w:wrap="auto" w:vAnchor="margin" w:hAnchor="text" w:xAlign="left" w:yAlign="inline"/>
        <w:ind w:left="1980"/>
      </w:pPr>
      <w:r>
        <w:t>Secretary</w:t>
      </w:r>
    </w:p>
    <w:p w14:paraId="3429B276" w14:textId="77777777" w:rsidR="001C0694" w:rsidRDefault="001C0694" w:rsidP="001C0694">
      <w:pPr>
        <w:pStyle w:val="Weld"/>
        <w:framePr w:hSpace="0" w:wrap="auto" w:vAnchor="margin" w:hAnchor="text" w:xAlign="left" w:yAlign="inline"/>
        <w:ind w:left="1980"/>
      </w:pPr>
    </w:p>
    <w:p w14:paraId="3EB024FF" w14:textId="77777777" w:rsidR="001C0694" w:rsidRDefault="001C0694" w:rsidP="001C0694">
      <w:pPr>
        <w:ind w:left="1980"/>
        <w:contextualSpacing/>
        <w:jc w:val="center"/>
        <w:rPr>
          <w:szCs w:val="16"/>
        </w:rPr>
      </w:pPr>
      <w:r w:rsidRPr="00554081">
        <w:rPr>
          <w:rFonts w:ascii="Arial Rounded MT Bold" w:hAnsi="Arial Rounded MT Bold"/>
          <w:sz w:val="18"/>
          <w:szCs w:val="22"/>
        </w:rPr>
        <w:t>MARGRET R. COOKE</w:t>
      </w:r>
    </w:p>
    <w:p w14:paraId="06881319" w14:textId="77777777" w:rsidR="001C0694" w:rsidRPr="00C2477D" w:rsidRDefault="001C0694" w:rsidP="001C0694">
      <w:pPr>
        <w:pStyle w:val="Weld"/>
        <w:framePr w:hSpace="0" w:wrap="auto" w:vAnchor="margin" w:hAnchor="text" w:xAlign="left" w:yAlign="inline"/>
        <w:ind w:left="1980"/>
      </w:pPr>
      <w:r>
        <w:rPr>
          <w:szCs w:val="14"/>
        </w:rPr>
        <w:t>C</w:t>
      </w:r>
      <w:r w:rsidRPr="00FC6B42">
        <w:rPr>
          <w:szCs w:val="14"/>
        </w:rPr>
        <w:t>ommissioner</w:t>
      </w:r>
    </w:p>
    <w:p w14:paraId="2D514BFF" w14:textId="77777777" w:rsidR="001C0694" w:rsidRDefault="001C0694" w:rsidP="001C0694">
      <w:pPr>
        <w:pStyle w:val="Governor"/>
        <w:framePr w:hSpace="0" w:wrap="auto" w:vAnchor="margin" w:hAnchor="text" w:xAlign="left" w:yAlign="inline"/>
        <w:spacing w:after="0"/>
        <w:ind w:left="1980"/>
        <w:rPr>
          <w:rFonts w:ascii="Arial" w:hAnsi="Arial" w:cs="Arial"/>
          <w:b/>
          <w:szCs w:val="14"/>
        </w:rPr>
      </w:pPr>
    </w:p>
    <w:p w14:paraId="22DD4C08" w14:textId="77777777" w:rsidR="001C0694" w:rsidRDefault="001C0694" w:rsidP="001C0694">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1EBA92F2" w14:textId="77777777" w:rsidR="001C0694" w:rsidRPr="00A763BA" w:rsidRDefault="001C0694" w:rsidP="001C0694">
      <w:pPr>
        <w:pStyle w:val="Governor"/>
        <w:framePr w:hSpace="0" w:wrap="auto" w:vAnchor="margin" w:hAnchor="text" w:xAlign="left" w:yAlign="inline"/>
        <w:spacing w:after="0"/>
        <w:ind w:left="1980"/>
        <w:rPr>
          <w:sz w:val="16"/>
        </w:rPr>
      </w:pPr>
      <w:hyperlink r:id="rId9" w:history="1">
        <w:r w:rsidRPr="00A51A30">
          <w:rPr>
            <w:rStyle w:val="Hyperlink"/>
            <w:rFonts w:ascii="Arial" w:hAnsi="Arial" w:cs="Arial"/>
            <w:b/>
            <w:szCs w:val="14"/>
            <w:lang w:val="fr-FR"/>
          </w:rPr>
          <w:t>www.mass.gov/dph</w:t>
        </w:r>
      </w:hyperlink>
    </w:p>
    <w:p w14:paraId="76A3FEB0" w14:textId="77777777" w:rsidR="001C0694" w:rsidRDefault="001C0694" w:rsidP="001C0694">
      <w:pPr>
        <w:ind w:right="2340"/>
        <w:sectPr w:rsidR="001C0694" w:rsidSect="005B14DC">
          <w:type w:val="continuous"/>
          <w:pgSz w:w="12240" w:h="15840"/>
          <w:pgMar w:top="1440" w:right="1440" w:bottom="1440" w:left="1440" w:header="720" w:footer="720" w:gutter="0"/>
          <w:cols w:num="2" w:space="720"/>
          <w:docGrid w:linePitch="360"/>
        </w:sectPr>
      </w:pPr>
    </w:p>
    <w:p w14:paraId="0C6EAFA9" w14:textId="77777777" w:rsidR="001C0694" w:rsidRDefault="001C0694" w:rsidP="001C0694">
      <w:pPr>
        <w:rPr>
          <w:szCs w:val="24"/>
        </w:rPr>
      </w:pPr>
    </w:p>
    <w:p w14:paraId="79A6D612" w14:textId="77777777" w:rsidR="001C0694" w:rsidRPr="001C0694" w:rsidRDefault="001C0694" w:rsidP="001C0694">
      <w:pPr>
        <w:rPr>
          <w:szCs w:val="24"/>
        </w:rPr>
      </w:pPr>
      <w:r w:rsidRPr="001C0694">
        <w:rPr>
          <w:szCs w:val="24"/>
        </w:rPr>
        <w:t>August 22, 2022</w:t>
      </w:r>
    </w:p>
    <w:p w14:paraId="106F6B5A" w14:textId="77777777" w:rsidR="001C0694" w:rsidRPr="001C0694" w:rsidRDefault="001C0694" w:rsidP="001C0694">
      <w:pPr>
        <w:rPr>
          <w:szCs w:val="24"/>
        </w:rPr>
      </w:pPr>
    </w:p>
    <w:p w14:paraId="750EF178" w14:textId="77777777" w:rsidR="001C0694" w:rsidRDefault="001C0694" w:rsidP="001C0694">
      <w:pPr>
        <w:rPr>
          <w:szCs w:val="24"/>
        </w:rPr>
      </w:pPr>
      <w:r w:rsidRPr="001C0694">
        <w:rPr>
          <w:szCs w:val="24"/>
        </w:rPr>
        <w:t xml:space="preserve">Benjamin A. Wilson </w:t>
      </w:r>
    </w:p>
    <w:p w14:paraId="1D760416" w14:textId="02F11067" w:rsidR="001C0694" w:rsidRPr="001C0694" w:rsidRDefault="001C0694" w:rsidP="001C0694">
      <w:pPr>
        <w:rPr>
          <w:szCs w:val="24"/>
        </w:rPr>
      </w:pPr>
      <w:r w:rsidRPr="001C0694">
        <w:rPr>
          <w:szCs w:val="24"/>
        </w:rPr>
        <w:t>ROPES &amp; GRAY LLP</w:t>
      </w:r>
    </w:p>
    <w:p w14:paraId="4A858EC1" w14:textId="77777777" w:rsidR="001C0694" w:rsidRDefault="001C0694" w:rsidP="001C0694">
      <w:pPr>
        <w:rPr>
          <w:szCs w:val="24"/>
        </w:rPr>
      </w:pPr>
      <w:r w:rsidRPr="001C0694">
        <w:rPr>
          <w:szCs w:val="24"/>
        </w:rPr>
        <w:t xml:space="preserve">Prudential Tower, 800 Boylston Street </w:t>
      </w:r>
    </w:p>
    <w:p w14:paraId="53876FCC" w14:textId="59526F52" w:rsidR="001C0694" w:rsidRPr="001C0694" w:rsidRDefault="001C0694" w:rsidP="001C0694">
      <w:pPr>
        <w:rPr>
          <w:szCs w:val="24"/>
        </w:rPr>
      </w:pPr>
      <w:r w:rsidRPr="001C0694">
        <w:rPr>
          <w:szCs w:val="24"/>
        </w:rPr>
        <w:t>Boston, MA 02199-3600</w:t>
      </w:r>
    </w:p>
    <w:p w14:paraId="0DD8BA9B" w14:textId="77777777" w:rsidR="001C0694" w:rsidRPr="001C0694" w:rsidRDefault="001C0694" w:rsidP="001C0694">
      <w:pPr>
        <w:rPr>
          <w:szCs w:val="24"/>
        </w:rPr>
      </w:pPr>
    </w:p>
    <w:p w14:paraId="3CE3BF14" w14:textId="202CBA26" w:rsidR="001C0694" w:rsidRDefault="001C0694" w:rsidP="001C0694">
      <w:pPr>
        <w:rPr>
          <w:szCs w:val="24"/>
        </w:rPr>
      </w:pPr>
      <w:r w:rsidRPr="001C0694">
        <w:rPr>
          <w:szCs w:val="24"/>
        </w:rPr>
        <w:t xml:space="preserve">VIA EMAIL: </w:t>
      </w:r>
      <w:hyperlink r:id="rId10" w:history="1">
        <w:r w:rsidRPr="00682047">
          <w:rPr>
            <w:rStyle w:val="Hyperlink"/>
            <w:szCs w:val="24"/>
          </w:rPr>
          <w:t>Benjamin.Wilson@ropesgray.com</w:t>
        </w:r>
      </w:hyperlink>
      <w:r w:rsidRPr="001C0694">
        <w:rPr>
          <w:szCs w:val="24"/>
        </w:rPr>
        <w:t xml:space="preserve"> </w:t>
      </w:r>
    </w:p>
    <w:p w14:paraId="4E7B8973" w14:textId="00C26685" w:rsidR="001C0694" w:rsidRPr="001C0694" w:rsidRDefault="001C0694" w:rsidP="001C0694">
      <w:pPr>
        <w:rPr>
          <w:szCs w:val="24"/>
        </w:rPr>
      </w:pPr>
      <w:r w:rsidRPr="001C0694">
        <w:rPr>
          <w:szCs w:val="24"/>
        </w:rPr>
        <w:t>RE:</w:t>
      </w:r>
      <w:r w:rsidRPr="001C0694">
        <w:rPr>
          <w:szCs w:val="24"/>
        </w:rPr>
        <w:tab/>
        <w:t xml:space="preserve">Notice of Final Action </w:t>
      </w:r>
      <w:proofErr w:type="spellStart"/>
      <w:r w:rsidRPr="001C0694">
        <w:rPr>
          <w:szCs w:val="24"/>
        </w:rPr>
        <w:t>DoN</w:t>
      </w:r>
      <w:proofErr w:type="spellEnd"/>
      <w:r w:rsidRPr="001C0694">
        <w:rPr>
          <w:szCs w:val="24"/>
        </w:rPr>
        <w:t xml:space="preserve"> #20121712-TO</w:t>
      </w:r>
    </w:p>
    <w:p w14:paraId="3F393D05" w14:textId="77777777" w:rsidR="001C0694" w:rsidRDefault="001C0694" w:rsidP="001C0694">
      <w:pPr>
        <w:rPr>
          <w:szCs w:val="24"/>
        </w:rPr>
      </w:pPr>
    </w:p>
    <w:p w14:paraId="5C9E3A83" w14:textId="77777777" w:rsidR="001C0694" w:rsidRDefault="001C0694" w:rsidP="001C0694">
      <w:pPr>
        <w:rPr>
          <w:szCs w:val="24"/>
        </w:rPr>
      </w:pPr>
    </w:p>
    <w:p w14:paraId="7454E301" w14:textId="11E6C19C" w:rsidR="001C0694" w:rsidRPr="001C0694" w:rsidRDefault="001C0694" w:rsidP="001C0694">
      <w:pPr>
        <w:rPr>
          <w:szCs w:val="24"/>
        </w:rPr>
      </w:pPr>
      <w:r w:rsidRPr="001C0694">
        <w:rPr>
          <w:szCs w:val="24"/>
        </w:rPr>
        <w:t>Dear Attorney Wilson,</w:t>
      </w:r>
    </w:p>
    <w:p w14:paraId="7795A295" w14:textId="77777777" w:rsidR="001C0694" w:rsidRPr="001C0694" w:rsidRDefault="001C0694" w:rsidP="001C0694">
      <w:pPr>
        <w:rPr>
          <w:szCs w:val="24"/>
        </w:rPr>
      </w:pPr>
    </w:p>
    <w:p w14:paraId="428B2CD5" w14:textId="77777777" w:rsidR="001C0694" w:rsidRPr="001C0694" w:rsidRDefault="001C0694" w:rsidP="001C0694">
      <w:pPr>
        <w:rPr>
          <w:szCs w:val="24"/>
        </w:rPr>
      </w:pPr>
      <w:r w:rsidRPr="001C0694">
        <w:rPr>
          <w:szCs w:val="24"/>
        </w:rPr>
        <w:t>At their meeting of August 10, 2022, the Commissioner and the Public Health Council, acting together as the Department, voted pursuant to M.G.L. c.111, §51 and 105 CMR 100.000, to approve the Determination of Need application filed by The Children’s’ Medical Center Corporation (CMCC or Applicant), located at 300 Longwood Avenue, Boston, MA 02115, for an institutional affiliation categorized as a “Transfer of Ownership” whereby CMCC will become Franciscan Hospital for Children (Franciscan)’s sole corporate member. This Notice of Final Action incorporates by reference the Staff Report, and the Public Health Council proceedings concerning this application.</w:t>
      </w:r>
    </w:p>
    <w:p w14:paraId="7043C736" w14:textId="77777777" w:rsidR="001C0694" w:rsidRPr="001C0694" w:rsidRDefault="001C0694" w:rsidP="001C0694">
      <w:pPr>
        <w:rPr>
          <w:szCs w:val="24"/>
        </w:rPr>
      </w:pPr>
    </w:p>
    <w:p w14:paraId="733E48AB" w14:textId="77777777" w:rsidR="001C0694" w:rsidRPr="001C0694" w:rsidRDefault="001C0694" w:rsidP="001C0694">
      <w:pPr>
        <w:rPr>
          <w:szCs w:val="24"/>
        </w:rPr>
      </w:pPr>
      <w:r w:rsidRPr="001C0694">
        <w:rPr>
          <w:szCs w:val="24"/>
        </w:rPr>
        <w:t xml:space="preserve">This Application was reviewed pursuant to M.G.L. c. 111, § 51, and the regulatory provisions of 105 CMR 100.000. Based upon a review of the materials submitted, the Department found that the Applicant has met each </w:t>
      </w:r>
      <w:proofErr w:type="spellStart"/>
      <w:r w:rsidRPr="001C0694">
        <w:rPr>
          <w:szCs w:val="24"/>
        </w:rPr>
        <w:t>DoN</w:t>
      </w:r>
      <w:proofErr w:type="spellEnd"/>
      <w:r w:rsidRPr="001C0694">
        <w:rPr>
          <w:szCs w:val="24"/>
        </w:rPr>
        <w:t xml:space="preserve"> factor and approves this Determination of Need application for a Transfer of Ownership subject to all applicable standard conditions (105 CMR 100.310). The total capital expenditure for the Proposed Project is $55,821,519.00.</w:t>
      </w:r>
    </w:p>
    <w:p w14:paraId="3776B13F" w14:textId="77777777" w:rsidR="001C0694" w:rsidRPr="001C0694" w:rsidRDefault="001C0694" w:rsidP="001C0694">
      <w:pPr>
        <w:rPr>
          <w:szCs w:val="24"/>
        </w:rPr>
      </w:pPr>
    </w:p>
    <w:p w14:paraId="5F7A91BB" w14:textId="77777777" w:rsidR="001C0694" w:rsidRPr="001C0694" w:rsidRDefault="001C0694" w:rsidP="001C0694">
      <w:pPr>
        <w:rPr>
          <w:szCs w:val="24"/>
        </w:rPr>
      </w:pPr>
      <w:r w:rsidRPr="001C0694">
        <w:rPr>
          <w:szCs w:val="24"/>
        </w:rPr>
        <w:t xml:space="preserve">In compliance with the provisions of 105 CMR 100.310(A)(2) and (11) the Holder shall submit an acknowledgment of receipt to the Department (attached) </w:t>
      </w:r>
      <w:proofErr w:type="gramStart"/>
      <w:r w:rsidRPr="001C0694">
        <w:rPr>
          <w:szCs w:val="24"/>
        </w:rPr>
        <w:t>and also</w:t>
      </w:r>
      <w:proofErr w:type="gramEnd"/>
      <w:r w:rsidRPr="001C0694">
        <w:rPr>
          <w:szCs w:val="24"/>
        </w:rPr>
        <w:t xml:space="preserve"> include a written attestation of participation or intent to participate in MassHealth.</w:t>
      </w:r>
    </w:p>
    <w:p w14:paraId="7C359696" w14:textId="77777777" w:rsidR="001C0694" w:rsidRPr="001C0694" w:rsidRDefault="001C0694" w:rsidP="001C0694">
      <w:pPr>
        <w:rPr>
          <w:szCs w:val="24"/>
        </w:rPr>
      </w:pPr>
    </w:p>
    <w:p w14:paraId="2EDEE8A9" w14:textId="77777777" w:rsidR="001C0694" w:rsidRPr="001C0694" w:rsidRDefault="001C0694" w:rsidP="001C0694">
      <w:pPr>
        <w:rPr>
          <w:szCs w:val="24"/>
        </w:rPr>
      </w:pPr>
      <w:r w:rsidRPr="001C0694">
        <w:rPr>
          <w:szCs w:val="24"/>
        </w:rPr>
        <w:lastRenderedPageBreak/>
        <w:t xml:space="preserve"> </w:t>
      </w:r>
    </w:p>
    <w:p w14:paraId="72048593" w14:textId="6789E1D8" w:rsidR="001C0694" w:rsidRPr="001C0694" w:rsidRDefault="001C0694" w:rsidP="001C0694">
      <w:pPr>
        <w:rPr>
          <w:szCs w:val="24"/>
        </w:rPr>
      </w:pPr>
      <w:r w:rsidRPr="001C0694">
        <w:rPr>
          <w:szCs w:val="24"/>
        </w:rPr>
        <w:t xml:space="preserve">In compliance with the provisions of 105 CMR 100.310(A)(12), which require a report to the Department, at a minimum on an annual basis, including the measures related to achievement of the </w:t>
      </w:r>
      <w:proofErr w:type="spellStart"/>
      <w:r w:rsidRPr="001C0694">
        <w:rPr>
          <w:szCs w:val="24"/>
        </w:rPr>
        <w:t>DoN</w:t>
      </w:r>
      <w:proofErr w:type="spellEnd"/>
      <w:r w:rsidRPr="001C0694">
        <w:rPr>
          <w:szCs w:val="24"/>
        </w:rPr>
        <w:t xml:space="preserve"> factors for a period of five years from completion of the Proposed Project, the Holder shall address its assertions with respect to all the factors. Ongoing compliance with the</w:t>
      </w:r>
      <w:r>
        <w:rPr>
          <w:szCs w:val="24"/>
        </w:rPr>
        <w:t xml:space="preserve"> </w:t>
      </w:r>
      <w:r w:rsidRPr="001C0694">
        <w:rPr>
          <w:szCs w:val="24"/>
        </w:rPr>
        <w:t xml:space="preserve">conditions and all terms of the </w:t>
      </w:r>
      <w:proofErr w:type="spellStart"/>
      <w:r w:rsidRPr="001C0694">
        <w:rPr>
          <w:szCs w:val="24"/>
        </w:rPr>
        <w:t>DoN</w:t>
      </w:r>
      <w:proofErr w:type="spellEnd"/>
      <w:r w:rsidRPr="001C0694">
        <w:rPr>
          <w:szCs w:val="24"/>
        </w:rPr>
        <w:t xml:space="preserve"> is, pursuant to the Regulation, a precondition to the filing of any future </w:t>
      </w:r>
      <w:proofErr w:type="spellStart"/>
      <w:r w:rsidRPr="001C0694">
        <w:rPr>
          <w:szCs w:val="24"/>
        </w:rPr>
        <w:t>DoN</w:t>
      </w:r>
      <w:proofErr w:type="spellEnd"/>
      <w:r w:rsidRPr="001C0694">
        <w:rPr>
          <w:szCs w:val="24"/>
        </w:rPr>
        <w:t xml:space="preserve"> by the Holder.</w:t>
      </w:r>
    </w:p>
    <w:p w14:paraId="32853D42" w14:textId="77777777" w:rsidR="001C0694" w:rsidRPr="001C0694" w:rsidRDefault="001C0694" w:rsidP="001C0694">
      <w:pPr>
        <w:rPr>
          <w:szCs w:val="24"/>
        </w:rPr>
      </w:pPr>
    </w:p>
    <w:p w14:paraId="3C8BD356" w14:textId="77777777" w:rsidR="001C0694" w:rsidRPr="001C0694" w:rsidRDefault="001C0694" w:rsidP="001C0694">
      <w:pPr>
        <w:rPr>
          <w:szCs w:val="24"/>
        </w:rPr>
      </w:pPr>
    </w:p>
    <w:p w14:paraId="5B375339" w14:textId="77777777" w:rsidR="001C0694" w:rsidRPr="001C0694" w:rsidRDefault="001C0694" w:rsidP="001C0694">
      <w:pPr>
        <w:rPr>
          <w:szCs w:val="24"/>
        </w:rPr>
      </w:pPr>
      <w:r w:rsidRPr="001C0694">
        <w:rPr>
          <w:szCs w:val="24"/>
        </w:rPr>
        <w:t>Sincerely,</w:t>
      </w:r>
    </w:p>
    <w:p w14:paraId="74808865" w14:textId="2FAA087E" w:rsidR="001C0694" w:rsidRDefault="001C0694" w:rsidP="001C0694">
      <w:pPr>
        <w:rPr>
          <w:szCs w:val="24"/>
        </w:rPr>
      </w:pPr>
    </w:p>
    <w:p w14:paraId="29148844" w14:textId="7BE49DBE" w:rsidR="001C0694" w:rsidRPr="001C0694" w:rsidRDefault="001C0694" w:rsidP="001C0694">
      <w:pPr>
        <w:rPr>
          <w:szCs w:val="24"/>
        </w:rPr>
      </w:pPr>
      <w:r>
        <w:rPr>
          <w:szCs w:val="24"/>
        </w:rPr>
        <w:t>[signature on file]</w:t>
      </w:r>
    </w:p>
    <w:p w14:paraId="01FD90F8" w14:textId="77777777" w:rsidR="001C0694" w:rsidRPr="001C0694" w:rsidRDefault="001C0694" w:rsidP="001C0694">
      <w:pPr>
        <w:rPr>
          <w:szCs w:val="24"/>
        </w:rPr>
      </w:pPr>
    </w:p>
    <w:p w14:paraId="77AF1A63" w14:textId="77777777" w:rsidR="001C0694" w:rsidRPr="001C0694" w:rsidRDefault="001C0694" w:rsidP="001C0694">
      <w:pPr>
        <w:rPr>
          <w:szCs w:val="24"/>
        </w:rPr>
      </w:pPr>
      <w:r w:rsidRPr="001C0694">
        <w:rPr>
          <w:szCs w:val="24"/>
        </w:rPr>
        <w:t>Elizabeth D. Kelley, MBA, MPH</w:t>
      </w:r>
    </w:p>
    <w:p w14:paraId="13942CD3" w14:textId="77777777" w:rsidR="001C0694" w:rsidRPr="001C0694" w:rsidRDefault="001C0694" w:rsidP="001C0694">
      <w:pPr>
        <w:rPr>
          <w:szCs w:val="24"/>
        </w:rPr>
      </w:pPr>
      <w:r w:rsidRPr="001C0694">
        <w:rPr>
          <w:szCs w:val="24"/>
        </w:rPr>
        <w:t>Director, Bureau of Healthcare Safety and Quality</w:t>
      </w:r>
    </w:p>
    <w:p w14:paraId="36885193" w14:textId="77777777" w:rsidR="001C0694" w:rsidRPr="001C0694" w:rsidRDefault="001C0694" w:rsidP="001C0694">
      <w:pPr>
        <w:rPr>
          <w:szCs w:val="24"/>
        </w:rPr>
      </w:pPr>
    </w:p>
    <w:p w14:paraId="26AE53B7" w14:textId="77777777" w:rsidR="001C0694" w:rsidRPr="001C0694" w:rsidRDefault="001C0694" w:rsidP="001C0694">
      <w:pPr>
        <w:rPr>
          <w:szCs w:val="24"/>
        </w:rPr>
      </w:pPr>
    </w:p>
    <w:p w14:paraId="08CE48C2" w14:textId="77777777" w:rsidR="001C0694" w:rsidRPr="001C0694" w:rsidRDefault="001C0694" w:rsidP="001C0694">
      <w:pPr>
        <w:rPr>
          <w:szCs w:val="24"/>
        </w:rPr>
      </w:pPr>
    </w:p>
    <w:p w14:paraId="6CC9F392" w14:textId="77777777" w:rsidR="001C0694" w:rsidRPr="001C0694" w:rsidRDefault="001C0694" w:rsidP="001C0694">
      <w:pPr>
        <w:rPr>
          <w:szCs w:val="24"/>
        </w:rPr>
      </w:pPr>
      <w:r w:rsidRPr="001C0694">
        <w:rPr>
          <w:szCs w:val="24"/>
        </w:rPr>
        <w:t>cc:</w:t>
      </w:r>
    </w:p>
    <w:p w14:paraId="509932DB" w14:textId="77777777" w:rsidR="001C0694" w:rsidRDefault="001C0694" w:rsidP="001C0694">
      <w:pPr>
        <w:rPr>
          <w:szCs w:val="24"/>
        </w:rPr>
      </w:pPr>
      <w:r w:rsidRPr="001C0694">
        <w:rPr>
          <w:szCs w:val="24"/>
        </w:rPr>
        <w:t xml:space="preserve">Stephen Davis, Director, Division of Health Care Facility Licensure and Certification </w:t>
      </w:r>
    </w:p>
    <w:p w14:paraId="1A92119E" w14:textId="0C84756B" w:rsidR="001C0694" w:rsidRPr="001C0694" w:rsidRDefault="001C0694" w:rsidP="001C0694">
      <w:pPr>
        <w:rPr>
          <w:szCs w:val="24"/>
        </w:rPr>
      </w:pPr>
      <w:r w:rsidRPr="001C0694">
        <w:rPr>
          <w:szCs w:val="24"/>
        </w:rPr>
        <w:t>Rebecca Rodman, General Counsel</w:t>
      </w:r>
    </w:p>
    <w:p w14:paraId="7455840F" w14:textId="77777777" w:rsidR="001C0694" w:rsidRDefault="001C0694" w:rsidP="001C0694">
      <w:pPr>
        <w:rPr>
          <w:szCs w:val="24"/>
        </w:rPr>
      </w:pPr>
      <w:r w:rsidRPr="001C0694">
        <w:rPr>
          <w:szCs w:val="24"/>
        </w:rPr>
        <w:t xml:space="preserve">Daniel Gent, Health Care Facility Licensure and Certification </w:t>
      </w:r>
    </w:p>
    <w:p w14:paraId="70BA8B53" w14:textId="2040E31D" w:rsidR="001C0694" w:rsidRPr="001C0694" w:rsidRDefault="001C0694" w:rsidP="001C0694">
      <w:pPr>
        <w:rPr>
          <w:szCs w:val="24"/>
        </w:rPr>
      </w:pPr>
      <w:r w:rsidRPr="001C0694">
        <w:rPr>
          <w:szCs w:val="24"/>
        </w:rPr>
        <w:t>Samuel Louis, Office of Health Equity</w:t>
      </w:r>
    </w:p>
    <w:p w14:paraId="24C86BB3" w14:textId="77777777" w:rsidR="001C0694" w:rsidRDefault="001C0694" w:rsidP="001C0694">
      <w:pPr>
        <w:rPr>
          <w:szCs w:val="24"/>
        </w:rPr>
      </w:pPr>
      <w:r w:rsidRPr="001C0694">
        <w:rPr>
          <w:szCs w:val="24"/>
        </w:rPr>
        <w:t xml:space="preserve">Jennica Allen, Division of Community Health Planning and Engagement </w:t>
      </w:r>
    </w:p>
    <w:p w14:paraId="08864051" w14:textId="77777777" w:rsidR="001C0694" w:rsidRDefault="001C0694" w:rsidP="001C0694">
      <w:pPr>
        <w:rPr>
          <w:szCs w:val="24"/>
        </w:rPr>
      </w:pPr>
      <w:r w:rsidRPr="001C0694">
        <w:rPr>
          <w:szCs w:val="24"/>
        </w:rPr>
        <w:t xml:space="preserve">Elizabeth Maffei, Division of Community Health Planning and Engagement </w:t>
      </w:r>
    </w:p>
    <w:p w14:paraId="3F7FE072" w14:textId="37D88580" w:rsidR="001C0694" w:rsidRPr="001C0694" w:rsidRDefault="001C0694" w:rsidP="001C0694">
      <w:pPr>
        <w:rPr>
          <w:szCs w:val="24"/>
        </w:rPr>
      </w:pPr>
      <w:r w:rsidRPr="001C0694">
        <w:rPr>
          <w:szCs w:val="24"/>
        </w:rPr>
        <w:t>Elizabeth Almanzor, Center for Health Information Analysis</w:t>
      </w:r>
    </w:p>
    <w:p w14:paraId="3250C5B4" w14:textId="77777777" w:rsidR="001C0694" w:rsidRDefault="001C0694" w:rsidP="001C0694">
      <w:pPr>
        <w:rPr>
          <w:szCs w:val="24"/>
        </w:rPr>
      </w:pPr>
      <w:r w:rsidRPr="001C0694">
        <w:rPr>
          <w:szCs w:val="24"/>
        </w:rPr>
        <w:t xml:space="preserve">Katherine Mills, Health Policy Commission </w:t>
      </w:r>
    </w:p>
    <w:p w14:paraId="0BB6B49D" w14:textId="215E1B79" w:rsidR="00030D4A" w:rsidRDefault="001C0694" w:rsidP="001C0694">
      <w:r w:rsidRPr="001C0694">
        <w:rPr>
          <w:szCs w:val="24"/>
        </w:rPr>
        <w:t>Eric Gold, Office of the Attorney General</w:t>
      </w:r>
    </w:p>
    <w:sectPr w:rsidR="00030D4A" w:rsidSect="001C0694">
      <w:type w:val="continuous"/>
      <w:pgSz w:w="12240" w:h="15840"/>
      <w:pgMar w:top="1440" w:right="1440" w:bottom="1440" w:left="1440" w:header="720" w:footer="22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8D8F" w14:textId="77777777" w:rsidR="00000A7F" w:rsidRDefault="001C0694">
    <w:pPr>
      <w:pStyle w:val="Footer"/>
      <w:jc w:val="center"/>
    </w:pPr>
    <w:r>
      <w:fldChar w:fldCharType="begin"/>
    </w:r>
    <w:r>
      <w:instrText xml:space="preserve"> PAGE   \* MERGEFORMAT </w:instrText>
    </w:r>
    <w:r>
      <w:fldChar w:fldCharType="separate"/>
    </w:r>
    <w:r>
      <w:rPr>
        <w:noProof/>
      </w:rPr>
      <w:t>2</w:t>
    </w:r>
    <w:r>
      <w:rPr>
        <w:noProof/>
      </w:rPr>
      <w:fldChar w:fldCharType="end"/>
    </w:r>
  </w:p>
  <w:p w14:paraId="7F867578" w14:textId="77777777" w:rsidR="00000A7F" w:rsidRDefault="001C069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DC90" w14:textId="77777777" w:rsidR="00000A7F" w:rsidRDefault="001C0694">
    <w:pPr>
      <w:pStyle w:val="Header"/>
    </w:pPr>
    <w:r>
      <w:rPr>
        <w:noProof/>
      </w:rPr>
      <w:pict w14:anchorId="386FD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580F" w14:textId="77777777" w:rsidR="00000A7F" w:rsidRDefault="001C0694">
    <w:pPr>
      <w:pStyle w:val="Header"/>
    </w:pPr>
    <w:r>
      <w:rPr>
        <w:noProof/>
      </w:rPr>
      <w:pict w14:anchorId="366AF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54665"/>
    <w:multiLevelType w:val="hybridMultilevel"/>
    <w:tmpl w:val="CB6C7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80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94"/>
    <w:rsid w:val="00030D4A"/>
    <w:rsid w:val="001C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C823E"/>
  <w15:chartTrackingRefBased/>
  <w15:docId w15:val="{7E9D4517-C870-49DF-99E0-C65B6702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9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1C0694"/>
    <w:pPr>
      <w:framePr w:w="6927" w:hSpace="187" w:wrap="notBeside" w:vAnchor="text" w:hAnchor="page" w:x="3594" w:y="1"/>
      <w:jc w:val="center"/>
    </w:pPr>
    <w:rPr>
      <w:rFonts w:ascii="Arial" w:hAnsi="Arial"/>
      <w:sz w:val="28"/>
    </w:rPr>
  </w:style>
  <w:style w:type="paragraph" w:customStyle="1" w:styleId="Weld">
    <w:name w:val="Weld"/>
    <w:basedOn w:val="Normal"/>
    <w:rsid w:val="001C0694"/>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1C0694"/>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1C0694"/>
    <w:rPr>
      <w:color w:val="0000FF"/>
      <w:u w:val="single"/>
    </w:rPr>
  </w:style>
  <w:style w:type="paragraph" w:styleId="Header">
    <w:name w:val="header"/>
    <w:basedOn w:val="Normal"/>
    <w:link w:val="HeaderChar"/>
    <w:rsid w:val="001C0694"/>
    <w:pPr>
      <w:tabs>
        <w:tab w:val="center" w:pos="4680"/>
        <w:tab w:val="right" w:pos="9360"/>
      </w:tabs>
    </w:pPr>
  </w:style>
  <w:style w:type="character" w:customStyle="1" w:styleId="HeaderChar">
    <w:name w:val="Header Char"/>
    <w:basedOn w:val="DefaultParagraphFont"/>
    <w:link w:val="Header"/>
    <w:rsid w:val="001C0694"/>
    <w:rPr>
      <w:rFonts w:ascii="Times New Roman" w:eastAsia="Times New Roman" w:hAnsi="Times New Roman" w:cs="Times New Roman"/>
      <w:sz w:val="24"/>
      <w:szCs w:val="20"/>
    </w:rPr>
  </w:style>
  <w:style w:type="paragraph" w:styleId="Footer">
    <w:name w:val="footer"/>
    <w:basedOn w:val="Normal"/>
    <w:link w:val="FooterChar"/>
    <w:uiPriority w:val="99"/>
    <w:rsid w:val="001C0694"/>
    <w:pPr>
      <w:tabs>
        <w:tab w:val="center" w:pos="4680"/>
        <w:tab w:val="right" w:pos="9360"/>
      </w:tabs>
    </w:pPr>
  </w:style>
  <w:style w:type="character" w:customStyle="1" w:styleId="FooterChar">
    <w:name w:val="Footer Char"/>
    <w:basedOn w:val="DefaultParagraphFont"/>
    <w:link w:val="Footer"/>
    <w:uiPriority w:val="99"/>
    <w:rsid w:val="001C0694"/>
    <w:rPr>
      <w:rFonts w:ascii="Times New Roman" w:eastAsia="Times New Roman" w:hAnsi="Times New Roman" w:cs="Times New Roman"/>
      <w:sz w:val="24"/>
      <w:szCs w:val="20"/>
    </w:rPr>
  </w:style>
  <w:style w:type="paragraph" w:styleId="ListParagraph">
    <w:name w:val="List Paragraph"/>
    <w:basedOn w:val="Normal"/>
    <w:uiPriority w:val="34"/>
    <w:qFormat/>
    <w:rsid w:val="001C0694"/>
    <w:pPr>
      <w:ind w:left="720"/>
      <w:contextualSpacing/>
    </w:pPr>
  </w:style>
  <w:style w:type="character" w:styleId="UnresolvedMention">
    <w:name w:val="Unresolved Mention"/>
    <w:basedOn w:val="DefaultParagraphFont"/>
    <w:uiPriority w:val="99"/>
    <w:semiHidden/>
    <w:unhideWhenUsed/>
    <w:rsid w:val="001C0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enjamin.Wilson@ropesgray.com" TargetMode="External"/><Relationship Id="rId4" Type="http://schemas.openxmlformats.org/officeDocument/2006/relationships/webSettings" Target="webSettings.xml"/><Relationship Id="rId9" Type="http://schemas.openxmlformats.org/officeDocument/2006/relationships/hyperlink" Target="http://www.mass.gov/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2022-09-12T14:49:00Z</dcterms:created>
  <dcterms:modified xsi:type="dcterms:W3CDTF">2022-09-12T14:52:00Z</dcterms:modified>
</cp:coreProperties>
</file>