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7D94F0CD" w14:textId="0A62DD27" w:rsidR="00DD783A" w:rsidRDefault="00DD783A" w:rsidP="00DD783A">
      <w:pPr>
        <w:pStyle w:val="ExecOffice"/>
        <w:framePr w:w="0" w:hSpace="0" w:wrap="auto" w:vAnchor="margin" w:hAnchor="text" w:xAlign="left" w:yAlign="inline"/>
      </w:pPr>
      <w:r w:rsidRPr="00DD783A">
        <w:t>617-624-6000 | mass.gov/</w:t>
      </w:r>
      <w:proofErr w:type="spellStart"/>
      <w:r w:rsidRPr="00DD783A">
        <w:t>dph</w:t>
      </w:r>
      <w:proofErr w:type="spellEnd"/>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DB68C1">
      <w:pPr>
        <w:ind w:left="450" w:right="2340" w:firstLine="27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DB68C1">
      <w:pPr>
        <w:pStyle w:val="Weld"/>
        <w:framePr w:hSpace="0" w:wrap="auto" w:vAnchor="margin" w:hAnchor="text" w:xAlign="left" w:yAlign="inline"/>
        <w:ind w:left="450" w:right="2340" w:firstLine="270"/>
        <w:jc w:val="left"/>
        <w:rPr>
          <w:sz w:val="14"/>
          <w:szCs w:val="18"/>
        </w:rPr>
      </w:pPr>
      <w:r w:rsidRPr="001D6D5B">
        <w:rPr>
          <w:sz w:val="14"/>
          <w:szCs w:val="18"/>
        </w:rPr>
        <w:t>Governor</w:t>
      </w:r>
    </w:p>
    <w:p w14:paraId="57A7E868" w14:textId="77777777" w:rsidR="00AC7937" w:rsidRPr="001D6D5B" w:rsidRDefault="00AC7937" w:rsidP="00DB68C1">
      <w:pPr>
        <w:ind w:left="450" w:right="2340" w:firstLine="270"/>
        <w:contextualSpacing/>
        <w:rPr>
          <w:sz w:val="14"/>
          <w:szCs w:val="18"/>
        </w:rPr>
      </w:pPr>
    </w:p>
    <w:p w14:paraId="5F8BD4FE" w14:textId="77777777" w:rsidR="00AC7937" w:rsidRPr="001D6D5B" w:rsidRDefault="00AC7937" w:rsidP="00DB68C1">
      <w:pPr>
        <w:ind w:left="450" w:right="2250" w:firstLine="270"/>
        <w:contextualSpacing/>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DB68C1">
      <w:pPr>
        <w:pStyle w:val="Weld"/>
        <w:framePr w:hSpace="0" w:wrap="auto" w:vAnchor="margin" w:hAnchor="text" w:xAlign="left" w:yAlign="inline"/>
        <w:ind w:left="450" w:right="2340" w:firstLine="270"/>
        <w:jc w:val="left"/>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170A6353" w14:textId="17EBC57B" w:rsidR="00AC7937" w:rsidRPr="001D6D5B" w:rsidRDefault="00413D9A" w:rsidP="0083193A">
      <w:pPr>
        <w:pStyle w:val="Weld"/>
        <w:framePr w:hSpace="0" w:wrap="auto" w:vAnchor="margin" w:hAnchor="text" w:xAlign="left" w:yAlign="inline"/>
        <w:ind w:left="1980" w:right="900"/>
        <w:jc w:val="right"/>
        <w:rPr>
          <w:sz w:val="14"/>
          <w:szCs w:val="18"/>
        </w:rPr>
      </w:pPr>
      <w:r w:rsidRPr="00413D9A">
        <w:t xml:space="preserve">Kiame Mahaniah, MD, MBA </w:t>
      </w:r>
      <w:r w:rsidR="00AC7937" w:rsidRPr="001D6D5B">
        <w:rPr>
          <w:sz w:val="14"/>
          <w:szCs w:val="18"/>
        </w:rPr>
        <w:t>Secretary</w:t>
      </w:r>
    </w:p>
    <w:p w14:paraId="04911862" w14:textId="77777777" w:rsidR="00AC7937" w:rsidRPr="001D6D5B" w:rsidRDefault="00AC7937" w:rsidP="0083193A">
      <w:pPr>
        <w:pStyle w:val="Weld"/>
        <w:framePr w:hSpace="0" w:wrap="auto" w:vAnchor="margin" w:hAnchor="text" w:xAlign="left" w:yAlign="inline"/>
        <w:ind w:left="1980" w:right="900"/>
        <w:jc w:val="right"/>
        <w:rPr>
          <w:sz w:val="14"/>
          <w:szCs w:val="18"/>
        </w:rPr>
      </w:pPr>
    </w:p>
    <w:p w14:paraId="52FEDDB3" w14:textId="77777777" w:rsidR="00AC7937" w:rsidRPr="001D6D5B" w:rsidRDefault="00AC7937" w:rsidP="0083193A">
      <w:pPr>
        <w:pStyle w:val="Weld"/>
        <w:framePr w:hSpace="0" w:wrap="auto" w:vAnchor="margin" w:hAnchor="text" w:xAlign="left" w:yAlign="inline"/>
        <w:ind w:left="1980" w:right="900"/>
        <w:jc w:val="right"/>
        <w:rPr>
          <w:sz w:val="12"/>
          <w:szCs w:val="16"/>
        </w:rPr>
      </w:pPr>
      <w:r w:rsidRPr="001D6D5B">
        <w:rPr>
          <w:sz w:val="12"/>
          <w:szCs w:val="16"/>
        </w:rPr>
        <w:t>ROBERT GOLDSTEIN, MD, PhD</w:t>
      </w:r>
    </w:p>
    <w:p w14:paraId="2349E991" w14:textId="265CD908" w:rsidR="00AC7937" w:rsidRPr="00C2477D" w:rsidRDefault="00AC7937" w:rsidP="0083193A">
      <w:pPr>
        <w:pStyle w:val="Weld"/>
        <w:framePr w:hSpace="0" w:wrap="auto" w:vAnchor="margin" w:hAnchor="text" w:xAlign="left" w:yAlign="inline"/>
        <w:ind w:left="1980" w:right="900"/>
        <w:jc w:val="right"/>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2B4DB6E1"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December 11, 2025 </w:t>
      </w:r>
    </w:p>
    <w:p w14:paraId="5F6DA35D" w14:textId="77777777" w:rsidR="005475EE" w:rsidRPr="004F4F8E" w:rsidRDefault="005475EE" w:rsidP="005475EE">
      <w:pPr>
        <w:ind w:left="720" w:right="900"/>
        <w:rPr>
          <w:rFonts w:ascii="Calibri" w:hAnsi="Calibri" w:cs="Calibri"/>
          <w:szCs w:val="24"/>
        </w:rPr>
      </w:pPr>
    </w:p>
    <w:p w14:paraId="0C210785"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Francis Smith </w:t>
      </w:r>
    </w:p>
    <w:p w14:paraId="6A2A3FE6"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Vice President Strategic Transactions</w:t>
      </w:r>
    </w:p>
    <w:p w14:paraId="71E23870"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Associate General Counsel</w:t>
      </w:r>
    </w:p>
    <w:p w14:paraId="0E9C1162"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UMass Memorial Health</w:t>
      </w:r>
    </w:p>
    <w:p w14:paraId="14539746"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365 Plantation Street, 3</w:t>
      </w:r>
      <w:r w:rsidRPr="004F4F8E">
        <w:rPr>
          <w:rFonts w:ascii="Calibri" w:hAnsi="Calibri" w:cs="Calibri"/>
          <w:szCs w:val="24"/>
          <w:vertAlign w:val="superscript"/>
        </w:rPr>
        <w:t>rd</w:t>
      </w:r>
      <w:r w:rsidRPr="004F4F8E">
        <w:rPr>
          <w:rFonts w:ascii="Calibri" w:hAnsi="Calibri" w:cs="Calibri"/>
          <w:szCs w:val="24"/>
        </w:rPr>
        <w:t xml:space="preserve"> Floor</w:t>
      </w:r>
    </w:p>
    <w:p w14:paraId="65DF1485"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Worcester, MA 01605</w:t>
      </w:r>
    </w:p>
    <w:p w14:paraId="3A232615" w14:textId="77777777" w:rsidR="005475EE" w:rsidRPr="004F4F8E" w:rsidRDefault="005475EE" w:rsidP="005475EE">
      <w:pPr>
        <w:ind w:left="720" w:right="900"/>
        <w:rPr>
          <w:rFonts w:ascii="Calibri" w:hAnsi="Calibri" w:cs="Calibri"/>
          <w:szCs w:val="24"/>
        </w:rPr>
      </w:pPr>
    </w:p>
    <w:p w14:paraId="7178BF74" w14:textId="35AD173F"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VIA Email: </w:t>
      </w:r>
      <w:hyperlink r:id="rId11" w:history="1">
        <w:r w:rsidR="007070A8" w:rsidRPr="00742BF7">
          <w:rPr>
            <w:rStyle w:val="Hyperlink"/>
            <w:rFonts w:ascii="Calibri" w:hAnsi="Calibri" w:cs="Calibri"/>
            <w:szCs w:val="24"/>
          </w:rPr>
          <w:t>frank.smith@umassmemorial.org</w:t>
        </w:r>
      </w:hyperlink>
      <w:r w:rsidR="007070A8">
        <w:rPr>
          <w:rFonts w:ascii="Calibri" w:hAnsi="Calibri" w:cs="Calibri"/>
          <w:szCs w:val="24"/>
        </w:rPr>
        <w:t xml:space="preserve"> </w:t>
      </w:r>
    </w:p>
    <w:p w14:paraId="4055BE73"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 </w:t>
      </w:r>
    </w:p>
    <w:p w14:paraId="34781E9D"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Notice of Final Action: UMass Memorial Health Care, </w:t>
      </w:r>
      <w:proofErr w:type="gramStart"/>
      <w:r w:rsidRPr="004F4F8E">
        <w:rPr>
          <w:rFonts w:ascii="Calibri" w:hAnsi="Calibri" w:cs="Calibri"/>
          <w:szCs w:val="24"/>
        </w:rPr>
        <w:t>Inc- #</w:t>
      </w:r>
      <w:proofErr w:type="gramEnd"/>
      <w:r w:rsidRPr="004F4F8E">
        <w:rPr>
          <w:rFonts w:ascii="Calibri" w:hAnsi="Calibri" w:cs="Calibri"/>
          <w:szCs w:val="24"/>
        </w:rPr>
        <w:t xml:space="preserve"> UMMH-25021208-HE</w:t>
      </w:r>
    </w:p>
    <w:p w14:paraId="7F3B48E5" w14:textId="77777777" w:rsidR="005475EE" w:rsidRPr="004F4F8E" w:rsidRDefault="005475EE" w:rsidP="005475EE">
      <w:pPr>
        <w:ind w:left="720" w:right="900"/>
        <w:rPr>
          <w:rFonts w:ascii="Calibri" w:hAnsi="Calibri" w:cs="Calibri"/>
          <w:szCs w:val="24"/>
        </w:rPr>
      </w:pPr>
    </w:p>
    <w:p w14:paraId="20686D8F"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Dear Attorney Smith, </w:t>
      </w:r>
    </w:p>
    <w:p w14:paraId="613FBDDF" w14:textId="77777777" w:rsidR="005475EE" w:rsidRPr="004F4F8E" w:rsidRDefault="005475EE" w:rsidP="005475EE">
      <w:pPr>
        <w:ind w:left="720" w:right="900"/>
        <w:rPr>
          <w:rFonts w:ascii="Calibri" w:hAnsi="Calibri" w:cs="Calibri"/>
          <w:szCs w:val="24"/>
        </w:rPr>
      </w:pPr>
    </w:p>
    <w:p w14:paraId="6563F352"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At their meeting of December 10, 2025, the Commissioner and the Public Health Council, acting together as the Department, voted pursuant to M.G.L. c.111, §25C and the regulations adopted thereunder, to approve the Determination of Need (</w:t>
      </w:r>
      <w:proofErr w:type="spellStart"/>
      <w:r w:rsidRPr="004F4F8E">
        <w:rPr>
          <w:rFonts w:ascii="Calibri" w:hAnsi="Calibri" w:cs="Calibri"/>
          <w:szCs w:val="24"/>
        </w:rPr>
        <w:t>DoN</w:t>
      </w:r>
      <w:proofErr w:type="spellEnd"/>
      <w:r w:rsidRPr="004F4F8E">
        <w:rPr>
          <w:rFonts w:ascii="Calibri" w:hAnsi="Calibri" w:cs="Calibri"/>
          <w:szCs w:val="24"/>
        </w:rPr>
        <w:t xml:space="preserve">) application filed by UMass Memorial Health Care, Inc. for Substantial Change in Service, and Substantial Capital Expenditure to: 1) acquire one single-gantry proton beam therapy unit; 2) establish a Proton Therapy Service; and 3) expand the UMass Memorial Medical Center Cancer Center at Marlborough (“UMMMC Cancer Center”)  to provide comprehensive Proton Therapy Services located at Marlborough Hospital, 157 Union Street, Marlborough, MA 01752 (“Proposed Project”).  This Notice of Final Action incorporates by reference the Staff Report and the Public Health Council proceedings concerning this application. </w:t>
      </w:r>
    </w:p>
    <w:p w14:paraId="467A6C6D" w14:textId="77777777" w:rsidR="005475EE" w:rsidRPr="004F4F8E" w:rsidRDefault="005475EE" w:rsidP="005475EE">
      <w:pPr>
        <w:ind w:left="720" w:right="900"/>
        <w:rPr>
          <w:rFonts w:ascii="Calibri" w:hAnsi="Calibri" w:cs="Calibri"/>
          <w:szCs w:val="24"/>
        </w:rPr>
      </w:pPr>
    </w:p>
    <w:p w14:paraId="619E710E"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This application was reviewed pursuant to M.G.L. c. 111, §25C and the regulatory provisions of 105 CMR 100.000 et seq. Based upon a review of the materials submitted, the Department found that the Applicant has met each </w:t>
      </w:r>
      <w:proofErr w:type="spellStart"/>
      <w:r w:rsidRPr="004F4F8E">
        <w:rPr>
          <w:rFonts w:ascii="Calibri" w:hAnsi="Calibri" w:cs="Calibri"/>
          <w:szCs w:val="24"/>
        </w:rPr>
        <w:t>DoN</w:t>
      </w:r>
      <w:proofErr w:type="spellEnd"/>
      <w:r w:rsidRPr="004F4F8E">
        <w:rPr>
          <w:rFonts w:ascii="Calibri" w:hAnsi="Calibri" w:cs="Calibri"/>
          <w:szCs w:val="24"/>
        </w:rPr>
        <w:t xml:space="preserve"> factor and approves this Determination of Need application subject to all standard conditions (105 CMR 100.310) and pursuant to 105 CMR 100.360, subject to Other Conditions listed below. The Total Value for the Proposed Project is $53,598,043. </w:t>
      </w:r>
    </w:p>
    <w:p w14:paraId="16640FAA" w14:textId="77777777" w:rsidR="005475EE" w:rsidRPr="004F4F8E" w:rsidRDefault="005475EE" w:rsidP="005475EE">
      <w:pPr>
        <w:ind w:left="720" w:right="900"/>
        <w:rPr>
          <w:rFonts w:ascii="Calibri" w:hAnsi="Calibri" w:cs="Calibri"/>
          <w:szCs w:val="24"/>
        </w:rPr>
      </w:pPr>
    </w:p>
    <w:p w14:paraId="17B99D9D"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lastRenderedPageBreak/>
        <w:t xml:space="preserve">In compliance with the provisions of 105 CMR 100.310(A)(2) and (11), the Holder shall submit an acknowledgment of receipt to the Department (attached) and include a written attestation of participation or </w:t>
      </w:r>
      <w:proofErr w:type="gramStart"/>
      <w:r w:rsidRPr="004F4F8E">
        <w:rPr>
          <w:rFonts w:ascii="Calibri" w:hAnsi="Calibri" w:cs="Calibri"/>
          <w:szCs w:val="24"/>
        </w:rPr>
        <w:t>intent</w:t>
      </w:r>
      <w:proofErr w:type="gramEnd"/>
      <w:r w:rsidRPr="004F4F8E">
        <w:rPr>
          <w:rFonts w:ascii="Calibri" w:hAnsi="Calibri" w:cs="Calibri"/>
          <w:szCs w:val="24"/>
        </w:rPr>
        <w:t xml:space="preserve"> to participate in MassHealth. </w:t>
      </w:r>
    </w:p>
    <w:p w14:paraId="46E053FF" w14:textId="77777777" w:rsidR="005475EE" w:rsidRPr="004F4F8E" w:rsidRDefault="005475EE" w:rsidP="005475EE">
      <w:pPr>
        <w:ind w:left="720" w:right="900"/>
        <w:rPr>
          <w:rFonts w:ascii="Calibri" w:hAnsi="Calibri" w:cs="Calibri"/>
          <w:szCs w:val="24"/>
        </w:rPr>
      </w:pPr>
    </w:p>
    <w:p w14:paraId="27032DD0"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In compliance with 105 CMR 100.310(A)(12), which requires a report to the Department, at a minimum on an annual basis, including the measures related to achievement of the </w:t>
      </w:r>
      <w:proofErr w:type="spellStart"/>
      <w:r w:rsidRPr="004F4F8E">
        <w:rPr>
          <w:rFonts w:ascii="Calibri" w:hAnsi="Calibri" w:cs="Calibri"/>
          <w:szCs w:val="24"/>
        </w:rPr>
        <w:t>DoN</w:t>
      </w:r>
      <w:proofErr w:type="spellEnd"/>
      <w:r w:rsidRPr="004F4F8E">
        <w:rPr>
          <w:rFonts w:ascii="Calibri" w:hAnsi="Calibri" w:cs="Calibri"/>
          <w:szCs w:val="24"/>
        </w:rPr>
        <w:t xml:space="preserve"> factors for a period of five years from completion of the Proposed Project, the Holder shall address its assertions with respect to all the applicable factors. </w:t>
      </w:r>
    </w:p>
    <w:p w14:paraId="400145AD" w14:textId="77777777" w:rsidR="005475EE" w:rsidRPr="004F4F8E" w:rsidRDefault="005475EE" w:rsidP="005475EE">
      <w:pPr>
        <w:ind w:left="720" w:right="900"/>
        <w:rPr>
          <w:rFonts w:ascii="Calibri" w:hAnsi="Calibri" w:cs="Calibri"/>
          <w:szCs w:val="24"/>
        </w:rPr>
      </w:pPr>
    </w:p>
    <w:p w14:paraId="0BDAD1C5"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Please notify the </w:t>
      </w:r>
      <w:proofErr w:type="spellStart"/>
      <w:r w:rsidRPr="004F4F8E">
        <w:rPr>
          <w:rFonts w:ascii="Calibri" w:hAnsi="Calibri" w:cs="Calibri"/>
          <w:szCs w:val="24"/>
        </w:rPr>
        <w:t>DoN</w:t>
      </w:r>
      <w:proofErr w:type="spellEnd"/>
      <w:r w:rsidRPr="004F4F8E">
        <w:rPr>
          <w:rFonts w:ascii="Calibri" w:hAnsi="Calibri" w:cs="Calibri"/>
          <w:szCs w:val="24"/>
        </w:rPr>
        <w:t xml:space="preserve"> Program at </w:t>
      </w:r>
      <w:hyperlink r:id="rId12" w:history="1">
        <w:r w:rsidRPr="004F4F8E">
          <w:rPr>
            <w:rStyle w:val="Hyperlink"/>
            <w:rFonts w:ascii="Calibri" w:hAnsi="Calibri" w:cs="Calibri"/>
            <w:szCs w:val="24"/>
          </w:rPr>
          <w:t>DPH.DON@mass.gov</w:t>
        </w:r>
      </w:hyperlink>
      <w:r w:rsidRPr="004F4F8E">
        <w:rPr>
          <w:rFonts w:ascii="Calibri" w:hAnsi="Calibri" w:cs="Calibri"/>
          <w:szCs w:val="24"/>
        </w:rPr>
        <w:t xml:space="preserve">  confirming the Project's completion (closure of transaction and licensure/approval date) to determine the annual </w:t>
      </w:r>
      <w:proofErr w:type="spellStart"/>
      <w:r w:rsidRPr="004F4F8E">
        <w:rPr>
          <w:rFonts w:ascii="Calibri" w:hAnsi="Calibri" w:cs="Calibri"/>
          <w:szCs w:val="24"/>
        </w:rPr>
        <w:t>DoN</w:t>
      </w:r>
      <w:proofErr w:type="spellEnd"/>
      <w:r w:rsidRPr="004F4F8E">
        <w:rPr>
          <w:rFonts w:ascii="Calibri" w:hAnsi="Calibri" w:cs="Calibri"/>
          <w:szCs w:val="24"/>
        </w:rPr>
        <w:t xml:space="preserve"> reporting timeline. </w:t>
      </w:r>
    </w:p>
    <w:p w14:paraId="64AE36D3" w14:textId="77777777" w:rsidR="005475EE" w:rsidRPr="004F4F8E" w:rsidRDefault="005475EE" w:rsidP="005475EE">
      <w:pPr>
        <w:ind w:left="720" w:right="900"/>
        <w:rPr>
          <w:rFonts w:ascii="Calibri" w:hAnsi="Calibri" w:cs="Calibri"/>
          <w:szCs w:val="24"/>
        </w:rPr>
      </w:pPr>
    </w:p>
    <w:p w14:paraId="0A7A28B4" w14:textId="77777777" w:rsidR="005475EE" w:rsidRPr="004F4F8E" w:rsidRDefault="005475EE" w:rsidP="005475EE">
      <w:pPr>
        <w:ind w:left="720" w:right="900"/>
        <w:rPr>
          <w:rFonts w:ascii="Calibri" w:hAnsi="Calibri" w:cs="Calibri"/>
          <w:b/>
          <w:bCs/>
          <w:szCs w:val="24"/>
        </w:rPr>
      </w:pPr>
      <w:r w:rsidRPr="004F4F8E">
        <w:rPr>
          <w:rFonts w:ascii="Calibri" w:hAnsi="Calibri" w:cs="Calibri"/>
          <w:b/>
          <w:bCs/>
          <w:szCs w:val="24"/>
        </w:rPr>
        <w:t xml:space="preserve">Other Conditions to the </w:t>
      </w:r>
      <w:proofErr w:type="spellStart"/>
      <w:r w:rsidRPr="004F4F8E">
        <w:rPr>
          <w:rFonts w:ascii="Calibri" w:hAnsi="Calibri" w:cs="Calibri"/>
          <w:b/>
          <w:bCs/>
          <w:szCs w:val="24"/>
        </w:rPr>
        <w:t>DoN</w:t>
      </w:r>
      <w:proofErr w:type="spellEnd"/>
      <w:r w:rsidRPr="004F4F8E">
        <w:rPr>
          <w:rFonts w:ascii="Calibri" w:hAnsi="Calibri" w:cs="Calibri"/>
          <w:b/>
          <w:bCs/>
          <w:szCs w:val="24"/>
        </w:rPr>
        <w:t xml:space="preserve">  </w:t>
      </w:r>
    </w:p>
    <w:p w14:paraId="0B783206" w14:textId="77777777" w:rsidR="005475EE" w:rsidRPr="004F4F8E" w:rsidRDefault="005475EE" w:rsidP="005475EE">
      <w:pPr>
        <w:ind w:left="720" w:right="900"/>
        <w:rPr>
          <w:rFonts w:ascii="Calibri" w:hAnsi="Calibri" w:cs="Calibri"/>
          <w:szCs w:val="24"/>
        </w:rPr>
      </w:pPr>
    </w:p>
    <w:p w14:paraId="742B71FF" w14:textId="77777777" w:rsidR="00C24A8E" w:rsidRDefault="005475EE" w:rsidP="00C24A8E">
      <w:pPr>
        <w:numPr>
          <w:ilvl w:val="0"/>
          <w:numId w:val="21"/>
        </w:numPr>
        <w:ind w:left="1530" w:right="900"/>
        <w:rPr>
          <w:rFonts w:ascii="Calibri" w:hAnsi="Calibri" w:cs="Calibri"/>
          <w:szCs w:val="24"/>
        </w:rPr>
      </w:pPr>
      <w:r w:rsidRPr="004F4F8E">
        <w:rPr>
          <w:rFonts w:ascii="Calibri" w:hAnsi="Calibri" w:cs="Calibri"/>
          <w:b/>
          <w:bCs/>
          <w:szCs w:val="24"/>
        </w:rPr>
        <w:t>Factor 6:</w:t>
      </w:r>
      <w:r w:rsidRPr="004F4F8E">
        <w:rPr>
          <w:rFonts w:ascii="Calibri" w:hAnsi="Calibri" w:cs="Calibri"/>
          <w:szCs w:val="24"/>
        </w:rPr>
        <w:t xml:space="preserve"> CHI Contribution</w:t>
      </w:r>
    </w:p>
    <w:p w14:paraId="6993705F" w14:textId="77777777" w:rsidR="00B26C09" w:rsidRDefault="005475EE" w:rsidP="00B26C09">
      <w:pPr>
        <w:numPr>
          <w:ilvl w:val="1"/>
          <w:numId w:val="21"/>
        </w:numPr>
        <w:ind w:left="1890" w:right="900"/>
        <w:rPr>
          <w:rFonts w:ascii="Calibri" w:hAnsi="Calibri" w:cs="Calibri"/>
          <w:szCs w:val="24"/>
        </w:rPr>
      </w:pPr>
      <w:r w:rsidRPr="00C24A8E">
        <w:rPr>
          <w:rFonts w:ascii="Calibri" w:hAnsi="Calibri" w:cs="Calibri"/>
          <w:szCs w:val="24"/>
        </w:rPr>
        <w:t>Of the total required CHI contribution of $2,679,902.15.</w:t>
      </w:r>
    </w:p>
    <w:p w14:paraId="7679CC3A" w14:textId="20FB73BA" w:rsidR="005475EE" w:rsidRPr="00B26C09" w:rsidRDefault="005475EE" w:rsidP="00B26C09">
      <w:pPr>
        <w:numPr>
          <w:ilvl w:val="2"/>
          <w:numId w:val="21"/>
        </w:numPr>
        <w:ind w:right="900"/>
        <w:rPr>
          <w:rFonts w:ascii="Calibri" w:hAnsi="Calibri" w:cs="Calibri"/>
          <w:szCs w:val="24"/>
        </w:rPr>
      </w:pPr>
      <w:r w:rsidRPr="00B26C09">
        <w:rPr>
          <w:rFonts w:ascii="Calibri" w:hAnsi="Calibri" w:cs="Calibri"/>
          <w:szCs w:val="24"/>
        </w:rPr>
        <w:t>$649,876.27 will be directed to the CHI Statewide Initiative.</w:t>
      </w:r>
    </w:p>
    <w:p w14:paraId="399CD212" w14:textId="77777777" w:rsidR="005475EE" w:rsidRPr="00B26C09" w:rsidRDefault="005475EE" w:rsidP="00B26C09">
      <w:pPr>
        <w:pStyle w:val="ListParagraph"/>
        <w:numPr>
          <w:ilvl w:val="2"/>
          <w:numId w:val="21"/>
        </w:numPr>
        <w:ind w:right="900"/>
        <w:rPr>
          <w:rFonts w:ascii="Calibri" w:hAnsi="Calibri" w:cs="Calibri"/>
          <w:szCs w:val="24"/>
        </w:rPr>
      </w:pPr>
      <w:r w:rsidRPr="00B26C09">
        <w:rPr>
          <w:rFonts w:ascii="Calibri" w:hAnsi="Calibri" w:cs="Calibri"/>
          <w:szCs w:val="24"/>
        </w:rPr>
        <w:t xml:space="preserve">$1,949,628.82 will be dedicated to local Health Priority approaches.  </w:t>
      </w:r>
    </w:p>
    <w:p w14:paraId="5033BFE6" w14:textId="77777777" w:rsidR="005475EE" w:rsidRPr="00B26C09" w:rsidRDefault="005475EE" w:rsidP="00B26C09">
      <w:pPr>
        <w:pStyle w:val="ListParagraph"/>
        <w:numPr>
          <w:ilvl w:val="2"/>
          <w:numId w:val="21"/>
        </w:numPr>
        <w:ind w:right="900"/>
        <w:rPr>
          <w:rFonts w:ascii="Calibri" w:hAnsi="Calibri" w:cs="Calibri"/>
          <w:szCs w:val="24"/>
        </w:rPr>
      </w:pPr>
      <w:r w:rsidRPr="00B26C09">
        <w:rPr>
          <w:rFonts w:ascii="Calibri" w:hAnsi="Calibri" w:cs="Calibri"/>
          <w:szCs w:val="24"/>
        </w:rPr>
        <w:t xml:space="preserve">$80,397.06 will be designated as the administrative fee. </w:t>
      </w:r>
    </w:p>
    <w:p w14:paraId="6C55BFB5"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 </w:t>
      </w:r>
    </w:p>
    <w:p w14:paraId="30A864D6" w14:textId="77777777" w:rsidR="005475EE" w:rsidRPr="004F4F8E" w:rsidRDefault="005475EE" w:rsidP="00B26C09">
      <w:pPr>
        <w:numPr>
          <w:ilvl w:val="1"/>
          <w:numId w:val="21"/>
        </w:numPr>
        <w:ind w:right="900"/>
        <w:rPr>
          <w:rFonts w:ascii="Calibri" w:hAnsi="Calibri" w:cs="Calibri"/>
          <w:szCs w:val="24"/>
        </w:rPr>
      </w:pPr>
      <w:r w:rsidRPr="004F4F8E">
        <w:rPr>
          <w:rFonts w:ascii="Calibri" w:hAnsi="Calibri" w:cs="Calibri"/>
          <w:szCs w:val="24"/>
        </w:rPr>
        <w:t xml:space="preserve">To comply with the Holder’s obligation to contribute to the CHI Statewide Initiative, the Holder must submit a check for $649,876.27 to Health Resources in Action (the fiscal agent for the CHI Statewide Initiative) </w:t>
      </w:r>
      <w:r w:rsidRPr="004F4F8E">
        <w:rPr>
          <w:rFonts w:ascii="Calibri" w:hAnsi="Calibri" w:cs="Calibri"/>
          <w:b/>
          <w:bCs/>
          <w:szCs w:val="24"/>
        </w:rPr>
        <w:t>within 30 days</w:t>
      </w:r>
      <w:r w:rsidRPr="004F4F8E">
        <w:rPr>
          <w:rFonts w:ascii="Calibri" w:hAnsi="Calibri" w:cs="Calibri"/>
          <w:szCs w:val="24"/>
        </w:rPr>
        <w:t xml:space="preserve"> from the date of the Notice of Approval.  </w:t>
      </w:r>
    </w:p>
    <w:p w14:paraId="473136BD" w14:textId="77777777" w:rsidR="005475EE" w:rsidRPr="004F4F8E" w:rsidRDefault="005475EE" w:rsidP="00B26C09">
      <w:pPr>
        <w:numPr>
          <w:ilvl w:val="2"/>
          <w:numId w:val="21"/>
        </w:numPr>
        <w:ind w:right="900"/>
        <w:rPr>
          <w:rFonts w:ascii="Calibri" w:hAnsi="Calibri" w:cs="Calibri"/>
          <w:szCs w:val="24"/>
        </w:rPr>
      </w:pPr>
      <w:r w:rsidRPr="004F4F8E">
        <w:rPr>
          <w:rFonts w:ascii="Calibri" w:hAnsi="Calibri" w:cs="Calibri"/>
          <w:szCs w:val="24"/>
        </w:rPr>
        <w:t>Payments should be made out to:</w:t>
      </w:r>
    </w:p>
    <w:p w14:paraId="460DD810" w14:textId="77777777" w:rsidR="005475EE" w:rsidRPr="002F2305" w:rsidRDefault="005475EE" w:rsidP="002F2305">
      <w:pPr>
        <w:ind w:left="1980" w:right="900"/>
        <w:rPr>
          <w:rFonts w:ascii="Calibri" w:hAnsi="Calibri" w:cs="Calibri"/>
          <w:szCs w:val="24"/>
        </w:rPr>
      </w:pPr>
      <w:r w:rsidRPr="002F2305">
        <w:rPr>
          <w:rFonts w:ascii="Calibri" w:hAnsi="Calibri" w:cs="Calibri"/>
          <w:szCs w:val="24"/>
        </w:rPr>
        <w:t>Health Resources in Action, Inc. (</w:t>
      </w:r>
      <w:proofErr w:type="spellStart"/>
      <w:r w:rsidRPr="002F2305">
        <w:rPr>
          <w:rFonts w:ascii="Calibri" w:hAnsi="Calibri" w:cs="Calibri"/>
          <w:szCs w:val="24"/>
        </w:rPr>
        <w:t>HRiA</w:t>
      </w:r>
      <w:proofErr w:type="spellEnd"/>
      <w:r w:rsidRPr="002F2305">
        <w:rPr>
          <w:rFonts w:ascii="Calibri" w:hAnsi="Calibri" w:cs="Calibri"/>
          <w:szCs w:val="24"/>
        </w:rPr>
        <w:t>)</w:t>
      </w:r>
    </w:p>
    <w:p w14:paraId="1C26AAC4" w14:textId="77777777" w:rsidR="005475EE" w:rsidRPr="002F2305" w:rsidRDefault="005475EE" w:rsidP="002F2305">
      <w:pPr>
        <w:ind w:left="1980" w:right="900"/>
        <w:rPr>
          <w:rFonts w:ascii="Calibri" w:hAnsi="Calibri" w:cs="Calibri"/>
          <w:szCs w:val="24"/>
        </w:rPr>
      </w:pPr>
      <w:r w:rsidRPr="002F2305">
        <w:rPr>
          <w:rFonts w:ascii="Calibri" w:hAnsi="Calibri" w:cs="Calibri"/>
          <w:szCs w:val="24"/>
        </w:rPr>
        <w:t>2 Boylston Street, 4th Floor</w:t>
      </w:r>
    </w:p>
    <w:p w14:paraId="1271E996" w14:textId="77777777" w:rsidR="005475EE" w:rsidRPr="002F2305" w:rsidRDefault="005475EE" w:rsidP="002F2305">
      <w:pPr>
        <w:ind w:left="1980" w:right="900"/>
        <w:rPr>
          <w:rFonts w:ascii="Calibri" w:hAnsi="Calibri" w:cs="Calibri"/>
          <w:szCs w:val="24"/>
        </w:rPr>
      </w:pPr>
      <w:r w:rsidRPr="002F2305">
        <w:rPr>
          <w:rFonts w:ascii="Calibri" w:hAnsi="Calibri" w:cs="Calibri"/>
          <w:szCs w:val="24"/>
        </w:rPr>
        <w:t>Boston, MA 02116</w:t>
      </w:r>
    </w:p>
    <w:p w14:paraId="371AE4CD" w14:textId="77777777" w:rsidR="005475EE" w:rsidRPr="002F2305" w:rsidRDefault="005475EE" w:rsidP="002F2305">
      <w:pPr>
        <w:ind w:left="1980" w:right="900"/>
        <w:rPr>
          <w:rFonts w:ascii="Calibri" w:hAnsi="Calibri" w:cs="Calibri"/>
          <w:szCs w:val="24"/>
        </w:rPr>
      </w:pPr>
      <w:r w:rsidRPr="002F2305">
        <w:rPr>
          <w:rFonts w:ascii="Calibri" w:hAnsi="Calibri" w:cs="Calibri"/>
          <w:szCs w:val="24"/>
        </w:rPr>
        <w:t>Attn: MACHHAF c/o Bora Toro</w:t>
      </w:r>
    </w:p>
    <w:p w14:paraId="1DC866FD" w14:textId="77777777" w:rsidR="005475EE" w:rsidRPr="002F2305" w:rsidRDefault="005475EE" w:rsidP="002F2305">
      <w:pPr>
        <w:ind w:left="1980" w:right="900"/>
        <w:rPr>
          <w:rFonts w:ascii="Calibri" w:hAnsi="Calibri" w:cs="Calibri"/>
          <w:szCs w:val="24"/>
        </w:rPr>
      </w:pPr>
      <w:proofErr w:type="spellStart"/>
      <w:r w:rsidRPr="002F2305">
        <w:rPr>
          <w:rFonts w:ascii="Calibri" w:hAnsi="Calibri" w:cs="Calibri"/>
          <w:szCs w:val="24"/>
        </w:rPr>
        <w:t>DoN</w:t>
      </w:r>
      <w:proofErr w:type="spellEnd"/>
      <w:r w:rsidRPr="002F2305">
        <w:rPr>
          <w:rFonts w:ascii="Calibri" w:hAnsi="Calibri" w:cs="Calibri"/>
          <w:szCs w:val="24"/>
        </w:rPr>
        <w:t xml:space="preserve"> project #: UMMH-25021208-HE</w:t>
      </w:r>
    </w:p>
    <w:p w14:paraId="2C23BB92"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 </w:t>
      </w:r>
    </w:p>
    <w:p w14:paraId="71DFAAB3" w14:textId="77777777" w:rsidR="005475EE" w:rsidRPr="002F2305" w:rsidRDefault="005475EE" w:rsidP="002F2305">
      <w:pPr>
        <w:pStyle w:val="ListParagraph"/>
        <w:numPr>
          <w:ilvl w:val="2"/>
          <w:numId w:val="21"/>
        </w:numPr>
        <w:ind w:right="900"/>
        <w:rPr>
          <w:rFonts w:ascii="Calibri" w:hAnsi="Calibri" w:cs="Calibri"/>
          <w:szCs w:val="24"/>
        </w:rPr>
      </w:pPr>
      <w:r w:rsidRPr="002F2305">
        <w:rPr>
          <w:rFonts w:ascii="Calibri" w:hAnsi="Calibri" w:cs="Calibri"/>
          <w:szCs w:val="24"/>
        </w:rPr>
        <w:t>Please send a PDF image of the check or</w:t>
      </w:r>
      <w:r w:rsidRPr="002F2305">
        <w:rPr>
          <w:rFonts w:ascii="Calibri" w:hAnsi="Calibri" w:cs="Calibri"/>
          <w:b/>
          <w:bCs/>
          <w:szCs w:val="24"/>
        </w:rPr>
        <w:t xml:space="preserve"> confirmation of payment</w:t>
      </w:r>
      <w:r w:rsidRPr="002F2305">
        <w:rPr>
          <w:rFonts w:ascii="Calibri" w:hAnsi="Calibri" w:cs="Calibri"/>
          <w:szCs w:val="24"/>
        </w:rPr>
        <w:t xml:space="preserve"> to </w:t>
      </w:r>
      <w:hyperlink r:id="rId13">
        <w:r w:rsidRPr="002F2305">
          <w:rPr>
            <w:rStyle w:val="Hyperlink"/>
            <w:rFonts w:ascii="Calibri" w:hAnsi="Calibri" w:cs="Calibri"/>
            <w:szCs w:val="24"/>
          </w:rPr>
          <w:t>DONCHI@Mass.gov</w:t>
        </w:r>
      </w:hyperlink>
      <w:r w:rsidRPr="002F2305">
        <w:rPr>
          <w:rFonts w:ascii="Calibri" w:hAnsi="Calibri" w:cs="Calibri"/>
          <w:szCs w:val="24"/>
        </w:rPr>
        <w:t xml:space="preserve"> and </w:t>
      </w:r>
      <w:hyperlink r:id="rId14">
        <w:r w:rsidRPr="002F2305">
          <w:rPr>
            <w:rStyle w:val="Hyperlink"/>
            <w:rFonts w:ascii="Calibri" w:hAnsi="Calibri" w:cs="Calibri"/>
            <w:szCs w:val="24"/>
            <w:lang w:val="fr"/>
          </w:rPr>
          <w:t>dongrants@hria.org.</w:t>
        </w:r>
      </w:hyperlink>
      <w:r w:rsidRPr="002F2305">
        <w:rPr>
          <w:rFonts w:ascii="Calibri" w:hAnsi="Calibri" w:cs="Calibri"/>
          <w:szCs w:val="24"/>
        </w:rPr>
        <w:t xml:space="preserve"> If you should have any questions or concerns regarding the payment, please contact the CHI team at </w:t>
      </w:r>
      <w:hyperlink r:id="rId15">
        <w:r w:rsidRPr="002F2305">
          <w:rPr>
            <w:rStyle w:val="Hyperlink"/>
            <w:rFonts w:ascii="Calibri" w:hAnsi="Calibri" w:cs="Calibri"/>
            <w:szCs w:val="24"/>
          </w:rPr>
          <w:t>DONCHI@Mass.gov</w:t>
        </w:r>
      </w:hyperlink>
      <w:r w:rsidRPr="002F2305">
        <w:rPr>
          <w:rFonts w:ascii="Calibri" w:hAnsi="Calibri" w:cs="Calibri"/>
          <w:szCs w:val="24"/>
        </w:rPr>
        <w:t>.</w:t>
      </w:r>
    </w:p>
    <w:p w14:paraId="2CA48CFD" w14:textId="77777777" w:rsidR="005475EE" w:rsidRPr="004F4F8E" w:rsidRDefault="005475EE" w:rsidP="005475EE">
      <w:pPr>
        <w:ind w:left="720" w:right="900"/>
        <w:rPr>
          <w:rFonts w:ascii="Calibri" w:hAnsi="Calibri" w:cs="Calibri"/>
          <w:szCs w:val="24"/>
        </w:rPr>
      </w:pPr>
    </w:p>
    <w:p w14:paraId="3FC19868" w14:textId="77777777" w:rsidR="005475EE" w:rsidRPr="004F4F8E" w:rsidRDefault="005475EE" w:rsidP="00B44397">
      <w:pPr>
        <w:numPr>
          <w:ilvl w:val="0"/>
          <w:numId w:val="21"/>
        </w:numPr>
        <w:ind w:right="900"/>
        <w:rPr>
          <w:rFonts w:ascii="Calibri" w:hAnsi="Calibri" w:cs="Calibri"/>
          <w:szCs w:val="24"/>
        </w:rPr>
      </w:pPr>
      <w:r w:rsidRPr="004F4F8E">
        <w:rPr>
          <w:rFonts w:ascii="Calibri" w:hAnsi="Calibri" w:cs="Calibri"/>
          <w:b/>
          <w:bCs/>
          <w:szCs w:val="24"/>
        </w:rPr>
        <w:t>Factor 1(a):</w:t>
      </w:r>
      <w:r w:rsidRPr="004F4F8E">
        <w:rPr>
          <w:rFonts w:ascii="Calibri" w:hAnsi="Calibri" w:cs="Calibri"/>
          <w:szCs w:val="24"/>
        </w:rPr>
        <w:t xml:space="preserve"> The Holder shall report on the following:</w:t>
      </w:r>
    </w:p>
    <w:p w14:paraId="0100A71A" w14:textId="77777777" w:rsidR="005475EE" w:rsidRPr="004F4F8E" w:rsidRDefault="005475EE" w:rsidP="00B44397">
      <w:pPr>
        <w:numPr>
          <w:ilvl w:val="1"/>
          <w:numId w:val="21"/>
        </w:numPr>
        <w:ind w:right="900"/>
        <w:rPr>
          <w:rFonts w:ascii="Calibri" w:hAnsi="Calibri" w:cs="Calibri"/>
          <w:szCs w:val="24"/>
        </w:rPr>
      </w:pPr>
      <w:r w:rsidRPr="004F4F8E">
        <w:rPr>
          <w:rFonts w:ascii="Calibri" w:hAnsi="Calibri" w:cs="Calibri"/>
          <w:szCs w:val="24"/>
        </w:rPr>
        <w:t>Number of PBT patients by the following age populations:</w:t>
      </w:r>
    </w:p>
    <w:p w14:paraId="11173158" w14:textId="77777777" w:rsidR="005475EE" w:rsidRPr="004F4F8E" w:rsidRDefault="005475EE" w:rsidP="00B44397">
      <w:pPr>
        <w:numPr>
          <w:ilvl w:val="2"/>
          <w:numId w:val="23"/>
        </w:numPr>
        <w:ind w:right="900"/>
        <w:rPr>
          <w:rFonts w:ascii="Calibri" w:hAnsi="Calibri" w:cs="Calibri"/>
          <w:szCs w:val="24"/>
        </w:rPr>
      </w:pPr>
      <w:r w:rsidRPr="004F4F8E">
        <w:rPr>
          <w:rFonts w:ascii="Calibri" w:hAnsi="Calibri" w:cs="Calibri"/>
          <w:szCs w:val="24"/>
        </w:rPr>
        <w:t>Birth-21</w:t>
      </w:r>
    </w:p>
    <w:p w14:paraId="41CCA67B" w14:textId="77777777" w:rsidR="005475EE" w:rsidRPr="004F4F8E" w:rsidRDefault="005475EE" w:rsidP="00B44397">
      <w:pPr>
        <w:numPr>
          <w:ilvl w:val="2"/>
          <w:numId w:val="23"/>
        </w:numPr>
        <w:ind w:right="900"/>
        <w:rPr>
          <w:rFonts w:ascii="Calibri" w:hAnsi="Calibri" w:cs="Calibri"/>
          <w:szCs w:val="24"/>
        </w:rPr>
      </w:pPr>
      <w:r w:rsidRPr="004F4F8E">
        <w:rPr>
          <w:rFonts w:ascii="Calibri" w:hAnsi="Calibri" w:cs="Calibri"/>
          <w:szCs w:val="24"/>
        </w:rPr>
        <w:t>22-64</w:t>
      </w:r>
    </w:p>
    <w:p w14:paraId="631B93C9" w14:textId="77777777" w:rsidR="005475EE" w:rsidRPr="004F4F8E" w:rsidRDefault="005475EE" w:rsidP="00B44397">
      <w:pPr>
        <w:numPr>
          <w:ilvl w:val="2"/>
          <w:numId w:val="23"/>
        </w:numPr>
        <w:ind w:right="900"/>
        <w:rPr>
          <w:rFonts w:ascii="Calibri" w:hAnsi="Calibri" w:cs="Calibri"/>
          <w:szCs w:val="24"/>
        </w:rPr>
      </w:pPr>
      <w:r w:rsidRPr="004F4F8E">
        <w:rPr>
          <w:rFonts w:ascii="Calibri" w:hAnsi="Calibri" w:cs="Calibri"/>
          <w:szCs w:val="24"/>
        </w:rPr>
        <w:t>65+</w:t>
      </w:r>
    </w:p>
    <w:p w14:paraId="3401791C" w14:textId="77777777" w:rsidR="005475EE" w:rsidRPr="004F4F8E" w:rsidRDefault="005475EE" w:rsidP="00B44397">
      <w:pPr>
        <w:numPr>
          <w:ilvl w:val="1"/>
          <w:numId w:val="21"/>
        </w:numPr>
        <w:ind w:right="900"/>
        <w:rPr>
          <w:rFonts w:ascii="Calibri" w:hAnsi="Calibri" w:cs="Calibri"/>
          <w:szCs w:val="24"/>
        </w:rPr>
      </w:pPr>
      <w:r w:rsidRPr="004F4F8E">
        <w:rPr>
          <w:rFonts w:ascii="Calibri" w:hAnsi="Calibri" w:cs="Calibri"/>
          <w:szCs w:val="24"/>
        </w:rPr>
        <w:t>Patient origin for the PBT service stratified by Massachusetts county or State of residence if outside of Massachusetts; and</w:t>
      </w:r>
    </w:p>
    <w:p w14:paraId="37900103" w14:textId="77777777" w:rsidR="005475EE" w:rsidRPr="004F4F8E" w:rsidRDefault="005475EE" w:rsidP="00B44397">
      <w:pPr>
        <w:numPr>
          <w:ilvl w:val="1"/>
          <w:numId w:val="21"/>
        </w:numPr>
        <w:ind w:right="900"/>
        <w:rPr>
          <w:rFonts w:ascii="Calibri" w:hAnsi="Calibri" w:cs="Calibri"/>
          <w:szCs w:val="24"/>
        </w:rPr>
      </w:pPr>
      <w:r w:rsidRPr="004F4F8E">
        <w:rPr>
          <w:rFonts w:ascii="Calibri" w:hAnsi="Calibri" w:cs="Calibri"/>
          <w:szCs w:val="24"/>
        </w:rPr>
        <w:lastRenderedPageBreak/>
        <w:t xml:space="preserve">Treatments by ICD- 10 codes including staging </w:t>
      </w:r>
      <w:proofErr w:type="gramStart"/>
      <w:r w:rsidRPr="004F4F8E">
        <w:rPr>
          <w:rFonts w:ascii="Calibri" w:hAnsi="Calibri" w:cs="Calibri"/>
          <w:szCs w:val="24"/>
        </w:rPr>
        <w:t>and also</w:t>
      </w:r>
      <w:proofErr w:type="gramEnd"/>
      <w:r w:rsidRPr="004F4F8E">
        <w:rPr>
          <w:rFonts w:ascii="Calibri" w:hAnsi="Calibri" w:cs="Calibri"/>
          <w:szCs w:val="24"/>
        </w:rPr>
        <w:t>, differentiating the patients needing retreatments specifically where “</w:t>
      </w:r>
      <w:r w:rsidRPr="004F4F8E">
        <w:rPr>
          <w:rFonts w:ascii="Calibri" w:hAnsi="Calibri" w:cs="Calibri"/>
          <w:i/>
          <w:iCs/>
          <w:szCs w:val="24"/>
        </w:rPr>
        <w:t>cumulative critical structure dose exceeds tolerance dose</w:t>
      </w:r>
      <w:r w:rsidRPr="004F4F8E">
        <w:rPr>
          <w:rFonts w:ascii="Calibri" w:hAnsi="Calibri" w:cs="Calibri"/>
          <w:szCs w:val="24"/>
        </w:rPr>
        <w:t xml:space="preserve">.”  </w:t>
      </w:r>
    </w:p>
    <w:p w14:paraId="2A83A1C3" w14:textId="77777777" w:rsidR="005475EE" w:rsidRPr="004F4F8E" w:rsidRDefault="005475EE" w:rsidP="005475EE">
      <w:pPr>
        <w:ind w:left="720" w:right="900"/>
        <w:rPr>
          <w:rFonts w:ascii="Calibri" w:hAnsi="Calibri" w:cs="Calibri"/>
          <w:szCs w:val="24"/>
        </w:rPr>
      </w:pPr>
    </w:p>
    <w:p w14:paraId="16E18F3B" w14:textId="77777777" w:rsidR="005475EE" w:rsidRPr="00B44397" w:rsidRDefault="005475EE" w:rsidP="00B44397">
      <w:pPr>
        <w:pStyle w:val="ListParagraph"/>
        <w:numPr>
          <w:ilvl w:val="0"/>
          <w:numId w:val="21"/>
        </w:numPr>
        <w:ind w:right="900"/>
        <w:rPr>
          <w:rFonts w:ascii="Calibri" w:hAnsi="Calibri" w:cs="Calibri"/>
          <w:szCs w:val="24"/>
        </w:rPr>
      </w:pPr>
      <w:r w:rsidRPr="00B44397">
        <w:rPr>
          <w:rFonts w:ascii="Calibri" w:hAnsi="Calibri" w:cs="Calibri"/>
          <w:b/>
          <w:bCs/>
          <w:szCs w:val="24"/>
        </w:rPr>
        <w:t>Factor 1(b) and Factor 2:</w:t>
      </w:r>
      <w:r w:rsidRPr="00B44397">
        <w:rPr>
          <w:rFonts w:ascii="Calibri" w:hAnsi="Calibri" w:cs="Calibri"/>
          <w:szCs w:val="24"/>
        </w:rPr>
        <w:t xml:space="preserve"> The Holder shall track and report the following:</w:t>
      </w:r>
    </w:p>
    <w:p w14:paraId="664098A8" w14:textId="77777777" w:rsidR="005475EE" w:rsidRPr="00B44397" w:rsidRDefault="005475EE" w:rsidP="00C91426">
      <w:pPr>
        <w:pStyle w:val="ListParagraph"/>
        <w:numPr>
          <w:ilvl w:val="1"/>
          <w:numId w:val="21"/>
        </w:numPr>
        <w:ind w:right="900"/>
        <w:rPr>
          <w:rFonts w:ascii="Calibri" w:hAnsi="Calibri" w:cs="Calibri"/>
          <w:szCs w:val="24"/>
        </w:rPr>
      </w:pPr>
      <w:r w:rsidRPr="00B44397">
        <w:rPr>
          <w:rFonts w:ascii="Calibri" w:hAnsi="Calibri" w:cs="Calibri"/>
          <w:szCs w:val="24"/>
        </w:rPr>
        <w:t xml:space="preserve">Payer-mix based on charges for the PBT service, the LINAC Service and the payer-mix overall for </w:t>
      </w:r>
      <w:proofErr w:type="gramStart"/>
      <w:r w:rsidRPr="00B44397">
        <w:rPr>
          <w:rFonts w:ascii="Calibri" w:hAnsi="Calibri" w:cs="Calibri"/>
          <w:szCs w:val="24"/>
        </w:rPr>
        <w:t>UMMHC;</w:t>
      </w:r>
      <w:proofErr w:type="gramEnd"/>
    </w:p>
    <w:p w14:paraId="572D5725" w14:textId="77777777" w:rsidR="005475EE" w:rsidRPr="00B44397" w:rsidRDefault="005475EE" w:rsidP="00C91426">
      <w:pPr>
        <w:pStyle w:val="ListParagraph"/>
        <w:numPr>
          <w:ilvl w:val="1"/>
          <w:numId w:val="21"/>
        </w:numPr>
        <w:ind w:right="900"/>
        <w:rPr>
          <w:rFonts w:ascii="Calibri" w:hAnsi="Calibri" w:cs="Calibri"/>
          <w:szCs w:val="24"/>
        </w:rPr>
      </w:pPr>
      <w:r w:rsidRPr="00B44397">
        <w:rPr>
          <w:rFonts w:ascii="Calibri" w:hAnsi="Calibri" w:cs="Calibri"/>
          <w:szCs w:val="24"/>
        </w:rPr>
        <w:t xml:space="preserve">Total number of patients who meet the Medical Necessity Criteria for PBT service pursuant to the CMS Local Coverage Determination Letter L35075 or any successor CMS Coverage </w:t>
      </w:r>
      <w:proofErr w:type="gramStart"/>
      <w:r w:rsidRPr="00B44397">
        <w:rPr>
          <w:rFonts w:ascii="Calibri" w:hAnsi="Calibri" w:cs="Calibri"/>
          <w:szCs w:val="24"/>
        </w:rPr>
        <w:t>Guidance;</w:t>
      </w:r>
      <w:proofErr w:type="gramEnd"/>
      <w:r w:rsidRPr="00B44397">
        <w:rPr>
          <w:rFonts w:ascii="Calibri" w:hAnsi="Calibri" w:cs="Calibri"/>
          <w:szCs w:val="24"/>
        </w:rPr>
        <w:t xml:space="preserve"> </w:t>
      </w:r>
    </w:p>
    <w:p w14:paraId="017518C9" w14:textId="77777777" w:rsidR="005475EE" w:rsidRPr="00B44397" w:rsidRDefault="005475EE" w:rsidP="00C91426">
      <w:pPr>
        <w:pStyle w:val="ListParagraph"/>
        <w:numPr>
          <w:ilvl w:val="1"/>
          <w:numId w:val="21"/>
        </w:numPr>
        <w:ind w:right="900"/>
        <w:rPr>
          <w:rFonts w:ascii="Calibri" w:hAnsi="Calibri" w:cs="Calibri"/>
          <w:szCs w:val="24"/>
        </w:rPr>
      </w:pPr>
      <w:r w:rsidRPr="00B44397">
        <w:rPr>
          <w:rFonts w:ascii="Calibri" w:hAnsi="Calibri" w:cs="Calibri"/>
          <w:szCs w:val="24"/>
        </w:rPr>
        <w:t xml:space="preserve">Total percentage of PBT patients denied coverage by payer; and  </w:t>
      </w:r>
    </w:p>
    <w:p w14:paraId="0444918B" w14:textId="77777777" w:rsidR="005475EE" w:rsidRPr="00B44397" w:rsidRDefault="005475EE" w:rsidP="00C91426">
      <w:pPr>
        <w:pStyle w:val="ListParagraph"/>
        <w:numPr>
          <w:ilvl w:val="1"/>
          <w:numId w:val="21"/>
        </w:numPr>
        <w:ind w:right="900"/>
        <w:rPr>
          <w:rFonts w:ascii="Calibri" w:hAnsi="Calibri" w:cs="Calibri"/>
          <w:szCs w:val="24"/>
        </w:rPr>
      </w:pPr>
      <w:r w:rsidRPr="00B44397">
        <w:rPr>
          <w:rFonts w:ascii="Calibri" w:hAnsi="Calibri" w:cs="Calibri"/>
          <w:szCs w:val="24"/>
        </w:rPr>
        <w:t xml:space="preserve">Number of PBT patients referred to the Applicant’s Financial Assistance Program. </w:t>
      </w:r>
    </w:p>
    <w:p w14:paraId="55902FA7" w14:textId="77777777" w:rsidR="005475EE" w:rsidRPr="004F4F8E" w:rsidRDefault="005475EE" w:rsidP="005475EE">
      <w:pPr>
        <w:ind w:left="720" w:right="900"/>
        <w:rPr>
          <w:rFonts w:ascii="Calibri" w:hAnsi="Calibri" w:cs="Calibri"/>
          <w:szCs w:val="24"/>
        </w:rPr>
      </w:pPr>
    </w:p>
    <w:p w14:paraId="1780FAD0"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If the Department determines the Holder’s payer-mix for the PBT service is materially different from the overall UMMHC payer-mix overall, the Holder shall provide the Department with an explanation of such differences to allow the Department to determine whether the differences are the result of determinations outside the control of the Holder. If the Department determines the payer-mix differences are not due to forces outside the Holder’s control, the Holder shall develop a plan as agreed to with the Department to address such payer-mix disparities.  </w:t>
      </w:r>
    </w:p>
    <w:p w14:paraId="4A22A952" w14:textId="77777777" w:rsidR="005475EE" w:rsidRPr="004F4F8E" w:rsidRDefault="005475EE" w:rsidP="005475EE">
      <w:pPr>
        <w:ind w:left="720" w:right="900"/>
        <w:rPr>
          <w:rFonts w:ascii="Calibri" w:hAnsi="Calibri" w:cs="Calibri"/>
          <w:szCs w:val="24"/>
        </w:rPr>
      </w:pPr>
    </w:p>
    <w:p w14:paraId="2EC68BA0" w14:textId="77777777" w:rsidR="005475EE" w:rsidRPr="00C91426" w:rsidRDefault="005475EE" w:rsidP="00C91426">
      <w:pPr>
        <w:pStyle w:val="ListParagraph"/>
        <w:numPr>
          <w:ilvl w:val="0"/>
          <w:numId w:val="21"/>
        </w:numPr>
        <w:ind w:right="900"/>
        <w:rPr>
          <w:rFonts w:ascii="Calibri" w:hAnsi="Calibri" w:cs="Calibri"/>
          <w:szCs w:val="24"/>
        </w:rPr>
      </w:pPr>
      <w:r w:rsidRPr="00C91426">
        <w:rPr>
          <w:rFonts w:ascii="Calibri" w:hAnsi="Calibri" w:cs="Calibri"/>
          <w:b/>
          <w:bCs/>
          <w:szCs w:val="24"/>
        </w:rPr>
        <w:t xml:space="preserve">Factor 3: </w:t>
      </w:r>
      <w:r w:rsidRPr="00C91426">
        <w:rPr>
          <w:rFonts w:ascii="Calibri" w:hAnsi="Calibri" w:cs="Calibri"/>
          <w:szCs w:val="24"/>
        </w:rPr>
        <w:t xml:space="preserve">The Holder shall comply with federal, state, and local requirements, including licensure requirements applicable to facility, program, and service closure as set forth in Code of Massachusetts Regulations Title 105.  Should the </w:t>
      </w:r>
      <w:proofErr w:type="spellStart"/>
      <w:r w:rsidRPr="00C91426">
        <w:rPr>
          <w:rFonts w:ascii="Calibri" w:hAnsi="Calibri" w:cs="Calibri"/>
          <w:szCs w:val="24"/>
        </w:rPr>
        <w:t>DoN</w:t>
      </w:r>
      <w:proofErr w:type="spellEnd"/>
      <w:r w:rsidRPr="00C91426">
        <w:rPr>
          <w:rFonts w:ascii="Calibri" w:hAnsi="Calibri" w:cs="Calibri"/>
          <w:szCs w:val="24"/>
        </w:rPr>
        <w:t xml:space="preserve"> program determine the Holder has failed to comply with such requirements, the Holder shall report to the Department on why the Department should find that the Holder remains in compliance with the terms and conditions of the Notice of Determination of Need. Upon review, the Department may revoke its </w:t>
      </w:r>
      <w:proofErr w:type="spellStart"/>
      <w:r w:rsidRPr="00C91426">
        <w:rPr>
          <w:rFonts w:ascii="Calibri" w:hAnsi="Calibri" w:cs="Calibri"/>
          <w:szCs w:val="24"/>
        </w:rPr>
        <w:t>DoN</w:t>
      </w:r>
      <w:proofErr w:type="spellEnd"/>
      <w:r w:rsidRPr="00C91426">
        <w:rPr>
          <w:rFonts w:ascii="Calibri" w:hAnsi="Calibri" w:cs="Calibri"/>
          <w:szCs w:val="24"/>
        </w:rPr>
        <w:t xml:space="preserve"> approval pursuant to 105 CMR 100.640(A) and may not accept additional </w:t>
      </w:r>
      <w:proofErr w:type="spellStart"/>
      <w:r w:rsidRPr="00C91426">
        <w:rPr>
          <w:rFonts w:ascii="Calibri" w:hAnsi="Calibri" w:cs="Calibri"/>
          <w:szCs w:val="24"/>
        </w:rPr>
        <w:t>DoN</w:t>
      </w:r>
      <w:proofErr w:type="spellEnd"/>
      <w:r w:rsidRPr="00C91426">
        <w:rPr>
          <w:rFonts w:ascii="Calibri" w:hAnsi="Calibri" w:cs="Calibri"/>
          <w:szCs w:val="24"/>
        </w:rPr>
        <w:t xml:space="preserve"> Applications from UMMHC until the Holder is found to have remedied compliance issues cited by the Department.</w:t>
      </w:r>
    </w:p>
    <w:p w14:paraId="11E754FD" w14:textId="77777777" w:rsidR="005475EE" w:rsidRPr="004F4F8E" w:rsidRDefault="005475EE" w:rsidP="005475EE">
      <w:pPr>
        <w:ind w:left="720" w:right="900"/>
        <w:rPr>
          <w:rFonts w:ascii="Calibri" w:hAnsi="Calibri" w:cs="Calibri"/>
          <w:szCs w:val="24"/>
        </w:rPr>
      </w:pPr>
    </w:p>
    <w:p w14:paraId="72B43BE8"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Ongoing compliance with the conditions and all terms of the </w:t>
      </w:r>
      <w:proofErr w:type="spellStart"/>
      <w:r w:rsidRPr="004F4F8E">
        <w:rPr>
          <w:rFonts w:ascii="Calibri" w:hAnsi="Calibri" w:cs="Calibri"/>
          <w:szCs w:val="24"/>
        </w:rPr>
        <w:t>DoN</w:t>
      </w:r>
      <w:proofErr w:type="spellEnd"/>
      <w:r w:rsidRPr="004F4F8E">
        <w:rPr>
          <w:rFonts w:ascii="Calibri" w:hAnsi="Calibri" w:cs="Calibri"/>
          <w:szCs w:val="24"/>
        </w:rPr>
        <w:t xml:space="preserve"> is, pursuant to the Regulation, a precondition to the filing of any future </w:t>
      </w:r>
      <w:proofErr w:type="spellStart"/>
      <w:r w:rsidRPr="004F4F8E">
        <w:rPr>
          <w:rFonts w:ascii="Calibri" w:hAnsi="Calibri" w:cs="Calibri"/>
          <w:szCs w:val="24"/>
        </w:rPr>
        <w:t>DoN</w:t>
      </w:r>
      <w:proofErr w:type="spellEnd"/>
      <w:r w:rsidRPr="004F4F8E">
        <w:rPr>
          <w:rFonts w:ascii="Calibri" w:hAnsi="Calibri" w:cs="Calibri"/>
          <w:szCs w:val="24"/>
        </w:rPr>
        <w:t xml:space="preserve"> by the Holder. </w:t>
      </w:r>
    </w:p>
    <w:p w14:paraId="076B36DC" w14:textId="77777777" w:rsidR="005475EE" w:rsidRPr="004F4F8E" w:rsidRDefault="005475EE" w:rsidP="005475EE">
      <w:pPr>
        <w:ind w:left="720" w:right="900"/>
        <w:rPr>
          <w:rFonts w:ascii="Calibri" w:hAnsi="Calibri" w:cs="Calibri"/>
          <w:szCs w:val="24"/>
        </w:rPr>
      </w:pPr>
    </w:p>
    <w:p w14:paraId="372447E6"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Sincerely, </w:t>
      </w:r>
    </w:p>
    <w:p w14:paraId="05E72251" w14:textId="77777777" w:rsidR="005475EE" w:rsidRPr="004F4F8E" w:rsidRDefault="005475EE" w:rsidP="005475EE">
      <w:pPr>
        <w:ind w:left="720" w:right="900"/>
        <w:rPr>
          <w:rFonts w:ascii="Calibri" w:hAnsi="Calibri" w:cs="Calibri"/>
          <w:szCs w:val="24"/>
        </w:rPr>
      </w:pPr>
    </w:p>
    <w:p w14:paraId="0F1C3626"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Teryl Smith</w:t>
      </w:r>
    </w:p>
    <w:p w14:paraId="48561689"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Director, Bureau of Health Care Safety and Quality </w:t>
      </w:r>
    </w:p>
    <w:p w14:paraId="29AB7198" w14:textId="77777777" w:rsidR="005475EE" w:rsidRPr="004F4F8E" w:rsidRDefault="005475EE" w:rsidP="005475EE">
      <w:pPr>
        <w:ind w:left="720" w:right="900"/>
        <w:rPr>
          <w:rFonts w:ascii="Calibri" w:hAnsi="Calibri" w:cs="Calibri"/>
          <w:szCs w:val="24"/>
        </w:rPr>
      </w:pPr>
    </w:p>
    <w:p w14:paraId="3131964F"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cc: </w:t>
      </w:r>
    </w:p>
    <w:p w14:paraId="5660101E"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Jaclyn Gagné, Chief Deputy General Counsel </w:t>
      </w:r>
    </w:p>
    <w:p w14:paraId="3E572A50"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Stephen Davis, Director, Division of Health Care Facility Licensure and Certification </w:t>
      </w:r>
    </w:p>
    <w:p w14:paraId="30FF099E"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Judy Bernice, Division of Health Care Facility Licensure and Certification </w:t>
      </w:r>
    </w:p>
    <w:p w14:paraId="4320C1F9"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Hilary Ward, Health Care Facility Licensure and Certification </w:t>
      </w:r>
    </w:p>
    <w:p w14:paraId="5ABE438C"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Samuel Louis, Office of Health Equity </w:t>
      </w:r>
    </w:p>
    <w:p w14:paraId="503246BF"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Katherine Mills, Health Policy Commission </w:t>
      </w:r>
    </w:p>
    <w:p w14:paraId="33D0F503"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lastRenderedPageBreak/>
        <w:t xml:space="preserve">Roxanne Rocco, Center for Medicaid and Medicare Services </w:t>
      </w:r>
    </w:p>
    <w:p w14:paraId="725455F2"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Christopher King, Executive Office of Health and Human Services </w:t>
      </w:r>
    </w:p>
    <w:p w14:paraId="2872074C"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Tomaso Calicchio, Executive Office of Health and Human Services </w:t>
      </w:r>
    </w:p>
    <w:p w14:paraId="398EB51E"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Hai Nguyen, Executive Office of Health and Human Services </w:t>
      </w:r>
    </w:p>
    <w:p w14:paraId="32C716D1"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Karina Mejias, Executive Office of Health and Human Services </w:t>
      </w:r>
    </w:p>
    <w:p w14:paraId="1AC31E61"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 xml:space="preserve">Pavel </w:t>
      </w:r>
      <w:proofErr w:type="spellStart"/>
      <w:r w:rsidRPr="004F4F8E">
        <w:rPr>
          <w:rFonts w:ascii="Calibri" w:hAnsi="Calibri" w:cs="Calibri"/>
          <w:szCs w:val="24"/>
        </w:rPr>
        <w:t>Terpelets</w:t>
      </w:r>
      <w:proofErr w:type="spellEnd"/>
      <w:r w:rsidRPr="004F4F8E">
        <w:rPr>
          <w:rFonts w:ascii="Calibri" w:hAnsi="Calibri" w:cs="Calibri"/>
          <w:szCs w:val="24"/>
        </w:rPr>
        <w:t xml:space="preserve">, Executive Office of Health and Human Services </w:t>
      </w:r>
    </w:p>
    <w:p w14:paraId="4A712988" w14:textId="77777777" w:rsidR="005475EE" w:rsidRPr="004F4F8E" w:rsidRDefault="005475EE" w:rsidP="005475EE">
      <w:pPr>
        <w:ind w:left="720" w:right="900"/>
        <w:rPr>
          <w:rFonts w:ascii="Calibri" w:hAnsi="Calibri" w:cs="Calibri"/>
          <w:szCs w:val="24"/>
        </w:rPr>
      </w:pPr>
      <w:r w:rsidRPr="004F4F8E">
        <w:rPr>
          <w:rFonts w:ascii="Calibri" w:hAnsi="Calibri" w:cs="Calibri"/>
          <w:szCs w:val="24"/>
        </w:rPr>
        <w:t>Elizabeth Almanzor, Center for Health Information Analysis</w:t>
      </w:r>
    </w:p>
    <w:p w14:paraId="1843C5EA" w14:textId="47D88B93" w:rsidR="00AC7937" w:rsidRPr="00E132E0" w:rsidRDefault="00AC7937" w:rsidP="005475EE">
      <w:pPr>
        <w:pStyle w:val="BodyText"/>
        <w:ind w:left="810" w:right="1170"/>
        <w:rPr>
          <w:sz w:val="22"/>
          <w:szCs w:val="22"/>
        </w:rPr>
      </w:pPr>
    </w:p>
    <w:sectPr w:rsidR="00AC7937" w:rsidRPr="00E132E0" w:rsidSect="00AD26F8">
      <w:type w:val="continuous"/>
      <w:pgSz w:w="12240" w:h="15840"/>
      <w:pgMar w:top="1360" w:right="260" w:bottom="1260" w:left="6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48AD" w14:textId="77777777" w:rsidR="00CC3860" w:rsidRDefault="00CC3860">
      <w:r>
        <w:separator/>
      </w:r>
    </w:p>
  </w:endnote>
  <w:endnote w:type="continuationSeparator" w:id="0">
    <w:p w14:paraId="4A872B49" w14:textId="77777777" w:rsidR="00CC3860" w:rsidRDefault="00CC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7F73" w14:textId="1FF097F0" w:rsidR="00AE0515" w:rsidRDefault="00AE051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4F25" w14:textId="77777777" w:rsidR="00CC3860" w:rsidRDefault="00CC3860">
      <w:r>
        <w:separator/>
      </w:r>
    </w:p>
  </w:footnote>
  <w:footnote w:type="continuationSeparator" w:id="0">
    <w:p w14:paraId="6CCB88C3" w14:textId="77777777" w:rsidR="00CC3860" w:rsidRDefault="00CC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CC386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CC386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17A67DEF"/>
    <w:multiLevelType w:val="hybridMultilevel"/>
    <w:tmpl w:val="4CD63A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1"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4"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3F9F53D"/>
    <w:multiLevelType w:val="hybridMultilevel"/>
    <w:tmpl w:val="0388E06A"/>
    <w:lvl w:ilvl="0" w:tplc="FB3E371C">
      <w:start w:val="1"/>
      <w:numFmt w:val="bullet"/>
      <w:lvlText w:val=""/>
      <w:lvlJc w:val="left"/>
      <w:pPr>
        <w:ind w:left="720" w:hanging="360"/>
      </w:pPr>
      <w:rPr>
        <w:rFonts w:ascii="Symbol" w:hAnsi="Symbol" w:hint="default"/>
      </w:rPr>
    </w:lvl>
    <w:lvl w:ilvl="1" w:tplc="9618AD68">
      <w:start w:val="1"/>
      <w:numFmt w:val="bullet"/>
      <w:lvlText w:val="o"/>
      <w:lvlJc w:val="left"/>
      <w:pPr>
        <w:ind w:left="1440" w:hanging="360"/>
      </w:pPr>
      <w:rPr>
        <w:rFonts w:ascii="Courier New" w:hAnsi="Courier New" w:hint="default"/>
      </w:rPr>
    </w:lvl>
    <w:lvl w:ilvl="2" w:tplc="0BB81064">
      <w:start w:val="1"/>
      <w:numFmt w:val="bullet"/>
      <w:lvlText w:val=""/>
      <w:lvlJc w:val="left"/>
      <w:pPr>
        <w:ind w:left="2160" w:hanging="360"/>
      </w:pPr>
      <w:rPr>
        <w:rFonts w:ascii="Wingdings" w:hAnsi="Wingdings" w:hint="default"/>
      </w:rPr>
    </w:lvl>
    <w:lvl w:ilvl="3" w:tplc="4BD46E72">
      <w:start w:val="1"/>
      <w:numFmt w:val="bullet"/>
      <w:lvlText w:val=""/>
      <w:lvlJc w:val="left"/>
      <w:pPr>
        <w:ind w:left="2880" w:hanging="360"/>
      </w:pPr>
      <w:rPr>
        <w:rFonts w:ascii="Symbol" w:hAnsi="Symbol" w:hint="default"/>
      </w:rPr>
    </w:lvl>
    <w:lvl w:ilvl="4" w:tplc="77F46534">
      <w:start w:val="1"/>
      <w:numFmt w:val="bullet"/>
      <w:lvlText w:val="o"/>
      <w:lvlJc w:val="left"/>
      <w:pPr>
        <w:ind w:left="3600" w:hanging="360"/>
      </w:pPr>
      <w:rPr>
        <w:rFonts w:ascii="Courier New" w:hAnsi="Courier New" w:hint="default"/>
      </w:rPr>
    </w:lvl>
    <w:lvl w:ilvl="5" w:tplc="1CA0A48A">
      <w:start w:val="1"/>
      <w:numFmt w:val="bullet"/>
      <w:lvlText w:val=""/>
      <w:lvlJc w:val="left"/>
      <w:pPr>
        <w:ind w:left="4320" w:hanging="360"/>
      </w:pPr>
      <w:rPr>
        <w:rFonts w:ascii="Wingdings" w:hAnsi="Wingdings" w:hint="default"/>
      </w:rPr>
    </w:lvl>
    <w:lvl w:ilvl="6" w:tplc="E1CAAF70">
      <w:start w:val="1"/>
      <w:numFmt w:val="bullet"/>
      <w:lvlText w:val=""/>
      <w:lvlJc w:val="left"/>
      <w:pPr>
        <w:ind w:left="5040" w:hanging="360"/>
      </w:pPr>
      <w:rPr>
        <w:rFonts w:ascii="Symbol" w:hAnsi="Symbol" w:hint="default"/>
      </w:rPr>
    </w:lvl>
    <w:lvl w:ilvl="7" w:tplc="F2C4E326">
      <w:start w:val="1"/>
      <w:numFmt w:val="bullet"/>
      <w:lvlText w:val="o"/>
      <w:lvlJc w:val="left"/>
      <w:pPr>
        <w:ind w:left="5760" w:hanging="360"/>
      </w:pPr>
      <w:rPr>
        <w:rFonts w:ascii="Courier New" w:hAnsi="Courier New" w:hint="default"/>
      </w:rPr>
    </w:lvl>
    <w:lvl w:ilvl="8" w:tplc="D8A4A3DA">
      <w:start w:val="1"/>
      <w:numFmt w:val="bullet"/>
      <w:lvlText w:val=""/>
      <w:lvlJc w:val="left"/>
      <w:pPr>
        <w:ind w:left="6480" w:hanging="360"/>
      </w:pPr>
      <w:rPr>
        <w:rFonts w:ascii="Wingdings" w:hAnsi="Wingdings" w:hint="default"/>
      </w:rPr>
    </w:lvl>
  </w:abstractNum>
  <w:abstractNum w:abstractNumId="17"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54E9A"/>
    <w:multiLevelType w:val="hybridMultilevel"/>
    <w:tmpl w:val="78943E4C"/>
    <w:lvl w:ilvl="0" w:tplc="51848D36">
      <w:start w:val="1"/>
      <w:numFmt w:val="decimal"/>
      <w:lvlText w:val="%1."/>
      <w:lvlJc w:val="left"/>
      <w:pPr>
        <w:ind w:left="720" w:hanging="360"/>
      </w:pPr>
    </w:lvl>
    <w:lvl w:ilvl="1" w:tplc="CDE6704E">
      <w:start w:val="1"/>
      <w:numFmt w:val="lowerLetter"/>
      <w:lvlText w:val="%2."/>
      <w:lvlJc w:val="left"/>
      <w:pPr>
        <w:ind w:left="1440" w:hanging="360"/>
      </w:pPr>
    </w:lvl>
    <w:lvl w:ilvl="2" w:tplc="E60ABF92">
      <w:start w:val="1"/>
      <w:numFmt w:val="lowerRoman"/>
      <w:lvlText w:val="%3."/>
      <w:lvlJc w:val="right"/>
      <w:pPr>
        <w:ind w:left="2160" w:hanging="180"/>
      </w:pPr>
    </w:lvl>
    <w:lvl w:ilvl="3" w:tplc="C9987B12">
      <w:start w:val="1"/>
      <w:numFmt w:val="decimal"/>
      <w:lvlText w:val="%4."/>
      <w:lvlJc w:val="left"/>
      <w:pPr>
        <w:ind w:left="2880" w:hanging="360"/>
      </w:pPr>
    </w:lvl>
    <w:lvl w:ilvl="4" w:tplc="BFD85F1E">
      <w:start w:val="1"/>
      <w:numFmt w:val="lowerLetter"/>
      <w:lvlText w:val="%5."/>
      <w:lvlJc w:val="left"/>
      <w:pPr>
        <w:ind w:left="3600" w:hanging="360"/>
      </w:pPr>
    </w:lvl>
    <w:lvl w:ilvl="5" w:tplc="8970023A">
      <w:start w:val="1"/>
      <w:numFmt w:val="lowerRoman"/>
      <w:lvlText w:val="%6."/>
      <w:lvlJc w:val="right"/>
      <w:pPr>
        <w:ind w:left="4320" w:hanging="180"/>
      </w:pPr>
    </w:lvl>
    <w:lvl w:ilvl="6" w:tplc="E8C08E80">
      <w:start w:val="1"/>
      <w:numFmt w:val="decimal"/>
      <w:lvlText w:val="%7."/>
      <w:lvlJc w:val="left"/>
      <w:pPr>
        <w:ind w:left="5040" w:hanging="360"/>
      </w:pPr>
    </w:lvl>
    <w:lvl w:ilvl="7" w:tplc="29BEC12A">
      <w:start w:val="1"/>
      <w:numFmt w:val="lowerLetter"/>
      <w:lvlText w:val="%8."/>
      <w:lvlJc w:val="left"/>
      <w:pPr>
        <w:ind w:left="5760" w:hanging="360"/>
      </w:pPr>
    </w:lvl>
    <w:lvl w:ilvl="8" w:tplc="204EBC42">
      <w:start w:val="1"/>
      <w:numFmt w:val="lowerRoman"/>
      <w:lvlText w:val="%9."/>
      <w:lvlJc w:val="right"/>
      <w:pPr>
        <w:ind w:left="6480" w:hanging="180"/>
      </w:pPr>
    </w:lvl>
  </w:abstractNum>
  <w:abstractNum w:abstractNumId="22"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10"/>
  </w:num>
  <w:num w:numId="2" w16cid:durableId="762186708">
    <w:abstractNumId w:val="20"/>
  </w:num>
  <w:num w:numId="3" w16cid:durableId="1646734026">
    <w:abstractNumId w:val="9"/>
  </w:num>
  <w:num w:numId="4" w16cid:durableId="1199271187">
    <w:abstractNumId w:val="13"/>
  </w:num>
  <w:num w:numId="5" w16cid:durableId="681317537">
    <w:abstractNumId w:val="4"/>
  </w:num>
  <w:num w:numId="6" w16cid:durableId="1381707578">
    <w:abstractNumId w:val="1"/>
  </w:num>
  <w:num w:numId="7" w16cid:durableId="1098794647">
    <w:abstractNumId w:val="0"/>
  </w:num>
  <w:num w:numId="8" w16cid:durableId="1471090044">
    <w:abstractNumId w:val="7"/>
  </w:num>
  <w:num w:numId="9" w16cid:durableId="1618444258">
    <w:abstractNumId w:val="22"/>
  </w:num>
  <w:num w:numId="10" w16cid:durableId="803431336">
    <w:abstractNumId w:val="8"/>
  </w:num>
  <w:num w:numId="11" w16cid:durableId="1804107474">
    <w:abstractNumId w:val="15"/>
  </w:num>
  <w:num w:numId="12" w16cid:durableId="821509815">
    <w:abstractNumId w:val="18"/>
  </w:num>
  <w:num w:numId="13" w16cid:durableId="1251425427">
    <w:abstractNumId w:val="11"/>
  </w:num>
  <w:num w:numId="14" w16cid:durableId="70465832">
    <w:abstractNumId w:val="14"/>
  </w:num>
  <w:num w:numId="15" w16cid:durableId="1239251066">
    <w:abstractNumId w:val="12"/>
  </w:num>
  <w:num w:numId="16" w16cid:durableId="341590028">
    <w:abstractNumId w:val="3"/>
  </w:num>
  <w:num w:numId="17" w16cid:durableId="908684904">
    <w:abstractNumId w:val="19"/>
  </w:num>
  <w:num w:numId="18" w16cid:durableId="1312096729">
    <w:abstractNumId w:val="6"/>
  </w:num>
  <w:num w:numId="19" w16cid:durableId="623849512">
    <w:abstractNumId w:val="2"/>
  </w:num>
  <w:num w:numId="20" w16cid:durableId="350842595">
    <w:abstractNumId w:val="17"/>
  </w:num>
  <w:num w:numId="21" w16cid:durableId="385840170">
    <w:abstractNumId w:val="21"/>
  </w:num>
  <w:num w:numId="22" w16cid:durableId="1344820212">
    <w:abstractNumId w:val="16"/>
  </w:num>
  <w:num w:numId="23" w16cid:durableId="2130858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5468D"/>
    <w:rsid w:val="000B6559"/>
    <w:rsid w:val="000D1CF0"/>
    <w:rsid w:val="000D2F88"/>
    <w:rsid w:val="000E2928"/>
    <w:rsid w:val="0015099B"/>
    <w:rsid w:val="00164791"/>
    <w:rsid w:val="001825F9"/>
    <w:rsid w:val="00186596"/>
    <w:rsid w:val="00197F86"/>
    <w:rsid w:val="001D6D5B"/>
    <w:rsid w:val="001E5A42"/>
    <w:rsid w:val="001F5073"/>
    <w:rsid w:val="00214171"/>
    <w:rsid w:val="0024067D"/>
    <w:rsid w:val="00290C8F"/>
    <w:rsid w:val="002C5E17"/>
    <w:rsid w:val="002F2305"/>
    <w:rsid w:val="00321E11"/>
    <w:rsid w:val="003A5E44"/>
    <w:rsid w:val="003C1141"/>
    <w:rsid w:val="003E5393"/>
    <w:rsid w:val="003F022A"/>
    <w:rsid w:val="00413D9A"/>
    <w:rsid w:val="004A0AEC"/>
    <w:rsid w:val="004B1E52"/>
    <w:rsid w:val="004C4A6E"/>
    <w:rsid w:val="004E027A"/>
    <w:rsid w:val="004E26E5"/>
    <w:rsid w:val="00513028"/>
    <w:rsid w:val="005475EE"/>
    <w:rsid w:val="00554AC4"/>
    <w:rsid w:val="005E53D6"/>
    <w:rsid w:val="006547AF"/>
    <w:rsid w:val="006732EA"/>
    <w:rsid w:val="00681FDA"/>
    <w:rsid w:val="006C6B86"/>
    <w:rsid w:val="007070A8"/>
    <w:rsid w:val="00716874"/>
    <w:rsid w:val="007611B0"/>
    <w:rsid w:val="0079253C"/>
    <w:rsid w:val="007A5626"/>
    <w:rsid w:val="007C0327"/>
    <w:rsid w:val="007C351A"/>
    <w:rsid w:val="0083193A"/>
    <w:rsid w:val="008336CC"/>
    <w:rsid w:val="00897125"/>
    <w:rsid w:val="008D5B84"/>
    <w:rsid w:val="008E5521"/>
    <w:rsid w:val="008E7386"/>
    <w:rsid w:val="0096649E"/>
    <w:rsid w:val="00993447"/>
    <w:rsid w:val="009B09D3"/>
    <w:rsid w:val="009F3536"/>
    <w:rsid w:val="00A14492"/>
    <w:rsid w:val="00A83757"/>
    <w:rsid w:val="00A94B74"/>
    <w:rsid w:val="00AA4094"/>
    <w:rsid w:val="00AC7937"/>
    <w:rsid w:val="00AD26F8"/>
    <w:rsid w:val="00AE0515"/>
    <w:rsid w:val="00B26C09"/>
    <w:rsid w:val="00B44397"/>
    <w:rsid w:val="00B87930"/>
    <w:rsid w:val="00BB45AE"/>
    <w:rsid w:val="00BC6819"/>
    <w:rsid w:val="00C15BD0"/>
    <w:rsid w:val="00C24A8E"/>
    <w:rsid w:val="00C421A9"/>
    <w:rsid w:val="00C42626"/>
    <w:rsid w:val="00C43DBE"/>
    <w:rsid w:val="00C676B8"/>
    <w:rsid w:val="00C7386E"/>
    <w:rsid w:val="00C76F63"/>
    <w:rsid w:val="00C91426"/>
    <w:rsid w:val="00CC1370"/>
    <w:rsid w:val="00CC3860"/>
    <w:rsid w:val="00CF4C90"/>
    <w:rsid w:val="00D81782"/>
    <w:rsid w:val="00DB68C1"/>
    <w:rsid w:val="00DD783A"/>
    <w:rsid w:val="00DF3412"/>
    <w:rsid w:val="00E132E0"/>
    <w:rsid w:val="00E341B8"/>
    <w:rsid w:val="00E6297C"/>
    <w:rsid w:val="00EC30C0"/>
    <w:rsid w:val="00F246D2"/>
    <w:rsid w:val="00F44CD0"/>
    <w:rsid w:val="00FB3779"/>
    <w:rsid w:val="00FD4921"/>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NCHI@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H.DON@mas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k.smith@umassmemorial.org" TargetMode="External"/><Relationship Id="rId5" Type="http://schemas.openxmlformats.org/officeDocument/2006/relationships/footnotes" Target="footnotes.xml"/><Relationship Id="rId15" Type="http://schemas.openxmlformats.org/officeDocument/2006/relationships/hyperlink" Target="mailto:DONCHI@Mass.go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grants@h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67</cp:revision>
  <dcterms:created xsi:type="dcterms:W3CDTF">2023-05-18T13:56:00Z</dcterms:created>
  <dcterms:modified xsi:type="dcterms:W3CDTF">2025-12-22T15:41:00Z</dcterms:modified>
</cp:coreProperties>
</file>