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0DC2" w14:textId="77777777" w:rsidR="00FC217D" w:rsidRDefault="00FC217D" w:rsidP="00FC217D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4F0D2B94" wp14:editId="474DB7FD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636FC7C8" w14:textId="77777777" w:rsidR="00FC217D" w:rsidRDefault="00FC217D" w:rsidP="00FC217D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52502AAF" w14:textId="77777777" w:rsidR="00FC217D" w:rsidRDefault="00FC217D" w:rsidP="00FC217D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68824C0C" w14:textId="77777777" w:rsidR="00FC217D" w:rsidRDefault="00FC217D" w:rsidP="00FC217D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69AC4558" w14:textId="77777777" w:rsidR="00FC217D" w:rsidRDefault="00FC217D" w:rsidP="00FC217D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FC217D" w:rsidSect="00CF7736">
          <w:headerReference w:type="even" r:id="rId6"/>
          <w:footerReference w:type="default" r:id="rId7"/>
          <w:headerReference w:type="first" r:id="rId8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10ED2AC5" w14:textId="77777777" w:rsidR="00FC217D" w:rsidRDefault="00FC217D" w:rsidP="00FC217D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758E8D52" w14:textId="77777777" w:rsidR="00FC217D" w:rsidRPr="00554081" w:rsidRDefault="00FC217D" w:rsidP="00FC217D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78D0871C" w14:textId="77777777" w:rsidR="00FC217D" w:rsidRDefault="00FC217D" w:rsidP="00FC217D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72DC34FB" w14:textId="77777777" w:rsidR="00FC217D" w:rsidRDefault="00FC217D" w:rsidP="00FC217D">
      <w:pPr>
        <w:ind w:right="2340"/>
        <w:contextualSpacing/>
        <w:jc w:val="center"/>
        <w:rPr>
          <w:sz w:val="16"/>
        </w:rPr>
      </w:pPr>
    </w:p>
    <w:p w14:paraId="04E96C1C" w14:textId="77777777" w:rsidR="00FC217D" w:rsidRPr="00554081" w:rsidRDefault="00FC217D" w:rsidP="00FC217D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09E52972" w14:textId="77777777" w:rsidR="00FC217D" w:rsidRPr="00624404" w:rsidRDefault="00FC217D" w:rsidP="00FC217D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3773A187" w14:textId="77777777" w:rsidR="00FC217D" w:rsidRDefault="00FC217D" w:rsidP="00FC217D">
      <w:pPr>
        <w:pStyle w:val="Weld"/>
        <w:framePr w:hSpace="0" w:wrap="auto" w:vAnchor="margin" w:hAnchor="text" w:xAlign="left" w:yAlign="inline"/>
        <w:ind w:right="2340"/>
        <w:jc w:val="left"/>
      </w:pPr>
    </w:p>
    <w:p w14:paraId="6A088AD6" w14:textId="77777777" w:rsidR="00FC217D" w:rsidRDefault="00FC217D" w:rsidP="00FC217D">
      <w:pPr>
        <w:pStyle w:val="Weld"/>
        <w:framePr w:hSpace="0" w:wrap="auto" w:vAnchor="margin" w:hAnchor="text" w:xAlign="left" w:yAlign="inline"/>
        <w:ind w:right="2340"/>
        <w:jc w:val="left"/>
      </w:pPr>
    </w:p>
    <w:p w14:paraId="64C328EE" w14:textId="77777777" w:rsidR="00FC217D" w:rsidRDefault="00FC217D" w:rsidP="00FC217D">
      <w:pPr>
        <w:pStyle w:val="Weld"/>
        <w:framePr w:hSpace="0" w:wrap="auto" w:vAnchor="margin" w:hAnchor="text" w:xAlign="left" w:yAlign="inline"/>
        <w:ind w:right="2340"/>
        <w:jc w:val="left"/>
      </w:pPr>
    </w:p>
    <w:p w14:paraId="2E060F99" w14:textId="77777777" w:rsidR="00FC217D" w:rsidRDefault="00FC217D" w:rsidP="00FC217D">
      <w:pPr>
        <w:pStyle w:val="Weld"/>
        <w:framePr w:hSpace="0" w:wrap="auto" w:vAnchor="margin" w:hAnchor="text" w:xAlign="left" w:yAlign="inline"/>
        <w:ind w:left="1980"/>
        <w:rPr>
          <w:sz w:val="18"/>
          <w:szCs w:val="22"/>
        </w:rPr>
      </w:pPr>
      <w:r w:rsidRPr="00D77E56">
        <w:rPr>
          <w:sz w:val="18"/>
          <w:szCs w:val="22"/>
        </w:rPr>
        <w:t>KATHLEEN E. WALSH</w:t>
      </w:r>
    </w:p>
    <w:p w14:paraId="399131F4" w14:textId="77777777" w:rsidR="00FC217D" w:rsidRDefault="00FC217D" w:rsidP="00FC217D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12364186" w14:textId="77777777" w:rsidR="00FC217D" w:rsidRDefault="00FC217D" w:rsidP="00FC217D">
      <w:pPr>
        <w:pStyle w:val="Weld"/>
        <w:framePr w:hSpace="0" w:wrap="auto" w:vAnchor="margin" w:hAnchor="text" w:xAlign="left" w:yAlign="inline"/>
        <w:ind w:left="1980"/>
      </w:pPr>
    </w:p>
    <w:p w14:paraId="467C6A07" w14:textId="77777777" w:rsidR="00FC217D" w:rsidRPr="00D77E56" w:rsidRDefault="00FC217D" w:rsidP="00FC217D">
      <w:pPr>
        <w:pStyle w:val="Weld"/>
        <w:framePr w:hSpace="0" w:wrap="auto" w:vAnchor="margin" w:hAnchor="text" w:xAlign="left" w:yAlign="inline"/>
        <w:ind w:left="1890"/>
      </w:pPr>
      <w:r w:rsidRPr="00D77E56">
        <w:t>ROBERT GOLDSTEIN, MD, PhD</w:t>
      </w:r>
    </w:p>
    <w:p w14:paraId="2DFC58CC" w14:textId="77777777" w:rsidR="00FC217D" w:rsidRPr="00C2477D" w:rsidRDefault="00FC217D" w:rsidP="00FC217D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44E7642C" w14:textId="77777777" w:rsidR="00FC217D" w:rsidRDefault="00FC217D" w:rsidP="00FC217D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7BFAD28F" w14:textId="77777777" w:rsidR="00FC217D" w:rsidRDefault="00FC217D" w:rsidP="00FC217D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606CAB56" w14:textId="77777777" w:rsidR="00FC217D" w:rsidRPr="00A763BA" w:rsidRDefault="00FC217D" w:rsidP="00FC217D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9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43F5F7F4" w14:textId="77777777" w:rsidR="00FC217D" w:rsidRDefault="00FC217D" w:rsidP="00FC217D">
      <w:pPr>
        <w:ind w:right="2340"/>
        <w:sectPr w:rsidR="00FC217D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E363331" w14:textId="77777777" w:rsidR="00FC217D" w:rsidRDefault="00FC217D" w:rsidP="00FC217D">
      <w:pPr>
        <w:rPr>
          <w:szCs w:val="24"/>
        </w:rPr>
      </w:pPr>
    </w:p>
    <w:p w14:paraId="3777BEAF" w14:textId="77777777" w:rsidR="00470B43" w:rsidRDefault="00470B43" w:rsidP="00470B43">
      <w:r w:rsidRPr="003D1C44">
        <w:t>June 2</w:t>
      </w:r>
      <w:r>
        <w:t>3</w:t>
      </w:r>
      <w:r w:rsidRPr="003D1C44">
        <w:t>,</w:t>
      </w:r>
      <w:r>
        <w:t xml:space="preserve"> 2023</w:t>
      </w:r>
    </w:p>
    <w:p w14:paraId="07DB0ACE" w14:textId="77777777" w:rsidR="00470B43" w:rsidRDefault="00470B43" w:rsidP="00470B43"/>
    <w:p w14:paraId="793A4265" w14:textId="77777777" w:rsidR="00470B43" w:rsidRDefault="00470B43" w:rsidP="00470B43">
      <w:r>
        <w:t xml:space="preserve">Via email – </w:t>
      </w:r>
      <w:hyperlink r:id="rId10" w:history="1">
        <w:r w:rsidRPr="000858B1">
          <w:rPr>
            <w:rStyle w:val="Hyperlink"/>
          </w:rPr>
          <w:t>Jon.Santiago@mass.gov</w:t>
        </w:r>
      </w:hyperlink>
      <w:r>
        <w:t xml:space="preserve"> </w:t>
      </w:r>
    </w:p>
    <w:p w14:paraId="4B121A6C" w14:textId="77777777" w:rsidR="00470B43" w:rsidRDefault="00470B43" w:rsidP="00470B43"/>
    <w:p w14:paraId="108C7349" w14:textId="77777777" w:rsidR="00470B43" w:rsidRDefault="00470B43" w:rsidP="00470B43">
      <w:r>
        <w:t>Jon Santiago, MD, MPH</w:t>
      </w:r>
    </w:p>
    <w:p w14:paraId="772F6705" w14:textId="77777777" w:rsidR="00470B43" w:rsidRDefault="00470B43" w:rsidP="00470B43">
      <w:r>
        <w:t>Secretary</w:t>
      </w:r>
    </w:p>
    <w:p w14:paraId="70903129" w14:textId="77777777" w:rsidR="00470B43" w:rsidRPr="003D1C44" w:rsidRDefault="00470B43" w:rsidP="00470B43">
      <w:r w:rsidRPr="003D1C44">
        <w:t>Executive Office of Veterans’ Services</w:t>
      </w:r>
    </w:p>
    <w:p w14:paraId="66BAE5F5" w14:textId="77777777" w:rsidR="00470B43" w:rsidRPr="003D1C44" w:rsidRDefault="00470B43" w:rsidP="00470B43">
      <w:r w:rsidRPr="003D1C44">
        <w:t>600 Washington St</w:t>
      </w:r>
      <w:r>
        <w:t>.</w:t>
      </w:r>
      <w:r w:rsidRPr="003D1C44">
        <w:t xml:space="preserve"> 7th floor</w:t>
      </w:r>
    </w:p>
    <w:p w14:paraId="2B14CFC8" w14:textId="77777777" w:rsidR="00470B43" w:rsidRDefault="00470B43" w:rsidP="00470B43">
      <w:r w:rsidRPr="003D1C44">
        <w:t>Boston, MA 02111</w:t>
      </w:r>
    </w:p>
    <w:p w14:paraId="5873F516" w14:textId="77777777" w:rsidR="00470B43" w:rsidRDefault="00470B43" w:rsidP="00470B43"/>
    <w:p w14:paraId="738E2721" w14:textId="77777777" w:rsidR="00470B43" w:rsidRDefault="00470B43" w:rsidP="00470B43">
      <w:r>
        <w:t>Re: Notice of Final Action - Veterans’ Home at Chelsea, Veterans’ Home at Holyoke</w:t>
      </w:r>
    </w:p>
    <w:p w14:paraId="2F800A89" w14:textId="77777777" w:rsidR="00470B43" w:rsidRDefault="00470B43" w:rsidP="00470B43"/>
    <w:p w14:paraId="5E20F2D3" w14:textId="77777777" w:rsidR="00470B43" w:rsidRDefault="00470B43" w:rsidP="00470B43">
      <w:r>
        <w:t xml:space="preserve">Dear Secretary Santiago, </w:t>
      </w:r>
    </w:p>
    <w:p w14:paraId="31106650" w14:textId="77777777" w:rsidR="00470B43" w:rsidRDefault="00470B43" w:rsidP="00470B43">
      <w:r>
        <w:t>This shall serve as notification that based on the information provided by the Applicant and staff analysis, and pursuant to M.G.L. c. 111, § 25C and the regulatory provisions of 105 CMR</w:t>
      </w:r>
    </w:p>
    <w:p w14:paraId="5D31E6D9" w14:textId="77777777" w:rsidR="00470B43" w:rsidRDefault="00470B43" w:rsidP="00470B43">
      <w:r>
        <w:t xml:space="preserve">100.000 et seq, including 105 CMR </w:t>
      </w:r>
      <w:r w:rsidRPr="000B11B8">
        <w:t>100.630 (B),</w:t>
      </w:r>
      <w:r>
        <w:t xml:space="preserve"> I hereby approve the application for</w:t>
      </w:r>
    </w:p>
    <w:p w14:paraId="5E72003A" w14:textId="77777777" w:rsidR="00470B43" w:rsidRDefault="00470B43" w:rsidP="00470B43">
      <w:r>
        <w:t>Determination of Need (</w:t>
      </w:r>
      <w:proofErr w:type="spellStart"/>
      <w:r>
        <w:t>DoN</w:t>
      </w:r>
      <w:proofErr w:type="spellEnd"/>
      <w:r>
        <w:t>) filed by the Veterans’ Home at Chelsea and the Veterans’ Home at Holyoke (Commonwealth’s Veterans’ Homes or Applicant) for an increase in</w:t>
      </w:r>
      <w:r w:rsidRPr="001151AC">
        <w:t xml:space="preserve"> Long Term Care (LTC) beds equal to the number of beds at the existing facilities</w:t>
      </w:r>
      <w:r>
        <w:t>.</w:t>
      </w:r>
    </w:p>
    <w:p w14:paraId="567F9267" w14:textId="77777777" w:rsidR="00470B43" w:rsidRDefault="00470B43" w:rsidP="00470B43">
      <w:pPr>
        <w:pStyle w:val="ListParagraph"/>
        <w:numPr>
          <w:ilvl w:val="0"/>
          <w:numId w:val="2"/>
        </w:numPr>
      </w:pPr>
      <w:r w:rsidRPr="00EF49A3">
        <w:rPr>
          <w:i/>
          <w:iCs/>
        </w:rPr>
        <w:t xml:space="preserve">Veterans’ Home at Chelsea: </w:t>
      </w:r>
      <w:r>
        <w:t xml:space="preserve">A total of 154 licensed beds, organized into 11 units, with 14 single/private resident rooms and </w:t>
      </w:r>
      <w:r w:rsidRPr="006A6ED8">
        <w:t>70 double rooms.</w:t>
      </w:r>
      <w:r>
        <w:t xml:space="preserve"> </w:t>
      </w:r>
    </w:p>
    <w:p w14:paraId="77205161" w14:textId="77777777" w:rsidR="00470B43" w:rsidRDefault="00470B43" w:rsidP="00470B43">
      <w:pPr>
        <w:pStyle w:val="ListParagraph"/>
        <w:numPr>
          <w:ilvl w:val="0"/>
          <w:numId w:val="2"/>
        </w:numPr>
      </w:pPr>
      <w:r w:rsidRPr="00EF49A3">
        <w:rPr>
          <w:i/>
          <w:iCs/>
        </w:rPr>
        <w:t>Veterans’ Home at Holyoke</w:t>
      </w:r>
      <w:r>
        <w:rPr>
          <w:i/>
          <w:iCs/>
        </w:rPr>
        <w:t>:</w:t>
      </w:r>
      <w:r>
        <w:t xml:space="preserve"> A total of 128 licensed beds. </w:t>
      </w:r>
    </w:p>
    <w:p w14:paraId="2DDEFFE2" w14:textId="77777777" w:rsidR="00470B43" w:rsidRDefault="00470B43" w:rsidP="00470B43"/>
    <w:p w14:paraId="5F0B4E80" w14:textId="77777777" w:rsidR="00470B43" w:rsidRDefault="00470B43" w:rsidP="00470B43">
      <w:r w:rsidRPr="00EF49A3">
        <w:t>This Final Action incorporates by reference the project description that was provided by the Applicant</w:t>
      </w:r>
      <w:r>
        <w:t xml:space="preserve"> and the staff memorandum</w:t>
      </w:r>
      <w:r w:rsidRPr="00EF49A3">
        <w:t>.</w:t>
      </w:r>
    </w:p>
    <w:p w14:paraId="4FCF76B1" w14:textId="77777777" w:rsidR="00470B43" w:rsidRDefault="00470B43" w:rsidP="00470B43"/>
    <w:p w14:paraId="6509373F" w14:textId="77777777" w:rsidR="00470B43" w:rsidRDefault="00470B43" w:rsidP="00470B43"/>
    <w:p w14:paraId="2D9948A6" w14:textId="44829BEA" w:rsidR="00470B43" w:rsidRDefault="00470B43" w:rsidP="00470B43">
      <w:r>
        <w:t>Sincerely,</w:t>
      </w:r>
    </w:p>
    <w:p w14:paraId="6C84DD32" w14:textId="72B6BDBC" w:rsidR="00470B43" w:rsidRDefault="00470B43" w:rsidP="00470B43"/>
    <w:p w14:paraId="29932024" w14:textId="6FDAB435" w:rsidR="00470B43" w:rsidRDefault="00470B43" w:rsidP="00470B43">
      <w:r>
        <w:t>[signature on file]</w:t>
      </w:r>
    </w:p>
    <w:p w14:paraId="0C44E0F2" w14:textId="77777777" w:rsidR="00470B43" w:rsidRDefault="00470B43" w:rsidP="00470B43"/>
    <w:p w14:paraId="49764B8D" w14:textId="77777777" w:rsidR="00470B43" w:rsidRDefault="00470B43" w:rsidP="00470B43"/>
    <w:p w14:paraId="5A3D3D6F" w14:textId="77777777" w:rsidR="00470B43" w:rsidRDefault="00470B43" w:rsidP="00470B43">
      <w:r>
        <w:t>Robert Goldstein, MD, PhD</w:t>
      </w:r>
    </w:p>
    <w:p w14:paraId="7A6AA3A9" w14:textId="77777777" w:rsidR="00470B43" w:rsidRDefault="00470B43" w:rsidP="00470B43">
      <w:r>
        <w:t>Commissioner, MA Department of Public Health</w:t>
      </w:r>
    </w:p>
    <w:p w14:paraId="68159084" w14:textId="77777777" w:rsidR="00470B43" w:rsidRDefault="00470B43" w:rsidP="00470B43"/>
    <w:p w14:paraId="1E55F730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cc: </w:t>
      </w:r>
    </w:p>
    <w:p w14:paraId="62F8C11B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Dennis Renaud, Director Determination of Need Program </w:t>
      </w:r>
    </w:p>
    <w:p w14:paraId="7C150C63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Elizabeth Kelley, Director Bureau of Health Care Safety and Quality </w:t>
      </w:r>
    </w:p>
    <w:p w14:paraId="4E891B2A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Rebecca Kaye, General Counsel’s Office </w:t>
      </w:r>
    </w:p>
    <w:p w14:paraId="7CE3F4FE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Stephen Davis, Director, Division of Health Care Facility Licensure and Certification </w:t>
      </w:r>
    </w:p>
    <w:p w14:paraId="503AB334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Judy Bernice, Division of Health Care Facility Licensure and Certification </w:t>
      </w:r>
    </w:p>
    <w:p w14:paraId="76F9A056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Daniel Gent, </w:t>
      </w:r>
      <w:r>
        <w:rPr>
          <w:sz w:val="20"/>
        </w:rPr>
        <w:t xml:space="preserve">Division of </w:t>
      </w:r>
      <w:r w:rsidRPr="00EF49A3">
        <w:rPr>
          <w:sz w:val="20"/>
        </w:rPr>
        <w:t xml:space="preserve">Health Care Facility Licensure and Certification </w:t>
      </w:r>
    </w:p>
    <w:p w14:paraId="61890A43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Samuel Louis, Office of Health Equity </w:t>
      </w:r>
    </w:p>
    <w:p w14:paraId="615B9277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Jennica Allen, Division of Community Health Planning and Engagement </w:t>
      </w:r>
    </w:p>
    <w:p w14:paraId="110ECF2D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Elizabeth Maffei, Division of Community Health Planning and Engagement </w:t>
      </w:r>
    </w:p>
    <w:p w14:paraId="002EB310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Katelyn Teague, Division of Community Health Planning and Engagement </w:t>
      </w:r>
    </w:p>
    <w:p w14:paraId="1A982BC1" w14:textId="77777777" w:rsidR="00470B43" w:rsidRPr="00EF49A3" w:rsidRDefault="00470B43" w:rsidP="00470B43">
      <w:pPr>
        <w:rPr>
          <w:sz w:val="20"/>
        </w:rPr>
      </w:pPr>
      <w:r>
        <w:rPr>
          <w:sz w:val="20"/>
        </w:rPr>
        <w:t>Emily Williamson</w:t>
      </w:r>
      <w:r w:rsidRPr="00EF49A3">
        <w:rPr>
          <w:sz w:val="20"/>
        </w:rPr>
        <w:t xml:space="preserve">, Center for Health Information </w:t>
      </w:r>
      <w:r>
        <w:rPr>
          <w:sz w:val="20"/>
        </w:rPr>
        <w:t xml:space="preserve">and </w:t>
      </w:r>
      <w:r w:rsidRPr="00EF49A3">
        <w:rPr>
          <w:sz w:val="20"/>
        </w:rPr>
        <w:t xml:space="preserve">Analysis </w:t>
      </w:r>
    </w:p>
    <w:p w14:paraId="5AD354C5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Katherine Mills, Health Policy Commission </w:t>
      </w:r>
    </w:p>
    <w:p w14:paraId="7867E09C" w14:textId="77777777" w:rsidR="00470B43" w:rsidRDefault="00470B43" w:rsidP="00470B43">
      <w:pPr>
        <w:rPr>
          <w:sz w:val="20"/>
        </w:rPr>
      </w:pPr>
      <w:r w:rsidRPr="00EF49A3">
        <w:rPr>
          <w:sz w:val="20"/>
        </w:rPr>
        <w:t xml:space="preserve">Eric Gold, Office of the Attorney General </w:t>
      </w:r>
    </w:p>
    <w:p w14:paraId="4420CB4A" w14:textId="77777777" w:rsidR="00470B43" w:rsidRPr="00EF49A3" w:rsidRDefault="00470B43" w:rsidP="00470B43">
      <w:pPr>
        <w:rPr>
          <w:sz w:val="20"/>
        </w:rPr>
      </w:pPr>
      <w:r w:rsidRPr="00FD537F">
        <w:rPr>
          <w:sz w:val="20"/>
        </w:rPr>
        <w:t>Elizabeth Chen, Secretary, Executive Office of Elder Affairs</w:t>
      </w:r>
    </w:p>
    <w:p w14:paraId="3923B139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Tomaso Calicchio, Executive Office of </w:t>
      </w:r>
      <w:proofErr w:type="gramStart"/>
      <w:r w:rsidRPr="00EF49A3">
        <w:rPr>
          <w:sz w:val="20"/>
        </w:rPr>
        <w:t>Health</w:t>
      </w:r>
      <w:proofErr w:type="gramEnd"/>
      <w:r w:rsidRPr="00EF49A3">
        <w:rPr>
          <w:sz w:val="20"/>
        </w:rPr>
        <w:t xml:space="preserve"> and Human Services </w:t>
      </w:r>
    </w:p>
    <w:p w14:paraId="29529B4B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Hai Nguyen, Executive Office of </w:t>
      </w:r>
      <w:proofErr w:type="gramStart"/>
      <w:r w:rsidRPr="00EF49A3">
        <w:rPr>
          <w:sz w:val="20"/>
        </w:rPr>
        <w:t>Health</w:t>
      </w:r>
      <w:proofErr w:type="gramEnd"/>
      <w:r w:rsidRPr="00EF49A3">
        <w:rPr>
          <w:sz w:val="20"/>
        </w:rPr>
        <w:t xml:space="preserve"> and Human Services </w:t>
      </w:r>
    </w:p>
    <w:p w14:paraId="611C5FF0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Karina Mejias, Executive Office of </w:t>
      </w:r>
      <w:proofErr w:type="gramStart"/>
      <w:r w:rsidRPr="00EF49A3">
        <w:rPr>
          <w:sz w:val="20"/>
        </w:rPr>
        <w:t>Health</w:t>
      </w:r>
      <w:proofErr w:type="gramEnd"/>
      <w:r w:rsidRPr="00EF49A3">
        <w:rPr>
          <w:sz w:val="20"/>
        </w:rPr>
        <w:t xml:space="preserve"> and Human Services </w:t>
      </w:r>
    </w:p>
    <w:p w14:paraId="18997645" w14:textId="77777777" w:rsidR="00470B43" w:rsidRPr="00EF49A3" w:rsidRDefault="00470B43" w:rsidP="00470B43">
      <w:pPr>
        <w:rPr>
          <w:sz w:val="20"/>
        </w:rPr>
      </w:pPr>
      <w:r w:rsidRPr="00EF49A3">
        <w:rPr>
          <w:sz w:val="20"/>
        </w:rPr>
        <w:t xml:space="preserve">Priscilla Portis, Executive Office of </w:t>
      </w:r>
      <w:proofErr w:type="gramStart"/>
      <w:r w:rsidRPr="00EF49A3">
        <w:rPr>
          <w:sz w:val="20"/>
        </w:rPr>
        <w:t>Health</w:t>
      </w:r>
      <w:proofErr w:type="gramEnd"/>
      <w:r w:rsidRPr="00EF49A3">
        <w:rPr>
          <w:sz w:val="20"/>
        </w:rPr>
        <w:t xml:space="preserve"> and Human Services</w:t>
      </w:r>
    </w:p>
    <w:p w14:paraId="7FDACBAE" w14:textId="77777777" w:rsidR="00FC217D" w:rsidRDefault="00FC217D"/>
    <w:sectPr w:rsidR="00FC217D" w:rsidSect="005A6BF8">
      <w:type w:val="continuous"/>
      <w:pgSz w:w="12240" w:h="15840"/>
      <w:pgMar w:top="1440" w:right="1440" w:bottom="540" w:left="1440" w:header="540" w:footer="22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04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FA8DF" w14:textId="77777777" w:rsidR="00FB42D7" w:rsidRDefault="00470B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E4116" w14:textId="77777777" w:rsidR="00FB42D7" w:rsidRDefault="00470B4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43AB" w14:textId="77777777" w:rsidR="005A6BF8" w:rsidRDefault="00470B43">
    <w:pPr>
      <w:pStyle w:val="Header"/>
    </w:pPr>
    <w:r>
      <w:rPr>
        <w:noProof/>
      </w:rPr>
      <w:pict w14:anchorId="0B983B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E535" w14:textId="77777777" w:rsidR="005A6BF8" w:rsidRDefault="00470B43">
    <w:pPr>
      <w:pStyle w:val="Header"/>
    </w:pPr>
    <w:r>
      <w:rPr>
        <w:noProof/>
      </w:rPr>
      <w:pict w14:anchorId="6A41C2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65FEE"/>
    <w:multiLevelType w:val="hybridMultilevel"/>
    <w:tmpl w:val="DED8A31C"/>
    <w:lvl w:ilvl="0" w:tplc="121ACAE0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3C08D7E">
      <w:start w:val="1"/>
      <w:numFmt w:val="lowerLetter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262F32C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73446718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95F0A022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DC9AB166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4B1E2ED8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686EA994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0576D272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B67168"/>
    <w:multiLevelType w:val="hybridMultilevel"/>
    <w:tmpl w:val="4558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20717">
    <w:abstractNumId w:val="0"/>
  </w:num>
  <w:num w:numId="2" w16cid:durableId="185888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7D"/>
    <w:rsid w:val="00470B43"/>
    <w:rsid w:val="00F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27131"/>
  <w15:chartTrackingRefBased/>
  <w15:docId w15:val="{7262C188-C751-4303-A522-FEA46800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FC217D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FC217D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FC217D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FC217D"/>
    <w:rPr>
      <w:color w:val="0000FF"/>
      <w:u w:val="single"/>
    </w:rPr>
  </w:style>
  <w:style w:type="paragraph" w:styleId="Header">
    <w:name w:val="header"/>
    <w:basedOn w:val="Normal"/>
    <w:link w:val="HeaderChar"/>
    <w:rsid w:val="00FC2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217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C217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217D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21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1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on.Santiago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2023-06-27T16:37:00Z</dcterms:created>
  <dcterms:modified xsi:type="dcterms:W3CDTF">2023-06-27T16:57:00Z</dcterms:modified>
</cp:coreProperties>
</file>