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E2" w:rsidRPr="00BC29F5" w:rsidRDefault="00BF15E2" w:rsidP="00BF15E2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 w:rsidRPr="00BC29F5">
            <w:rPr>
              <w:rFonts w:ascii="Garamond" w:hAnsi="Garamond"/>
              <w:b/>
              <w:sz w:val="28"/>
              <w:szCs w:val="28"/>
            </w:rPr>
            <w:t>COMMONWEALTH</w:t>
          </w:r>
        </w:smartTag>
        <w:r w:rsidRPr="00BC29F5">
          <w:rPr>
            <w:rFonts w:ascii="Garamond" w:hAnsi="Garamond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BC29F5">
            <w:rPr>
              <w:rFonts w:ascii="Garamond" w:hAnsi="Garamond"/>
              <w:b/>
              <w:sz w:val="28"/>
              <w:szCs w:val="28"/>
            </w:rPr>
            <w:t>MASSACHUSETTS</w:t>
          </w:r>
        </w:smartTag>
      </w:smartTag>
    </w:p>
    <w:p w:rsidR="00BF15E2" w:rsidRDefault="00BF15E2" w:rsidP="00BF15E2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F15E2" w:rsidTr="00BE3175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5E2" w:rsidRDefault="00BF15E2" w:rsidP="00BE3175">
            <w:smartTag w:uri="urn:schemas-microsoft-com:office:smarttags" w:element="place">
              <w:smartTag w:uri="urn:schemas-microsoft-com:office:smarttags" w:element="City">
                <w:r>
                  <w:t>Suffolk</w:t>
                </w:r>
              </w:smartTag>
            </w:smartTag>
            <w:r>
              <w:t>, ss.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F15E2" w:rsidRPr="0074250C" w:rsidRDefault="00BF15E2" w:rsidP="00BE3175">
            <w:pPr>
              <w:rPr>
                <w:b/>
              </w:rPr>
            </w:pPr>
            <w:r w:rsidRPr="0074250C">
              <w:rPr>
                <w:b/>
              </w:rPr>
              <w:t>Division of Administrative Law Appeals</w:t>
            </w:r>
          </w:p>
          <w:p w:rsidR="00BF15E2" w:rsidRPr="0074250C" w:rsidRDefault="00BF15E2" w:rsidP="00BE3175">
            <w:pPr>
              <w:rPr>
                <w:b/>
              </w:rPr>
            </w:pPr>
          </w:p>
        </w:tc>
      </w:tr>
      <w:tr w:rsidR="00BF15E2" w:rsidTr="00BE3175">
        <w:tc>
          <w:tcPr>
            <w:tcW w:w="4428" w:type="dxa"/>
            <w:tcBorders>
              <w:left w:val="nil"/>
              <w:right w:val="nil"/>
            </w:tcBorders>
          </w:tcPr>
          <w:p w:rsidR="00BF15E2" w:rsidRDefault="00BF15E2" w:rsidP="00BE3175"/>
          <w:p w:rsidR="00BF15E2" w:rsidRPr="0074250C" w:rsidRDefault="00E1282D" w:rsidP="00BE3175">
            <w:pPr>
              <w:rPr>
                <w:b/>
              </w:rPr>
            </w:pPr>
            <w:r>
              <w:rPr>
                <w:b/>
              </w:rPr>
              <w:t>Department of Early Education and Care</w:t>
            </w:r>
            <w:r w:rsidR="00BF15E2" w:rsidRPr="0074250C">
              <w:rPr>
                <w:b/>
              </w:rPr>
              <w:t>,</w:t>
            </w:r>
          </w:p>
          <w:p w:rsidR="00BF15E2" w:rsidRDefault="00BF15E2" w:rsidP="00BE3175">
            <w:r>
              <w:tab/>
              <w:t>Petitioner</w:t>
            </w:r>
          </w:p>
          <w:p w:rsidR="00E1282D" w:rsidRDefault="00E1282D" w:rsidP="00BE3175"/>
          <w:p w:rsidR="00BF15E2" w:rsidRDefault="00BF15E2" w:rsidP="00BE3175">
            <w:r>
              <w:tab/>
            </w:r>
            <w:r>
              <w:tab/>
              <w:t>v.</w:t>
            </w:r>
          </w:p>
          <w:p w:rsidR="00BF15E2" w:rsidRDefault="00BF15E2" w:rsidP="00BE3175"/>
          <w:p w:rsidR="00E1282D" w:rsidRPr="00B17676" w:rsidRDefault="00E10371" w:rsidP="00BE3175">
            <w:pPr>
              <w:rPr>
                <w:b/>
              </w:rPr>
            </w:pPr>
            <w:r>
              <w:rPr>
                <w:b/>
              </w:rPr>
              <w:t>Marisol Carvajal-Rojas</w:t>
            </w:r>
            <w:r w:rsidR="00E1282D" w:rsidRPr="00B17676">
              <w:rPr>
                <w:b/>
              </w:rPr>
              <w:t>,</w:t>
            </w:r>
          </w:p>
          <w:p w:rsidR="00BF15E2" w:rsidRDefault="00BF15E2" w:rsidP="00BE3175">
            <w:r>
              <w:tab/>
              <w:t>Respondent</w:t>
            </w:r>
          </w:p>
          <w:p w:rsidR="00BF15E2" w:rsidRDefault="00BF15E2" w:rsidP="00BE3175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F15E2" w:rsidRDefault="00BF15E2" w:rsidP="00BE3175"/>
          <w:p w:rsidR="00BF15E2" w:rsidRDefault="00AC4374" w:rsidP="00E1282D">
            <w:r>
              <w:t>Docket No. OC-1</w:t>
            </w:r>
            <w:r w:rsidR="00E10371">
              <w:t>7</w:t>
            </w:r>
            <w:r>
              <w:t>-</w:t>
            </w:r>
            <w:r w:rsidR="00E10371">
              <w:t>754</w:t>
            </w:r>
          </w:p>
        </w:tc>
      </w:tr>
    </w:tbl>
    <w:p w:rsidR="00BF15E2" w:rsidRDefault="00BF15E2" w:rsidP="00BF15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BF15E2" w:rsidTr="00BE3175">
        <w:tc>
          <w:tcPr>
            <w:tcW w:w="4428" w:type="dxa"/>
          </w:tcPr>
          <w:p w:rsidR="00BF15E2" w:rsidRDefault="00BF15E2" w:rsidP="00BE3175">
            <w:r w:rsidRPr="007604BE">
              <w:rPr>
                <w:b/>
              </w:rPr>
              <w:t xml:space="preserve">Appearance for </w:t>
            </w:r>
            <w:r>
              <w:rPr>
                <w:b/>
              </w:rPr>
              <w:t>Petitioner</w:t>
            </w:r>
            <w:r>
              <w:t>:</w:t>
            </w:r>
          </w:p>
          <w:p w:rsidR="00E1282D" w:rsidRDefault="00E1282D" w:rsidP="00BE3175"/>
          <w:p w:rsidR="00E1282D" w:rsidRDefault="00E1282D" w:rsidP="00BE3175">
            <w:r>
              <w:t xml:space="preserve">Denise J. </w:t>
            </w:r>
            <w:proofErr w:type="spellStart"/>
            <w:r>
              <w:t>Karlin</w:t>
            </w:r>
            <w:proofErr w:type="spellEnd"/>
            <w:r>
              <w:t>, Esq.</w:t>
            </w:r>
          </w:p>
          <w:p w:rsidR="00E1282D" w:rsidRDefault="00E1282D" w:rsidP="00BE3175">
            <w:r>
              <w:t>Department of Early Education and Care</w:t>
            </w:r>
          </w:p>
          <w:p w:rsidR="00E1282D" w:rsidRDefault="00E1282D" w:rsidP="00BE3175">
            <w:r>
              <w:t>51 Sleeper Street, Fourth Floor</w:t>
            </w:r>
          </w:p>
          <w:p w:rsidR="00E1282D" w:rsidRDefault="00E1282D" w:rsidP="00BE3175">
            <w:r>
              <w:t>Boston, Massachusetts 02210</w:t>
            </w:r>
          </w:p>
          <w:p w:rsidR="00BF15E2" w:rsidRDefault="00BF15E2" w:rsidP="00BE3175"/>
        </w:tc>
      </w:tr>
      <w:tr w:rsidR="00BF15E2" w:rsidTr="00BE3175">
        <w:tc>
          <w:tcPr>
            <w:tcW w:w="4428" w:type="dxa"/>
          </w:tcPr>
          <w:p w:rsidR="00BF15E2" w:rsidRDefault="00BF15E2" w:rsidP="00BE3175">
            <w:r w:rsidRPr="007604BE">
              <w:rPr>
                <w:b/>
              </w:rPr>
              <w:t xml:space="preserve">Appearance for </w:t>
            </w:r>
            <w:r>
              <w:rPr>
                <w:b/>
              </w:rPr>
              <w:t>Respondent</w:t>
            </w:r>
          </w:p>
        </w:tc>
      </w:tr>
    </w:tbl>
    <w:p w:rsidR="00BF15E2" w:rsidRDefault="00BF15E2" w:rsidP="00BF15E2"/>
    <w:p w:rsidR="00921EFD" w:rsidRPr="00AC4374" w:rsidRDefault="00921EFD" w:rsidP="00BF15E2">
      <w:pPr>
        <w:rPr>
          <w:i/>
        </w:rPr>
      </w:pPr>
      <w:r w:rsidRPr="00AC4374">
        <w:rPr>
          <w:i/>
        </w:rPr>
        <w:t>Pro se</w:t>
      </w:r>
    </w:p>
    <w:p w:rsidR="00921EFD" w:rsidRDefault="00E10371" w:rsidP="00BF15E2">
      <w:r>
        <w:t>94 Francis Street</w:t>
      </w:r>
      <w:r w:rsidR="00921EFD">
        <w:t>, Apt</w:t>
      </w:r>
      <w:r w:rsidR="007B15F1">
        <w:t>.</w:t>
      </w:r>
      <w:r w:rsidR="00921EFD">
        <w:t xml:space="preserve"> </w:t>
      </w:r>
      <w:r>
        <w:t>1</w:t>
      </w:r>
    </w:p>
    <w:p w:rsidR="00921EFD" w:rsidRDefault="00E10371" w:rsidP="00BF15E2">
      <w:r>
        <w:t>Everett</w:t>
      </w:r>
      <w:r w:rsidR="00AC4374">
        <w:t xml:space="preserve">, Massachusetts </w:t>
      </w:r>
      <w:r w:rsidR="00921EFD">
        <w:t>02</w:t>
      </w:r>
      <w:r>
        <w:t>149</w:t>
      </w:r>
    </w:p>
    <w:p w:rsidR="00E1282D" w:rsidRDefault="00E1282D" w:rsidP="00BF15E2"/>
    <w:p w:rsidR="00BF15E2" w:rsidRDefault="00BF15E2" w:rsidP="00BF15E2">
      <w:r w:rsidRPr="00382861">
        <w:rPr>
          <w:b/>
        </w:rPr>
        <w:t>Administrative Magistrate</w:t>
      </w:r>
      <w:r>
        <w:t>:</w:t>
      </w:r>
    </w:p>
    <w:p w:rsidR="00BF15E2" w:rsidRDefault="00BF15E2" w:rsidP="00BF15E2"/>
    <w:p w:rsidR="00BF15E2" w:rsidRDefault="00BF15E2" w:rsidP="00BF15E2">
      <w:r>
        <w:t>Bonney Cashin</w:t>
      </w:r>
    </w:p>
    <w:p w:rsidR="00BF15E2" w:rsidRPr="00382861" w:rsidRDefault="00BF15E2" w:rsidP="00BF15E2">
      <w:pPr>
        <w:jc w:val="center"/>
        <w:rPr>
          <w:b/>
        </w:rPr>
      </w:pPr>
      <w:r w:rsidRPr="00382861">
        <w:rPr>
          <w:b/>
        </w:rPr>
        <w:t xml:space="preserve">Summary of </w:t>
      </w:r>
      <w:r>
        <w:rPr>
          <w:b/>
        </w:rPr>
        <w:t xml:space="preserve">Recommended </w:t>
      </w:r>
      <w:r w:rsidRPr="00382861">
        <w:rPr>
          <w:b/>
        </w:rPr>
        <w:t>Decision</w:t>
      </w:r>
    </w:p>
    <w:p w:rsidR="00BF15E2" w:rsidRDefault="00BF15E2" w:rsidP="00BF15E2"/>
    <w:p w:rsidR="00C06817" w:rsidRDefault="00C06817" w:rsidP="00C06817">
      <w:r>
        <w:rPr>
          <w:rFonts w:eastAsiaTheme="minorHAnsi"/>
        </w:rPr>
        <w:tab/>
      </w:r>
    </w:p>
    <w:p w:rsidR="00C06817" w:rsidRDefault="00C06817" w:rsidP="00A853F9">
      <w:pPr>
        <w:ind w:firstLine="720"/>
      </w:pPr>
      <w:r>
        <w:t xml:space="preserve">The EEC’s decision to deny Marisol </w:t>
      </w:r>
      <w:proofErr w:type="spellStart"/>
      <w:r>
        <w:t>Carvajal</w:t>
      </w:r>
      <w:proofErr w:type="spellEnd"/>
      <w:r>
        <w:t>-Rojas’</w:t>
      </w:r>
      <w:r w:rsidR="006C33CA">
        <w:t>s</w:t>
      </w:r>
      <w:r>
        <w:t xml:space="preserve"> request for discretionary approval for a renewal of a </w:t>
      </w:r>
      <w:r w:rsidR="006C33CA">
        <w:t>f</w:t>
      </w:r>
      <w:r>
        <w:t xml:space="preserve">amily </w:t>
      </w:r>
      <w:r w:rsidR="006C33CA">
        <w:t>c</w:t>
      </w:r>
      <w:r>
        <w:t xml:space="preserve">hild </w:t>
      </w:r>
      <w:r w:rsidR="006C33CA">
        <w:t>c</w:t>
      </w:r>
      <w:r>
        <w:t xml:space="preserve">are </w:t>
      </w:r>
      <w:r w:rsidR="006C33CA">
        <w:t>l</w:t>
      </w:r>
      <w:r>
        <w:t>icense pursuant to 606 CMR 14.1</w:t>
      </w:r>
      <w:r w:rsidR="005F6671">
        <w:t>4</w:t>
      </w:r>
      <w:r>
        <w:t>(3) is supported by a preponderance of the evidence.  A Department of Child</w:t>
      </w:r>
      <w:r w:rsidR="005F6671">
        <w:t>ren</w:t>
      </w:r>
      <w:r>
        <w:t xml:space="preserve"> and Families background check revealed two supported findings of domestic violence against an adult member of her household. </w:t>
      </w:r>
    </w:p>
    <w:p w:rsidR="00AC4374" w:rsidRDefault="00AC4374" w:rsidP="00C06817">
      <w:pPr>
        <w:tabs>
          <w:tab w:val="left" w:pos="720"/>
        </w:tabs>
        <w:rPr>
          <w:b/>
        </w:rPr>
      </w:pPr>
    </w:p>
    <w:p w:rsidR="00BF15E2" w:rsidRDefault="00BF15E2" w:rsidP="00BF15E2">
      <w:pPr>
        <w:jc w:val="center"/>
        <w:rPr>
          <w:b/>
        </w:rPr>
      </w:pPr>
      <w:r w:rsidRPr="00CC3BCB">
        <w:rPr>
          <w:b/>
        </w:rPr>
        <w:t>RECOMMENDED DECISION</w:t>
      </w:r>
    </w:p>
    <w:p w:rsidR="00BF15E2" w:rsidRDefault="00BF15E2" w:rsidP="00BF15E2">
      <w:pPr>
        <w:ind w:left="360"/>
      </w:pPr>
    </w:p>
    <w:p w:rsidR="00BF15E2" w:rsidRDefault="00BF15E2" w:rsidP="00A853F9">
      <w:pPr>
        <w:shd w:val="clear" w:color="auto" w:fill="FFFFFF"/>
        <w:spacing w:line="480" w:lineRule="auto"/>
        <w:ind w:firstLine="720"/>
      </w:pPr>
      <w:r>
        <w:t xml:space="preserve">On </w:t>
      </w:r>
      <w:r w:rsidR="0034363E">
        <w:t>August 4,</w:t>
      </w:r>
      <w:r w:rsidR="008511E2">
        <w:t xml:space="preserve"> 2</w:t>
      </w:r>
      <w:r w:rsidR="00AC4374">
        <w:t>01</w:t>
      </w:r>
      <w:r w:rsidR="005A5FEA">
        <w:t>7</w:t>
      </w:r>
      <w:r>
        <w:t xml:space="preserve">, the Department of Early Education and Care (“EEC”) </w:t>
      </w:r>
      <w:r w:rsidR="0034363E">
        <w:t xml:space="preserve">refused to renew Marisol </w:t>
      </w:r>
      <w:proofErr w:type="spellStart"/>
      <w:r w:rsidR="0034363E">
        <w:t>Carvajal</w:t>
      </w:r>
      <w:proofErr w:type="spellEnd"/>
      <w:r w:rsidR="0034363E">
        <w:t xml:space="preserve">-Rojas’s family child care license after it </w:t>
      </w:r>
      <w:r>
        <w:t xml:space="preserve">denied </w:t>
      </w:r>
      <w:r w:rsidR="00750AC9">
        <w:t>an</w:t>
      </w:r>
      <w:r>
        <w:t xml:space="preserve"> Application for </w:t>
      </w:r>
      <w:r>
        <w:lastRenderedPageBreak/>
        <w:t xml:space="preserve">Discretionary Approval </w:t>
      </w:r>
      <w:r w:rsidR="0034363E">
        <w:t>concerning Edwin Ruiz.</w:t>
      </w:r>
      <w:r w:rsidR="00921EFD">
        <w:t xml:space="preserve"> </w:t>
      </w:r>
      <w:r w:rsidR="005E63EF">
        <w:t xml:space="preserve">Ms. </w:t>
      </w:r>
      <w:proofErr w:type="spellStart"/>
      <w:r w:rsidR="00B5511D">
        <w:t>Carvajal</w:t>
      </w:r>
      <w:proofErr w:type="spellEnd"/>
      <w:r w:rsidR="00B5511D">
        <w:t>-</w:t>
      </w:r>
      <w:r w:rsidR="005E63EF">
        <w:t>R</w:t>
      </w:r>
      <w:r w:rsidR="005A5FEA">
        <w:t xml:space="preserve">ojas </w:t>
      </w:r>
      <w:r w:rsidR="005E63EF">
        <w:t>f</w:t>
      </w:r>
      <w:r w:rsidR="00921EFD">
        <w:t xml:space="preserve">iled a timely claim </w:t>
      </w:r>
      <w:r>
        <w:t xml:space="preserve">for an adjudicatory hearing. </w:t>
      </w:r>
    </w:p>
    <w:p w:rsidR="00AC4374" w:rsidRDefault="00BF15E2" w:rsidP="00AC4374">
      <w:pPr>
        <w:spacing w:line="480" w:lineRule="auto"/>
      </w:pPr>
      <w:r>
        <w:tab/>
        <w:t xml:space="preserve">I held a hearing on </w:t>
      </w:r>
      <w:r w:rsidR="005A5FEA">
        <w:t>November 16</w:t>
      </w:r>
      <w:r w:rsidR="00921EFD">
        <w:t xml:space="preserve">, 2017 </w:t>
      </w:r>
      <w:r>
        <w:t>at the office of the Division of Administrative Law Appeals</w:t>
      </w:r>
      <w:r w:rsidR="005E63EF">
        <w:t>,</w:t>
      </w:r>
      <w:r w:rsidR="00921EFD">
        <w:t xml:space="preserve"> located at One Congress Street in Boston, </w:t>
      </w:r>
      <w:r w:rsidR="00F154CE">
        <w:t>Massachusetts</w:t>
      </w:r>
      <w:r w:rsidR="005E63EF">
        <w:t xml:space="preserve">. </w:t>
      </w:r>
      <w:r w:rsidR="0054528F">
        <w:t>An interpreter was available</w:t>
      </w:r>
      <w:r w:rsidR="005A5FEA">
        <w:t xml:space="preserve"> telephonically</w:t>
      </w:r>
      <w:r w:rsidR="0054528F">
        <w:t xml:space="preserve"> for Ms. </w:t>
      </w:r>
      <w:proofErr w:type="spellStart"/>
      <w:r w:rsidR="00B5511D">
        <w:t>Carvajal</w:t>
      </w:r>
      <w:proofErr w:type="spellEnd"/>
      <w:r w:rsidR="00B5511D">
        <w:t>-</w:t>
      </w:r>
      <w:r w:rsidR="0054528F">
        <w:t>Ro</w:t>
      </w:r>
      <w:r w:rsidR="005A5FEA">
        <w:t>jas</w:t>
      </w:r>
      <w:r w:rsidR="0054528F">
        <w:t xml:space="preserve">. </w:t>
      </w:r>
      <w:r>
        <w:t xml:space="preserve">The parties stipulated to the admissibility of </w:t>
      </w:r>
      <w:r w:rsidR="005A5FEA">
        <w:t xml:space="preserve">six </w:t>
      </w:r>
      <w:r>
        <w:t>documents</w:t>
      </w:r>
      <w:r w:rsidR="00A853F9">
        <w:t>.</w:t>
      </w:r>
      <w:r w:rsidR="005E63EF">
        <w:t xml:space="preserve"> </w:t>
      </w:r>
      <w:r w:rsidR="00921EFD">
        <w:t>(</w:t>
      </w:r>
      <w:proofErr w:type="spellStart"/>
      <w:r w:rsidR="00921EFD">
        <w:t>Exs</w:t>
      </w:r>
      <w:proofErr w:type="spellEnd"/>
      <w:r w:rsidR="00921EFD">
        <w:t xml:space="preserve">. </w:t>
      </w:r>
      <w:r w:rsidR="005A5FEA">
        <w:t>A-F</w:t>
      </w:r>
      <w:r w:rsidR="00921EFD">
        <w:t xml:space="preserve">). </w:t>
      </w:r>
      <w:r w:rsidR="00750AC9">
        <w:t>I admitted EEC’s</w:t>
      </w:r>
      <w:r w:rsidR="007F257E">
        <w:t xml:space="preserve"> August 4, 2017 </w:t>
      </w:r>
      <w:r w:rsidR="009628DE">
        <w:t xml:space="preserve">decision </w:t>
      </w:r>
      <w:r w:rsidR="007F257E">
        <w:t>as</w:t>
      </w:r>
      <w:r w:rsidR="00750AC9">
        <w:t xml:space="preserve"> Ex. G. </w:t>
      </w:r>
      <w:r>
        <w:t xml:space="preserve">I </w:t>
      </w:r>
      <w:r w:rsidR="005E63EF">
        <w:t xml:space="preserve">digitally recorded the hearing. </w:t>
      </w:r>
      <w:r w:rsidR="00F72472">
        <w:t xml:space="preserve">Ms. </w:t>
      </w:r>
      <w:proofErr w:type="spellStart"/>
      <w:r w:rsidR="00F72472">
        <w:t>Carvajal</w:t>
      </w:r>
      <w:proofErr w:type="spellEnd"/>
      <w:r w:rsidR="00F72472">
        <w:t>-Rojas testified on her own behalf.</w:t>
      </w:r>
      <w:r w:rsidR="00082B61">
        <w:t xml:space="preserve"> </w:t>
      </w:r>
      <w:r w:rsidR="00F72472">
        <w:t xml:space="preserve">The </w:t>
      </w:r>
      <w:r>
        <w:t xml:space="preserve">EEC </w:t>
      </w:r>
      <w:r w:rsidR="00F72472">
        <w:t xml:space="preserve">called </w:t>
      </w:r>
      <w:r w:rsidR="00A13A16">
        <w:t xml:space="preserve">Robin </w:t>
      </w:r>
      <w:proofErr w:type="spellStart"/>
      <w:r w:rsidR="00A13A16">
        <w:t>Lalancette</w:t>
      </w:r>
      <w:proofErr w:type="spellEnd"/>
      <w:r>
        <w:t xml:space="preserve">, </w:t>
      </w:r>
      <w:r w:rsidR="00921EFD">
        <w:t>EEC Background Record Check Specialist.</w:t>
      </w:r>
      <w:r w:rsidR="005E63EF">
        <w:t xml:space="preserve"> </w:t>
      </w:r>
    </w:p>
    <w:p w:rsidR="00BF15E2" w:rsidRPr="00AC4374" w:rsidRDefault="00BF15E2" w:rsidP="005F44EA">
      <w:pPr>
        <w:spacing w:line="480" w:lineRule="auto"/>
        <w:jc w:val="center"/>
      </w:pPr>
      <w:r w:rsidRPr="007604BE">
        <w:rPr>
          <w:b/>
        </w:rPr>
        <w:t>FINDINGS OF FACT</w:t>
      </w:r>
    </w:p>
    <w:p w:rsidR="00BF0AFC" w:rsidRDefault="00F154CE" w:rsidP="008511E2">
      <w:pPr>
        <w:ind w:firstLine="720"/>
        <w:rPr>
          <w:rFonts w:eastAsiaTheme="minorHAnsi"/>
        </w:rPr>
      </w:pPr>
      <w:r w:rsidRPr="00F154CE">
        <w:rPr>
          <w:rFonts w:eastAsiaTheme="minorHAnsi"/>
        </w:rPr>
        <w:t>Based on the testimony provided and other evidence in th</w:t>
      </w:r>
      <w:r>
        <w:rPr>
          <w:rFonts w:eastAsiaTheme="minorHAnsi"/>
        </w:rPr>
        <w:t>e record, I find the following:</w:t>
      </w:r>
    </w:p>
    <w:p w:rsidR="00BF0AFC" w:rsidRDefault="00BF0AFC" w:rsidP="008511E2">
      <w:pPr>
        <w:ind w:firstLine="720"/>
        <w:rPr>
          <w:rFonts w:eastAsiaTheme="minorHAnsi"/>
        </w:rPr>
      </w:pPr>
    </w:p>
    <w:p w:rsidR="008276DC" w:rsidRDefault="00BF0AFC" w:rsidP="007F257E">
      <w:pPr>
        <w:tabs>
          <w:tab w:val="left" w:pos="1440"/>
        </w:tabs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 xml:space="preserve">1. </w:t>
      </w:r>
      <w:r w:rsidR="00F72472">
        <w:rPr>
          <w:rFonts w:eastAsiaTheme="minorHAnsi"/>
        </w:rPr>
        <w:tab/>
      </w:r>
      <w:r w:rsidR="008276DC">
        <w:rPr>
          <w:rFonts w:eastAsiaTheme="minorHAnsi"/>
        </w:rPr>
        <w:t>In 2013</w:t>
      </w:r>
      <w:r w:rsidR="008276DC" w:rsidRPr="00F154CE">
        <w:rPr>
          <w:rFonts w:eastAsiaTheme="minorHAnsi"/>
        </w:rPr>
        <w:t xml:space="preserve">, </w:t>
      </w:r>
      <w:r w:rsidR="008276DC">
        <w:rPr>
          <w:rFonts w:eastAsiaTheme="minorHAnsi"/>
        </w:rPr>
        <w:t>M</w:t>
      </w:r>
      <w:r w:rsidR="00750AC9">
        <w:rPr>
          <w:rFonts w:eastAsiaTheme="minorHAnsi"/>
        </w:rPr>
        <w:t>arisol</w:t>
      </w:r>
      <w:r w:rsidR="008276DC">
        <w:rPr>
          <w:rFonts w:eastAsiaTheme="minorHAnsi"/>
        </w:rPr>
        <w:t xml:space="preserve"> </w:t>
      </w:r>
      <w:proofErr w:type="spellStart"/>
      <w:r w:rsidR="008276DC">
        <w:rPr>
          <w:rFonts w:eastAsiaTheme="minorHAnsi"/>
        </w:rPr>
        <w:t>Carvajal</w:t>
      </w:r>
      <w:proofErr w:type="spellEnd"/>
      <w:r w:rsidR="008276DC">
        <w:rPr>
          <w:rFonts w:eastAsiaTheme="minorHAnsi"/>
        </w:rPr>
        <w:t xml:space="preserve">-Rojas </w:t>
      </w:r>
      <w:r w:rsidR="00750AC9">
        <w:rPr>
          <w:rFonts w:eastAsiaTheme="minorHAnsi"/>
        </w:rPr>
        <w:t xml:space="preserve">was granted </w:t>
      </w:r>
      <w:r w:rsidR="008276DC">
        <w:rPr>
          <w:rFonts w:eastAsiaTheme="minorHAnsi"/>
        </w:rPr>
        <w:t>a family child care educator license</w:t>
      </w:r>
      <w:r w:rsidR="007A719D">
        <w:rPr>
          <w:rFonts w:eastAsiaTheme="minorHAnsi"/>
        </w:rPr>
        <w:t xml:space="preserve"> for her home</w:t>
      </w:r>
      <w:r w:rsidR="008276DC">
        <w:rPr>
          <w:rFonts w:eastAsiaTheme="minorHAnsi"/>
        </w:rPr>
        <w:t xml:space="preserve">. </w:t>
      </w:r>
      <w:r w:rsidR="00750AC9">
        <w:rPr>
          <w:rFonts w:eastAsiaTheme="minorHAnsi"/>
        </w:rPr>
        <w:t xml:space="preserve">In 2017, she applied to renew her license. </w:t>
      </w:r>
      <w:r w:rsidR="008276DC">
        <w:rPr>
          <w:rFonts w:eastAsiaTheme="minorHAnsi"/>
        </w:rPr>
        <w:t xml:space="preserve">A background </w:t>
      </w:r>
      <w:r w:rsidR="00750AC9">
        <w:rPr>
          <w:rFonts w:eastAsiaTheme="minorHAnsi"/>
        </w:rPr>
        <w:t xml:space="preserve">record </w:t>
      </w:r>
      <w:r w:rsidR="008276DC">
        <w:rPr>
          <w:rFonts w:eastAsiaTheme="minorHAnsi"/>
        </w:rPr>
        <w:t xml:space="preserve">check is part of the application </w:t>
      </w:r>
      <w:r w:rsidR="00750AC9">
        <w:rPr>
          <w:rFonts w:eastAsiaTheme="minorHAnsi"/>
        </w:rPr>
        <w:t xml:space="preserve">and renewal </w:t>
      </w:r>
      <w:r w:rsidR="008276DC">
        <w:rPr>
          <w:rFonts w:eastAsiaTheme="minorHAnsi"/>
        </w:rPr>
        <w:t>process. (</w:t>
      </w:r>
      <w:proofErr w:type="spellStart"/>
      <w:r w:rsidR="008276DC">
        <w:rPr>
          <w:rFonts w:eastAsiaTheme="minorHAnsi"/>
        </w:rPr>
        <w:t>Exs</w:t>
      </w:r>
      <w:proofErr w:type="spellEnd"/>
      <w:r w:rsidR="008276DC">
        <w:rPr>
          <w:rFonts w:eastAsiaTheme="minorHAnsi"/>
        </w:rPr>
        <w:t>. A, C).</w:t>
      </w:r>
      <w:r w:rsidR="008276DC" w:rsidRPr="008276DC">
        <w:rPr>
          <w:rFonts w:eastAsiaTheme="minorHAnsi"/>
        </w:rPr>
        <w:t xml:space="preserve"> </w:t>
      </w:r>
    </w:p>
    <w:p w:rsidR="008276DC" w:rsidRDefault="008276DC" w:rsidP="008276DC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>2.</w:t>
      </w:r>
      <w:r w:rsidR="00750AC9">
        <w:rPr>
          <w:rFonts w:eastAsiaTheme="minorHAnsi"/>
        </w:rPr>
        <w:t xml:space="preserve"> </w:t>
      </w:r>
      <w:r w:rsidR="00F72472">
        <w:rPr>
          <w:rFonts w:eastAsiaTheme="minorHAnsi"/>
        </w:rPr>
        <w:tab/>
      </w:r>
      <w:r w:rsidR="00750AC9">
        <w:rPr>
          <w:rFonts w:eastAsiaTheme="minorHAnsi"/>
        </w:rPr>
        <w:t>Edwin</w:t>
      </w:r>
      <w:r>
        <w:rPr>
          <w:rFonts w:eastAsiaTheme="minorHAnsi"/>
        </w:rPr>
        <w:t xml:space="preserve"> Ruiz </w:t>
      </w:r>
      <w:r w:rsidR="00F72472">
        <w:rPr>
          <w:rFonts w:eastAsiaTheme="minorHAnsi"/>
        </w:rPr>
        <w:t xml:space="preserve">lives with </w:t>
      </w:r>
      <w:r>
        <w:rPr>
          <w:rFonts w:eastAsiaTheme="minorHAnsi"/>
        </w:rPr>
        <w:t xml:space="preserve">Ms. </w:t>
      </w:r>
      <w:proofErr w:type="spellStart"/>
      <w:r>
        <w:rPr>
          <w:rFonts w:eastAsiaTheme="minorHAnsi"/>
        </w:rPr>
        <w:t>Carvajal</w:t>
      </w:r>
      <w:proofErr w:type="spellEnd"/>
      <w:r>
        <w:rPr>
          <w:rFonts w:eastAsiaTheme="minorHAnsi"/>
        </w:rPr>
        <w:t>-Rojas</w:t>
      </w:r>
      <w:r w:rsidR="00F72472">
        <w:rPr>
          <w:rFonts w:eastAsiaTheme="minorHAnsi"/>
        </w:rPr>
        <w:t xml:space="preserve">, </w:t>
      </w:r>
      <w:r w:rsidR="007474B7">
        <w:rPr>
          <w:rFonts w:eastAsiaTheme="minorHAnsi"/>
        </w:rPr>
        <w:t xml:space="preserve">and </w:t>
      </w:r>
      <w:r w:rsidR="00F72472">
        <w:rPr>
          <w:rFonts w:eastAsiaTheme="minorHAnsi"/>
        </w:rPr>
        <w:t xml:space="preserve">they have two children together. As a member of her household, he </w:t>
      </w:r>
      <w:r w:rsidR="00750AC9">
        <w:rPr>
          <w:rFonts w:eastAsiaTheme="minorHAnsi"/>
        </w:rPr>
        <w:t xml:space="preserve">was </w:t>
      </w:r>
      <w:r>
        <w:rPr>
          <w:rFonts w:eastAsiaTheme="minorHAnsi"/>
        </w:rPr>
        <w:t>subject to a background check</w:t>
      </w:r>
      <w:r w:rsidR="003D6F3A">
        <w:rPr>
          <w:rFonts w:eastAsiaTheme="minorHAnsi"/>
        </w:rPr>
        <w:t>.</w:t>
      </w:r>
      <w:r w:rsidR="006B0A06">
        <w:rPr>
          <w:rStyle w:val="FootnoteReference"/>
          <w:rFonts w:eastAsiaTheme="minorHAnsi"/>
        </w:rPr>
        <w:footnoteReference w:id="1"/>
      </w:r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(</w:t>
      </w:r>
      <w:proofErr w:type="spellStart"/>
      <w:r>
        <w:rPr>
          <w:rFonts w:eastAsiaTheme="minorHAnsi"/>
        </w:rPr>
        <w:t>Exs</w:t>
      </w:r>
      <w:proofErr w:type="spellEnd"/>
      <w:r>
        <w:rPr>
          <w:rFonts w:eastAsiaTheme="minorHAnsi"/>
        </w:rPr>
        <w:t>.</w:t>
      </w:r>
      <w:proofErr w:type="gramEnd"/>
      <w:r>
        <w:rPr>
          <w:rFonts w:eastAsiaTheme="minorHAnsi"/>
        </w:rPr>
        <w:t xml:space="preserve"> A, C).</w:t>
      </w:r>
    </w:p>
    <w:p w:rsidR="008276DC" w:rsidRDefault="008276DC" w:rsidP="008276DC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 xml:space="preserve">3. </w:t>
      </w:r>
      <w:r w:rsidR="00F72472">
        <w:rPr>
          <w:rFonts w:eastAsiaTheme="minorHAnsi"/>
        </w:rPr>
        <w:tab/>
      </w:r>
      <w:r>
        <w:rPr>
          <w:rFonts w:eastAsiaTheme="minorHAnsi"/>
        </w:rPr>
        <w:t>Edwin Ruiz is the subject of a 2007 51B report for neglect</w:t>
      </w:r>
      <w:r w:rsidR="009628DE">
        <w:rPr>
          <w:rFonts w:eastAsiaTheme="minorHAnsi"/>
        </w:rPr>
        <w:t>.</w:t>
      </w:r>
      <w:r w:rsidR="006B0A06" w:rsidRPr="006B0A06">
        <w:rPr>
          <w:rStyle w:val="FootnoteReference"/>
          <w:rFonts w:eastAsiaTheme="minorHAnsi"/>
        </w:rPr>
        <w:t xml:space="preserve"> </w:t>
      </w:r>
      <w:r w:rsidR="006B0A06">
        <w:rPr>
          <w:rStyle w:val="FootnoteReference"/>
          <w:rFonts w:eastAsiaTheme="minorHAnsi"/>
        </w:rPr>
        <w:footnoteReference w:id="2"/>
      </w:r>
      <w:r>
        <w:rPr>
          <w:rFonts w:eastAsiaTheme="minorHAnsi"/>
        </w:rPr>
        <w:t xml:space="preserve"> </w:t>
      </w:r>
      <w:r w:rsidR="009628DE">
        <w:rPr>
          <w:rFonts w:eastAsiaTheme="minorHAnsi"/>
        </w:rPr>
        <w:t>An</w:t>
      </w:r>
      <w:r>
        <w:rPr>
          <w:rFonts w:eastAsiaTheme="minorHAnsi"/>
        </w:rPr>
        <w:t xml:space="preserve"> assault and battery charge </w:t>
      </w:r>
      <w:r w:rsidR="009628DE">
        <w:rPr>
          <w:rFonts w:eastAsiaTheme="minorHAnsi"/>
        </w:rPr>
        <w:t xml:space="preserve">is </w:t>
      </w:r>
      <w:r>
        <w:rPr>
          <w:rFonts w:eastAsiaTheme="minorHAnsi"/>
        </w:rPr>
        <w:t>on his Criminal Offender Record Information (</w:t>
      </w:r>
      <w:r w:rsidR="00B97191">
        <w:rPr>
          <w:rFonts w:eastAsiaTheme="minorHAnsi"/>
        </w:rPr>
        <w:t>“</w:t>
      </w:r>
      <w:r>
        <w:rPr>
          <w:rFonts w:eastAsiaTheme="minorHAnsi"/>
        </w:rPr>
        <w:t>CORI</w:t>
      </w:r>
      <w:r w:rsidR="00B97191">
        <w:rPr>
          <w:rFonts w:eastAsiaTheme="minorHAnsi"/>
        </w:rPr>
        <w:t>”</w:t>
      </w:r>
      <w:r>
        <w:rPr>
          <w:rFonts w:eastAsiaTheme="minorHAnsi"/>
        </w:rPr>
        <w:t>) from the same year.</w:t>
      </w:r>
      <w:r w:rsidR="009628DE">
        <w:rPr>
          <w:rStyle w:val="FootnoteReference"/>
          <w:rFonts w:eastAsiaTheme="minorHAnsi"/>
        </w:rPr>
        <w:footnoteReference w:id="3"/>
      </w:r>
      <w:r>
        <w:rPr>
          <w:rFonts w:eastAsiaTheme="minorHAnsi"/>
        </w:rPr>
        <w:t xml:space="preserve"> </w:t>
      </w:r>
      <w:r w:rsidR="00F72472">
        <w:rPr>
          <w:rFonts w:eastAsiaTheme="minorHAnsi"/>
        </w:rPr>
        <w:t xml:space="preserve">The victim was his ex-wife. </w:t>
      </w:r>
      <w:proofErr w:type="gramStart"/>
      <w:r>
        <w:rPr>
          <w:rFonts w:eastAsiaTheme="minorHAnsi"/>
        </w:rPr>
        <w:t>(</w:t>
      </w:r>
      <w:proofErr w:type="spellStart"/>
      <w:r>
        <w:rPr>
          <w:rFonts w:eastAsiaTheme="minorHAnsi"/>
        </w:rPr>
        <w:t>Exs</w:t>
      </w:r>
      <w:proofErr w:type="spellEnd"/>
      <w:r>
        <w:rPr>
          <w:rFonts w:eastAsiaTheme="minorHAnsi"/>
        </w:rPr>
        <w:t>.</w:t>
      </w:r>
      <w:proofErr w:type="gramEnd"/>
      <w:r>
        <w:rPr>
          <w:rFonts w:eastAsiaTheme="minorHAnsi"/>
        </w:rPr>
        <w:t xml:space="preserve"> A, B, C, D). </w:t>
      </w:r>
    </w:p>
    <w:p w:rsidR="008276DC" w:rsidRDefault="008276DC" w:rsidP="008276DC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 xml:space="preserve">4. </w:t>
      </w:r>
      <w:r w:rsidR="00F72472">
        <w:rPr>
          <w:rFonts w:eastAsiaTheme="minorHAnsi"/>
        </w:rPr>
        <w:tab/>
      </w:r>
      <w:r>
        <w:rPr>
          <w:rFonts w:eastAsiaTheme="minorHAnsi"/>
        </w:rPr>
        <w:t xml:space="preserve">Both the </w:t>
      </w:r>
      <w:r w:rsidR="00531CCB">
        <w:rPr>
          <w:rFonts w:eastAsiaTheme="minorHAnsi"/>
        </w:rPr>
        <w:t xml:space="preserve">2007 </w:t>
      </w:r>
      <w:r>
        <w:rPr>
          <w:rFonts w:eastAsiaTheme="minorHAnsi"/>
        </w:rPr>
        <w:t xml:space="preserve">51B report for neglect and the assault and battery charge stem from a domestic violence incident. Mr. Ruiz physically assaulted his </w:t>
      </w:r>
      <w:r w:rsidR="006B0A06">
        <w:rPr>
          <w:rFonts w:eastAsiaTheme="minorHAnsi"/>
        </w:rPr>
        <w:t xml:space="preserve">then </w:t>
      </w:r>
      <w:r>
        <w:rPr>
          <w:rFonts w:eastAsiaTheme="minorHAnsi"/>
        </w:rPr>
        <w:t xml:space="preserve">wife by striking her </w:t>
      </w:r>
      <w:r w:rsidR="006B0A06">
        <w:rPr>
          <w:rFonts w:eastAsiaTheme="minorHAnsi"/>
        </w:rPr>
        <w:lastRenderedPageBreak/>
        <w:t xml:space="preserve">repeatedly </w:t>
      </w:r>
      <w:r>
        <w:rPr>
          <w:rFonts w:eastAsiaTheme="minorHAnsi"/>
        </w:rPr>
        <w:t xml:space="preserve">with a closed fist. Both of Mr. Ruiz’s children were present in the home during the time of the assault. </w:t>
      </w:r>
      <w:proofErr w:type="gramStart"/>
      <w:r>
        <w:rPr>
          <w:rFonts w:eastAsiaTheme="minorHAnsi"/>
        </w:rPr>
        <w:t>(</w:t>
      </w:r>
      <w:proofErr w:type="spellStart"/>
      <w:r>
        <w:rPr>
          <w:rFonts w:eastAsiaTheme="minorHAnsi"/>
        </w:rPr>
        <w:t>Exs</w:t>
      </w:r>
      <w:proofErr w:type="spellEnd"/>
      <w:r>
        <w:rPr>
          <w:rFonts w:eastAsiaTheme="minorHAnsi"/>
        </w:rPr>
        <w:t>.</w:t>
      </w:r>
      <w:proofErr w:type="gramEnd"/>
      <w:r>
        <w:rPr>
          <w:rFonts w:eastAsiaTheme="minorHAnsi"/>
        </w:rPr>
        <w:t xml:space="preserve"> A, C, D).</w:t>
      </w:r>
    </w:p>
    <w:p w:rsidR="008276DC" w:rsidRDefault="008276DC" w:rsidP="002B263F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 xml:space="preserve">5. </w:t>
      </w:r>
      <w:r w:rsidR="00F72472">
        <w:rPr>
          <w:rFonts w:eastAsiaTheme="minorHAnsi"/>
        </w:rPr>
        <w:tab/>
      </w:r>
      <w:r w:rsidR="00531CCB">
        <w:rPr>
          <w:rFonts w:eastAsiaTheme="minorHAnsi"/>
        </w:rPr>
        <w:t xml:space="preserve">When </w:t>
      </w:r>
      <w:r w:rsidR="003C452B">
        <w:rPr>
          <w:rFonts w:eastAsiaTheme="minorHAnsi"/>
        </w:rPr>
        <w:t xml:space="preserve">Ms. </w:t>
      </w:r>
      <w:proofErr w:type="spellStart"/>
      <w:r w:rsidR="003C452B">
        <w:rPr>
          <w:rFonts w:eastAsiaTheme="minorHAnsi"/>
        </w:rPr>
        <w:t>Carvajal</w:t>
      </w:r>
      <w:proofErr w:type="spellEnd"/>
      <w:r w:rsidR="003C452B">
        <w:rPr>
          <w:rFonts w:eastAsiaTheme="minorHAnsi"/>
        </w:rPr>
        <w:t xml:space="preserve">-Rojas applied for her license in 2013, </w:t>
      </w:r>
      <w:r w:rsidR="006B0A06">
        <w:rPr>
          <w:rFonts w:eastAsiaTheme="minorHAnsi"/>
        </w:rPr>
        <w:t xml:space="preserve">EEC </w:t>
      </w:r>
      <w:r>
        <w:rPr>
          <w:rFonts w:eastAsiaTheme="minorHAnsi"/>
        </w:rPr>
        <w:t xml:space="preserve">granted discretionary approval </w:t>
      </w:r>
      <w:r w:rsidR="006B0A06">
        <w:rPr>
          <w:rFonts w:eastAsiaTheme="minorHAnsi"/>
        </w:rPr>
        <w:t xml:space="preserve">to Mr. Ruiz </w:t>
      </w:r>
      <w:r>
        <w:rPr>
          <w:rFonts w:eastAsiaTheme="minorHAnsi"/>
        </w:rPr>
        <w:t xml:space="preserve">for his disqualifying background for two reasons. </w:t>
      </w:r>
      <w:r w:rsidR="003C452B">
        <w:rPr>
          <w:rFonts w:eastAsiaTheme="minorHAnsi"/>
        </w:rPr>
        <w:t>F</w:t>
      </w:r>
      <w:r>
        <w:rPr>
          <w:rFonts w:eastAsiaTheme="minorHAnsi"/>
        </w:rPr>
        <w:t>irst</w:t>
      </w:r>
      <w:r w:rsidR="003C452B">
        <w:rPr>
          <w:rFonts w:eastAsiaTheme="minorHAnsi"/>
        </w:rPr>
        <w:t>,</w:t>
      </w:r>
      <w:r>
        <w:rPr>
          <w:rFonts w:eastAsiaTheme="minorHAnsi"/>
        </w:rPr>
        <w:t xml:space="preserve"> </w:t>
      </w:r>
      <w:r w:rsidR="003C452B">
        <w:rPr>
          <w:rFonts w:eastAsiaTheme="minorHAnsi"/>
        </w:rPr>
        <w:t xml:space="preserve">he had </w:t>
      </w:r>
      <w:r>
        <w:rPr>
          <w:rFonts w:eastAsiaTheme="minorHAnsi"/>
        </w:rPr>
        <w:t xml:space="preserve">only one 51B report for neglect. </w:t>
      </w:r>
      <w:r w:rsidR="003C452B">
        <w:rPr>
          <w:rFonts w:eastAsiaTheme="minorHAnsi"/>
        </w:rPr>
        <w:t>S</w:t>
      </w:r>
      <w:r>
        <w:rPr>
          <w:rFonts w:eastAsiaTheme="minorHAnsi"/>
        </w:rPr>
        <w:t>econd</w:t>
      </w:r>
      <w:r w:rsidR="003C452B">
        <w:rPr>
          <w:rFonts w:eastAsiaTheme="minorHAnsi"/>
        </w:rPr>
        <w:t>,</w:t>
      </w:r>
      <w:r>
        <w:rPr>
          <w:rFonts w:eastAsiaTheme="minorHAnsi"/>
        </w:rPr>
        <w:t xml:space="preserve"> Ms. Carvajal-Rojas was not the victim of his domestic abuse. (</w:t>
      </w:r>
      <w:proofErr w:type="spellStart"/>
      <w:r>
        <w:rPr>
          <w:rFonts w:eastAsiaTheme="minorHAnsi"/>
        </w:rPr>
        <w:t>Exs</w:t>
      </w:r>
      <w:proofErr w:type="spellEnd"/>
      <w:r>
        <w:rPr>
          <w:rFonts w:eastAsiaTheme="minorHAnsi"/>
        </w:rPr>
        <w:t xml:space="preserve">. A, C). </w:t>
      </w:r>
    </w:p>
    <w:p w:rsidR="00BF0AFC" w:rsidRDefault="008276DC" w:rsidP="008511E2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>6</w:t>
      </w:r>
      <w:r w:rsidR="002B263F">
        <w:rPr>
          <w:rFonts w:eastAsiaTheme="minorHAnsi"/>
        </w:rPr>
        <w:t xml:space="preserve">. </w:t>
      </w:r>
      <w:r w:rsidR="00F72472">
        <w:rPr>
          <w:rFonts w:eastAsiaTheme="minorHAnsi"/>
        </w:rPr>
        <w:tab/>
        <w:t xml:space="preserve">During an </w:t>
      </w:r>
      <w:r>
        <w:rPr>
          <w:rFonts w:eastAsiaTheme="minorHAnsi"/>
        </w:rPr>
        <w:t xml:space="preserve">October </w:t>
      </w:r>
      <w:r w:rsidR="00B97191">
        <w:rPr>
          <w:rFonts w:eastAsiaTheme="minorHAnsi"/>
        </w:rPr>
        <w:t xml:space="preserve">10, </w:t>
      </w:r>
      <w:r w:rsidR="00BF3C9C">
        <w:rPr>
          <w:rFonts w:eastAsiaTheme="minorHAnsi"/>
        </w:rPr>
        <w:t>2014</w:t>
      </w:r>
      <w:r w:rsidR="00F72472">
        <w:rPr>
          <w:rFonts w:eastAsiaTheme="minorHAnsi"/>
        </w:rPr>
        <w:t xml:space="preserve"> medical appointment</w:t>
      </w:r>
      <w:r w:rsidR="00BF3C9C">
        <w:rPr>
          <w:rFonts w:eastAsiaTheme="minorHAnsi"/>
        </w:rPr>
        <w:t xml:space="preserve">, Ms. </w:t>
      </w:r>
      <w:proofErr w:type="spellStart"/>
      <w:r w:rsidR="00BF3C9C">
        <w:rPr>
          <w:rFonts w:eastAsiaTheme="minorHAnsi"/>
        </w:rPr>
        <w:t>Carvajal</w:t>
      </w:r>
      <w:proofErr w:type="spellEnd"/>
      <w:r w:rsidR="00BF3C9C">
        <w:rPr>
          <w:rFonts w:eastAsiaTheme="minorHAnsi"/>
        </w:rPr>
        <w:t xml:space="preserve">-Rojas </w:t>
      </w:r>
      <w:r w:rsidR="00430790">
        <w:rPr>
          <w:rFonts w:eastAsiaTheme="minorHAnsi"/>
        </w:rPr>
        <w:t>admitted that</w:t>
      </w:r>
      <w:r w:rsidR="00473B8D">
        <w:rPr>
          <w:rFonts w:eastAsiaTheme="minorHAnsi"/>
        </w:rPr>
        <w:t>,</w:t>
      </w:r>
      <w:r w:rsidR="00B97191">
        <w:rPr>
          <w:rFonts w:eastAsiaTheme="minorHAnsi"/>
        </w:rPr>
        <w:t xml:space="preserve"> three months earlier,</w:t>
      </w:r>
      <w:r w:rsidR="00430790">
        <w:rPr>
          <w:rFonts w:eastAsiaTheme="minorHAnsi"/>
        </w:rPr>
        <w:t xml:space="preserve"> Mr. Ruiz </w:t>
      </w:r>
      <w:r w:rsidR="00F72472">
        <w:rPr>
          <w:rFonts w:eastAsiaTheme="minorHAnsi"/>
        </w:rPr>
        <w:t xml:space="preserve">had </w:t>
      </w:r>
      <w:r w:rsidR="00430790">
        <w:rPr>
          <w:rFonts w:eastAsiaTheme="minorHAnsi"/>
        </w:rPr>
        <w:t>struck her in front of their two children. (</w:t>
      </w:r>
      <w:proofErr w:type="spellStart"/>
      <w:r w:rsidR="00430790">
        <w:rPr>
          <w:rFonts w:eastAsiaTheme="minorHAnsi"/>
        </w:rPr>
        <w:t>Ex</w:t>
      </w:r>
      <w:r w:rsidR="00332517">
        <w:rPr>
          <w:rFonts w:eastAsiaTheme="minorHAnsi"/>
        </w:rPr>
        <w:t>s</w:t>
      </w:r>
      <w:proofErr w:type="spellEnd"/>
      <w:r w:rsidR="00430790">
        <w:rPr>
          <w:rFonts w:eastAsiaTheme="minorHAnsi"/>
        </w:rPr>
        <w:t xml:space="preserve">. </w:t>
      </w:r>
      <w:proofErr w:type="gramStart"/>
      <w:r w:rsidR="00430790">
        <w:rPr>
          <w:rFonts w:eastAsiaTheme="minorHAnsi"/>
        </w:rPr>
        <w:t xml:space="preserve">A, </w:t>
      </w:r>
      <w:r w:rsidR="00332517">
        <w:rPr>
          <w:rFonts w:eastAsiaTheme="minorHAnsi"/>
        </w:rPr>
        <w:t>D).</w:t>
      </w:r>
      <w:proofErr w:type="gramEnd"/>
    </w:p>
    <w:p w:rsidR="00716D9A" w:rsidRDefault="00B97191" w:rsidP="008511E2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>7</w:t>
      </w:r>
      <w:r w:rsidR="00716D9A">
        <w:rPr>
          <w:rFonts w:eastAsiaTheme="minorHAnsi"/>
        </w:rPr>
        <w:t xml:space="preserve">. </w:t>
      </w:r>
      <w:r w:rsidR="00F72472">
        <w:rPr>
          <w:rFonts w:eastAsiaTheme="minorHAnsi"/>
        </w:rPr>
        <w:tab/>
      </w:r>
      <w:r w:rsidR="00716D9A">
        <w:rPr>
          <w:rFonts w:eastAsiaTheme="minorHAnsi"/>
        </w:rPr>
        <w:t xml:space="preserve">On November 3, 2014, the </w:t>
      </w:r>
      <w:r>
        <w:t xml:space="preserve">Department of Children and Families (“DCF”) </w:t>
      </w:r>
      <w:r w:rsidR="00716D9A">
        <w:rPr>
          <w:rFonts w:eastAsiaTheme="minorHAnsi"/>
        </w:rPr>
        <w:t xml:space="preserve">informed Mr. Ruiz that </w:t>
      </w:r>
      <w:r w:rsidR="00F72472">
        <w:rPr>
          <w:rFonts w:eastAsiaTheme="minorHAnsi"/>
        </w:rPr>
        <w:t xml:space="preserve">it would issue a </w:t>
      </w:r>
      <w:r w:rsidR="00716D9A">
        <w:rPr>
          <w:rFonts w:eastAsiaTheme="minorHAnsi"/>
        </w:rPr>
        <w:t xml:space="preserve">supported </w:t>
      </w:r>
      <w:r w:rsidR="00F72472">
        <w:rPr>
          <w:rFonts w:eastAsiaTheme="minorHAnsi"/>
        </w:rPr>
        <w:t xml:space="preserve">finding of </w:t>
      </w:r>
      <w:r w:rsidR="003476DB">
        <w:rPr>
          <w:rFonts w:eastAsiaTheme="minorHAnsi"/>
        </w:rPr>
        <w:t>n</w:t>
      </w:r>
      <w:r w:rsidR="00716D9A">
        <w:rPr>
          <w:rFonts w:eastAsiaTheme="minorHAnsi"/>
        </w:rPr>
        <w:t xml:space="preserve">eglect of </w:t>
      </w:r>
      <w:r w:rsidR="00CB447C">
        <w:rPr>
          <w:rFonts w:eastAsiaTheme="minorHAnsi"/>
        </w:rPr>
        <w:t xml:space="preserve">his </w:t>
      </w:r>
      <w:r w:rsidR="00716D9A">
        <w:rPr>
          <w:rFonts w:eastAsiaTheme="minorHAnsi"/>
        </w:rPr>
        <w:t xml:space="preserve">children due to his domestic violence incident with Ms. Carvajal-Rojas. </w:t>
      </w:r>
      <w:r w:rsidR="006B0A06">
        <w:rPr>
          <w:rFonts w:eastAsiaTheme="minorHAnsi"/>
        </w:rPr>
        <w:t xml:space="preserve">On March 31, 2015, DCF closed its case concerning Mr. Ruiz. </w:t>
      </w:r>
      <w:proofErr w:type="gramStart"/>
      <w:r w:rsidR="00716D9A">
        <w:rPr>
          <w:rFonts w:eastAsiaTheme="minorHAnsi"/>
        </w:rPr>
        <w:t>(</w:t>
      </w:r>
      <w:proofErr w:type="spellStart"/>
      <w:r w:rsidR="00716D9A">
        <w:rPr>
          <w:rFonts w:eastAsiaTheme="minorHAnsi"/>
        </w:rPr>
        <w:t>Ex</w:t>
      </w:r>
      <w:r w:rsidR="006B0A06">
        <w:rPr>
          <w:rFonts w:eastAsiaTheme="minorHAnsi"/>
        </w:rPr>
        <w:t>s</w:t>
      </w:r>
      <w:proofErr w:type="spellEnd"/>
      <w:r w:rsidR="00716D9A">
        <w:rPr>
          <w:rFonts w:eastAsiaTheme="minorHAnsi"/>
        </w:rPr>
        <w:t>.</w:t>
      </w:r>
      <w:proofErr w:type="gramEnd"/>
      <w:r w:rsidR="00716D9A">
        <w:rPr>
          <w:rFonts w:eastAsiaTheme="minorHAnsi"/>
        </w:rPr>
        <w:t xml:space="preserve"> </w:t>
      </w:r>
      <w:r w:rsidR="00332517">
        <w:rPr>
          <w:rFonts w:eastAsiaTheme="minorHAnsi"/>
        </w:rPr>
        <w:t>D</w:t>
      </w:r>
      <w:r w:rsidR="006B0A06">
        <w:rPr>
          <w:rFonts w:eastAsiaTheme="minorHAnsi"/>
        </w:rPr>
        <w:t>, F</w:t>
      </w:r>
      <w:r w:rsidR="00332517">
        <w:rPr>
          <w:rFonts w:eastAsiaTheme="minorHAnsi"/>
        </w:rPr>
        <w:t>).</w:t>
      </w:r>
    </w:p>
    <w:p w:rsidR="00582DB2" w:rsidRDefault="00B97191" w:rsidP="008511E2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>8</w:t>
      </w:r>
      <w:r w:rsidR="00BF0AFC">
        <w:rPr>
          <w:rFonts w:eastAsiaTheme="minorHAnsi"/>
        </w:rPr>
        <w:t xml:space="preserve">. </w:t>
      </w:r>
      <w:r w:rsidR="00F72472">
        <w:rPr>
          <w:rFonts w:eastAsiaTheme="minorHAnsi"/>
        </w:rPr>
        <w:tab/>
      </w:r>
      <w:r w:rsidR="005E63EF">
        <w:rPr>
          <w:rFonts w:eastAsiaTheme="minorHAnsi"/>
        </w:rPr>
        <w:t>B</w:t>
      </w:r>
      <w:r w:rsidR="005E63EF" w:rsidRPr="00582DB2">
        <w:rPr>
          <w:rFonts w:eastAsiaTheme="minorHAnsi"/>
        </w:rPr>
        <w:t xml:space="preserve">y letter dated </w:t>
      </w:r>
      <w:r w:rsidR="00716D9A">
        <w:rPr>
          <w:rFonts w:eastAsiaTheme="minorHAnsi"/>
        </w:rPr>
        <w:t>November 1</w:t>
      </w:r>
      <w:r w:rsidR="006B0A06">
        <w:rPr>
          <w:rFonts w:eastAsiaTheme="minorHAnsi"/>
        </w:rPr>
        <w:t>4</w:t>
      </w:r>
      <w:r w:rsidR="005E63EF" w:rsidRPr="00582DB2">
        <w:rPr>
          <w:rFonts w:eastAsiaTheme="minorHAnsi"/>
        </w:rPr>
        <w:t>, 201</w:t>
      </w:r>
      <w:r w:rsidR="00716D9A">
        <w:rPr>
          <w:rFonts w:eastAsiaTheme="minorHAnsi"/>
        </w:rPr>
        <w:t>6</w:t>
      </w:r>
      <w:r w:rsidR="005E63EF">
        <w:rPr>
          <w:rFonts w:eastAsiaTheme="minorHAnsi"/>
        </w:rPr>
        <w:t>, t</w:t>
      </w:r>
      <w:r w:rsidR="00582DB2" w:rsidRPr="00582DB2">
        <w:rPr>
          <w:rFonts w:eastAsiaTheme="minorHAnsi"/>
        </w:rPr>
        <w:t xml:space="preserve">he </w:t>
      </w:r>
      <w:r w:rsidR="0054528F">
        <w:rPr>
          <w:rFonts w:eastAsiaTheme="minorHAnsi"/>
        </w:rPr>
        <w:t xml:space="preserve">EEC </w:t>
      </w:r>
      <w:r w:rsidR="00582DB2" w:rsidRPr="00582DB2">
        <w:rPr>
          <w:rFonts w:eastAsiaTheme="minorHAnsi"/>
        </w:rPr>
        <w:t xml:space="preserve">Background Record Check Unit notified Ms. </w:t>
      </w:r>
      <w:r w:rsidR="00716D9A">
        <w:rPr>
          <w:rFonts w:eastAsiaTheme="minorHAnsi"/>
        </w:rPr>
        <w:t>Carvajal-Rojas</w:t>
      </w:r>
      <w:r w:rsidR="00582DB2" w:rsidRPr="00582DB2">
        <w:rPr>
          <w:rFonts w:eastAsiaTheme="minorHAnsi"/>
        </w:rPr>
        <w:t xml:space="preserve"> that she </w:t>
      </w:r>
      <w:r w:rsidR="00716D9A">
        <w:rPr>
          <w:rFonts w:eastAsiaTheme="minorHAnsi"/>
        </w:rPr>
        <w:t>may be</w:t>
      </w:r>
      <w:r w:rsidR="00582DB2" w:rsidRPr="00582DB2">
        <w:rPr>
          <w:rFonts w:eastAsiaTheme="minorHAnsi"/>
        </w:rPr>
        <w:t xml:space="preserve"> disqualified from holding a </w:t>
      </w:r>
      <w:r w:rsidR="00716D9A">
        <w:rPr>
          <w:rFonts w:eastAsiaTheme="minorHAnsi"/>
        </w:rPr>
        <w:t>family child care</w:t>
      </w:r>
      <w:r w:rsidR="00CB447C">
        <w:rPr>
          <w:rFonts w:eastAsiaTheme="minorHAnsi"/>
        </w:rPr>
        <w:t xml:space="preserve"> educator</w:t>
      </w:r>
      <w:r w:rsidR="00716D9A">
        <w:rPr>
          <w:rFonts w:eastAsiaTheme="minorHAnsi"/>
        </w:rPr>
        <w:t xml:space="preserve"> license</w:t>
      </w:r>
      <w:r w:rsidR="00582DB2" w:rsidRPr="00582DB2">
        <w:rPr>
          <w:rFonts w:eastAsiaTheme="minorHAnsi"/>
        </w:rPr>
        <w:t xml:space="preserve"> based</w:t>
      </w:r>
      <w:r w:rsidR="00217A18">
        <w:rPr>
          <w:rFonts w:eastAsiaTheme="minorHAnsi"/>
        </w:rPr>
        <w:t xml:space="preserve"> </w:t>
      </w:r>
      <w:r w:rsidR="00582DB2" w:rsidRPr="00582DB2">
        <w:rPr>
          <w:rFonts w:eastAsiaTheme="minorHAnsi"/>
        </w:rPr>
        <w:t xml:space="preserve">on </w:t>
      </w:r>
      <w:r w:rsidR="00716D9A">
        <w:rPr>
          <w:rFonts w:eastAsiaTheme="minorHAnsi"/>
        </w:rPr>
        <w:t>Mr. Ruiz’s</w:t>
      </w:r>
      <w:r w:rsidR="00582DB2" w:rsidRPr="00582DB2">
        <w:rPr>
          <w:rFonts w:eastAsiaTheme="minorHAnsi"/>
        </w:rPr>
        <w:t xml:space="preserve"> </w:t>
      </w:r>
      <w:r w:rsidR="005E63EF">
        <w:rPr>
          <w:rFonts w:eastAsiaTheme="minorHAnsi"/>
        </w:rPr>
        <w:t xml:space="preserve">DCF </w:t>
      </w:r>
      <w:r w:rsidR="00582DB2" w:rsidRPr="00582DB2">
        <w:rPr>
          <w:rFonts w:eastAsiaTheme="minorHAnsi"/>
        </w:rPr>
        <w:t>Background History</w:t>
      </w:r>
      <w:r w:rsidR="002A46FE">
        <w:rPr>
          <w:rFonts w:eastAsiaTheme="minorHAnsi"/>
        </w:rPr>
        <w:t xml:space="preserve">, </w:t>
      </w:r>
      <w:r w:rsidR="00217A18">
        <w:rPr>
          <w:rFonts w:eastAsiaTheme="minorHAnsi"/>
        </w:rPr>
        <w:t xml:space="preserve">which </w:t>
      </w:r>
      <w:r w:rsidR="00CB447C">
        <w:rPr>
          <w:rFonts w:eastAsiaTheme="minorHAnsi"/>
        </w:rPr>
        <w:t xml:space="preserve">now </w:t>
      </w:r>
      <w:r w:rsidR="00217A18">
        <w:rPr>
          <w:rFonts w:eastAsiaTheme="minorHAnsi"/>
        </w:rPr>
        <w:t xml:space="preserve">included two </w:t>
      </w:r>
      <w:r w:rsidR="00267865">
        <w:rPr>
          <w:rFonts w:eastAsiaTheme="minorHAnsi"/>
        </w:rPr>
        <w:t xml:space="preserve">allegations </w:t>
      </w:r>
      <w:r w:rsidR="00217A18">
        <w:rPr>
          <w:rFonts w:eastAsiaTheme="minorHAnsi"/>
        </w:rPr>
        <w:t>of neglect</w:t>
      </w:r>
      <w:r w:rsidR="000428C9">
        <w:rPr>
          <w:rFonts w:eastAsiaTheme="minorHAnsi"/>
        </w:rPr>
        <w:t>,</w:t>
      </w:r>
      <w:r w:rsidR="00267865">
        <w:rPr>
          <w:rFonts w:eastAsiaTheme="minorHAnsi"/>
        </w:rPr>
        <w:t xml:space="preserve"> each supported in a 51B report</w:t>
      </w:r>
      <w:r w:rsidR="000428C9">
        <w:rPr>
          <w:rFonts w:eastAsiaTheme="minorHAnsi"/>
        </w:rPr>
        <w:t>.</w:t>
      </w:r>
      <w:r w:rsidR="00582DB2" w:rsidRPr="00582DB2">
        <w:rPr>
          <w:rFonts w:eastAsiaTheme="minorHAnsi"/>
        </w:rPr>
        <w:t xml:space="preserve"> (Ex. </w:t>
      </w:r>
      <w:r w:rsidR="001B4621">
        <w:rPr>
          <w:rFonts w:eastAsiaTheme="minorHAnsi"/>
        </w:rPr>
        <w:t>B</w:t>
      </w:r>
      <w:r w:rsidR="00582DB2" w:rsidRPr="00582DB2">
        <w:rPr>
          <w:rFonts w:eastAsiaTheme="minorHAnsi"/>
        </w:rPr>
        <w:t>).</w:t>
      </w:r>
    </w:p>
    <w:p w:rsidR="00AC4374" w:rsidRDefault="009B1791" w:rsidP="008511E2">
      <w:pPr>
        <w:spacing w:line="480" w:lineRule="auto"/>
        <w:ind w:firstLine="720"/>
      </w:pPr>
      <w:r>
        <w:rPr>
          <w:rFonts w:eastAsiaTheme="minorHAnsi"/>
        </w:rPr>
        <w:t>9</w:t>
      </w:r>
      <w:r w:rsidR="00384347">
        <w:rPr>
          <w:rFonts w:eastAsiaTheme="minorHAnsi"/>
        </w:rPr>
        <w:t>.</w:t>
      </w:r>
      <w:r w:rsidR="004874EE">
        <w:tab/>
      </w:r>
      <w:r w:rsidR="006E0437">
        <w:t>When EEC’s discretionary review team</w:t>
      </w:r>
      <w:r w:rsidR="00160B12">
        <w:t>,</w:t>
      </w:r>
      <w:r w:rsidR="00160B12" w:rsidRPr="00160B12">
        <w:t xml:space="preserve"> </w:t>
      </w:r>
      <w:r w:rsidR="00160B12">
        <w:t xml:space="preserve">including Ms. </w:t>
      </w:r>
      <w:proofErr w:type="spellStart"/>
      <w:r w:rsidR="00756DD5">
        <w:t>Lalancette</w:t>
      </w:r>
      <w:proofErr w:type="spellEnd"/>
      <w:r w:rsidR="00160B12">
        <w:t>,</w:t>
      </w:r>
      <w:r w:rsidR="006E0437">
        <w:t xml:space="preserve"> met to review Ms. </w:t>
      </w:r>
      <w:proofErr w:type="spellStart"/>
      <w:r w:rsidR="00756DD5">
        <w:t>Carvajal</w:t>
      </w:r>
      <w:proofErr w:type="spellEnd"/>
      <w:r w:rsidR="00756DD5">
        <w:t>-Rojas</w:t>
      </w:r>
      <w:r w:rsidR="006E0437">
        <w:t>’</w:t>
      </w:r>
      <w:r w:rsidR="002C35EF">
        <w:t>s</w:t>
      </w:r>
      <w:r w:rsidR="006E0437">
        <w:t xml:space="preserve"> application, </w:t>
      </w:r>
      <w:r w:rsidR="00347D7C">
        <w:t>it</w:t>
      </w:r>
      <w:r w:rsidR="006E0437">
        <w:t xml:space="preserve"> considered</w:t>
      </w:r>
      <w:r w:rsidR="00756DD5">
        <w:t xml:space="preserve"> </w:t>
      </w:r>
      <w:r w:rsidR="002C35EF">
        <w:t>the following</w:t>
      </w:r>
      <w:r w:rsidR="00756DD5">
        <w:t xml:space="preserve">: there was a pattern of domestic violence perpetrated by Mr. Ruiz in front of his children; the Discretionary Approval granted in 2013 </w:t>
      </w:r>
      <w:r w:rsidR="00F75DE1">
        <w:t xml:space="preserve">involved a woman </w:t>
      </w:r>
      <w:r w:rsidR="00756DD5">
        <w:t xml:space="preserve">other than Ms. Carvajal-Rojas; there were two findings of </w:t>
      </w:r>
      <w:r w:rsidR="005539D0">
        <w:t>n</w:t>
      </w:r>
      <w:r w:rsidR="00756DD5">
        <w:t>eglect under extremely similar circumstances; the matter was extremely serious</w:t>
      </w:r>
      <w:r w:rsidR="00F75DE1">
        <w:t>,</w:t>
      </w:r>
      <w:r w:rsidR="00756DD5">
        <w:t xml:space="preserve"> as young children witness</w:t>
      </w:r>
      <w:r w:rsidR="003C452B">
        <w:t>ed</w:t>
      </w:r>
      <w:r w:rsidR="00756DD5">
        <w:t xml:space="preserve">  Mr. Ruiz’s violen</w:t>
      </w:r>
      <w:r w:rsidR="003C452B">
        <w:t>ce</w:t>
      </w:r>
      <w:r w:rsidR="00756DD5">
        <w:t xml:space="preserve"> against their mothers; Mr. Ruiz’s conduct is directly related to the ability of Ms. Carvajal-Rojas to provide </w:t>
      </w:r>
      <w:r w:rsidR="00FC5DBE">
        <w:t xml:space="preserve">safe child care; there is no guarantee that Mr. Ruiz will be outside </w:t>
      </w:r>
      <w:r w:rsidR="00FC5DBE">
        <w:lastRenderedPageBreak/>
        <w:t xml:space="preserve">of the home during child care hours; </w:t>
      </w:r>
      <w:r>
        <w:t xml:space="preserve">Mr. Ruiz was only 24 years old at the time of his first DCF neglect support, but he was 31 years old at the time of the second neglect support; </w:t>
      </w:r>
      <w:r w:rsidR="00FC5DBE">
        <w:t>and M</w:t>
      </w:r>
      <w:r w:rsidR="00F75DE1">
        <w:t>r</w:t>
      </w:r>
      <w:r w:rsidR="00FC5DBE">
        <w:t>. Ruiz has shown no evidence of rehabilitation</w:t>
      </w:r>
      <w:r w:rsidR="00F75DE1">
        <w:t>,</w:t>
      </w:r>
      <w:r w:rsidR="00FC5DBE">
        <w:t xml:space="preserve"> such as </w:t>
      </w:r>
      <w:r w:rsidR="003C452B">
        <w:t xml:space="preserve">completing </w:t>
      </w:r>
      <w:r w:rsidR="00FC5DBE">
        <w:t>anger management classes. (</w:t>
      </w:r>
      <w:proofErr w:type="spellStart"/>
      <w:r w:rsidR="00FC5DBE">
        <w:t>Exs</w:t>
      </w:r>
      <w:proofErr w:type="spellEnd"/>
      <w:r w:rsidR="00FC5DBE">
        <w:t xml:space="preserve">. </w:t>
      </w:r>
      <w:proofErr w:type="gramStart"/>
      <w:r w:rsidR="00FC5DBE">
        <w:t>A, C</w:t>
      </w:r>
      <w:r w:rsidR="00067372">
        <w:t xml:space="preserve">; Testimony </w:t>
      </w:r>
      <w:proofErr w:type="spellStart"/>
      <w:r w:rsidR="00067372">
        <w:t>Lalancette</w:t>
      </w:r>
      <w:proofErr w:type="spellEnd"/>
      <w:r w:rsidR="00FC5DBE">
        <w:t>)</w:t>
      </w:r>
      <w:r w:rsidR="00BF0AFC">
        <w:t>.</w:t>
      </w:r>
      <w:proofErr w:type="gramEnd"/>
    </w:p>
    <w:p w:rsidR="00676487" w:rsidRDefault="00676487" w:rsidP="00676487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>10.</w:t>
      </w:r>
      <w:r>
        <w:rPr>
          <w:rFonts w:eastAsiaTheme="minorHAnsi"/>
        </w:rPr>
        <w:tab/>
        <w:t xml:space="preserve">On July 26, 2017, EEC denied Mr. Ruiz’s request for discretionary approval. </w:t>
      </w:r>
      <w:proofErr w:type="gramStart"/>
      <w:r>
        <w:rPr>
          <w:rFonts w:eastAsiaTheme="minorHAnsi"/>
        </w:rPr>
        <w:t>(</w:t>
      </w:r>
      <w:proofErr w:type="spellStart"/>
      <w:r>
        <w:rPr>
          <w:rFonts w:eastAsiaTheme="minorHAnsi"/>
        </w:rPr>
        <w:t>Exs</w:t>
      </w:r>
      <w:proofErr w:type="spellEnd"/>
      <w:r>
        <w:rPr>
          <w:rFonts w:eastAsiaTheme="minorHAnsi"/>
        </w:rPr>
        <w:t>.</w:t>
      </w:r>
      <w:proofErr w:type="gramEnd"/>
      <w:r>
        <w:rPr>
          <w:rFonts w:eastAsiaTheme="minorHAnsi"/>
        </w:rPr>
        <w:t xml:space="preserve"> A, C). </w:t>
      </w:r>
    </w:p>
    <w:p w:rsidR="009B1791" w:rsidRDefault="009B1791" w:rsidP="008511E2">
      <w:pPr>
        <w:spacing w:line="480" w:lineRule="auto"/>
        <w:ind w:firstLine="720"/>
      </w:pPr>
      <w:r>
        <w:t xml:space="preserve">11. </w:t>
      </w:r>
      <w:r w:rsidR="004874EE">
        <w:tab/>
        <w:t xml:space="preserve">Ms. </w:t>
      </w:r>
      <w:proofErr w:type="spellStart"/>
      <w:r w:rsidR="004874EE">
        <w:t>Carvajal</w:t>
      </w:r>
      <w:proofErr w:type="spellEnd"/>
      <w:r w:rsidR="004874EE">
        <w:t xml:space="preserve">-Rojas </w:t>
      </w:r>
      <w:r w:rsidR="007C0AA3">
        <w:t xml:space="preserve">believed </w:t>
      </w:r>
      <w:r w:rsidR="004874EE">
        <w:t>that</w:t>
      </w:r>
      <w:r w:rsidR="007C0AA3">
        <w:t>, a</w:t>
      </w:r>
      <w:r w:rsidR="004B64B8">
        <w:t>side</w:t>
      </w:r>
      <w:r w:rsidR="008C3748">
        <w:t xml:space="preserve"> from</w:t>
      </w:r>
      <w:r w:rsidR="004B64B8">
        <w:t xml:space="preserve"> the two incidents documented in the 51B reports</w:t>
      </w:r>
      <w:r w:rsidR="00004CF9">
        <w:t>,</w:t>
      </w:r>
      <w:r w:rsidR="00004CF9" w:rsidRPr="00004CF9">
        <w:t xml:space="preserve"> </w:t>
      </w:r>
      <w:r w:rsidR="00004CF9">
        <w:t>Mr. Ruiz is a good father, who behaves well in front of his children</w:t>
      </w:r>
      <w:r w:rsidR="004B64B8">
        <w:t>.</w:t>
      </w:r>
      <w:r w:rsidR="00976799">
        <w:t xml:space="preserve"> </w:t>
      </w:r>
      <w:r w:rsidR="003875F6">
        <w:t xml:space="preserve">She believed she could provide a safe environment for children. </w:t>
      </w:r>
      <w:proofErr w:type="gramStart"/>
      <w:r w:rsidR="00976799">
        <w:t xml:space="preserve">(Testimony </w:t>
      </w:r>
      <w:proofErr w:type="spellStart"/>
      <w:r w:rsidR="00976799">
        <w:t>Carvajal</w:t>
      </w:r>
      <w:proofErr w:type="spellEnd"/>
      <w:r w:rsidR="00976799">
        <w:t>-Rojas).</w:t>
      </w:r>
      <w:proofErr w:type="gramEnd"/>
    </w:p>
    <w:p w:rsidR="004B64B8" w:rsidRDefault="004B64B8" w:rsidP="008511E2">
      <w:pPr>
        <w:spacing w:line="480" w:lineRule="auto"/>
        <w:ind w:firstLine="720"/>
      </w:pPr>
      <w:r>
        <w:t>13.</w:t>
      </w:r>
      <w:r w:rsidR="007C0AA3">
        <w:t xml:space="preserve"> </w:t>
      </w:r>
      <w:r w:rsidR="007C0AA3">
        <w:tab/>
      </w:r>
      <w:r>
        <w:t xml:space="preserve">Mr. Ruiz would </w:t>
      </w:r>
      <w:r w:rsidR="002C35EF">
        <w:t>be at work during child care hours, and h</w:t>
      </w:r>
      <w:r>
        <w:t xml:space="preserve">e </w:t>
      </w:r>
      <w:r w:rsidR="002C35EF">
        <w:t xml:space="preserve">would be </w:t>
      </w:r>
      <w:r>
        <w:t xml:space="preserve">able to stay </w:t>
      </w:r>
      <w:r w:rsidR="002C35EF">
        <w:t>at</w:t>
      </w:r>
      <w:r>
        <w:t xml:space="preserve"> his mother’s apartment, which is in the same building as his, if he needed to stay home from work</w:t>
      </w:r>
      <w:r w:rsidR="008C3748">
        <w:t>.</w:t>
      </w:r>
      <w:r>
        <w:t xml:space="preserve"> </w:t>
      </w:r>
      <w:proofErr w:type="gramStart"/>
      <w:r w:rsidR="00976799">
        <w:t xml:space="preserve">(Testimony </w:t>
      </w:r>
      <w:proofErr w:type="spellStart"/>
      <w:r w:rsidR="00976799">
        <w:t>Carvajal</w:t>
      </w:r>
      <w:proofErr w:type="spellEnd"/>
      <w:r w:rsidR="00976799">
        <w:t>-Rojas).</w:t>
      </w:r>
      <w:proofErr w:type="gramEnd"/>
    </w:p>
    <w:p w:rsidR="00403F33" w:rsidRDefault="00403F33" w:rsidP="008511E2">
      <w:pPr>
        <w:spacing w:line="480" w:lineRule="auto"/>
        <w:ind w:firstLine="720"/>
      </w:pPr>
      <w:r>
        <w:t>1</w:t>
      </w:r>
      <w:r w:rsidR="004B64B8">
        <w:t>4</w:t>
      </w:r>
      <w:r>
        <w:t xml:space="preserve">. </w:t>
      </w:r>
      <w:r w:rsidR="004874EE">
        <w:tab/>
      </w:r>
      <w:r>
        <w:t xml:space="preserve">EEC issued its refusal to renew Ms. </w:t>
      </w:r>
      <w:r w:rsidR="00FC5DBE">
        <w:t>Carvajal-Rojas’ family child care educator’s license</w:t>
      </w:r>
      <w:r w:rsidR="002C35EF">
        <w:t>, based on Mr. Ruiz’s disqualifying background</w:t>
      </w:r>
      <w:r w:rsidR="003875F6">
        <w:t>,</w:t>
      </w:r>
      <w:r>
        <w:t xml:space="preserve"> on </w:t>
      </w:r>
      <w:r w:rsidR="002C35EF">
        <w:t>August 4</w:t>
      </w:r>
      <w:r>
        <w:t>, 201</w:t>
      </w:r>
      <w:r w:rsidR="00FC5DBE">
        <w:t>7</w:t>
      </w:r>
      <w:r>
        <w:t xml:space="preserve">. (Ex. </w:t>
      </w:r>
      <w:r w:rsidR="002C35EF">
        <w:t>G</w:t>
      </w:r>
      <w:r>
        <w:t>).</w:t>
      </w:r>
    </w:p>
    <w:p w:rsidR="00403F33" w:rsidRPr="005E63EF" w:rsidRDefault="00403F33" w:rsidP="008511E2">
      <w:pPr>
        <w:spacing w:line="480" w:lineRule="auto"/>
        <w:ind w:firstLine="720"/>
      </w:pPr>
      <w:r>
        <w:t>1</w:t>
      </w:r>
      <w:r w:rsidR="004B64B8">
        <w:t>5</w:t>
      </w:r>
      <w:r>
        <w:t xml:space="preserve">. </w:t>
      </w:r>
      <w:r w:rsidR="004874EE">
        <w:tab/>
      </w:r>
      <w:r>
        <w:t xml:space="preserve">Ms. </w:t>
      </w:r>
      <w:r w:rsidR="00FC5DBE">
        <w:t xml:space="preserve">Carvajal-Rojas </w:t>
      </w:r>
      <w:r w:rsidR="00347D7C">
        <w:t xml:space="preserve">timely </w:t>
      </w:r>
      <w:r>
        <w:t>appeal</w:t>
      </w:r>
      <w:r w:rsidR="00347D7C">
        <w:t>ed</w:t>
      </w:r>
      <w:r>
        <w:t xml:space="preserve"> on </w:t>
      </w:r>
      <w:r w:rsidR="00FC5DBE">
        <w:t>August 11</w:t>
      </w:r>
      <w:r>
        <w:t>, 201</w:t>
      </w:r>
      <w:r w:rsidR="00FC5DBE">
        <w:t>7</w:t>
      </w:r>
      <w:r>
        <w:t xml:space="preserve">. (Ex. </w:t>
      </w:r>
      <w:r w:rsidR="00FC5DBE">
        <w:t>E</w:t>
      </w:r>
      <w:r>
        <w:t>).</w:t>
      </w:r>
    </w:p>
    <w:p w:rsidR="005E63EF" w:rsidRDefault="00BF15E2" w:rsidP="004D23AA">
      <w:pPr>
        <w:spacing w:line="480" w:lineRule="auto"/>
        <w:jc w:val="center"/>
        <w:rPr>
          <w:b/>
        </w:rPr>
      </w:pPr>
      <w:r>
        <w:rPr>
          <w:b/>
        </w:rPr>
        <w:t>DISCUSSION AND CONCLUSION</w:t>
      </w:r>
    </w:p>
    <w:p w:rsidR="00BF15E2" w:rsidRPr="005E63EF" w:rsidRDefault="005E63EF" w:rsidP="005E63EF">
      <w:pPr>
        <w:spacing w:line="480" w:lineRule="auto"/>
        <w:rPr>
          <w:b/>
        </w:rPr>
      </w:pPr>
      <w:r>
        <w:rPr>
          <w:b/>
        </w:rPr>
        <w:tab/>
      </w:r>
      <w:r w:rsidR="00BF15E2">
        <w:t>I conclude that EEC</w:t>
      </w:r>
      <w:r w:rsidR="00347D7C">
        <w:t xml:space="preserve">’s </w:t>
      </w:r>
      <w:r w:rsidR="00FC5DBE">
        <w:t xml:space="preserve">denial </w:t>
      </w:r>
      <w:r w:rsidR="00BF15E2">
        <w:t xml:space="preserve">of discretionary approval following a DCF background check </w:t>
      </w:r>
      <w:r w:rsidR="002C35EF">
        <w:t xml:space="preserve">and resulting refusal to renew Ms. </w:t>
      </w:r>
      <w:proofErr w:type="spellStart"/>
      <w:r w:rsidR="002C35EF">
        <w:t>Carvajal</w:t>
      </w:r>
      <w:proofErr w:type="spellEnd"/>
      <w:r w:rsidR="002C35EF">
        <w:t xml:space="preserve">-Rojas’s child care license </w:t>
      </w:r>
      <w:r w:rsidR="00BF15E2">
        <w:t>is supported by the evidence.</w:t>
      </w:r>
    </w:p>
    <w:p w:rsidR="00BF15E2" w:rsidRDefault="00BF15E2" w:rsidP="00A219E6">
      <w:pPr>
        <w:spacing w:line="480" w:lineRule="auto"/>
        <w:ind w:firstLine="720"/>
      </w:pPr>
      <w:r w:rsidRPr="00423B87">
        <w:t>Under 102 CMR 1.05(1), “[a]</w:t>
      </w:r>
      <w:proofErr w:type="spellStart"/>
      <w:r w:rsidRPr="00423B87">
        <w:t>ny</w:t>
      </w:r>
      <w:proofErr w:type="spellEnd"/>
      <w:r w:rsidR="00A13A16">
        <w:t>…</w:t>
      </w:r>
      <w:r w:rsidR="001B4621">
        <w:t>household member…</w:t>
      </w:r>
      <w:r w:rsidR="00A13A16">
        <w:t xml:space="preserve">when family day care children are present </w:t>
      </w:r>
      <w:r w:rsidRPr="00423B87">
        <w:t xml:space="preserve">shall have a background free </w:t>
      </w:r>
      <w:r w:rsidR="005F44EA">
        <w:t>of</w:t>
      </w:r>
      <w:r w:rsidRPr="00423B87">
        <w:t xml:space="preserve"> conduct which, in the judgment of [EEC], bears adversely upon applicant’s</w:t>
      </w:r>
      <w:r w:rsidR="005F44EA">
        <w:t>…</w:t>
      </w:r>
      <w:r w:rsidRPr="00423B87">
        <w:t>ability to care for children.” Included in such conduct are “allegations of abuse or neglect of a child, supported in a 51B report.” 102 CMR 1.05(1)(a)</w:t>
      </w:r>
      <w:r>
        <w:t>(</w:t>
      </w:r>
      <w:r w:rsidRPr="00423B87">
        <w:t>4</w:t>
      </w:r>
      <w:r>
        <w:t>)</w:t>
      </w:r>
      <w:r w:rsidR="005E63EF">
        <w:t xml:space="preserve">. </w:t>
      </w:r>
      <w:r w:rsidRPr="00423B87">
        <w:lastRenderedPageBreak/>
        <w:t>Consequently, “[a]n applicant shall not qualify to receive</w:t>
      </w:r>
      <w:r w:rsidR="005F44EA">
        <w:t>, retain, or have renewed a</w:t>
      </w:r>
      <w:r w:rsidRPr="00423B87">
        <w:t xml:space="preserve"> license if the background of the</w:t>
      </w:r>
      <w:r w:rsidR="00095CFE">
        <w:t>…</w:t>
      </w:r>
      <w:r w:rsidR="001B4621">
        <w:t>household member</w:t>
      </w:r>
      <w:r w:rsidRPr="00423B87">
        <w:t xml:space="preserve">…is not free from conduct which adversely bears on the provider’s </w:t>
      </w:r>
      <w:r w:rsidR="005E63EF">
        <w:t xml:space="preserve">ability to care for children.” </w:t>
      </w:r>
      <w:r w:rsidRPr="00423B87">
        <w:t>102 CMR 1.05(1</w:t>
      </w:r>
      <w:proofErr w:type="gramStart"/>
      <w:r w:rsidRPr="00423B87">
        <w:t>)(</w:t>
      </w:r>
      <w:proofErr w:type="gramEnd"/>
      <w:r w:rsidRPr="00423B87">
        <w:t xml:space="preserve">b). </w:t>
      </w:r>
    </w:p>
    <w:p w:rsidR="002D18A1" w:rsidRDefault="006805CF" w:rsidP="00BF15E2">
      <w:pPr>
        <w:spacing w:line="480" w:lineRule="auto"/>
      </w:pPr>
      <w:r>
        <w:tab/>
      </w:r>
      <w:r w:rsidR="002D18A1">
        <w:t xml:space="preserve">All DCF background record check findings other than “no record” are considered “discretionary disqualifications. </w:t>
      </w:r>
      <w:proofErr w:type="gramStart"/>
      <w:r w:rsidR="002D18A1">
        <w:t>606 CMR 14.09(3).</w:t>
      </w:r>
      <w:proofErr w:type="gramEnd"/>
      <w:r w:rsidR="002D18A1">
        <w:t xml:space="preserve"> Mr. Ruiz and Ms. </w:t>
      </w:r>
      <w:proofErr w:type="spellStart"/>
      <w:r w:rsidR="002D18A1">
        <w:t>Carvajal</w:t>
      </w:r>
      <w:proofErr w:type="spellEnd"/>
      <w:r w:rsidR="002D18A1">
        <w:t>-Rojas submitted additional information relevant to EEC’s discretionary review process. 606 CMR 14.09(3</w:t>
      </w:r>
      <w:proofErr w:type="gramStart"/>
      <w:r w:rsidR="002D18A1">
        <w:t>)e</w:t>
      </w:r>
      <w:proofErr w:type="gramEnd"/>
      <w:r w:rsidR="002D18A1">
        <w:t xml:space="preserve">. </w:t>
      </w:r>
    </w:p>
    <w:p w:rsidR="005F44EA" w:rsidRDefault="002D18A1" w:rsidP="002D18A1">
      <w:pPr>
        <w:spacing w:line="480" w:lineRule="auto"/>
        <w:ind w:firstLine="720"/>
      </w:pPr>
      <w:r>
        <w:t>An EEC</w:t>
      </w:r>
      <w:r w:rsidR="006805CF">
        <w:t xml:space="preserve"> discretionary review team met to evaluate </w:t>
      </w:r>
      <w:r w:rsidR="00DF0326">
        <w:t>the</w:t>
      </w:r>
      <w:r w:rsidR="006805CF">
        <w:t xml:space="preserve"> </w:t>
      </w:r>
      <w:r w:rsidR="00DC50EB">
        <w:t>level</w:t>
      </w:r>
      <w:r w:rsidR="00DF0326">
        <w:t xml:space="preserve"> of risk to children</w:t>
      </w:r>
      <w:r w:rsidR="00DC50EB">
        <w:t xml:space="preserve"> </w:t>
      </w:r>
      <w:r w:rsidR="006805CF">
        <w:t xml:space="preserve">in light of the </w:t>
      </w:r>
      <w:r w:rsidR="00DC50EB">
        <w:t xml:space="preserve">following </w:t>
      </w:r>
      <w:r w:rsidR="006805CF">
        <w:t>factors</w:t>
      </w:r>
      <w:r w:rsidR="00DC50EB">
        <w:t>:</w:t>
      </w:r>
      <w:r w:rsidR="006805CF">
        <w:t xml:space="preserve"> </w:t>
      </w:r>
      <w:r w:rsidR="00BF15E2" w:rsidRPr="002A1552">
        <w:t xml:space="preserve">time since the </w:t>
      </w:r>
      <w:r w:rsidR="007128E1">
        <w:t xml:space="preserve">incident </w:t>
      </w:r>
      <w:r w:rsidR="00BF15E2" w:rsidRPr="002A1552">
        <w:t>of neglect occurred;</w:t>
      </w:r>
      <w:r w:rsidR="00BF15E2">
        <w:t xml:space="preserve"> </w:t>
      </w:r>
      <w:r w:rsidR="00DF0326">
        <w:t>his</w:t>
      </w:r>
      <w:r w:rsidR="00150294">
        <w:t xml:space="preserve"> </w:t>
      </w:r>
      <w:r w:rsidR="00BF15E2" w:rsidRPr="002A1552">
        <w:t>age at the time the act of neglect occurred; seriousness and specific circumstances of the neglect; relationship of the specific nature of the neglect</w:t>
      </w:r>
      <w:r w:rsidR="00150294">
        <w:t>;</w:t>
      </w:r>
      <w:r w:rsidR="00BF15E2" w:rsidRPr="002A1552">
        <w:t xml:space="preserve"> the number of neglectful acts; any relevant evidence of changed circumstances, or rehabilitation, or lack thereof; and any other relevant information, including information submitted </w:t>
      </w:r>
      <w:r w:rsidR="005D218E">
        <w:t xml:space="preserve">by the candidate. </w:t>
      </w:r>
      <w:r w:rsidR="00FF131F">
        <w:t>606 CMR 14.1</w:t>
      </w:r>
      <w:r w:rsidR="005F44EA">
        <w:t>4</w:t>
      </w:r>
      <w:r w:rsidR="00BF15E2" w:rsidRPr="002A1552">
        <w:t>(3</w:t>
      </w:r>
      <w:proofErr w:type="gramStart"/>
      <w:r w:rsidR="00BF15E2" w:rsidRPr="002A1552">
        <w:t>)</w:t>
      </w:r>
      <w:r w:rsidR="005D218E">
        <w:t>(</w:t>
      </w:r>
      <w:proofErr w:type="gramEnd"/>
      <w:r w:rsidR="005D218E">
        <w:t xml:space="preserve">a-g). </w:t>
      </w:r>
      <w:r w:rsidR="007128E1">
        <w:t>T</w:t>
      </w:r>
      <w:r w:rsidR="006805CF">
        <w:t xml:space="preserve">he discretionary review team </w:t>
      </w:r>
      <w:r w:rsidR="007128E1">
        <w:t xml:space="preserve">gave “due weight” to </w:t>
      </w:r>
      <w:r w:rsidR="006805CF">
        <w:t>these factors.</w:t>
      </w:r>
      <w:r w:rsidR="00150294">
        <w:t xml:space="preserve"> In particular, the team focused on the serious risk of harm posed by </w:t>
      </w:r>
      <w:r w:rsidR="009F02E1">
        <w:t>Mr. Ruiz</w:t>
      </w:r>
      <w:r w:rsidR="001B4621">
        <w:t xml:space="preserve">, as he struck two </w:t>
      </w:r>
      <w:r w:rsidR="003875F6">
        <w:t>women</w:t>
      </w:r>
      <w:r w:rsidR="001B4621">
        <w:t>, under very similar circumstances, in front of their young children</w:t>
      </w:r>
      <w:r w:rsidR="009F02E1">
        <w:t xml:space="preserve">. </w:t>
      </w:r>
    </w:p>
    <w:p w:rsidR="004874EE" w:rsidRDefault="00AA5E2A" w:rsidP="009628DE">
      <w:pPr>
        <w:spacing w:line="480" w:lineRule="auto"/>
        <w:rPr>
          <w:lang w:val="en"/>
        </w:rPr>
      </w:pPr>
      <w:r>
        <w:tab/>
      </w:r>
      <w:r w:rsidR="00D52FAF">
        <w:t xml:space="preserve">Ms. </w:t>
      </w:r>
      <w:r w:rsidR="001B4621">
        <w:t>Carvajal-Rojas</w:t>
      </w:r>
      <w:r w:rsidR="00405F17">
        <w:t xml:space="preserve"> </w:t>
      </w:r>
      <w:r w:rsidR="001B4621">
        <w:t>testified that Mr. Ruiz is a good father</w:t>
      </w:r>
      <w:r w:rsidR="00E318E3">
        <w:t>,</w:t>
      </w:r>
      <w:r w:rsidR="001B4621">
        <w:t xml:space="preserve"> behaves well in front of </w:t>
      </w:r>
      <w:r w:rsidR="00E318E3">
        <w:t xml:space="preserve">their </w:t>
      </w:r>
      <w:r w:rsidR="001B4621">
        <w:t>children</w:t>
      </w:r>
      <w:r w:rsidR="00E318E3">
        <w:t xml:space="preserve">, and the 51B incidents were the only </w:t>
      </w:r>
      <w:r w:rsidR="003875F6">
        <w:t xml:space="preserve">times he was </w:t>
      </w:r>
      <w:r w:rsidR="00E318E3">
        <w:t>violen</w:t>
      </w:r>
      <w:r w:rsidR="003875F6">
        <w:t>t.</w:t>
      </w:r>
      <w:r w:rsidR="001B4621">
        <w:t xml:space="preserve"> She also </w:t>
      </w:r>
      <w:r w:rsidR="003875F6">
        <w:t>testified</w:t>
      </w:r>
      <w:r w:rsidR="001B4621">
        <w:t xml:space="preserve"> that </w:t>
      </w:r>
      <w:r w:rsidR="00E318E3">
        <w:t xml:space="preserve">Mr. Ruiz’s work shift will keep him from the home during </w:t>
      </w:r>
      <w:r w:rsidR="008F443F">
        <w:t xml:space="preserve">the hours the daycare would be </w:t>
      </w:r>
      <w:r w:rsidR="003875F6">
        <w:t>operating</w:t>
      </w:r>
      <w:r w:rsidR="008F443F">
        <w:t xml:space="preserve">, and that she would be able to provide the security necessary to protect the children at home. Additionally, she </w:t>
      </w:r>
      <w:r w:rsidR="003875F6">
        <w:t>testified</w:t>
      </w:r>
      <w:r w:rsidR="008F443F">
        <w:t xml:space="preserve"> that if Mr. Ruiz were to be unable to attend work, he could stay in his mother’s apartment</w:t>
      </w:r>
      <w:r w:rsidR="003875F6">
        <w:t>.</w:t>
      </w:r>
      <w:r w:rsidR="008F443F">
        <w:t xml:space="preserve"> </w:t>
      </w:r>
      <w:r w:rsidR="003875F6">
        <w:t xml:space="preserve">Ms. </w:t>
      </w:r>
      <w:proofErr w:type="spellStart"/>
      <w:r w:rsidR="003875F6">
        <w:t>Carvajal</w:t>
      </w:r>
      <w:proofErr w:type="spellEnd"/>
      <w:r w:rsidR="003875F6">
        <w:t xml:space="preserve">-Rojas was a credible witness. </w:t>
      </w:r>
      <w:proofErr w:type="gramStart"/>
      <w:r w:rsidR="007F7B6F">
        <w:t xml:space="preserve">(Ex. </w:t>
      </w:r>
      <w:r w:rsidR="001B4621">
        <w:t>F</w:t>
      </w:r>
      <w:r w:rsidR="007F7B6F">
        <w:t xml:space="preserve">; </w:t>
      </w:r>
      <w:proofErr w:type="spellStart"/>
      <w:r w:rsidR="001B4621">
        <w:t>Carvajal</w:t>
      </w:r>
      <w:proofErr w:type="spellEnd"/>
      <w:r w:rsidR="001B4621">
        <w:t xml:space="preserve">-Rojas </w:t>
      </w:r>
      <w:r w:rsidR="007F7B6F">
        <w:t>Testimony).</w:t>
      </w:r>
      <w:proofErr w:type="gramEnd"/>
    </w:p>
    <w:p w:rsidR="004874EE" w:rsidRDefault="004874EE" w:rsidP="004874EE">
      <w:pPr>
        <w:shd w:val="clear" w:color="auto" w:fill="FFFFFF"/>
        <w:spacing w:line="480" w:lineRule="auto"/>
        <w:ind w:firstLine="720"/>
        <w:rPr>
          <w:lang w:val="en"/>
        </w:rPr>
      </w:pPr>
      <w:r>
        <w:rPr>
          <w:lang w:val="en"/>
        </w:rPr>
        <w:lastRenderedPageBreak/>
        <w:t xml:space="preserve">The November 3, 2014 supported finding for neglect remains part of Mr. Ruiz’ DCF history, and was subject to examination for the purposes of the EEC discretionary approval. </w:t>
      </w:r>
      <w:r w:rsidR="00A853F9">
        <w:rPr>
          <w:lang w:val="en"/>
        </w:rPr>
        <w:t xml:space="preserve">EEC reasonably decided that it was appropriate to review the 2007 supported finding for neglect because of its similarity to the 2014 incident. </w:t>
      </w:r>
      <w:r>
        <w:rPr>
          <w:lang w:val="en"/>
        </w:rPr>
        <w:t>Without discretionary approval, Mr. Ruiz’ DCF history is serious and provides evidence of ineligibility</w:t>
      </w:r>
      <w:r w:rsidRPr="008452F3">
        <w:rPr>
          <w:lang w:val="en"/>
        </w:rPr>
        <w:t xml:space="preserve">. EEC has considered all relevant evidence and has concluded that </w:t>
      </w:r>
      <w:r>
        <w:rPr>
          <w:lang w:val="en"/>
        </w:rPr>
        <w:t>Edwin Ruiz, a household member,</w:t>
      </w:r>
      <w:r w:rsidRPr="008452F3">
        <w:rPr>
          <w:lang w:val="en"/>
        </w:rPr>
        <w:t xml:space="preserve"> has a background that bears adversely on </w:t>
      </w:r>
      <w:r>
        <w:rPr>
          <w:lang w:val="en"/>
        </w:rPr>
        <w:t xml:space="preserve">Ms. </w:t>
      </w:r>
      <w:proofErr w:type="spellStart"/>
      <w:r>
        <w:rPr>
          <w:lang w:val="en"/>
        </w:rPr>
        <w:t>Carvajal</w:t>
      </w:r>
      <w:proofErr w:type="spellEnd"/>
      <w:r>
        <w:rPr>
          <w:lang w:val="en"/>
        </w:rPr>
        <w:t>-Rojas’ ability to care for children</w:t>
      </w:r>
      <w:r w:rsidRPr="008452F3">
        <w:rPr>
          <w:lang w:val="en"/>
        </w:rPr>
        <w:t xml:space="preserve">. </w:t>
      </w:r>
    </w:p>
    <w:p w:rsidR="004874EE" w:rsidRDefault="004874EE" w:rsidP="004874EE">
      <w:pPr>
        <w:shd w:val="clear" w:color="auto" w:fill="FFFFFF"/>
        <w:spacing w:line="480" w:lineRule="auto"/>
        <w:ind w:firstLine="720"/>
        <w:rPr>
          <w:lang w:val="en"/>
        </w:rPr>
      </w:pPr>
      <w:r w:rsidRPr="008452F3">
        <w:rPr>
          <w:lang w:val="en"/>
        </w:rPr>
        <w:t xml:space="preserve">I </w:t>
      </w:r>
      <w:r>
        <w:rPr>
          <w:lang w:val="en"/>
        </w:rPr>
        <w:t>find that the EEC did not abuse</w:t>
      </w:r>
      <w:r w:rsidRPr="008452F3">
        <w:rPr>
          <w:lang w:val="en"/>
        </w:rPr>
        <w:t xml:space="preserve"> its discretion in reaching its conclusion. I decline to substitute my judgment for that of EEC in the absence of an abuse of discretion.</w:t>
      </w:r>
      <w:r>
        <w:rPr>
          <w:lang w:val="en"/>
        </w:rPr>
        <w:t xml:space="preserve"> </w:t>
      </w:r>
      <w:r w:rsidRPr="008452F3">
        <w:rPr>
          <w:lang w:val="en"/>
        </w:rPr>
        <w:t xml:space="preserve">I recommend that the decision of EEC to deny Ms. </w:t>
      </w:r>
      <w:proofErr w:type="spellStart"/>
      <w:r>
        <w:rPr>
          <w:lang w:val="en"/>
        </w:rPr>
        <w:t>Carvajal</w:t>
      </w:r>
      <w:proofErr w:type="spellEnd"/>
      <w:r>
        <w:rPr>
          <w:lang w:val="en"/>
        </w:rPr>
        <w:t xml:space="preserve">-Rojas’ request for </w:t>
      </w:r>
      <w:r w:rsidRPr="008452F3">
        <w:rPr>
          <w:lang w:val="en"/>
        </w:rPr>
        <w:t xml:space="preserve">discretionary approval </w:t>
      </w:r>
      <w:r>
        <w:rPr>
          <w:lang w:val="en"/>
        </w:rPr>
        <w:t xml:space="preserve">in the renewal of her license as a </w:t>
      </w:r>
      <w:r w:rsidRPr="008452F3">
        <w:rPr>
          <w:lang w:val="en"/>
        </w:rPr>
        <w:t>day care p</w:t>
      </w:r>
      <w:r>
        <w:rPr>
          <w:lang w:val="en"/>
        </w:rPr>
        <w:t>rovider be affirmed.</w:t>
      </w:r>
    </w:p>
    <w:p w:rsidR="00BF15E2" w:rsidRDefault="00BF15E2" w:rsidP="00BF15E2">
      <w:r>
        <w:tab/>
      </w:r>
      <w:r w:rsidR="00A219E6">
        <w:tab/>
      </w:r>
      <w:r>
        <w:tab/>
      </w:r>
      <w:r>
        <w:tab/>
      </w:r>
      <w:r>
        <w:tab/>
        <w:t>DIVISION OF ADMINISTRATIVE LAW APPEALS</w:t>
      </w:r>
    </w:p>
    <w:p w:rsidR="00BF15E2" w:rsidRDefault="00BF15E2" w:rsidP="00BF15E2"/>
    <w:p w:rsidR="00BF15E2" w:rsidRDefault="00BF15E2" w:rsidP="00BF15E2">
      <w:r>
        <w:tab/>
      </w:r>
      <w:r w:rsidR="00A219E6">
        <w:tab/>
      </w:r>
      <w:r>
        <w:tab/>
      </w:r>
      <w:r>
        <w:tab/>
      </w:r>
      <w:r>
        <w:tab/>
        <w:t>____________________________________________</w:t>
      </w:r>
    </w:p>
    <w:p w:rsidR="00BF15E2" w:rsidRDefault="00BF15E2" w:rsidP="00BF15E2">
      <w:r>
        <w:tab/>
      </w:r>
      <w:r>
        <w:tab/>
      </w:r>
      <w:r w:rsidR="00A219E6">
        <w:tab/>
      </w:r>
      <w:r>
        <w:tab/>
      </w:r>
      <w:r>
        <w:tab/>
        <w:t>Bonney Cashin</w:t>
      </w:r>
    </w:p>
    <w:p w:rsidR="00BF15E2" w:rsidRDefault="00BF15E2" w:rsidP="00BF15E2">
      <w:r>
        <w:tab/>
      </w:r>
      <w:r>
        <w:tab/>
      </w:r>
      <w:r>
        <w:tab/>
      </w:r>
      <w:r w:rsidR="00A219E6">
        <w:tab/>
      </w:r>
      <w:r>
        <w:tab/>
        <w:t>Administrative Magistrate</w:t>
      </w:r>
    </w:p>
    <w:p w:rsidR="00BF15E2" w:rsidRDefault="00BF15E2" w:rsidP="00BF15E2"/>
    <w:p w:rsidR="00BF15E2" w:rsidRDefault="00BF15E2" w:rsidP="00BF15E2">
      <w:r>
        <w:t xml:space="preserve">DATED: </w:t>
      </w:r>
      <w:r w:rsidR="00A73903">
        <w:t>June 29, 2018</w:t>
      </w:r>
      <w:r>
        <w:t xml:space="preserve"> </w:t>
      </w:r>
    </w:p>
    <w:p w:rsidR="00BF15E2" w:rsidRDefault="00BF15E2" w:rsidP="00BF15E2"/>
    <w:sectPr w:rsidR="00BF15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C4" w:rsidRDefault="004E66C4" w:rsidP="002A46FE">
      <w:r>
        <w:separator/>
      </w:r>
    </w:p>
  </w:endnote>
  <w:endnote w:type="continuationSeparator" w:id="0">
    <w:p w:rsidR="004E66C4" w:rsidRDefault="004E66C4" w:rsidP="002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495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7676" w:rsidRDefault="00B176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2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7676" w:rsidRDefault="00B176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C4" w:rsidRDefault="004E66C4" w:rsidP="002A46FE">
      <w:r>
        <w:separator/>
      </w:r>
    </w:p>
  </w:footnote>
  <w:footnote w:type="continuationSeparator" w:id="0">
    <w:p w:rsidR="004E66C4" w:rsidRDefault="004E66C4" w:rsidP="002A46FE">
      <w:r>
        <w:continuationSeparator/>
      </w:r>
    </w:p>
  </w:footnote>
  <w:footnote w:id="1">
    <w:p w:rsidR="006B0A06" w:rsidRDefault="006B0A06" w:rsidP="009628DE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="00F72472">
        <w:tab/>
      </w:r>
      <w:r>
        <w:t xml:space="preserve">The record is not clear about whether Mr. Ruiz and Ms. </w:t>
      </w:r>
      <w:proofErr w:type="spellStart"/>
      <w:r>
        <w:t>Carvajal</w:t>
      </w:r>
      <w:proofErr w:type="spellEnd"/>
      <w:r>
        <w:t xml:space="preserve">-Rojas were married. </w:t>
      </w:r>
    </w:p>
  </w:footnote>
  <w:footnote w:id="2">
    <w:p w:rsidR="006B0A06" w:rsidRDefault="006B0A06" w:rsidP="009628DE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="00F72472">
        <w:tab/>
      </w:r>
      <w:r>
        <w:t>A G.L. c. 119, §51B report details the investigation by DCF after a claim of child abuse or neglect has been reported and includes the investigator’s conclusion whether the allegations are supported or unsupported.</w:t>
      </w:r>
    </w:p>
  </w:footnote>
  <w:footnote w:id="3">
    <w:p w:rsidR="009628DE" w:rsidRDefault="009628DE" w:rsidP="009628DE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EEC did not consider the CORI record again when Ms. </w:t>
      </w:r>
      <w:proofErr w:type="spellStart"/>
      <w:r>
        <w:t>Carvajal</w:t>
      </w:r>
      <w:proofErr w:type="spellEnd"/>
      <w:r>
        <w:t>-Rojas sought to renew her license.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4F6E"/>
    <w:multiLevelType w:val="hybridMultilevel"/>
    <w:tmpl w:val="D7D6D7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E2"/>
    <w:rsid w:val="00004CF9"/>
    <w:rsid w:val="000428C9"/>
    <w:rsid w:val="00057FAB"/>
    <w:rsid w:val="00067372"/>
    <w:rsid w:val="0007121E"/>
    <w:rsid w:val="00082B61"/>
    <w:rsid w:val="00095CFE"/>
    <w:rsid w:val="000B3D7F"/>
    <w:rsid w:val="0010395D"/>
    <w:rsid w:val="00116520"/>
    <w:rsid w:val="0012081E"/>
    <w:rsid w:val="00123FCC"/>
    <w:rsid w:val="00150294"/>
    <w:rsid w:val="0015652A"/>
    <w:rsid w:val="00160B12"/>
    <w:rsid w:val="001B4621"/>
    <w:rsid w:val="00217A18"/>
    <w:rsid w:val="00267865"/>
    <w:rsid w:val="00294F7E"/>
    <w:rsid w:val="002A46FE"/>
    <w:rsid w:val="002B263F"/>
    <w:rsid w:val="002B7F21"/>
    <w:rsid w:val="002C35EF"/>
    <w:rsid w:val="002D18A1"/>
    <w:rsid w:val="002F2079"/>
    <w:rsid w:val="002F6B2A"/>
    <w:rsid w:val="00316F07"/>
    <w:rsid w:val="00332517"/>
    <w:rsid w:val="0034363E"/>
    <w:rsid w:val="003476DB"/>
    <w:rsid w:val="00347D7C"/>
    <w:rsid w:val="00353F9B"/>
    <w:rsid w:val="00381643"/>
    <w:rsid w:val="00384347"/>
    <w:rsid w:val="003875F6"/>
    <w:rsid w:val="003C452B"/>
    <w:rsid w:val="003D6F3A"/>
    <w:rsid w:val="003E4A8D"/>
    <w:rsid w:val="003F6CD5"/>
    <w:rsid w:val="00403F33"/>
    <w:rsid w:val="00405F17"/>
    <w:rsid w:val="00414AC9"/>
    <w:rsid w:val="00430790"/>
    <w:rsid w:val="00473B8D"/>
    <w:rsid w:val="004874EE"/>
    <w:rsid w:val="004B64B8"/>
    <w:rsid w:val="004D0876"/>
    <w:rsid w:val="004D23AA"/>
    <w:rsid w:val="004E66C4"/>
    <w:rsid w:val="0050659C"/>
    <w:rsid w:val="00507ED5"/>
    <w:rsid w:val="0052028E"/>
    <w:rsid w:val="00531CCB"/>
    <w:rsid w:val="0054528F"/>
    <w:rsid w:val="005539D0"/>
    <w:rsid w:val="00582DB2"/>
    <w:rsid w:val="005A5FEA"/>
    <w:rsid w:val="005C1F63"/>
    <w:rsid w:val="005C21A2"/>
    <w:rsid w:val="005D218E"/>
    <w:rsid w:val="005E5026"/>
    <w:rsid w:val="005E63EF"/>
    <w:rsid w:val="005F44EA"/>
    <w:rsid w:val="005F6671"/>
    <w:rsid w:val="00611D33"/>
    <w:rsid w:val="00676487"/>
    <w:rsid w:val="006805CF"/>
    <w:rsid w:val="00696464"/>
    <w:rsid w:val="006B0A06"/>
    <w:rsid w:val="006B36B4"/>
    <w:rsid w:val="006B73D5"/>
    <w:rsid w:val="006C33CA"/>
    <w:rsid w:val="006D20D5"/>
    <w:rsid w:val="006D7664"/>
    <w:rsid w:val="006E0437"/>
    <w:rsid w:val="007128E1"/>
    <w:rsid w:val="00715017"/>
    <w:rsid w:val="00716D9A"/>
    <w:rsid w:val="00734F2C"/>
    <w:rsid w:val="007474B7"/>
    <w:rsid w:val="00750AC9"/>
    <w:rsid w:val="00756DD5"/>
    <w:rsid w:val="00764C00"/>
    <w:rsid w:val="00776240"/>
    <w:rsid w:val="0077684B"/>
    <w:rsid w:val="007A719D"/>
    <w:rsid w:val="007B15F1"/>
    <w:rsid w:val="007C0AA3"/>
    <w:rsid w:val="007C240B"/>
    <w:rsid w:val="007F257E"/>
    <w:rsid w:val="007F7B6F"/>
    <w:rsid w:val="008276DC"/>
    <w:rsid w:val="008350AE"/>
    <w:rsid w:val="00842CF8"/>
    <w:rsid w:val="008511E2"/>
    <w:rsid w:val="008C2062"/>
    <w:rsid w:val="008C3748"/>
    <w:rsid w:val="008C5899"/>
    <w:rsid w:val="008F3BEB"/>
    <w:rsid w:val="008F443F"/>
    <w:rsid w:val="00921EFD"/>
    <w:rsid w:val="00934C45"/>
    <w:rsid w:val="009628DE"/>
    <w:rsid w:val="00976799"/>
    <w:rsid w:val="00985816"/>
    <w:rsid w:val="00986163"/>
    <w:rsid w:val="00996B92"/>
    <w:rsid w:val="009B1791"/>
    <w:rsid w:val="009E51E8"/>
    <w:rsid w:val="009F02E1"/>
    <w:rsid w:val="009F39FC"/>
    <w:rsid w:val="009F67F5"/>
    <w:rsid w:val="00A13A16"/>
    <w:rsid w:val="00A14603"/>
    <w:rsid w:val="00A219E6"/>
    <w:rsid w:val="00A73903"/>
    <w:rsid w:val="00A853F9"/>
    <w:rsid w:val="00AA5E2A"/>
    <w:rsid w:val="00AC4374"/>
    <w:rsid w:val="00B17676"/>
    <w:rsid w:val="00B54260"/>
    <w:rsid w:val="00B5511D"/>
    <w:rsid w:val="00B66BE7"/>
    <w:rsid w:val="00B7307C"/>
    <w:rsid w:val="00B84E89"/>
    <w:rsid w:val="00B873FE"/>
    <w:rsid w:val="00B97191"/>
    <w:rsid w:val="00BB72D2"/>
    <w:rsid w:val="00BF0AFC"/>
    <w:rsid w:val="00BF15E2"/>
    <w:rsid w:val="00BF3C9C"/>
    <w:rsid w:val="00C06817"/>
    <w:rsid w:val="00C33A8A"/>
    <w:rsid w:val="00C4066A"/>
    <w:rsid w:val="00CB447C"/>
    <w:rsid w:val="00D462D3"/>
    <w:rsid w:val="00D52FAF"/>
    <w:rsid w:val="00D5309D"/>
    <w:rsid w:val="00D75984"/>
    <w:rsid w:val="00D82130"/>
    <w:rsid w:val="00D954A6"/>
    <w:rsid w:val="00DA7094"/>
    <w:rsid w:val="00DB3420"/>
    <w:rsid w:val="00DC50EB"/>
    <w:rsid w:val="00DD3951"/>
    <w:rsid w:val="00DF0326"/>
    <w:rsid w:val="00E10371"/>
    <w:rsid w:val="00E1282D"/>
    <w:rsid w:val="00E318E3"/>
    <w:rsid w:val="00E444DE"/>
    <w:rsid w:val="00E548D2"/>
    <w:rsid w:val="00E729BC"/>
    <w:rsid w:val="00EB305D"/>
    <w:rsid w:val="00EC7968"/>
    <w:rsid w:val="00ED1F68"/>
    <w:rsid w:val="00EF1E18"/>
    <w:rsid w:val="00F154CE"/>
    <w:rsid w:val="00F5476D"/>
    <w:rsid w:val="00F721FD"/>
    <w:rsid w:val="00F72472"/>
    <w:rsid w:val="00F73965"/>
    <w:rsid w:val="00F75DE1"/>
    <w:rsid w:val="00F773BB"/>
    <w:rsid w:val="00FB7440"/>
    <w:rsid w:val="00FC5DBE"/>
    <w:rsid w:val="00FD45CD"/>
    <w:rsid w:val="00FE4AB4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1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46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6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6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7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6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7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6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8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6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7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1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46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6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6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7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6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7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6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8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6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7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D7DC-E159-4AA9-90E4-A37D7CE4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Cashin, Bonney (ALA)</dc:creator>
  <cp:lastModifiedBy>ANF</cp:lastModifiedBy>
  <cp:revision>2</cp:revision>
  <cp:lastPrinted>2018-06-28T18:59:00Z</cp:lastPrinted>
  <dcterms:created xsi:type="dcterms:W3CDTF">2018-08-24T23:34:00Z</dcterms:created>
  <dcterms:modified xsi:type="dcterms:W3CDTF">2018-08-24T23:34:00Z</dcterms:modified>
</cp:coreProperties>
</file>