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6CF" w:rsidRDefault="000846CF">
      <w:pPr>
        <w:outlineLvl w:val="0"/>
      </w:pPr>
      <w:bookmarkStart w:id="0" w:name="_GoBack"/>
      <w:bookmarkEnd w:id="0"/>
      <w:r>
        <w:t xml:space="preserve">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0846CF" w:rsidRDefault="000846CF">
      <w:pPr>
        <w:outlineLvl w:val="0"/>
      </w:pPr>
    </w:p>
    <w:p w:rsidR="000846CF" w:rsidRDefault="00E95F5C">
      <w:pPr>
        <w:outlineLvl w:val="0"/>
      </w:pPr>
      <w:proofErr w:type="gramStart"/>
      <w:r>
        <w:rPr>
          <w:b/>
        </w:rPr>
        <w:t>Suffolk, ss.</w:t>
      </w:r>
      <w:proofErr w:type="gramEnd"/>
      <w:r w:rsidR="000846CF">
        <w:t xml:space="preserve">                                     </w:t>
      </w:r>
      <w:r w:rsidR="003A3970">
        <w:t xml:space="preserve">             </w:t>
      </w:r>
      <w:r w:rsidR="000846CF">
        <w:t xml:space="preserve">      </w:t>
      </w:r>
      <w:r>
        <w:rPr>
          <w:b/>
        </w:rPr>
        <w:t>Division of Administrative Law Appeals</w:t>
      </w:r>
      <w:r w:rsidR="000846CF">
        <w:t xml:space="preserve">                                    </w:t>
      </w:r>
    </w:p>
    <w:p w:rsidR="000846CF" w:rsidRDefault="000846CF">
      <w:r>
        <w:t xml:space="preserve"> </w:t>
      </w:r>
    </w:p>
    <w:p w:rsidR="001578F3" w:rsidRDefault="00E95F5C">
      <w:pPr>
        <w:rPr>
          <w:b/>
        </w:rPr>
      </w:pPr>
      <w:r>
        <w:rPr>
          <w:b/>
        </w:rPr>
        <w:t>Department of Early Education and Care,</w:t>
      </w:r>
    </w:p>
    <w:p w:rsidR="00E95F5C" w:rsidRDefault="00E95F5C">
      <w:r>
        <w:t>Petitioner</w:t>
      </w:r>
    </w:p>
    <w:p w:rsidR="00E95F5C" w:rsidRDefault="00E95F5C"/>
    <w:p w:rsidR="00E95F5C" w:rsidRDefault="00E95F5C">
      <w:r>
        <w:t xml:space="preserve">                        v.                                               </w:t>
      </w:r>
      <w:r w:rsidR="00396A6C">
        <w:t xml:space="preserve"> </w:t>
      </w:r>
      <w:r>
        <w:t>Docket No. OC-</w:t>
      </w:r>
      <w:r w:rsidR="00A7564B">
        <w:t>17</w:t>
      </w:r>
      <w:r>
        <w:t>-</w:t>
      </w:r>
      <w:r w:rsidR="00A7564B">
        <w:t>086</w:t>
      </w:r>
    </w:p>
    <w:p w:rsidR="00157992" w:rsidRDefault="007B54C2">
      <w:r>
        <w:tab/>
      </w:r>
      <w:r>
        <w:tab/>
      </w:r>
      <w:r>
        <w:tab/>
      </w:r>
      <w:r>
        <w:tab/>
      </w:r>
      <w:r>
        <w:tab/>
      </w:r>
      <w:r>
        <w:tab/>
        <w:t xml:space="preserve"> </w:t>
      </w:r>
    </w:p>
    <w:p w:rsidR="00157992" w:rsidRDefault="00A7564B">
      <w:pPr>
        <w:rPr>
          <w:b/>
        </w:rPr>
      </w:pPr>
      <w:proofErr w:type="spellStart"/>
      <w:r>
        <w:rPr>
          <w:b/>
        </w:rPr>
        <w:t>Bellamira</w:t>
      </w:r>
      <w:proofErr w:type="spellEnd"/>
      <w:r>
        <w:rPr>
          <w:b/>
        </w:rPr>
        <w:t xml:space="preserve"> Santana Reyes</w:t>
      </w:r>
      <w:r w:rsidR="00157992">
        <w:rPr>
          <w:b/>
        </w:rPr>
        <w:t>,</w:t>
      </w:r>
    </w:p>
    <w:p w:rsidR="00157992" w:rsidRDefault="00157992">
      <w:r>
        <w:t>Respondent</w:t>
      </w:r>
    </w:p>
    <w:p w:rsidR="00157992" w:rsidRDefault="00157992"/>
    <w:p w:rsidR="00157992" w:rsidRDefault="00157992">
      <w:pPr>
        <w:rPr>
          <w:b/>
        </w:rPr>
      </w:pPr>
      <w:r>
        <w:rPr>
          <w:b/>
        </w:rPr>
        <w:t>Appearance for Petitioner:</w:t>
      </w:r>
    </w:p>
    <w:p w:rsidR="00157992" w:rsidRDefault="00157992">
      <w:pPr>
        <w:rPr>
          <w:b/>
        </w:rPr>
      </w:pPr>
    </w:p>
    <w:p w:rsidR="00157992" w:rsidRDefault="000B19F4">
      <w:r>
        <w:t>Denise J. Karlin</w:t>
      </w:r>
      <w:r w:rsidR="00157992">
        <w:t>, Esq</w:t>
      </w:r>
      <w:r w:rsidR="00A7564B">
        <w:t>.</w:t>
      </w:r>
    </w:p>
    <w:p w:rsidR="00157992" w:rsidRDefault="00157992">
      <w:r>
        <w:t>Department of Early Education and Care</w:t>
      </w:r>
    </w:p>
    <w:p w:rsidR="00157992" w:rsidRDefault="00157992">
      <w:r>
        <w:t>51 Sleeper Street, 4</w:t>
      </w:r>
      <w:r w:rsidRPr="00157992">
        <w:rPr>
          <w:vertAlign w:val="superscript"/>
        </w:rPr>
        <w:t>th</w:t>
      </w:r>
      <w:r>
        <w:t xml:space="preserve"> FL</w:t>
      </w:r>
    </w:p>
    <w:p w:rsidR="00157992" w:rsidRDefault="00157992">
      <w:r>
        <w:t>Boston, MA 02210</w:t>
      </w:r>
    </w:p>
    <w:p w:rsidR="00157992" w:rsidRDefault="00157992"/>
    <w:p w:rsidR="00157992" w:rsidRDefault="00157992">
      <w:pPr>
        <w:rPr>
          <w:b/>
        </w:rPr>
      </w:pPr>
      <w:r>
        <w:rPr>
          <w:b/>
        </w:rPr>
        <w:t>Appearance for Respondent:</w:t>
      </w:r>
    </w:p>
    <w:p w:rsidR="00157992" w:rsidRDefault="00157992">
      <w:pPr>
        <w:rPr>
          <w:b/>
        </w:rPr>
      </w:pPr>
    </w:p>
    <w:p w:rsidR="00157992" w:rsidRDefault="00A7564B">
      <w:pPr>
        <w:rPr>
          <w:i/>
        </w:rPr>
      </w:pPr>
      <w:r w:rsidRPr="00A7564B">
        <w:t xml:space="preserve">David K. </w:t>
      </w:r>
      <w:proofErr w:type="spellStart"/>
      <w:r w:rsidRPr="00A7564B">
        <w:t>Reppucci</w:t>
      </w:r>
      <w:proofErr w:type="spellEnd"/>
      <w:r w:rsidRPr="00A7564B">
        <w:t xml:space="preserve">, </w:t>
      </w:r>
      <w:proofErr w:type="spellStart"/>
      <w:r w:rsidRPr="00A7564B">
        <w:t>Esq</w:t>
      </w:r>
      <w:proofErr w:type="spellEnd"/>
    </w:p>
    <w:p w:rsidR="00157992" w:rsidRDefault="00A7564B">
      <w:r>
        <w:t>96 Arbor Road</w:t>
      </w:r>
    </w:p>
    <w:p w:rsidR="00157992" w:rsidRPr="00157992" w:rsidRDefault="00A7564B">
      <w:r>
        <w:t>Lowell</w:t>
      </w:r>
      <w:r w:rsidR="00063B67">
        <w:t xml:space="preserve">, MA </w:t>
      </w:r>
      <w:r>
        <w:t>01852-3137</w:t>
      </w:r>
    </w:p>
    <w:p w:rsidR="00E95F5C" w:rsidRDefault="00E95F5C"/>
    <w:p w:rsidR="001578F3" w:rsidRDefault="00157992">
      <w:r>
        <w:rPr>
          <w:b/>
        </w:rPr>
        <w:t>Administrative Magistrate</w:t>
      </w:r>
      <w:r w:rsidR="001A1D0A">
        <w:rPr>
          <w:b/>
        </w:rPr>
        <w:t>:</w:t>
      </w:r>
      <w:r w:rsidR="000846CF">
        <w:t xml:space="preserve">                        </w:t>
      </w:r>
    </w:p>
    <w:p w:rsidR="001578F3" w:rsidRDefault="001578F3"/>
    <w:p w:rsidR="00A7564B" w:rsidRDefault="00A7564B">
      <w:r>
        <w:t>Edward B. McGrath, Esq.</w:t>
      </w:r>
    </w:p>
    <w:p w:rsidR="00C92273" w:rsidRDefault="00A7564B">
      <w:r>
        <w:t>Chief Administrative Magistrate</w:t>
      </w:r>
    </w:p>
    <w:p w:rsidR="00D75B6E" w:rsidRDefault="00D75B6E"/>
    <w:p w:rsidR="00D75B6E" w:rsidRDefault="008B1AD6">
      <w:r>
        <w:tab/>
      </w:r>
      <w:r>
        <w:tab/>
      </w:r>
      <w:r>
        <w:tab/>
      </w:r>
      <w:r>
        <w:tab/>
        <w:t xml:space="preserve">     </w:t>
      </w:r>
    </w:p>
    <w:p w:rsidR="008B1AD6" w:rsidRPr="008B1AD6" w:rsidRDefault="008B1AD6" w:rsidP="00D75B6E">
      <w:pPr>
        <w:jc w:val="center"/>
        <w:rPr>
          <w:b/>
        </w:rPr>
      </w:pPr>
      <w:r>
        <w:rPr>
          <w:b/>
        </w:rPr>
        <w:t>CASE SUMMARY</w:t>
      </w:r>
    </w:p>
    <w:p w:rsidR="000846CF" w:rsidRDefault="000846CF"/>
    <w:p w:rsidR="00A7564B" w:rsidRDefault="008B1AD6" w:rsidP="00A7564B">
      <w:r>
        <w:tab/>
        <w:t xml:space="preserve">Where the </w:t>
      </w:r>
      <w:r w:rsidR="00705BE6">
        <w:t>Respondent’s</w:t>
      </w:r>
      <w:r w:rsidR="00063B67">
        <w:t xml:space="preserve"> </w:t>
      </w:r>
      <w:r w:rsidR="00332428">
        <w:t>background</w:t>
      </w:r>
      <w:r w:rsidR="00A7564B">
        <w:t xml:space="preserve"> includes a supported finding of neglect,</w:t>
      </w:r>
      <w:r w:rsidR="00EC2B51">
        <w:t xml:space="preserve"> pursuant to G.L. c. 119 </w:t>
      </w:r>
      <w:r w:rsidR="00EC2B51" w:rsidRPr="00C36D48">
        <w:rPr>
          <w:color w:val="000000"/>
          <w:szCs w:val="24"/>
        </w:rPr>
        <w:t>§</w:t>
      </w:r>
      <w:r w:rsidR="00EC2B51">
        <w:rPr>
          <w:color w:val="000000"/>
          <w:szCs w:val="24"/>
        </w:rPr>
        <w:t xml:space="preserve"> 51B,</w:t>
      </w:r>
      <w:r w:rsidR="00A7564B">
        <w:t xml:space="preserve"> </w:t>
      </w:r>
      <w:r w:rsidR="00063B67">
        <w:t>EEC</w:t>
      </w:r>
      <w:r w:rsidR="00B750AC">
        <w:t xml:space="preserve"> </w:t>
      </w:r>
      <w:r w:rsidR="00157992">
        <w:t xml:space="preserve">acted within its discretionary authority in determining that </w:t>
      </w:r>
      <w:r w:rsidR="00EC2B51">
        <w:t>t</w:t>
      </w:r>
      <w:r w:rsidR="00157992">
        <w:t>he</w:t>
      </w:r>
      <w:r w:rsidR="00EC2B51">
        <w:t xml:space="preserve"> Respondent</w:t>
      </w:r>
      <w:r w:rsidR="00157992">
        <w:t xml:space="preserve"> is not suitable </w:t>
      </w:r>
      <w:r w:rsidR="00A7564B">
        <w:t>to hold a family child care license</w:t>
      </w:r>
      <w:r w:rsidR="00157992">
        <w:t xml:space="preserve">.  </w:t>
      </w:r>
      <w:r>
        <w:t xml:space="preserve">As there is no issue of material fact, </w:t>
      </w:r>
      <w:r w:rsidR="00142706">
        <w:t xml:space="preserve">I recommend that </w:t>
      </w:r>
      <w:r>
        <w:t xml:space="preserve">the </w:t>
      </w:r>
      <w:r w:rsidR="00157992">
        <w:t xml:space="preserve">Petitioner’s </w:t>
      </w:r>
      <w:r>
        <w:t xml:space="preserve">Motion for Summary Decision be </w:t>
      </w:r>
      <w:r w:rsidR="00361055">
        <w:t>allowed</w:t>
      </w:r>
      <w:r w:rsidR="00525CF4">
        <w:t xml:space="preserve"> and the EEC’s decision to deny the Respondent’s application for discretionary approval be affirmed.</w:t>
      </w:r>
    </w:p>
    <w:p w:rsidR="00D75B6E" w:rsidRDefault="00D75B6E" w:rsidP="00A7564B"/>
    <w:p w:rsidR="00D75B6E" w:rsidRDefault="00D75B6E" w:rsidP="00A7564B"/>
    <w:p w:rsidR="00D75B6E" w:rsidRDefault="00D75B6E" w:rsidP="00A7564B"/>
    <w:p w:rsidR="00D75B6E" w:rsidRDefault="00D75B6E" w:rsidP="00A7564B"/>
    <w:p w:rsidR="00A7564B" w:rsidRDefault="00A7564B" w:rsidP="00A7564B"/>
    <w:p w:rsidR="000846CF" w:rsidRDefault="00E67E93" w:rsidP="00525CF4">
      <w:pPr>
        <w:jc w:val="center"/>
        <w:rPr>
          <w:b/>
        </w:rPr>
      </w:pPr>
      <w:r>
        <w:rPr>
          <w:b/>
        </w:rPr>
        <w:t>DE</w:t>
      </w:r>
      <w:r w:rsidR="00D34C76">
        <w:rPr>
          <w:b/>
        </w:rPr>
        <w:t xml:space="preserve">CISION ON MOTION FOR </w:t>
      </w:r>
      <w:r w:rsidR="006C2B4A">
        <w:rPr>
          <w:b/>
        </w:rPr>
        <w:t>SUMMARY DECISON</w:t>
      </w:r>
    </w:p>
    <w:p w:rsidR="00525CF4" w:rsidRDefault="00525CF4" w:rsidP="00525CF4">
      <w:pPr>
        <w:jc w:val="center"/>
        <w:rPr>
          <w:b/>
          <w:bCs/>
          <w:u w:val="single"/>
        </w:rPr>
      </w:pPr>
    </w:p>
    <w:p w:rsidR="008B48DF" w:rsidRPr="009211FC" w:rsidRDefault="008B48DF" w:rsidP="005D35E8">
      <w:pPr>
        <w:pStyle w:val="Header"/>
        <w:tabs>
          <w:tab w:val="clear" w:pos="4320"/>
          <w:tab w:val="clear" w:pos="8640"/>
        </w:tabs>
        <w:spacing w:line="480" w:lineRule="auto"/>
        <w:jc w:val="center"/>
        <w:rPr>
          <w:i/>
        </w:rPr>
      </w:pPr>
      <w:r w:rsidRPr="009211FC">
        <w:rPr>
          <w:i/>
        </w:rPr>
        <w:t>Introduction</w:t>
      </w:r>
    </w:p>
    <w:p w:rsidR="00367AED" w:rsidRPr="00367AED" w:rsidRDefault="00363035" w:rsidP="00F7018C">
      <w:pPr>
        <w:pStyle w:val="Header"/>
        <w:tabs>
          <w:tab w:val="clear" w:pos="4320"/>
          <w:tab w:val="clear" w:pos="8640"/>
        </w:tabs>
        <w:spacing w:line="480" w:lineRule="auto"/>
        <w:ind w:firstLine="720"/>
      </w:pPr>
      <w:r>
        <w:t xml:space="preserve">On </w:t>
      </w:r>
      <w:r w:rsidR="00117FDB">
        <w:t>January 11</w:t>
      </w:r>
      <w:r w:rsidR="00C41249">
        <w:t>, 201</w:t>
      </w:r>
      <w:r w:rsidR="00117FDB">
        <w:t>7</w:t>
      </w:r>
      <w:r w:rsidR="00C41249">
        <w:t xml:space="preserve">, </w:t>
      </w:r>
      <w:r w:rsidR="002B2BFF">
        <w:t xml:space="preserve">the Petitioner, </w:t>
      </w:r>
      <w:r w:rsidR="004838A2">
        <w:t xml:space="preserve">the </w:t>
      </w:r>
      <w:r w:rsidR="002B2BFF">
        <w:t>Department of Early Education and Care</w:t>
      </w:r>
      <w:r w:rsidR="00ED135E">
        <w:t xml:space="preserve"> </w:t>
      </w:r>
      <w:r w:rsidR="002B2BFF">
        <w:t>(“E</w:t>
      </w:r>
      <w:r w:rsidR="00FB36A7">
        <w:t xml:space="preserve">EC”), pursuant to </w:t>
      </w:r>
      <w:r>
        <w:t xml:space="preserve">102 CMR </w:t>
      </w:r>
      <w:r w:rsidR="00791D8D" w:rsidRPr="00C36D48">
        <w:rPr>
          <w:color w:val="000000"/>
          <w:szCs w:val="24"/>
        </w:rPr>
        <w:t>§</w:t>
      </w:r>
      <w:r>
        <w:t>1.0</w:t>
      </w:r>
      <w:r w:rsidR="00117FDB">
        <w:t>5</w:t>
      </w:r>
      <w:r>
        <w:t>(</w:t>
      </w:r>
      <w:r w:rsidR="00117FDB">
        <w:t>1</w:t>
      </w:r>
      <w:proofErr w:type="gramStart"/>
      <w:r>
        <w:t>)(</w:t>
      </w:r>
      <w:proofErr w:type="gramEnd"/>
      <w:r w:rsidR="00117FDB">
        <w:t>a</w:t>
      </w:r>
      <w:r>
        <w:t xml:space="preserve">) and </w:t>
      </w:r>
      <w:r w:rsidR="00FB36A7">
        <w:t xml:space="preserve">606 CMR </w:t>
      </w:r>
      <w:r w:rsidR="00ED135E" w:rsidRPr="00C36D48">
        <w:rPr>
          <w:color w:val="000000"/>
          <w:szCs w:val="24"/>
        </w:rPr>
        <w:t>§</w:t>
      </w:r>
      <w:r w:rsidR="00FB36A7">
        <w:t>14.</w:t>
      </w:r>
      <w:r w:rsidR="00117FDB">
        <w:t>13</w:t>
      </w:r>
      <w:r w:rsidR="002B2BFF">
        <w:t>, issued a decision</w:t>
      </w:r>
      <w:r w:rsidR="00F7018C">
        <w:t xml:space="preserve"> </w:t>
      </w:r>
      <w:r w:rsidR="00E67E93">
        <w:t xml:space="preserve">denying the request of the Respondent, </w:t>
      </w:r>
      <w:proofErr w:type="spellStart"/>
      <w:r w:rsidR="00117FDB">
        <w:t>Bellamira</w:t>
      </w:r>
      <w:proofErr w:type="spellEnd"/>
      <w:r w:rsidR="00117FDB">
        <w:t xml:space="preserve"> Santana Reyes</w:t>
      </w:r>
      <w:r w:rsidR="00C41249">
        <w:t xml:space="preserve">, </w:t>
      </w:r>
      <w:r w:rsidR="00E67E93">
        <w:t>for discretionary approval</w:t>
      </w:r>
      <w:r w:rsidR="002227AD">
        <w:t xml:space="preserve"> as a </w:t>
      </w:r>
      <w:r>
        <w:t xml:space="preserve">licensed family day care provider.  </w:t>
      </w:r>
      <w:r w:rsidR="002B2BFF">
        <w:t xml:space="preserve"> </w:t>
      </w:r>
      <w:r w:rsidR="00E67E93">
        <w:t>The Petitioner issued its decision pursuant to the background check regulations promulgated under 606 CMR</w:t>
      </w:r>
      <w:r w:rsidR="00EC2B51">
        <w:t xml:space="preserve"> </w:t>
      </w:r>
      <w:r w:rsidR="00EC2B51" w:rsidRPr="00C36D48">
        <w:rPr>
          <w:color w:val="000000"/>
          <w:szCs w:val="24"/>
        </w:rPr>
        <w:t>§</w:t>
      </w:r>
      <w:r w:rsidR="00E67E93">
        <w:t>14.14.</w:t>
      </w:r>
      <w:r w:rsidR="00367AED">
        <w:t xml:space="preserve">  The Respondent filed a timely appeal on </w:t>
      </w:r>
      <w:r w:rsidR="00117FDB">
        <w:t>January 31, 2017</w:t>
      </w:r>
      <w:r w:rsidR="00C41249">
        <w:t xml:space="preserve">.  </w:t>
      </w:r>
      <w:r w:rsidR="00367AED">
        <w:t xml:space="preserve">The Petitioner filed the Notice of Claim with the Division of Administrative Law Appeals on </w:t>
      </w:r>
      <w:r w:rsidR="00117FDB">
        <w:t>February 24</w:t>
      </w:r>
      <w:r w:rsidR="000B19F4">
        <w:t>, 201</w:t>
      </w:r>
      <w:r w:rsidR="00117FDB">
        <w:t>7</w:t>
      </w:r>
      <w:r w:rsidR="00C41249">
        <w:t xml:space="preserve">.  </w:t>
      </w:r>
      <w:r w:rsidR="00367AED">
        <w:t xml:space="preserve">     </w:t>
      </w:r>
    </w:p>
    <w:p w:rsidR="00367AED" w:rsidRDefault="00367AED" w:rsidP="00A16D87">
      <w:pPr>
        <w:pStyle w:val="Header"/>
        <w:tabs>
          <w:tab w:val="clear" w:pos="4320"/>
          <w:tab w:val="clear" w:pos="8640"/>
        </w:tabs>
        <w:spacing w:line="480" w:lineRule="auto"/>
        <w:ind w:firstLine="720"/>
      </w:pPr>
      <w:r>
        <w:t xml:space="preserve">A pre-hearing </w:t>
      </w:r>
      <w:r w:rsidR="000B19F4">
        <w:t xml:space="preserve">conference </w:t>
      </w:r>
      <w:r>
        <w:t xml:space="preserve">was held on </w:t>
      </w:r>
      <w:r w:rsidR="00BB6826">
        <w:t>May 2</w:t>
      </w:r>
      <w:r w:rsidR="000B19F4">
        <w:t>, 2017.  Du</w:t>
      </w:r>
      <w:r>
        <w:t>ring the</w:t>
      </w:r>
      <w:r w:rsidR="000B19F4">
        <w:t xml:space="preserve"> </w:t>
      </w:r>
      <w:r w:rsidR="004838A2">
        <w:t>p</w:t>
      </w:r>
      <w:r w:rsidR="00BB6826">
        <w:t>re-hearing</w:t>
      </w:r>
      <w:r w:rsidR="00A16D87">
        <w:t xml:space="preserve"> </w:t>
      </w:r>
      <w:r>
        <w:t xml:space="preserve">conference, the Respondent </w:t>
      </w:r>
      <w:r w:rsidR="00BB6826">
        <w:t>raised the issue of a supported finding of neglect issued by the Department of Children and Families</w:t>
      </w:r>
      <w:r w:rsidR="002869E5">
        <w:t xml:space="preserve"> (“DCF”)</w:t>
      </w:r>
      <w:r w:rsidR="00BB6826">
        <w:t xml:space="preserve"> concerning the Respondent. </w:t>
      </w:r>
      <w:r w:rsidR="00791D8D">
        <w:t xml:space="preserve"> </w:t>
      </w:r>
      <w:r w:rsidR="00BB6826">
        <w:t xml:space="preserve">I issued a scheduling order requiring the Petitioner to file a Motion for Summary Decision concerning the supported finding of neglect on or before June 2, 2017.  I ordered the Respondent to file her opposition to that motion on or before July 3, 2017. I scheduled the evidentiary </w:t>
      </w:r>
      <w:r w:rsidR="004838A2">
        <w:t>h</w:t>
      </w:r>
      <w:r w:rsidR="00BB6826">
        <w:t xml:space="preserve">earing of the matter for </w:t>
      </w:r>
      <w:r w:rsidR="005D6A35">
        <w:t>September</w:t>
      </w:r>
      <w:r w:rsidR="00BB6826">
        <w:t xml:space="preserve"> 7, 2017.</w:t>
      </w:r>
      <w:r w:rsidR="00ED135E">
        <w:rPr>
          <w:rStyle w:val="FootnoteReference"/>
        </w:rPr>
        <w:footnoteReference w:id="1"/>
      </w:r>
    </w:p>
    <w:p w:rsidR="009300D0" w:rsidRDefault="00367AED" w:rsidP="006C2B4A">
      <w:pPr>
        <w:pStyle w:val="Header"/>
        <w:tabs>
          <w:tab w:val="clear" w:pos="4320"/>
          <w:tab w:val="clear" w:pos="8640"/>
        </w:tabs>
        <w:spacing w:line="480" w:lineRule="auto"/>
      </w:pPr>
      <w:r>
        <w:tab/>
        <w:t xml:space="preserve">The Petitioner filed </w:t>
      </w:r>
      <w:r w:rsidR="00BB6826">
        <w:t>its</w:t>
      </w:r>
      <w:r>
        <w:t xml:space="preserve"> Motion for Summary Decision on </w:t>
      </w:r>
      <w:r w:rsidR="00BB6826">
        <w:t>June 1</w:t>
      </w:r>
      <w:r w:rsidR="00CD00C9">
        <w:t>, 2017</w:t>
      </w:r>
      <w:r w:rsidR="002B1D74">
        <w:t>.</w:t>
      </w:r>
      <w:r w:rsidR="009300D0">
        <w:t xml:space="preserve">  </w:t>
      </w:r>
      <w:r w:rsidR="009861BA">
        <w:t>(Attachment A)</w:t>
      </w:r>
      <w:r w:rsidR="00BB6826">
        <w:t>.  The Respondent filed her opposition on June 29, 2017. (Attachment “B”).</w:t>
      </w:r>
      <w:r w:rsidR="006C2B4A">
        <w:t xml:space="preserve"> </w:t>
      </w:r>
      <w:r w:rsidR="00ED634B">
        <w:t>I marked the following documents as exhibits:</w:t>
      </w:r>
    </w:p>
    <w:p w:rsidR="00705BE6" w:rsidRDefault="00705BE6" w:rsidP="00705BE6">
      <w:pPr>
        <w:pStyle w:val="Header"/>
        <w:numPr>
          <w:ilvl w:val="0"/>
          <w:numId w:val="47"/>
        </w:numPr>
        <w:tabs>
          <w:tab w:val="clear" w:pos="4320"/>
          <w:tab w:val="clear" w:pos="8640"/>
        </w:tabs>
        <w:spacing w:line="480" w:lineRule="auto"/>
      </w:pPr>
      <w:r>
        <w:t xml:space="preserve">Letter from EEC Background Record Check Unit dated 11/14/2016; </w:t>
      </w:r>
    </w:p>
    <w:p w:rsidR="00ED634B" w:rsidRDefault="00705BE6" w:rsidP="00705BE6">
      <w:pPr>
        <w:pStyle w:val="Header"/>
        <w:numPr>
          <w:ilvl w:val="0"/>
          <w:numId w:val="47"/>
        </w:numPr>
        <w:tabs>
          <w:tab w:val="clear" w:pos="4320"/>
          <w:tab w:val="clear" w:pos="8640"/>
        </w:tabs>
        <w:spacing w:line="480" w:lineRule="auto"/>
      </w:pPr>
      <w:r>
        <w:lastRenderedPageBreak/>
        <w:t xml:space="preserve">Child Abuse/Neglect Investigation; </w:t>
      </w:r>
    </w:p>
    <w:p w:rsidR="00ED634B" w:rsidRDefault="00705BE6" w:rsidP="004D12BA">
      <w:pPr>
        <w:pStyle w:val="Header"/>
        <w:numPr>
          <w:ilvl w:val="0"/>
          <w:numId w:val="47"/>
        </w:numPr>
        <w:tabs>
          <w:tab w:val="clear" w:pos="4320"/>
          <w:tab w:val="clear" w:pos="8640"/>
        </w:tabs>
        <w:spacing w:line="480" w:lineRule="auto"/>
      </w:pPr>
      <w:r>
        <w:t>Discretionary Review Application with Addendum</w:t>
      </w:r>
      <w:r w:rsidR="00677C2C">
        <w:t>;</w:t>
      </w:r>
    </w:p>
    <w:p w:rsidR="009211FC" w:rsidRDefault="009211FC" w:rsidP="00525CF4">
      <w:pPr>
        <w:pStyle w:val="Header"/>
        <w:numPr>
          <w:ilvl w:val="0"/>
          <w:numId w:val="47"/>
        </w:numPr>
        <w:tabs>
          <w:tab w:val="clear" w:pos="4320"/>
          <w:tab w:val="clear" w:pos="8640"/>
        </w:tabs>
        <w:spacing w:line="480" w:lineRule="auto"/>
      </w:pPr>
      <w:r>
        <w:t xml:space="preserve">Final Agency Decision – Background Check Results </w:t>
      </w:r>
      <w:r w:rsidR="00677C2C">
        <w:t xml:space="preserve">dated January 11, 2017 </w:t>
      </w:r>
      <w:r>
        <w:t>and Discretionar</w:t>
      </w:r>
      <w:r w:rsidR="004D12BA">
        <w:t>y</w:t>
      </w:r>
      <w:r>
        <w:t xml:space="preserve"> Review</w:t>
      </w:r>
      <w:r w:rsidR="00677C2C">
        <w:t>;</w:t>
      </w:r>
    </w:p>
    <w:p w:rsidR="009211FC" w:rsidRDefault="009211FC" w:rsidP="00525CF4">
      <w:pPr>
        <w:pStyle w:val="Header"/>
        <w:numPr>
          <w:ilvl w:val="0"/>
          <w:numId w:val="47"/>
        </w:numPr>
        <w:tabs>
          <w:tab w:val="clear" w:pos="4320"/>
          <w:tab w:val="clear" w:pos="8640"/>
        </w:tabs>
        <w:spacing w:line="480" w:lineRule="auto"/>
      </w:pPr>
      <w:r>
        <w:t>Notice of Claim;</w:t>
      </w:r>
    </w:p>
    <w:p w:rsidR="0094247F" w:rsidRPr="0094247F" w:rsidRDefault="009211FC" w:rsidP="0094247F">
      <w:pPr>
        <w:pStyle w:val="Header"/>
        <w:numPr>
          <w:ilvl w:val="0"/>
          <w:numId w:val="47"/>
        </w:numPr>
        <w:tabs>
          <w:tab w:val="clear" w:pos="4320"/>
          <w:tab w:val="clear" w:pos="8640"/>
        </w:tabs>
        <w:spacing w:line="480" w:lineRule="auto"/>
        <w:rPr>
          <w:i/>
        </w:rPr>
      </w:pPr>
      <w:r>
        <w:t>Letter from EEC regarding Notice of Claim;</w:t>
      </w:r>
    </w:p>
    <w:p w:rsidR="0094247F" w:rsidRPr="0094247F" w:rsidRDefault="009211FC" w:rsidP="0094247F">
      <w:pPr>
        <w:pStyle w:val="Header"/>
        <w:numPr>
          <w:ilvl w:val="0"/>
          <w:numId w:val="47"/>
        </w:numPr>
        <w:tabs>
          <w:tab w:val="clear" w:pos="4320"/>
          <w:tab w:val="clear" w:pos="8640"/>
        </w:tabs>
        <w:spacing w:line="480" w:lineRule="auto"/>
        <w:rPr>
          <w:i/>
        </w:rPr>
      </w:pPr>
      <w:r>
        <w:t>Respondent’s affidavit</w:t>
      </w:r>
      <w:r w:rsidR="0094247F">
        <w:t>.</w:t>
      </w:r>
    </w:p>
    <w:p w:rsidR="0094247F" w:rsidRPr="005D35E8" w:rsidRDefault="004838A2" w:rsidP="005D35E8">
      <w:pPr>
        <w:pStyle w:val="Header"/>
        <w:tabs>
          <w:tab w:val="clear" w:pos="4320"/>
          <w:tab w:val="clear" w:pos="8640"/>
        </w:tabs>
        <w:spacing w:line="480" w:lineRule="auto"/>
        <w:jc w:val="center"/>
        <w:rPr>
          <w:i/>
        </w:rPr>
      </w:pPr>
      <w:r>
        <w:rPr>
          <w:i/>
        </w:rPr>
        <w:t xml:space="preserve">Findings of </w:t>
      </w:r>
      <w:r w:rsidR="0094247F" w:rsidRPr="005D35E8">
        <w:rPr>
          <w:i/>
        </w:rPr>
        <w:t>F</w:t>
      </w:r>
      <w:r w:rsidR="005D35E8">
        <w:rPr>
          <w:i/>
        </w:rPr>
        <w:t>act</w:t>
      </w:r>
    </w:p>
    <w:p w:rsidR="009300D0" w:rsidRDefault="009300D0" w:rsidP="0094247F">
      <w:pPr>
        <w:pStyle w:val="Header"/>
        <w:tabs>
          <w:tab w:val="clear" w:pos="4320"/>
          <w:tab w:val="clear" w:pos="8640"/>
        </w:tabs>
        <w:spacing w:line="480" w:lineRule="auto"/>
        <w:ind w:firstLine="720"/>
      </w:pPr>
      <w:r>
        <w:t>Based upon the</w:t>
      </w:r>
      <w:r w:rsidR="000500C5">
        <w:t xml:space="preserve"> exhibits referred to above and the reasonable inferences from them</w:t>
      </w:r>
      <w:r>
        <w:t>, I hereby render the following</w:t>
      </w:r>
      <w:r w:rsidR="003F0A73">
        <w:t xml:space="preserve"> </w:t>
      </w:r>
      <w:r>
        <w:t>Findings of Fact:</w:t>
      </w:r>
    </w:p>
    <w:p w:rsidR="00FE68C8" w:rsidRDefault="004D12BA" w:rsidP="004D12BA">
      <w:pPr>
        <w:pStyle w:val="Header"/>
        <w:numPr>
          <w:ilvl w:val="0"/>
          <w:numId w:val="46"/>
        </w:numPr>
        <w:tabs>
          <w:tab w:val="clear" w:pos="4320"/>
          <w:tab w:val="clear" w:pos="8640"/>
        </w:tabs>
        <w:spacing w:line="480" w:lineRule="auto"/>
        <w:ind w:left="0" w:firstLine="0"/>
      </w:pPr>
      <w:r>
        <w:t>T</w:t>
      </w:r>
      <w:r w:rsidR="002B1D74">
        <w:t>he Respondent,</w:t>
      </w:r>
      <w:r w:rsidR="00705BE6">
        <w:t xml:space="preserve"> </w:t>
      </w:r>
      <w:proofErr w:type="spellStart"/>
      <w:r w:rsidR="005D6A35">
        <w:t>Bellamira</w:t>
      </w:r>
      <w:proofErr w:type="spellEnd"/>
      <w:r w:rsidR="005D6A35">
        <w:t xml:space="preserve"> Santana Reyes</w:t>
      </w:r>
      <w:r w:rsidR="00C41249">
        <w:t xml:space="preserve">, </w:t>
      </w:r>
      <w:r w:rsidR="002B1D74">
        <w:t>applied for</w:t>
      </w:r>
      <w:r w:rsidR="00F709B5">
        <w:t xml:space="preserve"> </w:t>
      </w:r>
      <w:r w:rsidR="002B1D74">
        <w:t>a</w:t>
      </w:r>
      <w:r w:rsidR="001B78FE">
        <w:t xml:space="preserve"> </w:t>
      </w:r>
      <w:r w:rsidR="002B1D74">
        <w:t xml:space="preserve">family child care </w:t>
      </w:r>
      <w:r w:rsidR="005D6A35">
        <w:t>license</w:t>
      </w:r>
      <w:r>
        <w:t xml:space="preserve"> and</w:t>
      </w:r>
      <w:r w:rsidR="003E3950">
        <w:t>,</w:t>
      </w:r>
      <w:r>
        <w:t xml:space="preserve"> therefore</w:t>
      </w:r>
      <w:r w:rsidR="003E3950">
        <w:t>,</w:t>
      </w:r>
      <w:r>
        <w:t xml:space="preserve"> EEC conducted a background check.</w:t>
      </w:r>
      <w:r w:rsidR="003E3950">
        <w:t xml:space="preserve"> </w:t>
      </w:r>
      <w:r w:rsidR="002B1D74">
        <w:t xml:space="preserve">The Respondent’s </w:t>
      </w:r>
      <w:r w:rsidR="00332428">
        <w:t xml:space="preserve">background check </w:t>
      </w:r>
      <w:r w:rsidR="002B1D74">
        <w:t xml:space="preserve">included </w:t>
      </w:r>
      <w:r w:rsidR="006C7B6F">
        <w:t xml:space="preserve">a </w:t>
      </w:r>
      <w:r w:rsidR="001F480E">
        <w:t>DCF</w:t>
      </w:r>
      <w:r w:rsidR="003827F4">
        <w:t xml:space="preserve"> </w:t>
      </w:r>
      <w:r w:rsidR="006C7B6F">
        <w:t>history.</w:t>
      </w:r>
      <w:r>
        <w:t xml:space="preserve">  (Ex. 1</w:t>
      </w:r>
      <w:r w:rsidR="003E3950">
        <w:t>)</w:t>
      </w:r>
    </w:p>
    <w:p w:rsidR="009501E5" w:rsidRDefault="009501E5" w:rsidP="002B1D74">
      <w:pPr>
        <w:pStyle w:val="Header"/>
        <w:numPr>
          <w:ilvl w:val="0"/>
          <w:numId w:val="46"/>
        </w:numPr>
        <w:tabs>
          <w:tab w:val="clear" w:pos="4320"/>
          <w:tab w:val="clear" w:pos="8640"/>
        </w:tabs>
        <w:spacing w:line="480" w:lineRule="auto"/>
        <w:ind w:left="0" w:firstLine="0"/>
      </w:pPr>
      <w:r>
        <w:t xml:space="preserve">The background check returned information that the Respondent had been the subject of a supported allegation of neglect of a child </w:t>
      </w:r>
      <w:r w:rsidR="00525CF4">
        <w:t>contained</w:t>
      </w:r>
      <w:r>
        <w:t xml:space="preserve"> in a </w:t>
      </w:r>
      <w:r w:rsidR="00762AA3">
        <w:t xml:space="preserve">G.L. c. 119 </w:t>
      </w:r>
      <w:r w:rsidR="00762AA3" w:rsidRPr="00C36D48">
        <w:rPr>
          <w:color w:val="000000"/>
          <w:szCs w:val="24"/>
        </w:rPr>
        <w:t>§</w:t>
      </w:r>
      <w:r w:rsidR="00762AA3">
        <w:rPr>
          <w:color w:val="000000"/>
          <w:szCs w:val="24"/>
        </w:rPr>
        <w:t xml:space="preserve"> </w:t>
      </w:r>
      <w:r>
        <w:t xml:space="preserve">51B report and </w:t>
      </w:r>
      <w:r w:rsidR="003E3950">
        <w:t xml:space="preserve">this information </w:t>
      </w:r>
      <w:r>
        <w:t xml:space="preserve">resulted in denial of the </w:t>
      </w:r>
      <w:r w:rsidR="00525CF4">
        <w:t>R</w:t>
      </w:r>
      <w:r>
        <w:t>espondent</w:t>
      </w:r>
      <w:r w:rsidR="00525CF4">
        <w:t>’</w:t>
      </w:r>
      <w:r>
        <w:t xml:space="preserve">s application for a family child care license. (Ex. </w:t>
      </w:r>
      <w:r w:rsidR="003E3950">
        <w:t>1</w:t>
      </w:r>
      <w:r>
        <w:t>)</w:t>
      </w:r>
    </w:p>
    <w:p w:rsidR="00F709B5" w:rsidRDefault="006C7B6F" w:rsidP="00F709B5">
      <w:pPr>
        <w:pStyle w:val="Header"/>
        <w:numPr>
          <w:ilvl w:val="0"/>
          <w:numId w:val="46"/>
        </w:numPr>
        <w:tabs>
          <w:tab w:val="clear" w:pos="4320"/>
          <w:tab w:val="clear" w:pos="8640"/>
        </w:tabs>
        <w:spacing w:line="480" w:lineRule="auto"/>
        <w:ind w:left="0" w:firstLine="0"/>
      </w:pPr>
      <w:r>
        <w:t xml:space="preserve">  </w:t>
      </w:r>
      <w:r w:rsidR="00A33E6D">
        <w:t xml:space="preserve">On </w:t>
      </w:r>
      <w:r w:rsidR="001B78FE">
        <w:t xml:space="preserve">September </w:t>
      </w:r>
      <w:r w:rsidR="005C6633">
        <w:t>4</w:t>
      </w:r>
      <w:r w:rsidR="00D10F7F">
        <w:t xml:space="preserve">, </w:t>
      </w:r>
      <w:r w:rsidR="001B78FE">
        <w:t>2008</w:t>
      </w:r>
      <w:r w:rsidR="00D10F7F">
        <w:t xml:space="preserve">, </w:t>
      </w:r>
      <w:proofErr w:type="gramStart"/>
      <w:r w:rsidR="00A33E6D">
        <w:t xml:space="preserve">DCF </w:t>
      </w:r>
      <w:r w:rsidR="003E3950">
        <w:t xml:space="preserve"> </w:t>
      </w:r>
      <w:r w:rsidR="00A33E6D">
        <w:t>concluded</w:t>
      </w:r>
      <w:proofErr w:type="gramEnd"/>
      <w:r w:rsidR="00A33E6D">
        <w:t xml:space="preserve"> that allegations of neglect </w:t>
      </w:r>
      <w:r w:rsidR="001B78FE">
        <w:t xml:space="preserve">made against the </w:t>
      </w:r>
      <w:r w:rsidR="00F709B5">
        <w:t>R</w:t>
      </w:r>
      <w:r w:rsidR="001B78FE">
        <w:t xml:space="preserve">espondent </w:t>
      </w:r>
      <w:r w:rsidR="00A33E6D">
        <w:t>were supported</w:t>
      </w:r>
      <w:r w:rsidR="00D10F7F">
        <w:t xml:space="preserve">.  The </w:t>
      </w:r>
      <w:r w:rsidR="001B78FE">
        <w:t>2008</w:t>
      </w:r>
      <w:r w:rsidR="00D10F7F">
        <w:t xml:space="preserve"> </w:t>
      </w:r>
      <w:r w:rsidR="00C13151">
        <w:t>incident</w:t>
      </w:r>
      <w:r w:rsidR="00D10F7F">
        <w:t xml:space="preserve"> involved the alleged </w:t>
      </w:r>
      <w:r w:rsidR="001B78FE">
        <w:t>neglect</w:t>
      </w:r>
      <w:r w:rsidR="005C6633">
        <w:t xml:space="preserve"> of a seven month old child and the </w:t>
      </w:r>
      <w:r w:rsidR="00C13151">
        <w:t>R</w:t>
      </w:r>
      <w:r w:rsidR="005C6633">
        <w:t xml:space="preserve">espondent’s </w:t>
      </w:r>
      <w:r w:rsidR="00677C2C">
        <w:t xml:space="preserve">three year old </w:t>
      </w:r>
      <w:r w:rsidR="005C6633">
        <w:t>son.</w:t>
      </w:r>
      <w:r w:rsidR="00D10F7F">
        <w:t xml:space="preserve">  DCF supported the neglect</w:t>
      </w:r>
      <w:r w:rsidR="005C6633">
        <w:t xml:space="preserve">, because the </w:t>
      </w:r>
      <w:r w:rsidR="003E3950">
        <w:t>R</w:t>
      </w:r>
      <w:r w:rsidR="005C6633">
        <w:t xml:space="preserve">espondent left the </w:t>
      </w:r>
      <w:r w:rsidR="004838A2">
        <w:t>seven</w:t>
      </w:r>
      <w:r w:rsidR="005C6633">
        <w:t xml:space="preserve"> month old alone in a bath tub and her son </w:t>
      </w:r>
      <w:r w:rsidR="005C6633">
        <w:lastRenderedPageBreak/>
        <w:t xml:space="preserve">alone in a play pen, while she walked to a bus stop to </w:t>
      </w:r>
      <w:r w:rsidR="00FE68C8">
        <w:t>meet another child who was being dropped off.</w:t>
      </w:r>
      <w:r w:rsidR="00F709B5">
        <w:t xml:space="preserve"> (Ex. </w:t>
      </w:r>
      <w:r w:rsidR="003E3950">
        <w:t>2</w:t>
      </w:r>
      <w:r w:rsidR="00F709B5">
        <w:t>)</w:t>
      </w:r>
    </w:p>
    <w:p w:rsidR="00694E1C" w:rsidRDefault="003E3950" w:rsidP="00694E1C">
      <w:pPr>
        <w:pStyle w:val="Header"/>
        <w:numPr>
          <w:ilvl w:val="0"/>
          <w:numId w:val="46"/>
        </w:numPr>
        <w:tabs>
          <w:tab w:val="clear" w:pos="4320"/>
          <w:tab w:val="clear" w:pos="8640"/>
        </w:tabs>
        <w:spacing w:line="480" w:lineRule="auto"/>
        <w:ind w:left="0" w:firstLine="0"/>
      </w:pPr>
      <w:r>
        <w:t xml:space="preserve">The Petitioner filed a Discretionary </w:t>
      </w:r>
      <w:r w:rsidR="007577C0">
        <w:t>R</w:t>
      </w:r>
      <w:r>
        <w:t xml:space="preserve">eview </w:t>
      </w:r>
      <w:r w:rsidR="007577C0">
        <w:t>A</w:t>
      </w:r>
      <w:r>
        <w:t>pplication on December 6</w:t>
      </w:r>
      <w:r w:rsidR="00835BDB">
        <w:t>,</w:t>
      </w:r>
      <w:r>
        <w:t xml:space="preserve"> 2016. (Ex. 3)</w:t>
      </w:r>
    </w:p>
    <w:p w:rsidR="00694E1C" w:rsidRDefault="00142706" w:rsidP="00694E1C">
      <w:pPr>
        <w:pStyle w:val="Header"/>
        <w:numPr>
          <w:ilvl w:val="0"/>
          <w:numId w:val="46"/>
        </w:numPr>
        <w:tabs>
          <w:tab w:val="clear" w:pos="4320"/>
          <w:tab w:val="clear" w:pos="8640"/>
        </w:tabs>
        <w:spacing w:line="480" w:lineRule="auto"/>
        <w:ind w:left="0" w:firstLine="0"/>
      </w:pPr>
      <w:r>
        <w:t xml:space="preserve">The EEC </w:t>
      </w:r>
      <w:r w:rsidR="00D52470">
        <w:t>Background R</w:t>
      </w:r>
      <w:r>
        <w:t>eview</w:t>
      </w:r>
      <w:r w:rsidR="00D52470">
        <w:t xml:space="preserve"> T</w:t>
      </w:r>
      <w:r>
        <w:t xml:space="preserve">eam </w:t>
      </w:r>
      <w:r w:rsidR="00694E1C">
        <w:t xml:space="preserve">assigned to consider the application reviewed </w:t>
      </w:r>
      <w:r>
        <w:t>the time since the act of neglect, and the age of the Respondent at the time of the act of neglect</w:t>
      </w:r>
      <w:r w:rsidR="00D52470">
        <w:t>. The Review T</w:t>
      </w:r>
      <w:r>
        <w:t xml:space="preserve">eam also </w:t>
      </w:r>
      <w:r w:rsidR="00D52470">
        <w:t xml:space="preserve">considered </w:t>
      </w:r>
      <w:r>
        <w:t>the seriousness and specific circumstances of the neglect, and the relationship of the specific nature of the neglect to the nature of the work to be performed</w:t>
      </w:r>
      <w:r w:rsidR="00D52470">
        <w:t xml:space="preserve"> by the Respondent</w:t>
      </w:r>
      <w:r>
        <w:t>.  The R</w:t>
      </w:r>
      <w:r w:rsidR="00D52470">
        <w:t>eview Team</w:t>
      </w:r>
      <w:r>
        <w:t xml:space="preserve"> also considered the number of neglectful acts and any relevant information, including the information submitted by the Respondent.  (Ex. 4)</w:t>
      </w:r>
    </w:p>
    <w:p w:rsidR="00142706" w:rsidRDefault="00142706" w:rsidP="00694E1C">
      <w:pPr>
        <w:pStyle w:val="Header"/>
        <w:numPr>
          <w:ilvl w:val="0"/>
          <w:numId w:val="46"/>
        </w:numPr>
        <w:tabs>
          <w:tab w:val="clear" w:pos="4320"/>
          <w:tab w:val="clear" w:pos="8640"/>
        </w:tabs>
        <w:spacing w:line="480" w:lineRule="auto"/>
        <w:ind w:left="0" w:firstLine="0"/>
      </w:pPr>
      <w:r>
        <w:t>The Reviewers noted that the Respondent provided conflicting stories to investigators.  They noted that the Respondent claimed her brother, an unapproved care giver, was watching the children and “thought it was fine that at least somebody was watching the children.”  (Ex. 4)</w:t>
      </w:r>
    </w:p>
    <w:p w:rsidR="009861BA" w:rsidRDefault="009E53F7" w:rsidP="00F709B5">
      <w:pPr>
        <w:pStyle w:val="Header"/>
        <w:numPr>
          <w:ilvl w:val="0"/>
          <w:numId w:val="46"/>
        </w:numPr>
        <w:tabs>
          <w:tab w:val="clear" w:pos="4320"/>
          <w:tab w:val="clear" w:pos="8640"/>
        </w:tabs>
        <w:spacing w:line="480" w:lineRule="auto"/>
        <w:ind w:left="0" w:firstLine="0"/>
      </w:pPr>
      <w:r>
        <w:t>After reviewing the 51B Report and the information contained in the Respondent’s Application for Discretionary Approval, t</w:t>
      </w:r>
      <w:r w:rsidR="009861BA">
        <w:t xml:space="preserve">he </w:t>
      </w:r>
      <w:r w:rsidR="00F14DDA">
        <w:t xml:space="preserve">Review </w:t>
      </w:r>
      <w:r w:rsidR="00762AA3">
        <w:t>T</w:t>
      </w:r>
      <w:r w:rsidR="00F14DDA">
        <w:t>eam concluded that there was reason to believe that the Respondent</w:t>
      </w:r>
      <w:r w:rsidR="00A33E6D">
        <w:t xml:space="preserve"> was not suitable as a day </w:t>
      </w:r>
      <w:r w:rsidR="001E21EC">
        <w:t>c</w:t>
      </w:r>
      <w:r w:rsidR="00A33E6D">
        <w:t xml:space="preserve">are provider given the potential risk of harm to children.  </w:t>
      </w:r>
      <w:r w:rsidR="00F14DDA">
        <w:t>EEC determined that the Respondent was ineligible to receive a family child care license</w:t>
      </w:r>
      <w:r w:rsidR="00A33E6D">
        <w:t xml:space="preserve"> and her request for discretionary approval was denied.  </w:t>
      </w:r>
      <w:r w:rsidR="00D85F55">
        <w:t xml:space="preserve">She was so notified in a letter dated </w:t>
      </w:r>
      <w:r w:rsidR="003E3950">
        <w:t>January 11</w:t>
      </w:r>
      <w:r w:rsidR="00D85F55">
        <w:t>, 201</w:t>
      </w:r>
      <w:r w:rsidR="003E3950">
        <w:t>7</w:t>
      </w:r>
      <w:r w:rsidR="00D85F55">
        <w:t xml:space="preserve">.  </w:t>
      </w:r>
      <w:r w:rsidR="00A33E6D">
        <w:t>(</w:t>
      </w:r>
      <w:r w:rsidR="00D85F55">
        <w:t>Ex</w:t>
      </w:r>
      <w:r w:rsidR="009501E5">
        <w:t>. 4</w:t>
      </w:r>
      <w:r w:rsidR="00D85F55">
        <w:t>.</w:t>
      </w:r>
      <w:r w:rsidR="00A33E6D">
        <w:t>)</w:t>
      </w:r>
    </w:p>
    <w:p w:rsidR="00F14DDA" w:rsidRPr="003A0486" w:rsidRDefault="00F14DDA" w:rsidP="003A0486">
      <w:pPr>
        <w:pStyle w:val="Header"/>
        <w:numPr>
          <w:ilvl w:val="0"/>
          <w:numId w:val="46"/>
        </w:numPr>
        <w:tabs>
          <w:tab w:val="clear" w:pos="4320"/>
          <w:tab w:val="clear" w:pos="8640"/>
        </w:tabs>
        <w:spacing w:line="480" w:lineRule="auto"/>
        <w:ind w:left="0" w:firstLine="0"/>
      </w:pPr>
      <w:r>
        <w:t xml:space="preserve">The Respondent filed a timely appeal on </w:t>
      </w:r>
      <w:r w:rsidR="003E3950">
        <w:t>January 26, 2017</w:t>
      </w:r>
      <w:r>
        <w:t>.  (</w:t>
      </w:r>
      <w:r w:rsidR="001E21EC">
        <w:t xml:space="preserve">Exhibit </w:t>
      </w:r>
      <w:r w:rsidR="003E3950">
        <w:t>5</w:t>
      </w:r>
      <w:r w:rsidR="001E21EC">
        <w:t>.)</w:t>
      </w:r>
    </w:p>
    <w:p w:rsidR="001B1E10" w:rsidRPr="005D35E8" w:rsidRDefault="001B1E10" w:rsidP="005D35E8">
      <w:pPr>
        <w:pStyle w:val="Header"/>
        <w:tabs>
          <w:tab w:val="clear" w:pos="4320"/>
          <w:tab w:val="clear" w:pos="8640"/>
        </w:tabs>
        <w:spacing w:line="480" w:lineRule="auto"/>
        <w:jc w:val="center"/>
        <w:rPr>
          <w:b/>
          <w:i/>
        </w:rPr>
      </w:pPr>
      <w:r w:rsidRPr="005D35E8">
        <w:rPr>
          <w:i/>
        </w:rPr>
        <w:lastRenderedPageBreak/>
        <w:t>R</w:t>
      </w:r>
      <w:r w:rsidR="005D35E8">
        <w:rPr>
          <w:i/>
        </w:rPr>
        <w:t>uling</w:t>
      </w:r>
    </w:p>
    <w:p w:rsidR="00CE7F21" w:rsidRDefault="001B1E10" w:rsidP="001B1E10">
      <w:pPr>
        <w:pStyle w:val="Header"/>
        <w:tabs>
          <w:tab w:val="clear" w:pos="4320"/>
          <w:tab w:val="clear" w:pos="8640"/>
        </w:tabs>
        <w:spacing w:line="480" w:lineRule="auto"/>
      </w:pPr>
      <w:r>
        <w:rPr>
          <w:b/>
        </w:rPr>
        <w:tab/>
      </w:r>
      <w:r>
        <w:t xml:space="preserve">Summary Decision in administrative proceedings is the functional equivalent of summary judgment in civil proceedings.  See </w:t>
      </w:r>
      <w:r>
        <w:rPr>
          <w:i/>
        </w:rPr>
        <w:t xml:space="preserve">Jack King and National Refrigeration, Inc. v. Office of the Attorney General, Fair Labor Division, </w:t>
      </w:r>
      <w:r>
        <w:t>LB-12-367 and LB-12-407 (Division of Administrative Law Appeals January 29, 2014</w:t>
      </w:r>
      <w:r w:rsidR="00607439">
        <w:t xml:space="preserve">) citing </w:t>
      </w:r>
      <w:r w:rsidR="00607439">
        <w:rPr>
          <w:i/>
        </w:rPr>
        <w:t>Caitlin v. Board of Registration of Architects,</w:t>
      </w:r>
      <w:r w:rsidR="00607439">
        <w:t xml:space="preserve"> 414 Mass. 1, 7 (1992) </w:t>
      </w:r>
      <w:r w:rsidR="00D107D1">
        <w:t>(</w:t>
      </w:r>
      <w:r w:rsidR="00607439">
        <w:t>citing Mass. R. Civ. P. 56 for summary dec</w:t>
      </w:r>
      <w:r w:rsidR="00BB336B">
        <w:t>ision in administrative case</w:t>
      </w:r>
      <w:r w:rsidR="00D107D1">
        <w:t>s</w:t>
      </w:r>
      <w:r w:rsidR="00BB336B">
        <w:t xml:space="preserve">), </w:t>
      </w:r>
      <w:proofErr w:type="spellStart"/>
      <w:r w:rsidR="00BB336B">
        <w:rPr>
          <w:i/>
        </w:rPr>
        <w:t>Calnan</w:t>
      </w:r>
      <w:proofErr w:type="spellEnd"/>
      <w:r w:rsidR="00BB336B">
        <w:rPr>
          <w:i/>
        </w:rPr>
        <w:t xml:space="preserve"> v. Cambridge Retirement Board, </w:t>
      </w:r>
      <w:r w:rsidR="00A21781">
        <w:t xml:space="preserve">CR-08-589 (Division of Administrative Law Appeals </w:t>
      </w:r>
      <w:r w:rsidR="004838A2">
        <w:t xml:space="preserve">February 17, </w:t>
      </w:r>
      <w:r w:rsidR="00A21781">
        <w:t xml:space="preserve">2012) and </w:t>
      </w:r>
      <w:r w:rsidR="00A21781">
        <w:rPr>
          <w:i/>
        </w:rPr>
        <w:t xml:space="preserve">Steriti v. Revere Retirement Board, </w:t>
      </w:r>
      <w:r w:rsidR="00A21781">
        <w:t xml:space="preserve">CR-07-683 (Division of Administrative Law Appeals </w:t>
      </w:r>
      <w:r w:rsidR="004838A2">
        <w:t xml:space="preserve">December 10, </w:t>
      </w:r>
      <w:r w:rsidR="00A21781">
        <w:t>2009).  Summary decision is appropriate whe</w:t>
      </w:r>
      <w:r w:rsidR="00D107D1">
        <w:t>n</w:t>
      </w:r>
      <w:r w:rsidR="00A21781">
        <w:t xml:space="preserve"> there are no genuine issues of material fact and the case may be decided as a matter of law.  </w:t>
      </w:r>
      <w:r w:rsidR="00E278F7">
        <w:rPr>
          <w:i/>
        </w:rPr>
        <w:t xml:space="preserve">King, supra, </w:t>
      </w:r>
      <w:r w:rsidR="00E278F7">
        <w:t xml:space="preserve">citing </w:t>
      </w:r>
      <w:r w:rsidR="00E278F7">
        <w:rPr>
          <w:i/>
        </w:rPr>
        <w:t xml:space="preserve">Caitlin, supra </w:t>
      </w:r>
      <w:r w:rsidR="00E278F7">
        <w:t>at p. 7, 801 CMR 1.01(7</w:t>
      </w:r>
      <w:proofErr w:type="gramStart"/>
      <w:r w:rsidR="00E278F7">
        <w:t>)(</w:t>
      </w:r>
      <w:proofErr w:type="gramEnd"/>
      <w:r w:rsidR="00E278F7">
        <w:t>h) and Mass. R. Civ. P. 56.  A fact is “material”</w:t>
      </w:r>
      <w:r w:rsidR="001E21EC">
        <w:t xml:space="preserve"> </w:t>
      </w:r>
      <w:r w:rsidR="00D107D1">
        <w:t>only</w:t>
      </w:r>
      <w:r w:rsidR="00E278F7">
        <w:t xml:space="preserve"> if it might affect the outcome of the case.  </w:t>
      </w:r>
      <w:proofErr w:type="gramStart"/>
      <w:r w:rsidR="00E278F7">
        <w:rPr>
          <w:i/>
        </w:rPr>
        <w:t xml:space="preserve">King, supra, </w:t>
      </w:r>
      <w:r w:rsidR="00E278F7">
        <w:t xml:space="preserve">citing </w:t>
      </w:r>
      <w:r w:rsidR="00E278F7">
        <w:rPr>
          <w:i/>
        </w:rPr>
        <w:t>Lockridge v.</w:t>
      </w:r>
      <w:proofErr w:type="gramEnd"/>
      <w:r w:rsidR="00E278F7">
        <w:rPr>
          <w:i/>
        </w:rPr>
        <w:t xml:space="preserve"> The Univ. of Maine System, </w:t>
      </w:r>
      <w:r w:rsidR="00E278F7">
        <w:t xml:space="preserve">597 F 3d 464, 469 n. 3 (1st Cir. 2010) citing </w:t>
      </w:r>
      <w:r w:rsidR="00E278F7">
        <w:rPr>
          <w:i/>
        </w:rPr>
        <w:t xml:space="preserve">Anderson v. Liberty Lobby, Inc. </w:t>
      </w:r>
      <w:r w:rsidR="00E278F7">
        <w:t>477 U.S. 242</w:t>
      </w:r>
      <w:r w:rsidR="00AE1A8D">
        <w:t xml:space="preserve">, </w:t>
      </w:r>
      <w:r w:rsidR="001A1D0A">
        <w:t xml:space="preserve">248 (1986).  </w:t>
      </w:r>
      <w:r w:rsidR="00CE7F21">
        <w:t>An issue of material fact is “genuine”</w:t>
      </w:r>
      <w:r w:rsidR="003250B5">
        <w:t xml:space="preserve"> </w:t>
      </w:r>
      <w:r w:rsidR="00D107D1">
        <w:t>only</w:t>
      </w:r>
      <w:r w:rsidR="00CE7F21">
        <w:t xml:space="preserve"> if a fact-finder could reasonably resolve the dispute in favor of either party.  </w:t>
      </w:r>
      <w:r w:rsidR="00CE7F21">
        <w:rPr>
          <w:i/>
        </w:rPr>
        <w:t xml:space="preserve">Id. </w:t>
      </w:r>
      <w:r w:rsidR="00CE7F21">
        <w:t xml:space="preserve">(citing </w:t>
      </w:r>
      <w:r w:rsidR="00CE7F21">
        <w:rPr>
          <w:i/>
        </w:rPr>
        <w:t xml:space="preserve">Santoni v. Potter, </w:t>
      </w:r>
      <w:r w:rsidR="00CE7F21">
        <w:t xml:space="preserve">369 </w:t>
      </w:r>
      <w:r w:rsidR="0014391B">
        <w:t>F</w:t>
      </w:r>
      <w:r w:rsidR="00CE7F21">
        <w:t>.3d 594, 598 (1st Cir. 2004).</w:t>
      </w:r>
      <w:r w:rsidR="007F7455">
        <w:t xml:space="preserve">  </w:t>
      </w:r>
    </w:p>
    <w:p w:rsidR="004838A2" w:rsidRDefault="007F7455" w:rsidP="007577C0">
      <w:pPr>
        <w:pStyle w:val="Header"/>
        <w:tabs>
          <w:tab w:val="clear" w:pos="4320"/>
          <w:tab w:val="clear" w:pos="8640"/>
        </w:tabs>
        <w:spacing w:line="480" w:lineRule="auto"/>
      </w:pPr>
      <w:r>
        <w:tab/>
        <w:t xml:space="preserve">The moving party must demonstrate the absence of any genuine issues of material fact.  801 CMR 1.01(7)(h), </w:t>
      </w:r>
      <w:r w:rsidR="00D107D1">
        <w:rPr>
          <w:i/>
        </w:rPr>
        <w:t xml:space="preserve">see also </w:t>
      </w:r>
      <w:r>
        <w:t>Mass. R. Civ. P. 56</w:t>
      </w:r>
      <w:r w:rsidR="00771AED">
        <w:t xml:space="preserve">, </w:t>
      </w:r>
      <w:r w:rsidR="00771AED">
        <w:rPr>
          <w:i/>
        </w:rPr>
        <w:t xml:space="preserve">Flesner v. Technical Communications Corp., </w:t>
      </w:r>
      <w:r w:rsidR="00771AED">
        <w:t xml:space="preserve">410 Mass. 805, 808 (1991) </w:t>
      </w:r>
      <w:r w:rsidR="004838A2">
        <w:t xml:space="preserve">(Evidence “may be in the form of affidavits, depositions, interrogatories, admission and sworn pleadings”).  </w:t>
      </w:r>
      <w:r w:rsidR="00771AED">
        <w:t xml:space="preserve"> </w:t>
      </w:r>
      <w:proofErr w:type="gramStart"/>
      <w:r w:rsidR="006744BE">
        <w:rPr>
          <w:i/>
        </w:rPr>
        <w:t xml:space="preserve">King, supra, </w:t>
      </w:r>
      <w:r w:rsidR="006744BE">
        <w:t xml:space="preserve">citing </w:t>
      </w:r>
      <w:r w:rsidR="00771AED">
        <w:rPr>
          <w:i/>
        </w:rPr>
        <w:t xml:space="preserve">Beatty v. NP </w:t>
      </w:r>
      <w:r w:rsidR="003C77E0">
        <w:rPr>
          <w:i/>
        </w:rPr>
        <w:t>Corp</w:t>
      </w:r>
      <w:r w:rsidR="001A1D0A">
        <w:rPr>
          <w:i/>
        </w:rPr>
        <w:t>,</w:t>
      </w:r>
      <w:r w:rsidR="003C77E0">
        <w:rPr>
          <w:i/>
        </w:rPr>
        <w:t xml:space="preserve"> </w:t>
      </w:r>
      <w:r w:rsidR="003C77E0">
        <w:t>31 Mass. App. Ct. 606, 607 (1991)</w:t>
      </w:r>
      <w:r w:rsidR="00AE1A8D">
        <w:t>.</w:t>
      </w:r>
      <w:proofErr w:type="gramEnd"/>
      <w:r w:rsidR="00AE1A8D">
        <w:t xml:space="preserve"> </w:t>
      </w:r>
      <w:r w:rsidR="003C77E0">
        <w:t xml:space="preserve"> </w:t>
      </w:r>
      <w:r w:rsidR="006744BE">
        <w:t xml:space="preserve">Inferences from these </w:t>
      </w:r>
      <w:r w:rsidR="006744BE">
        <w:lastRenderedPageBreak/>
        <w:t xml:space="preserve">materials must be drawn in the light most favorable to the opposing party.  </w:t>
      </w:r>
      <w:proofErr w:type="gramStart"/>
      <w:r w:rsidR="006744BE">
        <w:rPr>
          <w:i/>
        </w:rPr>
        <w:t xml:space="preserve">Beatty, supra </w:t>
      </w:r>
      <w:r w:rsidR="006744BE">
        <w:t>at p. 607.</w:t>
      </w:r>
      <w:proofErr w:type="gramEnd"/>
      <w:r w:rsidR="006744BE">
        <w:t xml:space="preserve">  However, a </w:t>
      </w:r>
      <w:r w:rsidR="00332428">
        <w:t>magistrate</w:t>
      </w:r>
      <w:r w:rsidR="006744BE">
        <w:t xml:space="preserve"> does not make credibility determinations at the summary decision stage.  </w:t>
      </w:r>
      <w:r w:rsidR="006744BE">
        <w:rPr>
          <w:i/>
        </w:rPr>
        <w:t xml:space="preserve">Id.  </w:t>
      </w:r>
      <w:r w:rsidR="006744BE">
        <w:t>There</w:t>
      </w:r>
      <w:r w:rsidR="00CF7549">
        <w:t>f</w:t>
      </w:r>
      <w:r w:rsidR="006744BE">
        <w:t>ore, if the moving party’s evidence establishes a material fact, the opposing party must in turn “set forth specific facts showing that there is a genuine issue for trial.”  Mass. R, Civ. P. 56</w:t>
      </w:r>
      <w:r w:rsidR="00CF7549">
        <w:t>(e)</w:t>
      </w:r>
      <w:r w:rsidR="006744BE">
        <w:t xml:space="preserve"> (“mere allegations or denials” are not sufficient).  Abs</w:t>
      </w:r>
      <w:r w:rsidR="00CF7549">
        <w:t>en</w:t>
      </w:r>
      <w:r w:rsidR="006744BE">
        <w:t xml:space="preserve">t such “countervailing materials” from the opposing party, summary decision may properly be granted on the basis of the moving party’s undisputed evidence.  </w:t>
      </w:r>
      <w:proofErr w:type="gramStart"/>
      <w:r w:rsidR="00CF7549">
        <w:rPr>
          <w:i/>
        </w:rPr>
        <w:t xml:space="preserve">King, supra, </w:t>
      </w:r>
      <w:r w:rsidR="00CF7549">
        <w:t xml:space="preserve">citing </w:t>
      </w:r>
      <w:r w:rsidR="00CF7549">
        <w:rPr>
          <w:i/>
        </w:rPr>
        <w:t xml:space="preserve">Kourouvacilis v. Gen. Motors Corp., </w:t>
      </w:r>
      <w:r w:rsidR="00CF7549">
        <w:t>410 Mass. 706, 715 (1991).</w:t>
      </w:r>
      <w:proofErr w:type="gramEnd"/>
    </w:p>
    <w:p w:rsidR="007577C0" w:rsidRDefault="00CF7549" w:rsidP="00D52470">
      <w:pPr>
        <w:pStyle w:val="Header"/>
        <w:tabs>
          <w:tab w:val="clear" w:pos="4320"/>
          <w:tab w:val="clear" w:pos="8640"/>
        </w:tabs>
        <w:spacing w:line="480" w:lineRule="auto"/>
        <w:ind w:firstLine="720"/>
      </w:pPr>
      <w:r>
        <w:t xml:space="preserve"> </w:t>
      </w:r>
      <w:r w:rsidR="007577C0">
        <w:t>In the case before me, EEC has established that there is no genuine dispute as to the following material fact: there were allegations of neglect made against the Respondent that were supported in a 51B Report.</w:t>
      </w:r>
    </w:p>
    <w:p w:rsidR="00690CF3" w:rsidRDefault="007577C0" w:rsidP="00762AA3">
      <w:pPr>
        <w:pStyle w:val="Default"/>
        <w:spacing w:line="480" w:lineRule="auto"/>
      </w:pPr>
      <w:r>
        <w:tab/>
      </w:r>
      <w:r w:rsidR="00746084" w:rsidRPr="00746084">
        <w:t xml:space="preserve"> </w:t>
      </w:r>
      <w:r w:rsidR="00746084">
        <w:t xml:space="preserve">606 CMR </w:t>
      </w:r>
      <w:r w:rsidR="00746084" w:rsidRPr="00C36D48">
        <w:t>§</w:t>
      </w:r>
      <w:r w:rsidR="00746084">
        <w:t>14.12 (2</w:t>
      </w:r>
      <w:proofErr w:type="gramStart"/>
      <w:r w:rsidR="00746084">
        <w:t>)(</w:t>
      </w:r>
      <w:proofErr w:type="gramEnd"/>
      <w:r w:rsidR="00746084">
        <w:t>b) provides that:</w:t>
      </w:r>
    </w:p>
    <w:p w:rsidR="00690CF3" w:rsidRDefault="00690CF3" w:rsidP="00690CF3">
      <w:pPr>
        <w:pStyle w:val="Default"/>
        <w:ind w:left="720" w:right="1008"/>
        <w:rPr>
          <w:rFonts w:eastAsia="Times New Roman"/>
          <w:sz w:val="23"/>
          <w:szCs w:val="23"/>
        </w:rPr>
      </w:pPr>
      <w:proofErr w:type="gramStart"/>
      <w:r w:rsidRPr="00690CF3">
        <w:rPr>
          <w:rFonts w:eastAsia="Times New Roman"/>
          <w:sz w:val="23"/>
          <w:szCs w:val="23"/>
          <w:u w:val="single"/>
        </w:rPr>
        <w:t>DCF Background Record Check Discretionary Disqualification</w:t>
      </w:r>
      <w:r w:rsidRPr="00690CF3">
        <w:rPr>
          <w:rFonts w:eastAsia="Times New Roman"/>
          <w:sz w:val="23"/>
          <w:szCs w:val="23"/>
        </w:rPr>
        <w:t>.</w:t>
      </w:r>
      <w:proofErr w:type="gramEnd"/>
      <w:r w:rsidRPr="00690CF3">
        <w:rPr>
          <w:rFonts w:eastAsia="Times New Roman"/>
          <w:sz w:val="23"/>
          <w:szCs w:val="23"/>
        </w:rPr>
        <w:t xml:space="preserve"> A candidate shall be ineligible for employment, internship or a volunteer position in an EEC licensed, approved and/or funded program that has the potential for unsupervised contact with persons receiving services if he or she has been named as the person responsible for abuse or neglect of a child in a supported 51B Report unless the hiring authority has granted discretionary approval pursuant to the provisions of 606 CMR 14.13(3). </w:t>
      </w:r>
    </w:p>
    <w:p w:rsidR="00690CF3" w:rsidRDefault="00690CF3" w:rsidP="00690CF3">
      <w:pPr>
        <w:pStyle w:val="Default"/>
        <w:ind w:left="720" w:right="1008"/>
      </w:pPr>
    </w:p>
    <w:p w:rsidR="00EF4CB7" w:rsidRDefault="00EF4CB7" w:rsidP="00EF4CB7">
      <w:pPr>
        <w:autoSpaceDE w:val="0"/>
        <w:autoSpaceDN w:val="0"/>
        <w:adjustRightInd w:val="0"/>
        <w:spacing w:line="480" w:lineRule="auto"/>
        <w:jc w:val="both"/>
        <w:rPr>
          <w:color w:val="000000"/>
          <w:sz w:val="23"/>
          <w:szCs w:val="23"/>
        </w:rPr>
      </w:pPr>
      <w:r>
        <w:rPr>
          <w:color w:val="000000"/>
          <w:sz w:val="23"/>
          <w:szCs w:val="23"/>
        </w:rPr>
        <w:t>606 CMR</w:t>
      </w:r>
      <w:r w:rsidR="00A97A15">
        <w:rPr>
          <w:color w:val="000000"/>
          <w:szCs w:val="24"/>
        </w:rPr>
        <w:t xml:space="preserve"> </w:t>
      </w:r>
      <w:r w:rsidR="006852FC" w:rsidRPr="00C36D48">
        <w:rPr>
          <w:color w:val="000000"/>
          <w:szCs w:val="24"/>
        </w:rPr>
        <w:t>§§</w:t>
      </w:r>
      <w:r>
        <w:rPr>
          <w:color w:val="000000"/>
          <w:sz w:val="23"/>
          <w:szCs w:val="23"/>
        </w:rPr>
        <w:t>14.13(</w:t>
      </w:r>
      <w:r w:rsidR="00690CF3">
        <w:rPr>
          <w:color w:val="000000"/>
          <w:sz w:val="23"/>
          <w:szCs w:val="23"/>
        </w:rPr>
        <w:t xml:space="preserve">3) and (4) </w:t>
      </w:r>
      <w:r>
        <w:rPr>
          <w:color w:val="000000"/>
          <w:sz w:val="23"/>
          <w:szCs w:val="23"/>
        </w:rPr>
        <w:t xml:space="preserve">mandate the procedures to be followed by EEC when considering a discretionary approval. </w:t>
      </w:r>
      <w:r>
        <w:rPr>
          <w:color w:val="000000"/>
          <w:szCs w:val="24"/>
        </w:rPr>
        <w:t>Section</w:t>
      </w:r>
      <w:r>
        <w:rPr>
          <w:color w:val="000000"/>
          <w:sz w:val="23"/>
          <w:szCs w:val="23"/>
        </w:rPr>
        <w:t xml:space="preserve"> 1</w:t>
      </w:r>
      <w:r w:rsidR="00746084">
        <w:rPr>
          <w:color w:val="000000"/>
          <w:sz w:val="23"/>
          <w:szCs w:val="23"/>
        </w:rPr>
        <w:t>4.13</w:t>
      </w:r>
      <w:r>
        <w:rPr>
          <w:color w:val="000000"/>
          <w:sz w:val="23"/>
          <w:szCs w:val="23"/>
        </w:rPr>
        <w:t>(3) requires:</w:t>
      </w:r>
    </w:p>
    <w:p w:rsidR="00EF4CB7" w:rsidRDefault="00EF4CB7" w:rsidP="00690CF3">
      <w:pPr>
        <w:autoSpaceDE w:val="0"/>
        <w:autoSpaceDN w:val="0"/>
        <w:adjustRightInd w:val="0"/>
        <w:spacing w:line="278" w:lineRule="atLeast"/>
        <w:jc w:val="both"/>
        <w:rPr>
          <w:color w:val="000000"/>
          <w:sz w:val="23"/>
          <w:szCs w:val="23"/>
        </w:rPr>
      </w:pPr>
    </w:p>
    <w:p w:rsidR="00EF4CB7" w:rsidRPr="00EF4CB7" w:rsidRDefault="00EF4CB7" w:rsidP="00A97A15">
      <w:pPr>
        <w:autoSpaceDE w:val="0"/>
        <w:autoSpaceDN w:val="0"/>
        <w:adjustRightInd w:val="0"/>
        <w:spacing w:line="278" w:lineRule="atLeast"/>
        <w:ind w:left="720" w:right="1008"/>
        <w:jc w:val="both"/>
        <w:rPr>
          <w:color w:val="000000"/>
          <w:sz w:val="23"/>
          <w:szCs w:val="23"/>
        </w:rPr>
      </w:pPr>
      <w:r w:rsidRPr="00EF4CB7">
        <w:rPr>
          <w:color w:val="000000"/>
          <w:sz w:val="23"/>
          <w:szCs w:val="23"/>
          <w:u w:val="single"/>
        </w:rPr>
        <w:t>Discretionary Disqualification Based on DCF Background Record Check</w:t>
      </w:r>
      <w:r w:rsidRPr="00EF4CB7">
        <w:rPr>
          <w:color w:val="000000"/>
          <w:sz w:val="23"/>
          <w:szCs w:val="23"/>
        </w:rPr>
        <w:t xml:space="preserve">. The background of every candidate for whom the DCF Background Record Check investigation reveals a "discretionary disqualification" shall receive additional review by the hiring authority to determine if the candidate poses an unacceptable risk of harm to children within the position sought. The hiring authority shall inform the candidate of the findings of the DCF Background Record Check and offer an opportunity </w:t>
      </w:r>
      <w:r w:rsidRPr="00EF4CB7">
        <w:rPr>
          <w:color w:val="000000"/>
          <w:sz w:val="23"/>
          <w:szCs w:val="23"/>
        </w:rPr>
        <w:lastRenderedPageBreak/>
        <w:t xml:space="preserve">for the candidate to submit other relevant information. In reviewing the candidate's appropriateness for employment or other service given the concern for the safety of children, due weight shall be given to the following factors: </w:t>
      </w:r>
    </w:p>
    <w:p w:rsidR="00EF4CB7" w:rsidRPr="00EF4CB7" w:rsidRDefault="00EF4CB7" w:rsidP="00A97A15">
      <w:pPr>
        <w:autoSpaceDE w:val="0"/>
        <w:autoSpaceDN w:val="0"/>
        <w:adjustRightInd w:val="0"/>
        <w:ind w:left="720" w:right="1008"/>
        <w:rPr>
          <w:color w:val="000000"/>
          <w:sz w:val="23"/>
          <w:szCs w:val="23"/>
        </w:rPr>
      </w:pPr>
      <w:r w:rsidRPr="00EF4CB7">
        <w:rPr>
          <w:color w:val="000000"/>
          <w:sz w:val="23"/>
          <w:szCs w:val="23"/>
        </w:rPr>
        <w:t xml:space="preserve">(a) </w:t>
      </w:r>
      <w:proofErr w:type="gramStart"/>
      <w:r w:rsidRPr="00EF4CB7">
        <w:rPr>
          <w:color w:val="000000"/>
          <w:sz w:val="23"/>
          <w:szCs w:val="23"/>
        </w:rPr>
        <w:t>time</w:t>
      </w:r>
      <w:proofErr w:type="gramEnd"/>
      <w:r w:rsidRPr="00EF4CB7">
        <w:rPr>
          <w:color w:val="000000"/>
          <w:sz w:val="23"/>
          <w:szCs w:val="23"/>
        </w:rPr>
        <w:t xml:space="preserve"> since the act(s) of abuse or neglect occurred; </w:t>
      </w:r>
    </w:p>
    <w:p w:rsidR="00EF4CB7" w:rsidRPr="00EF4CB7" w:rsidRDefault="00EF4CB7" w:rsidP="00A97A15">
      <w:pPr>
        <w:autoSpaceDE w:val="0"/>
        <w:autoSpaceDN w:val="0"/>
        <w:adjustRightInd w:val="0"/>
        <w:ind w:left="720" w:right="1008"/>
        <w:rPr>
          <w:color w:val="000000"/>
          <w:sz w:val="23"/>
          <w:szCs w:val="23"/>
        </w:rPr>
      </w:pPr>
      <w:r w:rsidRPr="00EF4CB7">
        <w:rPr>
          <w:color w:val="000000"/>
          <w:sz w:val="23"/>
          <w:szCs w:val="23"/>
        </w:rPr>
        <w:t xml:space="preserve">(b) </w:t>
      </w:r>
      <w:proofErr w:type="gramStart"/>
      <w:r w:rsidRPr="00EF4CB7">
        <w:rPr>
          <w:color w:val="000000"/>
          <w:sz w:val="23"/>
          <w:szCs w:val="23"/>
        </w:rPr>
        <w:t>age</w:t>
      </w:r>
      <w:proofErr w:type="gramEnd"/>
      <w:r w:rsidRPr="00EF4CB7">
        <w:rPr>
          <w:color w:val="000000"/>
          <w:sz w:val="23"/>
          <w:szCs w:val="23"/>
        </w:rPr>
        <w:t xml:space="preserve"> of the candidate at the time the act(s) of abuse or neglect occurred; </w:t>
      </w:r>
    </w:p>
    <w:p w:rsidR="00EF4CB7" w:rsidRPr="00EF4CB7" w:rsidRDefault="00EF4CB7" w:rsidP="00A97A15">
      <w:pPr>
        <w:autoSpaceDE w:val="0"/>
        <w:autoSpaceDN w:val="0"/>
        <w:adjustRightInd w:val="0"/>
        <w:ind w:left="720" w:right="1008"/>
        <w:rPr>
          <w:color w:val="000000"/>
          <w:sz w:val="23"/>
          <w:szCs w:val="23"/>
        </w:rPr>
      </w:pPr>
      <w:r w:rsidRPr="00EF4CB7">
        <w:rPr>
          <w:color w:val="000000"/>
          <w:sz w:val="23"/>
          <w:szCs w:val="23"/>
        </w:rPr>
        <w:t xml:space="preserve">(c) </w:t>
      </w:r>
      <w:proofErr w:type="gramStart"/>
      <w:r w:rsidRPr="00EF4CB7">
        <w:rPr>
          <w:color w:val="000000"/>
          <w:sz w:val="23"/>
          <w:szCs w:val="23"/>
        </w:rPr>
        <w:t>seriousness</w:t>
      </w:r>
      <w:proofErr w:type="gramEnd"/>
      <w:r w:rsidRPr="00EF4CB7">
        <w:rPr>
          <w:color w:val="000000"/>
          <w:sz w:val="23"/>
          <w:szCs w:val="23"/>
        </w:rPr>
        <w:t xml:space="preserve"> and specific circumstances of the abuse or neglect; </w:t>
      </w:r>
    </w:p>
    <w:p w:rsidR="00EF4CB7" w:rsidRPr="00EF4CB7" w:rsidRDefault="00EF4CB7" w:rsidP="00A97A15">
      <w:pPr>
        <w:autoSpaceDE w:val="0"/>
        <w:autoSpaceDN w:val="0"/>
        <w:adjustRightInd w:val="0"/>
        <w:ind w:left="720" w:right="1008"/>
        <w:rPr>
          <w:color w:val="000000"/>
          <w:sz w:val="23"/>
          <w:szCs w:val="23"/>
        </w:rPr>
      </w:pPr>
      <w:r w:rsidRPr="00EF4CB7">
        <w:rPr>
          <w:color w:val="000000"/>
          <w:sz w:val="23"/>
          <w:szCs w:val="23"/>
        </w:rPr>
        <w:t xml:space="preserve">(d) </w:t>
      </w:r>
      <w:proofErr w:type="gramStart"/>
      <w:r w:rsidRPr="00EF4CB7">
        <w:rPr>
          <w:color w:val="000000"/>
          <w:sz w:val="23"/>
          <w:szCs w:val="23"/>
        </w:rPr>
        <w:t>relationship</w:t>
      </w:r>
      <w:proofErr w:type="gramEnd"/>
      <w:r w:rsidRPr="00EF4CB7">
        <w:rPr>
          <w:color w:val="000000"/>
          <w:sz w:val="23"/>
          <w:szCs w:val="23"/>
        </w:rPr>
        <w:t xml:space="preserve"> of the specific nature of the abuse or neglect to the nature of the work to be performed; (e) the number of abusive or neglectful acts; </w:t>
      </w:r>
    </w:p>
    <w:p w:rsidR="00EF4CB7" w:rsidRPr="00EF4CB7" w:rsidRDefault="00EF4CB7" w:rsidP="00A97A15">
      <w:pPr>
        <w:autoSpaceDE w:val="0"/>
        <w:autoSpaceDN w:val="0"/>
        <w:adjustRightInd w:val="0"/>
        <w:ind w:left="720" w:right="1008"/>
        <w:rPr>
          <w:color w:val="000000"/>
          <w:sz w:val="23"/>
          <w:szCs w:val="23"/>
        </w:rPr>
      </w:pPr>
      <w:r w:rsidRPr="00EF4CB7">
        <w:rPr>
          <w:color w:val="000000"/>
          <w:sz w:val="23"/>
          <w:szCs w:val="23"/>
        </w:rPr>
        <w:t xml:space="preserve">(f) </w:t>
      </w:r>
      <w:proofErr w:type="gramStart"/>
      <w:r w:rsidRPr="00EF4CB7">
        <w:rPr>
          <w:color w:val="000000"/>
          <w:sz w:val="23"/>
          <w:szCs w:val="23"/>
        </w:rPr>
        <w:t>any</w:t>
      </w:r>
      <w:proofErr w:type="gramEnd"/>
      <w:r w:rsidRPr="00EF4CB7">
        <w:rPr>
          <w:color w:val="000000"/>
          <w:sz w:val="23"/>
          <w:szCs w:val="23"/>
        </w:rPr>
        <w:t xml:space="preserve"> relevant evidence of changed circumstances, or rehabilitation or lack thereof; and </w:t>
      </w:r>
    </w:p>
    <w:p w:rsidR="00EF4CB7" w:rsidRDefault="00EF4CB7" w:rsidP="00A97A15">
      <w:pPr>
        <w:autoSpaceDE w:val="0"/>
        <w:autoSpaceDN w:val="0"/>
        <w:adjustRightInd w:val="0"/>
        <w:ind w:left="720" w:right="1008"/>
        <w:rPr>
          <w:color w:val="000000"/>
          <w:sz w:val="23"/>
          <w:szCs w:val="23"/>
        </w:rPr>
      </w:pPr>
      <w:r w:rsidRPr="00EF4CB7">
        <w:rPr>
          <w:color w:val="000000"/>
          <w:sz w:val="23"/>
          <w:szCs w:val="23"/>
        </w:rPr>
        <w:t xml:space="preserve">(g) </w:t>
      </w:r>
      <w:proofErr w:type="gramStart"/>
      <w:r w:rsidRPr="00EF4CB7">
        <w:rPr>
          <w:color w:val="000000"/>
          <w:sz w:val="23"/>
          <w:szCs w:val="23"/>
        </w:rPr>
        <w:t>any</w:t>
      </w:r>
      <w:proofErr w:type="gramEnd"/>
      <w:r w:rsidRPr="00EF4CB7">
        <w:rPr>
          <w:color w:val="000000"/>
          <w:sz w:val="23"/>
          <w:szCs w:val="23"/>
        </w:rPr>
        <w:t xml:space="preserve"> other relevant information, including information submitted by the candidate.</w:t>
      </w:r>
    </w:p>
    <w:p w:rsidR="00EF4CB7" w:rsidRPr="00EF4CB7" w:rsidRDefault="00EF4CB7" w:rsidP="00A97A15">
      <w:pPr>
        <w:autoSpaceDE w:val="0"/>
        <w:autoSpaceDN w:val="0"/>
        <w:adjustRightInd w:val="0"/>
        <w:ind w:left="720" w:right="1008"/>
        <w:rPr>
          <w:color w:val="000000"/>
          <w:sz w:val="23"/>
          <w:szCs w:val="23"/>
        </w:rPr>
      </w:pPr>
      <w:r w:rsidRPr="00EF4CB7">
        <w:rPr>
          <w:color w:val="000000"/>
          <w:sz w:val="23"/>
          <w:szCs w:val="23"/>
        </w:rPr>
        <w:t xml:space="preserve"> </w:t>
      </w:r>
    </w:p>
    <w:p w:rsidR="00EF4CB7" w:rsidRDefault="00A97A15" w:rsidP="00690CF3">
      <w:pPr>
        <w:autoSpaceDE w:val="0"/>
        <w:autoSpaceDN w:val="0"/>
        <w:adjustRightInd w:val="0"/>
        <w:spacing w:line="278" w:lineRule="atLeast"/>
        <w:jc w:val="both"/>
        <w:rPr>
          <w:color w:val="000000"/>
          <w:sz w:val="23"/>
          <w:szCs w:val="23"/>
        </w:rPr>
      </w:pPr>
      <w:r>
        <w:rPr>
          <w:color w:val="000000"/>
          <w:sz w:val="23"/>
          <w:szCs w:val="23"/>
        </w:rPr>
        <w:t xml:space="preserve">Section </w:t>
      </w:r>
      <w:r w:rsidR="00EF4CB7">
        <w:rPr>
          <w:color w:val="000000"/>
          <w:sz w:val="23"/>
          <w:szCs w:val="23"/>
        </w:rPr>
        <w:t>1</w:t>
      </w:r>
      <w:r w:rsidR="00746084">
        <w:rPr>
          <w:color w:val="000000"/>
          <w:sz w:val="23"/>
          <w:szCs w:val="23"/>
        </w:rPr>
        <w:t>4.13</w:t>
      </w:r>
      <w:r w:rsidR="00690CF3" w:rsidRPr="00690CF3">
        <w:rPr>
          <w:color w:val="000000"/>
          <w:sz w:val="23"/>
          <w:szCs w:val="23"/>
        </w:rPr>
        <w:t xml:space="preserve">(4) </w:t>
      </w:r>
      <w:r w:rsidR="00EF4CB7">
        <w:rPr>
          <w:color w:val="000000"/>
          <w:sz w:val="23"/>
          <w:szCs w:val="23"/>
        </w:rPr>
        <w:t>mandates the following:</w:t>
      </w:r>
    </w:p>
    <w:p w:rsidR="00EF4CB7" w:rsidRDefault="00EF4CB7" w:rsidP="00690CF3">
      <w:pPr>
        <w:autoSpaceDE w:val="0"/>
        <w:autoSpaceDN w:val="0"/>
        <w:adjustRightInd w:val="0"/>
        <w:spacing w:line="278" w:lineRule="atLeast"/>
        <w:jc w:val="both"/>
        <w:rPr>
          <w:color w:val="000000"/>
          <w:sz w:val="23"/>
          <w:szCs w:val="23"/>
        </w:rPr>
      </w:pPr>
    </w:p>
    <w:p w:rsidR="00690CF3" w:rsidRPr="00690CF3" w:rsidRDefault="00690CF3" w:rsidP="00705BE6">
      <w:pPr>
        <w:autoSpaceDE w:val="0"/>
        <w:autoSpaceDN w:val="0"/>
        <w:adjustRightInd w:val="0"/>
        <w:spacing w:line="278" w:lineRule="atLeast"/>
        <w:ind w:left="720" w:right="1008"/>
        <w:jc w:val="both"/>
        <w:rPr>
          <w:color w:val="000000"/>
          <w:sz w:val="23"/>
          <w:szCs w:val="23"/>
        </w:rPr>
      </w:pPr>
      <w:r w:rsidRPr="00690CF3">
        <w:rPr>
          <w:color w:val="000000"/>
          <w:sz w:val="23"/>
          <w:szCs w:val="23"/>
        </w:rPr>
        <w:t xml:space="preserve">In reviewing the DCF Background Record Check records of a candidate, the hiring authority must review the relevant DCF 51B Report(s) and may also request that the candidate submit additional information, including but not limited to a letter from any knowledgeable source such as the police, courts, prosecuting attorneys, or DCF personnel. Following the review, the hiring authority shall determine whether: </w:t>
      </w:r>
    </w:p>
    <w:p w:rsidR="00690CF3" w:rsidRPr="00690CF3" w:rsidRDefault="00690CF3" w:rsidP="00705BE6">
      <w:pPr>
        <w:autoSpaceDE w:val="0"/>
        <w:autoSpaceDN w:val="0"/>
        <w:adjustRightInd w:val="0"/>
        <w:ind w:left="720" w:right="1008"/>
        <w:rPr>
          <w:color w:val="000000"/>
          <w:sz w:val="23"/>
          <w:szCs w:val="23"/>
        </w:rPr>
      </w:pPr>
      <w:r w:rsidRPr="00690CF3">
        <w:rPr>
          <w:color w:val="000000"/>
          <w:sz w:val="23"/>
          <w:szCs w:val="23"/>
        </w:rPr>
        <w:t xml:space="preserve">(a) </w:t>
      </w:r>
      <w:proofErr w:type="gramStart"/>
      <w:r w:rsidRPr="00690CF3">
        <w:rPr>
          <w:color w:val="000000"/>
          <w:sz w:val="23"/>
          <w:szCs w:val="23"/>
        </w:rPr>
        <w:t>to</w:t>
      </w:r>
      <w:proofErr w:type="gramEnd"/>
      <w:r w:rsidRPr="00690CF3">
        <w:rPr>
          <w:color w:val="000000"/>
          <w:sz w:val="23"/>
          <w:szCs w:val="23"/>
        </w:rPr>
        <w:t xml:space="preserve"> continue with the hiring process based upon EEC's approval of a SORI check and direct the candidate to submit to a fingerprint scan; </w:t>
      </w:r>
    </w:p>
    <w:p w:rsidR="00690CF3" w:rsidRPr="00690CF3" w:rsidRDefault="00690CF3" w:rsidP="00705BE6">
      <w:pPr>
        <w:autoSpaceDE w:val="0"/>
        <w:autoSpaceDN w:val="0"/>
        <w:adjustRightInd w:val="0"/>
        <w:ind w:left="720" w:right="1008"/>
        <w:rPr>
          <w:color w:val="000000"/>
          <w:sz w:val="23"/>
          <w:szCs w:val="23"/>
        </w:rPr>
      </w:pPr>
      <w:r w:rsidRPr="00690CF3">
        <w:rPr>
          <w:color w:val="000000"/>
          <w:sz w:val="23"/>
          <w:szCs w:val="23"/>
        </w:rPr>
        <w:t xml:space="preserve">(b) </w:t>
      </w:r>
      <w:proofErr w:type="gramStart"/>
      <w:r w:rsidRPr="00690CF3">
        <w:rPr>
          <w:color w:val="000000"/>
          <w:sz w:val="23"/>
          <w:szCs w:val="23"/>
        </w:rPr>
        <w:t>to</w:t>
      </w:r>
      <w:proofErr w:type="gramEnd"/>
      <w:r w:rsidRPr="00690CF3">
        <w:rPr>
          <w:color w:val="000000"/>
          <w:sz w:val="23"/>
          <w:szCs w:val="23"/>
        </w:rPr>
        <w:t xml:space="preserve"> not hire the candidate; or </w:t>
      </w:r>
    </w:p>
    <w:p w:rsidR="00690CF3" w:rsidRDefault="00690CF3" w:rsidP="00705BE6">
      <w:pPr>
        <w:autoSpaceDE w:val="0"/>
        <w:autoSpaceDN w:val="0"/>
        <w:adjustRightInd w:val="0"/>
        <w:ind w:left="720" w:right="1008"/>
      </w:pPr>
      <w:r w:rsidRPr="00690CF3">
        <w:rPr>
          <w:color w:val="000000"/>
          <w:sz w:val="23"/>
          <w:szCs w:val="23"/>
        </w:rPr>
        <w:t xml:space="preserve">(c) </w:t>
      </w:r>
      <w:proofErr w:type="gramStart"/>
      <w:r w:rsidRPr="00690CF3">
        <w:rPr>
          <w:color w:val="000000"/>
          <w:sz w:val="23"/>
          <w:szCs w:val="23"/>
        </w:rPr>
        <w:t>to</w:t>
      </w:r>
      <w:proofErr w:type="gramEnd"/>
      <w:r w:rsidRPr="00690CF3">
        <w:rPr>
          <w:color w:val="000000"/>
          <w:sz w:val="23"/>
          <w:szCs w:val="23"/>
        </w:rPr>
        <w:t xml:space="preserve"> hire the candidate in a different position that does not require unsupervised contact with children. </w:t>
      </w:r>
      <w:r w:rsidRPr="00EF4CB7">
        <w:rPr>
          <w:i/>
          <w:color w:val="000000"/>
          <w:sz w:val="23"/>
          <w:szCs w:val="23"/>
        </w:rPr>
        <w:t>The hiring authority shall require clear and convincing evidence demonstrating the</w:t>
      </w:r>
      <w:r w:rsidR="00482EB9">
        <w:rPr>
          <w:i/>
          <w:color w:val="000000"/>
          <w:sz w:val="23"/>
          <w:szCs w:val="23"/>
        </w:rPr>
        <w:t xml:space="preserve"> </w:t>
      </w:r>
      <w:r w:rsidRPr="003827F4">
        <w:rPr>
          <w:i/>
        </w:rPr>
        <w:t>candidate's appropriateness</w:t>
      </w:r>
      <w:r w:rsidRPr="00EF4CB7">
        <w:t xml:space="preserve"> for employment given the concern for children's safety.</w:t>
      </w:r>
      <w:r w:rsidRPr="00690CF3">
        <w:t xml:space="preserve"> The hiring authority shall document, in writing, the reasons for his or her approval of the candidate for the position.</w:t>
      </w:r>
    </w:p>
    <w:p w:rsidR="00EF4CB7" w:rsidRPr="00690CF3" w:rsidRDefault="00EF4CB7" w:rsidP="00690CF3">
      <w:pPr>
        <w:pStyle w:val="Default"/>
        <w:ind w:left="720" w:right="1008"/>
      </w:pPr>
    </w:p>
    <w:p w:rsidR="00A97A15" w:rsidRDefault="00A97A15" w:rsidP="001B1E10">
      <w:pPr>
        <w:pStyle w:val="Header"/>
        <w:tabs>
          <w:tab w:val="clear" w:pos="4320"/>
          <w:tab w:val="clear" w:pos="8640"/>
        </w:tabs>
        <w:spacing w:line="480" w:lineRule="auto"/>
      </w:pPr>
      <w:r>
        <w:t>(Emphasis added)</w:t>
      </w:r>
    </w:p>
    <w:p w:rsidR="00105E09" w:rsidRDefault="00A97A15" w:rsidP="00A97A15">
      <w:pPr>
        <w:pStyle w:val="Header"/>
        <w:tabs>
          <w:tab w:val="clear" w:pos="4320"/>
          <w:tab w:val="clear" w:pos="8640"/>
        </w:tabs>
        <w:spacing w:line="480" w:lineRule="auto"/>
        <w:ind w:firstLine="720"/>
      </w:pPr>
      <w:r>
        <w:t>In the instant case, p</w:t>
      </w:r>
      <w:r w:rsidR="00105E09">
        <w:t>ursuant to 606 CMR</w:t>
      </w:r>
      <w:r w:rsidR="00791D8D">
        <w:t xml:space="preserve"> </w:t>
      </w:r>
      <w:r w:rsidR="00791D8D" w:rsidRPr="00C36D48">
        <w:rPr>
          <w:color w:val="000000"/>
          <w:szCs w:val="24"/>
        </w:rPr>
        <w:t>§</w:t>
      </w:r>
      <w:r w:rsidR="00105E09">
        <w:t>14.14(3</w:t>
      </w:r>
      <w:proofErr w:type="gramStart"/>
      <w:r w:rsidR="00105E09">
        <w:t>)(</w:t>
      </w:r>
      <w:proofErr w:type="gramEnd"/>
      <w:r w:rsidR="00105E09">
        <w:t>a)-(g), the EEC reviewers</w:t>
      </w:r>
      <w:r w:rsidR="00F72A01">
        <w:t xml:space="preserve"> </w:t>
      </w:r>
      <w:r w:rsidR="00105E09">
        <w:t>look</w:t>
      </w:r>
      <w:r>
        <w:t>ed</w:t>
      </w:r>
      <w:r w:rsidR="00105E09">
        <w:t xml:space="preserve"> at the time since the act</w:t>
      </w:r>
      <w:r w:rsidR="00746084">
        <w:t xml:space="preserve"> of </w:t>
      </w:r>
      <w:r w:rsidR="00105E09">
        <w:t xml:space="preserve">neglect, and the age of the </w:t>
      </w:r>
      <w:r>
        <w:t xml:space="preserve">Respondent </w:t>
      </w:r>
      <w:r w:rsidR="00105E09">
        <w:t>at the time of th</w:t>
      </w:r>
      <w:r w:rsidR="00746084">
        <w:t>e</w:t>
      </w:r>
      <w:r w:rsidR="00105E09">
        <w:t xml:space="preserve"> act of</w:t>
      </w:r>
      <w:r w:rsidR="00746084">
        <w:t xml:space="preserve"> </w:t>
      </w:r>
      <w:r w:rsidR="00105E09">
        <w:t>neglect, as well as the seriousness and specific circumstances</w:t>
      </w:r>
      <w:r w:rsidR="0041091B">
        <w:t xml:space="preserve"> of the neglect, and the relationship of the specific nature of the</w:t>
      </w:r>
      <w:r w:rsidR="00746084">
        <w:t xml:space="preserve"> </w:t>
      </w:r>
      <w:r w:rsidR="0041091B">
        <w:t xml:space="preserve">neglect to the nature of the work to be performed.  The reviewers also </w:t>
      </w:r>
      <w:r>
        <w:t>considered</w:t>
      </w:r>
      <w:r w:rsidR="0041091B">
        <w:t xml:space="preserve"> the number of neglectful acts and any relevant </w:t>
      </w:r>
      <w:r w:rsidR="0041091B">
        <w:lastRenderedPageBreak/>
        <w:t xml:space="preserve">information, including that submitted by the </w:t>
      </w:r>
      <w:r>
        <w:t>Respondent.</w:t>
      </w:r>
      <w:r w:rsidR="00791D8D">
        <w:t xml:space="preserve"> The Reviewers noted </w:t>
      </w:r>
      <w:r w:rsidR="00EC2B51">
        <w:t>that the R</w:t>
      </w:r>
      <w:r w:rsidR="00C05330">
        <w:t>espondent pr</w:t>
      </w:r>
      <w:r w:rsidR="00EC2B51">
        <w:t>o</w:t>
      </w:r>
      <w:r w:rsidR="00C05330">
        <w:t xml:space="preserve">vided conflicting stories to investigators.  They also noted </w:t>
      </w:r>
      <w:r w:rsidR="00791D8D">
        <w:t>that the Respondent claimed her brother, an unapproved care giver, was watching the children</w:t>
      </w:r>
      <w:r w:rsidR="00C05330">
        <w:t xml:space="preserve"> and “thought it was fine that at least somebody was watching the children.”</w:t>
      </w:r>
      <w:r w:rsidR="0041091B">
        <w:t xml:space="preserve"> </w:t>
      </w:r>
    </w:p>
    <w:p w:rsidR="0014391B" w:rsidRDefault="00AA1E8C" w:rsidP="00F629B9">
      <w:pPr>
        <w:pStyle w:val="Header"/>
        <w:tabs>
          <w:tab w:val="clear" w:pos="4320"/>
          <w:tab w:val="clear" w:pos="8640"/>
        </w:tabs>
        <w:spacing w:line="480" w:lineRule="auto"/>
      </w:pPr>
      <w:r>
        <w:tab/>
      </w:r>
      <w:r w:rsidR="00CF7549">
        <w:t xml:space="preserve"> </w:t>
      </w:r>
      <w:r w:rsidR="00F629B9">
        <w:t xml:space="preserve"> The </w:t>
      </w:r>
      <w:r w:rsidR="00DC4E51">
        <w:t xml:space="preserve">Background Record Check </w:t>
      </w:r>
      <w:r w:rsidR="00F629B9">
        <w:t xml:space="preserve">Discretionary Review </w:t>
      </w:r>
      <w:r w:rsidR="00DC4E51">
        <w:t>D</w:t>
      </w:r>
      <w:r w:rsidR="00F629B9">
        <w:t xml:space="preserve">ecision concluded that, after applying the factors contained in 606 CMR </w:t>
      </w:r>
      <w:r w:rsidR="00EC2B51" w:rsidRPr="00C36D48">
        <w:rPr>
          <w:color w:val="000000"/>
          <w:szCs w:val="24"/>
        </w:rPr>
        <w:t>§</w:t>
      </w:r>
      <w:r w:rsidR="00F629B9">
        <w:t xml:space="preserve">14.14, the Respondent was “not suitable” </w:t>
      </w:r>
      <w:r w:rsidR="00DC4E51">
        <w:t xml:space="preserve">for licensing as a family day care provider </w:t>
      </w:r>
      <w:r w:rsidR="00F629B9">
        <w:t>given the potential risk of harm to children</w:t>
      </w:r>
      <w:r w:rsidR="00DC4E51">
        <w:t xml:space="preserve"> by virtue of her </w:t>
      </w:r>
      <w:r w:rsidR="0014391B">
        <w:t>failure to accept the seriousness of leaving the children unattended</w:t>
      </w:r>
      <w:r w:rsidR="00D52470">
        <w:t xml:space="preserve"> by an approved care giver</w:t>
      </w:r>
      <w:r w:rsidR="0014391B">
        <w:t>.</w:t>
      </w:r>
    </w:p>
    <w:p w:rsidR="003D1A4F" w:rsidRDefault="00DC4E51" w:rsidP="00677C2C">
      <w:pPr>
        <w:pStyle w:val="Default"/>
        <w:spacing w:after="213" w:line="480" w:lineRule="auto"/>
        <w:ind w:firstLine="720"/>
      </w:pPr>
      <w:r>
        <w:t>T</w:t>
      </w:r>
      <w:r w:rsidR="00F629B9">
        <w:t>he Petitio</w:t>
      </w:r>
      <w:r w:rsidR="00E95DB4">
        <w:t>ner</w:t>
      </w:r>
      <w:r w:rsidR="00F629B9">
        <w:t xml:space="preserve">’s authority is clearly delineated by law.  The Petitioner has been statutorily required to </w:t>
      </w:r>
      <w:r w:rsidR="00E95DB4">
        <w:t xml:space="preserve">conduct background record checks on applicants who seek employment with EEC licensed, approved, or federally funded programs.  </w:t>
      </w:r>
      <w:proofErr w:type="gramStart"/>
      <w:r w:rsidR="00332428">
        <w:rPr>
          <w:i/>
        </w:rPr>
        <w:t>See</w:t>
      </w:r>
      <w:r w:rsidR="00E95DB4">
        <w:t xml:space="preserve"> G.L. c. 15D, §§3, 7 and 8.</w:t>
      </w:r>
      <w:proofErr w:type="gramEnd"/>
      <w:r w:rsidR="00E95DB4">
        <w:t xml:space="preserve">  In accordance with its statutory authority, the Petitioner has promulgated its background check regulations under 606 CMR</w:t>
      </w:r>
      <w:r w:rsidR="003827F4">
        <w:t xml:space="preserve"> </w:t>
      </w:r>
      <w:r w:rsidR="00C05330" w:rsidRPr="00C36D48">
        <w:t>§</w:t>
      </w:r>
      <w:r w:rsidR="00E95DB4">
        <w:t xml:space="preserve">14.00 requiring </w:t>
      </w:r>
      <w:r w:rsidR="00A844D6">
        <w:t xml:space="preserve">the background check including the </w:t>
      </w:r>
      <w:r w:rsidR="00E95DB4">
        <w:t>DCF check that w</w:t>
      </w:r>
      <w:r w:rsidR="00A844D6">
        <w:t>as</w:t>
      </w:r>
      <w:r w:rsidR="00E95DB4">
        <w:t xml:space="preserve"> performed in this case.  </w:t>
      </w:r>
      <w:r w:rsidR="00332428">
        <w:rPr>
          <w:i/>
        </w:rPr>
        <w:t>See</w:t>
      </w:r>
      <w:r w:rsidR="00E95DB4">
        <w:t xml:space="preserve"> 606 CMR</w:t>
      </w:r>
      <w:r w:rsidR="00EC2B51">
        <w:t xml:space="preserve"> </w:t>
      </w:r>
      <w:r w:rsidR="00C05330" w:rsidRPr="00C36D48">
        <w:t>§</w:t>
      </w:r>
      <w:r w:rsidR="00E95DB4">
        <w:t xml:space="preserve">14.09.  The statutory authority delegates </w:t>
      </w:r>
      <w:r w:rsidR="003827F4">
        <w:t xml:space="preserve">to </w:t>
      </w:r>
      <w:r w:rsidR="00E95DB4">
        <w:t xml:space="preserve">the Petitioner the authority </w:t>
      </w:r>
      <w:r w:rsidR="00332428">
        <w:t>to</w:t>
      </w:r>
      <w:r w:rsidR="00E95DB4">
        <w:t xml:space="preserve"> determin</w:t>
      </w:r>
      <w:r w:rsidR="00332428">
        <w:t>e</w:t>
      </w:r>
      <w:r w:rsidR="00E95DB4">
        <w:t xml:space="preserve"> who is suitable for employment or licensure in EEC licensed programs.  </w:t>
      </w:r>
      <w:r w:rsidR="00332428">
        <w:rPr>
          <w:i/>
        </w:rPr>
        <w:t>See</w:t>
      </w:r>
      <w:r w:rsidR="00E95DB4">
        <w:t xml:space="preserve"> 606 CMR</w:t>
      </w:r>
      <w:r w:rsidR="00C05330" w:rsidRPr="00C36D48">
        <w:t>§</w:t>
      </w:r>
      <w:r w:rsidR="00E95DB4">
        <w:t xml:space="preserve">14.02.  The hiring authority has the discretion to decide whether the applicant is appropriate for employment in light of the concern for the safety of children.  </w:t>
      </w:r>
      <w:r w:rsidR="00332428">
        <w:rPr>
          <w:i/>
        </w:rPr>
        <w:t>See</w:t>
      </w:r>
      <w:r w:rsidR="00E95DB4">
        <w:t xml:space="preserve"> 606 CMR</w:t>
      </w:r>
      <w:r w:rsidR="00C05330" w:rsidRPr="00C36D48">
        <w:t>§§</w:t>
      </w:r>
      <w:r w:rsidR="00E95DB4">
        <w:t xml:space="preserve">14.14(2) </w:t>
      </w:r>
      <w:r w:rsidR="00210E55">
        <w:t>&amp; 14.14</w:t>
      </w:r>
      <w:r w:rsidR="00E95DB4">
        <w:t xml:space="preserve"> (4</w:t>
      </w:r>
      <w:r w:rsidR="00AE1A8D">
        <w:t xml:space="preserve">). </w:t>
      </w:r>
      <w:r w:rsidR="00E95DB4">
        <w:t xml:space="preserve">As such, the Petitioner has a strong legal basis for exercising the authority delegated by law.  </w:t>
      </w:r>
    </w:p>
    <w:p w:rsidR="00C572AA" w:rsidRDefault="00746084" w:rsidP="00694E1C">
      <w:pPr>
        <w:pStyle w:val="Default"/>
        <w:spacing w:line="480" w:lineRule="auto"/>
        <w:ind w:firstLine="720"/>
      </w:pPr>
      <w:r>
        <w:lastRenderedPageBreak/>
        <w:t xml:space="preserve">The Division of Administrative Law Appeals is not to re-evaluate the Petitioner’s discretionary decision, but rather </w:t>
      </w:r>
      <w:r w:rsidR="00210E55">
        <w:t>it should</w:t>
      </w:r>
      <w:r>
        <w:t xml:space="preserve"> evaluate whether or not the Petitioner’s decision </w:t>
      </w:r>
      <w:r w:rsidR="00D52470">
        <w:t>is</w:t>
      </w:r>
      <w:r>
        <w:t xml:space="preserve"> based upon sufficient facts, </w:t>
      </w:r>
      <w:r w:rsidR="00D52470">
        <w:t xml:space="preserve">is </w:t>
      </w:r>
      <w:r>
        <w:t xml:space="preserve">not arbitrary or capricious, or </w:t>
      </w:r>
      <w:r w:rsidR="00D52470">
        <w:t xml:space="preserve">is </w:t>
      </w:r>
      <w:r>
        <w:t xml:space="preserve">otherwise unsupported by law. </w:t>
      </w:r>
      <w:r w:rsidR="00B24F31">
        <w:t xml:space="preserve">  </w:t>
      </w:r>
      <w:r w:rsidR="00D52470" w:rsidRPr="00D52470">
        <w:rPr>
          <w:i/>
        </w:rPr>
        <w:t>Cf.</w:t>
      </w:r>
      <w:r w:rsidR="00694E1C">
        <w:rPr>
          <w:i/>
        </w:rPr>
        <w:t xml:space="preserve"> </w:t>
      </w:r>
      <w:r w:rsidR="00B24F31" w:rsidRPr="00762AA3">
        <w:rPr>
          <w:i/>
        </w:rPr>
        <w:t>Adele Lindsay v. Department of Soc. Serv</w:t>
      </w:r>
      <w:r w:rsidR="00B24F31">
        <w:t>., 439 Mass. 789, 797-798 (2003) (discussing standard on administrative appeal</w:t>
      </w:r>
      <w:r w:rsidR="00D52470">
        <w:t xml:space="preserve"> from DSS finding of neglect</w:t>
      </w:r>
      <w:r w:rsidR="00B24F31">
        <w:t xml:space="preserve">). </w:t>
      </w:r>
      <w:r>
        <w:t xml:space="preserve"> In this case, the Respondent does not dispute the existence of </w:t>
      </w:r>
      <w:r w:rsidR="002869E5">
        <w:t>the 51B Report</w:t>
      </w:r>
      <w:r w:rsidR="00FF2FDF">
        <w:t xml:space="preserve">.  </w:t>
      </w:r>
      <w:r w:rsidR="00E56043">
        <w:t>While, the Respondent state</w:t>
      </w:r>
      <w:r w:rsidR="00D52470">
        <w:t>d</w:t>
      </w:r>
      <w:r w:rsidR="00E56043">
        <w:t>, in paragraph 10 of her affidavit</w:t>
      </w:r>
      <w:r w:rsidR="002A1055">
        <w:t xml:space="preserve"> (Ex. 7)</w:t>
      </w:r>
      <w:r w:rsidR="00D52470">
        <w:t xml:space="preserve"> </w:t>
      </w:r>
      <w:r w:rsidR="00E56043">
        <w:t>that:</w:t>
      </w:r>
      <w:r w:rsidR="002A1055">
        <w:t xml:space="preserve"> </w:t>
      </w:r>
      <w:r w:rsidR="00E56043">
        <w:t>“I dispute the facts and conclusions disqualifying me a day care provider for children,” s</w:t>
      </w:r>
      <w:r w:rsidR="00FF2FDF">
        <w:t>he acknowledged that</w:t>
      </w:r>
      <w:r w:rsidR="00E56043">
        <w:t>:</w:t>
      </w:r>
    </w:p>
    <w:p w:rsidR="002A1055" w:rsidRDefault="00694E1C" w:rsidP="002A1055">
      <w:pPr>
        <w:pStyle w:val="Default"/>
        <w:ind w:left="720" w:right="1008"/>
      </w:pPr>
      <w:r>
        <w:t>[I]</w:t>
      </w:r>
      <w:r w:rsidR="00FF2FDF">
        <w:t xml:space="preserve">t was wrong to leave the children and I would never do that again in the future…. I truly feel that a lot was made out of a very simple incident.  I know it was wrong to leave the children unattended – but it was not so horrible an act that I </w:t>
      </w:r>
      <w:proofErr w:type="gramStart"/>
      <w:r w:rsidR="00FF2FDF">
        <w:t>shouldn’t  be</w:t>
      </w:r>
      <w:proofErr w:type="gramEnd"/>
      <w:r w:rsidR="00FF2FDF">
        <w:t xml:space="preserve"> given a second chance to do what I do so well.  </w:t>
      </w:r>
    </w:p>
    <w:p w:rsidR="002A1055" w:rsidRDefault="002A1055" w:rsidP="002A1055">
      <w:pPr>
        <w:pStyle w:val="Default"/>
        <w:ind w:left="720" w:right="1008"/>
      </w:pPr>
    </w:p>
    <w:p w:rsidR="00694E1C" w:rsidRDefault="0009093D" w:rsidP="00D75B6E">
      <w:pPr>
        <w:pStyle w:val="Default"/>
        <w:spacing w:line="480" w:lineRule="auto"/>
      </w:pPr>
      <w:r>
        <w:t>She stat</w:t>
      </w:r>
      <w:r w:rsidR="003827F4">
        <w:t>e</w:t>
      </w:r>
      <w:r w:rsidR="00D52470">
        <w:t>d</w:t>
      </w:r>
      <w:r>
        <w:t xml:space="preserve"> that</w:t>
      </w:r>
      <w:r w:rsidR="00D75B6E">
        <w:t>,</w:t>
      </w:r>
      <w:r>
        <w:t xml:space="preserve"> </w:t>
      </w:r>
      <w:r w:rsidR="00216B44">
        <w:t>at the time of the investigation</w:t>
      </w:r>
      <w:r w:rsidR="00D75B6E">
        <w:t>,</w:t>
      </w:r>
      <w:r w:rsidR="00216B44">
        <w:t xml:space="preserve"> she was not represented and had a more limited understanding of English</w:t>
      </w:r>
      <w:r w:rsidR="00F30B98">
        <w:t xml:space="preserve"> than she has today</w:t>
      </w:r>
      <w:r w:rsidR="00216B44">
        <w:t xml:space="preserve">.  The </w:t>
      </w:r>
      <w:r w:rsidR="002A1055">
        <w:t>R</w:t>
      </w:r>
      <w:r w:rsidR="00216B44">
        <w:t>espondent also state</w:t>
      </w:r>
      <w:r w:rsidR="00D52470">
        <w:t>d</w:t>
      </w:r>
      <w:r w:rsidR="00216B44">
        <w:t xml:space="preserve"> that the investigator told her not to fight the allegations and to </w:t>
      </w:r>
      <w:r w:rsidR="00F30B98">
        <w:t>voluntarily</w:t>
      </w:r>
      <w:r w:rsidR="00216B44">
        <w:t xml:space="preserve"> surrender her license to “</w:t>
      </w:r>
      <w:r w:rsidR="00F30B98">
        <w:t>significantly</w:t>
      </w:r>
      <w:r w:rsidR="00216B44">
        <w:t xml:space="preserve"> improve” her chances of being reinstated. The investigator also promised, according to the Respondent, to assist her in</w:t>
      </w:r>
      <w:r w:rsidR="00F30B98">
        <w:t xml:space="preserve"> </w:t>
      </w:r>
      <w:r w:rsidR="00216B44">
        <w:t xml:space="preserve">getting her license back. </w:t>
      </w:r>
      <w:proofErr w:type="gramStart"/>
      <w:r w:rsidR="00CF140E">
        <w:t>(</w:t>
      </w:r>
      <w:r w:rsidR="006A190E">
        <w:t xml:space="preserve">Par. 14 </w:t>
      </w:r>
      <w:r w:rsidR="00CF140E">
        <w:t>Ex. 7)</w:t>
      </w:r>
      <w:r w:rsidR="00746084">
        <w:t>.</w:t>
      </w:r>
      <w:proofErr w:type="gramEnd"/>
    </w:p>
    <w:p w:rsidR="006A190E" w:rsidRDefault="006A190E" w:rsidP="00694E1C">
      <w:pPr>
        <w:pStyle w:val="Default"/>
        <w:spacing w:line="480" w:lineRule="auto"/>
        <w:ind w:firstLine="720"/>
      </w:pPr>
      <w:r>
        <w:t>The Respondent also sa</w:t>
      </w:r>
      <w:r w:rsidR="00D52470">
        <w:t>id</w:t>
      </w:r>
      <w:r>
        <w:t xml:space="preserve"> that</w:t>
      </w:r>
      <w:r w:rsidR="00D75B6E">
        <w:t>,</w:t>
      </w:r>
      <w:r>
        <w:t xml:space="preserve"> if there was a hearing in this matter</w:t>
      </w:r>
      <w:r w:rsidR="00D75B6E">
        <w:t>,</w:t>
      </w:r>
      <w:r>
        <w:t xml:space="preserve"> she would call two character witnesses to testify that she is an excellent child care giver.  </w:t>
      </w:r>
      <w:proofErr w:type="gramStart"/>
      <w:r>
        <w:t>(Par. 16 Ex. 7).</w:t>
      </w:r>
      <w:proofErr w:type="gramEnd"/>
      <w:r>
        <w:t xml:space="preserve"> </w:t>
      </w:r>
      <w:r w:rsidR="00150C09">
        <w:t xml:space="preserve">But none of these facts, even if true, change the facts that the Respondent left the children alone and DCF issued a supported finding of neglect pursuant to G.L. c. 119 </w:t>
      </w:r>
      <w:r w:rsidR="00150C09" w:rsidRPr="00C36D48">
        <w:t>§</w:t>
      </w:r>
      <w:r w:rsidR="00150C09">
        <w:t xml:space="preserve"> 51B.</w:t>
      </w:r>
      <w:r w:rsidR="00694E1C">
        <w:t xml:space="preserve">  </w:t>
      </w:r>
      <w:r w:rsidR="006852FC">
        <w:t>In the present matter, t</w:t>
      </w:r>
      <w:r w:rsidR="00963235">
        <w:t xml:space="preserve">he Petitioner’s </w:t>
      </w:r>
      <w:r w:rsidR="00DC4E51">
        <w:t xml:space="preserve">Background Check </w:t>
      </w:r>
      <w:r w:rsidR="00963235">
        <w:t xml:space="preserve">Discretionary Review </w:t>
      </w:r>
      <w:r w:rsidR="00DC4E51">
        <w:t>D</w:t>
      </w:r>
      <w:r w:rsidR="00963235">
        <w:t xml:space="preserve">ecision is a thoughtful and lengthy analysis of the Respondent’s DCF history, taking into account </w:t>
      </w:r>
      <w:r w:rsidR="00963235">
        <w:lastRenderedPageBreak/>
        <w:t xml:space="preserve">documents </w:t>
      </w:r>
      <w:r w:rsidR="001E21EC">
        <w:t xml:space="preserve">she </w:t>
      </w:r>
      <w:r w:rsidR="00963235">
        <w:t xml:space="preserve">provided and describing the facts and law used when rendering its decision. </w:t>
      </w:r>
    </w:p>
    <w:p w:rsidR="005D35E8" w:rsidRPr="005D35E8" w:rsidRDefault="005D35E8" w:rsidP="005D35E8">
      <w:pPr>
        <w:pStyle w:val="Header"/>
        <w:tabs>
          <w:tab w:val="clear" w:pos="4320"/>
          <w:tab w:val="clear" w:pos="8640"/>
        </w:tabs>
        <w:spacing w:line="480" w:lineRule="auto"/>
        <w:jc w:val="center"/>
        <w:rPr>
          <w:i/>
        </w:rPr>
      </w:pPr>
      <w:r w:rsidRPr="005D35E8">
        <w:rPr>
          <w:i/>
        </w:rPr>
        <w:t>Conclusion</w:t>
      </w:r>
    </w:p>
    <w:p w:rsidR="006A190E" w:rsidRDefault="00963235" w:rsidP="00D52470">
      <w:pPr>
        <w:pStyle w:val="Header"/>
        <w:tabs>
          <w:tab w:val="clear" w:pos="4320"/>
          <w:tab w:val="clear" w:pos="8640"/>
        </w:tabs>
        <w:spacing w:line="480" w:lineRule="auto"/>
        <w:ind w:firstLine="720"/>
      </w:pPr>
      <w:r>
        <w:t xml:space="preserve">Accordingly, </w:t>
      </w:r>
      <w:r w:rsidR="00D52470">
        <w:t xml:space="preserve">I recommend that </w:t>
      </w:r>
      <w:r>
        <w:t xml:space="preserve">the Petitioner’s Motion for Summary </w:t>
      </w:r>
      <w:r w:rsidR="00C13151">
        <w:t xml:space="preserve">Decision </w:t>
      </w:r>
      <w:r w:rsidR="00D52470">
        <w:t>be</w:t>
      </w:r>
      <w:r>
        <w:t xml:space="preserve"> </w:t>
      </w:r>
      <w:r w:rsidRPr="005D35E8">
        <w:rPr>
          <w:b/>
        </w:rPr>
        <w:t>ALLOWED</w:t>
      </w:r>
      <w:r w:rsidR="00D52470">
        <w:t xml:space="preserve"> and</w:t>
      </w:r>
      <w:r w:rsidR="00A844D6">
        <w:t xml:space="preserve"> the Petitioner’s decision to deny the application for discretionary approval be </w:t>
      </w:r>
      <w:r w:rsidR="005D35E8" w:rsidRPr="005D35E8">
        <w:rPr>
          <w:b/>
        </w:rPr>
        <w:t>AFFIRMED</w:t>
      </w:r>
      <w:r w:rsidR="00A844D6">
        <w:t>.</w:t>
      </w:r>
    </w:p>
    <w:p w:rsidR="006A190E" w:rsidRDefault="006A190E" w:rsidP="00C13151">
      <w:pPr>
        <w:pStyle w:val="Header"/>
        <w:tabs>
          <w:tab w:val="clear" w:pos="4320"/>
          <w:tab w:val="clear" w:pos="8640"/>
        </w:tabs>
      </w:pPr>
    </w:p>
    <w:p w:rsidR="00963235" w:rsidRDefault="00963235" w:rsidP="00C13151">
      <w:pPr>
        <w:pStyle w:val="Header"/>
        <w:tabs>
          <w:tab w:val="clear" w:pos="4320"/>
          <w:tab w:val="clear" w:pos="8640"/>
        </w:tabs>
      </w:pPr>
      <w:r>
        <w:t>Division of Administrative Law Appeals</w:t>
      </w:r>
      <w:r w:rsidR="003A0486">
        <w:t>,</w:t>
      </w:r>
    </w:p>
    <w:p w:rsidR="00C13151" w:rsidRDefault="00C13151" w:rsidP="0014391B">
      <w:pPr>
        <w:pStyle w:val="Header"/>
        <w:tabs>
          <w:tab w:val="clear" w:pos="4320"/>
          <w:tab w:val="clear" w:pos="8640"/>
        </w:tabs>
      </w:pPr>
    </w:p>
    <w:p w:rsidR="006A190E" w:rsidRDefault="006A190E" w:rsidP="0014391B">
      <w:pPr>
        <w:pStyle w:val="Header"/>
        <w:tabs>
          <w:tab w:val="clear" w:pos="4320"/>
          <w:tab w:val="clear" w:pos="8640"/>
        </w:tabs>
      </w:pPr>
    </w:p>
    <w:p w:rsidR="00C13151" w:rsidRDefault="00C13151" w:rsidP="005476FD">
      <w:pPr>
        <w:pStyle w:val="Header"/>
        <w:tabs>
          <w:tab w:val="clear" w:pos="4320"/>
          <w:tab w:val="clear" w:pos="8640"/>
        </w:tabs>
        <w:ind w:firstLine="720"/>
      </w:pPr>
    </w:p>
    <w:p w:rsidR="00C13151" w:rsidRDefault="00C13151" w:rsidP="00C13151">
      <w:pPr>
        <w:pStyle w:val="Header"/>
        <w:tabs>
          <w:tab w:val="clear" w:pos="4320"/>
          <w:tab w:val="clear" w:pos="8640"/>
        </w:tabs>
      </w:pPr>
      <w:r>
        <w:t>Edward B. McGrath</w:t>
      </w:r>
    </w:p>
    <w:p w:rsidR="005476FD" w:rsidRDefault="00C13151" w:rsidP="00C13151">
      <w:pPr>
        <w:pStyle w:val="Header"/>
        <w:tabs>
          <w:tab w:val="clear" w:pos="4320"/>
          <w:tab w:val="clear" w:pos="8640"/>
        </w:tabs>
      </w:pPr>
      <w:r>
        <w:t xml:space="preserve">Chief </w:t>
      </w:r>
      <w:r w:rsidR="005476FD">
        <w:t>Administrative Magistrate</w:t>
      </w:r>
    </w:p>
    <w:p w:rsidR="00C13151" w:rsidRDefault="00C13151" w:rsidP="00C13151">
      <w:pPr>
        <w:pStyle w:val="Header"/>
        <w:tabs>
          <w:tab w:val="clear" w:pos="4320"/>
          <w:tab w:val="clear" w:pos="8640"/>
        </w:tabs>
      </w:pPr>
    </w:p>
    <w:p w:rsidR="005476FD" w:rsidRDefault="00963235" w:rsidP="00C13151">
      <w:pPr>
        <w:pStyle w:val="Header"/>
        <w:tabs>
          <w:tab w:val="clear" w:pos="4320"/>
          <w:tab w:val="clear" w:pos="8640"/>
        </w:tabs>
        <w:spacing w:line="480" w:lineRule="auto"/>
      </w:pPr>
      <w:r>
        <w:t xml:space="preserve">DATED:  </w:t>
      </w:r>
      <w:r w:rsidR="00F156EE">
        <w:t>August 1, 2017</w:t>
      </w:r>
    </w:p>
    <w:p w:rsidR="000846CF" w:rsidRDefault="000846CF"/>
    <w:p w:rsidR="000846CF" w:rsidRDefault="000846CF"/>
    <w:sectPr w:rsidR="000846CF">
      <w:headerReference w:type="even" r:id="rId9"/>
      <w:headerReference w:type="default" r:id="rId10"/>
      <w:footerReference w:type="even" r:id="rId11"/>
      <w:footerReference w:type="default" r:id="rId12"/>
      <w:headerReference w:type="first" r:id="rId13"/>
      <w:pgSz w:w="12240" w:h="15840" w:code="1"/>
      <w:pgMar w:top="1584" w:right="1800" w:bottom="2160" w:left="1800"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2D" w:rsidRDefault="00730B2D">
      <w:r>
        <w:separator/>
      </w:r>
    </w:p>
  </w:endnote>
  <w:endnote w:type="continuationSeparator" w:id="0">
    <w:p w:rsidR="00730B2D" w:rsidRDefault="0073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0D" w:rsidRDefault="00233F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3F0D" w:rsidRDefault="00233F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0D" w:rsidRDefault="00233F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263">
      <w:rPr>
        <w:rStyle w:val="PageNumber"/>
        <w:noProof/>
      </w:rPr>
      <w:t>2</w:t>
    </w:r>
    <w:r>
      <w:rPr>
        <w:rStyle w:val="PageNumber"/>
      </w:rPr>
      <w:fldChar w:fldCharType="end"/>
    </w:r>
  </w:p>
  <w:p w:rsidR="00233F0D" w:rsidRDefault="00233F0D">
    <w:pPr>
      <w:pStyle w:val="Footer"/>
      <w:framePr w:wrap="around" w:vAnchor="text" w:hAnchor="page" w:x="3601" w:yAlign="center"/>
      <w:rPr>
        <w:rStyle w:val="PageNumber"/>
      </w:rPr>
    </w:pPr>
    <w:r>
      <w:rPr>
        <w:rStyle w:val="PageNumber"/>
      </w:rPr>
      <w:t xml:space="preserve">   </w:t>
    </w:r>
  </w:p>
  <w:p w:rsidR="00233F0D" w:rsidRDefault="00233F0D">
    <w:pPr>
      <w:pStyle w:val="Footer"/>
      <w:framePr w:wrap="around" w:vAnchor="text" w:hAnchor="page" w:x="3601" w:yAlign="center"/>
      <w:rPr>
        <w:rStyle w:val="PageNumber"/>
      </w:rPr>
    </w:pPr>
  </w:p>
  <w:p w:rsidR="00233F0D" w:rsidRDefault="00233F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2D" w:rsidRDefault="00730B2D">
      <w:r>
        <w:separator/>
      </w:r>
    </w:p>
  </w:footnote>
  <w:footnote w:type="continuationSeparator" w:id="0">
    <w:p w:rsidR="00730B2D" w:rsidRDefault="00730B2D">
      <w:r>
        <w:continuationSeparator/>
      </w:r>
    </w:p>
  </w:footnote>
  <w:footnote w:id="1">
    <w:p w:rsidR="00ED135E" w:rsidRDefault="00ED135E">
      <w:pPr>
        <w:pStyle w:val="FootnoteText"/>
      </w:pPr>
      <w:r>
        <w:rPr>
          <w:rStyle w:val="FootnoteReference"/>
        </w:rPr>
        <w:footnoteRef/>
      </w:r>
      <w:r>
        <w:t xml:space="preserve"> The evidentiary </w:t>
      </w:r>
      <w:r w:rsidR="004838A2">
        <w:t>h</w:t>
      </w:r>
      <w:r>
        <w:t>earing is canceled.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0D" w:rsidRDefault="00233F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33F0D" w:rsidRDefault="00233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0D" w:rsidRDefault="00063B67">
    <w:pPr>
      <w:pStyle w:val="Header"/>
    </w:pPr>
    <w:r w:rsidRPr="005D6A35">
      <w:rPr>
        <w:i/>
      </w:rPr>
      <w:t>Dep</w:t>
    </w:r>
    <w:r w:rsidR="003F0A73" w:rsidRPr="005D6A35">
      <w:rPr>
        <w:i/>
      </w:rPr>
      <w:t xml:space="preserve">t. </w:t>
    </w:r>
    <w:r w:rsidR="00105E09" w:rsidRPr="005D6A35">
      <w:rPr>
        <w:i/>
      </w:rPr>
      <w:t xml:space="preserve">of Early Education and Care v. </w:t>
    </w:r>
    <w:proofErr w:type="spellStart"/>
    <w:r w:rsidR="003F0A73" w:rsidRPr="005D6A35">
      <w:rPr>
        <w:i/>
      </w:rPr>
      <w:t>Bellimara</w:t>
    </w:r>
    <w:proofErr w:type="spellEnd"/>
    <w:r w:rsidR="003F0A73" w:rsidRPr="005D6A35">
      <w:rPr>
        <w:i/>
      </w:rPr>
      <w:t xml:space="preserve"> Santana Reyes</w:t>
    </w:r>
    <w:r w:rsidR="003F0A73">
      <w:rPr>
        <w:i/>
      </w:rPr>
      <w:t>,</w:t>
    </w:r>
    <w:r w:rsidR="00B120F2">
      <w:t xml:space="preserve">          </w:t>
    </w:r>
    <w:r w:rsidR="00105E09">
      <w:t>OC</w:t>
    </w:r>
    <w:r>
      <w:t>-</w:t>
    </w:r>
    <w:r w:rsidR="00B120F2">
      <w:t>1</w:t>
    </w:r>
    <w:r w:rsidR="003F0A73">
      <w:t>7-086</w:t>
    </w:r>
    <w:r w:rsidR="00233F0D">
      <w:t xml:space="preserve">                                                                                                                                                 </w:t>
    </w:r>
  </w:p>
  <w:p w:rsidR="00233F0D" w:rsidRDefault="00233F0D">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F0D" w:rsidRDefault="00233F0D">
    <w:pPr>
      <w:pStyle w:val="Header"/>
    </w:pPr>
  </w:p>
  <w:p w:rsidR="00233F0D" w:rsidRDefault="00233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AAF"/>
    <w:multiLevelType w:val="singleLevel"/>
    <w:tmpl w:val="019ADFBC"/>
    <w:lvl w:ilvl="0">
      <w:start w:val="5"/>
      <w:numFmt w:val="lowerRoman"/>
      <w:lvlText w:val="%1."/>
      <w:lvlJc w:val="left"/>
      <w:pPr>
        <w:tabs>
          <w:tab w:val="num" w:pos="4500"/>
        </w:tabs>
        <w:ind w:left="4500" w:hanging="3840"/>
      </w:pPr>
      <w:rPr>
        <w:rFonts w:hint="default"/>
      </w:rPr>
    </w:lvl>
  </w:abstractNum>
  <w:abstractNum w:abstractNumId="1">
    <w:nsid w:val="04794B92"/>
    <w:multiLevelType w:val="hybridMultilevel"/>
    <w:tmpl w:val="3BF6AEEA"/>
    <w:lvl w:ilvl="0" w:tplc="58B8E986">
      <w:start w:val="4"/>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1A2104"/>
    <w:multiLevelType w:val="hybridMultilevel"/>
    <w:tmpl w:val="06A8D854"/>
    <w:lvl w:ilvl="0" w:tplc="EB6AF3A8">
      <w:start w:val="2004"/>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B42F3F"/>
    <w:multiLevelType w:val="singleLevel"/>
    <w:tmpl w:val="5F8A922A"/>
    <w:lvl w:ilvl="0">
      <w:start w:val="1"/>
      <w:numFmt w:val="decimal"/>
      <w:lvlText w:val="%1."/>
      <w:lvlJc w:val="left"/>
      <w:pPr>
        <w:tabs>
          <w:tab w:val="num" w:pos="660"/>
        </w:tabs>
        <w:ind w:left="660" w:hanging="360"/>
      </w:pPr>
      <w:rPr>
        <w:rFonts w:hint="default"/>
      </w:rPr>
    </w:lvl>
  </w:abstractNum>
  <w:abstractNum w:abstractNumId="4">
    <w:nsid w:val="0F543A35"/>
    <w:multiLevelType w:val="hybridMultilevel"/>
    <w:tmpl w:val="0A26CF86"/>
    <w:lvl w:ilvl="0" w:tplc="5D224C72">
      <w:start w:val="1"/>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FD06392"/>
    <w:multiLevelType w:val="singleLevel"/>
    <w:tmpl w:val="5BA2B686"/>
    <w:lvl w:ilvl="0">
      <w:start w:val="1"/>
      <w:numFmt w:val="decimal"/>
      <w:lvlText w:val="%1."/>
      <w:lvlJc w:val="left"/>
      <w:pPr>
        <w:tabs>
          <w:tab w:val="num" w:pos="660"/>
        </w:tabs>
        <w:ind w:left="660" w:hanging="360"/>
      </w:pPr>
      <w:rPr>
        <w:rFonts w:hint="default"/>
      </w:rPr>
    </w:lvl>
  </w:abstractNum>
  <w:abstractNum w:abstractNumId="6">
    <w:nsid w:val="118417B1"/>
    <w:multiLevelType w:val="hybridMultilevel"/>
    <w:tmpl w:val="E71A5CF6"/>
    <w:lvl w:ilvl="0" w:tplc="FCC222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DD6EB3"/>
    <w:multiLevelType w:val="hybridMultilevel"/>
    <w:tmpl w:val="AAF6118C"/>
    <w:lvl w:ilvl="0" w:tplc="6AF6EDA0">
      <w:start w:val="14"/>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19529E"/>
    <w:multiLevelType w:val="hybridMultilevel"/>
    <w:tmpl w:val="A87E8D96"/>
    <w:lvl w:ilvl="0" w:tplc="FF4E134C">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17664F22"/>
    <w:multiLevelType w:val="hybridMultilevel"/>
    <w:tmpl w:val="79F2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C52F6"/>
    <w:multiLevelType w:val="singleLevel"/>
    <w:tmpl w:val="F6DC000C"/>
    <w:lvl w:ilvl="0">
      <w:start w:val="1"/>
      <w:numFmt w:val="decimal"/>
      <w:lvlText w:val="%1."/>
      <w:lvlJc w:val="left"/>
      <w:pPr>
        <w:tabs>
          <w:tab w:val="num" w:pos="660"/>
        </w:tabs>
        <w:ind w:left="660" w:hanging="360"/>
      </w:pPr>
      <w:rPr>
        <w:rFonts w:hint="default"/>
      </w:rPr>
    </w:lvl>
  </w:abstractNum>
  <w:abstractNum w:abstractNumId="11">
    <w:nsid w:val="1A8056D2"/>
    <w:multiLevelType w:val="singleLevel"/>
    <w:tmpl w:val="D958A178"/>
    <w:lvl w:ilvl="0">
      <w:start w:val="1"/>
      <w:numFmt w:val="decimal"/>
      <w:lvlText w:val="%1."/>
      <w:lvlJc w:val="left"/>
      <w:pPr>
        <w:tabs>
          <w:tab w:val="num" w:pos="660"/>
        </w:tabs>
        <w:ind w:left="660" w:hanging="360"/>
      </w:pPr>
      <w:rPr>
        <w:rFonts w:hint="default"/>
      </w:rPr>
    </w:lvl>
  </w:abstractNum>
  <w:abstractNum w:abstractNumId="12">
    <w:nsid w:val="1AED2769"/>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20CD0E20"/>
    <w:multiLevelType w:val="hybridMultilevel"/>
    <w:tmpl w:val="FDEE22A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BE7B42"/>
    <w:multiLevelType w:val="hybridMultilevel"/>
    <w:tmpl w:val="2D662716"/>
    <w:lvl w:ilvl="0" w:tplc="758AD44E">
      <w:start w:val="5"/>
      <w:numFmt w:val="decimal"/>
      <w:lvlText w:val="%1."/>
      <w:lvlJc w:val="left"/>
      <w:pPr>
        <w:tabs>
          <w:tab w:val="num" w:pos="1080"/>
        </w:tabs>
        <w:ind w:left="1080" w:hanging="360"/>
      </w:pPr>
      <w:rPr>
        <w:rFonts w:hint="default"/>
      </w:rPr>
    </w:lvl>
    <w:lvl w:ilvl="1" w:tplc="F0360D5A">
      <w:start w:val="40"/>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C229C0"/>
    <w:multiLevelType w:val="hybridMultilevel"/>
    <w:tmpl w:val="BCC6A226"/>
    <w:lvl w:ilvl="0" w:tplc="50764060">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8266B37"/>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17">
    <w:nsid w:val="285032EC"/>
    <w:multiLevelType w:val="hybridMultilevel"/>
    <w:tmpl w:val="B8ECB16E"/>
    <w:lvl w:ilvl="0" w:tplc="A7304CF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8">
    <w:nsid w:val="2B9C4201"/>
    <w:multiLevelType w:val="hybridMultilevel"/>
    <w:tmpl w:val="2C7E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070200"/>
    <w:multiLevelType w:val="hybridMultilevel"/>
    <w:tmpl w:val="8514DD4C"/>
    <w:lvl w:ilvl="0" w:tplc="C1E4C830">
      <w:start w:val="5"/>
      <w:numFmt w:val="lowerRoman"/>
      <w:lvlText w:val="%1."/>
      <w:lvlJc w:val="left"/>
      <w:pPr>
        <w:tabs>
          <w:tab w:val="num" w:pos="4560"/>
        </w:tabs>
        <w:ind w:left="4560" w:hanging="40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2EA36493"/>
    <w:multiLevelType w:val="singleLevel"/>
    <w:tmpl w:val="5CB26C74"/>
    <w:lvl w:ilvl="0">
      <w:start w:val="1"/>
      <w:numFmt w:val="decimal"/>
      <w:lvlText w:val="%1."/>
      <w:lvlJc w:val="left"/>
      <w:pPr>
        <w:tabs>
          <w:tab w:val="num" w:pos="600"/>
        </w:tabs>
        <w:ind w:left="600" w:hanging="360"/>
      </w:pPr>
      <w:rPr>
        <w:rFonts w:hint="default"/>
      </w:rPr>
    </w:lvl>
  </w:abstractNum>
  <w:abstractNum w:abstractNumId="21">
    <w:nsid w:val="2F255F98"/>
    <w:multiLevelType w:val="hybridMultilevel"/>
    <w:tmpl w:val="B2A8629C"/>
    <w:lvl w:ilvl="0" w:tplc="BA6C320E">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5890E3E"/>
    <w:multiLevelType w:val="singleLevel"/>
    <w:tmpl w:val="02B05D02"/>
    <w:lvl w:ilvl="0">
      <w:start w:val="1"/>
      <w:numFmt w:val="decimal"/>
      <w:lvlText w:val="%1."/>
      <w:lvlJc w:val="left"/>
      <w:pPr>
        <w:tabs>
          <w:tab w:val="num" w:pos="660"/>
        </w:tabs>
        <w:ind w:left="660" w:hanging="360"/>
      </w:pPr>
      <w:rPr>
        <w:rFonts w:hint="default"/>
      </w:rPr>
    </w:lvl>
  </w:abstractNum>
  <w:abstractNum w:abstractNumId="23">
    <w:nsid w:val="3C635046"/>
    <w:multiLevelType w:val="hybridMultilevel"/>
    <w:tmpl w:val="666A90AC"/>
    <w:lvl w:ilvl="0" w:tplc="5076406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C873F32"/>
    <w:multiLevelType w:val="hybridMultilevel"/>
    <w:tmpl w:val="64D4A974"/>
    <w:lvl w:ilvl="0" w:tplc="C1124E6E">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CC87EB8"/>
    <w:multiLevelType w:val="hybridMultilevel"/>
    <w:tmpl w:val="5E041792"/>
    <w:lvl w:ilvl="0" w:tplc="149E73A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3E5A4988"/>
    <w:multiLevelType w:val="hybridMultilevel"/>
    <w:tmpl w:val="05D05280"/>
    <w:lvl w:ilvl="0" w:tplc="493C1626">
      <w:start w:val="8"/>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7">
    <w:nsid w:val="3F196135"/>
    <w:multiLevelType w:val="hybridMultilevel"/>
    <w:tmpl w:val="D5AA7C5E"/>
    <w:lvl w:ilvl="0" w:tplc="646027B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42B72E43"/>
    <w:multiLevelType w:val="hybridMultilevel"/>
    <w:tmpl w:val="3C9818B0"/>
    <w:lvl w:ilvl="0" w:tplc="CEC2806C">
      <w:start w:val="1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3C65800"/>
    <w:multiLevelType w:val="hybridMultilevel"/>
    <w:tmpl w:val="2B20F964"/>
    <w:lvl w:ilvl="0" w:tplc="4C3610BA">
      <w:start w:val="2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4D72879"/>
    <w:multiLevelType w:val="singleLevel"/>
    <w:tmpl w:val="B66E4AC6"/>
    <w:lvl w:ilvl="0">
      <w:start w:val="1"/>
      <w:numFmt w:val="decimal"/>
      <w:lvlText w:val="%1."/>
      <w:lvlJc w:val="left"/>
      <w:pPr>
        <w:tabs>
          <w:tab w:val="num" w:pos="660"/>
        </w:tabs>
        <w:ind w:left="660" w:hanging="360"/>
      </w:pPr>
      <w:rPr>
        <w:rFonts w:hint="default"/>
      </w:rPr>
    </w:lvl>
  </w:abstractNum>
  <w:abstractNum w:abstractNumId="31">
    <w:nsid w:val="476A5E87"/>
    <w:multiLevelType w:val="hybridMultilevel"/>
    <w:tmpl w:val="677C5F1E"/>
    <w:lvl w:ilvl="0" w:tplc="D90634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005F0D"/>
    <w:multiLevelType w:val="hybridMultilevel"/>
    <w:tmpl w:val="42EA6D9C"/>
    <w:lvl w:ilvl="0" w:tplc="BC164CA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D0A312C"/>
    <w:multiLevelType w:val="hybridMultilevel"/>
    <w:tmpl w:val="44002376"/>
    <w:lvl w:ilvl="0" w:tplc="541C1E64">
      <w:start w:val="10"/>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59C07BF"/>
    <w:multiLevelType w:val="hybridMultilevel"/>
    <w:tmpl w:val="801C2004"/>
    <w:lvl w:ilvl="0" w:tplc="50764060">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7A647D4"/>
    <w:multiLevelType w:val="hybridMultilevel"/>
    <w:tmpl w:val="34DE728C"/>
    <w:lvl w:ilvl="0" w:tplc="50764060">
      <w:start w:val="1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A2B6870"/>
    <w:multiLevelType w:val="hybridMultilevel"/>
    <w:tmpl w:val="454AB40C"/>
    <w:lvl w:ilvl="0" w:tplc="50764060">
      <w:start w:val="2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C7663D8"/>
    <w:multiLevelType w:val="hybridMultilevel"/>
    <w:tmpl w:val="6512C84E"/>
    <w:lvl w:ilvl="0" w:tplc="50764060">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DA121EA"/>
    <w:multiLevelType w:val="hybridMultilevel"/>
    <w:tmpl w:val="2A789CFE"/>
    <w:lvl w:ilvl="0" w:tplc="50764060">
      <w:start w:val="2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F522742"/>
    <w:multiLevelType w:val="hybridMultilevel"/>
    <w:tmpl w:val="913875C4"/>
    <w:lvl w:ilvl="0" w:tplc="5076406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1B3520C"/>
    <w:multiLevelType w:val="singleLevel"/>
    <w:tmpl w:val="960CEE3E"/>
    <w:lvl w:ilvl="0">
      <w:start w:val="1"/>
      <w:numFmt w:val="decimal"/>
      <w:lvlText w:val="%1."/>
      <w:lvlJc w:val="left"/>
      <w:pPr>
        <w:tabs>
          <w:tab w:val="num" w:pos="720"/>
        </w:tabs>
        <w:ind w:left="720" w:hanging="360"/>
      </w:pPr>
      <w:rPr>
        <w:rFonts w:hint="default"/>
      </w:rPr>
    </w:lvl>
  </w:abstractNum>
  <w:abstractNum w:abstractNumId="41">
    <w:nsid w:val="63493D20"/>
    <w:multiLevelType w:val="hybridMultilevel"/>
    <w:tmpl w:val="B42207EE"/>
    <w:lvl w:ilvl="0" w:tplc="0AAEFED4">
      <w:start w:val="20"/>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A527972"/>
    <w:multiLevelType w:val="hybridMultilevel"/>
    <w:tmpl w:val="FA5C5328"/>
    <w:lvl w:ilvl="0" w:tplc="CBD66758">
      <w:start w:val="3"/>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B3024AC"/>
    <w:multiLevelType w:val="hybridMultilevel"/>
    <w:tmpl w:val="9B466212"/>
    <w:lvl w:ilvl="0" w:tplc="1E90EB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BD61242"/>
    <w:multiLevelType w:val="hybridMultilevel"/>
    <w:tmpl w:val="3700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CD2680"/>
    <w:multiLevelType w:val="hybridMultilevel"/>
    <w:tmpl w:val="5B16DC9C"/>
    <w:lvl w:ilvl="0" w:tplc="A36E3CF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6">
    <w:nsid w:val="7DD407F9"/>
    <w:multiLevelType w:val="hybridMultilevel"/>
    <w:tmpl w:val="105A8C28"/>
    <w:lvl w:ilvl="0" w:tplc="D1CE831A">
      <w:start w:val="1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E09022C"/>
    <w:multiLevelType w:val="hybridMultilevel"/>
    <w:tmpl w:val="A9524C96"/>
    <w:lvl w:ilvl="0" w:tplc="C922D1BC">
      <w:start w:val="4"/>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8">
    <w:nsid w:val="7EAE3E06"/>
    <w:multiLevelType w:val="hybridMultilevel"/>
    <w:tmpl w:val="7ADAA3DE"/>
    <w:lvl w:ilvl="0" w:tplc="40E27F06">
      <w:start w:val="2"/>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2"/>
  </w:num>
  <w:num w:numId="3">
    <w:abstractNumId w:val="11"/>
  </w:num>
  <w:num w:numId="4">
    <w:abstractNumId w:val="12"/>
  </w:num>
  <w:num w:numId="5">
    <w:abstractNumId w:val="16"/>
  </w:num>
  <w:num w:numId="6">
    <w:abstractNumId w:val="40"/>
  </w:num>
  <w:num w:numId="7">
    <w:abstractNumId w:val="30"/>
  </w:num>
  <w:num w:numId="8">
    <w:abstractNumId w:val="5"/>
  </w:num>
  <w:num w:numId="9">
    <w:abstractNumId w:val="20"/>
  </w:num>
  <w:num w:numId="10">
    <w:abstractNumId w:val="10"/>
  </w:num>
  <w:num w:numId="11">
    <w:abstractNumId w:val="3"/>
  </w:num>
  <w:num w:numId="12">
    <w:abstractNumId w:val="27"/>
  </w:num>
  <w:num w:numId="13">
    <w:abstractNumId w:val="19"/>
  </w:num>
  <w:num w:numId="14">
    <w:abstractNumId w:val="17"/>
  </w:num>
  <w:num w:numId="15">
    <w:abstractNumId w:val="43"/>
  </w:num>
  <w:num w:numId="16">
    <w:abstractNumId w:val="4"/>
  </w:num>
  <w:num w:numId="17">
    <w:abstractNumId w:val="1"/>
  </w:num>
  <w:num w:numId="18">
    <w:abstractNumId w:val="42"/>
  </w:num>
  <w:num w:numId="19">
    <w:abstractNumId w:val="2"/>
  </w:num>
  <w:num w:numId="20">
    <w:abstractNumId w:val="21"/>
  </w:num>
  <w:num w:numId="21">
    <w:abstractNumId w:val="29"/>
  </w:num>
  <w:num w:numId="22">
    <w:abstractNumId w:val="48"/>
  </w:num>
  <w:num w:numId="23">
    <w:abstractNumId w:val="8"/>
  </w:num>
  <w:num w:numId="24">
    <w:abstractNumId w:val="14"/>
  </w:num>
  <w:num w:numId="25">
    <w:abstractNumId w:val="32"/>
  </w:num>
  <w:num w:numId="26">
    <w:abstractNumId w:val="25"/>
  </w:num>
  <w:num w:numId="27">
    <w:abstractNumId w:val="26"/>
  </w:num>
  <w:num w:numId="28">
    <w:abstractNumId w:val="15"/>
  </w:num>
  <w:num w:numId="29">
    <w:abstractNumId w:val="37"/>
  </w:num>
  <w:num w:numId="30">
    <w:abstractNumId w:val="35"/>
  </w:num>
  <w:num w:numId="31">
    <w:abstractNumId w:val="41"/>
  </w:num>
  <w:num w:numId="32">
    <w:abstractNumId w:val="28"/>
  </w:num>
  <w:num w:numId="33">
    <w:abstractNumId w:val="24"/>
  </w:num>
  <w:num w:numId="34">
    <w:abstractNumId w:val="7"/>
  </w:num>
  <w:num w:numId="35">
    <w:abstractNumId w:val="23"/>
  </w:num>
  <w:num w:numId="36">
    <w:abstractNumId w:val="34"/>
  </w:num>
  <w:num w:numId="37">
    <w:abstractNumId w:val="36"/>
  </w:num>
  <w:num w:numId="38">
    <w:abstractNumId w:val="38"/>
  </w:num>
  <w:num w:numId="39">
    <w:abstractNumId w:val="33"/>
  </w:num>
  <w:num w:numId="40">
    <w:abstractNumId w:val="39"/>
  </w:num>
  <w:num w:numId="41">
    <w:abstractNumId w:val="46"/>
  </w:num>
  <w:num w:numId="42">
    <w:abstractNumId w:val="47"/>
  </w:num>
  <w:num w:numId="43">
    <w:abstractNumId w:val="6"/>
  </w:num>
  <w:num w:numId="44">
    <w:abstractNumId w:val="45"/>
  </w:num>
  <w:num w:numId="45">
    <w:abstractNumId w:val="18"/>
  </w:num>
  <w:num w:numId="46">
    <w:abstractNumId w:val="31"/>
  </w:num>
  <w:num w:numId="47">
    <w:abstractNumId w:val="9"/>
  </w:num>
  <w:num w:numId="48">
    <w:abstractNumId w:val="4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CF"/>
    <w:rsid w:val="00000025"/>
    <w:rsid w:val="00012421"/>
    <w:rsid w:val="000136F0"/>
    <w:rsid w:val="0004149B"/>
    <w:rsid w:val="0004164A"/>
    <w:rsid w:val="000500C5"/>
    <w:rsid w:val="000532F2"/>
    <w:rsid w:val="0006030A"/>
    <w:rsid w:val="00063B67"/>
    <w:rsid w:val="000846CF"/>
    <w:rsid w:val="0009093D"/>
    <w:rsid w:val="000B19F4"/>
    <w:rsid w:val="000C2CE3"/>
    <w:rsid w:val="000E4B50"/>
    <w:rsid w:val="000E5D82"/>
    <w:rsid w:val="00105E09"/>
    <w:rsid w:val="00117FDB"/>
    <w:rsid w:val="001336F8"/>
    <w:rsid w:val="00142706"/>
    <w:rsid w:val="0014391B"/>
    <w:rsid w:val="00150C09"/>
    <w:rsid w:val="001578F3"/>
    <w:rsid w:val="00157992"/>
    <w:rsid w:val="00165A74"/>
    <w:rsid w:val="001677EF"/>
    <w:rsid w:val="001928C5"/>
    <w:rsid w:val="001A1D0A"/>
    <w:rsid w:val="001B1E10"/>
    <w:rsid w:val="001B78FE"/>
    <w:rsid w:val="001B7D2E"/>
    <w:rsid w:val="001B7FC7"/>
    <w:rsid w:val="001C4E1B"/>
    <w:rsid w:val="001D1FC2"/>
    <w:rsid w:val="001D4C23"/>
    <w:rsid w:val="001E21EC"/>
    <w:rsid w:val="001E3AF8"/>
    <w:rsid w:val="001E6D43"/>
    <w:rsid w:val="001E7DD3"/>
    <w:rsid w:val="001F1896"/>
    <w:rsid w:val="001F480E"/>
    <w:rsid w:val="00210E55"/>
    <w:rsid w:val="00216586"/>
    <w:rsid w:val="00216B44"/>
    <w:rsid w:val="002227AD"/>
    <w:rsid w:val="00233F0D"/>
    <w:rsid w:val="002477DA"/>
    <w:rsid w:val="0025281E"/>
    <w:rsid w:val="002869E5"/>
    <w:rsid w:val="00291582"/>
    <w:rsid w:val="002A1055"/>
    <w:rsid w:val="002A3F71"/>
    <w:rsid w:val="002A4A63"/>
    <w:rsid w:val="002B1D74"/>
    <w:rsid w:val="002B2BFF"/>
    <w:rsid w:val="002C41B9"/>
    <w:rsid w:val="002D570E"/>
    <w:rsid w:val="002E15E8"/>
    <w:rsid w:val="002E4330"/>
    <w:rsid w:val="002E66E4"/>
    <w:rsid w:val="00322B90"/>
    <w:rsid w:val="00323A99"/>
    <w:rsid w:val="003250B5"/>
    <w:rsid w:val="003269C3"/>
    <w:rsid w:val="00332428"/>
    <w:rsid w:val="00336839"/>
    <w:rsid w:val="00354263"/>
    <w:rsid w:val="00361055"/>
    <w:rsid w:val="00363035"/>
    <w:rsid w:val="00367AED"/>
    <w:rsid w:val="003711EF"/>
    <w:rsid w:val="003757E8"/>
    <w:rsid w:val="003827F4"/>
    <w:rsid w:val="00387FBA"/>
    <w:rsid w:val="003922B3"/>
    <w:rsid w:val="003947B5"/>
    <w:rsid w:val="00396A6C"/>
    <w:rsid w:val="003A0486"/>
    <w:rsid w:val="003A3970"/>
    <w:rsid w:val="003A51E4"/>
    <w:rsid w:val="003B49B5"/>
    <w:rsid w:val="003C0161"/>
    <w:rsid w:val="003C1B6C"/>
    <w:rsid w:val="003C77E0"/>
    <w:rsid w:val="003D1A4F"/>
    <w:rsid w:val="003E3950"/>
    <w:rsid w:val="003F0A73"/>
    <w:rsid w:val="0040279B"/>
    <w:rsid w:val="0041091B"/>
    <w:rsid w:val="00440512"/>
    <w:rsid w:val="00482EB9"/>
    <w:rsid w:val="004838A2"/>
    <w:rsid w:val="00490BDE"/>
    <w:rsid w:val="00493729"/>
    <w:rsid w:val="004A1A88"/>
    <w:rsid w:val="004A38BB"/>
    <w:rsid w:val="004A62C5"/>
    <w:rsid w:val="004D12BA"/>
    <w:rsid w:val="004D6F51"/>
    <w:rsid w:val="004F23E2"/>
    <w:rsid w:val="00503C26"/>
    <w:rsid w:val="00525CF4"/>
    <w:rsid w:val="00526235"/>
    <w:rsid w:val="00530FB2"/>
    <w:rsid w:val="005476FD"/>
    <w:rsid w:val="0055634D"/>
    <w:rsid w:val="005732C1"/>
    <w:rsid w:val="0057680D"/>
    <w:rsid w:val="00580B28"/>
    <w:rsid w:val="005C6633"/>
    <w:rsid w:val="005D35E8"/>
    <w:rsid w:val="005D6A35"/>
    <w:rsid w:val="005E3CB1"/>
    <w:rsid w:val="00600317"/>
    <w:rsid w:val="006016A5"/>
    <w:rsid w:val="00603517"/>
    <w:rsid w:val="00607439"/>
    <w:rsid w:val="00660EF2"/>
    <w:rsid w:val="00673192"/>
    <w:rsid w:val="006744BE"/>
    <w:rsid w:val="00677C2C"/>
    <w:rsid w:val="006852FC"/>
    <w:rsid w:val="00690CF3"/>
    <w:rsid w:val="0069113C"/>
    <w:rsid w:val="00694E1C"/>
    <w:rsid w:val="006A190E"/>
    <w:rsid w:val="006A6C6B"/>
    <w:rsid w:val="006C0DD4"/>
    <w:rsid w:val="006C13B6"/>
    <w:rsid w:val="006C2B4A"/>
    <w:rsid w:val="006C7B6F"/>
    <w:rsid w:val="006D3161"/>
    <w:rsid w:val="006E2C4C"/>
    <w:rsid w:val="006F62AA"/>
    <w:rsid w:val="00705BE6"/>
    <w:rsid w:val="007127A6"/>
    <w:rsid w:val="00722996"/>
    <w:rsid w:val="00730B2D"/>
    <w:rsid w:val="00741243"/>
    <w:rsid w:val="00746084"/>
    <w:rsid w:val="007577C0"/>
    <w:rsid w:val="00760800"/>
    <w:rsid w:val="00762AA3"/>
    <w:rsid w:val="0077009F"/>
    <w:rsid w:val="00771AED"/>
    <w:rsid w:val="0078296C"/>
    <w:rsid w:val="00782B3D"/>
    <w:rsid w:val="00783E15"/>
    <w:rsid w:val="00791D8D"/>
    <w:rsid w:val="007B0C6E"/>
    <w:rsid w:val="007B54C2"/>
    <w:rsid w:val="007C3126"/>
    <w:rsid w:val="007F7455"/>
    <w:rsid w:val="00801F2F"/>
    <w:rsid w:val="00814AEC"/>
    <w:rsid w:val="00835BDB"/>
    <w:rsid w:val="00835C22"/>
    <w:rsid w:val="00837397"/>
    <w:rsid w:val="00862D20"/>
    <w:rsid w:val="008636E4"/>
    <w:rsid w:val="008B1AD6"/>
    <w:rsid w:val="008B48DF"/>
    <w:rsid w:val="008D28CC"/>
    <w:rsid w:val="009029E6"/>
    <w:rsid w:val="00903DF8"/>
    <w:rsid w:val="009156D1"/>
    <w:rsid w:val="00916FFB"/>
    <w:rsid w:val="009211FC"/>
    <w:rsid w:val="009300D0"/>
    <w:rsid w:val="0094247F"/>
    <w:rsid w:val="009501E5"/>
    <w:rsid w:val="00961938"/>
    <w:rsid w:val="00963235"/>
    <w:rsid w:val="00982CA5"/>
    <w:rsid w:val="009861BA"/>
    <w:rsid w:val="009B16C8"/>
    <w:rsid w:val="009C04F0"/>
    <w:rsid w:val="009C09AD"/>
    <w:rsid w:val="009E0757"/>
    <w:rsid w:val="009E53F7"/>
    <w:rsid w:val="00A16D87"/>
    <w:rsid w:val="00A20B5F"/>
    <w:rsid w:val="00A21781"/>
    <w:rsid w:val="00A247DE"/>
    <w:rsid w:val="00A31E3B"/>
    <w:rsid w:val="00A33BE7"/>
    <w:rsid w:val="00A33E6D"/>
    <w:rsid w:val="00A638DE"/>
    <w:rsid w:val="00A7564B"/>
    <w:rsid w:val="00A8025B"/>
    <w:rsid w:val="00A844D6"/>
    <w:rsid w:val="00A844ED"/>
    <w:rsid w:val="00A97A15"/>
    <w:rsid w:val="00AA1E8C"/>
    <w:rsid w:val="00AE1A8D"/>
    <w:rsid w:val="00AE1E2A"/>
    <w:rsid w:val="00AF4B0B"/>
    <w:rsid w:val="00B10EBE"/>
    <w:rsid w:val="00B120F2"/>
    <w:rsid w:val="00B1668C"/>
    <w:rsid w:val="00B20E96"/>
    <w:rsid w:val="00B24F31"/>
    <w:rsid w:val="00B36206"/>
    <w:rsid w:val="00B371EB"/>
    <w:rsid w:val="00B53E0B"/>
    <w:rsid w:val="00B568BC"/>
    <w:rsid w:val="00B7147A"/>
    <w:rsid w:val="00B750AC"/>
    <w:rsid w:val="00B75253"/>
    <w:rsid w:val="00B77E06"/>
    <w:rsid w:val="00B86096"/>
    <w:rsid w:val="00B87568"/>
    <w:rsid w:val="00B92E85"/>
    <w:rsid w:val="00BA3308"/>
    <w:rsid w:val="00BB2D2F"/>
    <w:rsid w:val="00BB336B"/>
    <w:rsid w:val="00BB6826"/>
    <w:rsid w:val="00BE2FB5"/>
    <w:rsid w:val="00BE58BE"/>
    <w:rsid w:val="00C05330"/>
    <w:rsid w:val="00C13151"/>
    <w:rsid w:val="00C20B24"/>
    <w:rsid w:val="00C41249"/>
    <w:rsid w:val="00C450E0"/>
    <w:rsid w:val="00C572AA"/>
    <w:rsid w:val="00C82391"/>
    <w:rsid w:val="00C905E1"/>
    <w:rsid w:val="00C92273"/>
    <w:rsid w:val="00CD00C9"/>
    <w:rsid w:val="00CE7F21"/>
    <w:rsid w:val="00CF140E"/>
    <w:rsid w:val="00CF7549"/>
    <w:rsid w:val="00D00912"/>
    <w:rsid w:val="00D107D1"/>
    <w:rsid w:val="00D10F7F"/>
    <w:rsid w:val="00D17F40"/>
    <w:rsid w:val="00D303AA"/>
    <w:rsid w:val="00D31BD5"/>
    <w:rsid w:val="00D34C76"/>
    <w:rsid w:val="00D52470"/>
    <w:rsid w:val="00D537E6"/>
    <w:rsid w:val="00D5741E"/>
    <w:rsid w:val="00D6316D"/>
    <w:rsid w:val="00D75B6E"/>
    <w:rsid w:val="00D85F55"/>
    <w:rsid w:val="00D976C5"/>
    <w:rsid w:val="00DB0E3A"/>
    <w:rsid w:val="00DC4E51"/>
    <w:rsid w:val="00DD2117"/>
    <w:rsid w:val="00E14B87"/>
    <w:rsid w:val="00E152B6"/>
    <w:rsid w:val="00E278F7"/>
    <w:rsid w:val="00E406D6"/>
    <w:rsid w:val="00E41056"/>
    <w:rsid w:val="00E42157"/>
    <w:rsid w:val="00E56043"/>
    <w:rsid w:val="00E64588"/>
    <w:rsid w:val="00E67E93"/>
    <w:rsid w:val="00E70D31"/>
    <w:rsid w:val="00E95DB4"/>
    <w:rsid w:val="00E95F5C"/>
    <w:rsid w:val="00EA0127"/>
    <w:rsid w:val="00EA316D"/>
    <w:rsid w:val="00EC2B51"/>
    <w:rsid w:val="00ED135E"/>
    <w:rsid w:val="00ED634B"/>
    <w:rsid w:val="00EE258E"/>
    <w:rsid w:val="00EF4CB7"/>
    <w:rsid w:val="00F0282C"/>
    <w:rsid w:val="00F02A09"/>
    <w:rsid w:val="00F14DDA"/>
    <w:rsid w:val="00F156EE"/>
    <w:rsid w:val="00F30B98"/>
    <w:rsid w:val="00F464EB"/>
    <w:rsid w:val="00F51F29"/>
    <w:rsid w:val="00F52FB4"/>
    <w:rsid w:val="00F534A3"/>
    <w:rsid w:val="00F627AC"/>
    <w:rsid w:val="00F629B9"/>
    <w:rsid w:val="00F7018C"/>
    <w:rsid w:val="00F709B5"/>
    <w:rsid w:val="00F72A01"/>
    <w:rsid w:val="00FA284C"/>
    <w:rsid w:val="00FB36A7"/>
    <w:rsid w:val="00FD1872"/>
    <w:rsid w:val="00FE68C8"/>
    <w:rsid w:val="00FF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5476FD"/>
    <w:rPr>
      <w:rFonts w:ascii="Tahoma" w:hAnsi="Tahoma"/>
      <w:sz w:val="16"/>
      <w:szCs w:val="16"/>
      <w:lang w:val="x-none" w:eastAsia="x-none"/>
    </w:rPr>
  </w:style>
  <w:style w:type="character" w:customStyle="1" w:styleId="BalloonTextChar">
    <w:name w:val="Balloon Text Char"/>
    <w:link w:val="BalloonText"/>
    <w:rsid w:val="005476FD"/>
    <w:rPr>
      <w:rFonts w:ascii="Tahoma" w:hAnsi="Tahoma" w:cs="Tahoma"/>
      <w:sz w:val="16"/>
      <w:szCs w:val="16"/>
    </w:rPr>
  </w:style>
  <w:style w:type="paragraph" w:styleId="FootnoteText">
    <w:name w:val="footnote text"/>
    <w:basedOn w:val="Normal"/>
    <w:link w:val="FootnoteTextChar"/>
    <w:rsid w:val="002C41B9"/>
    <w:rPr>
      <w:sz w:val="20"/>
    </w:rPr>
  </w:style>
  <w:style w:type="character" w:customStyle="1" w:styleId="FootnoteTextChar">
    <w:name w:val="Footnote Text Char"/>
    <w:basedOn w:val="DefaultParagraphFont"/>
    <w:link w:val="FootnoteText"/>
    <w:rsid w:val="002C41B9"/>
  </w:style>
  <w:style w:type="character" w:styleId="FootnoteReference">
    <w:name w:val="footnote reference"/>
    <w:rsid w:val="002C41B9"/>
    <w:rPr>
      <w:vertAlign w:val="superscript"/>
    </w:rPr>
  </w:style>
  <w:style w:type="character" w:styleId="CommentReference">
    <w:name w:val="annotation reference"/>
    <w:rsid w:val="001E6D43"/>
    <w:rPr>
      <w:sz w:val="16"/>
      <w:szCs w:val="16"/>
    </w:rPr>
  </w:style>
  <w:style w:type="paragraph" w:styleId="CommentText">
    <w:name w:val="annotation text"/>
    <w:basedOn w:val="Normal"/>
    <w:link w:val="CommentTextChar"/>
    <w:rsid w:val="001E6D43"/>
    <w:rPr>
      <w:sz w:val="20"/>
    </w:rPr>
  </w:style>
  <w:style w:type="character" w:customStyle="1" w:styleId="CommentTextChar">
    <w:name w:val="Comment Text Char"/>
    <w:basedOn w:val="DefaultParagraphFont"/>
    <w:link w:val="CommentText"/>
    <w:rsid w:val="001E6D43"/>
  </w:style>
  <w:style w:type="paragraph" w:styleId="CommentSubject">
    <w:name w:val="annotation subject"/>
    <w:basedOn w:val="CommentText"/>
    <w:next w:val="CommentText"/>
    <w:link w:val="CommentSubjectChar"/>
    <w:rsid w:val="001E6D43"/>
    <w:rPr>
      <w:b/>
      <w:bCs/>
    </w:rPr>
  </w:style>
  <w:style w:type="character" w:customStyle="1" w:styleId="CommentSubjectChar">
    <w:name w:val="Comment Subject Char"/>
    <w:link w:val="CommentSubject"/>
    <w:rsid w:val="001E6D43"/>
    <w:rPr>
      <w:b/>
      <w:bCs/>
    </w:rPr>
  </w:style>
  <w:style w:type="paragraph" w:customStyle="1" w:styleId="Default">
    <w:name w:val="Default"/>
    <w:rsid w:val="003D1A4F"/>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5476FD"/>
    <w:rPr>
      <w:rFonts w:ascii="Tahoma" w:hAnsi="Tahoma"/>
      <w:sz w:val="16"/>
      <w:szCs w:val="16"/>
      <w:lang w:val="x-none" w:eastAsia="x-none"/>
    </w:rPr>
  </w:style>
  <w:style w:type="character" w:customStyle="1" w:styleId="BalloonTextChar">
    <w:name w:val="Balloon Text Char"/>
    <w:link w:val="BalloonText"/>
    <w:rsid w:val="005476FD"/>
    <w:rPr>
      <w:rFonts w:ascii="Tahoma" w:hAnsi="Tahoma" w:cs="Tahoma"/>
      <w:sz w:val="16"/>
      <w:szCs w:val="16"/>
    </w:rPr>
  </w:style>
  <w:style w:type="paragraph" w:styleId="FootnoteText">
    <w:name w:val="footnote text"/>
    <w:basedOn w:val="Normal"/>
    <w:link w:val="FootnoteTextChar"/>
    <w:rsid w:val="002C41B9"/>
    <w:rPr>
      <w:sz w:val="20"/>
    </w:rPr>
  </w:style>
  <w:style w:type="character" w:customStyle="1" w:styleId="FootnoteTextChar">
    <w:name w:val="Footnote Text Char"/>
    <w:basedOn w:val="DefaultParagraphFont"/>
    <w:link w:val="FootnoteText"/>
    <w:rsid w:val="002C41B9"/>
  </w:style>
  <w:style w:type="character" w:styleId="FootnoteReference">
    <w:name w:val="footnote reference"/>
    <w:rsid w:val="002C41B9"/>
    <w:rPr>
      <w:vertAlign w:val="superscript"/>
    </w:rPr>
  </w:style>
  <w:style w:type="character" w:styleId="CommentReference">
    <w:name w:val="annotation reference"/>
    <w:rsid w:val="001E6D43"/>
    <w:rPr>
      <w:sz w:val="16"/>
      <w:szCs w:val="16"/>
    </w:rPr>
  </w:style>
  <w:style w:type="paragraph" w:styleId="CommentText">
    <w:name w:val="annotation text"/>
    <w:basedOn w:val="Normal"/>
    <w:link w:val="CommentTextChar"/>
    <w:rsid w:val="001E6D43"/>
    <w:rPr>
      <w:sz w:val="20"/>
    </w:rPr>
  </w:style>
  <w:style w:type="character" w:customStyle="1" w:styleId="CommentTextChar">
    <w:name w:val="Comment Text Char"/>
    <w:basedOn w:val="DefaultParagraphFont"/>
    <w:link w:val="CommentText"/>
    <w:rsid w:val="001E6D43"/>
  </w:style>
  <w:style w:type="paragraph" w:styleId="CommentSubject">
    <w:name w:val="annotation subject"/>
    <w:basedOn w:val="CommentText"/>
    <w:next w:val="CommentText"/>
    <w:link w:val="CommentSubjectChar"/>
    <w:rsid w:val="001E6D43"/>
    <w:rPr>
      <w:b/>
      <w:bCs/>
    </w:rPr>
  </w:style>
  <w:style w:type="character" w:customStyle="1" w:styleId="CommentSubjectChar">
    <w:name w:val="Comment Subject Char"/>
    <w:link w:val="CommentSubject"/>
    <w:rsid w:val="001E6D43"/>
    <w:rPr>
      <w:b/>
      <w:bCs/>
    </w:rPr>
  </w:style>
  <w:style w:type="paragraph" w:customStyle="1" w:styleId="Default">
    <w:name w:val="Default"/>
    <w:rsid w:val="003D1A4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01B4-0CFA-4147-AACC-5B051C051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THE COMMONWEALTH OF MASSCHUSETTS</vt:lpstr>
    </vt:vector>
  </TitlesOfParts>
  <Company>Comm of Mass</Company>
  <LinksUpToDate>false</LinksUpToDate>
  <CharactersWithSpaces>15610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2017-08-02T19:25:00Z</dcterms:created>
  <dc:creator>JOjerholm</dc:creator>
  <lastModifiedBy>ANF</lastModifiedBy>
  <lastPrinted>2017-07-31T13:14:00Z</lastPrinted>
  <dcterms:modified xsi:type="dcterms:W3CDTF">2017-08-02T19:25:00Z</dcterms:modified>
  <revision>2</revision>
  <dc:title>THE COMMONWEALTH OF MASSCHUSETTS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-1294848808</vt:i4>
  </property>
</Properties>
</file>