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113A" w14:textId="77777777" w:rsidR="000537DA" w:rsidRDefault="000537DA" w:rsidP="00794855">
      <w:pPr>
        <w:framePr w:w="6926" w:h="2851" w:hRule="exact" w:hSpace="187" w:wrap="notBeside" w:vAnchor="page" w:hAnchor="page" w:x="2514" w:y="676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1C8E9226" w14:textId="77777777" w:rsidR="000537DA" w:rsidRDefault="000537DA" w:rsidP="00794855">
      <w:pPr>
        <w:pStyle w:val="ExecOffice"/>
        <w:framePr w:w="6926" w:h="2851" w:hRule="exact" w:wrap="notBeside" w:vAnchor="page" w:x="2514" w:y="676"/>
      </w:pPr>
      <w:r>
        <w:t>Executive Office of Health and Human Services</w:t>
      </w:r>
    </w:p>
    <w:p w14:paraId="24897880" w14:textId="77777777" w:rsidR="000537DA" w:rsidRDefault="000537DA" w:rsidP="00794855">
      <w:pPr>
        <w:pStyle w:val="ExecOffice"/>
        <w:framePr w:w="6926" w:h="2851" w:hRule="exact" w:wrap="notBeside" w:vAnchor="page" w:x="2514" w:y="676"/>
      </w:pPr>
      <w:r>
        <w:t>Department of Public Health</w:t>
      </w:r>
    </w:p>
    <w:p w14:paraId="48E07EEC" w14:textId="77777777" w:rsidR="00714203" w:rsidRDefault="00C87A6D" w:rsidP="00794855">
      <w:pPr>
        <w:pStyle w:val="ExecOffice"/>
        <w:framePr w:w="6926" w:h="2851" w:hRule="exact" w:wrap="notBeside" w:vAnchor="page" w:x="2514" w:y="676"/>
      </w:pPr>
      <w:r>
        <w:t>Bureau</w:t>
      </w:r>
      <w:r w:rsidR="00714203">
        <w:t xml:space="preserve"> of Health Professions Licensure</w:t>
      </w:r>
    </w:p>
    <w:p w14:paraId="6771F4F4" w14:textId="4E549E6D" w:rsidR="00714203" w:rsidRDefault="00FF2642" w:rsidP="00794855">
      <w:pPr>
        <w:pStyle w:val="ExecOffice"/>
        <w:framePr w:w="6926" w:h="2851" w:hRule="exact" w:wrap="notBeside" w:vAnchor="page" w:x="2514" w:y="676"/>
      </w:pPr>
      <w:r w:rsidRPr="00FF2642">
        <w:t>250 Washington Street, Boston, MA 02108-4619</w:t>
      </w:r>
      <w:r w:rsidR="00714203" w:rsidRPr="009B2EA1">
        <w:t xml:space="preserve"> </w:t>
      </w:r>
    </w:p>
    <w:p w14:paraId="19CF30F3" w14:textId="77777777" w:rsidR="00714203" w:rsidRDefault="00714203" w:rsidP="00794855">
      <w:pPr>
        <w:pStyle w:val="ExecOffice"/>
        <w:framePr w:w="6926" w:h="2851" w:hRule="exact" w:wrap="notBeside" w:vAnchor="page" w:x="2514" w:y="676"/>
      </w:pPr>
    </w:p>
    <w:p w14:paraId="3C959ADE" w14:textId="77777777" w:rsidR="00714203" w:rsidRPr="00714203" w:rsidRDefault="00D5340F" w:rsidP="00794855">
      <w:pPr>
        <w:framePr w:w="6926" w:h="285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617-973-0800</w:t>
      </w:r>
    </w:p>
    <w:p w14:paraId="52630027" w14:textId="77777777" w:rsidR="00714203" w:rsidRPr="00714203" w:rsidRDefault="00714203" w:rsidP="00794855">
      <w:pPr>
        <w:framePr w:w="6926" w:h="285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3B09B947" w14:textId="77777777" w:rsidR="00714203" w:rsidRPr="00714203" w:rsidRDefault="00290024" w:rsidP="00794855">
      <w:pPr>
        <w:framePr w:w="6926" w:h="285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hyperlink r:id="rId8" w:history="1">
        <w:r w:rsidR="00714203" w:rsidRPr="00714203">
          <w:rPr>
            <w:rFonts w:ascii="Arial" w:hAnsi="Arial"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14:paraId="7F159BDA" w14:textId="77777777" w:rsidR="00714203" w:rsidRDefault="00714203" w:rsidP="00794855">
      <w:pPr>
        <w:pStyle w:val="ExecOffice"/>
        <w:framePr w:w="6926" w:h="2851" w:hRule="exact" w:wrap="notBeside" w:vAnchor="page" w:x="2514" w:y="676"/>
      </w:pPr>
    </w:p>
    <w:p w14:paraId="7B08E9D6" w14:textId="77777777" w:rsidR="00714203" w:rsidRDefault="00714203" w:rsidP="00794855">
      <w:pPr>
        <w:pStyle w:val="ExecOffice"/>
        <w:framePr w:w="6926" w:h="2851" w:hRule="exact" w:wrap="notBeside" w:vAnchor="page" w:x="2514" w:y="676"/>
      </w:pPr>
    </w:p>
    <w:p w14:paraId="1FFFA976" w14:textId="77777777" w:rsidR="00714203" w:rsidRDefault="00714203" w:rsidP="00794855">
      <w:pPr>
        <w:pStyle w:val="ExecOffice"/>
        <w:framePr w:w="6926" w:h="2851" w:hRule="exact" w:wrap="notBeside" w:vAnchor="page" w:x="2514" w:y="676"/>
      </w:pPr>
    </w:p>
    <w:p w14:paraId="2E14CAF1" w14:textId="77777777" w:rsidR="00BA4055" w:rsidRDefault="004C109B" w:rsidP="00714203">
      <w:pPr>
        <w:framePr w:w="1927" w:hSpace="180" w:wrap="auto" w:vAnchor="text" w:hAnchor="page" w:x="661" w:y="-944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79AE2330" wp14:editId="2888F2FB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A466E" w14:textId="37DA2F15" w:rsidR="00FC6B42" w:rsidRDefault="00FC6B42" w:rsidP="0072610D"/>
    <w:p w14:paraId="7B2CE3B7" w14:textId="2F1B2FAD" w:rsidR="00FB183A" w:rsidRPr="008160A0" w:rsidRDefault="00FB183A" w:rsidP="00001B6E">
      <w:pPr>
        <w:jc w:val="center"/>
        <w:rPr>
          <w:rFonts w:ascii="Arial" w:hAnsi="Arial" w:cs="Arial"/>
          <w:b/>
          <w:sz w:val="28"/>
        </w:rPr>
      </w:pPr>
      <w:r w:rsidRPr="008160A0">
        <w:rPr>
          <w:rFonts w:ascii="Arial" w:hAnsi="Arial" w:cs="Arial"/>
          <w:b/>
          <w:sz w:val="28"/>
        </w:rPr>
        <w:t>Board of Registration in Pharmacy</w:t>
      </w:r>
    </w:p>
    <w:p w14:paraId="4100D5DE" w14:textId="77777777" w:rsidR="008160A0" w:rsidRPr="00FF2642" w:rsidRDefault="008160A0" w:rsidP="00001B6E">
      <w:pPr>
        <w:jc w:val="center"/>
        <w:rPr>
          <w:rFonts w:ascii="Arial" w:hAnsi="Arial" w:cs="Arial"/>
          <w:b/>
          <w:sz w:val="28"/>
        </w:rPr>
      </w:pPr>
    </w:p>
    <w:p w14:paraId="30AAB733" w14:textId="30F79C57" w:rsidR="001C2343" w:rsidRPr="00FF2642" w:rsidRDefault="00217335" w:rsidP="008160A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="00FB183A" w:rsidRPr="00FF2642">
        <w:rPr>
          <w:rFonts w:ascii="Arial" w:hAnsi="Arial" w:cs="Arial"/>
          <w:b/>
          <w:szCs w:val="24"/>
        </w:rPr>
        <w:t>Advisory</w:t>
      </w:r>
      <w:r w:rsidR="00FF2642" w:rsidRPr="00FF2642">
        <w:rPr>
          <w:rFonts w:ascii="Arial" w:hAnsi="Arial" w:cs="Arial"/>
          <w:b/>
          <w:szCs w:val="24"/>
        </w:rPr>
        <w:t>:</w:t>
      </w:r>
      <w:r w:rsidR="00FB183A" w:rsidRPr="00FF2642">
        <w:rPr>
          <w:rFonts w:ascii="Arial" w:hAnsi="Arial" w:cs="Arial"/>
          <w:b/>
          <w:szCs w:val="24"/>
        </w:rPr>
        <w:t xml:space="preserve"> </w:t>
      </w:r>
      <w:r w:rsidR="00001B6E" w:rsidRPr="00FF2642">
        <w:rPr>
          <w:rFonts w:ascii="Arial" w:hAnsi="Arial" w:cs="Arial"/>
          <w:b/>
          <w:szCs w:val="24"/>
        </w:rPr>
        <w:t>Pharmacy Requirement to Maintain Defective Drug Preparation Log</w:t>
      </w:r>
    </w:p>
    <w:p w14:paraId="2042F6BF" w14:textId="77777777" w:rsidR="001C2343" w:rsidRPr="00FF2642" w:rsidRDefault="001C2343" w:rsidP="00F519CE">
      <w:pPr>
        <w:jc w:val="both"/>
        <w:rPr>
          <w:rFonts w:ascii="Arial" w:hAnsi="Arial" w:cs="Arial"/>
        </w:rPr>
      </w:pPr>
    </w:p>
    <w:p w14:paraId="4400C159" w14:textId="3F2D0359" w:rsidR="00571E44" w:rsidRPr="00FF2642" w:rsidRDefault="00F519CE" w:rsidP="00FF2642">
      <w:pPr>
        <w:spacing w:line="276" w:lineRule="auto"/>
        <w:jc w:val="both"/>
        <w:rPr>
          <w:rFonts w:ascii="Arial" w:hAnsi="Arial" w:cs="Arial"/>
        </w:rPr>
      </w:pPr>
      <w:r w:rsidRPr="00FF2642">
        <w:rPr>
          <w:rFonts w:ascii="Arial" w:hAnsi="Arial" w:cs="Arial"/>
        </w:rPr>
        <w:t xml:space="preserve">The </w:t>
      </w:r>
      <w:r w:rsidR="009C1577" w:rsidRPr="00FF2642">
        <w:rPr>
          <w:rFonts w:ascii="Arial" w:hAnsi="Arial" w:cs="Arial"/>
        </w:rPr>
        <w:t xml:space="preserve">Massachusetts </w:t>
      </w:r>
      <w:r w:rsidRPr="00FF2642">
        <w:rPr>
          <w:rFonts w:ascii="Arial" w:hAnsi="Arial" w:cs="Arial"/>
        </w:rPr>
        <w:t xml:space="preserve">Board of Registration in Pharmacy (“Board”) would like to </w:t>
      </w:r>
      <w:r w:rsidR="00124DBF" w:rsidRPr="00FF2642">
        <w:rPr>
          <w:rFonts w:ascii="Arial" w:hAnsi="Arial" w:cs="Arial"/>
        </w:rPr>
        <w:t>inform</w:t>
      </w:r>
      <w:r w:rsidRPr="00FF2642">
        <w:rPr>
          <w:rFonts w:ascii="Arial" w:hAnsi="Arial" w:cs="Arial"/>
        </w:rPr>
        <w:t xml:space="preserve"> licensees of</w:t>
      </w:r>
      <w:r w:rsidR="00571E44" w:rsidRPr="00FF2642">
        <w:rPr>
          <w:rFonts w:ascii="Arial" w:hAnsi="Arial" w:cs="Arial"/>
        </w:rPr>
        <w:t xml:space="preserve"> the requirement to maintain a defective drug preparation log and</w:t>
      </w:r>
      <w:r w:rsidRPr="00FF2642">
        <w:rPr>
          <w:rFonts w:ascii="Arial" w:hAnsi="Arial" w:cs="Arial"/>
        </w:rPr>
        <w:t xml:space="preserve"> </w:t>
      </w:r>
      <w:r w:rsidR="00BB130D" w:rsidRPr="00FF2642">
        <w:rPr>
          <w:rFonts w:ascii="Arial" w:hAnsi="Arial" w:cs="Arial"/>
        </w:rPr>
        <w:t xml:space="preserve">specific </w:t>
      </w:r>
      <w:r w:rsidRPr="00FF2642">
        <w:rPr>
          <w:rFonts w:ascii="Arial" w:hAnsi="Arial" w:cs="Arial"/>
        </w:rPr>
        <w:t>reporting requirements surrounding defective drug preparations</w:t>
      </w:r>
      <w:r w:rsidR="007B1239" w:rsidRPr="00FF2642">
        <w:rPr>
          <w:rFonts w:ascii="Arial" w:hAnsi="Arial" w:cs="Arial"/>
        </w:rPr>
        <w:t xml:space="preserve"> pursuant to M.G.L. c</w:t>
      </w:r>
      <w:r w:rsidR="00312D7B" w:rsidRPr="00FF2642">
        <w:rPr>
          <w:rFonts w:ascii="Arial" w:hAnsi="Arial" w:cs="Arial"/>
        </w:rPr>
        <w:t xml:space="preserve">. </w:t>
      </w:r>
      <w:r w:rsidR="007B1239" w:rsidRPr="00FF2642">
        <w:rPr>
          <w:rFonts w:ascii="Arial" w:hAnsi="Arial" w:cs="Arial"/>
        </w:rPr>
        <w:t>112</w:t>
      </w:r>
      <w:r w:rsidR="00312D7B" w:rsidRPr="00FF2642">
        <w:rPr>
          <w:rFonts w:ascii="Arial" w:hAnsi="Arial" w:cs="Arial"/>
        </w:rPr>
        <w:t>,</w:t>
      </w:r>
      <w:r w:rsidR="007B1239" w:rsidRPr="00FF2642">
        <w:rPr>
          <w:rFonts w:ascii="Arial" w:hAnsi="Arial" w:cs="Arial"/>
        </w:rPr>
        <w:t xml:space="preserve"> §</w:t>
      </w:r>
      <w:r w:rsidR="00312D7B" w:rsidRPr="00FF2642">
        <w:rPr>
          <w:rFonts w:ascii="Arial" w:hAnsi="Arial" w:cs="Arial"/>
        </w:rPr>
        <w:t xml:space="preserve"> </w:t>
      </w:r>
      <w:r w:rsidR="007B1239" w:rsidRPr="00FF2642">
        <w:rPr>
          <w:rFonts w:ascii="Arial" w:hAnsi="Arial" w:cs="Arial"/>
        </w:rPr>
        <w:t>39D(e)</w:t>
      </w:r>
      <w:r w:rsidR="00095738" w:rsidRPr="00FF2642">
        <w:rPr>
          <w:rFonts w:ascii="Arial" w:hAnsi="Arial" w:cs="Arial"/>
        </w:rPr>
        <w:t>.</w:t>
      </w:r>
    </w:p>
    <w:p w14:paraId="6C064381" w14:textId="77777777" w:rsidR="004C109B" w:rsidRPr="00FF2642" w:rsidRDefault="004C109B" w:rsidP="00FF2642">
      <w:pPr>
        <w:spacing w:line="276" w:lineRule="auto"/>
        <w:jc w:val="both"/>
        <w:rPr>
          <w:rFonts w:ascii="Arial" w:hAnsi="Arial" w:cs="Arial"/>
        </w:rPr>
      </w:pPr>
    </w:p>
    <w:p w14:paraId="70E94860" w14:textId="77777777" w:rsidR="00650E1D" w:rsidRDefault="00106529" w:rsidP="00FF2642">
      <w:pPr>
        <w:spacing w:line="276" w:lineRule="auto"/>
        <w:jc w:val="both"/>
        <w:rPr>
          <w:rFonts w:ascii="Arial" w:hAnsi="Arial" w:cs="Arial"/>
        </w:rPr>
      </w:pPr>
      <w:r w:rsidRPr="00FF2642">
        <w:rPr>
          <w:rFonts w:ascii="Arial" w:hAnsi="Arial" w:cs="Arial"/>
        </w:rPr>
        <w:t>Per M.G.L. c</w:t>
      </w:r>
      <w:r w:rsidR="00312D7B" w:rsidRPr="00FF2642">
        <w:rPr>
          <w:rFonts w:ascii="Arial" w:hAnsi="Arial" w:cs="Arial"/>
        </w:rPr>
        <w:t xml:space="preserve">. </w:t>
      </w:r>
      <w:r w:rsidRPr="00FF2642">
        <w:rPr>
          <w:rFonts w:ascii="Arial" w:hAnsi="Arial" w:cs="Arial"/>
        </w:rPr>
        <w:t>112</w:t>
      </w:r>
      <w:r w:rsidR="00312D7B" w:rsidRPr="00FF2642">
        <w:rPr>
          <w:rFonts w:ascii="Arial" w:hAnsi="Arial" w:cs="Arial"/>
        </w:rPr>
        <w:t>,</w:t>
      </w:r>
      <w:r w:rsidRPr="00FF2642">
        <w:rPr>
          <w:rFonts w:ascii="Arial" w:hAnsi="Arial" w:cs="Arial"/>
        </w:rPr>
        <w:t xml:space="preserve"> §</w:t>
      </w:r>
      <w:r w:rsidR="00312D7B" w:rsidRPr="00FF2642">
        <w:rPr>
          <w:rFonts w:ascii="Arial" w:hAnsi="Arial" w:cs="Arial"/>
        </w:rPr>
        <w:t xml:space="preserve"> </w:t>
      </w:r>
      <w:r w:rsidRPr="00FF2642">
        <w:rPr>
          <w:rFonts w:ascii="Arial" w:hAnsi="Arial" w:cs="Arial"/>
        </w:rPr>
        <w:t xml:space="preserve">39D(e), </w:t>
      </w:r>
      <w:r w:rsidR="00C011FB" w:rsidRPr="00FF2642">
        <w:rPr>
          <w:rFonts w:ascii="Arial" w:hAnsi="Arial" w:cs="Arial"/>
        </w:rPr>
        <w:t xml:space="preserve">a pharmacy that </w:t>
      </w:r>
      <w:r w:rsidR="009C1577" w:rsidRPr="00FF2642">
        <w:rPr>
          <w:rFonts w:ascii="Arial" w:hAnsi="Arial" w:cs="Arial"/>
        </w:rPr>
        <w:t>is</w:t>
      </w:r>
      <w:r w:rsidR="00C011FB" w:rsidRPr="00FF2642">
        <w:rPr>
          <w:rFonts w:ascii="Arial" w:hAnsi="Arial" w:cs="Arial"/>
        </w:rPr>
        <w:t xml:space="preserve"> license</w:t>
      </w:r>
      <w:r w:rsidR="009C1577" w:rsidRPr="00FF2642">
        <w:rPr>
          <w:rFonts w:ascii="Arial" w:hAnsi="Arial" w:cs="Arial"/>
        </w:rPr>
        <w:t>d</w:t>
      </w:r>
      <w:r w:rsidR="00C011FB" w:rsidRPr="00FF2642">
        <w:rPr>
          <w:rFonts w:ascii="Arial" w:hAnsi="Arial" w:cs="Arial"/>
        </w:rPr>
        <w:t xml:space="preserve"> </w:t>
      </w:r>
      <w:r w:rsidR="009C1577" w:rsidRPr="00FF2642">
        <w:rPr>
          <w:rFonts w:ascii="Arial" w:hAnsi="Arial" w:cs="Arial"/>
        </w:rPr>
        <w:t xml:space="preserve">with the Board </w:t>
      </w:r>
      <w:r w:rsidR="00C011FB" w:rsidRPr="00FF2642">
        <w:rPr>
          <w:rFonts w:ascii="Arial" w:hAnsi="Arial" w:cs="Arial"/>
        </w:rPr>
        <w:t xml:space="preserve">has a legal responsibility </w:t>
      </w:r>
      <w:r w:rsidR="00FB183A" w:rsidRPr="00FF2642">
        <w:rPr>
          <w:rFonts w:ascii="Arial" w:hAnsi="Arial" w:cs="Arial"/>
        </w:rPr>
        <w:t xml:space="preserve">to recall a </w:t>
      </w:r>
      <w:r w:rsidR="00C011FB" w:rsidRPr="00FF2642">
        <w:rPr>
          <w:rFonts w:ascii="Arial" w:hAnsi="Arial" w:cs="Arial"/>
        </w:rPr>
        <w:t xml:space="preserve">compounded </w:t>
      </w:r>
      <w:r w:rsidR="00FB183A" w:rsidRPr="00FF2642">
        <w:rPr>
          <w:rFonts w:ascii="Arial" w:hAnsi="Arial" w:cs="Arial"/>
        </w:rPr>
        <w:t xml:space="preserve">drug preparation if it knows or should have reason to know that a compounded drug preparation dispensed or distributed </w:t>
      </w:r>
      <w:r w:rsidR="00A46DF2" w:rsidRPr="00FF2642">
        <w:rPr>
          <w:rFonts w:ascii="Arial" w:hAnsi="Arial" w:cs="Arial"/>
          <w:b/>
        </w:rPr>
        <w:t>into</w:t>
      </w:r>
      <w:r w:rsidR="00FF2642">
        <w:rPr>
          <w:rFonts w:ascii="Arial" w:hAnsi="Arial" w:cs="Arial"/>
          <w:b/>
        </w:rPr>
        <w:t>, within,</w:t>
      </w:r>
      <w:r w:rsidR="00A46DF2" w:rsidRPr="00FF2642">
        <w:rPr>
          <w:rFonts w:ascii="Arial" w:hAnsi="Arial" w:cs="Arial"/>
          <w:b/>
        </w:rPr>
        <w:t xml:space="preserve"> or from Massachusetts </w:t>
      </w:r>
      <w:r w:rsidR="00FB183A" w:rsidRPr="00FF2642">
        <w:rPr>
          <w:rFonts w:ascii="Arial" w:hAnsi="Arial" w:cs="Arial"/>
        </w:rPr>
        <w:t xml:space="preserve">by the pharmacy is or may be defective in any way. </w:t>
      </w:r>
    </w:p>
    <w:p w14:paraId="19B681AD" w14:textId="77777777" w:rsidR="00650E1D" w:rsidRDefault="00650E1D" w:rsidP="00FF2642">
      <w:pPr>
        <w:spacing w:line="276" w:lineRule="auto"/>
        <w:jc w:val="both"/>
        <w:rPr>
          <w:rFonts w:ascii="Arial" w:hAnsi="Arial" w:cs="Arial"/>
        </w:rPr>
      </w:pPr>
    </w:p>
    <w:p w14:paraId="47589357" w14:textId="408A6E4E" w:rsidR="00FB183A" w:rsidRPr="00FF2642" w:rsidRDefault="00650E1D" w:rsidP="00FF2642">
      <w:pPr>
        <w:spacing w:line="276" w:lineRule="auto"/>
        <w:jc w:val="both"/>
        <w:rPr>
          <w:rFonts w:ascii="Arial" w:hAnsi="Arial" w:cs="Arial"/>
        </w:rPr>
      </w:pPr>
      <w:r w:rsidRPr="00650E1D">
        <w:rPr>
          <w:rFonts w:ascii="Arial" w:hAnsi="Arial" w:cs="Arial"/>
        </w:rPr>
        <w:t>The requirement to maintain a defective drug preparation log applies to any pharmacy that holds a license with the Massachusetts Board of Registration in Pharmacy.</w:t>
      </w:r>
    </w:p>
    <w:p w14:paraId="2C19449A" w14:textId="77777777" w:rsidR="0000683F" w:rsidRPr="00FF2642" w:rsidRDefault="0000683F" w:rsidP="00FF2642">
      <w:pPr>
        <w:spacing w:line="276" w:lineRule="auto"/>
        <w:jc w:val="both"/>
        <w:rPr>
          <w:rFonts w:ascii="Arial" w:hAnsi="Arial" w:cs="Arial"/>
          <w:szCs w:val="24"/>
        </w:rPr>
      </w:pPr>
    </w:p>
    <w:p w14:paraId="6069932C" w14:textId="4FC3AC61" w:rsidR="0000683F" w:rsidRPr="00FF2642" w:rsidRDefault="0000683F" w:rsidP="00FF2642">
      <w:pPr>
        <w:spacing w:line="276" w:lineRule="auto"/>
        <w:jc w:val="both"/>
        <w:rPr>
          <w:rFonts w:ascii="Arial" w:hAnsi="Arial" w:cs="Arial"/>
          <w:szCs w:val="24"/>
        </w:rPr>
      </w:pPr>
      <w:r w:rsidRPr="00FF2642">
        <w:rPr>
          <w:rFonts w:ascii="Arial" w:hAnsi="Arial" w:cs="Arial"/>
          <w:szCs w:val="24"/>
        </w:rPr>
        <w:t>A defective drug preparation is defined as any out of specification result such as the potency, pyrogenicity, stability, improper composition, contamination, mislabeling, or sterility of a</w:t>
      </w:r>
      <w:r w:rsidRPr="00FF2642">
        <w:rPr>
          <w:rFonts w:ascii="Arial" w:hAnsi="Arial" w:cs="Arial"/>
          <w:sz w:val="23"/>
          <w:szCs w:val="23"/>
        </w:rPr>
        <w:t xml:space="preserve"> </w:t>
      </w:r>
      <w:r w:rsidRPr="00FF2642">
        <w:rPr>
          <w:rFonts w:ascii="Arial" w:hAnsi="Arial" w:cs="Arial"/>
          <w:szCs w:val="24"/>
        </w:rPr>
        <w:t>compounded sterile product (</w:t>
      </w:r>
      <w:r w:rsidR="00FF2642">
        <w:rPr>
          <w:rFonts w:ascii="Arial" w:hAnsi="Arial" w:cs="Arial"/>
          <w:szCs w:val="24"/>
        </w:rPr>
        <w:t>“</w:t>
      </w:r>
      <w:r w:rsidRPr="00FF2642">
        <w:rPr>
          <w:rFonts w:ascii="Arial" w:hAnsi="Arial" w:cs="Arial"/>
          <w:szCs w:val="24"/>
        </w:rPr>
        <w:t>CSP</w:t>
      </w:r>
      <w:r w:rsidR="00FF2642">
        <w:rPr>
          <w:rFonts w:ascii="Arial" w:hAnsi="Arial" w:cs="Arial"/>
          <w:szCs w:val="24"/>
        </w:rPr>
        <w:t>”</w:t>
      </w:r>
      <w:r w:rsidRPr="00FF2642">
        <w:rPr>
          <w:rFonts w:ascii="Arial" w:hAnsi="Arial" w:cs="Arial"/>
          <w:szCs w:val="24"/>
        </w:rPr>
        <w:t xml:space="preserve">) or the potency, purity, quality, mislabeling, or stability of a </w:t>
      </w:r>
      <w:r w:rsidR="007C0B71" w:rsidRPr="00FF2642">
        <w:rPr>
          <w:rFonts w:ascii="Arial" w:hAnsi="Arial" w:cs="Arial"/>
          <w:szCs w:val="24"/>
        </w:rPr>
        <w:t xml:space="preserve">simple, moderate, or complex </w:t>
      </w:r>
      <w:r w:rsidRPr="00FF2642">
        <w:rPr>
          <w:rFonts w:ascii="Arial" w:hAnsi="Arial" w:cs="Arial"/>
          <w:szCs w:val="24"/>
        </w:rPr>
        <w:t>compounded non-sterile preparation (</w:t>
      </w:r>
      <w:r w:rsidR="00FF2642">
        <w:rPr>
          <w:rFonts w:ascii="Arial" w:hAnsi="Arial" w:cs="Arial"/>
          <w:szCs w:val="24"/>
        </w:rPr>
        <w:t>“</w:t>
      </w:r>
      <w:r w:rsidRPr="00FF2642">
        <w:rPr>
          <w:rFonts w:ascii="Arial" w:hAnsi="Arial" w:cs="Arial"/>
          <w:szCs w:val="24"/>
        </w:rPr>
        <w:t>CNP</w:t>
      </w:r>
      <w:r w:rsidR="00FF2642">
        <w:rPr>
          <w:rFonts w:ascii="Arial" w:hAnsi="Arial" w:cs="Arial"/>
          <w:szCs w:val="24"/>
        </w:rPr>
        <w:t>”</w:t>
      </w:r>
      <w:r w:rsidRPr="00FF2642">
        <w:rPr>
          <w:rFonts w:ascii="Arial" w:hAnsi="Arial" w:cs="Arial"/>
          <w:szCs w:val="24"/>
        </w:rPr>
        <w:t>).</w:t>
      </w:r>
    </w:p>
    <w:p w14:paraId="002C54FE" w14:textId="77777777" w:rsidR="00FB183A" w:rsidRPr="00FF2642" w:rsidRDefault="00FB183A" w:rsidP="00FF2642">
      <w:pPr>
        <w:spacing w:line="276" w:lineRule="auto"/>
        <w:jc w:val="both"/>
        <w:rPr>
          <w:rFonts w:ascii="Arial" w:hAnsi="Arial" w:cs="Arial"/>
        </w:rPr>
      </w:pPr>
    </w:p>
    <w:p w14:paraId="496F0B52" w14:textId="3D22CD04" w:rsidR="00FF2642" w:rsidRDefault="007C0B71" w:rsidP="00FF2642">
      <w:pPr>
        <w:spacing w:line="276" w:lineRule="auto"/>
        <w:jc w:val="both"/>
        <w:rPr>
          <w:rFonts w:ascii="Arial" w:hAnsi="Arial" w:cs="Arial"/>
          <w:i/>
        </w:rPr>
      </w:pPr>
      <w:r w:rsidRPr="00FF2642">
        <w:rPr>
          <w:rFonts w:ascii="Arial" w:hAnsi="Arial" w:cs="Arial"/>
        </w:rPr>
        <w:t xml:space="preserve">Pharmacies shall report to the Board </w:t>
      </w:r>
      <w:r w:rsidRPr="00FF2642">
        <w:rPr>
          <w:rFonts w:ascii="Arial" w:hAnsi="Arial" w:cs="Arial"/>
          <w:b/>
        </w:rPr>
        <w:t>within seven days</w:t>
      </w:r>
      <w:r w:rsidRPr="00FF2642">
        <w:rPr>
          <w:rFonts w:ascii="Arial" w:hAnsi="Arial" w:cs="Arial"/>
        </w:rPr>
        <w:t xml:space="preserve"> any defective CSP or </w:t>
      </w:r>
      <w:r w:rsidRPr="00FF2642">
        <w:rPr>
          <w:rFonts w:ascii="Arial" w:hAnsi="Arial" w:cs="Arial"/>
          <w:b/>
        </w:rPr>
        <w:t>complex category</w:t>
      </w:r>
      <w:r w:rsidRPr="00FF2642">
        <w:rPr>
          <w:rFonts w:ascii="Arial" w:hAnsi="Arial" w:cs="Arial"/>
        </w:rPr>
        <w:t xml:space="preserve"> CNP </w:t>
      </w:r>
      <w:r w:rsidRPr="00FF2642">
        <w:rPr>
          <w:rFonts w:ascii="Arial" w:hAnsi="Arial" w:cs="Arial"/>
          <w:b/>
        </w:rPr>
        <w:t>dispensed or distributed</w:t>
      </w:r>
      <w:r w:rsidRPr="00FF2642">
        <w:rPr>
          <w:rFonts w:ascii="Arial" w:hAnsi="Arial" w:cs="Arial"/>
        </w:rPr>
        <w:t xml:space="preserve"> by the pharmacy </w:t>
      </w:r>
      <w:r w:rsidRPr="00FF2642">
        <w:rPr>
          <w:rFonts w:ascii="Arial" w:hAnsi="Arial" w:cs="Arial"/>
          <w:b/>
        </w:rPr>
        <w:t>into</w:t>
      </w:r>
      <w:r w:rsidR="00650E1D">
        <w:rPr>
          <w:rFonts w:ascii="Arial" w:hAnsi="Arial" w:cs="Arial"/>
          <w:b/>
        </w:rPr>
        <w:t>, within,</w:t>
      </w:r>
      <w:r w:rsidRPr="00FF2642">
        <w:rPr>
          <w:rFonts w:ascii="Arial" w:hAnsi="Arial" w:cs="Arial"/>
          <w:b/>
        </w:rPr>
        <w:t xml:space="preserve"> or from Massachusetts</w:t>
      </w:r>
      <w:r w:rsidRPr="00FF2642">
        <w:rPr>
          <w:rFonts w:ascii="Arial" w:hAnsi="Arial" w:cs="Arial"/>
        </w:rPr>
        <w:t xml:space="preserve"> utilizing the Board’s </w:t>
      </w:r>
      <w:hyperlink r:id="rId10" w:history="1">
        <w:r w:rsidRPr="0094210B">
          <w:rPr>
            <w:rStyle w:val="Hyperlink"/>
            <w:rFonts w:ascii="Arial" w:hAnsi="Arial" w:cs="Arial"/>
            <w:i/>
          </w:rPr>
          <w:t>Defective Drug</w:t>
        </w:r>
        <w:r w:rsidRPr="0094210B">
          <w:rPr>
            <w:rStyle w:val="Hyperlink"/>
            <w:rFonts w:ascii="Arial" w:hAnsi="Arial" w:cs="Arial"/>
            <w:i/>
          </w:rPr>
          <w:t xml:space="preserve"> </w:t>
        </w:r>
        <w:r w:rsidRPr="0094210B">
          <w:rPr>
            <w:rStyle w:val="Hyperlink"/>
            <w:rFonts w:ascii="Arial" w:hAnsi="Arial" w:cs="Arial"/>
            <w:i/>
          </w:rPr>
          <w:t>Preparation</w:t>
        </w:r>
        <w:r w:rsidR="0094210B" w:rsidRPr="0094210B">
          <w:rPr>
            <w:rStyle w:val="Hyperlink"/>
            <w:rFonts w:ascii="Arial" w:hAnsi="Arial" w:cs="Arial"/>
            <w:i/>
          </w:rPr>
          <w:t xml:space="preserve"> </w:t>
        </w:r>
        <w:r w:rsidR="0094210B" w:rsidRPr="0094210B">
          <w:rPr>
            <w:rStyle w:val="Hyperlink"/>
            <w:rFonts w:ascii="Arial" w:hAnsi="Arial" w:cs="Arial"/>
            <w:iCs/>
          </w:rPr>
          <w:t>reporting form</w:t>
        </w:r>
      </w:hyperlink>
      <w:r w:rsidR="0094210B">
        <w:rPr>
          <w:rFonts w:ascii="Arial" w:hAnsi="Arial" w:cs="Arial"/>
          <w:iCs/>
        </w:rPr>
        <w:t>.</w:t>
      </w:r>
      <w:r w:rsidR="00650E1D">
        <w:rPr>
          <w:rFonts w:ascii="Arial" w:hAnsi="Arial" w:cs="Arial"/>
          <w:iCs/>
        </w:rPr>
        <w:t xml:space="preserve"> </w:t>
      </w:r>
    </w:p>
    <w:p w14:paraId="2FD51C57" w14:textId="77777777" w:rsidR="00544F7A" w:rsidRPr="00FF2642" w:rsidRDefault="00544F7A" w:rsidP="00FF2642">
      <w:pPr>
        <w:spacing w:line="276" w:lineRule="auto"/>
        <w:jc w:val="both"/>
        <w:rPr>
          <w:rFonts w:ascii="Arial" w:hAnsi="Arial" w:cs="Arial"/>
          <w:szCs w:val="24"/>
        </w:rPr>
      </w:pPr>
    </w:p>
    <w:p w14:paraId="64BA6588" w14:textId="77777777" w:rsidR="000A6166" w:rsidRPr="00FF2642" w:rsidRDefault="000A6166" w:rsidP="00FF2642">
      <w:pPr>
        <w:spacing w:line="276" w:lineRule="auto"/>
        <w:jc w:val="both"/>
        <w:rPr>
          <w:rFonts w:ascii="Arial" w:hAnsi="Arial" w:cs="Arial"/>
        </w:rPr>
      </w:pPr>
      <w:r w:rsidRPr="00FF2642">
        <w:rPr>
          <w:rFonts w:ascii="Arial" w:hAnsi="Arial" w:cs="Arial"/>
          <w:b/>
          <w:u w:val="single"/>
        </w:rPr>
        <w:t>Defective Drug Preparation Log</w:t>
      </w:r>
    </w:p>
    <w:p w14:paraId="5DD60472" w14:textId="77777777" w:rsidR="00F519CE" w:rsidRPr="00FF2642" w:rsidRDefault="00F519CE" w:rsidP="00FF2642">
      <w:pPr>
        <w:spacing w:line="276" w:lineRule="auto"/>
        <w:jc w:val="both"/>
        <w:rPr>
          <w:rFonts w:ascii="Arial" w:hAnsi="Arial" w:cs="Arial"/>
          <w:szCs w:val="24"/>
        </w:rPr>
      </w:pPr>
      <w:r w:rsidRPr="00FF2642">
        <w:rPr>
          <w:rFonts w:ascii="Arial" w:hAnsi="Arial" w:cs="Arial"/>
          <w:szCs w:val="24"/>
        </w:rPr>
        <w:t xml:space="preserve">A defective drug preparation log documenting the </w:t>
      </w:r>
      <w:r w:rsidR="00D1288C" w:rsidRPr="00FF2642">
        <w:rPr>
          <w:rFonts w:ascii="Arial" w:hAnsi="Arial" w:cs="Arial"/>
          <w:szCs w:val="24"/>
        </w:rPr>
        <w:t xml:space="preserve">recalled </w:t>
      </w:r>
      <w:r w:rsidRPr="00FF2642">
        <w:rPr>
          <w:rFonts w:ascii="Arial" w:hAnsi="Arial" w:cs="Arial"/>
          <w:szCs w:val="24"/>
        </w:rPr>
        <w:t>drug preparation shall be kept by the pharmacy including information on:</w:t>
      </w:r>
    </w:p>
    <w:p w14:paraId="767574C9" w14:textId="77777777" w:rsidR="001025C6" w:rsidRPr="00FF2642" w:rsidRDefault="001025C6" w:rsidP="00FF2642">
      <w:pPr>
        <w:spacing w:line="276" w:lineRule="auto"/>
        <w:jc w:val="both"/>
        <w:rPr>
          <w:rFonts w:ascii="Arial" w:hAnsi="Arial" w:cs="Arial"/>
          <w:szCs w:val="24"/>
        </w:rPr>
      </w:pPr>
    </w:p>
    <w:p w14:paraId="130E2807" w14:textId="77777777" w:rsidR="00F519CE" w:rsidRPr="00FF2642" w:rsidRDefault="00F519CE" w:rsidP="00FF264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FF2642">
        <w:rPr>
          <w:rFonts w:ascii="Arial" w:hAnsi="Arial" w:cs="Arial"/>
          <w:szCs w:val="24"/>
        </w:rPr>
        <w:t xml:space="preserve">The drug preparation name, </w:t>
      </w:r>
      <w:proofErr w:type="gramStart"/>
      <w:r w:rsidRPr="00FF2642">
        <w:rPr>
          <w:rFonts w:ascii="Arial" w:hAnsi="Arial" w:cs="Arial"/>
          <w:szCs w:val="24"/>
        </w:rPr>
        <w:t>potency</w:t>
      </w:r>
      <w:proofErr w:type="gramEnd"/>
      <w:r w:rsidRPr="00FF2642">
        <w:rPr>
          <w:rFonts w:ascii="Arial" w:hAnsi="Arial" w:cs="Arial"/>
          <w:szCs w:val="24"/>
        </w:rPr>
        <w:t xml:space="preserve"> and dosage form;</w:t>
      </w:r>
    </w:p>
    <w:p w14:paraId="21224254" w14:textId="77777777" w:rsidR="00F519CE" w:rsidRPr="00FF2642" w:rsidRDefault="00F519CE" w:rsidP="00FF264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FF2642">
        <w:rPr>
          <w:rFonts w:ascii="Arial" w:hAnsi="Arial" w:cs="Arial"/>
          <w:szCs w:val="24"/>
        </w:rPr>
        <w:t>The reason for the recall;</w:t>
      </w:r>
    </w:p>
    <w:p w14:paraId="3A574351" w14:textId="77777777" w:rsidR="00F519CE" w:rsidRPr="00FF2642" w:rsidRDefault="00F519CE" w:rsidP="00FF264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FF2642">
        <w:rPr>
          <w:rFonts w:ascii="Arial" w:hAnsi="Arial" w:cs="Arial"/>
          <w:szCs w:val="24"/>
        </w:rPr>
        <w:lastRenderedPageBreak/>
        <w:t>The amount of the drug preparation made;</w:t>
      </w:r>
    </w:p>
    <w:p w14:paraId="40BE5A1C" w14:textId="77777777" w:rsidR="00F519CE" w:rsidRPr="00FF2642" w:rsidRDefault="00F519CE" w:rsidP="00FF264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FF2642">
        <w:rPr>
          <w:rFonts w:ascii="Arial" w:hAnsi="Arial" w:cs="Arial"/>
          <w:szCs w:val="24"/>
        </w:rPr>
        <w:t>The date that the drug preparation was made;</w:t>
      </w:r>
    </w:p>
    <w:p w14:paraId="6193BC49" w14:textId="77777777" w:rsidR="00F519CE" w:rsidRPr="00FF2642" w:rsidRDefault="00F519CE" w:rsidP="00FF264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FF2642">
        <w:rPr>
          <w:rFonts w:ascii="Arial" w:hAnsi="Arial" w:cs="Arial"/>
          <w:szCs w:val="24"/>
        </w:rPr>
        <w:t>The amount of the drug preparation dispensed or distributed;</w:t>
      </w:r>
    </w:p>
    <w:p w14:paraId="7BAB2DBC" w14:textId="77777777" w:rsidR="00F519CE" w:rsidRPr="00FF2642" w:rsidRDefault="00F519CE" w:rsidP="00FF264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FF2642">
        <w:rPr>
          <w:rFonts w:ascii="Arial" w:hAnsi="Arial" w:cs="Arial"/>
          <w:szCs w:val="24"/>
        </w:rPr>
        <w:t>The actual drug preparation potency and dosage form; and</w:t>
      </w:r>
    </w:p>
    <w:p w14:paraId="710670BE" w14:textId="77777777" w:rsidR="00F519CE" w:rsidRPr="00FF2642" w:rsidRDefault="00F519CE" w:rsidP="00FF264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FF2642">
        <w:rPr>
          <w:rFonts w:ascii="Arial" w:hAnsi="Arial" w:cs="Arial"/>
          <w:szCs w:val="24"/>
        </w:rPr>
        <w:t>Any and all serious adverse drug events related to the drug preparation in question.</w:t>
      </w:r>
    </w:p>
    <w:p w14:paraId="1F201526" w14:textId="77777777" w:rsidR="007C0B71" w:rsidRPr="00FF2642" w:rsidRDefault="007C0B71" w:rsidP="00FF2642">
      <w:pPr>
        <w:spacing w:line="276" w:lineRule="auto"/>
        <w:jc w:val="both"/>
        <w:rPr>
          <w:rFonts w:ascii="Arial" w:hAnsi="Arial" w:cs="Arial"/>
          <w:szCs w:val="24"/>
        </w:rPr>
      </w:pPr>
    </w:p>
    <w:p w14:paraId="2CD80A7A" w14:textId="77777777" w:rsidR="007C0B71" w:rsidRPr="00FF2642" w:rsidRDefault="007C0B71" w:rsidP="00FF2642">
      <w:pPr>
        <w:spacing w:line="276" w:lineRule="auto"/>
        <w:jc w:val="both"/>
        <w:rPr>
          <w:rFonts w:ascii="Arial" w:hAnsi="Arial" w:cs="Arial"/>
          <w:szCs w:val="24"/>
        </w:rPr>
      </w:pPr>
      <w:r w:rsidRPr="00FF2642">
        <w:rPr>
          <w:rFonts w:ascii="Arial" w:hAnsi="Arial" w:cs="Arial"/>
          <w:szCs w:val="24"/>
        </w:rPr>
        <w:t>The defective drug preparation log shall be kept on record for at least 10 years and shall be made available for Board inspection.</w:t>
      </w:r>
    </w:p>
    <w:p w14:paraId="7716C295" w14:textId="77777777" w:rsidR="007C0B71" w:rsidRPr="00FF2642" w:rsidRDefault="007C0B71" w:rsidP="00FF2642">
      <w:pPr>
        <w:spacing w:line="276" w:lineRule="auto"/>
        <w:jc w:val="both"/>
        <w:rPr>
          <w:rFonts w:ascii="Arial" w:hAnsi="Arial" w:cs="Arial"/>
          <w:szCs w:val="24"/>
        </w:rPr>
      </w:pPr>
    </w:p>
    <w:p w14:paraId="3F33CD48" w14:textId="77777777" w:rsidR="001025C6" w:rsidRPr="00FF2642" w:rsidRDefault="007C0B71" w:rsidP="00FF2642">
      <w:pPr>
        <w:spacing w:line="276" w:lineRule="auto"/>
        <w:jc w:val="both"/>
        <w:rPr>
          <w:rFonts w:ascii="Arial" w:hAnsi="Arial" w:cs="Arial"/>
          <w:szCs w:val="24"/>
        </w:rPr>
      </w:pPr>
      <w:r w:rsidRPr="00FF2642">
        <w:rPr>
          <w:rFonts w:ascii="Arial" w:hAnsi="Arial" w:cs="Arial"/>
          <w:szCs w:val="24"/>
        </w:rPr>
        <w:t>Any of the same compounded drug preparation remaining in the possession of the pharmacy shall be located and segregated and shall not be distributed or dispensed.</w:t>
      </w:r>
    </w:p>
    <w:p w14:paraId="41572670" w14:textId="77777777" w:rsidR="007B1239" w:rsidRPr="00FF2642" w:rsidRDefault="007B1239" w:rsidP="00FF2642">
      <w:pPr>
        <w:spacing w:line="276" w:lineRule="auto"/>
        <w:jc w:val="both"/>
        <w:rPr>
          <w:rFonts w:ascii="Arial" w:hAnsi="Arial" w:cs="Arial"/>
          <w:szCs w:val="24"/>
        </w:rPr>
      </w:pPr>
    </w:p>
    <w:p w14:paraId="476A6403" w14:textId="77777777" w:rsidR="00095738" w:rsidRPr="00FF2642" w:rsidRDefault="00144FEA" w:rsidP="00FF2642">
      <w:pPr>
        <w:spacing w:line="276" w:lineRule="auto"/>
        <w:jc w:val="both"/>
        <w:rPr>
          <w:rFonts w:ascii="Arial" w:hAnsi="Arial" w:cs="Arial"/>
          <w:szCs w:val="24"/>
        </w:rPr>
      </w:pPr>
      <w:r w:rsidRPr="00FF2642">
        <w:rPr>
          <w:rFonts w:ascii="Arial" w:hAnsi="Arial" w:cs="Arial"/>
          <w:szCs w:val="24"/>
        </w:rPr>
        <w:t>Upon recall of a defective drug preparation</w:t>
      </w:r>
      <w:r w:rsidR="00A14D05" w:rsidRPr="00FF2642">
        <w:rPr>
          <w:rFonts w:ascii="Arial" w:hAnsi="Arial" w:cs="Arial"/>
          <w:szCs w:val="24"/>
        </w:rPr>
        <w:t xml:space="preserve">, the pharmacy shall immediately contact the </w:t>
      </w:r>
      <w:r w:rsidR="004C5FDE" w:rsidRPr="00FF2642">
        <w:rPr>
          <w:rFonts w:ascii="Arial" w:hAnsi="Arial" w:cs="Arial"/>
          <w:szCs w:val="24"/>
        </w:rPr>
        <w:t xml:space="preserve">recipient(s) of the </w:t>
      </w:r>
      <w:r w:rsidR="00A14D05" w:rsidRPr="00FF2642">
        <w:rPr>
          <w:rFonts w:ascii="Arial" w:hAnsi="Arial" w:cs="Arial"/>
          <w:szCs w:val="24"/>
        </w:rPr>
        <w:t xml:space="preserve">defective drug preparation for </w:t>
      </w:r>
      <w:r w:rsidR="004C5FDE" w:rsidRPr="00FF2642">
        <w:rPr>
          <w:rFonts w:ascii="Arial" w:hAnsi="Arial" w:cs="Arial"/>
          <w:szCs w:val="24"/>
        </w:rPr>
        <w:t xml:space="preserve">appropriate </w:t>
      </w:r>
      <w:r w:rsidR="00A14D05" w:rsidRPr="00FF2642">
        <w:rPr>
          <w:rFonts w:ascii="Arial" w:hAnsi="Arial" w:cs="Arial"/>
          <w:szCs w:val="24"/>
        </w:rPr>
        <w:t>follow-up.</w:t>
      </w:r>
    </w:p>
    <w:p w14:paraId="578BB250" w14:textId="77777777" w:rsidR="00095738" w:rsidRPr="00FF2642" w:rsidRDefault="00095738" w:rsidP="00FF2642">
      <w:pPr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</w:p>
    <w:p w14:paraId="25447E22" w14:textId="1FE6F324" w:rsidR="004C109B" w:rsidRPr="00FF2642" w:rsidRDefault="004C109B" w:rsidP="00FF2642">
      <w:pPr>
        <w:spacing w:line="276" w:lineRule="auto"/>
        <w:jc w:val="both"/>
        <w:rPr>
          <w:rFonts w:ascii="Arial" w:hAnsi="Arial" w:cs="Arial"/>
          <w:szCs w:val="24"/>
        </w:rPr>
      </w:pPr>
      <w:r w:rsidRPr="00FF2642">
        <w:rPr>
          <w:rFonts w:ascii="Arial" w:hAnsi="Arial" w:cs="Arial"/>
          <w:szCs w:val="24"/>
        </w:rPr>
        <w:t xml:space="preserve">The pharmacy shall maintain records of all defective drug preparations that are destroyed or returned to an authorized vendor </w:t>
      </w:r>
      <w:r w:rsidR="00422016" w:rsidRPr="00FF2642">
        <w:rPr>
          <w:rFonts w:ascii="Arial" w:hAnsi="Arial" w:cs="Arial"/>
          <w:szCs w:val="24"/>
        </w:rPr>
        <w:t xml:space="preserve">for at least 10 years </w:t>
      </w:r>
      <w:r w:rsidRPr="00FF2642">
        <w:rPr>
          <w:rFonts w:ascii="Arial" w:hAnsi="Arial" w:cs="Arial"/>
          <w:szCs w:val="24"/>
        </w:rPr>
        <w:t xml:space="preserve">and </w:t>
      </w:r>
      <w:r w:rsidR="00422016" w:rsidRPr="00FF2642">
        <w:rPr>
          <w:rFonts w:ascii="Arial" w:hAnsi="Arial" w:cs="Arial"/>
          <w:szCs w:val="24"/>
        </w:rPr>
        <w:t xml:space="preserve">shall </w:t>
      </w:r>
      <w:r w:rsidRPr="00FF2642">
        <w:rPr>
          <w:rFonts w:ascii="Arial" w:hAnsi="Arial" w:cs="Arial"/>
          <w:szCs w:val="24"/>
        </w:rPr>
        <w:t>provide to the Board any information or records surrounding the destruction or return of defective drug preparations, as requested.</w:t>
      </w:r>
    </w:p>
    <w:p w14:paraId="06BB373C" w14:textId="77777777" w:rsidR="00305049" w:rsidRPr="00FF2642" w:rsidRDefault="00305049" w:rsidP="00FF2642">
      <w:pPr>
        <w:spacing w:line="276" w:lineRule="auto"/>
        <w:jc w:val="both"/>
        <w:rPr>
          <w:rFonts w:ascii="Arial" w:hAnsi="Arial" w:cs="Arial"/>
          <w:szCs w:val="24"/>
        </w:rPr>
      </w:pPr>
    </w:p>
    <w:p w14:paraId="1AB75817" w14:textId="131CE11B" w:rsidR="00305049" w:rsidRPr="00FF2642" w:rsidRDefault="00305049" w:rsidP="00FF2642">
      <w:pPr>
        <w:spacing w:line="276" w:lineRule="auto"/>
        <w:jc w:val="both"/>
        <w:rPr>
          <w:rFonts w:ascii="Arial" w:hAnsi="Arial" w:cs="Arial"/>
          <w:szCs w:val="24"/>
        </w:rPr>
      </w:pPr>
      <w:r w:rsidRPr="00FF2642">
        <w:rPr>
          <w:rFonts w:ascii="Arial" w:hAnsi="Arial" w:cs="Arial"/>
          <w:szCs w:val="24"/>
        </w:rPr>
        <w:t xml:space="preserve">If a pharmacy discovers that a compounded drug preparation is defective </w:t>
      </w:r>
      <w:r w:rsidRPr="00FF2642">
        <w:rPr>
          <w:rFonts w:ascii="Arial" w:hAnsi="Arial" w:cs="Arial"/>
          <w:b/>
          <w:szCs w:val="24"/>
        </w:rPr>
        <w:t>prior to dispensing or distributing</w:t>
      </w:r>
      <w:r w:rsidRPr="00FF2642">
        <w:rPr>
          <w:rFonts w:ascii="Arial" w:hAnsi="Arial" w:cs="Arial"/>
          <w:szCs w:val="24"/>
        </w:rPr>
        <w:t>, it is recommended that the pharmacy document the event in its continuous quality improvement (</w:t>
      </w:r>
      <w:r w:rsidR="00650E1D">
        <w:rPr>
          <w:rFonts w:ascii="Arial" w:hAnsi="Arial" w:cs="Arial"/>
          <w:szCs w:val="24"/>
        </w:rPr>
        <w:t>“</w:t>
      </w:r>
      <w:r w:rsidRPr="00FF2642">
        <w:rPr>
          <w:rFonts w:ascii="Arial" w:hAnsi="Arial" w:cs="Arial"/>
          <w:szCs w:val="24"/>
        </w:rPr>
        <w:t>CQI</w:t>
      </w:r>
      <w:r w:rsidR="00650E1D">
        <w:rPr>
          <w:rFonts w:ascii="Arial" w:hAnsi="Arial" w:cs="Arial"/>
          <w:szCs w:val="24"/>
        </w:rPr>
        <w:t>”</w:t>
      </w:r>
      <w:r w:rsidRPr="00FF2642">
        <w:rPr>
          <w:rFonts w:ascii="Arial" w:hAnsi="Arial" w:cs="Arial"/>
          <w:szCs w:val="24"/>
        </w:rPr>
        <w:t xml:space="preserve">) program. These events do </w:t>
      </w:r>
      <w:r w:rsidRPr="00FF2642">
        <w:rPr>
          <w:rFonts w:ascii="Arial" w:hAnsi="Arial" w:cs="Arial"/>
          <w:b/>
          <w:szCs w:val="24"/>
        </w:rPr>
        <w:t xml:space="preserve">not </w:t>
      </w:r>
      <w:r w:rsidRPr="00FF2642">
        <w:rPr>
          <w:rFonts w:ascii="Arial" w:hAnsi="Arial" w:cs="Arial"/>
          <w:szCs w:val="24"/>
        </w:rPr>
        <w:t xml:space="preserve">need to be reported to the Board. </w:t>
      </w:r>
    </w:p>
    <w:p w14:paraId="4FA79460" w14:textId="77777777" w:rsidR="00CA5C29" w:rsidRPr="00FF2642" w:rsidRDefault="00CA5C29" w:rsidP="00FF2642">
      <w:pPr>
        <w:spacing w:line="276" w:lineRule="auto"/>
        <w:jc w:val="both"/>
        <w:rPr>
          <w:rFonts w:ascii="Arial" w:hAnsi="Arial" w:cs="Arial"/>
          <w:szCs w:val="24"/>
        </w:rPr>
      </w:pPr>
    </w:p>
    <w:p w14:paraId="6AF3FF4A" w14:textId="10F470DF" w:rsidR="006743F1" w:rsidRPr="00FF2642" w:rsidRDefault="006743F1" w:rsidP="00FF2642">
      <w:pPr>
        <w:spacing w:line="276" w:lineRule="auto"/>
        <w:jc w:val="both"/>
        <w:rPr>
          <w:rFonts w:ascii="Arial" w:hAnsi="Arial" w:cs="Arial"/>
          <w:szCs w:val="24"/>
        </w:rPr>
      </w:pPr>
      <w:r w:rsidRPr="00FF2642">
        <w:rPr>
          <w:rFonts w:ascii="Arial" w:hAnsi="Arial" w:cs="Arial"/>
          <w:szCs w:val="24"/>
        </w:rPr>
        <w:t xml:space="preserve">If the defective drug preparation has caused, or is suspected to have caused a serious adverse drug event the pharmacy shall </w:t>
      </w:r>
      <w:r w:rsidRPr="00FF2642">
        <w:rPr>
          <w:rFonts w:ascii="Arial" w:hAnsi="Arial" w:cs="Arial"/>
          <w:b/>
          <w:szCs w:val="24"/>
        </w:rPr>
        <w:t>immediately</w:t>
      </w:r>
      <w:r w:rsidRPr="00FF2642">
        <w:rPr>
          <w:rFonts w:ascii="Arial" w:hAnsi="Arial" w:cs="Arial"/>
          <w:szCs w:val="24"/>
        </w:rPr>
        <w:t xml:space="preserve"> submit a </w:t>
      </w:r>
      <w:hyperlink r:id="rId11" w:history="1">
        <w:r w:rsidR="009C1577" w:rsidRPr="00650E1D">
          <w:rPr>
            <w:rStyle w:val="Hyperlink"/>
            <w:rFonts w:ascii="Arial" w:hAnsi="Arial" w:cs="Arial"/>
            <w:i/>
            <w:szCs w:val="24"/>
          </w:rPr>
          <w:t xml:space="preserve">Serious </w:t>
        </w:r>
        <w:r w:rsidR="0094210B" w:rsidRPr="00650E1D">
          <w:rPr>
            <w:rStyle w:val="Hyperlink"/>
            <w:rFonts w:ascii="Arial" w:hAnsi="Arial" w:cs="Arial"/>
            <w:i/>
            <w:szCs w:val="24"/>
          </w:rPr>
          <w:t>Adverse Drug Event</w:t>
        </w:r>
        <w:r w:rsidR="009C1577" w:rsidRPr="00650E1D">
          <w:rPr>
            <w:rStyle w:val="Hyperlink"/>
            <w:rFonts w:ascii="Arial" w:hAnsi="Arial" w:cs="Arial"/>
            <w:i/>
            <w:szCs w:val="24"/>
          </w:rPr>
          <w:t xml:space="preserve"> </w:t>
        </w:r>
        <w:r w:rsidRPr="00650E1D">
          <w:rPr>
            <w:rStyle w:val="Hyperlink"/>
            <w:rFonts w:ascii="Arial" w:hAnsi="Arial" w:cs="Arial"/>
            <w:szCs w:val="24"/>
          </w:rPr>
          <w:t>form</w:t>
        </w:r>
      </w:hyperlink>
      <w:r w:rsidRPr="00FF2642">
        <w:rPr>
          <w:rFonts w:ascii="Arial" w:hAnsi="Arial" w:cs="Arial"/>
          <w:szCs w:val="24"/>
        </w:rPr>
        <w:t xml:space="preserve"> to the Board.</w:t>
      </w:r>
    </w:p>
    <w:p w14:paraId="2D95A09C" w14:textId="77777777" w:rsidR="006743F1" w:rsidRPr="00FF2642" w:rsidRDefault="006743F1" w:rsidP="00FF2642">
      <w:pPr>
        <w:spacing w:line="276" w:lineRule="auto"/>
        <w:jc w:val="both"/>
        <w:rPr>
          <w:rFonts w:ascii="Arial" w:hAnsi="Arial" w:cs="Arial"/>
          <w:szCs w:val="24"/>
        </w:rPr>
      </w:pPr>
    </w:p>
    <w:p w14:paraId="603F5BB5" w14:textId="6E678DDE" w:rsidR="00E35F6D" w:rsidRPr="00FF2642" w:rsidRDefault="00533E56" w:rsidP="00FF2642">
      <w:pPr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  <w:r w:rsidRPr="00FF2642">
        <w:rPr>
          <w:rFonts w:ascii="Arial" w:hAnsi="Arial" w:cs="Arial"/>
          <w:b/>
          <w:szCs w:val="24"/>
          <w:u w:val="single"/>
        </w:rPr>
        <w:t xml:space="preserve">Required </w:t>
      </w:r>
      <w:r w:rsidR="00BC6836" w:rsidRPr="00FF2642">
        <w:rPr>
          <w:rFonts w:ascii="Arial" w:hAnsi="Arial" w:cs="Arial"/>
          <w:b/>
          <w:szCs w:val="24"/>
          <w:u w:val="single"/>
        </w:rPr>
        <w:t xml:space="preserve">Actions </w:t>
      </w:r>
    </w:p>
    <w:p w14:paraId="5A3810A8" w14:textId="06AFE6D8" w:rsidR="00BC6836" w:rsidRPr="00FF2642" w:rsidRDefault="00BC6836" w:rsidP="00FF2642">
      <w:pPr>
        <w:spacing w:line="276" w:lineRule="auto"/>
        <w:jc w:val="both"/>
        <w:rPr>
          <w:rFonts w:ascii="Arial" w:hAnsi="Arial" w:cs="Arial"/>
          <w:szCs w:val="24"/>
        </w:rPr>
      </w:pPr>
      <w:r w:rsidRPr="00FF2642">
        <w:rPr>
          <w:rFonts w:ascii="Arial" w:hAnsi="Arial" w:cs="Arial"/>
          <w:szCs w:val="24"/>
        </w:rPr>
        <w:t xml:space="preserve">All pharmacies that are licensed with the Board shall: </w:t>
      </w:r>
    </w:p>
    <w:p w14:paraId="4EB1CC36" w14:textId="77777777" w:rsidR="00BC6836" w:rsidRPr="00FF2642" w:rsidRDefault="00BC6836" w:rsidP="00FF2642">
      <w:pPr>
        <w:spacing w:line="276" w:lineRule="auto"/>
        <w:jc w:val="both"/>
        <w:rPr>
          <w:rFonts w:ascii="Arial" w:hAnsi="Arial" w:cs="Arial"/>
          <w:szCs w:val="24"/>
        </w:rPr>
      </w:pPr>
    </w:p>
    <w:p w14:paraId="2DC73C5F" w14:textId="41A51856" w:rsidR="00BC6836" w:rsidRPr="00FF2642" w:rsidRDefault="00BC6836" w:rsidP="00FF264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FF2642">
        <w:rPr>
          <w:rFonts w:ascii="Arial" w:hAnsi="Arial" w:cs="Arial"/>
          <w:b/>
          <w:szCs w:val="24"/>
        </w:rPr>
        <w:t>Maintain</w:t>
      </w:r>
      <w:r w:rsidRPr="00FF2642">
        <w:rPr>
          <w:rFonts w:ascii="Arial" w:hAnsi="Arial" w:cs="Arial"/>
          <w:szCs w:val="24"/>
        </w:rPr>
        <w:t xml:space="preserve"> a defective drug preparation log for all recalled </w:t>
      </w:r>
      <w:r w:rsidRPr="00FF2642">
        <w:rPr>
          <w:rFonts w:ascii="Arial" w:hAnsi="Arial" w:cs="Arial"/>
          <w:b/>
          <w:szCs w:val="24"/>
        </w:rPr>
        <w:t>sterile compounded and simple, moderate, and complex non-sterile</w:t>
      </w:r>
      <w:r w:rsidRPr="00FF2642">
        <w:rPr>
          <w:rFonts w:ascii="Arial" w:hAnsi="Arial" w:cs="Arial"/>
          <w:szCs w:val="24"/>
        </w:rPr>
        <w:t xml:space="preserve"> </w:t>
      </w:r>
      <w:r w:rsidRPr="00FF2642">
        <w:rPr>
          <w:rFonts w:ascii="Arial" w:hAnsi="Arial" w:cs="Arial"/>
          <w:b/>
          <w:szCs w:val="24"/>
        </w:rPr>
        <w:t>compounded</w:t>
      </w:r>
      <w:r w:rsidR="00533E56" w:rsidRPr="00FF2642">
        <w:rPr>
          <w:rFonts w:ascii="Arial" w:hAnsi="Arial" w:cs="Arial"/>
          <w:szCs w:val="24"/>
        </w:rPr>
        <w:t xml:space="preserve"> defective drug preparations dispensed into or from Massachusetts. </w:t>
      </w:r>
      <w:r w:rsidRPr="00FF2642">
        <w:rPr>
          <w:rFonts w:ascii="Arial" w:hAnsi="Arial" w:cs="Arial"/>
          <w:szCs w:val="24"/>
        </w:rPr>
        <w:t xml:space="preserve"> </w:t>
      </w:r>
    </w:p>
    <w:p w14:paraId="7B9C8AE1" w14:textId="6C3216CC" w:rsidR="00BC6836" w:rsidRDefault="00BC6836" w:rsidP="00FF264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FF2642">
        <w:rPr>
          <w:rFonts w:ascii="Arial" w:hAnsi="Arial" w:cs="Arial"/>
          <w:b/>
          <w:szCs w:val="24"/>
        </w:rPr>
        <w:t>Report</w:t>
      </w:r>
      <w:r w:rsidRPr="00FF2642">
        <w:rPr>
          <w:rFonts w:ascii="Arial" w:hAnsi="Arial" w:cs="Arial"/>
          <w:szCs w:val="24"/>
        </w:rPr>
        <w:t xml:space="preserve"> to the Board all recalled </w:t>
      </w:r>
      <w:r w:rsidRPr="00FF2642">
        <w:rPr>
          <w:rFonts w:ascii="Arial" w:hAnsi="Arial" w:cs="Arial"/>
          <w:b/>
          <w:szCs w:val="24"/>
        </w:rPr>
        <w:t xml:space="preserve">sterile compounded and complex non-sterile compounded </w:t>
      </w:r>
      <w:r w:rsidRPr="00FF2642">
        <w:rPr>
          <w:rFonts w:ascii="Arial" w:hAnsi="Arial" w:cs="Arial"/>
          <w:szCs w:val="24"/>
        </w:rPr>
        <w:t xml:space="preserve">defective drug preparations dispensed into or from Massachusetts. </w:t>
      </w:r>
    </w:p>
    <w:p w14:paraId="4249CB53" w14:textId="77777777" w:rsidR="00650E1D" w:rsidRDefault="00650E1D" w:rsidP="00B65BB5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58A182E6" w14:textId="0EAA40F4" w:rsidR="00B65BB5" w:rsidRPr="00B65BB5" w:rsidRDefault="00B65BB5" w:rsidP="00B65BB5">
      <w:pPr>
        <w:spacing w:line="276" w:lineRule="auto"/>
        <w:jc w:val="both"/>
        <w:rPr>
          <w:rFonts w:ascii="Arial" w:hAnsi="Arial" w:cs="Arial"/>
          <w:szCs w:val="24"/>
        </w:rPr>
      </w:pPr>
      <w:r w:rsidRPr="007F43B9">
        <w:rPr>
          <w:rFonts w:ascii="Arial" w:hAnsi="Arial" w:cs="Arial"/>
          <w:b/>
          <w:szCs w:val="24"/>
        </w:rPr>
        <w:t>Please direct any quest</w:t>
      </w:r>
      <w:r w:rsidRPr="00E40300">
        <w:rPr>
          <w:rFonts w:ascii="Arial" w:hAnsi="Arial" w:cs="Arial"/>
          <w:b/>
          <w:szCs w:val="24"/>
        </w:rPr>
        <w:t>ions to</w:t>
      </w:r>
      <w:r w:rsidRPr="00E40300">
        <w:rPr>
          <w:rFonts w:ascii="Arial" w:hAnsi="Arial" w:cs="Arial"/>
          <w:szCs w:val="24"/>
        </w:rPr>
        <w:t xml:space="preserve">: </w:t>
      </w:r>
      <w:hyperlink r:id="rId12" w:history="1">
        <w:r w:rsidR="00EE53A8" w:rsidRPr="00AE1173">
          <w:rPr>
            <w:rStyle w:val="Hyperlink"/>
            <w:rFonts w:ascii="Arial" w:hAnsi="Arial" w:cs="Arial"/>
            <w:b/>
            <w:szCs w:val="24"/>
          </w:rPr>
          <w:t>Pharmacy.Admin@mass.gov</w:t>
        </w:r>
      </w:hyperlink>
    </w:p>
    <w:sectPr w:rsidR="00B65BB5" w:rsidRPr="00B65BB5"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8DB4" w14:textId="77777777" w:rsidR="00472F51" w:rsidRDefault="00472F51" w:rsidP="006A75F4">
      <w:r>
        <w:separator/>
      </w:r>
    </w:p>
  </w:endnote>
  <w:endnote w:type="continuationSeparator" w:id="0">
    <w:p w14:paraId="66CF68A7" w14:textId="77777777" w:rsidR="00472F51" w:rsidRDefault="00472F51" w:rsidP="006A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FD14" w14:textId="1A7F6CE8" w:rsidR="006A75F4" w:rsidRPr="00217335" w:rsidRDefault="006A75F4">
    <w:pPr>
      <w:pStyle w:val="Footer"/>
      <w:rPr>
        <w:rFonts w:ascii="Arial" w:hAnsi="Arial" w:cs="Arial"/>
        <w:bCs/>
        <w:sz w:val="22"/>
        <w:szCs w:val="22"/>
      </w:rPr>
    </w:pPr>
    <w:r w:rsidRPr="00217335">
      <w:rPr>
        <w:rFonts w:ascii="Arial" w:hAnsi="Arial" w:cs="Arial"/>
        <w:bCs/>
        <w:sz w:val="22"/>
        <w:szCs w:val="22"/>
      </w:rPr>
      <w:t>Adopted:</w:t>
    </w:r>
    <w:r w:rsidR="00A46DF2" w:rsidRPr="00217335">
      <w:rPr>
        <w:rFonts w:ascii="Arial" w:hAnsi="Arial" w:cs="Arial"/>
        <w:bCs/>
        <w:sz w:val="22"/>
        <w:szCs w:val="22"/>
      </w:rPr>
      <w:t xml:space="preserve"> 6/15/17</w:t>
    </w:r>
    <w:r w:rsidR="00FF2642" w:rsidRPr="00217335">
      <w:rPr>
        <w:rFonts w:ascii="Arial" w:hAnsi="Arial" w:cs="Arial"/>
        <w:bCs/>
        <w:sz w:val="22"/>
        <w:szCs w:val="22"/>
      </w:rPr>
      <w:t>; Revised</w:t>
    </w:r>
    <w:r w:rsidR="008160A0" w:rsidRPr="00217335">
      <w:rPr>
        <w:rFonts w:ascii="Arial" w:hAnsi="Arial" w:cs="Arial"/>
        <w:bCs/>
        <w:sz w:val="22"/>
        <w:szCs w:val="22"/>
      </w:rPr>
      <w:t>: 5/10/18</w:t>
    </w:r>
    <w:r w:rsidR="001025C6" w:rsidRPr="00217335">
      <w:rPr>
        <w:rFonts w:ascii="Arial" w:hAnsi="Arial" w:cs="Arial"/>
        <w:b/>
        <w:sz w:val="22"/>
        <w:szCs w:val="22"/>
      </w:rPr>
      <w:tab/>
    </w:r>
    <w:r w:rsidR="00FF2642" w:rsidRPr="00217335">
      <w:rPr>
        <w:rFonts w:ascii="Arial" w:hAnsi="Arial" w:cs="Arial"/>
        <w:b/>
        <w:sz w:val="22"/>
        <w:szCs w:val="22"/>
      </w:rPr>
      <w:tab/>
    </w:r>
    <w:r w:rsidR="001025C6" w:rsidRPr="00217335">
      <w:rPr>
        <w:rFonts w:ascii="Arial" w:hAnsi="Arial" w:cs="Arial"/>
        <w:bCs/>
        <w:sz w:val="22"/>
        <w:szCs w:val="22"/>
      </w:rPr>
      <w:t xml:space="preserve">Page </w:t>
    </w:r>
    <w:r w:rsidR="001025C6" w:rsidRPr="00217335">
      <w:rPr>
        <w:rFonts w:ascii="Arial" w:hAnsi="Arial" w:cs="Arial"/>
        <w:bCs/>
        <w:sz w:val="22"/>
        <w:szCs w:val="22"/>
      </w:rPr>
      <w:fldChar w:fldCharType="begin"/>
    </w:r>
    <w:r w:rsidR="001025C6" w:rsidRPr="00217335">
      <w:rPr>
        <w:rFonts w:ascii="Arial" w:hAnsi="Arial" w:cs="Arial"/>
        <w:bCs/>
        <w:sz w:val="22"/>
        <w:szCs w:val="22"/>
      </w:rPr>
      <w:instrText xml:space="preserve"> PAGE  \* Arabic  \* MERGEFORMAT </w:instrText>
    </w:r>
    <w:r w:rsidR="001025C6" w:rsidRPr="00217335">
      <w:rPr>
        <w:rFonts w:ascii="Arial" w:hAnsi="Arial" w:cs="Arial"/>
        <w:bCs/>
        <w:sz w:val="22"/>
        <w:szCs w:val="22"/>
      </w:rPr>
      <w:fldChar w:fldCharType="separate"/>
    </w:r>
    <w:r w:rsidR="00505FF6" w:rsidRPr="00217335">
      <w:rPr>
        <w:rFonts w:ascii="Arial" w:hAnsi="Arial" w:cs="Arial"/>
        <w:bCs/>
        <w:noProof/>
        <w:sz w:val="22"/>
        <w:szCs w:val="22"/>
      </w:rPr>
      <w:t>1</w:t>
    </w:r>
    <w:r w:rsidR="001025C6" w:rsidRPr="00217335">
      <w:rPr>
        <w:rFonts w:ascii="Arial" w:hAnsi="Arial" w:cs="Arial"/>
        <w:bCs/>
        <w:sz w:val="22"/>
        <w:szCs w:val="22"/>
      </w:rPr>
      <w:fldChar w:fldCharType="end"/>
    </w:r>
    <w:r w:rsidR="001025C6" w:rsidRPr="00217335">
      <w:rPr>
        <w:rFonts w:ascii="Arial" w:hAnsi="Arial" w:cs="Arial"/>
        <w:bCs/>
        <w:sz w:val="22"/>
        <w:szCs w:val="22"/>
      </w:rPr>
      <w:t xml:space="preserve"> of </w:t>
    </w:r>
    <w:r w:rsidR="001025C6" w:rsidRPr="00217335">
      <w:rPr>
        <w:rFonts w:ascii="Arial" w:hAnsi="Arial" w:cs="Arial"/>
        <w:bCs/>
        <w:sz w:val="22"/>
        <w:szCs w:val="22"/>
      </w:rPr>
      <w:fldChar w:fldCharType="begin"/>
    </w:r>
    <w:r w:rsidR="001025C6" w:rsidRPr="00217335">
      <w:rPr>
        <w:rFonts w:ascii="Arial" w:hAnsi="Arial" w:cs="Arial"/>
        <w:bCs/>
        <w:sz w:val="22"/>
        <w:szCs w:val="22"/>
      </w:rPr>
      <w:instrText xml:space="preserve"> NUMPAGES  \* Arabic  \* MERGEFORMAT </w:instrText>
    </w:r>
    <w:r w:rsidR="001025C6" w:rsidRPr="00217335">
      <w:rPr>
        <w:rFonts w:ascii="Arial" w:hAnsi="Arial" w:cs="Arial"/>
        <w:bCs/>
        <w:sz w:val="22"/>
        <w:szCs w:val="22"/>
      </w:rPr>
      <w:fldChar w:fldCharType="separate"/>
    </w:r>
    <w:r w:rsidR="00505FF6" w:rsidRPr="00217335">
      <w:rPr>
        <w:rFonts w:ascii="Arial" w:hAnsi="Arial" w:cs="Arial"/>
        <w:bCs/>
        <w:noProof/>
        <w:sz w:val="22"/>
        <w:szCs w:val="22"/>
      </w:rPr>
      <w:t>2</w:t>
    </w:r>
    <w:r w:rsidR="001025C6" w:rsidRPr="00217335">
      <w:rPr>
        <w:rFonts w:ascii="Arial" w:hAnsi="Arial" w:cs="Arial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FE42" w14:textId="77777777" w:rsidR="00472F51" w:rsidRDefault="00472F51" w:rsidP="006A75F4">
      <w:r>
        <w:separator/>
      </w:r>
    </w:p>
  </w:footnote>
  <w:footnote w:type="continuationSeparator" w:id="0">
    <w:p w14:paraId="26787EF1" w14:textId="77777777" w:rsidR="00472F51" w:rsidRDefault="00472F51" w:rsidP="006A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6E60"/>
    <w:multiLevelType w:val="hybridMultilevel"/>
    <w:tmpl w:val="62FC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344EC"/>
    <w:multiLevelType w:val="hybridMultilevel"/>
    <w:tmpl w:val="8F82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11F5E"/>
    <w:multiLevelType w:val="hybridMultilevel"/>
    <w:tmpl w:val="70BC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458056">
    <w:abstractNumId w:val="2"/>
  </w:num>
  <w:num w:numId="2" w16cid:durableId="665979715">
    <w:abstractNumId w:val="0"/>
  </w:num>
  <w:num w:numId="3" w16cid:durableId="1312096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1B6E"/>
    <w:rsid w:val="0000683F"/>
    <w:rsid w:val="00012AEE"/>
    <w:rsid w:val="000214F8"/>
    <w:rsid w:val="00030BAC"/>
    <w:rsid w:val="00042048"/>
    <w:rsid w:val="000537DA"/>
    <w:rsid w:val="00092D68"/>
    <w:rsid w:val="00095738"/>
    <w:rsid w:val="000A6166"/>
    <w:rsid w:val="000C17EB"/>
    <w:rsid w:val="000D2C8A"/>
    <w:rsid w:val="000F315B"/>
    <w:rsid w:val="000F6EB5"/>
    <w:rsid w:val="001025C6"/>
    <w:rsid w:val="00106529"/>
    <w:rsid w:val="001246D7"/>
    <w:rsid w:val="00124DBF"/>
    <w:rsid w:val="00144FEA"/>
    <w:rsid w:val="0015268B"/>
    <w:rsid w:val="00177C77"/>
    <w:rsid w:val="00184BB0"/>
    <w:rsid w:val="00185CE5"/>
    <w:rsid w:val="001A1861"/>
    <w:rsid w:val="001A2E18"/>
    <w:rsid w:val="001A7150"/>
    <w:rsid w:val="001B75A2"/>
    <w:rsid w:val="001C2343"/>
    <w:rsid w:val="00206FBE"/>
    <w:rsid w:val="00217335"/>
    <w:rsid w:val="0022091C"/>
    <w:rsid w:val="00276957"/>
    <w:rsid w:val="00276DCC"/>
    <w:rsid w:val="00290024"/>
    <w:rsid w:val="00305049"/>
    <w:rsid w:val="00312D7B"/>
    <w:rsid w:val="00321BF0"/>
    <w:rsid w:val="00355442"/>
    <w:rsid w:val="00385812"/>
    <w:rsid w:val="00392D0B"/>
    <w:rsid w:val="003A7AFC"/>
    <w:rsid w:val="003C5D98"/>
    <w:rsid w:val="003C60EF"/>
    <w:rsid w:val="003D1C40"/>
    <w:rsid w:val="003E2D8D"/>
    <w:rsid w:val="00422016"/>
    <w:rsid w:val="00450DF3"/>
    <w:rsid w:val="00472CDB"/>
    <w:rsid w:val="00472F51"/>
    <w:rsid w:val="004813AC"/>
    <w:rsid w:val="004B37A0"/>
    <w:rsid w:val="004C109B"/>
    <w:rsid w:val="004C5FDE"/>
    <w:rsid w:val="004D6B39"/>
    <w:rsid w:val="004F2BA3"/>
    <w:rsid w:val="004F514C"/>
    <w:rsid w:val="004F7E7A"/>
    <w:rsid w:val="00505FF6"/>
    <w:rsid w:val="00533E56"/>
    <w:rsid w:val="005448AA"/>
    <w:rsid w:val="00544F7A"/>
    <w:rsid w:val="00555BE5"/>
    <w:rsid w:val="005700F9"/>
    <w:rsid w:val="00571E44"/>
    <w:rsid w:val="00604FB1"/>
    <w:rsid w:val="00607F81"/>
    <w:rsid w:val="00611D4E"/>
    <w:rsid w:val="0063270D"/>
    <w:rsid w:val="00635B1C"/>
    <w:rsid w:val="00650E1D"/>
    <w:rsid w:val="006538AE"/>
    <w:rsid w:val="006743F1"/>
    <w:rsid w:val="006A75F4"/>
    <w:rsid w:val="006B5744"/>
    <w:rsid w:val="006B5FF6"/>
    <w:rsid w:val="006D06D9"/>
    <w:rsid w:val="006D77A6"/>
    <w:rsid w:val="006F1EA1"/>
    <w:rsid w:val="00702109"/>
    <w:rsid w:val="00714203"/>
    <w:rsid w:val="007229DB"/>
    <w:rsid w:val="0072610D"/>
    <w:rsid w:val="00764C22"/>
    <w:rsid w:val="0078672D"/>
    <w:rsid w:val="00787637"/>
    <w:rsid w:val="00794855"/>
    <w:rsid w:val="007B1239"/>
    <w:rsid w:val="007B3F4B"/>
    <w:rsid w:val="007B51C8"/>
    <w:rsid w:val="007B7347"/>
    <w:rsid w:val="007C0B71"/>
    <w:rsid w:val="007D10F3"/>
    <w:rsid w:val="007F4E5D"/>
    <w:rsid w:val="008160A0"/>
    <w:rsid w:val="008572A1"/>
    <w:rsid w:val="008A62DE"/>
    <w:rsid w:val="008B4D4E"/>
    <w:rsid w:val="00902185"/>
    <w:rsid w:val="0090638C"/>
    <w:rsid w:val="00936D08"/>
    <w:rsid w:val="0094210B"/>
    <w:rsid w:val="009455CB"/>
    <w:rsid w:val="009908FF"/>
    <w:rsid w:val="00995505"/>
    <w:rsid w:val="009A5DE8"/>
    <w:rsid w:val="009C1577"/>
    <w:rsid w:val="009E3750"/>
    <w:rsid w:val="00A14D05"/>
    <w:rsid w:val="00A2340D"/>
    <w:rsid w:val="00A346AC"/>
    <w:rsid w:val="00A375BD"/>
    <w:rsid w:val="00A46DF2"/>
    <w:rsid w:val="00A51616"/>
    <w:rsid w:val="00A65101"/>
    <w:rsid w:val="00A66421"/>
    <w:rsid w:val="00A94EBF"/>
    <w:rsid w:val="00AF4564"/>
    <w:rsid w:val="00B04685"/>
    <w:rsid w:val="00B403BF"/>
    <w:rsid w:val="00B608D9"/>
    <w:rsid w:val="00B62EC1"/>
    <w:rsid w:val="00B65BB5"/>
    <w:rsid w:val="00B81831"/>
    <w:rsid w:val="00B95C59"/>
    <w:rsid w:val="00BA4055"/>
    <w:rsid w:val="00BA7FB6"/>
    <w:rsid w:val="00BB130D"/>
    <w:rsid w:val="00BC6836"/>
    <w:rsid w:val="00C011FB"/>
    <w:rsid w:val="00C17D5C"/>
    <w:rsid w:val="00C20BFE"/>
    <w:rsid w:val="00C27629"/>
    <w:rsid w:val="00C7177E"/>
    <w:rsid w:val="00C87A6D"/>
    <w:rsid w:val="00CA5C29"/>
    <w:rsid w:val="00CA7C88"/>
    <w:rsid w:val="00CC1778"/>
    <w:rsid w:val="00CE575B"/>
    <w:rsid w:val="00CF3DE8"/>
    <w:rsid w:val="00CF404D"/>
    <w:rsid w:val="00D0493F"/>
    <w:rsid w:val="00D1288C"/>
    <w:rsid w:val="00D33DB7"/>
    <w:rsid w:val="00D41CCC"/>
    <w:rsid w:val="00D51714"/>
    <w:rsid w:val="00D5340F"/>
    <w:rsid w:val="00D56F91"/>
    <w:rsid w:val="00D734A5"/>
    <w:rsid w:val="00D808E9"/>
    <w:rsid w:val="00D8671C"/>
    <w:rsid w:val="00D969BA"/>
    <w:rsid w:val="00DA57C3"/>
    <w:rsid w:val="00DC3855"/>
    <w:rsid w:val="00DF5D86"/>
    <w:rsid w:val="00E10EC6"/>
    <w:rsid w:val="00E274B8"/>
    <w:rsid w:val="00E35F6D"/>
    <w:rsid w:val="00E50CF5"/>
    <w:rsid w:val="00E64D47"/>
    <w:rsid w:val="00E72707"/>
    <w:rsid w:val="00EA40B2"/>
    <w:rsid w:val="00EA5B35"/>
    <w:rsid w:val="00EE1E09"/>
    <w:rsid w:val="00EE53A8"/>
    <w:rsid w:val="00EF057B"/>
    <w:rsid w:val="00F0586E"/>
    <w:rsid w:val="00F24C12"/>
    <w:rsid w:val="00F43932"/>
    <w:rsid w:val="00F519CE"/>
    <w:rsid w:val="00FA36FC"/>
    <w:rsid w:val="00FB183A"/>
    <w:rsid w:val="00FC6B42"/>
    <w:rsid w:val="00FC6C41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757E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24D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DB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24DBF"/>
  </w:style>
  <w:style w:type="paragraph" w:styleId="CommentSubject">
    <w:name w:val="annotation subject"/>
    <w:basedOn w:val="CommentText"/>
    <w:next w:val="CommentText"/>
    <w:link w:val="CommentSubjectChar"/>
    <w:rsid w:val="00124DBF"/>
    <w:rPr>
      <w:b/>
      <w:bCs/>
    </w:rPr>
  </w:style>
  <w:style w:type="character" w:customStyle="1" w:styleId="CommentSubjectChar">
    <w:name w:val="Comment Subject Char"/>
    <w:link w:val="CommentSubject"/>
    <w:rsid w:val="00124DBF"/>
    <w:rPr>
      <w:b/>
      <w:bCs/>
    </w:rPr>
  </w:style>
  <w:style w:type="paragraph" w:styleId="Header">
    <w:name w:val="header"/>
    <w:basedOn w:val="Normal"/>
    <w:link w:val="HeaderChar"/>
    <w:rsid w:val="006A7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75F4"/>
    <w:rPr>
      <w:sz w:val="24"/>
    </w:rPr>
  </w:style>
  <w:style w:type="paragraph" w:styleId="Footer">
    <w:name w:val="footer"/>
    <w:basedOn w:val="Normal"/>
    <w:link w:val="FooterChar"/>
    <w:rsid w:val="006A7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A75F4"/>
    <w:rPr>
      <w:sz w:val="24"/>
    </w:rPr>
  </w:style>
  <w:style w:type="paragraph" w:styleId="FootnoteText">
    <w:name w:val="footnote text"/>
    <w:basedOn w:val="Normal"/>
    <w:link w:val="FootnoteTextChar"/>
    <w:rsid w:val="00D33DB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33DB7"/>
  </w:style>
  <w:style w:type="character" w:styleId="FootnoteReference">
    <w:name w:val="footnote reference"/>
    <w:rsid w:val="00D33DB7"/>
    <w:rPr>
      <w:vertAlign w:val="superscript"/>
    </w:rPr>
  </w:style>
  <w:style w:type="paragraph" w:styleId="EndnoteText">
    <w:name w:val="endnote text"/>
    <w:basedOn w:val="Normal"/>
    <w:link w:val="EndnoteTextChar"/>
    <w:rsid w:val="001025C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025C6"/>
  </w:style>
  <w:style w:type="character" w:styleId="EndnoteReference">
    <w:name w:val="endnote reference"/>
    <w:rsid w:val="001025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1288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6642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4F7A"/>
    <w:rPr>
      <w:rFonts w:eastAsiaTheme="minorHAnsi"/>
      <w:szCs w:val="24"/>
    </w:rPr>
  </w:style>
  <w:style w:type="character" w:styleId="Strong">
    <w:name w:val="Strong"/>
    <w:basedOn w:val="DefaultParagraphFont"/>
    <w:uiPriority w:val="22"/>
    <w:qFormat/>
    <w:rsid w:val="00544F7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E5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board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armacy.Admin@mas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lists/reporting-forms-for-the-board-of-registration-in-pharma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ss.gov/lists/reporting-forms-for-the-board-of-registration-in-pharma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E547-C0F0-4DEE-8C21-6CC400FC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4266</CharactersWithSpaces>
  <SharedDoc>false</SharedDoc>
  <HLinks>
    <vt:vector size="12" baseType="variant"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http://www.mass.gov/eohhs/gov/departments/dph/programs/hcq/dhpl/pharmacy/mandated-reporting-forms-.html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2022-10-13T17:02:00Z</dcterms:created>
  <dcterms:modified xsi:type="dcterms:W3CDTF">2024-02-27T21:51:00Z</dcterms:modified>
</cp:coreProperties>
</file>