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9"/>
          <w:footerReference w:type="default" r:id="rId10"/>
          <w:headerReference w:type="first" r:id="rId11"/>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2"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4CB196A" w14:textId="77777777" w:rsidR="00D17CB4" w:rsidRPr="000A44F3" w:rsidRDefault="00D17CB4" w:rsidP="00D17CB4">
      <w:pPr>
        <w:ind w:left="2880" w:firstLine="720"/>
        <w:rPr>
          <w:b/>
          <w:bCs/>
          <w:sz w:val="22"/>
          <w:szCs w:val="22"/>
        </w:rPr>
      </w:pPr>
      <w:r w:rsidRPr="4EB5508A">
        <w:rPr>
          <w:b/>
          <w:bCs/>
          <w:sz w:val="22"/>
          <w:szCs w:val="22"/>
        </w:rPr>
        <w:t>M E M O R A N D U M</w:t>
      </w:r>
    </w:p>
    <w:p w14:paraId="3E9AC01D" w14:textId="77777777" w:rsidR="00D17CB4" w:rsidRPr="000A44F3" w:rsidRDefault="00D17CB4" w:rsidP="00D17CB4">
      <w:pPr>
        <w:jc w:val="center"/>
        <w:rPr>
          <w:b/>
          <w:bCs/>
          <w:sz w:val="22"/>
          <w:szCs w:val="22"/>
        </w:rPr>
      </w:pPr>
    </w:p>
    <w:p w14:paraId="51C8F2C0" w14:textId="77777777" w:rsidR="00D17CB4" w:rsidRPr="000A44F3" w:rsidRDefault="00D17CB4" w:rsidP="00D17CB4">
      <w:pPr>
        <w:rPr>
          <w:sz w:val="22"/>
          <w:szCs w:val="22"/>
        </w:rPr>
      </w:pPr>
      <w:r w:rsidRPr="378EA691">
        <w:rPr>
          <w:b/>
          <w:bCs/>
          <w:sz w:val="22"/>
          <w:szCs w:val="22"/>
        </w:rPr>
        <w:t>TO:</w:t>
      </w:r>
      <w:r>
        <w:tab/>
      </w:r>
      <w:r>
        <w:tab/>
      </w:r>
      <w:r w:rsidRPr="378EA691">
        <w:rPr>
          <w:sz w:val="22"/>
          <w:szCs w:val="22"/>
        </w:rPr>
        <w:t xml:space="preserve">Applicants for a Determination of Need Related to Ambulatory Surgery </w:t>
      </w:r>
    </w:p>
    <w:p w14:paraId="25157DE7" w14:textId="77777777" w:rsidR="00D17CB4" w:rsidRPr="000A44F3" w:rsidRDefault="00D17CB4" w:rsidP="00D17CB4">
      <w:pPr>
        <w:rPr>
          <w:sz w:val="22"/>
          <w:szCs w:val="22"/>
        </w:rPr>
      </w:pPr>
    </w:p>
    <w:p w14:paraId="448BCBB4" w14:textId="77777777" w:rsidR="00D17CB4" w:rsidRPr="00AC32BB" w:rsidRDefault="00D17CB4" w:rsidP="00D17CB4">
      <w:pPr>
        <w:rPr>
          <w:rFonts w:ascii="Edwardian Script ITC" w:hAnsi="Edwardian Script ITC"/>
          <w:sz w:val="22"/>
          <w:szCs w:val="22"/>
        </w:rPr>
      </w:pPr>
      <w:r w:rsidRPr="378EA691">
        <w:rPr>
          <w:b/>
          <w:bCs/>
          <w:sz w:val="22"/>
          <w:szCs w:val="22"/>
        </w:rPr>
        <w:t>FROM:</w:t>
      </w:r>
      <w:r>
        <w:tab/>
      </w:r>
      <w:r w:rsidRPr="378EA691">
        <w:rPr>
          <w:sz w:val="22"/>
          <w:szCs w:val="22"/>
        </w:rPr>
        <w:t>Dennis Renaud, Director, Determination of Need Program</w:t>
      </w:r>
      <w:r>
        <w:rPr>
          <w:sz w:val="22"/>
          <w:szCs w:val="22"/>
        </w:rPr>
        <w:t xml:space="preserve"> </w:t>
      </w:r>
      <w:r w:rsidRPr="00AC32BB">
        <w:rPr>
          <w:rFonts w:ascii="Edwardian Script ITC" w:hAnsi="Edwardian Script ITC"/>
          <w:sz w:val="28"/>
          <w:szCs w:val="28"/>
        </w:rPr>
        <w:t>Dennis Renaud</w:t>
      </w:r>
    </w:p>
    <w:p w14:paraId="4212887D" w14:textId="77777777" w:rsidR="00D17CB4" w:rsidRPr="000A44F3" w:rsidRDefault="00D17CB4" w:rsidP="00D17CB4">
      <w:pPr>
        <w:rPr>
          <w:sz w:val="22"/>
          <w:szCs w:val="22"/>
        </w:rPr>
      </w:pPr>
    </w:p>
    <w:p w14:paraId="5C0B03EB" w14:textId="77777777" w:rsidR="00D17CB4" w:rsidRPr="000A44F3" w:rsidRDefault="00D17CB4" w:rsidP="00D17CB4">
      <w:pPr>
        <w:rPr>
          <w:b/>
          <w:bCs/>
          <w:sz w:val="22"/>
          <w:szCs w:val="22"/>
          <w:highlight w:val="yellow"/>
        </w:rPr>
      </w:pPr>
      <w:r w:rsidRPr="4F1BCBE0">
        <w:rPr>
          <w:b/>
          <w:bCs/>
          <w:sz w:val="22"/>
          <w:szCs w:val="22"/>
        </w:rPr>
        <w:t>DATE:</w:t>
      </w:r>
      <w:r>
        <w:tab/>
      </w:r>
      <w:r>
        <w:tab/>
      </w:r>
      <w:r w:rsidRPr="00246EA1">
        <w:t>January</w:t>
      </w:r>
      <w:r w:rsidRPr="003B23F7">
        <w:rPr>
          <w:b/>
          <w:bCs/>
          <w:sz w:val="22"/>
          <w:szCs w:val="22"/>
        </w:rPr>
        <w:t xml:space="preserve"> </w:t>
      </w:r>
      <w:r w:rsidRPr="003B23F7">
        <w:rPr>
          <w:sz w:val="22"/>
          <w:szCs w:val="22"/>
        </w:rPr>
        <w:t>31, 2025</w:t>
      </w:r>
    </w:p>
    <w:p w14:paraId="2DA2266A" w14:textId="77777777" w:rsidR="00D17CB4" w:rsidRPr="000A44F3" w:rsidRDefault="00D17CB4" w:rsidP="00D17CB4">
      <w:pPr>
        <w:jc w:val="center"/>
        <w:rPr>
          <w:sz w:val="22"/>
          <w:szCs w:val="22"/>
        </w:rPr>
      </w:pPr>
    </w:p>
    <w:p w14:paraId="40A87465" w14:textId="77777777" w:rsidR="00D17CB4" w:rsidRPr="000A44F3" w:rsidRDefault="00D17CB4" w:rsidP="00D17CB4">
      <w:pPr>
        <w:rPr>
          <w:sz w:val="22"/>
          <w:szCs w:val="22"/>
        </w:rPr>
      </w:pPr>
      <w:r w:rsidRPr="4CE9EE34">
        <w:rPr>
          <w:b/>
          <w:bCs/>
          <w:sz w:val="22"/>
          <w:szCs w:val="22"/>
        </w:rPr>
        <w:t>RE:</w:t>
      </w:r>
      <w:r>
        <w:tab/>
      </w:r>
      <w:r>
        <w:tab/>
      </w:r>
      <w:r w:rsidRPr="4CE9EE34">
        <w:rPr>
          <w:sz w:val="22"/>
          <w:szCs w:val="22"/>
        </w:rPr>
        <w:t xml:space="preserve">Definition of Primary Service Area (PSA) with respect to Ambulatory Surgery Centers. </w:t>
      </w:r>
    </w:p>
    <w:p w14:paraId="19860FE6" w14:textId="77777777" w:rsidR="00D17CB4" w:rsidRPr="000A44F3" w:rsidRDefault="00D17CB4" w:rsidP="00D17CB4">
      <w:pPr>
        <w:ind w:left="720" w:hanging="360"/>
        <w:rPr>
          <w:sz w:val="22"/>
          <w:szCs w:val="22"/>
        </w:rPr>
      </w:pPr>
    </w:p>
    <w:p w14:paraId="471CAFCA" w14:textId="77777777" w:rsidR="00D17CB4" w:rsidRDefault="00D17CB4" w:rsidP="00D17CB4">
      <w:pPr>
        <w:rPr>
          <w:sz w:val="22"/>
          <w:szCs w:val="22"/>
        </w:rPr>
      </w:pPr>
      <w:r w:rsidRPr="378EA691">
        <w:rPr>
          <w:sz w:val="22"/>
          <w:szCs w:val="22"/>
        </w:rPr>
        <w:t>Pursuant to 105 CMR 100.100, the intent of this memorandum is to provide guidance on the Department’s methodology for determining the Primary Service Area of a Health Care Facility. The Regulation defines Primary Service Area (“PSA”) as follows:</w:t>
      </w:r>
    </w:p>
    <w:p w14:paraId="3290ABEE" w14:textId="77777777" w:rsidR="00D17CB4" w:rsidRDefault="00D17CB4" w:rsidP="00D17CB4">
      <w:pPr>
        <w:rPr>
          <w:sz w:val="22"/>
          <w:szCs w:val="22"/>
        </w:rPr>
      </w:pPr>
    </w:p>
    <w:p w14:paraId="7320913D" w14:textId="77777777" w:rsidR="00D17CB4" w:rsidRPr="00C00DF3" w:rsidRDefault="00D17CB4" w:rsidP="00D17CB4">
      <w:pPr>
        <w:ind w:left="720"/>
        <w:rPr>
          <w:i/>
          <w:iCs/>
          <w:sz w:val="22"/>
          <w:szCs w:val="22"/>
        </w:rPr>
      </w:pPr>
      <w:r w:rsidRPr="4EB5508A">
        <w:rPr>
          <w:i/>
          <w:iCs/>
          <w:sz w:val="22"/>
          <w:szCs w:val="22"/>
          <w:u w:val="single"/>
        </w:rPr>
        <w:t>Primary Service Area</w:t>
      </w:r>
      <w:r w:rsidRPr="4EB5508A">
        <w:rPr>
          <w:i/>
          <w:iCs/>
          <w:sz w:val="22"/>
          <w:szCs w:val="22"/>
        </w:rPr>
        <w:t xml:space="preserve">. The geographic area in which a majority of patients who receive care at a Health Care Facility reside. The percentage of patients who are counted in determining the Primary Service Area will be set out in Guideline. </w:t>
      </w:r>
    </w:p>
    <w:p w14:paraId="4370D1D0" w14:textId="77777777" w:rsidR="00D17CB4" w:rsidRDefault="00D17CB4" w:rsidP="00D17CB4">
      <w:pPr>
        <w:rPr>
          <w:sz w:val="22"/>
          <w:szCs w:val="22"/>
        </w:rPr>
      </w:pPr>
    </w:p>
    <w:p w14:paraId="5A2DEDC1" w14:textId="77777777" w:rsidR="00D17CB4" w:rsidRPr="000A44F3" w:rsidRDefault="00D17CB4" w:rsidP="00D17CB4">
      <w:r w:rsidRPr="378EA691">
        <w:rPr>
          <w:sz w:val="22"/>
          <w:szCs w:val="22"/>
        </w:rPr>
        <w:t>Accordingly, the percentage of patients who are counted in determining the PSA for a Health Care Facility is being set out herein. This guidance also provides suggested resources for Applicants as they assemble their Determination of Need (DoN) Application for Ambulatory Surgery Center. The DoN Program will publish and post an updated zip code analysis using this methodology in June of every calendar year for Applicants to refer to when developing their DoN Application.</w:t>
      </w:r>
      <w:r w:rsidRPr="2CFA1C50">
        <w:rPr>
          <w:rStyle w:val="FootnoteReference"/>
        </w:rPr>
        <w:footnoteReference w:id="1"/>
      </w:r>
    </w:p>
    <w:p w14:paraId="2F06F31C" w14:textId="77777777" w:rsidR="00D17CB4" w:rsidRPr="000A44F3" w:rsidRDefault="00D17CB4" w:rsidP="00D17CB4">
      <w:pPr>
        <w:rPr>
          <w:sz w:val="22"/>
          <w:szCs w:val="22"/>
        </w:rPr>
      </w:pPr>
    </w:p>
    <w:p w14:paraId="38A94586" w14:textId="77777777" w:rsidR="00D17CB4" w:rsidRPr="000A44F3" w:rsidRDefault="00D17CB4" w:rsidP="00D17CB4">
      <w:pPr>
        <w:pStyle w:val="ListParagraph"/>
      </w:pPr>
    </w:p>
    <w:p w14:paraId="50DD030A" w14:textId="77777777" w:rsidR="00D17CB4" w:rsidRDefault="00D17CB4" w:rsidP="00D17CB4">
      <w:pPr>
        <w:pStyle w:val="ListParagraph"/>
        <w:numPr>
          <w:ilvl w:val="0"/>
          <w:numId w:val="20"/>
        </w:numPr>
      </w:pPr>
      <w:r w:rsidRPr="4EB5508A">
        <w:t>To evaluate whether an Ambulatory Surgery Center filing a DoN Application is located within the PSA of an existing independent community hospital,</w:t>
      </w:r>
      <w:r w:rsidRPr="4EB5508A">
        <w:rPr>
          <w:rStyle w:val="FootnoteReference"/>
        </w:rPr>
        <w:footnoteReference w:id="2"/>
      </w:r>
      <w:r w:rsidRPr="4EB5508A">
        <w:t xml:space="preserve"> the Department will use the zip codes for a cumulative 75% (ranked from most to least) of discharges from </w:t>
      </w:r>
      <w:r w:rsidRPr="3FEFA038">
        <w:t>I</w:t>
      </w:r>
      <w:r w:rsidRPr="4EB5508A">
        <w:t xml:space="preserve">ndependent </w:t>
      </w:r>
      <w:r w:rsidRPr="3FEFA038">
        <w:t>C</w:t>
      </w:r>
      <w:r w:rsidRPr="4EB5508A">
        <w:t xml:space="preserve">ommunity </w:t>
      </w:r>
      <w:r w:rsidRPr="3FEFA038">
        <w:t>H</w:t>
      </w:r>
      <w:r w:rsidRPr="4EB5508A">
        <w:t>ospitals including all payer types.</w:t>
      </w:r>
      <w:r w:rsidRPr="4EB5508A">
        <w:rPr>
          <w:rStyle w:val="FootnoteReference"/>
        </w:rPr>
        <w:footnoteReference w:id="3"/>
      </w:r>
    </w:p>
    <w:p w14:paraId="49CA7CE9" w14:textId="77777777" w:rsidR="00D17CB4" w:rsidRDefault="00D17CB4" w:rsidP="00D17CB4">
      <w:pPr>
        <w:pStyle w:val="ListParagraph"/>
      </w:pPr>
    </w:p>
    <w:p w14:paraId="7826CE28" w14:textId="77777777" w:rsidR="00D17CB4" w:rsidRDefault="00D17CB4" w:rsidP="00D17CB4">
      <w:pPr>
        <w:pStyle w:val="ListParagraph"/>
        <w:numPr>
          <w:ilvl w:val="0"/>
          <w:numId w:val="20"/>
        </w:numPr>
      </w:pPr>
      <w:r w:rsidRPr="4EB5508A">
        <w:lastRenderedPageBreak/>
        <w:t>To determine this, the Department will use the most recent year’s data available from the following:</w:t>
      </w:r>
    </w:p>
    <w:p w14:paraId="03BFDABB" w14:textId="77777777" w:rsidR="00D17CB4" w:rsidRDefault="00D17CB4" w:rsidP="00D17CB4">
      <w:pPr>
        <w:pStyle w:val="ListParagraph"/>
        <w:numPr>
          <w:ilvl w:val="1"/>
          <w:numId w:val="21"/>
        </w:numPr>
      </w:pPr>
      <w:r w:rsidRPr="4EB5508A">
        <w:t>the Center for Health Information and Analysis (“CHIA”) Hospital Case-Mix Dataset, and</w:t>
      </w:r>
    </w:p>
    <w:p w14:paraId="7236F7B2" w14:textId="77777777" w:rsidR="00D17CB4" w:rsidRDefault="00D17CB4" w:rsidP="00D17CB4">
      <w:pPr>
        <w:pStyle w:val="ListParagraph"/>
        <w:numPr>
          <w:ilvl w:val="1"/>
          <w:numId w:val="21"/>
        </w:numPr>
      </w:pPr>
      <w:r w:rsidRPr="378EA691">
        <w:t>the Health Policy Commission (“HPC”) Bulletin on Independent Community Hospitals</w:t>
      </w:r>
    </w:p>
    <w:p w14:paraId="41C9579B" w14:textId="77777777" w:rsidR="00D17CB4" w:rsidRDefault="00D17CB4" w:rsidP="00D17CB4">
      <w:pPr>
        <w:pStyle w:val="ListParagraph"/>
        <w:numPr>
          <w:ilvl w:val="1"/>
          <w:numId w:val="21"/>
        </w:numPr>
      </w:pPr>
      <w:r w:rsidRPr="008B6BA0">
        <w:t xml:space="preserve">if an Independent Community Hospital’s status changes through an acquisition or other means, and it’s no longer considered an Independent Community Hospital, it will be removed from the list at the time of the acquisition/change in status.  </w:t>
      </w:r>
    </w:p>
    <w:p w14:paraId="6432BD88" w14:textId="77777777" w:rsidR="00D17CB4" w:rsidRDefault="00D17CB4" w:rsidP="00D17CB4">
      <w:pPr>
        <w:ind w:left="360"/>
        <w:rPr>
          <w:sz w:val="22"/>
          <w:szCs w:val="22"/>
        </w:rPr>
      </w:pPr>
    </w:p>
    <w:p w14:paraId="099DFDA6" w14:textId="77777777" w:rsidR="00D17CB4" w:rsidRPr="003171CF" w:rsidRDefault="00D17CB4" w:rsidP="00D17CB4">
      <w:pPr>
        <w:ind w:left="360"/>
        <w:rPr>
          <w:sz w:val="22"/>
          <w:szCs w:val="22"/>
        </w:rPr>
      </w:pPr>
      <w:r w:rsidRPr="378EA691">
        <w:rPr>
          <w:sz w:val="22"/>
          <w:szCs w:val="22"/>
        </w:rPr>
        <w:t>Using the CHIA Hospital Case-Mix Dataset and the HPC list of Independent Community Hospitals, the DoN Program will engage in a process to assess the zip codes for a cumulative 75% (ranked from most to least) of discharges from an independent community hospital that includes all payer types to determine whether a proposed ASC is within that hospital’s PSA.</w:t>
      </w:r>
      <w:r w:rsidRPr="378EA691">
        <w:rPr>
          <w:rStyle w:val="FootnoteReference"/>
          <w:sz w:val="22"/>
          <w:szCs w:val="22"/>
        </w:rPr>
        <w:t xml:space="preserve"> </w:t>
      </w:r>
    </w:p>
    <w:p w14:paraId="0D188AB8" w14:textId="77777777" w:rsidR="00D17CB4" w:rsidRPr="004740B6" w:rsidRDefault="00D17CB4" w:rsidP="00D17CB4">
      <w:pPr>
        <w:pStyle w:val="ListParagraph"/>
        <w:ind w:left="2880"/>
      </w:pPr>
    </w:p>
    <w:p w14:paraId="018E7E47" w14:textId="77777777" w:rsidR="00D17CB4" w:rsidRDefault="00D17CB4" w:rsidP="00D17CB4">
      <w:pPr>
        <w:pStyle w:val="ListParagraph"/>
        <w:numPr>
          <w:ilvl w:val="0"/>
          <w:numId w:val="20"/>
        </w:numPr>
      </w:pPr>
      <w:r w:rsidRPr="5A1C8327">
        <w:t>As outlined in 105 CMR 100.715(B)(2)(b), if the proposed Ambulatory Surgery Center is or will be located within the PSA of an Independent Community Hospital, the Regulation requires that:</w:t>
      </w:r>
    </w:p>
    <w:p w14:paraId="528F1D91" w14:textId="77777777" w:rsidR="00D17CB4" w:rsidRPr="000A44F3" w:rsidRDefault="00D17CB4" w:rsidP="00D17CB4">
      <w:pPr>
        <w:pStyle w:val="ListParagraph"/>
      </w:pPr>
    </w:p>
    <w:p w14:paraId="576E3139" w14:textId="77777777" w:rsidR="00D17CB4" w:rsidRPr="000A44F3" w:rsidRDefault="00D17CB4" w:rsidP="00D17CB4">
      <w:pPr>
        <w:pStyle w:val="ListParagraph"/>
        <w:numPr>
          <w:ilvl w:val="0"/>
          <w:numId w:val="18"/>
        </w:numPr>
      </w:pPr>
      <w:r w:rsidRPr="378EA691">
        <w:t xml:space="preserve">the Proposed Project be a joint venture with the Independent Community Hospital </w:t>
      </w:r>
      <w:r w:rsidRPr="378EA691">
        <w:rPr>
          <w:b/>
          <w:bCs/>
        </w:rPr>
        <w:t>OR</w:t>
      </w:r>
      <w:r w:rsidRPr="378EA691">
        <w:t xml:space="preserve"> </w:t>
      </w:r>
      <w:r>
        <w:tab/>
      </w:r>
    </w:p>
    <w:p w14:paraId="39632C14" w14:textId="77777777" w:rsidR="00D17CB4" w:rsidRPr="000A44F3" w:rsidRDefault="00D17CB4" w:rsidP="00D17CB4">
      <w:pPr>
        <w:pStyle w:val="ListParagraph"/>
        <w:numPr>
          <w:ilvl w:val="0"/>
          <w:numId w:val="18"/>
        </w:numPr>
      </w:pPr>
      <w:r w:rsidRPr="378EA691">
        <w:t>the Applicant obtain a letter of support from the Independent Community Hospital.</w:t>
      </w:r>
    </w:p>
    <w:p w14:paraId="2C9EC2F9" w14:textId="77777777" w:rsidR="00D17CB4" w:rsidRPr="000A44F3" w:rsidRDefault="00D17CB4" w:rsidP="00D17CB4">
      <w:pPr>
        <w:pStyle w:val="ListParagraph"/>
        <w:ind w:left="1080"/>
      </w:pPr>
    </w:p>
    <w:p w14:paraId="61AA9DC7" w14:textId="77777777" w:rsidR="00D17CB4" w:rsidRPr="000A44F3" w:rsidRDefault="00D17CB4" w:rsidP="00D17CB4">
      <w:pPr>
        <w:rPr>
          <w:sz w:val="22"/>
          <w:szCs w:val="22"/>
        </w:rPr>
      </w:pPr>
      <w:r w:rsidRPr="4EB5508A">
        <w:rPr>
          <w:sz w:val="22"/>
          <w:szCs w:val="22"/>
        </w:rPr>
        <w:t>For more information, refer to the following:</w:t>
      </w:r>
    </w:p>
    <w:p w14:paraId="6973B488" w14:textId="77777777" w:rsidR="00D17CB4" w:rsidRDefault="00D17CB4" w:rsidP="00D17CB4">
      <w:pPr>
        <w:pStyle w:val="ListParagraph"/>
        <w:numPr>
          <w:ilvl w:val="0"/>
          <w:numId w:val="19"/>
        </w:numPr>
      </w:pPr>
      <w:r w:rsidRPr="4EB5508A">
        <w:t xml:space="preserve">Health Policy Commission’s </w:t>
      </w:r>
      <w:r w:rsidRPr="4EB5508A">
        <w:rPr>
          <w:u w:val="single"/>
        </w:rPr>
        <w:t>Bulletin on Independent Community Hospitals</w:t>
      </w:r>
      <w:r w:rsidRPr="4EB5508A">
        <w:t xml:space="preserve"> to find a current list of Independent Community Hospitals. See: </w:t>
      </w:r>
      <w:hyperlink r:id="rId13" w:history="1">
        <w:r w:rsidRPr="4EB5508A">
          <w:rPr>
            <w:color w:val="0000FF"/>
            <w:szCs w:val="24"/>
            <w:u w:val="single"/>
          </w:rPr>
          <w:t>Regulations and Guidance | Massachusetts Health Policy Commission</w:t>
        </w:r>
      </w:hyperlink>
      <w:r w:rsidRPr="4EB5508A">
        <w:rPr>
          <w:szCs w:val="24"/>
        </w:rPr>
        <w:t xml:space="preserve"> -Oversight and Monitoring.  </w:t>
      </w:r>
    </w:p>
    <w:p w14:paraId="16E1AC10" w14:textId="77777777" w:rsidR="00D17CB4" w:rsidRPr="005A35FE" w:rsidRDefault="00D17CB4" w:rsidP="00D17CB4">
      <w:pPr>
        <w:pStyle w:val="ListParagraph"/>
        <w:numPr>
          <w:ilvl w:val="0"/>
          <w:numId w:val="19"/>
        </w:numPr>
      </w:pPr>
      <w:r w:rsidRPr="4EB5508A">
        <w:t xml:space="preserve">See </w:t>
      </w:r>
      <w:hyperlink r:id="rId14" w:history="1">
        <w:r w:rsidRPr="4EB5508A">
          <w:rPr>
            <w:rStyle w:val="Hyperlink"/>
          </w:rPr>
          <w:t>www.mass.gov/determination-of-need-don</w:t>
        </w:r>
      </w:hyperlink>
      <w:r w:rsidRPr="4EB5508A">
        <w:t xml:space="preserve"> (Learn about regulations, policies and guidelines for determination of need) </w:t>
      </w:r>
      <w:r w:rsidRPr="4EB5508A">
        <w:rPr>
          <w:shd w:val="clear" w:color="auto" w:fill="FFFFFF"/>
        </w:rPr>
        <w:t xml:space="preserve">to determine if Proposed Project is within the PSA of an Independent Community Hospital or Hospitals. </w:t>
      </w:r>
      <w:r w:rsidRPr="4EB5508A">
        <w:t xml:space="preserve">The DoN Program will publish and post an updated zip code analysis in December of every calendar year.  </w:t>
      </w:r>
    </w:p>
    <w:p w14:paraId="6A928F71" w14:textId="77777777" w:rsidR="00D17CB4" w:rsidRDefault="00D17CB4" w:rsidP="00D17CB4"/>
    <w:p w14:paraId="1395D3A5" w14:textId="77777777" w:rsidR="00D17CB4" w:rsidRPr="00336272" w:rsidRDefault="00D17CB4" w:rsidP="00D17CB4">
      <w:pPr>
        <w:rPr>
          <w:sz w:val="22"/>
          <w:szCs w:val="22"/>
        </w:rPr>
      </w:pPr>
      <w:r w:rsidRPr="378EA691">
        <w:rPr>
          <w:sz w:val="22"/>
          <w:szCs w:val="22"/>
        </w:rPr>
        <w:t xml:space="preserve">Sincerely, </w:t>
      </w:r>
    </w:p>
    <w:p w14:paraId="75E52280" w14:textId="77777777" w:rsidR="00D17CB4" w:rsidRPr="00336272" w:rsidRDefault="00D17CB4" w:rsidP="00D17CB4">
      <w:pPr>
        <w:rPr>
          <w:sz w:val="22"/>
          <w:szCs w:val="22"/>
        </w:rPr>
      </w:pPr>
    </w:p>
    <w:p w14:paraId="7269863A" w14:textId="77777777" w:rsidR="00D17CB4" w:rsidRPr="00336272" w:rsidRDefault="00D17CB4" w:rsidP="00D17CB4">
      <w:pPr>
        <w:rPr>
          <w:sz w:val="22"/>
          <w:szCs w:val="22"/>
        </w:rPr>
      </w:pPr>
    </w:p>
    <w:p w14:paraId="554F577B" w14:textId="77777777" w:rsidR="00D17CB4" w:rsidRPr="00336272" w:rsidRDefault="00D17CB4" w:rsidP="00D17CB4">
      <w:pPr>
        <w:rPr>
          <w:sz w:val="22"/>
          <w:szCs w:val="22"/>
        </w:rPr>
      </w:pPr>
      <w:r w:rsidRPr="378EA691">
        <w:rPr>
          <w:sz w:val="22"/>
          <w:szCs w:val="22"/>
        </w:rPr>
        <w:t>Dennis Renaud</w:t>
      </w:r>
    </w:p>
    <w:p w14:paraId="5FDBDFA0" w14:textId="77777777" w:rsidR="00D17CB4" w:rsidRPr="00336272" w:rsidRDefault="00D17CB4" w:rsidP="00D17CB4">
      <w:pPr>
        <w:rPr>
          <w:sz w:val="22"/>
          <w:szCs w:val="22"/>
        </w:rPr>
      </w:pPr>
      <w:r w:rsidRPr="378EA691">
        <w:rPr>
          <w:sz w:val="22"/>
          <w:szCs w:val="22"/>
        </w:rPr>
        <w:t>Director, Determination of Need Program</w:t>
      </w:r>
    </w:p>
    <w:p w14:paraId="111EE414" w14:textId="77777777" w:rsidR="00D17CB4" w:rsidRPr="00336272" w:rsidRDefault="00D17CB4" w:rsidP="00D17CB4">
      <w:pPr>
        <w:rPr>
          <w:sz w:val="22"/>
          <w:szCs w:val="22"/>
        </w:rPr>
      </w:pPr>
      <w:r w:rsidRPr="378EA691">
        <w:rPr>
          <w:sz w:val="22"/>
          <w:szCs w:val="22"/>
        </w:rPr>
        <w:t>Massachusetts Department of Public Health</w:t>
      </w:r>
    </w:p>
    <w:p w14:paraId="69209CC5" w14:textId="77777777" w:rsidR="00D17CB4" w:rsidRPr="00336272" w:rsidRDefault="00D17CB4" w:rsidP="00D17CB4">
      <w:pPr>
        <w:rPr>
          <w:sz w:val="22"/>
          <w:szCs w:val="22"/>
        </w:rPr>
      </w:pPr>
    </w:p>
    <w:p w14:paraId="232B12AD" w14:textId="77777777" w:rsidR="00D17CB4" w:rsidRPr="00336272" w:rsidRDefault="00D17CB4" w:rsidP="00D17CB4">
      <w:pPr>
        <w:rPr>
          <w:sz w:val="22"/>
          <w:szCs w:val="22"/>
        </w:rPr>
      </w:pPr>
      <w:r w:rsidRPr="378EA691">
        <w:rPr>
          <w:sz w:val="22"/>
          <w:szCs w:val="22"/>
        </w:rPr>
        <w:t>cc:</w:t>
      </w:r>
    </w:p>
    <w:p w14:paraId="467839E9" w14:textId="77777777" w:rsidR="00D17CB4" w:rsidRPr="00336272" w:rsidRDefault="00D17CB4" w:rsidP="00D17CB4">
      <w:pPr>
        <w:rPr>
          <w:sz w:val="22"/>
          <w:szCs w:val="22"/>
        </w:rPr>
      </w:pPr>
      <w:r w:rsidRPr="2EBF6037">
        <w:rPr>
          <w:sz w:val="22"/>
          <w:szCs w:val="22"/>
        </w:rPr>
        <w:t xml:space="preserve">Jaclyn Gagne, Chief Deputy General Counsel for Health Care Licensure </w:t>
      </w:r>
    </w:p>
    <w:p w14:paraId="0D5268EE" w14:textId="77777777" w:rsidR="00D17CB4" w:rsidRDefault="00D17CB4" w:rsidP="00D17CB4">
      <w:pPr>
        <w:rPr>
          <w:sz w:val="22"/>
          <w:szCs w:val="22"/>
        </w:rPr>
      </w:pPr>
      <w:r w:rsidRPr="378EA691">
        <w:rPr>
          <w:sz w:val="22"/>
          <w:szCs w:val="22"/>
        </w:rPr>
        <w:t>Susannah Arterian, Deputy General Counsel</w:t>
      </w:r>
    </w:p>
    <w:p w14:paraId="2D90184D" w14:textId="77777777" w:rsidR="00D17CB4" w:rsidRDefault="00D17CB4" w:rsidP="00D17CB4">
      <w:pPr>
        <w:rPr>
          <w:sz w:val="22"/>
          <w:szCs w:val="22"/>
        </w:rPr>
      </w:pPr>
    </w:p>
    <w:p w14:paraId="0C011166" w14:textId="77777777" w:rsidR="00D17CB4" w:rsidRDefault="00D17CB4" w:rsidP="00D17CB4"/>
    <w:p w14:paraId="20053E37" w14:textId="77777777" w:rsidR="00D17CB4" w:rsidRPr="009908FF" w:rsidRDefault="00D17CB4" w:rsidP="00D17CB4"/>
    <w:p w14:paraId="1843C5EA" w14:textId="47D88B93" w:rsidR="00AC7937" w:rsidRPr="00E132E0" w:rsidRDefault="00AC7937" w:rsidP="00D17CB4">
      <w:pPr>
        <w:rPr>
          <w:sz w:val="22"/>
          <w:szCs w:val="22"/>
        </w:rPr>
      </w:pPr>
    </w:p>
    <w:sectPr w:rsidR="00AC7937" w:rsidRPr="00E132E0" w:rsidSect="00D17CB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F4DC" w14:textId="77777777" w:rsidR="00803D29" w:rsidRDefault="00803D29">
      <w:r>
        <w:separator/>
      </w:r>
    </w:p>
  </w:endnote>
  <w:endnote w:type="continuationSeparator" w:id="0">
    <w:p w14:paraId="6FA14911" w14:textId="77777777" w:rsidR="00803D29" w:rsidRDefault="0080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6434" w14:textId="77777777" w:rsidR="00803D29" w:rsidRDefault="00803D29" w:rsidP="00022DF9">
      <w:pPr>
        <w:ind w:firstLine="720"/>
      </w:pPr>
      <w:r>
        <w:separator/>
      </w:r>
    </w:p>
  </w:footnote>
  <w:footnote w:type="continuationSeparator" w:id="0">
    <w:p w14:paraId="070E14DB" w14:textId="77777777" w:rsidR="00803D29" w:rsidRDefault="00803D29">
      <w:r>
        <w:continuationSeparator/>
      </w:r>
    </w:p>
  </w:footnote>
  <w:footnote w:id="1">
    <w:p w14:paraId="04307463" w14:textId="77777777" w:rsidR="00D17CB4" w:rsidRDefault="00D17CB4" w:rsidP="00635DB4">
      <w:pPr>
        <w:pStyle w:val="FootnoteText"/>
        <w:ind w:left="720"/>
      </w:pPr>
      <w:r w:rsidRPr="378EA691">
        <w:rPr>
          <w:rStyle w:val="FootnoteReference"/>
        </w:rPr>
        <w:footnoteRef/>
      </w:r>
      <w:r w:rsidRPr="378EA691">
        <w:t xml:space="preserve"> For the first year, </w:t>
      </w:r>
      <w:r>
        <w:t xml:space="preserve">calendar year 2025, </w:t>
      </w:r>
      <w:r w:rsidRPr="378EA691">
        <w:t xml:space="preserve">the DoN program will publish the PSA once in January, using the 2024 HPC Bulletin of Independent Community Hospitals, with this Memorandum, and a second one in June following the posting of the 2025 HPC Bulletin. </w:t>
      </w:r>
      <w:r w:rsidRPr="44F4235E">
        <w:t>https://www.mass.gov/info-details/don-guidelines-and-policy-advisories.</w:t>
      </w:r>
    </w:p>
  </w:footnote>
  <w:footnote w:id="2">
    <w:p w14:paraId="51EDBA7A" w14:textId="77777777" w:rsidR="00D17CB4" w:rsidRPr="00DC5C26" w:rsidRDefault="00D17CB4" w:rsidP="00635DB4">
      <w:pPr>
        <w:pStyle w:val="FootnoteText"/>
        <w:ind w:left="720"/>
        <w:rPr>
          <w:rFonts w:ascii="Book Antiqua" w:hAnsi="Book Antiqua"/>
          <w:vertAlign w:val="superscript"/>
        </w:rPr>
      </w:pPr>
      <w:r>
        <w:rPr>
          <w:rStyle w:val="FootnoteReference"/>
        </w:rPr>
        <w:footnoteRef/>
      </w:r>
      <w:r>
        <w:t xml:space="preserve"> </w:t>
      </w:r>
      <w:r w:rsidRPr="64AEF918">
        <w:rPr>
          <w:rFonts w:ascii="Book Antiqua" w:hAnsi="Book Antiqua"/>
        </w:rPr>
        <w:t>105 CMR 100.715(B)(2)(b)</w:t>
      </w:r>
    </w:p>
  </w:footnote>
  <w:footnote w:id="3">
    <w:p w14:paraId="2817C339" w14:textId="77777777" w:rsidR="00D17CB4" w:rsidRPr="00A26919" w:rsidRDefault="00D17CB4" w:rsidP="00635DB4">
      <w:pPr>
        <w:ind w:left="720"/>
        <w:rPr>
          <w:rFonts w:ascii="Book Antiqua" w:hAnsi="Book Antiqua"/>
          <w:sz w:val="20"/>
        </w:rPr>
      </w:pPr>
      <w:r w:rsidRPr="00A26919">
        <w:rPr>
          <w:rStyle w:val="FootnoteReference"/>
          <w:rFonts w:ascii="Book Antiqua" w:hAnsi="Book Antiqua"/>
          <w:sz w:val="20"/>
        </w:rPr>
        <w:footnoteRef/>
      </w:r>
      <w:r w:rsidRPr="00A26919">
        <w:rPr>
          <w:rFonts w:ascii="Book Antiqua" w:hAnsi="Book Antiqua"/>
          <w:sz w:val="20"/>
        </w:rPr>
        <w:t xml:space="preserve"> </w:t>
      </w:r>
      <w:r>
        <w:rPr>
          <w:rFonts w:ascii="Book Antiqua" w:hAnsi="Book Antiqua"/>
          <w:sz w:val="20"/>
        </w:rPr>
        <w:t xml:space="preserve">A </w:t>
      </w:r>
      <w:r w:rsidRPr="00A26919">
        <w:rPr>
          <w:rFonts w:ascii="Book Antiqua" w:hAnsi="Book Antiqua"/>
          <w:sz w:val="20"/>
        </w:rPr>
        <w:t>75%</w:t>
      </w:r>
      <w:r>
        <w:rPr>
          <w:rFonts w:ascii="Book Antiqua" w:hAnsi="Book Antiqua"/>
          <w:sz w:val="20"/>
        </w:rPr>
        <w:t xml:space="preserve"> cumulative criteria</w:t>
      </w:r>
      <w:r w:rsidRPr="00A26919">
        <w:rPr>
          <w:rFonts w:ascii="Book Antiqua" w:hAnsi="Book Antiqua"/>
          <w:sz w:val="20"/>
        </w:rPr>
        <w:t xml:space="preserve"> has been used in similar PSA methodologies, that the Department has adapted to better meet our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F3989"/>
    <w:multiLevelType w:val="hybridMultilevel"/>
    <w:tmpl w:val="615A20E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4C4452E"/>
    <w:multiLevelType w:val="hybridMultilevel"/>
    <w:tmpl w:val="580C4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8425B"/>
    <w:multiLevelType w:val="hybridMultilevel"/>
    <w:tmpl w:val="C09C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70B0D83"/>
    <w:multiLevelType w:val="hybridMultilevel"/>
    <w:tmpl w:val="0EC6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2"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5"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1"/>
  </w:num>
  <w:num w:numId="2" w16cid:durableId="762186708">
    <w:abstractNumId w:val="19"/>
  </w:num>
  <w:num w:numId="3" w16cid:durableId="1646734026">
    <w:abstractNumId w:val="10"/>
  </w:num>
  <w:num w:numId="4" w16cid:durableId="1199271187">
    <w:abstractNumId w:val="14"/>
  </w:num>
  <w:num w:numId="5" w16cid:durableId="681317537">
    <w:abstractNumId w:val="6"/>
  </w:num>
  <w:num w:numId="6" w16cid:durableId="1381707578">
    <w:abstractNumId w:val="2"/>
  </w:num>
  <w:num w:numId="7" w16cid:durableId="1098794647">
    <w:abstractNumId w:val="0"/>
  </w:num>
  <w:num w:numId="8" w16cid:durableId="1471090044">
    <w:abstractNumId w:val="7"/>
  </w:num>
  <w:num w:numId="9" w16cid:durableId="1618444258">
    <w:abstractNumId w:val="20"/>
  </w:num>
  <w:num w:numId="10" w16cid:durableId="803431336">
    <w:abstractNumId w:val="9"/>
  </w:num>
  <w:num w:numId="11" w16cid:durableId="1804107474">
    <w:abstractNumId w:val="16"/>
  </w:num>
  <w:num w:numId="12" w16cid:durableId="821509815">
    <w:abstractNumId w:val="17"/>
  </w:num>
  <w:num w:numId="13" w16cid:durableId="1251425427">
    <w:abstractNumId w:val="12"/>
  </w:num>
  <w:num w:numId="14" w16cid:durableId="70465832">
    <w:abstractNumId w:val="15"/>
  </w:num>
  <w:num w:numId="15" w16cid:durableId="1239251066">
    <w:abstractNumId w:val="13"/>
  </w:num>
  <w:num w:numId="16" w16cid:durableId="341590028">
    <w:abstractNumId w:val="3"/>
  </w:num>
  <w:num w:numId="17" w16cid:durableId="908684904">
    <w:abstractNumId w:val="18"/>
  </w:num>
  <w:num w:numId="18" w16cid:durableId="1010565637">
    <w:abstractNumId w:val="4"/>
  </w:num>
  <w:num w:numId="19" w16cid:durableId="636450469">
    <w:abstractNumId w:val="5"/>
  </w:num>
  <w:num w:numId="20" w16cid:durableId="1240166418">
    <w:abstractNumId w:val="8"/>
  </w:num>
  <w:num w:numId="21" w16cid:durableId="3003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22DF9"/>
    <w:rsid w:val="000924D1"/>
    <w:rsid w:val="000D2F88"/>
    <w:rsid w:val="001825F9"/>
    <w:rsid w:val="001D6D5B"/>
    <w:rsid w:val="001F5073"/>
    <w:rsid w:val="0024067D"/>
    <w:rsid w:val="00290C8F"/>
    <w:rsid w:val="003C1141"/>
    <w:rsid w:val="003E5393"/>
    <w:rsid w:val="004A0AEC"/>
    <w:rsid w:val="004E26E5"/>
    <w:rsid w:val="005E53D6"/>
    <w:rsid w:val="00635DB4"/>
    <w:rsid w:val="006547AF"/>
    <w:rsid w:val="006732EA"/>
    <w:rsid w:val="00681FDA"/>
    <w:rsid w:val="006C6B86"/>
    <w:rsid w:val="00716874"/>
    <w:rsid w:val="0079253C"/>
    <w:rsid w:val="007C351A"/>
    <w:rsid w:val="00803D29"/>
    <w:rsid w:val="008336CC"/>
    <w:rsid w:val="00897125"/>
    <w:rsid w:val="008D5B84"/>
    <w:rsid w:val="008E5521"/>
    <w:rsid w:val="00950621"/>
    <w:rsid w:val="00A83757"/>
    <w:rsid w:val="00AA4094"/>
    <w:rsid w:val="00AA5688"/>
    <w:rsid w:val="00AC7937"/>
    <w:rsid w:val="00BB45AE"/>
    <w:rsid w:val="00BC6819"/>
    <w:rsid w:val="00C421A9"/>
    <w:rsid w:val="00C42626"/>
    <w:rsid w:val="00C43DBE"/>
    <w:rsid w:val="00C7386E"/>
    <w:rsid w:val="00CC1370"/>
    <w:rsid w:val="00D17CB4"/>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paragraph" w:styleId="FootnoteText">
    <w:name w:val="footnote text"/>
    <w:basedOn w:val="Normal"/>
    <w:link w:val="FootnoteTextChar"/>
    <w:rsid w:val="00D17CB4"/>
    <w:rPr>
      <w:sz w:val="20"/>
    </w:rPr>
  </w:style>
  <w:style w:type="character" w:customStyle="1" w:styleId="FootnoteTextChar">
    <w:name w:val="Footnote Text Char"/>
    <w:basedOn w:val="DefaultParagraphFont"/>
    <w:link w:val="FootnoteText"/>
    <w:rsid w:val="00D17CB4"/>
    <w:rPr>
      <w:rFonts w:ascii="Times New Roman" w:eastAsia="Times New Roman" w:hAnsi="Times New Roman" w:cs="Times New Roman"/>
      <w:sz w:val="20"/>
      <w:szCs w:val="20"/>
    </w:rPr>
  </w:style>
  <w:style w:type="character" w:styleId="FootnoteReference">
    <w:name w:val="footnote reference"/>
    <w:basedOn w:val="DefaultParagraphFont"/>
    <w:rsid w:val="00D17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sshpc.gov/regulations-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s.gov/determination-of-ne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656E-6D73-4DB6-812A-3F0455CA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649</Words>
  <Characters>3471</Characters>
  <Application>Microsoft Office Word</Application>
  <DocSecurity>0</DocSecurity>
  <Lines>578</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27</cp:revision>
  <dcterms:created xsi:type="dcterms:W3CDTF">2023-05-18T13:56:00Z</dcterms:created>
  <dcterms:modified xsi:type="dcterms:W3CDTF">2025-01-31T13:13:00Z</dcterms:modified>
</cp:coreProperties>
</file>