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05" w:rsidRDefault="00A82905" w:rsidP="00A82905">
      <w:pPr>
        <w:spacing w:after="0"/>
      </w:pPr>
      <w:bookmarkStart w:id="0" w:name="_GoBack"/>
      <w:bookmarkEnd w:id="0"/>
      <w:r>
        <w:t>COMMONWEALTH OF MASSACHUSETTS</w:t>
      </w:r>
    </w:p>
    <w:p w:rsidR="00A82905" w:rsidRDefault="00A82905" w:rsidP="00A82905">
      <w:pPr>
        <w:spacing w:after="0"/>
      </w:pPr>
    </w:p>
    <w:p w:rsidR="00A82905" w:rsidRDefault="00A82905" w:rsidP="00A82905">
      <w:pPr>
        <w:spacing w:after="0"/>
        <w:jc w:val="left"/>
        <w:rPr>
          <w:b/>
        </w:rPr>
      </w:pPr>
      <w:r>
        <w:t>Suffolk, ss</w:t>
      </w:r>
      <w:r>
        <w:tab/>
      </w:r>
      <w:r>
        <w:tab/>
      </w:r>
      <w:r>
        <w:tab/>
      </w:r>
      <w:r>
        <w:tab/>
      </w:r>
      <w:r>
        <w:tab/>
      </w:r>
      <w:r w:rsidR="005D40CE">
        <w:t xml:space="preserve">   </w:t>
      </w:r>
      <w:r w:rsidRPr="006C0AC4">
        <w:rPr>
          <w:b/>
        </w:rPr>
        <w:t>Division of Administrative Law Appeals</w:t>
      </w:r>
    </w:p>
    <w:p w:rsidR="00A82905" w:rsidRDefault="00A82905" w:rsidP="00A82905">
      <w:pPr>
        <w:spacing w:after="0"/>
        <w:jc w:val="left"/>
        <w:rPr>
          <w:b/>
        </w:rPr>
      </w:pPr>
    </w:p>
    <w:p w:rsidR="00A82905" w:rsidRDefault="001F5D7F" w:rsidP="00A82905">
      <w:pPr>
        <w:spacing w:after="0"/>
        <w:jc w:val="left"/>
        <w:rPr>
          <w:b/>
        </w:rPr>
      </w:pPr>
      <w:r>
        <w:rPr>
          <w:b/>
        </w:rPr>
        <w:t>Susan Delorme</w:t>
      </w:r>
      <w:r w:rsidR="00A82905">
        <w:rPr>
          <w:b/>
        </w:rPr>
        <w:t>,</w:t>
      </w:r>
    </w:p>
    <w:p w:rsidR="00A82905" w:rsidRDefault="00A82905" w:rsidP="00A82905">
      <w:pPr>
        <w:spacing w:after="0"/>
        <w:jc w:val="left"/>
      </w:pPr>
      <w:r>
        <w:rPr>
          <w:b/>
        </w:rPr>
        <w:tab/>
      </w:r>
      <w:r>
        <w:t>Petitioner</w:t>
      </w:r>
    </w:p>
    <w:p w:rsidR="00A82905" w:rsidRDefault="00A82905" w:rsidP="00A82905">
      <w:pPr>
        <w:spacing w:after="0"/>
        <w:jc w:val="left"/>
      </w:pPr>
    </w:p>
    <w:p w:rsidR="00A82905" w:rsidRDefault="00A82905" w:rsidP="00A82905">
      <w:pPr>
        <w:spacing w:after="0"/>
        <w:jc w:val="left"/>
      </w:pPr>
      <w:r>
        <w:t>v.</w:t>
      </w:r>
      <w:r>
        <w:tab/>
      </w:r>
      <w:r>
        <w:tab/>
      </w:r>
      <w:r>
        <w:tab/>
      </w:r>
      <w:r>
        <w:tab/>
      </w:r>
      <w:r>
        <w:tab/>
      </w:r>
      <w:r>
        <w:tab/>
      </w:r>
      <w:r w:rsidR="005D40CE">
        <w:t xml:space="preserve">      </w:t>
      </w:r>
      <w:r>
        <w:t xml:space="preserve">Docket No. </w:t>
      </w:r>
      <w:r>
        <w:tab/>
        <w:t>CR-1</w:t>
      </w:r>
      <w:r w:rsidR="005D40CE">
        <w:t>3</w:t>
      </w:r>
      <w:r>
        <w:t>-</w:t>
      </w:r>
      <w:r w:rsidR="001F5D7F">
        <w:t>5</w:t>
      </w:r>
      <w:r w:rsidR="005D40CE">
        <w:t>4</w:t>
      </w:r>
      <w:r w:rsidR="001F5D7F">
        <w:t>0</w:t>
      </w:r>
    </w:p>
    <w:p w:rsidR="00A82905" w:rsidRDefault="00A82905" w:rsidP="00A82905">
      <w:pPr>
        <w:spacing w:after="0"/>
        <w:jc w:val="left"/>
      </w:pPr>
      <w:r>
        <w:tab/>
      </w:r>
      <w:r>
        <w:tab/>
      </w:r>
      <w:r>
        <w:tab/>
      </w:r>
      <w:r>
        <w:tab/>
      </w:r>
      <w:r>
        <w:tab/>
      </w:r>
      <w:r>
        <w:tab/>
      </w:r>
      <w:r w:rsidR="005D40CE">
        <w:t xml:space="preserve">      </w:t>
      </w:r>
      <w:r>
        <w:t>Date Issued:</w:t>
      </w:r>
      <w:r>
        <w:tab/>
      </w:r>
      <w:r w:rsidR="001F5D7F">
        <w:t xml:space="preserve">February </w:t>
      </w:r>
      <w:r w:rsidR="002C07B0">
        <w:t>24</w:t>
      </w:r>
      <w:r w:rsidR="00A87416">
        <w:t>, 201</w:t>
      </w:r>
      <w:r w:rsidR="001F5D7F">
        <w:t>7</w:t>
      </w:r>
    </w:p>
    <w:p w:rsidR="00A82905" w:rsidRDefault="001F5D7F" w:rsidP="00A82905">
      <w:pPr>
        <w:spacing w:after="0"/>
        <w:jc w:val="left"/>
        <w:rPr>
          <w:b/>
        </w:rPr>
      </w:pPr>
      <w:r>
        <w:rPr>
          <w:b/>
        </w:rPr>
        <w:t xml:space="preserve">Shrewsbury </w:t>
      </w:r>
      <w:r w:rsidR="005D40CE">
        <w:rPr>
          <w:b/>
        </w:rPr>
        <w:t>Retirement Board</w:t>
      </w:r>
    </w:p>
    <w:p w:rsidR="005D40CE" w:rsidRDefault="005D40CE" w:rsidP="00A82905">
      <w:pPr>
        <w:spacing w:after="0"/>
        <w:jc w:val="left"/>
        <w:rPr>
          <w:b/>
        </w:rPr>
      </w:pPr>
      <w:r>
        <w:rPr>
          <w:b/>
        </w:rPr>
        <w:t>&amp; M</w:t>
      </w:r>
      <w:r w:rsidR="001F5D7F">
        <w:rPr>
          <w:b/>
        </w:rPr>
        <w:t xml:space="preserve">assachusetts Teachers’ </w:t>
      </w:r>
      <w:r>
        <w:rPr>
          <w:b/>
        </w:rPr>
        <w:t xml:space="preserve">Retirement </w:t>
      </w:r>
      <w:r w:rsidR="001F5D7F">
        <w:rPr>
          <w:b/>
        </w:rPr>
        <w:t>System</w:t>
      </w:r>
      <w:r>
        <w:rPr>
          <w:b/>
        </w:rPr>
        <w:t>,</w:t>
      </w:r>
    </w:p>
    <w:p w:rsidR="00A82905" w:rsidRDefault="00A82905" w:rsidP="00A82905">
      <w:pPr>
        <w:spacing w:after="0"/>
        <w:jc w:val="left"/>
      </w:pPr>
      <w:r>
        <w:rPr>
          <w:b/>
        </w:rPr>
        <w:tab/>
      </w:r>
      <w:r>
        <w:t>Respondent</w:t>
      </w:r>
      <w:r w:rsidR="004F4762">
        <w:t>s</w:t>
      </w:r>
    </w:p>
    <w:p w:rsidR="00A82905" w:rsidRDefault="00A82905" w:rsidP="00A82905">
      <w:pPr>
        <w:spacing w:after="0"/>
        <w:jc w:val="left"/>
      </w:pPr>
    </w:p>
    <w:p w:rsidR="00A82905" w:rsidRPr="006C0AC4" w:rsidRDefault="00A82905" w:rsidP="00A82905">
      <w:pPr>
        <w:spacing w:after="0"/>
        <w:jc w:val="left"/>
        <w:rPr>
          <w:b/>
        </w:rPr>
      </w:pPr>
      <w:r w:rsidRPr="006C0AC4">
        <w:rPr>
          <w:b/>
        </w:rPr>
        <w:t>Appearance for Petitioner:</w:t>
      </w:r>
    </w:p>
    <w:p w:rsidR="00A82905" w:rsidRDefault="00A82905" w:rsidP="00A82905">
      <w:pPr>
        <w:spacing w:after="0"/>
        <w:jc w:val="left"/>
      </w:pPr>
    </w:p>
    <w:p w:rsidR="00A82905" w:rsidRDefault="00A82905" w:rsidP="00A82905">
      <w:pPr>
        <w:spacing w:after="0"/>
        <w:jc w:val="left"/>
      </w:pPr>
      <w:r>
        <w:tab/>
      </w:r>
      <w:r w:rsidR="001F5D7F">
        <w:t xml:space="preserve">Walter J. Avis, Jr., </w:t>
      </w:r>
      <w:r>
        <w:t>Esq.</w:t>
      </w:r>
    </w:p>
    <w:p w:rsidR="00A82905" w:rsidRDefault="00A82905" w:rsidP="00A82905">
      <w:pPr>
        <w:spacing w:after="0"/>
        <w:jc w:val="left"/>
      </w:pPr>
      <w:r>
        <w:tab/>
      </w:r>
      <w:r w:rsidR="001F5D7F">
        <w:t>Avis &amp; Northridge</w:t>
      </w:r>
    </w:p>
    <w:p w:rsidR="00A82905" w:rsidRDefault="00A82905" w:rsidP="00A82905">
      <w:pPr>
        <w:spacing w:after="0"/>
        <w:jc w:val="left"/>
      </w:pPr>
      <w:r>
        <w:tab/>
      </w:r>
      <w:r w:rsidR="001F5D7F">
        <w:t>11 Harvard Street</w:t>
      </w:r>
    </w:p>
    <w:p w:rsidR="00A82905" w:rsidRDefault="00A82905" w:rsidP="00A82905">
      <w:pPr>
        <w:spacing w:after="0"/>
        <w:jc w:val="left"/>
      </w:pPr>
      <w:r>
        <w:tab/>
      </w:r>
      <w:r w:rsidR="001F5D7F">
        <w:t>Worcester</w:t>
      </w:r>
      <w:r w:rsidR="005D40CE">
        <w:t>, MA 016</w:t>
      </w:r>
      <w:r w:rsidR="001F5D7F">
        <w:t>09-2703</w:t>
      </w:r>
    </w:p>
    <w:p w:rsidR="00A82905" w:rsidRDefault="00A82905" w:rsidP="00A82905">
      <w:pPr>
        <w:spacing w:after="0"/>
        <w:jc w:val="left"/>
      </w:pPr>
    </w:p>
    <w:p w:rsidR="00A82905" w:rsidRPr="006C0AC4" w:rsidRDefault="00A82905" w:rsidP="00A82905">
      <w:pPr>
        <w:spacing w:after="0"/>
        <w:jc w:val="left"/>
        <w:rPr>
          <w:b/>
        </w:rPr>
      </w:pPr>
      <w:r w:rsidRPr="006C0AC4">
        <w:rPr>
          <w:b/>
        </w:rPr>
        <w:t xml:space="preserve">Appearance for </w:t>
      </w:r>
      <w:r w:rsidR="001F5D7F">
        <w:rPr>
          <w:b/>
        </w:rPr>
        <w:t xml:space="preserve">Shrewsbury </w:t>
      </w:r>
      <w:r w:rsidR="005D40CE">
        <w:rPr>
          <w:b/>
        </w:rPr>
        <w:t>Retirement Board</w:t>
      </w:r>
      <w:r w:rsidRPr="006C0AC4">
        <w:rPr>
          <w:b/>
        </w:rPr>
        <w:t>:</w:t>
      </w:r>
    </w:p>
    <w:p w:rsidR="00A82905" w:rsidRPr="006C0AC4" w:rsidRDefault="00A82905" w:rsidP="00A82905">
      <w:pPr>
        <w:spacing w:after="0"/>
        <w:jc w:val="left"/>
      </w:pPr>
    </w:p>
    <w:p w:rsidR="00A82905" w:rsidRDefault="00A82905" w:rsidP="00A82905">
      <w:pPr>
        <w:spacing w:after="0"/>
        <w:jc w:val="left"/>
      </w:pPr>
      <w:r>
        <w:tab/>
      </w:r>
      <w:r w:rsidR="005D40CE">
        <w:t>Michael Sacco</w:t>
      </w:r>
      <w:r w:rsidR="0051396D">
        <w:t>, Esq.</w:t>
      </w:r>
    </w:p>
    <w:p w:rsidR="00A82905" w:rsidRDefault="00A82905" w:rsidP="00A82905">
      <w:pPr>
        <w:spacing w:after="0"/>
        <w:jc w:val="left"/>
      </w:pPr>
      <w:r>
        <w:tab/>
      </w:r>
      <w:r w:rsidR="005D40CE">
        <w:t>P.O. Box 479</w:t>
      </w:r>
    </w:p>
    <w:p w:rsidR="00A82905" w:rsidRDefault="00A82905" w:rsidP="00A82905">
      <w:pPr>
        <w:spacing w:after="0"/>
        <w:jc w:val="left"/>
      </w:pPr>
      <w:r>
        <w:tab/>
      </w:r>
      <w:r w:rsidR="005D40CE">
        <w:t xml:space="preserve">Southampton, MA </w:t>
      </w:r>
      <w:r>
        <w:t>0</w:t>
      </w:r>
      <w:r w:rsidR="00A87416">
        <w:t>10</w:t>
      </w:r>
      <w:r w:rsidR="005D40CE">
        <w:t>7</w:t>
      </w:r>
      <w:r w:rsidR="00A87416">
        <w:t>3</w:t>
      </w:r>
      <w:r w:rsidR="005D40CE">
        <w:t>-0479</w:t>
      </w:r>
    </w:p>
    <w:p w:rsidR="005D40CE" w:rsidRDefault="005D40CE" w:rsidP="00A82905">
      <w:pPr>
        <w:spacing w:after="0"/>
        <w:jc w:val="left"/>
      </w:pPr>
    </w:p>
    <w:p w:rsidR="005D40CE" w:rsidRPr="005D40CE" w:rsidRDefault="005D40CE" w:rsidP="00A82905">
      <w:pPr>
        <w:spacing w:after="0"/>
        <w:jc w:val="left"/>
        <w:rPr>
          <w:b/>
        </w:rPr>
      </w:pPr>
      <w:r>
        <w:rPr>
          <w:b/>
        </w:rPr>
        <w:t xml:space="preserve">Appearance for </w:t>
      </w:r>
      <w:r w:rsidR="001F5D7F">
        <w:rPr>
          <w:b/>
        </w:rPr>
        <w:t>Massachusetts Teachers’ R</w:t>
      </w:r>
      <w:r>
        <w:rPr>
          <w:b/>
        </w:rPr>
        <w:t xml:space="preserve">etirement </w:t>
      </w:r>
      <w:r w:rsidR="001F5D7F">
        <w:rPr>
          <w:b/>
        </w:rPr>
        <w:t>System</w:t>
      </w:r>
      <w:r>
        <w:rPr>
          <w:b/>
        </w:rPr>
        <w:t>:</w:t>
      </w:r>
    </w:p>
    <w:p w:rsidR="00A82905" w:rsidRDefault="00A82905" w:rsidP="00A82905">
      <w:pPr>
        <w:spacing w:after="0"/>
        <w:jc w:val="left"/>
      </w:pPr>
    </w:p>
    <w:p w:rsidR="005D40CE" w:rsidRDefault="005D40CE" w:rsidP="00A82905">
      <w:pPr>
        <w:spacing w:after="0"/>
        <w:jc w:val="left"/>
      </w:pPr>
      <w:r>
        <w:t xml:space="preserve">             </w:t>
      </w:r>
      <w:r w:rsidR="001F5D7F">
        <w:t xml:space="preserve">James C. O’Leary, </w:t>
      </w:r>
      <w:r>
        <w:t>Esquire</w:t>
      </w:r>
    </w:p>
    <w:p w:rsidR="005D40CE" w:rsidRDefault="005D40CE" w:rsidP="00A82905">
      <w:pPr>
        <w:spacing w:after="0"/>
        <w:jc w:val="left"/>
      </w:pPr>
      <w:r>
        <w:tab/>
        <w:t xml:space="preserve"> </w:t>
      </w:r>
      <w:r w:rsidR="001F5D7F">
        <w:t>Deputy General Counsel</w:t>
      </w:r>
    </w:p>
    <w:p w:rsidR="001F5D7F" w:rsidRDefault="001F5D7F" w:rsidP="00A82905">
      <w:pPr>
        <w:spacing w:after="0"/>
        <w:jc w:val="left"/>
      </w:pPr>
      <w:r>
        <w:tab/>
        <w:t xml:space="preserve"> Massachusetts Teachers’ Retirement System</w:t>
      </w:r>
    </w:p>
    <w:p w:rsidR="009101F9" w:rsidRDefault="009101F9" w:rsidP="00A82905">
      <w:pPr>
        <w:spacing w:after="0"/>
        <w:jc w:val="left"/>
      </w:pPr>
      <w:r>
        <w:tab/>
        <w:t xml:space="preserve"> </w:t>
      </w:r>
      <w:r w:rsidR="001F5D7F">
        <w:t>500 Rutherford Avenue, Suite 210</w:t>
      </w:r>
    </w:p>
    <w:p w:rsidR="009101F9" w:rsidRDefault="009101F9" w:rsidP="00A82905">
      <w:pPr>
        <w:spacing w:after="0"/>
        <w:jc w:val="left"/>
      </w:pPr>
      <w:r>
        <w:t xml:space="preserve">             </w:t>
      </w:r>
      <w:r w:rsidR="001F5D7F">
        <w:t xml:space="preserve">Charlestown, </w:t>
      </w:r>
      <w:r>
        <w:t>MA 0</w:t>
      </w:r>
      <w:r w:rsidR="001F5D7F">
        <w:t>2</w:t>
      </w:r>
      <w:r>
        <w:t>1</w:t>
      </w:r>
      <w:r w:rsidR="001F5D7F">
        <w:t>29-1628</w:t>
      </w:r>
    </w:p>
    <w:p w:rsidR="009101F9" w:rsidRDefault="009101F9" w:rsidP="00A82905">
      <w:pPr>
        <w:spacing w:after="0"/>
        <w:jc w:val="left"/>
      </w:pPr>
    </w:p>
    <w:p w:rsidR="00A82905" w:rsidRPr="006C0AC4" w:rsidRDefault="00A82905" w:rsidP="00A82905">
      <w:pPr>
        <w:spacing w:after="0"/>
        <w:jc w:val="left"/>
        <w:rPr>
          <w:b/>
        </w:rPr>
      </w:pPr>
      <w:r w:rsidRPr="006C0AC4">
        <w:rPr>
          <w:b/>
        </w:rPr>
        <w:t>Administrative Magistrate:</w:t>
      </w:r>
    </w:p>
    <w:p w:rsidR="00A82905" w:rsidRPr="006C0AC4" w:rsidRDefault="00A82905" w:rsidP="00A82905">
      <w:pPr>
        <w:spacing w:after="0"/>
        <w:jc w:val="left"/>
        <w:rPr>
          <w:b/>
        </w:rPr>
      </w:pPr>
      <w:r w:rsidRPr="006C0AC4">
        <w:rPr>
          <w:b/>
        </w:rPr>
        <w:tab/>
      </w:r>
    </w:p>
    <w:p w:rsidR="00A82905" w:rsidRDefault="00A82905" w:rsidP="00A82905">
      <w:pPr>
        <w:spacing w:after="0"/>
        <w:jc w:val="left"/>
        <w:rPr>
          <w:b/>
        </w:rPr>
      </w:pPr>
      <w:r w:rsidRPr="006C0AC4">
        <w:rPr>
          <w:b/>
        </w:rPr>
        <w:tab/>
      </w:r>
      <w:r w:rsidR="00A87416">
        <w:rPr>
          <w:b/>
        </w:rPr>
        <w:t>Judithann Burke</w:t>
      </w:r>
      <w:r w:rsidRPr="006C0AC4">
        <w:rPr>
          <w:b/>
        </w:rPr>
        <w:t>, Esq.</w:t>
      </w:r>
    </w:p>
    <w:p w:rsidR="00A82905" w:rsidRDefault="00A82905" w:rsidP="00A82905">
      <w:pPr>
        <w:spacing w:after="0"/>
        <w:rPr>
          <w:b/>
          <w:u w:val="single"/>
        </w:rPr>
      </w:pPr>
    </w:p>
    <w:p w:rsidR="00512074" w:rsidRDefault="00883A61" w:rsidP="00512074">
      <w:pPr>
        <w:spacing w:after="0" w:line="480" w:lineRule="auto"/>
        <w:rPr>
          <w:b/>
          <w:u w:val="single"/>
        </w:rPr>
      </w:pPr>
      <w:r>
        <w:rPr>
          <w:b/>
        </w:rPr>
        <w:t>SUMMARY OF DECISION</w:t>
      </w:r>
    </w:p>
    <w:p w:rsidR="00883A61" w:rsidRDefault="001428CA" w:rsidP="004F4762">
      <w:pPr>
        <w:spacing w:after="0"/>
        <w:ind w:firstLine="720"/>
        <w:jc w:val="left"/>
      </w:pPr>
      <w:r>
        <w:t>Pursuant to G.L. c. 32, §</w:t>
      </w:r>
      <w:r w:rsidR="004F4762">
        <w:t xml:space="preserve"> 1, 259 CMR 3.02</w:t>
      </w:r>
      <w:r w:rsidR="008D7320">
        <w:t xml:space="preserve"> (2) &amp; (3)</w:t>
      </w:r>
      <w:r w:rsidR="004F4762">
        <w:t>,</w:t>
      </w:r>
      <w:r>
        <w:t xml:space="preserve"> and</w:t>
      </w:r>
      <w:r w:rsidR="004F4762">
        <w:t xml:space="preserve"> 807 CMR 4.02(1)</w:t>
      </w:r>
      <w:r>
        <w:t>, t</w:t>
      </w:r>
      <w:r w:rsidR="006D1C67">
        <w:t>he Petitioner</w:t>
      </w:r>
      <w:r w:rsidR="0039200E">
        <w:t xml:space="preserve"> </w:t>
      </w:r>
      <w:r w:rsidR="00883A61">
        <w:t xml:space="preserve">was never entitled to membership in the Massachusetts Teachers’ Retirement System.  She was properly enrolled in the Shrewsbury Retirement System from 2005 through the day of her injury </w:t>
      </w:r>
      <w:r w:rsidR="004F4762">
        <w:t xml:space="preserve">and final day of work </w:t>
      </w:r>
      <w:r w:rsidR="00883A61">
        <w:t xml:space="preserve">on </w:t>
      </w:r>
      <w:r w:rsidR="00B845D0">
        <w:t>March 17</w:t>
      </w:r>
      <w:r w:rsidR="00883A61">
        <w:t xml:space="preserve">, 2011.  The Teachers’ Retirement System properly declined to enroll her as a member </w:t>
      </w:r>
      <w:r w:rsidR="004F4762">
        <w:t xml:space="preserve">between </w:t>
      </w:r>
      <w:r w:rsidR="00B845D0">
        <w:t xml:space="preserve">the summer of </w:t>
      </w:r>
      <w:r w:rsidR="00B845D0">
        <w:lastRenderedPageBreak/>
        <w:t>201</w:t>
      </w:r>
      <w:r w:rsidR="004F4762">
        <w:t>3</w:t>
      </w:r>
      <w:r w:rsidR="00883A61">
        <w:t>, and the</w:t>
      </w:r>
      <w:r w:rsidR="004F4762">
        <w:t xml:space="preserve"> summer of 2015, and the </w:t>
      </w:r>
      <w:r w:rsidR="00883A61">
        <w:t>Shrewsbury Retirement Board improperly revoked her membership in</w:t>
      </w:r>
      <w:r w:rsidR="00B845D0">
        <w:t xml:space="preserve"> </w:t>
      </w:r>
      <w:r w:rsidR="004F4762">
        <w:t xml:space="preserve">its system </w:t>
      </w:r>
      <w:r w:rsidR="00B845D0">
        <w:t>October 2013</w:t>
      </w:r>
      <w:r w:rsidR="0039200E">
        <w:t>.</w:t>
      </w:r>
    </w:p>
    <w:p w:rsidR="004F4762" w:rsidRDefault="004F4762" w:rsidP="004F4762">
      <w:pPr>
        <w:spacing w:after="0"/>
        <w:jc w:val="left"/>
      </w:pPr>
      <w:r>
        <w:tab/>
      </w:r>
      <w:r>
        <w:tab/>
      </w:r>
      <w:r>
        <w:tab/>
      </w:r>
      <w:r>
        <w:tab/>
      </w:r>
      <w:r>
        <w:tab/>
      </w:r>
    </w:p>
    <w:p w:rsidR="009101F9" w:rsidRDefault="004F4762" w:rsidP="004F4762">
      <w:pPr>
        <w:spacing w:after="0"/>
        <w:ind w:left="2880" w:firstLine="720"/>
        <w:jc w:val="left"/>
        <w:rPr>
          <w:b/>
        </w:rPr>
      </w:pPr>
      <w:r>
        <w:rPr>
          <w:b/>
        </w:rPr>
        <w:t>D</w:t>
      </w:r>
      <w:r w:rsidR="001F5D7F">
        <w:rPr>
          <w:b/>
        </w:rPr>
        <w:t>ECISION</w:t>
      </w:r>
    </w:p>
    <w:p w:rsidR="004F4762" w:rsidRDefault="004F4762" w:rsidP="004F4762">
      <w:pPr>
        <w:spacing w:after="0"/>
        <w:jc w:val="left"/>
      </w:pPr>
    </w:p>
    <w:p w:rsidR="009101F9" w:rsidRDefault="00BD1475" w:rsidP="00953ED5">
      <w:pPr>
        <w:spacing w:after="0" w:line="480" w:lineRule="auto"/>
        <w:jc w:val="left"/>
      </w:pPr>
      <w:r>
        <w:tab/>
      </w:r>
      <w:r w:rsidR="00BC6B5F">
        <w:t>Pursuant to G.L. c. 32 § 16(4), t</w:t>
      </w:r>
      <w:r>
        <w:t xml:space="preserve">he Petitioner, </w:t>
      </w:r>
      <w:r w:rsidR="001F5D7F">
        <w:t xml:space="preserve">Susan Delorme, </w:t>
      </w:r>
      <w:r w:rsidR="00E376F4">
        <w:t xml:space="preserve">appealed from </w:t>
      </w:r>
      <w:r w:rsidR="00BC6B5F">
        <w:t xml:space="preserve">the </w:t>
      </w:r>
      <w:r w:rsidR="001F5D7F">
        <w:t xml:space="preserve">October 23, </w:t>
      </w:r>
      <w:r w:rsidR="00953ED5">
        <w:t xml:space="preserve">2013 decision of </w:t>
      </w:r>
      <w:r w:rsidR="00E376F4">
        <w:t>the</w:t>
      </w:r>
      <w:r w:rsidR="00BC6B5F">
        <w:t xml:space="preserve"> </w:t>
      </w:r>
      <w:r w:rsidR="00953ED5">
        <w:t xml:space="preserve">Respondent, </w:t>
      </w:r>
      <w:r w:rsidR="001F5D7F">
        <w:t xml:space="preserve">Shrewsbury </w:t>
      </w:r>
      <w:r w:rsidR="00953ED5">
        <w:t xml:space="preserve">Retirement </w:t>
      </w:r>
      <w:r w:rsidR="001F5D7F">
        <w:t>Board</w:t>
      </w:r>
      <w:r w:rsidR="006D0CDA">
        <w:t xml:space="preserve"> </w:t>
      </w:r>
      <w:r w:rsidR="003013F7">
        <w:t>(</w:t>
      </w:r>
      <w:r w:rsidR="001F5D7F">
        <w:t>SRB</w:t>
      </w:r>
      <w:r w:rsidR="003013F7">
        <w:t xml:space="preserve">) </w:t>
      </w:r>
      <w:r w:rsidR="001F5D7F">
        <w:t xml:space="preserve">terminating her </w:t>
      </w:r>
      <w:r w:rsidR="006F3191">
        <w:t>membership in the Shrew</w:t>
      </w:r>
      <w:r w:rsidR="00883A61">
        <w:t>s</w:t>
      </w:r>
      <w:r w:rsidR="006F3191">
        <w:t>bury Retirement System and tabling her application for Section 7 accidental disability retirement benefits.  (Exhibit 1.)</w:t>
      </w:r>
      <w:r w:rsidR="00BC6B5F">
        <w:t xml:space="preserve"> </w:t>
      </w:r>
      <w:r w:rsidR="004F4762">
        <w:t xml:space="preserve"> </w:t>
      </w:r>
      <w:r w:rsidR="00BC6B5F">
        <w:t xml:space="preserve">The Petitioner filed a timely appeal on </w:t>
      </w:r>
      <w:r w:rsidR="006F3191">
        <w:t>November 4, 2013</w:t>
      </w:r>
      <w:r w:rsidR="00BC6B5F">
        <w:t xml:space="preserve">. </w:t>
      </w:r>
      <w:r w:rsidR="00E376F4">
        <w:t xml:space="preserve"> </w:t>
      </w:r>
      <w:r w:rsidR="006D1C67">
        <w:t xml:space="preserve">(Exhibit </w:t>
      </w:r>
      <w:r w:rsidR="00BC6B5F">
        <w:t>2</w:t>
      </w:r>
      <w:r w:rsidR="006D1C67">
        <w:t>.)</w:t>
      </w:r>
    </w:p>
    <w:p w:rsidR="00B845D0" w:rsidRDefault="00852A21" w:rsidP="00883A61">
      <w:pPr>
        <w:spacing w:after="0" w:line="480" w:lineRule="auto"/>
        <w:jc w:val="left"/>
      </w:pPr>
      <w:r>
        <w:tab/>
        <w:t xml:space="preserve">On </w:t>
      </w:r>
      <w:r w:rsidR="006F3191">
        <w:t>April 8, 2015, the Petitioner filed a Motion to Join a Necessary Party, the Massachusetts Teachers’ Retirement System.  This motion was initially denied on April 10, 2015.  On January 7, 2016, the Petitioner filed a second Motion to Join the Massachusetts Teachers’ Retirement System.  This motion was allowed on January 15, 2016.</w:t>
      </w:r>
    </w:p>
    <w:p w:rsidR="00883A61" w:rsidRDefault="00B845D0" w:rsidP="00B845D0">
      <w:pPr>
        <w:spacing w:after="0" w:line="480" w:lineRule="auto"/>
        <w:ind w:firstLine="720"/>
        <w:jc w:val="left"/>
        <w:rPr>
          <w:rFonts w:cs="Times New Roman"/>
          <w:szCs w:val="24"/>
        </w:rPr>
      </w:pPr>
      <w:r>
        <w:t xml:space="preserve">I held a hearing on May 19, 2016 at the offices of the Worcester Registry of Deeds, 90 Front Street, Worcester, MA.  I admitted twenty-four (24) documents into evidence.  After the close of the hearing on May 19, 2016, I marked two additional exhibits:  Exhibit 25- SBR New </w:t>
      </w:r>
      <w:r w:rsidR="004F4762">
        <w:t>M</w:t>
      </w:r>
      <w:r>
        <w:t xml:space="preserve">ember Enrollment Form dated September 12, 2005 and Exhibit 26-Job Description of a Certified Occupational Therapist Assistant (COTA). The Petitioner was the only witness to provide hearing testimony.  All parties submitted pre-hearing and post hearing memoranda of law.  (SRB-Attachments A and D; MTRS-Attachments B and E; and Petitioner-Attachments C and F.)  The last of the post-hearing submissions was received on July 18, 2016, thereby closing the case record.  </w:t>
      </w:r>
      <w:r>
        <w:tab/>
      </w:r>
      <w:r w:rsidR="006F3191">
        <w:t xml:space="preserve">  </w:t>
      </w:r>
      <w:r w:rsidR="004D2035">
        <w:tab/>
      </w:r>
    </w:p>
    <w:p w:rsidR="004F4762" w:rsidRDefault="004F4762" w:rsidP="002A5B4D">
      <w:pPr>
        <w:spacing w:after="0" w:line="480" w:lineRule="auto"/>
        <w:ind w:left="2160" w:firstLine="720"/>
        <w:jc w:val="left"/>
        <w:rPr>
          <w:rFonts w:cs="Times New Roman"/>
          <w:b/>
          <w:szCs w:val="24"/>
        </w:rPr>
      </w:pPr>
    </w:p>
    <w:p w:rsidR="004F4762" w:rsidRDefault="004F4762" w:rsidP="002A5B4D">
      <w:pPr>
        <w:spacing w:after="0" w:line="480" w:lineRule="auto"/>
        <w:ind w:left="2160" w:firstLine="720"/>
        <w:jc w:val="left"/>
        <w:rPr>
          <w:rFonts w:cs="Times New Roman"/>
          <w:b/>
          <w:szCs w:val="24"/>
        </w:rPr>
      </w:pPr>
    </w:p>
    <w:p w:rsidR="003C2318" w:rsidRDefault="003C2318" w:rsidP="002A5B4D">
      <w:pPr>
        <w:spacing w:after="0" w:line="480" w:lineRule="auto"/>
        <w:ind w:left="2160" w:firstLine="720"/>
        <w:jc w:val="left"/>
        <w:rPr>
          <w:rFonts w:cs="Times New Roman"/>
          <w:b/>
          <w:szCs w:val="24"/>
        </w:rPr>
      </w:pPr>
      <w:r>
        <w:rPr>
          <w:rFonts w:cs="Times New Roman"/>
          <w:b/>
          <w:szCs w:val="24"/>
        </w:rPr>
        <w:lastRenderedPageBreak/>
        <w:t>FINDINGS OF FACT</w:t>
      </w:r>
    </w:p>
    <w:p w:rsidR="003C2318" w:rsidRDefault="003C2318" w:rsidP="00B845D0">
      <w:pPr>
        <w:spacing w:after="0" w:line="480" w:lineRule="auto"/>
        <w:jc w:val="left"/>
        <w:rPr>
          <w:rFonts w:cs="Times New Roman"/>
          <w:szCs w:val="24"/>
        </w:rPr>
      </w:pPr>
      <w:r>
        <w:rPr>
          <w:rFonts w:cs="Times New Roman"/>
          <w:szCs w:val="24"/>
        </w:rPr>
        <w:tab/>
        <w:t xml:space="preserve">Based upon the </w:t>
      </w:r>
      <w:r w:rsidR="004F4762">
        <w:rPr>
          <w:rFonts w:cs="Times New Roman"/>
          <w:szCs w:val="24"/>
        </w:rPr>
        <w:t xml:space="preserve">testimony and </w:t>
      </w:r>
      <w:r>
        <w:rPr>
          <w:rFonts w:cs="Times New Roman"/>
          <w:szCs w:val="24"/>
        </w:rPr>
        <w:t>documents submitted in this ca</w:t>
      </w:r>
      <w:r w:rsidR="008D07FE">
        <w:rPr>
          <w:rFonts w:cs="Times New Roman"/>
          <w:szCs w:val="24"/>
        </w:rPr>
        <w:t>s</w:t>
      </w:r>
      <w:r>
        <w:rPr>
          <w:rFonts w:cs="Times New Roman"/>
          <w:szCs w:val="24"/>
        </w:rPr>
        <w:t>e</w:t>
      </w:r>
      <w:r w:rsidR="00C0534E">
        <w:rPr>
          <w:rFonts w:cs="Times New Roman"/>
          <w:szCs w:val="24"/>
        </w:rPr>
        <w:t xml:space="preserve">, I hereby render the following </w:t>
      </w:r>
      <w:r>
        <w:rPr>
          <w:rFonts w:cs="Times New Roman"/>
          <w:szCs w:val="24"/>
        </w:rPr>
        <w:t>findings of fact:</w:t>
      </w:r>
    </w:p>
    <w:p w:rsidR="00FC5E5F" w:rsidRPr="00FC5E5F" w:rsidRDefault="003C2318" w:rsidP="003C2318">
      <w:pPr>
        <w:pStyle w:val="ListParagraph"/>
        <w:numPr>
          <w:ilvl w:val="0"/>
          <w:numId w:val="25"/>
        </w:numPr>
        <w:spacing w:line="480" w:lineRule="auto"/>
        <w:ind w:left="0" w:firstLine="0"/>
        <w:jc w:val="left"/>
        <w:rPr>
          <w:rFonts w:cs="Times New Roman"/>
        </w:rPr>
      </w:pPr>
      <w:r>
        <w:rPr>
          <w:rFonts w:cs="Times New Roman"/>
          <w:szCs w:val="24"/>
        </w:rPr>
        <w:t xml:space="preserve">The Petitioner, </w:t>
      </w:r>
      <w:r w:rsidR="00B845D0">
        <w:rPr>
          <w:rFonts w:cs="Times New Roman"/>
          <w:szCs w:val="24"/>
        </w:rPr>
        <w:t xml:space="preserve">Susan Delorme, born in 1951, </w:t>
      </w:r>
      <w:r w:rsidR="00FC5E5F">
        <w:rPr>
          <w:rFonts w:cs="Times New Roman"/>
          <w:szCs w:val="24"/>
        </w:rPr>
        <w:t>was issued a license/certification from the Board of Allied Health Professionals (BAHP) for the position of Occupational Therapist Assistant.  (Petitioner Testimony.)</w:t>
      </w:r>
    </w:p>
    <w:p w:rsidR="003C2318" w:rsidRPr="00FC5E5F" w:rsidRDefault="00FC5E5F" w:rsidP="003C2318">
      <w:pPr>
        <w:pStyle w:val="ListParagraph"/>
        <w:numPr>
          <w:ilvl w:val="0"/>
          <w:numId w:val="25"/>
        </w:numPr>
        <w:spacing w:line="480" w:lineRule="auto"/>
        <w:ind w:left="0" w:firstLine="0"/>
        <w:jc w:val="left"/>
        <w:rPr>
          <w:rFonts w:cs="Times New Roman"/>
        </w:rPr>
      </w:pPr>
      <w:r>
        <w:rPr>
          <w:rFonts w:cs="Times New Roman"/>
          <w:szCs w:val="24"/>
        </w:rPr>
        <w:t xml:space="preserve">The Petitioner began employment </w:t>
      </w:r>
      <w:r w:rsidR="003C2318">
        <w:rPr>
          <w:rFonts w:cs="Times New Roman"/>
          <w:szCs w:val="24"/>
        </w:rPr>
        <w:t xml:space="preserve">as a </w:t>
      </w:r>
      <w:r>
        <w:rPr>
          <w:rFonts w:cs="Times New Roman"/>
          <w:szCs w:val="24"/>
        </w:rPr>
        <w:t>Certified Occupational Therapist Assistant (COTA) in the Shrewsbury Public Schools on September 12, 2005.  She was enrolled in the Shrewsbury Retirement System (SRS) at that time.  Throughout her employment in the Shrewsbury Public Schools, the Petitioner was a contributing member of the SRS. (Exhibit 25.)</w:t>
      </w:r>
    </w:p>
    <w:p w:rsidR="00FC5E5F" w:rsidRDefault="00FC5E5F" w:rsidP="003C2318">
      <w:pPr>
        <w:pStyle w:val="ListParagraph"/>
        <w:numPr>
          <w:ilvl w:val="0"/>
          <w:numId w:val="25"/>
        </w:numPr>
        <w:spacing w:line="480" w:lineRule="auto"/>
        <w:ind w:left="0" w:firstLine="0"/>
        <w:jc w:val="left"/>
        <w:rPr>
          <w:rFonts w:cs="Times New Roman"/>
        </w:rPr>
      </w:pPr>
      <w:r>
        <w:rPr>
          <w:rFonts w:cs="Times New Roman"/>
        </w:rPr>
        <w:t>At all times during her employment as a COTA in the Shrewsbury Public Schools, the Petitioner worked under the supervision of a licensed Occupational Therapist (OT).  While she delivered occupational therapy services, the OT</w:t>
      </w:r>
      <w:r w:rsidR="004F4762">
        <w:rPr>
          <w:rFonts w:cs="Times New Roman"/>
        </w:rPr>
        <w:t>,</w:t>
      </w:r>
      <w:r>
        <w:rPr>
          <w:rFonts w:cs="Times New Roman"/>
        </w:rPr>
        <w:t xml:space="preserve"> and not the Petitioner</w:t>
      </w:r>
      <w:r w:rsidR="004F4762">
        <w:rPr>
          <w:rFonts w:cs="Times New Roman"/>
        </w:rPr>
        <w:t>,</w:t>
      </w:r>
      <w:r>
        <w:rPr>
          <w:rFonts w:cs="Times New Roman"/>
        </w:rPr>
        <w:t xml:space="preserve"> created the student evaluations and the Individual Education Plan (IEP)</w:t>
      </w:r>
      <w:r w:rsidR="006B429F">
        <w:rPr>
          <w:rFonts w:cs="Times New Roman"/>
        </w:rPr>
        <w:t xml:space="preserve"> goals.  The Petitioner’s sole role was to consult with the OT on a regular basis and to perform the treatments.</w:t>
      </w:r>
      <w:r w:rsidR="006B429F">
        <w:rPr>
          <w:rStyle w:val="FootnoteReference"/>
          <w:rFonts w:cs="Times New Roman"/>
        </w:rPr>
        <w:footnoteReference w:id="1"/>
      </w:r>
      <w:r w:rsidR="006B429F">
        <w:rPr>
          <w:rFonts w:cs="Times New Roman"/>
        </w:rPr>
        <w:t xml:space="preserve">  (Petitioner Testimony and Exhibit 26.) </w:t>
      </w:r>
      <w:r>
        <w:rPr>
          <w:rFonts w:cs="Times New Roman"/>
        </w:rPr>
        <w:t xml:space="preserve"> </w:t>
      </w:r>
    </w:p>
    <w:p w:rsidR="008A3175" w:rsidRDefault="008748A7" w:rsidP="008748A7">
      <w:pPr>
        <w:pStyle w:val="ListParagraph"/>
        <w:numPr>
          <w:ilvl w:val="0"/>
          <w:numId w:val="25"/>
        </w:numPr>
        <w:spacing w:line="480" w:lineRule="auto"/>
        <w:ind w:left="0" w:firstLine="0"/>
        <w:jc w:val="left"/>
        <w:rPr>
          <w:rFonts w:cs="Times New Roman"/>
        </w:rPr>
      </w:pPr>
      <w:r>
        <w:rPr>
          <w:rFonts w:cs="Times New Roman"/>
        </w:rPr>
        <w:lastRenderedPageBreak/>
        <w:t xml:space="preserve"> There is a different level of schooling and training required for OTs than there is for COTA’s.  (Petitioner Testimony.) </w:t>
      </w:r>
    </w:p>
    <w:p w:rsidR="004208F9" w:rsidRDefault="004208F9" w:rsidP="008748A7">
      <w:pPr>
        <w:pStyle w:val="ListParagraph"/>
        <w:numPr>
          <w:ilvl w:val="0"/>
          <w:numId w:val="25"/>
        </w:numPr>
        <w:spacing w:line="480" w:lineRule="auto"/>
        <w:ind w:left="0" w:firstLine="0"/>
        <w:jc w:val="left"/>
        <w:rPr>
          <w:rFonts w:cs="Times New Roman"/>
        </w:rPr>
      </w:pPr>
      <w:r>
        <w:rPr>
          <w:rFonts w:cs="Times New Roman"/>
        </w:rPr>
        <w:t>At the time of the Petitioner’s enrollment in the SRS, the following regulation of the MTRS, that had been promulgated in 1987, was in effect:</w:t>
      </w:r>
    </w:p>
    <w:p w:rsidR="008748A7" w:rsidRDefault="004208F9" w:rsidP="004208F9">
      <w:pPr>
        <w:pStyle w:val="ListParagraph"/>
        <w:ind w:right="720"/>
        <w:jc w:val="left"/>
        <w:rPr>
          <w:rFonts w:cs="Times New Roman"/>
        </w:rPr>
      </w:pPr>
      <w:r>
        <w:rPr>
          <w:rFonts w:cs="Times New Roman"/>
        </w:rPr>
        <w:t xml:space="preserve">807 CMR 4.02 (1) No individual shall be eligible for membership within the retirement system unless the retirement Board finds: </w:t>
      </w:r>
    </w:p>
    <w:p w:rsidR="004208F9" w:rsidRDefault="004208F9" w:rsidP="004208F9">
      <w:pPr>
        <w:pStyle w:val="ListParagraph"/>
        <w:numPr>
          <w:ilvl w:val="0"/>
          <w:numId w:val="27"/>
        </w:numPr>
        <w:spacing w:after="0"/>
        <w:ind w:left="720" w:right="720" w:firstLine="0"/>
        <w:jc w:val="left"/>
        <w:rPr>
          <w:rFonts w:cs="Times New Roman"/>
        </w:rPr>
      </w:pPr>
      <w:r>
        <w:rPr>
          <w:rFonts w:cs="Times New Roman"/>
        </w:rPr>
        <w:t>The individual is covered by a contractual agreement for employment with one or more school committees or boards of trustees or by any combination of such committees and boards;</w:t>
      </w:r>
    </w:p>
    <w:p w:rsidR="006908E7" w:rsidRDefault="006908E7" w:rsidP="004208F9">
      <w:pPr>
        <w:pStyle w:val="ListParagraph"/>
        <w:numPr>
          <w:ilvl w:val="0"/>
          <w:numId w:val="27"/>
        </w:numPr>
        <w:spacing w:after="0"/>
        <w:ind w:left="720" w:right="720" w:firstLine="0"/>
        <w:jc w:val="left"/>
        <w:rPr>
          <w:rFonts w:cs="Times New Roman"/>
        </w:rPr>
      </w:pPr>
      <w:r>
        <w:rPr>
          <w:rFonts w:cs="Times New Roman"/>
        </w:rPr>
        <w:t>The contractual agreement requires not less than half-time service;</w:t>
      </w:r>
    </w:p>
    <w:p w:rsidR="006908E7" w:rsidRDefault="006908E7" w:rsidP="004208F9">
      <w:pPr>
        <w:pStyle w:val="ListParagraph"/>
        <w:numPr>
          <w:ilvl w:val="0"/>
          <w:numId w:val="27"/>
        </w:numPr>
        <w:spacing w:after="0"/>
        <w:ind w:left="720" w:right="720" w:firstLine="0"/>
        <w:jc w:val="left"/>
        <w:rPr>
          <w:rFonts w:cs="Times New Roman"/>
        </w:rPr>
      </w:pPr>
      <w:r>
        <w:rPr>
          <w:rFonts w:cs="Times New Roman"/>
        </w:rPr>
        <w:t>The individual holds a certificate granted by the board of education, has been granted a waiver pending certification by the board of education, or has been approved as an apprentice teacher in accordance with the provisions of St. 1985, c. 188, 21; and</w:t>
      </w:r>
    </w:p>
    <w:p w:rsidR="006908E7" w:rsidRDefault="006908E7" w:rsidP="004208F9">
      <w:pPr>
        <w:pStyle w:val="ListParagraph"/>
        <w:numPr>
          <w:ilvl w:val="0"/>
          <w:numId w:val="27"/>
        </w:numPr>
        <w:spacing w:after="0"/>
        <w:ind w:left="720" w:right="720" w:firstLine="0"/>
        <w:jc w:val="left"/>
        <w:rPr>
          <w:rFonts w:cs="Times New Roman"/>
        </w:rPr>
      </w:pPr>
      <w:r>
        <w:rPr>
          <w:rFonts w:cs="Times New Roman"/>
        </w:rPr>
        <w:t>The individual has a contractual agreement which requires that the individual be certified by the board of education as a condition of employment.</w:t>
      </w:r>
    </w:p>
    <w:p w:rsidR="006908E7" w:rsidRDefault="006908E7" w:rsidP="006908E7">
      <w:pPr>
        <w:pStyle w:val="ListParagraph"/>
        <w:spacing w:after="0"/>
        <w:ind w:right="720"/>
        <w:jc w:val="left"/>
        <w:rPr>
          <w:rFonts w:cs="Times New Roman"/>
        </w:rPr>
      </w:pPr>
    </w:p>
    <w:p w:rsidR="006908E7" w:rsidRDefault="006908E7" w:rsidP="006908E7">
      <w:pPr>
        <w:pStyle w:val="ListParagraph"/>
        <w:numPr>
          <w:ilvl w:val="0"/>
          <w:numId w:val="25"/>
        </w:numPr>
        <w:spacing w:after="0" w:line="480" w:lineRule="auto"/>
        <w:ind w:left="0" w:firstLine="0"/>
        <w:jc w:val="left"/>
        <w:rPr>
          <w:rFonts w:cs="Times New Roman"/>
        </w:rPr>
      </w:pPr>
      <w:r>
        <w:rPr>
          <w:rFonts w:cs="Times New Roman"/>
        </w:rPr>
        <w:t xml:space="preserve">In 1997, as a matter of administrative policy, the MTRS began accepting licensed OTs who worked in Massachusetts public schools for membership in the Teachers’ Retirement System.  </w:t>
      </w:r>
      <w:r w:rsidR="008D7320">
        <w:rPr>
          <w:rFonts w:cs="Times New Roman"/>
        </w:rPr>
        <w:t xml:space="preserve">OTs were licensed and certified by the Board of Allied Health </w:t>
      </w:r>
      <w:r w:rsidR="00DA78EB">
        <w:rPr>
          <w:rFonts w:cs="Times New Roman"/>
        </w:rPr>
        <w:t xml:space="preserve">Professions </w:t>
      </w:r>
      <w:r w:rsidR="008D7320">
        <w:rPr>
          <w:rFonts w:cs="Times New Roman"/>
        </w:rPr>
        <w:t xml:space="preserve">and not the Department of Education.  </w:t>
      </w:r>
      <w:r w:rsidR="009E4C61">
        <w:rPr>
          <w:rFonts w:cs="Times New Roman"/>
        </w:rPr>
        <w:t>(Exhibit 6.)</w:t>
      </w:r>
    </w:p>
    <w:p w:rsidR="006908E7" w:rsidRDefault="006908E7" w:rsidP="006908E7">
      <w:pPr>
        <w:pStyle w:val="ListParagraph"/>
        <w:numPr>
          <w:ilvl w:val="0"/>
          <w:numId w:val="25"/>
        </w:numPr>
        <w:spacing w:after="0" w:line="480" w:lineRule="auto"/>
        <w:ind w:left="0" w:firstLine="0"/>
        <w:jc w:val="left"/>
        <w:rPr>
          <w:rFonts w:cs="Times New Roman"/>
        </w:rPr>
      </w:pPr>
      <w:r>
        <w:rPr>
          <w:rFonts w:cs="Times New Roman"/>
        </w:rPr>
        <w:t xml:space="preserve">The Petitioner alleges that she injured her head, neck and back when she slipped on ice in the parking lot of the school where she was working on March 17, 2011.  She </w:t>
      </w:r>
      <w:r>
        <w:rPr>
          <w:rFonts w:cs="Times New Roman"/>
        </w:rPr>
        <w:lastRenderedPageBreak/>
        <w:t>collected Workers’ Compensation benefits and filed an application for accidental disability retirement benefits on the basis of this claim</w:t>
      </w:r>
      <w:r w:rsidR="009E4C61">
        <w:rPr>
          <w:rFonts w:cs="Times New Roman"/>
        </w:rPr>
        <w:t xml:space="preserve"> in August 2012</w:t>
      </w:r>
      <w:r>
        <w:rPr>
          <w:rFonts w:cs="Times New Roman"/>
        </w:rPr>
        <w:t>.  (Exhibits 3, 13 and 14.)</w:t>
      </w:r>
    </w:p>
    <w:p w:rsidR="006908E7" w:rsidRDefault="007366D7" w:rsidP="006908E7">
      <w:pPr>
        <w:pStyle w:val="ListParagraph"/>
        <w:numPr>
          <w:ilvl w:val="0"/>
          <w:numId w:val="25"/>
        </w:numPr>
        <w:spacing w:after="0" w:line="480" w:lineRule="auto"/>
        <w:ind w:left="0" w:firstLine="0"/>
        <w:jc w:val="left"/>
        <w:rPr>
          <w:rFonts w:cs="Times New Roman"/>
        </w:rPr>
      </w:pPr>
      <w:r>
        <w:rPr>
          <w:rFonts w:cs="Times New Roman"/>
        </w:rPr>
        <w:t xml:space="preserve">Between the years 2013 and 2015, the MTRS erroneously accepted </w:t>
      </w:r>
      <w:r w:rsidR="008D7320">
        <w:rPr>
          <w:rFonts w:cs="Times New Roman"/>
        </w:rPr>
        <w:t xml:space="preserve">a few </w:t>
      </w:r>
      <w:r>
        <w:rPr>
          <w:rFonts w:cs="Times New Roman"/>
        </w:rPr>
        <w:t xml:space="preserve">COTAs as members in the Teachers’ Retirement System.  </w:t>
      </w:r>
      <w:r w:rsidR="008D7320">
        <w:rPr>
          <w:rFonts w:cs="Times New Roman"/>
        </w:rPr>
        <w:t xml:space="preserve">There was a mistaken understanding that these individuals were licensed in the same manner as OTs.  </w:t>
      </w:r>
      <w:r w:rsidR="009E4C61">
        <w:rPr>
          <w:rFonts w:cs="Times New Roman"/>
        </w:rPr>
        <w:t xml:space="preserve">Three of these individuals were originally enrolled in the Shrewsbury Retirement </w:t>
      </w:r>
      <w:r w:rsidR="008D7320">
        <w:rPr>
          <w:rFonts w:cs="Times New Roman"/>
        </w:rPr>
        <w:t>S</w:t>
      </w:r>
      <w:r w:rsidR="009E4C61">
        <w:rPr>
          <w:rFonts w:cs="Times New Roman"/>
        </w:rPr>
        <w:t xml:space="preserve">ystem.  </w:t>
      </w:r>
      <w:r w:rsidR="00437E14">
        <w:rPr>
          <w:rFonts w:cs="Times New Roman"/>
        </w:rPr>
        <w:t xml:space="preserve">This resulted in some confusion among members of the SRB.  </w:t>
      </w:r>
      <w:r>
        <w:rPr>
          <w:rFonts w:cs="Times New Roman"/>
        </w:rPr>
        <w:t xml:space="preserve">As of March 2016, this error </w:t>
      </w:r>
      <w:r w:rsidR="008D7320">
        <w:rPr>
          <w:rFonts w:cs="Times New Roman"/>
        </w:rPr>
        <w:t xml:space="preserve">had been </w:t>
      </w:r>
      <w:r>
        <w:rPr>
          <w:rFonts w:cs="Times New Roman"/>
        </w:rPr>
        <w:t xml:space="preserve"> cured and the MTRS no longer enrolls COTAs.  (Exhibit 12.)</w:t>
      </w:r>
    </w:p>
    <w:p w:rsidR="009259A6" w:rsidRDefault="007366D7" w:rsidP="006908E7">
      <w:pPr>
        <w:pStyle w:val="ListParagraph"/>
        <w:numPr>
          <w:ilvl w:val="0"/>
          <w:numId w:val="25"/>
        </w:numPr>
        <w:spacing w:after="0" w:line="480" w:lineRule="auto"/>
        <w:ind w:left="0" w:firstLine="0"/>
        <w:jc w:val="left"/>
        <w:rPr>
          <w:rFonts w:cs="Times New Roman"/>
        </w:rPr>
      </w:pPr>
      <w:r>
        <w:rPr>
          <w:rFonts w:cs="Times New Roman"/>
        </w:rPr>
        <w:t>In a letter dated May 1, 2013, counsel for the SRB requested that the MTRS accept the Petitioner as a member in that system</w:t>
      </w:r>
      <w:r w:rsidR="00285AA1">
        <w:rPr>
          <w:rFonts w:cs="Times New Roman"/>
        </w:rPr>
        <w:t xml:space="preserve"> and process her application for accidental disability retirement benefits.  The MTRS declined this request.  (Exhibits 4, 6 8</w:t>
      </w:r>
      <w:r w:rsidR="00B831D3">
        <w:rPr>
          <w:rFonts w:cs="Times New Roman"/>
        </w:rPr>
        <w:t>, 10</w:t>
      </w:r>
      <w:r w:rsidR="00285AA1">
        <w:rPr>
          <w:rFonts w:cs="Times New Roman"/>
        </w:rPr>
        <w:t xml:space="preserve"> </w:t>
      </w:r>
      <w:r w:rsidR="00B831D3">
        <w:rPr>
          <w:rFonts w:cs="Times New Roman"/>
        </w:rPr>
        <w:t>and 20</w:t>
      </w:r>
      <w:r w:rsidR="00285AA1">
        <w:rPr>
          <w:rFonts w:cs="Times New Roman"/>
        </w:rPr>
        <w:t>.)</w:t>
      </w:r>
    </w:p>
    <w:p w:rsidR="009259A6" w:rsidRDefault="009259A6" w:rsidP="006908E7">
      <w:pPr>
        <w:pStyle w:val="ListParagraph"/>
        <w:numPr>
          <w:ilvl w:val="0"/>
          <w:numId w:val="25"/>
        </w:numPr>
        <w:spacing w:after="0" w:line="480" w:lineRule="auto"/>
        <w:ind w:left="0" w:firstLine="0"/>
        <w:jc w:val="left"/>
        <w:rPr>
          <w:rFonts w:cs="Times New Roman"/>
        </w:rPr>
      </w:pPr>
      <w:r>
        <w:rPr>
          <w:rFonts w:cs="Times New Roman"/>
        </w:rPr>
        <w:t>In a letter dated October 25, 2013, the SRB notified the Petitioner’s attorney that it had voted to rescind the Petitioner’s membership and therefore would not take any formal action on her application for accidental disability retirement benefits.  (Exhibit 1.)</w:t>
      </w:r>
    </w:p>
    <w:p w:rsidR="007366D7" w:rsidRDefault="009259A6" w:rsidP="006908E7">
      <w:pPr>
        <w:pStyle w:val="ListParagraph"/>
        <w:numPr>
          <w:ilvl w:val="0"/>
          <w:numId w:val="25"/>
        </w:numPr>
        <w:spacing w:after="0" w:line="480" w:lineRule="auto"/>
        <w:ind w:left="0" w:firstLine="0"/>
        <w:jc w:val="left"/>
        <w:rPr>
          <w:rFonts w:cs="Times New Roman"/>
        </w:rPr>
      </w:pPr>
      <w:r>
        <w:rPr>
          <w:rFonts w:cs="Times New Roman"/>
        </w:rPr>
        <w:t>The Petitioner filed a timely appea</w:t>
      </w:r>
      <w:r w:rsidR="00B831D3">
        <w:rPr>
          <w:rFonts w:cs="Times New Roman"/>
        </w:rPr>
        <w:t>l</w:t>
      </w:r>
      <w:r>
        <w:rPr>
          <w:rFonts w:cs="Times New Roman"/>
        </w:rPr>
        <w:t xml:space="preserve"> on November 4, 2013.  (Exhibit 2.) </w:t>
      </w:r>
      <w:r w:rsidR="007366D7">
        <w:rPr>
          <w:rFonts w:cs="Times New Roman"/>
        </w:rPr>
        <w:t xml:space="preserve">  </w:t>
      </w:r>
    </w:p>
    <w:p w:rsidR="007C0945" w:rsidRDefault="007C0945" w:rsidP="006908E7">
      <w:pPr>
        <w:pStyle w:val="ListParagraph"/>
        <w:numPr>
          <w:ilvl w:val="0"/>
          <w:numId w:val="25"/>
        </w:numPr>
        <w:spacing w:after="0" w:line="480" w:lineRule="auto"/>
        <w:ind w:left="0" w:firstLine="0"/>
        <w:jc w:val="left"/>
        <w:rPr>
          <w:rFonts w:cs="Times New Roman"/>
        </w:rPr>
      </w:pPr>
      <w:r>
        <w:rPr>
          <w:rFonts w:cs="Times New Roman"/>
        </w:rPr>
        <w:t>In a letter to SRB counsel dated July 10, 2015, MTRS counsel noted that it was his understanding that a small number of COTAs had been mistakenly enrolled in the MTRS as the result of misrepresentations that they are licensed exactly like Occupational Therapists.  Counsel noted that there would be no revision of the MTRS decision that the Petitioner was ineligible for membership in the Teachers’ Retirement System.  (Exhibit 8.)</w:t>
      </w:r>
    </w:p>
    <w:p w:rsidR="002D3553" w:rsidRDefault="002D3553" w:rsidP="008A3175">
      <w:pPr>
        <w:pStyle w:val="ListParagraph"/>
        <w:spacing w:after="0" w:line="480" w:lineRule="auto"/>
        <w:ind w:left="0"/>
        <w:jc w:val="left"/>
        <w:rPr>
          <w:rFonts w:cs="Times New Roman"/>
          <w:b/>
        </w:rPr>
      </w:pPr>
      <w:r>
        <w:rPr>
          <w:rFonts w:cs="Times New Roman"/>
        </w:rPr>
        <w:lastRenderedPageBreak/>
        <w:tab/>
      </w:r>
      <w:r>
        <w:rPr>
          <w:rFonts w:cs="Times New Roman"/>
        </w:rPr>
        <w:tab/>
      </w:r>
      <w:r>
        <w:rPr>
          <w:rFonts w:cs="Times New Roman"/>
        </w:rPr>
        <w:tab/>
      </w:r>
      <w:r>
        <w:rPr>
          <w:rFonts w:cs="Times New Roman"/>
        </w:rPr>
        <w:tab/>
      </w:r>
      <w:r w:rsidR="00E26CB4">
        <w:rPr>
          <w:rFonts w:cs="Times New Roman"/>
        </w:rPr>
        <w:t xml:space="preserve">    </w:t>
      </w:r>
      <w:r>
        <w:rPr>
          <w:rFonts w:cs="Times New Roman"/>
          <w:b/>
        </w:rPr>
        <w:t>CONCLUSION</w:t>
      </w:r>
    </w:p>
    <w:p w:rsidR="00CC0532" w:rsidRDefault="002C07B0" w:rsidP="008A3175">
      <w:pPr>
        <w:pStyle w:val="ListParagraph"/>
        <w:spacing w:after="0" w:line="480" w:lineRule="auto"/>
        <w:ind w:left="0"/>
        <w:jc w:val="left"/>
        <w:rPr>
          <w:rFonts w:cs="Times New Roman"/>
        </w:rPr>
      </w:pPr>
      <w:r>
        <w:rPr>
          <w:rFonts w:cs="Times New Roman"/>
          <w:b/>
        </w:rPr>
        <w:tab/>
      </w:r>
      <w:r w:rsidR="00714533">
        <w:rPr>
          <w:rFonts w:cs="Times New Roman"/>
        </w:rPr>
        <w:t xml:space="preserve"> The Petitioner was never eligible for membership in the Massachusetts Teachers Retirement System (MTRS). </w:t>
      </w:r>
      <w:r w:rsidR="00437E14">
        <w:rPr>
          <w:rFonts w:cs="Times New Roman"/>
        </w:rPr>
        <w:t xml:space="preserve"> Prior to 1987, the MTRS used a member’s job title alone to determine whether the individual </w:t>
      </w:r>
      <w:r w:rsidR="00CC0532">
        <w:rPr>
          <w:rFonts w:cs="Times New Roman"/>
        </w:rPr>
        <w:t xml:space="preserve">met the statutory definition of “Teacher” </w:t>
      </w:r>
      <w:r w:rsidR="00AF0648">
        <w:rPr>
          <w:rFonts w:cs="Times New Roman"/>
        </w:rPr>
        <w:t>in</w:t>
      </w:r>
      <w:r w:rsidR="002D2F9D">
        <w:rPr>
          <w:rFonts w:cs="Times New Roman"/>
        </w:rPr>
        <w:t xml:space="preserve"> accordance with G.L. c. 32, § 1.</w:t>
      </w:r>
      <w:r w:rsidR="00AF0648">
        <w:rPr>
          <w:rStyle w:val="FootnoteReference"/>
          <w:rFonts w:cs="Times New Roman"/>
        </w:rPr>
        <w:footnoteReference w:id="2"/>
      </w:r>
      <w:r w:rsidR="002D2F9D">
        <w:rPr>
          <w:rFonts w:cs="Times New Roman"/>
        </w:rPr>
        <w:t xml:space="preserve">  </w:t>
      </w:r>
      <w:r w:rsidR="00CC0532">
        <w:rPr>
          <w:rFonts w:cs="Times New Roman"/>
        </w:rPr>
        <w:t xml:space="preserve">After this narrow interpretation led to subjective eligibility determinations, MTRS enacted 807 CMR 4.02 </w:t>
      </w:r>
      <w:r w:rsidR="002D2F9D">
        <w:rPr>
          <w:rFonts w:cs="Times New Roman"/>
        </w:rPr>
        <w:t xml:space="preserve">in 1987 </w:t>
      </w:r>
      <w:r w:rsidR="00CC0532">
        <w:rPr>
          <w:rFonts w:cs="Times New Roman"/>
        </w:rPr>
        <w:t>and set forth the eligibility criteria previously set forth herein</w:t>
      </w:r>
      <w:r w:rsidR="00714533">
        <w:rPr>
          <w:rFonts w:cs="Times New Roman"/>
        </w:rPr>
        <w:t xml:space="preserve"> </w:t>
      </w:r>
      <w:r w:rsidR="002D2F9D">
        <w:rPr>
          <w:rFonts w:cs="Times New Roman"/>
        </w:rPr>
        <w:t xml:space="preserve">in Finding of Fact #5 </w:t>
      </w:r>
      <w:r w:rsidR="00CC0532">
        <w:rPr>
          <w:rFonts w:cs="Times New Roman"/>
        </w:rPr>
        <w:t xml:space="preserve">in order to include coordinators, </w:t>
      </w:r>
      <w:r w:rsidR="003D1C97">
        <w:rPr>
          <w:rFonts w:cs="Times New Roman"/>
        </w:rPr>
        <w:t xml:space="preserve">school principals, </w:t>
      </w:r>
      <w:r w:rsidR="00CC0532">
        <w:rPr>
          <w:rFonts w:cs="Times New Roman"/>
        </w:rPr>
        <w:t xml:space="preserve">department heads, </w:t>
      </w:r>
      <w:r w:rsidR="003D1C97">
        <w:rPr>
          <w:rFonts w:cs="Times New Roman"/>
        </w:rPr>
        <w:t>school psychologists, school psychiatrist</w:t>
      </w:r>
      <w:r w:rsidR="002D2F9D">
        <w:rPr>
          <w:rFonts w:cs="Times New Roman"/>
        </w:rPr>
        <w:t>s</w:t>
      </w:r>
      <w:r w:rsidR="003D1C97">
        <w:rPr>
          <w:rFonts w:cs="Times New Roman"/>
        </w:rPr>
        <w:t xml:space="preserve">, school adjustment counselors, </w:t>
      </w:r>
      <w:r w:rsidR="00CC0532">
        <w:rPr>
          <w:rFonts w:cs="Times New Roman"/>
        </w:rPr>
        <w:t>and assistant superintendents</w:t>
      </w:r>
      <w:r w:rsidR="00DA78EB">
        <w:rPr>
          <w:rFonts w:cs="Times New Roman"/>
        </w:rPr>
        <w:t>,</w:t>
      </w:r>
      <w:r w:rsidR="00CC0532">
        <w:rPr>
          <w:rFonts w:cs="Times New Roman"/>
        </w:rPr>
        <w:t xml:space="preserve"> notwithstanding the specific position title</w:t>
      </w:r>
      <w:r w:rsidR="002D2F9D">
        <w:rPr>
          <w:rFonts w:cs="Times New Roman"/>
        </w:rPr>
        <w:t>s</w:t>
      </w:r>
      <w:r w:rsidR="00CC0532">
        <w:rPr>
          <w:rFonts w:cs="Times New Roman"/>
        </w:rPr>
        <w:t xml:space="preserve">.  </w:t>
      </w:r>
    </w:p>
    <w:p w:rsidR="002C07B0" w:rsidRDefault="00CC0532" w:rsidP="008A3175">
      <w:pPr>
        <w:pStyle w:val="ListParagraph"/>
        <w:spacing w:after="0" w:line="480" w:lineRule="auto"/>
        <w:ind w:left="0"/>
        <w:jc w:val="left"/>
        <w:rPr>
          <w:rFonts w:cs="Times New Roman"/>
        </w:rPr>
      </w:pPr>
      <w:r>
        <w:rPr>
          <w:rFonts w:cs="Times New Roman"/>
        </w:rPr>
        <w:tab/>
        <w:t>In 1997, the MTRS began accepting licensed OTs who worked in Massachusetts public schools</w:t>
      </w:r>
      <w:r w:rsidR="00DA78EB">
        <w:rPr>
          <w:rFonts w:cs="Times New Roman"/>
        </w:rPr>
        <w:t>,</w:t>
      </w:r>
      <w:r>
        <w:rPr>
          <w:rFonts w:cs="Times New Roman"/>
        </w:rPr>
        <w:t xml:space="preserve"> even though these members were not licensed by the Department of Education.  This shift was sanctioned by the higher courts in Massachusetts as a permissible exercise of the MTRS’s authority to implement the terms of Chapter 32.  </w:t>
      </w:r>
      <w:r>
        <w:rPr>
          <w:rFonts w:cs="Times New Roman"/>
          <w:i/>
        </w:rPr>
        <w:t xml:space="preserve">See Bruen v. Contributory Retirement Appeal Board, </w:t>
      </w:r>
      <w:r w:rsidR="002438BB">
        <w:rPr>
          <w:rFonts w:cs="Times New Roman"/>
        </w:rPr>
        <w:t xml:space="preserve">Suffolk Superior Court, C.A. No. 2004-4307 (Connors, J. December 9, 2005) at p. 5 citing G.L. c. 32, § 20(5) and </w:t>
      </w:r>
      <w:r w:rsidR="002438BB">
        <w:rPr>
          <w:rFonts w:cs="Times New Roman"/>
          <w:i/>
        </w:rPr>
        <w:t>Flanagan v. Contributory Retirement Appeal Board</w:t>
      </w:r>
      <w:r w:rsidR="002438BB">
        <w:rPr>
          <w:rFonts w:cs="Times New Roman"/>
        </w:rPr>
        <w:t>, 51 Mass. App. Ct. 862, 868 (2001).</w:t>
      </w:r>
    </w:p>
    <w:p w:rsidR="002438BB" w:rsidRDefault="002438BB" w:rsidP="008A3175">
      <w:pPr>
        <w:pStyle w:val="ListParagraph"/>
        <w:spacing w:after="0" w:line="480" w:lineRule="auto"/>
        <w:ind w:left="0"/>
        <w:jc w:val="left"/>
        <w:rPr>
          <w:rFonts w:cs="Times New Roman"/>
        </w:rPr>
      </w:pPr>
      <w:r>
        <w:rPr>
          <w:rFonts w:cs="Times New Roman"/>
        </w:rPr>
        <w:tab/>
      </w:r>
      <w:r w:rsidR="00650461">
        <w:rPr>
          <w:rFonts w:cs="Times New Roman"/>
        </w:rPr>
        <w:t>“</w:t>
      </w:r>
      <w:r w:rsidR="002D2F9D">
        <w:rPr>
          <w:rFonts w:cs="Times New Roman"/>
        </w:rPr>
        <w:t xml:space="preserve">The fact that the Petitioner’s responsibilities as a COTA brought her into the classroom setting do not mandate that she was a teacher for purposes of retirement system membership.  </w:t>
      </w:r>
      <w:r w:rsidR="00650461">
        <w:rPr>
          <w:rFonts w:cs="Times New Roman"/>
        </w:rPr>
        <w:t xml:space="preserve">Instead, the statutory scheme authorized by the legislature to govern </w:t>
      </w:r>
      <w:r w:rsidR="00650461">
        <w:rPr>
          <w:rFonts w:cs="Times New Roman"/>
        </w:rPr>
        <w:lastRenderedPageBreak/>
        <w:t xml:space="preserve">pensions under Chapter 32 authorizes the MTRS to implement its terms, consistent with the language of the statute.”  </w:t>
      </w:r>
      <w:r w:rsidR="00650461">
        <w:rPr>
          <w:rFonts w:cs="Times New Roman"/>
          <w:i/>
        </w:rPr>
        <w:t xml:space="preserve">Bruen, </w:t>
      </w:r>
      <w:r w:rsidR="00DA78EB">
        <w:rPr>
          <w:rFonts w:cs="Times New Roman"/>
          <w:i/>
        </w:rPr>
        <w:t>s</w:t>
      </w:r>
      <w:r w:rsidR="00650461">
        <w:rPr>
          <w:rFonts w:cs="Times New Roman"/>
          <w:i/>
        </w:rPr>
        <w:t xml:space="preserve">upra </w:t>
      </w:r>
      <w:r w:rsidR="00650461">
        <w:rPr>
          <w:rFonts w:cs="Times New Roman"/>
        </w:rPr>
        <w:t xml:space="preserve">at p. 5, citing </w:t>
      </w:r>
      <w:r w:rsidR="00650461">
        <w:rPr>
          <w:rFonts w:cs="Times New Roman"/>
          <w:i/>
        </w:rPr>
        <w:t xml:space="preserve">Flanagan, supra </w:t>
      </w:r>
      <w:r w:rsidR="00650461">
        <w:rPr>
          <w:rFonts w:cs="Times New Roman"/>
        </w:rPr>
        <w:t xml:space="preserve">at p. 868.   </w:t>
      </w:r>
      <w:r>
        <w:rPr>
          <w:rFonts w:cs="Times New Roman"/>
        </w:rPr>
        <w:t>The Petitioner in this case was never formally employed as</w:t>
      </w:r>
      <w:r w:rsidR="00650461">
        <w:rPr>
          <w:rFonts w:cs="Times New Roman"/>
        </w:rPr>
        <w:t>, and never functioned a</w:t>
      </w:r>
      <w:r>
        <w:rPr>
          <w:rFonts w:cs="Times New Roman"/>
        </w:rPr>
        <w:t xml:space="preserve">s an OT.  OTs held a different licensure per the Board of Allied Health </w:t>
      </w:r>
      <w:r w:rsidR="00DA78EB">
        <w:rPr>
          <w:rFonts w:cs="Times New Roman"/>
        </w:rPr>
        <w:t xml:space="preserve">Professions </w:t>
      </w:r>
      <w:r>
        <w:rPr>
          <w:rFonts w:cs="Times New Roman"/>
        </w:rPr>
        <w:t>regulations.  They also completed a higher level of schooling.  The Petitioner’s work as a</w:t>
      </w:r>
      <w:r w:rsidR="00341829">
        <w:rPr>
          <w:rFonts w:cs="Times New Roman"/>
        </w:rPr>
        <w:t xml:space="preserve"> C</w:t>
      </w:r>
      <w:r>
        <w:rPr>
          <w:rFonts w:cs="Times New Roman"/>
        </w:rPr>
        <w:t>OTA was always performed under the supervision of an OT.  The OT was the person who created the IEPs and the individual student’s goals.  Ergo, the Petitioner’s role was more akin to that of a teacher’s aide, assistant or tutor than that of a classroom teacher or any other position included in Chapter 32</w:t>
      </w:r>
      <w:r w:rsidR="00A44EED">
        <w:rPr>
          <w:rFonts w:cs="Times New Roman"/>
        </w:rPr>
        <w:t>,</w:t>
      </w:r>
      <w:r>
        <w:rPr>
          <w:rFonts w:cs="Times New Roman"/>
        </w:rPr>
        <w:t xml:space="preserve"> § 1 or 807 CMR 4.02.</w:t>
      </w:r>
    </w:p>
    <w:p w:rsidR="00CA2D0A" w:rsidRDefault="00A44EED" w:rsidP="00A44EED">
      <w:pPr>
        <w:pStyle w:val="ListParagraph"/>
        <w:spacing w:after="0" w:line="480" w:lineRule="auto"/>
        <w:ind w:left="0"/>
        <w:jc w:val="left"/>
        <w:rPr>
          <w:rFonts w:cs="Times New Roman"/>
        </w:rPr>
      </w:pPr>
      <w:r>
        <w:rPr>
          <w:rFonts w:cs="Times New Roman"/>
        </w:rPr>
        <w:tab/>
        <w:t xml:space="preserve">It is a precedent in retirement case law that “assistant “ service, i.e. teaching assistant, research assistant, tutor, instructor, or other positions that involve some teaching but are not full-fledged “teachers” are not “teachers” within the definition of that term in G.L. c. 32, § 1.  </w:t>
      </w:r>
      <w:r>
        <w:rPr>
          <w:rFonts w:cs="Times New Roman"/>
          <w:i/>
        </w:rPr>
        <w:t>See Pichney v. MTRS,</w:t>
      </w:r>
      <w:r>
        <w:rPr>
          <w:rFonts w:cs="Times New Roman"/>
        </w:rPr>
        <w:t xml:space="preserve"> CR-12-46 (DALA 11/20/15) (No CRAB Decision) (Instructional Aide position did not qualify as service as an MTRS member for purposes of RetirementPlus); </w:t>
      </w:r>
      <w:r>
        <w:rPr>
          <w:rFonts w:cs="Times New Roman"/>
          <w:i/>
        </w:rPr>
        <w:t>Tosti v. MTRS</w:t>
      </w:r>
      <w:r>
        <w:rPr>
          <w:rFonts w:cs="Times New Roman"/>
        </w:rPr>
        <w:t xml:space="preserve">, CR-95-807 (DALA 9/13/96; CRAB 2/5/97) out of state service purchase case, research assistant not a teacher); </w:t>
      </w:r>
      <w:r>
        <w:rPr>
          <w:rFonts w:cs="Times New Roman"/>
          <w:i/>
        </w:rPr>
        <w:t>Bergin v. MTRS</w:t>
      </w:r>
      <w:r>
        <w:rPr>
          <w:rFonts w:cs="Times New Roman"/>
        </w:rPr>
        <w:t xml:space="preserve">, CR-94-1194 (DALA 4/12/96) (No CRAB Decision) (tutor in the Waltham public schools not a teacher); </w:t>
      </w:r>
      <w:r>
        <w:rPr>
          <w:rFonts w:cs="Times New Roman"/>
          <w:i/>
        </w:rPr>
        <w:t>Bevelander v. MTRS</w:t>
      </w:r>
      <w:r>
        <w:rPr>
          <w:rFonts w:cs="Times New Roman"/>
        </w:rPr>
        <w:t xml:space="preserve">, CR-95-749 (DALA 9/13/96; CRAB </w:t>
      </w:r>
      <w:r w:rsidR="00F1336E">
        <w:rPr>
          <w:rFonts w:cs="Times New Roman"/>
        </w:rPr>
        <w:t xml:space="preserve">2/5/97) out of state, part-time teaching assistant and full time </w:t>
      </w:r>
      <w:r w:rsidR="00DA78EB">
        <w:rPr>
          <w:rFonts w:cs="Times New Roman"/>
        </w:rPr>
        <w:t>i</w:t>
      </w:r>
      <w:r w:rsidR="00F1336E">
        <w:rPr>
          <w:rFonts w:cs="Times New Roman"/>
        </w:rPr>
        <w:t xml:space="preserve">nstructor not “teacher”); and, </w:t>
      </w:r>
      <w:r w:rsidR="00F1336E">
        <w:rPr>
          <w:rFonts w:cs="Times New Roman"/>
          <w:i/>
        </w:rPr>
        <w:t>Lachance v. MTRS</w:t>
      </w:r>
      <w:r w:rsidR="00F1336E">
        <w:rPr>
          <w:rFonts w:cs="Times New Roman"/>
        </w:rPr>
        <w:t>, CR-00-1037 (DALA 8/10/01; CRAB 3/21/02) (out of state research assistant not a teacher.)</w:t>
      </w:r>
    </w:p>
    <w:p w:rsidR="00F1336E" w:rsidRDefault="00F1336E" w:rsidP="00A44EED">
      <w:pPr>
        <w:pStyle w:val="ListParagraph"/>
        <w:spacing w:after="0" w:line="480" w:lineRule="auto"/>
        <w:ind w:left="0"/>
        <w:jc w:val="left"/>
        <w:rPr>
          <w:rFonts w:cs="Times New Roman"/>
        </w:rPr>
      </w:pPr>
      <w:r>
        <w:rPr>
          <w:rFonts w:cs="Times New Roman"/>
        </w:rPr>
        <w:tab/>
        <w:t xml:space="preserve">In each of the cases cited, the employee performed services consistent with the conventional notion of a teaching assistant or research assistant and assisted the </w:t>
      </w:r>
      <w:r>
        <w:rPr>
          <w:rFonts w:cs="Times New Roman"/>
        </w:rPr>
        <w:lastRenderedPageBreak/>
        <w:t>classroom teacher or professor with the coursework.  A</w:t>
      </w:r>
      <w:r w:rsidR="00DA78EB">
        <w:rPr>
          <w:rFonts w:cs="Times New Roman"/>
        </w:rPr>
        <w:t xml:space="preserve">lthough </w:t>
      </w:r>
      <w:r>
        <w:rPr>
          <w:rFonts w:cs="Times New Roman"/>
        </w:rPr>
        <w:t>the MTR</w:t>
      </w:r>
      <w:r w:rsidR="00341829">
        <w:rPr>
          <w:rFonts w:cs="Times New Roman"/>
        </w:rPr>
        <w:t>s</w:t>
      </w:r>
      <w:r>
        <w:rPr>
          <w:rFonts w:cs="Times New Roman"/>
        </w:rPr>
        <w:t xml:space="preserve"> enrolls OTs as members in the system, there is no basis for expanding that enrollment to </w:t>
      </w:r>
      <w:r w:rsidR="00341829">
        <w:rPr>
          <w:rFonts w:cs="Times New Roman"/>
        </w:rPr>
        <w:t>C</w:t>
      </w:r>
      <w:r>
        <w:rPr>
          <w:rFonts w:cs="Times New Roman"/>
        </w:rPr>
        <w:t>OTAs, much as there has been no basis for enrolling teaching assistants or tutors.</w:t>
      </w:r>
    </w:p>
    <w:p w:rsidR="00FA49D9" w:rsidRDefault="00FA49D9" w:rsidP="00A44EED">
      <w:pPr>
        <w:pStyle w:val="ListParagraph"/>
        <w:spacing w:after="0" w:line="480" w:lineRule="auto"/>
        <w:ind w:left="0"/>
        <w:jc w:val="left"/>
        <w:rPr>
          <w:rFonts w:cs="Times New Roman"/>
        </w:rPr>
      </w:pPr>
      <w:r>
        <w:rPr>
          <w:rFonts w:cs="Times New Roman"/>
        </w:rPr>
        <w:tab/>
        <w:t xml:space="preserve">The MTRS is also correct in </w:t>
      </w:r>
      <w:r w:rsidR="00DA78EB">
        <w:rPr>
          <w:rFonts w:cs="Times New Roman"/>
        </w:rPr>
        <w:t>its</w:t>
      </w:r>
      <w:r>
        <w:rPr>
          <w:rFonts w:cs="Times New Roman"/>
        </w:rPr>
        <w:t xml:space="preserve"> contention that it is not bound by the erroneous enrollment of a few other Shrewsbury OTAs.  Errors by agency staff in excess of the proper exercise of agency authority do not bind that agency to a course of action not authorized by law.  </w:t>
      </w:r>
      <w:r>
        <w:rPr>
          <w:rFonts w:cs="Times New Roman"/>
          <w:i/>
        </w:rPr>
        <w:t>See Moynahan v. Essex Retirement Board</w:t>
      </w:r>
      <w:r>
        <w:rPr>
          <w:rFonts w:cs="Times New Roman"/>
        </w:rPr>
        <w:t xml:space="preserve">, Essex Superior Court, Civil Action No. 94-859-B (Sikora, J. October 1998) and </w:t>
      </w:r>
      <w:r>
        <w:rPr>
          <w:rFonts w:cs="Times New Roman"/>
          <w:i/>
        </w:rPr>
        <w:t>Doris v. Police Commissioner of Boston</w:t>
      </w:r>
      <w:r>
        <w:rPr>
          <w:rFonts w:cs="Times New Roman"/>
        </w:rPr>
        <w:t>, 374 Mass. 443, 449-50 (1978).  G.L. c. 32, § 20(5) requires that when errors are detected by the retirement system, benefits shall, if “practicable,” be adjusted to correct the mistake.  The MTRS has embarked on the more practica</w:t>
      </w:r>
      <w:r w:rsidR="00341829">
        <w:rPr>
          <w:rFonts w:cs="Times New Roman"/>
        </w:rPr>
        <w:t>ble</w:t>
      </w:r>
      <w:r>
        <w:rPr>
          <w:rFonts w:cs="Times New Roman"/>
        </w:rPr>
        <w:t xml:space="preserve"> and common sense solution to correct the enrollment error of OTAs prospectively.</w:t>
      </w:r>
      <w:r w:rsidR="00341829">
        <w:rPr>
          <w:rFonts w:cs="Times New Roman"/>
        </w:rPr>
        <w:t xml:space="preserve">  Thus, the MTRS is not estopped from declining to enroll the Petitioner as a member of the system.  </w:t>
      </w:r>
    </w:p>
    <w:p w:rsidR="00FA49D9" w:rsidRDefault="00FA49D9" w:rsidP="00A44EED">
      <w:pPr>
        <w:pStyle w:val="ListParagraph"/>
        <w:spacing w:after="0" w:line="480" w:lineRule="auto"/>
        <w:ind w:left="0"/>
        <w:jc w:val="left"/>
        <w:rPr>
          <w:rFonts w:cs="Times New Roman"/>
        </w:rPr>
      </w:pPr>
      <w:r>
        <w:rPr>
          <w:rFonts w:cs="Times New Roman"/>
        </w:rPr>
        <w:tab/>
        <w:t xml:space="preserve">The resolution of this appeal is rendered without any analysis </w:t>
      </w:r>
      <w:r w:rsidR="00EB1C33">
        <w:rPr>
          <w:rFonts w:cs="Times New Roman"/>
        </w:rPr>
        <w:t xml:space="preserve">of the policy of proportional retirement system liability manifested in G.L. c. 32, § 3(8)(c).  The SRB has effectively argued that </w:t>
      </w:r>
      <w:r w:rsidR="00DA78EB">
        <w:rPr>
          <w:rFonts w:cs="Times New Roman"/>
        </w:rPr>
        <w:t xml:space="preserve">the decision in </w:t>
      </w:r>
      <w:r w:rsidR="00EB1C33">
        <w:rPr>
          <w:rFonts w:cs="Times New Roman"/>
          <w:i/>
        </w:rPr>
        <w:t xml:space="preserve">Haverhill Retirement System v. CRAB, </w:t>
      </w:r>
      <w:r w:rsidR="00EB1C33">
        <w:rPr>
          <w:rFonts w:cs="Times New Roman"/>
        </w:rPr>
        <w:t>82 Mass. 129 (2012) is not controlling as it does not pertain to accidental disability retirement cases.  However, the Petitioner was at all pertinent times properly enrolled in the SRS</w:t>
      </w:r>
      <w:r w:rsidR="00341829">
        <w:rPr>
          <w:rFonts w:cs="Times New Roman"/>
        </w:rPr>
        <w:t xml:space="preserve"> and made contributions thereto for several years.</w:t>
      </w:r>
      <w:r w:rsidR="00EB1C33">
        <w:rPr>
          <w:rFonts w:cs="Times New Roman"/>
        </w:rPr>
        <w:t xml:space="preserve">  </w:t>
      </w:r>
    </w:p>
    <w:p w:rsidR="00DA78EB" w:rsidRDefault="00EB1C33" w:rsidP="00A44EED">
      <w:pPr>
        <w:pStyle w:val="ListParagraph"/>
        <w:spacing w:after="0" w:line="480" w:lineRule="auto"/>
        <w:ind w:left="0"/>
        <w:jc w:val="left"/>
        <w:rPr>
          <w:rFonts w:cs="Times New Roman"/>
        </w:rPr>
      </w:pPr>
      <w:r>
        <w:rPr>
          <w:rFonts w:cs="Times New Roman"/>
        </w:rPr>
        <w:tab/>
        <w:t xml:space="preserve">In conclusion, the SRB erroneously rescinded the Petitioner’s membership in said retirement system and wrongfully opted to take no action on her application for </w:t>
      </w:r>
    </w:p>
    <w:p w:rsidR="00DA78EB" w:rsidRDefault="00DA78EB" w:rsidP="00A44EED">
      <w:pPr>
        <w:pStyle w:val="ListParagraph"/>
        <w:spacing w:after="0" w:line="480" w:lineRule="auto"/>
        <w:ind w:left="0"/>
        <w:jc w:val="left"/>
        <w:rPr>
          <w:rFonts w:cs="Times New Roman"/>
        </w:rPr>
      </w:pPr>
    </w:p>
    <w:p w:rsidR="00EB1C33" w:rsidRDefault="00EB1C33" w:rsidP="00A44EED">
      <w:pPr>
        <w:pStyle w:val="ListParagraph"/>
        <w:spacing w:after="0" w:line="480" w:lineRule="auto"/>
        <w:ind w:left="0"/>
        <w:jc w:val="left"/>
        <w:rPr>
          <w:rFonts w:cs="Times New Roman"/>
        </w:rPr>
      </w:pPr>
      <w:r>
        <w:rPr>
          <w:rFonts w:cs="Times New Roman"/>
        </w:rPr>
        <w:lastRenderedPageBreak/>
        <w:t>accidental disability retirement benefits.  This matter is remanded to the SRB to correct these digressions and render its vote on her Section 7 application.</w:t>
      </w:r>
    </w:p>
    <w:p w:rsidR="00EB1C33" w:rsidRPr="00EB1C33" w:rsidRDefault="00EB1C33" w:rsidP="00A44EED">
      <w:pPr>
        <w:pStyle w:val="ListParagraph"/>
        <w:spacing w:after="0" w:line="480" w:lineRule="auto"/>
        <w:ind w:left="0"/>
        <w:jc w:val="left"/>
      </w:pPr>
      <w:r>
        <w:rPr>
          <w:rFonts w:cs="Times New Roman"/>
        </w:rPr>
        <w:tab/>
        <w:t>So ordered.</w:t>
      </w:r>
    </w:p>
    <w:p w:rsidR="00CA2D0A" w:rsidRDefault="00CA2D0A" w:rsidP="00CA2D0A">
      <w:pPr>
        <w:spacing w:after="0"/>
        <w:ind w:firstLine="720"/>
        <w:jc w:val="both"/>
      </w:pPr>
      <w:r>
        <w:t>Division of Administrative Law Appeals,</w:t>
      </w:r>
    </w:p>
    <w:p w:rsidR="00CA2D0A" w:rsidRDefault="00CA2D0A" w:rsidP="00CA2D0A">
      <w:pPr>
        <w:spacing w:after="0"/>
        <w:ind w:firstLine="720"/>
        <w:jc w:val="both"/>
      </w:pPr>
      <w:r>
        <w:t xml:space="preserve">BY: </w:t>
      </w:r>
    </w:p>
    <w:p w:rsidR="00176830" w:rsidRPr="001F1268" w:rsidRDefault="00CA2D0A" w:rsidP="00176830">
      <w:pPr>
        <w:spacing w:after="0"/>
        <w:jc w:val="left"/>
        <w:rPr>
          <w:rFonts w:eastAsia="Times New Roman" w:cs="Times New Roman"/>
          <w:szCs w:val="24"/>
          <w:u w:val="single"/>
        </w:rPr>
      </w:pPr>
      <w:r>
        <w:rPr>
          <w:rFonts w:eastAsia="Times New Roman" w:cs="Times New Roman"/>
          <w:caps/>
          <w:szCs w:val="24"/>
        </w:rPr>
        <w:t xml:space="preserve">           </w:t>
      </w:r>
      <w:r w:rsidR="00176830" w:rsidRPr="001F1268">
        <w:rPr>
          <w:rFonts w:eastAsia="Times New Roman" w:cs="Times New Roman"/>
          <w:caps/>
          <w:szCs w:val="24"/>
        </w:rPr>
        <w:t>____________________________________________</w:t>
      </w:r>
    </w:p>
    <w:p w:rsidR="00176830" w:rsidRPr="001F1268" w:rsidRDefault="00CA2D0A" w:rsidP="00176830">
      <w:pPr>
        <w:spacing w:after="0"/>
        <w:jc w:val="left"/>
        <w:rPr>
          <w:rFonts w:eastAsia="Times New Roman" w:cs="Times New Roman"/>
          <w:szCs w:val="24"/>
        </w:rPr>
      </w:pPr>
      <w:r>
        <w:rPr>
          <w:rFonts w:eastAsia="Times New Roman" w:cs="Times New Roman"/>
          <w:szCs w:val="24"/>
        </w:rPr>
        <w:t xml:space="preserve">          </w:t>
      </w:r>
      <w:r w:rsidR="00D34626">
        <w:rPr>
          <w:rFonts w:eastAsia="Times New Roman" w:cs="Times New Roman"/>
          <w:szCs w:val="24"/>
        </w:rPr>
        <w:t>Judithann Burke</w:t>
      </w:r>
      <w:r w:rsidR="00176830" w:rsidRPr="001F1268">
        <w:rPr>
          <w:rFonts w:eastAsia="Times New Roman" w:cs="Times New Roman"/>
          <w:szCs w:val="24"/>
        </w:rPr>
        <w:t>, Esq.</w:t>
      </w:r>
      <w:r w:rsidR="00FA6B03">
        <w:rPr>
          <w:rFonts w:eastAsia="Times New Roman" w:cs="Times New Roman"/>
          <w:szCs w:val="24"/>
        </w:rPr>
        <w:t xml:space="preserve">, </w:t>
      </w:r>
    </w:p>
    <w:p w:rsidR="00A27AAA" w:rsidRDefault="00CA2D0A" w:rsidP="00176830">
      <w:pPr>
        <w:spacing w:after="0"/>
        <w:jc w:val="left"/>
        <w:rPr>
          <w:rFonts w:eastAsia="Times New Roman" w:cs="Times New Roman"/>
          <w:szCs w:val="24"/>
        </w:rPr>
      </w:pPr>
      <w:r>
        <w:rPr>
          <w:rFonts w:eastAsia="Times New Roman" w:cs="Times New Roman"/>
          <w:szCs w:val="24"/>
        </w:rPr>
        <w:t xml:space="preserve">         </w:t>
      </w:r>
      <w:r w:rsidR="00176830" w:rsidRPr="001F1268">
        <w:rPr>
          <w:rFonts w:eastAsia="Times New Roman" w:cs="Times New Roman"/>
          <w:szCs w:val="24"/>
        </w:rPr>
        <w:t>Administrative Magistrate</w:t>
      </w:r>
      <w:r w:rsidR="001428CA">
        <w:rPr>
          <w:rFonts w:eastAsia="Times New Roman" w:cs="Times New Roman"/>
          <w:szCs w:val="24"/>
        </w:rPr>
        <w:tab/>
      </w:r>
      <w:r w:rsidR="001428CA">
        <w:rPr>
          <w:rFonts w:eastAsia="Times New Roman" w:cs="Times New Roman"/>
          <w:szCs w:val="24"/>
        </w:rPr>
        <w:tab/>
        <w:t xml:space="preserve">  </w:t>
      </w:r>
      <w:r w:rsidR="001428CA">
        <w:rPr>
          <w:rFonts w:eastAsia="Times New Roman" w:cs="Times New Roman"/>
          <w:szCs w:val="24"/>
        </w:rPr>
        <w:tab/>
      </w:r>
    </w:p>
    <w:p w:rsidR="00A27AAA" w:rsidRDefault="00A27AAA" w:rsidP="00176830">
      <w:pPr>
        <w:spacing w:after="0"/>
        <w:jc w:val="left"/>
        <w:rPr>
          <w:rFonts w:eastAsia="Times New Roman" w:cs="Times New Roman"/>
          <w:szCs w:val="24"/>
        </w:rPr>
      </w:pPr>
    </w:p>
    <w:p w:rsidR="00176830" w:rsidRPr="001F1268" w:rsidRDefault="001428CA" w:rsidP="00176830">
      <w:pPr>
        <w:spacing w:after="0"/>
        <w:jc w:val="left"/>
        <w:rPr>
          <w:rFonts w:eastAsia="Times New Roman" w:cs="Times New Roman"/>
          <w:szCs w:val="24"/>
        </w:rPr>
      </w:pPr>
      <w:r>
        <w:rPr>
          <w:rFonts w:eastAsia="Times New Roman" w:cs="Times New Roman"/>
          <w:szCs w:val="24"/>
        </w:rPr>
        <w:t xml:space="preserve">DATED:  </w:t>
      </w:r>
      <w:r w:rsidR="00A27AAA">
        <w:rPr>
          <w:rFonts w:eastAsia="Times New Roman" w:cs="Times New Roman"/>
          <w:szCs w:val="24"/>
        </w:rPr>
        <w:t xml:space="preserve">February </w:t>
      </w:r>
      <w:r w:rsidR="002C07B0">
        <w:rPr>
          <w:rFonts w:eastAsia="Times New Roman" w:cs="Times New Roman"/>
          <w:szCs w:val="24"/>
        </w:rPr>
        <w:t>24,</w:t>
      </w:r>
      <w:r>
        <w:rPr>
          <w:rFonts w:eastAsia="Times New Roman" w:cs="Times New Roman"/>
          <w:szCs w:val="24"/>
        </w:rPr>
        <w:t xml:space="preserve"> 201</w:t>
      </w:r>
      <w:r w:rsidR="00A27AAA">
        <w:rPr>
          <w:rFonts w:eastAsia="Times New Roman" w:cs="Times New Roman"/>
          <w:szCs w:val="24"/>
        </w:rPr>
        <w:t>7</w:t>
      </w:r>
      <w:r>
        <w:rPr>
          <w:rFonts w:eastAsia="Times New Roman" w:cs="Times New Roman"/>
          <w:szCs w:val="24"/>
        </w:rPr>
        <w:tab/>
      </w:r>
      <w:r>
        <w:rPr>
          <w:rFonts w:eastAsia="Times New Roman" w:cs="Times New Roman"/>
          <w:szCs w:val="24"/>
        </w:rPr>
        <w:tab/>
      </w:r>
    </w:p>
    <w:p w:rsidR="001F6DB6" w:rsidRDefault="001F6DB6" w:rsidP="00176830">
      <w:pPr>
        <w:spacing w:after="0"/>
        <w:jc w:val="left"/>
        <w:rPr>
          <w:rFonts w:eastAsia="Times New Roman" w:cs="Times New Roman"/>
          <w:szCs w:val="24"/>
        </w:rPr>
      </w:pPr>
    </w:p>
    <w:p w:rsidR="00176830" w:rsidRPr="001F1268" w:rsidRDefault="001428CA" w:rsidP="00176830">
      <w:pPr>
        <w:spacing w:after="0"/>
        <w:jc w:val="left"/>
        <w:rPr>
          <w:rFonts w:eastAsia="Times New Roman" w:cs="Times New Roman"/>
          <w:szCs w:val="24"/>
        </w:rPr>
      </w:pPr>
      <w:r>
        <w:rPr>
          <w:rFonts w:eastAsia="Times New Roman" w:cs="Times New Roman"/>
          <w:szCs w:val="24"/>
        </w:rPr>
        <w:t xml:space="preserve"> </w:t>
      </w:r>
    </w:p>
    <w:p w:rsidR="00176830" w:rsidRPr="001F1268" w:rsidRDefault="00176830" w:rsidP="00176830">
      <w:pPr>
        <w:spacing w:after="0" w:line="480" w:lineRule="auto"/>
        <w:contextualSpacing/>
        <w:jc w:val="left"/>
        <w:rPr>
          <w:rFonts w:eastAsia="Times New Roman" w:cs="Times New Roman"/>
          <w:szCs w:val="24"/>
        </w:rPr>
      </w:pPr>
    </w:p>
    <w:sectPr w:rsidR="00176830" w:rsidRPr="001F1268" w:rsidSect="00A87C6F">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3C" w:rsidRDefault="008C2D3C" w:rsidP="00176830">
      <w:pPr>
        <w:spacing w:after="0"/>
      </w:pPr>
      <w:r>
        <w:separator/>
      </w:r>
    </w:p>
  </w:endnote>
  <w:endnote w:type="continuationSeparator" w:id="0">
    <w:p w:rsidR="008C2D3C" w:rsidRDefault="008C2D3C" w:rsidP="00176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20921"/>
      <w:docPartObj>
        <w:docPartGallery w:val="Page Numbers (Bottom of Page)"/>
        <w:docPartUnique/>
      </w:docPartObj>
    </w:sdtPr>
    <w:sdtEndPr>
      <w:rPr>
        <w:noProof/>
      </w:rPr>
    </w:sdtEndPr>
    <w:sdtContent>
      <w:p w:rsidR="008130E3" w:rsidRDefault="006E4823">
        <w:pPr>
          <w:pStyle w:val="Footer"/>
        </w:pPr>
        <w:r>
          <w:fldChar w:fldCharType="begin"/>
        </w:r>
        <w:r>
          <w:instrText xml:space="preserve"> PAGE   \* MERGEFORMAT </w:instrText>
        </w:r>
        <w:r>
          <w:fldChar w:fldCharType="separate"/>
        </w:r>
        <w:r w:rsidR="002D7D2B">
          <w:rPr>
            <w:noProof/>
          </w:rPr>
          <w:t>2</w:t>
        </w:r>
        <w:r>
          <w:rPr>
            <w:noProof/>
          </w:rPr>
          <w:fldChar w:fldCharType="end"/>
        </w:r>
      </w:p>
    </w:sdtContent>
  </w:sdt>
  <w:p w:rsidR="008130E3" w:rsidRDefault="00813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3C" w:rsidRDefault="008C2D3C" w:rsidP="00176830">
      <w:pPr>
        <w:spacing w:after="0"/>
      </w:pPr>
      <w:r>
        <w:separator/>
      </w:r>
    </w:p>
  </w:footnote>
  <w:footnote w:type="continuationSeparator" w:id="0">
    <w:p w:rsidR="008C2D3C" w:rsidRDefault="008C2D3C" w:rsidP="00176830">
      <w:pPr>
        <w:spacing w:after="0"/>
      </w:pPr>
      <w:r>
        <w:continuationSeparator/>
      </w:r>
    </w:p>
  </w:footnote>
  <w:footnote w:id="1">
    <w:p w:rsidR="00A27AAA" w:rsidRDefault="006B429F" w:rsidP="006B429F">
      <w:pPr>
        <w:pStyle w:val="FootnoteText"/>
        <w:jc w:val="both"/>
      </w:pPr>
      <w:r>
        <w:rPr>
          <w:rStyle w:val="FootnoteReference"/>
        </w:rPr>
        <w:footnoteRef/>
      </w:r>
      <w:r>
        <w:t xml:space="preserve">259 CMR 3.02 </w:t>
      </w:r>
      <w:r w:rsidR="00A27AAA">
        <w:t>provides as follows:</w:t>
      </w:r>
    </w:p>
    <w:p w:rsidR="00A27AAA" w:rsidRDefault="00A27AAA" w:rsidP="006B429F">
      <w:pPr>
        <w:pStyle w:val="FootnoteText"/>
        <w:jc w:val="both"/>
      </w:pPr>
    </w:p>
    <w:p w:rsidR="006B429F" w:rsidRDefault="00A27AAA" w:rsidP="006B429F">
      <w:pPr>
        <w:pStyle w:val="FootnoteText"/>
        <w:jc w:val="both"/>
      </w:pPr>
      <w:r>
        <w:rPr>
          <w:b/>
        </w:rPr>
        <w:t>(2)</w:t>
      </w:r>
      <w:r w:rsidR="006B429F">
        <w:t xml:space="preserve"> </w:t>
      </w:r>
      <w:r w:rsidR="006B429F">
        <w:rPr>
          <w:b/>
        </w:rPr>
        <w:t xml:space="preserve">Supervision of Occupational Therapy Assistants and Occupational Therapy Aides. </w:t>
      </w:r>
      <w:r w:rsidR="006B429F">
        <w:t>Adequate supervision of occupational therapy assistants and occupational therapy aides requires, at a minimum, that a supervising occupational therapist perform the following:</w:t>
      </w:r>
    </w:p>
    <w:p w:rsidR="006B429F" w:rsidRDefault="006B429F" w:rsidP="006B429F">
      <w:pPr>
        <w:pStyle w:val="FootnoteText"/>
        <w:numPr>
          <w:ilvl w:val="0"/>
          <w:numId w:val="26"/>
        </w:numPr>
        <w:jc w:val="both"/>
      </w:pPr>
      <w:r>
        <w:t>provide initial evaluation;</w:t>
      </w:r>
    </w:p>
    <w:p w:rsidR="006B429F" w:rsidRDefault="006B429F" w:rsidP="006B429F">
      <w:pPr>
        <w:pStyle w:val="FootnoteText"/>
        <w:numPr>
          <w:ilvl w:val="0"/>
          <w:numId w:val="26"/>
        </w:numPr>
        <w:jc w:val="both"/>
      </w:pPr>
      <w:r>
        <w:t>interpret available information concerning the individual under care;</w:t>
      </w:r>
    </w:p>
    <w:p w:rsidR="006B429F" w:rsidRDefault="006B429F" w:rsidP="006B429F">
      <w:pPr>
        <w:pStyle w:val="FootnoteText"/>
        <w:numPr>
          <w:ilvl w:val="0"/>
          <w:numId w:val="26"/>
        </w:numPr>
        <w:jc w:val="both"/>
      </w:pPr>
      <w:r>
        <w:t>develop plan of care, including long and short-term goals;</w:t>
      </w:r>
    </w:p>
    <w:p w:rsidR="006B429F" w:rsidRDefault="006B429F" w:rsidP="006B429F">
      <w:pPr>
        <w:pStyle w:val="FootnoteText"/>
        <w:numPr>
          <w:ilvl w:val="0"/>
          <w:numId w:val="26"/>
        </w:numPr>
        <w:jc w:val="both"/>
      </w:pPr>
      <w:r>
        <w:t>identify and document precautions, special problems, contraindications, anticipated progress, and plans for re-evaluation;</w:t>
      </w:r>
    </w:p>
    <w:p w:rsidR="006B429F" w:rsidRDefault="006B429F" w:rsidP="006B429F">
      <w:pPr>
        <w:pStyle w:val="FootnoteText"/>
        <w:numPr>
          <w:ilvl w:val="0"/>
          <w:numId w:val="26"/>
        </w:numPr>
        <w:jc w:val="both"/>
      </w:pPr>
      <w:r>
        <w:t>select and delegate appropriate tasks in the plan of care;</w:t>
      </w:r>
    </w:p>
    <w:p w:rsidR="006B429F" w:rsidRDefault="006B429F" w:rsidP="006B429F">
      <w:pPr>
        <w:pStyle w:val="FootnoteText"/>
        <w:numPr>
          <w:ilvl w:val="0"/>
          <w:numId w:val="26"/>
        </w:numPr>
        <w:jc w:val="both"/>
      </w:pPr>
      <w:r>
        <w:t>designate or establish channels of written and oral communication;</w:t>
      </w:r>
    </w:p>
    <w:p w:rsidR="006B429F" w:rsidRDefault="006B429F" w:rsidP="006B429F">
      <w:pPr>
        <w:pStyle w:val="FootnoteText"/>
        <w:numPr>
          <w:ilvl w:val="0"/>
          <w:numId w:val="26"/>
        </w:numPr>
        <w:jc w:val="both"/>
      </w:pPr>
      <w:r>
        <w:t>assess competence of supportive personnel</w:t>
      </w:r>
      <w:r w:rsidR="00A27AAA">
        <w:t xml:space="preserve"> </w:t>
      </w:r>
      <w:r>
        <w:t xml:space="preserve">to perform tasks; </w:t>
      </w:r>
    </w:p>
    <w:p w:rsidR="006B429F" w:rsidRDefault="006B429F" w:rsidP="006B429F">
      <w:pPr>
        <w:pStyle w:val="FootnoteText"/>
        <w:numPr>
          <w:ilvl w:val="0"/>
          <w:numId w:val="26"/>
        </w:numPr>
        <w:jc w:val="both"/>
      </w:pPr>
      <w:r>
        <w:t>direct and supervise supportive personnel in delegated tasks; and</w:t>
      </w:r>
    </w:p>
    <w:p w:rsidR="006B429F" w:rsidRDefault="006B429F" w:rsidP="006B429F">
      <w:pPr>
        <w:pStyle w:val="FootnoteText"/>
        <w:numPr>
          <w:ilvl w:val="0"/>
          <w:numId w:val="26"/>
        </w:numPr>
        <w:jc w:val="both"/>
      </w:pPr>
      <w:r>
        <w:t>re-evaluate, adjust plan of care when necessary, perform final evaluation</w:t>
      </w:r>
      <w:r w:rsidR="00A27AAA">
        <w:t xml:space="preserve"> and establish follow-up plan.</w:t>
      </w:r>
    </w:p>
    <w:p w:rsidR="00A27AAA" w:rsidRDefault="00A27AAA" w:rsidP="00A27AAA">
      <w:pPr>
        <w:pStyle w:val="FootnoteText"/>
        <w:jc w:val="both"/>
        <w:rPr>
          <w:b/>
        </w:rPr>
      </w:pPr>
    </w:p>
    <w:p w:rsidR="00A27AAA" w:rsidRDefault="00A27AAA" w:rsidP="00A27AAA">
      <w:pPr>
        <w:pStyle w:val="FootnoteText"/>
        <w:jc w:val="both"/>
        <w:rPr>
          <w:b/>
        </w:rPr>
      </w:pPr>
      <w:r>
        <w:rPr>
          <w:b/>
        </w:rPr>
        <w:t>(3) Supervision by Occupational Therapists.</w:t>
      </w:r>
    </w:p>
    <w:p w:rsidR="00A27AAA" w:rsidRDefault="00A27AAA" w:rsidP="00A27AAA">
      <w:pPr>
        <w:pStyle w:val="FootnoteText"/>
        <w:jc w:val="both"/>
      </w:pPr>
      <w:r>
        <w:rPr>
          <w:b/>
        </w:rPr>
        <w:tab/>
      </w:r>
      <w:r>
        <w:t>(a) Occupational Therapists must exercise their professional judgement when determining the number of supportive personnel they can safely and effectively supervise to ensure that quality care is provided at all times.</w:t>
      </w:r>
    </w:p>
    <w:p w:rsidR="00A27AAA" w:rsidRDefault="00A27AAA" w:rsidP="00A27AAA">
      <w:pPr>
        <w:pStyle w:val="FootnoteText"/>
        <w:jc w:val="both"/>
      </w:pPr>
      <w:r>
        <w:tab/>
        <w:t>(b) Licensed occupational therapy personnel must provide adequate staff to patient ratio at all times to ensure the provision of safe, quality care.</w:t>
      </w:r>
    </w:p>
    <w:p w:rsidR="008D7320" w:rsidRDefault="00A27AAA" w:rsidP="00A27AAA">
      <w:pPr>
        <w:pStyle w:val="FootnoteText"/>
        <w:jc w:val="both"/>
      </w:pPr>
      <w:r>
        <w:tab/>
        <w:t>(c) An occupational therapist must provide supervision to the following persons</w:t>
      </w:r>
    </w:p>
    <w:p w:rsidR="00A27AAA" w:rsidRDefault="00A27AAA" w:rsidP="00A27AAA">
      <w:pPr>
        <w:pStyle w:val="FootnoteText"/>
        <w:jc w:val="both"/>
      </w:pPr>
      <w:r>
        <w:t xml:space="preserve"> rendering occupational therapy services:</w:t>
      </w:r>
    </w:p>
    <w:p w:rsidR="00A27AAA" w:rsidRDefault="00A27AAA" w:rsidP="00A27AAA">
      <w:pPr>
        <w:pStyle w:val="FootnoteText"/>
        <w:jc w:val="both"/>
      </w:pPr>
      <w:r>
        <w:tab/>
        <w:t>1. occupational therapy assistants, and</w:t>
      </w:r>
    </w:p>
    <w:p w:rsidR="00A27AAA" w:rsidRPr="00A27AAA" w:rsidRDefault="00A27AAA" w:rsidP="00A27AAA">
      <w:pPr>
        <w:pStyle w:val="FootnoteText"/>
        <w:jc w:val="both"/>
      </w:pPr>
      <w:r>
        <w:tab/>
        <w:t>2. temporary license holders.</w:t>
      </w:r>
    </w:p>
    <w:p w:rsidR="00A27AAA" w:rsidRPr="006B429F" w:rsidRDefault="00A27AAA" w:rsidP="00A27AAA">
      <w:pPr>
        <w:pStyle w:val="FootnoteText"/>
        <w:jc w:val="both"/>
      </w:pPr>
    </w:p>
  </w:footnote>
  <w:footnote w:id="2">
    <w:p w:rsidR="00AF0648" w:rsidRDefault="00AF0648" w:rsidP="00AF0648">
      <w:pPr>
        <w:pStyle w:val="FootnoteText"/>
        <w:jc w:val="both"/>
      </w:pPr>
      <w:r>
        <w:rPr>
          <w:rStyle w:val="FootnoteReference"/>
        </w:rPr>
        <w:footnoteRef/>
      </w:r>
      <w:r>
        <w:t xml:space="preserve"> G.L. c. 32, § 1 defines “teacher” as “any person who is employed by one or more school committees or boards of trustees or by any combination of such committees and boards on a basis of not less than half-time service as a teacher, school psychologist, school psychiatrist, school adjustment counsellor or school social worker…, director of occupational guidance and placement…principal, supervisor or superintendent in any public school as defined in this section or as a supervisor or teacher of adult civic education, but excluding any person serving as an exchange teacher in any such school unless he is a member of the teachers’ retirement system at the time of entry into such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E3" w:rsidRPr="00176830" w:rsidRDefault="002A5B4D" w:rsidP="002A5B4D">
    <w:pPr>
      <w:pStyle w:val="Header"/>
      <w:tabs>
        <w:tab w:val="clear" w:pos="4680"/>
        <w:tab w:val="clear" w:pos="9360"/>
        <w:tab w:val="center" w:pos="4320"/>
        <w:tab w:val="right" w:pos="8640"/>
      </w:tabs>
      <w:jc w:val="left"/>
      <w:rPr>
        <w:i/>
      </w:rPr>
    </w:pPr>
    <w:r>
      <w:t>Susan B. Delorme</w:t>
    </w:r>
    <w:r w:rsidR="009101F9">
      <w:t xml:space="preserve">                                                                                                CR-13-</w:t>
    </w:r>
    <w:r>
      <w:t>5</w:t>
    </w:r>
    <w:r w:rsidR="009101F9">
      <w:t>4</w:t>
    </w:r>
    <w: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E0"/>
    <w:multiLevelType w:val="hybridMultilevel"/>
    <w:tmpl w:val="56CC5C76"/>
    <w:lvl w:ilvl="0" w:tplc="13F4CF40">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47578"/>
    <w:multiLevelType w:val="hybridMultilevel"/>
    <w:tmpl w:val="557274A8"/>
    <w:lvl w:ilvl="0" w:tplc="27148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E303BA"/>
    <w:multiLevelType w:val="hybridMultilevel"/>
    <w:tmpl w:val="6B96C522"/>
    <w:lvl w:ilvl="0" w:tplc="DA56C7A4">
      <w:start w:val="2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D0473C"/>
    <w:multiLevelType w:val="hybridMultilevel"/>
    <w:tmpl w:val="46ACA16E"/>
    <w:lvl w:ilvl="0" w:tplc="6F8E36B6">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EB57DC"/>
    <w:multiLevelType w:val="hybridMultilevel"/>
    <w:tmpl w:val="8B7A3FA6"/>
    <w:lvl w:ilvl="0" w:tplc="37784C6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F701AC"/>
    <w:multiLevelType w:val="hybridMultilevel"/>
    <w:tmpl w:val="274CD54E"/>
    <w:lvl w:ilvl="0" w:tplc="F3C44876">
      <w:start w:val="3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246F70"/>
    <w:multiLevelType w:val="hybridMultilevel"/>
    <w:tmpl w:val="1E26E376"/>
    <w:lvl w:ilvl="0" w:tplc="913C19A4">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65028C"/>
    <w:multiLevelType w:val="hybridMultilevel"/>
    <w:tmpl w:val="E976F010"/>
    <w:lvl w:ilvl="0" w:tplc="546E57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7F4B0D"/>
    <w:multiLevelType w:val="hybridMultilevel"/>
    <w:tmpl w:val="0B26EC08"/>
    <w:lvl w:ilvl="0" w:tplc="546E57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E43A15"/>
    <w:multiLevelType w:val="hybridMultilevel"/>
    <w:tmpl w:val="6DB2C146"/>
    <w:lvl w:ilvl="0" w:tplc="FDEE2F8C">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94226F"/>
    <w:multiLevelType w:val="hybridMultilevel"/>
    <w:tmpl w:val="C29C6600"/>
    <w:lvl w:ilvl="0" w:tplc="8662CFEA">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C64AFE"/>
    <w:multiLevelType w:val="hybridMultilevel"/>
    <w:tmpl w:val="CD2A41E6"/>
    <w:lvl w:ilvl="0" w:tplc="FF642BD4">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F41D0E"/>
    <w:multiLevelType w:val="hybridMultilevel"/>
    <w:tmpl w:val="1058487A"/>
    <w:lvl w:ilvl="0" w:tplc="C930B242">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0B681C"/>
    <w:multiLevelType w:val="hybridMultilevel"/>
    <w:tmpl w:val="C8724E58"/>
    <w:lvl w:ilvl="0" w:tplc="D436C1A0">
      <w:start w:val="37"/>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332370F0"/>
    <w:multiLevelType w:val="hybridMultilevel"/>
    <w:tmpl w:val="4BDCB764"/>
    <w:lvl w:ilvl="0" w:tplc="233894E2">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A82167"/>
    <w:multiLevelType w:val="hybridMultilevel"/>
    <w:tmpl w:val="FFE6D2D2"/>
    <w:lvl w:ilvl="0" w:tplc="0409000F">
      <w:start w:val="1"/>
      <w:numFmt w:val="decimal"/>
      <w:lvlText w:val="%1."/>
      <w:lvlJc w:val="left"/>
      <w:pPr>
        <w:ind w:left="63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65402F"/>
    <w:multiLevelType w:val="hybridMultilevel"/>
    <w:tmpl w:val="7E96B3D2"/>
    <w:lvl w:ilvl="0" w:tplc="119E19D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8D67F5"/>
    <w:multiLevelType w:val="hybridMultilevel"/>
    <w:tmpl w:val="F514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0A2B15"/>
    <w:multiLevelType w:val="hybridMultilevel"/>
    <w:tmpl w:val="82FEE964"/>
    <w:lvl w:ilvl="0" w:tplc="35E055F2">
      <w:start w:val="26"/>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nsid w:val="53B10319"/>
    <w:multiLevelType w:val="hybridMultilevel"/>
    <w:tmpl w:val="5596C352"/>
    <w:lvl w:ilvl="0" w:tplc="DFDA37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AC6364E"/>
    <w:multiLevelType w:val="hybridMultilevel"/>
    <w:tmpl w:val="976EF336"/>
    <w:lvl w:ilvl="0" w:tplc="8B6C4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75511F"/>
    <w:multiLevelType w:val="hybridMultilevel"/>
    <w:tmpl w:val="7AF46C1C"/>
    <w:lvl w:ilvl="0" w:tplc="C22A3FD6">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5906BA"/>
    <w:multiLevelType w:val="hybridMultilevel"/>
    <w:tmpl w:val="7E40CBEC"/>
    <w:lvl w:ilvl="0" w:tplc="D5F6BE56">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165C79"/>
    <w:multiLevelType w:val="hybridMultilevel"/>
    <w:tmpl w:val="8ECCB93C"/>
    <w:lvl w:ilvl="0" w:tplc="9FEED5C6">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F46367"/>
    <w:multiLevelType w:val="hybridMultilevel"/>
    <w:tmpl w:val="6BAAC8DE"/>
    <w:lvl w:ilvl="0" w:tplc="98D6F15E">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0273E2"/>
    <w:multiLevelType w:val="hybridMultilevel"/>
    <w:tmpl w:val="72161052"/>
    <w:lvl w:ilvl="0" w:tplc="9072C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20"/>
  </w:num>
  <w:num w:numId="4">
    <w:abstractNumId w:val="8"/>
  </w:num>
  <w:num w:numId="5">
    <w:abstractNumId w:val="1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4"/>
  </w:num>
  <w:num w:numId="10">
    <w:abstractNumId w:val="9"/>
  </w:num>
  <w:num w:numId="11">
    <w:abstractNumId w:val="6"/>
  </w:num>
  <w:num w:numId="12">
    <w:abstractNumId w:val="23"/>
  </w:num>
  <w:num w:numId="13">
    <w:abstractNumId w:val="0"/>
  </w:num>
  <w:num w:numId="14">
    <w:abstractNumId w:val="10"/>
  </w:num>
  <w:num w:numId="15">
    <w:abstractNumId w:val="18"/>
  </w:num>
  <w:num w:numId="16">
    <w:abstractNumId w:val="2"/>
  </w:num>
  <w:num w:numId="17">
    <w:abstractNumId w:val="21"/>
  </w:num>
  <w:num w:numId="18">
    <w:abstractNumId w:val="24"/>
  </w:num>
  <w:num w:numId="19">
    <w:abstractNumId w:val="5"/>
  </w:num>
  <w:num w:numId="20">
    <w:abstractNumId w:val="3"/>
  </w:num>
  <w:num w:numId="21">
    <w:abstractNumId w:val="11"/>
  </w:num>
  <w:num w:numId="22">
    <w:abstractNumId w:val="12"/>
  </w:num>
  <w:num w:numId="23">
    <w:abstractNumId w:val="14"/>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05"/>
    <w:rsid w:val="00001606"/>
    <w:rsid w:val="0000297B"/>
    <w:rsid w:val="00010053"/>
    <w:rsid w:val="00012448"/>
    <w:rsid w:val="000262EC"/>
    <w:rsid w:val="00041DF8"/>
    <w:rsid w:val="00042757"/>
    <w:rsid w:val="000526C0"/>
    <w:rsid w:val="000669AE"/>
    <w:rsid w:val="00085187"/>
    <w:rsid w:val="00090F3F"/>
    <w:rsid w:val="000964E4"/>
    <w:rsid w:val="000A528C"/>
    <w:rsid w:val="000A6D41"/>
    <w:rsid w:val="000B26B6"/>
    <w:rsid w:val="000B4C2B"/>
    <w:rsid w:val="000C074E"/>
    <w:rsid w:val="000C161A"/>
    <w:rsid w:val="000C6078"/>
    <w:rsid w:val="000D5689"/>
    <w:rsid w:val="000D6D0B"/>
    <w:rsid w:val="00104142"/>
    <w:rsid w:val="00116E0D"/>
    <w:rsid w:val="0011797D"/>
    <w:rsid w:val="00117A23"/>
    <w:rsid w:val="00125E51"/>
    <w:rsid w:val="00132CA5"/>
    <w:rsid w:val="00140304"/>
    <w:rsid w:val="001428CA"/>
    <w:rsid w:val="00150B92"/>
    <w:rsid w:val="00153404"/>
    <w:rsid w:val="001619A4"/>
    <w:rsid w:val="00176830"/>
    <w:rsid w:val="00182B65"/>
    <w:rsid w:val="0019247E"/>
    <w:rsid w:val="001A222E"/>
    <w:rsid w:val="001A3085"/>
    <w:rsid w:val="001C3649"/>
    <w:rsid w:val="001C6FB7"/>
    <w:rsid w:val="001D6B46"/>
    <w:rsid w:val="001E22A7"/>
    <w:rsid w:val="001E395E"/>
    <w:rsid w:val="001F2BC0"/>
    <w:rsid w:val="001F4150"/>
    <w:rsid w:val="001F4A4B"/>
    <w:rsid w:val="001F5D7F"/>
    <w:rsid w:val="001F6DB6"/>
    <w:rsid w:val="002033D8"/>
    <w:rsid w:val="00211039"/>
    <w:rsid w:val="002167DB"/>
    <w:rsid w:val="0023790E"/>
    <w:rsid w:val="0024100A"/>
    <w:rsid w:val="00241FFE"/>
    <w:rsid w:val="002436EE"/>
    <w:rsid w:val="002438BB"/>
    <w:rsid w:val="002467F2"/>
    <w:rsid w:val="00267CE5"/>
    <w:rsid w:val="00285AA1"/>
    <w:rsid w:val="00295F74"/>
    <w:rsid w:val="002A1BAE"/>
    <w:rsid w:val="002A1BF6"/>
    <w:rsid w:val="002A4425"/>
    <w:rsid w:val="002A5B4D"/>
    <w:rsid w:val="002B1104"/>
    <w:rsid w:val="002B73CF"/>
    <w:rsid w:val="002C07B0"/>
    <w:rsid w:val="002D00E1"/>
    <w:rsid w:val="002D2F9D"/>
    <w:rsid w:val="002D3553"/>
    <w:rsid w:val="002D7D2B"/>
    <w:rsid w:val="002E0BBD"/>
    <w:rsid w:val="002E4D18"/>
    <w:rsid w:val="002E545A"/>
    <w:rsid w:val="003013F7"/>
    <w:rsid w:val="00313511"/>
    <w:rsid w:val="00320581"/>
    <w:rsid w:val="00320E57"/>
    <w:rsid w:val="00327764"/>
    <w:rsid w:val="0033074B"/>
    <w:rsid w:val="00331773"/>
    <w:rsid w:val="00331802"/>
    <w:rsid w:val="0033338D"/>
    <w:rsid w:val="00341829"/>
    <w:rsid w:val="00346E5B"/>
    <w:rsid w:val="00351491"/>
    <w:rsid w:val="00354B38"/>
    <w:rsid w:val="00355979"/>
    <w:rsid w:val="0035605B"/>
    <w:rsid w:val="00356EA5"/>
    <w:rsid w:val="00360F72"/>
    <w:rsid w:val="003628D3"/>
    <w:rsid w:val="0036596E"/>
    <w:rsid w:val="003679BE"/>
    <w:rsid w:val="00370551"/>
    <w:rsid w:val="00377C16"/>
    <w:rsid w:val="0038422F"/>
    <w:rsid w:val="00390247"/>
    <w:rsid w:val="0039200E"/>
    <w:rsid w:val="003A26FC"/>
    <w:rsid w:val="003A50C1"/>
    <w:rsid w:val="003B26F6"/>
    <w:rsid w:val="003B7FE2"/>
    <w:rsid w:val="003C2318"/>
    <w:rsid w:val="003D1C97"/>
    <w:rsid w:val="003D263C"/>
    <w:rsid w:val="003F1AD0"/>
    <w:rsid w:val="003F21B6"/>
    <w:rsid w:val="003F3B0B"/>
    <w:rsid w:val="0040083C"/>
    <w:rsid w:val="004019A0"/>
    <w:rsid w:val="00401C69"/>
    <w:rsid w:val="00402D0E"/>
    <w:rsid w:val="00404BD3"/>
    <w:rsid w:val="004208D0"/>
    <w:rsid w:val="004208F9"/>
    <w:rsid w:val="00426E00"/>
    <w:rsid w:val="00432AFE"/>
    <w:rsid w:val="00437E14"/>
    <w:rsid w:val="00440907"/>
    <w:rsid w:val="004439D1"/>
    <w:rsid w:val="004459F9"/>
    <w:rsid w:val="00464826"/>
    <w:rsid w:val="004776BE"/>
    <w:rsid w:val="00481440"/>
    <w:rsid w:val="00482BE0"/>
    <w:rsid w:val="0048307A"/>
    <w:rsid w:val="00484D3A"/>
    <w:rsid w:val="00493A76"/>
    <w:rsid w:val="004B049D"/>
    <w:rsid w:val="004B075B"/>
    <w:rsid w:val="004B3397"/>
    <w:rsid w:val="004B5847"/>
    <w:rsid w:val="004C2760"/>
    <w:rsid w:val="004C3592"/>
    <w:rsid w:val="004C7916"/>
    <w:rsid w:val="004D2035"/>
    <w:rsid w:val="004D57FF"/>
    <w:rsid w:val="004E2EC9"/>
    <w:rsid w:val="004F01F9"/>
    <w:rsid w:val="004F4762"/>
    <w:rsid w:val="004F4F73"/>
    <w:rsid w:val="00505DB8"/>
    <w:rsid w:val="00511D50"/>
    <w:rsid w:val="00512074"/>
    <w:rsid w:val="0051396D"/>
    <w:rsid w:val="00523CF4"/>
    <w:rsid w:val="00524D79"/>
    <w:rsid w:val="00534FDD"/>
    <w:rsid w:val="00543F08"/>
    <w:rsid w:val="00545A48"/>
    <w:rsid w:val="005461BD"/>
    <w:rsid w:val="00556B22"/>
    <w:rsid w:val="00557AEC"/>
    <w:rsid w:val="0056121A"/>
    <w:rsid w:val="00561CA3"/>
    <w:rsid w:val="005658D9"/>
    <w:rsid w:val="0057638A"/>
    <w:rsid w:val="00577EB4"/>
    <w:rsid w:val="00593924"/>
    <w:rsid w:val="005A0E85"/>
    <w:rsid w:val="005A575B"/>
    <w:rsid w:val="005C5C1C"/>
    <w:rsid w:val="005D0C9A"/>
    <w:rsid w:val="005D40CE"/>
    <w:rsid w:val="005E2D00"/>
    <w:rsid w:val="005E3FA3"/>
    <w:rsid w:val="005F4717"/>
    <w:rsid w:val="005F5260"/>
    <w:rsid w:val="005F7833"/>
    <w:rsid w:val="00600953"/>
    <w:rsid w:val="006123A1"/>
    <w:rsid w:val="00612CF6"/>
    <w:rsid w:val="00627957"/>
    <w:rsid w:val="00630288"/>
    <w:rsid w:val="00634F85"/>
    <w:rsid w:val="00650461"/>
    <w:rsid w:val="00670996"/>
    <w:rsid w:val="006732CE"/>
    <w:rsid w:val="00684825"/>
    <w:rsid w:val="00685FC0"/>
    <w:rsid w:val="006908E7"/>
    <w:rsid w:val="00696398"/>
    <w:rsid w:val="006A2562"/>
    <w:rsid w:val="006A29A6"/>
    <w:rsid w:val="006A7875"/>
    <w:rsid w:val="006B0156"/>
    <w:rsid w:val="006B429F"/>
    <w:rsid w:val="006C0861"/>
    <w:rsid w:val="006C2BF5"/>
    <w:rsid w:val="006C30A4"/>
    <w:rsid w:val="006C4252"/>
    <w:rsid w:val="006D0CDA"/>
    <w:rsid w:val="006D1C67"/>
    <w:rsid w:val="006D4013"/>
    <w:rsid w:val="006E0F9F"/>
    <w:rsid w:val="006E4823"/>
    <w:rsid w:val="006E7A88"/>
    <w:rsid w:val="006F11B0"/>
    <w:rsid w:val="006F1644"/>
    <w:rsid w:val="006F3191"/>
    <w:rsid w:val="007005CC"/>
    <w:rsid w:val="00705599"/>
    <w:rsid w:val="00706639"/>
    <w:rsid w:val="00714533"/>
    <w:rsid w:val="007159D2"/>
    <w:rsid w:val="007162A3"/>
    <w:rsid w:val="00722684"/>
    <w:rsid w:val="00733310"/>
    <w:rsid w:val="0073611F"/>
    <w:rsid w:val="007366D7"/>
    <w:rsid w:val="00736A7A"/>
    <w:rsid w:val="00757BF8"/>
    <w:rsid w:val="00775D26"/>
    <w:rsid w:val="00776D8E"/>
    <w:rsid w:val="007829A1"/>
    <w:rsid w:val="00782F59"/>
    <w:rsid w:val="00794A11"/>
    <w:rsid w:val="007A1FB0"/>
    <w:rsid w:val="007A4350"/>
    <w:rsid w:val="007B2009"/>
    <w:rsid w:val="007B57AD"/>
    <w:rsid w:val="007C0945"/>
    <w:rsid w:val="007C6782"/>
    <w:rsid w:val="007D553C"/>
    <w:rsid w:val="007D7624"/>
    <w:rsid w:val="007E2F6F"/>
    <w:rsid w:val="007E661B"/>
    <w:rsid w:val="007E794F"/>
    <w:rsid w:val="007E7EB7"/>
    <w:rsid w:val="00800FCD"/>
    <w:rsid w:val="008066D9"/>
    <w:rsid w:val="008130E3"/>
    <w:rsid w:val="00821E3C"/>
    <w:rsid w:val="00825DEE"/>
    <w:rsid w:val="00830D88"/>
    <w:rsid w:val="00831EA4"/>
    <w:rsid w:val="00834C67"/>
    <w:rsid w:val="00835FBA"/>
    <w:rsid w:val="00836770"/>
    <w:rsid w:val="00852A21"/>
    <w:rsid w:val="00856B3A"/>
    <w:rsid w:val="00865F39"/>
    <w:rsid w:val="008662F8"/>
    <w:rsid w:val="00870E14"/>
    <w:rsid w:val="008748A7"/>
    <w:rsid w:val="00883497"/>
    <w:rsid w:val="00883A61"/>
    <w:rsid w:val="00884B83"/>
    <w:rsid w:val="0089619D"/>
    <w:rsid w:val="008A0594"/>
    <w:rsid w:val="008A19E0"/>
    <w:rsid w:val="008A3175"/>
    <w:rsid w:val="008B572D"/>
    <w:rsid w:val="008C2D3C"/>
    <w:rsid w:val="008D07FE"/>
    <w:rsid w:val="008D2B0E"/>
    <w:rsid w:val="008D33CE"/>
    <w:rsid w:val="008D7320"/>
    <w:rsid w:val="008F1112"/>
    <w:rsid w:val="008F6F62"/>
    <w:rsid w:val="0090130B"/>
    <w:rsid w:val="009101F9"/>
    <w:rsid w:val="009259A6"/>
    <w:rsid w:val="00931C57"/>
    <w:rsid w:val="00932B08"/>
    <w:rsid w:val="0094302B"/>
    <w:rsid w:val="00947A2A"/>
    <w:rsid w:val="0095060D"/>
    <w:rsid w:val="009526F3"/>
    <w:rsid w:val="00953ED5"/>
    <w:rsid w:val="0095614B"/>
    <w:rsid w:val="00962DC7"/>
    <w:rsid w:val="00972C0C"/>
    <w:rsid w:val="00973EF2"/>
    <w:rsid w:val="009870F5"/>
    <w:rsid w:val="009920C5"/>
    <w:rsid w:val="009A02C9"/>
    <w:rsid w:val="009A45A1"/>
    <w:rsid w:val="009B02F3"/>
    <w:rsid w:val="009B2E74"/>
    <w:rsid w:val="009C2AB6"/>
    <w:rsid w:val="009C59B2"/>
    <w:rsid w:val="009D0793"/>
    <w:rsid w:val="009D398E"/>
    <w:rsid w:val="009E04BF"/>
    <w:rsid w:val="009E3E30"/>
    <w:rsid w:val="009E4C61"/>
    <w:rsid w:val="009F4C7F"/>
    <w:rsid w:val="009F5322"/>
    <w:rsid w:val="00A00969"/>
    <w:rsid w:val="00A1378C"/>
    <w:rsid w:val="00A22629"/>
    <w:rsid w:val="00A27AAA"/>
    <w:rsid w:val="00A44EED"/>
    <w:rsid w:val="00A55B3A"/>
    <w:rsid w:val="00A608B4"/>
    <w:rsid w:val="00A619BA"/>
    <w:rsid w:val="00A62B3C"/>
    <w:rsid w:val="00A64219"/>
    <w:rsid w:val="00A67009"/>
    <w:rsid w:val="00A75FCB"/>
    <w:rsid w:val="00A801C8"/>
    <w:rsid w:val="00A82905"/>
    <w:rsid w:val="00A86077"/>
    <w:rsid w:val="00A87416"/>
    <w:rsid w:val="00A87C6F"/>
    <w:rsid w:val="00A93668"/>
    <w:rsid w:val="00AA1A04"/>
    <w:rsid w:val="00AA30BC"/>
    <w:rsid w:val="00AB4146"/>
    <w:rsid w:val="00AB7047"/>
    <w:rsid w:val="00AB720F"/>
    <w:rsid w:val="00AC2670"/>
    <w:rsid w:val="00AC41C7"/>
    <w:rsid w:val="00AD6380"/>
    <w:rsid w:val="00AE3F10"/>
    <w:rsid w:val="00AF031E"/>
    <w:rsid w:val="00AF0648"/>
    <w:rsid w:val="00AF2601"/>
    <w:rsid w:val="00AF55E3"/>
    <w:rsid w:val="00B01B92"/>
    <w:rsid w:val="00B03055"/>
    <w:rsid w:val="00B06155"/>
    <w:rsid w:val="00B0698D"/>
    <w:rsid w:val="00B2304C"/>
    <w:rsid w:val="00B238A7"/>
    <w:rsid w:val="00B30ADA"/>
    <w:rsid w:val="00B31288"/>
    <w:rsid w:val="00B330F0"/>
    <w:rsid w:val="00B3539D"/>
    <w:rsid w:val="00B40A06"/>
    <w:rsid w:val="00B44E93"/>
    <w:rsid w:val="00B5515F"/>
    <w:rsid w:val="00B649DB"/>
    <w:rsid w:val="00B67565"/>
    <w:rsid w:val="00B831D3"/>
    <w:rsid w:val="00B845D0"/>
    <w:rsid w:val="00B9013C"/>
    <w:rsid w:val="00B918AF"/>
    <w:rsid w:val="00B93A90"/>
    <w:rsid w:val="00B96C80"/>
    <w:rsid w:val="00BB1C85"/>
    <w:rsid w:val="00BC1959"/>
    <w:rsid w:val="00BC37B6"/>
    <w:rsid w:val="00BC552A"/>
    <w:rsid w:val="00BC6B5F"/>
    <w:rsid w:val="00BD0AC4"/>
    <w:rsid w:val="00BD1475"/>
    <w:rsid w:val="00BE1C27"/>
    <w:rsid w:val="00BE77E4"/>
    <w:rsid w:val="00BF17FF"/>
    <w:rsid w:val="00C0483B"/>
    <w:rsid w:val="00C0534E"/>
    <w:rsid w:val="00C2128D"/>
    <w:rsid w:val="00C23FC9"/>
    <w:rsid w:val="00C25E1A"/>
    <w:rsid w:val="00C36295"/>
    <w:rsid w:val="00C41C8F"/>
    <w:rsid w:val="00C55F82"/>
    <w:rsid w:val="00C70100"/>
    <w:rsid w:val="00C72483"/>
    <w:rsid w:val="00C760BB"/>
    <w:rsid w:val="00CA2D0A"/>
    <w:rsid w:val="00CA35C0"/>
    <w:rsid w:val="00CA638E"/>
    <w:rsid w:val="00CB5575"/>
    <w:rsid w:val="00CB74B2"/>
    <w:rsid w:val="00CC0532"/>
    <w:rsid w:val="00CD2881"/>
    <w:rsid w:val="00CD3B76"/>
    <w:rsid w:val="00CE15BF"/>
    <w:rsid w:val="00CE1AE2"/>
    <w:rsid w:val="00CE53CB"/>
    <w:rsid w:val="00CE6A80"/>
    <w:rsid w:val="00D0292E"/>
    <w:rsid w:val="00D113C7"/>
    <w:rsid w:val="00D16845"/>
    <w:rsid w:val="00D27197"/>
    <w:rsid w:val="00D34626"/>
    <w:rsid w:val="00D34F93"/>
    <w:rsid w:val="00D42B60"/>
    <w:rsid w:val="00D43B4F"/>
    <w:rsid w:val="00D50311"/>
    <w:rsid w:val="00D61B14"/>
    <w:rsid w:val="00D71EC4"/>
    <w:rsid w:val="00D84F89"/>
    <w:rsid w:val="00D87A23"/>
    <w:rsid w:val="00D91619"/>
    <w:rsid w:val="00D95930"/>
    <w:rsid w:val="00DA526D"/>
    <w:rsid w:val="00DA78EB"/>
    <w:rsid w:val="00DB0AD0"/>
    <w:rsid w:val="00DB7595"/>
    <w:rsid w:val="00DC6899"/>
    <w:rsid w:val="00DD0D48"/>
    <w:rsid w:val="00DD3041"/>
    <w:rsid w:val="00DF7467"/>
    <w:rsid w:val="00E24704"/>
    <w:rsid w:val="00E25EC2"/>
    <w:rsid w:val="00E25F25"/>
    <w:rsid w:val="00E26CB4"/>
    <w:rsid w:val="00E274A4"/>
    <w:rsid w:val="00E376F4"/>
    <w:rsid w:val="00E400AF"/>
    <w:rsid w:val="00E43EC7"/>
    <w:rsid w:val="00E464C3"/>
    <w:rsid w:val="00E51166"/>
    <w:rsid w:val="00E540DB"/>
    <w:rsid w:val="00E60820"/>
    <w:rsid w:val="00E7102A"/>
    <w:rsid w:val="00E71BFD"/>
    <w:rsid w:val="00E739B9"/>
    <w:rsid w:val="00E73F62"/>
    <w:rsid w:val="00EA1667"/>
    <w:rsid w:val="00EA4DBA"/>
    <w:rsid w:val="00EB0ED2"/>
    <w:rsid w:val="00EB1C33"/>
    <w:rsid w:val="00EB288D"/>
    <w:rsid w:val="00EB7E62"/>
    <w:rsid w:val="00EC42DD"/>
    <w:rsid w:val="00ED1E5E"/>
    <w:rsid w:val="00EF0867"/>
    <w:rsid w:val="00F126B5"/>
    <w:rsid w:val="00F1336E"/>
    <w:rsid w:val="00F176EF"/>
    <w:rsid w:val="00F20452"/>
    <w:rsid w:val="00F24ACF"/>
    <w:rsid w:val="00F30251"/>
    <w:rsid w:val="00F317B0"/>
    <w:rsid w:val="00F37DE6"/>
    <w:rsid w:val="00F44BE5"/>
    <w:rsid w:val="00F5273E"/>
    <w:rsid w:val="00F55975"/>
    <w:rsid w:val="00F620F0"/>
    <w:rsid w:val="00F71603"/>
    <w:rsid w:val="00F73D42"/>
    <w:rsid w:val="00F77972"/>
    <w:rsid w:val="00F837CC"/>
    <w:rsid w:val="00F94205"/>
    <w:rsid w:val="00FA2D4C"/>
    <w:rsid w:val="00FA325C"/>
    <w:rsid w:val="00FA49D9"/>
    <w:rsid w:val="00FA6B03"/>
    <w:rsid w:val="00FB0F48"/>
    <w:rsid w:val="00FB3833"/>
    <w:rsid w:val="00FB4D7A"/>
    <w:rsid w:val="00FB5434"/>
    <w:rsid w:val="00FB5EF9"/>
    <w:rsid w:val="00FC5E5F"/>
    <w:rsid w:val="00FD7B7F"/>
    <w:rsid w:val="00FE3832"/>
    <w:rsid w:val="00FE41E0"/>
    <w:rsid w:val="00FF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05"/>
    <w:pPr>
      <w:spacing w:line="24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30"/>
    <w:pPr>
      <w:tabs>
        <w:tab w:val="center" w:pos="4680"/>
        <w:tab w:val="right" w:pos="9360"/>
      </w:tabs>
      <w:spacing w:after="0"/>
    </w:pPr>
  </w:style>
  <w:style w:type="character" w:customStyle="1" w:styleId="HeaderChar">
    <w:name w:val="Header Char"/>
    <w:basedOn w:val="DefaultParagraphFont"/>
    <w:link w:val="Header"/>
    <w:uiPriority w:val="99"/>
    <w:rsid w:val="00176830"/>
    <w:rPr>
      <w:rFonts w:ascii="Times New Roman" w:hAnsi="Times New Roman"/>
      <w:sz w:val="24"/>
    </w:rPr>
  </w:style>
  <w:style w:type="paragraph" w:styleId="Footer">
    <w:name w:val="footer"/>
    <w:basedOn w:val="Normal"/>
    <w:link w:val="FooterChar"/>
    <w:uiPriority w:val="99"/>
    <w:unhideWhenUsed/>
    <w:rsid w:val="00176830"/>
    <w:pPr>
      <w:tabs>
        <w:tab w:val="center" w:pos="4680"/>
        <w:tab w:val="right" w:pos="9360"/>
      </w:tabs>
      <w:spacing w:after="0"/>
    </w:pPr>
  </w:style>
  <w:style w:type="character" w:customStyle="1" w:styleId="FooterChar">
    <w:name w:val="Footer Char"/>
    <w:basedOn w:val="DefaultParagraphFont"/>
    <w:link w:val="Footer"/>
    <w:uiPriority w:val="99"/>
    <w:rsid w:val="00176830"/>
    <w:rPr>
      <w:rFonts w:ascii="Times New Roman" w:hAnsi="Times New Roman"/>
      <w:sz w:val="24"/>
    </w:rPr>
  </w:style>
  <w:style w:type="paragraph" w:styleId="ListParagraph">
    <w:name w:val="List Paragraph"/>
    <w:basedOn w:val="Normal"/>
    <w:uiPriority w:val="34"/>
    <w:qFormat/>
    <w:rsid w:val="00125E51"/>
    <w:pPr>
      <w:ind w:left="720"/>
      <w:contextualSpacing/>
    </w:pPr>
  </w:style>
  <w:style w:type="paragraph" w:styleId="FootnoteText">
    <w:name w:val="footnote text"/>
    <w:basedOn w:val="Normal"/>
    <w:link w:val="FootnoteTextChar"/>
    <w:semiHidden/>
    <w:unhideWhenUsed/>
    <w:rsid w:val="00B3539D"/>
    <w:pPr>
      <w:spacing w:after="0"/>
    </w:pPr>
    <w:rPr>
      <w:sz w:val="20"/>
      <w:szCs w:val="20"/>
    </w:rPr>
  </w:style>
  <w:style w:type="character" w:customStyle="1" w:styleId="FootnoteTextChar">
    <w:name w:val="Footnote Text Char"/>
    <w:basedOn w:val="DefaultParagraphFont"/>
    <w:link w:val="FootnoteText"/>
    <w:semiHidden/>
    <w:rsid w:val="00B3539D"/>
    <w:rPr>
      <w:rFonts w:ascii="Times New Roman" w:hAnsi="Times New Roman"/>
      <w:sz w:val="20"/>
      <w:szCs w:val="20"/>
    </w:rPr>
  </w:style>
  <w:style w:type="character" w:styleId="FootnoteReference">
    <w:name w:val="footnote reference"/>
    <w:basedOn w:val="DefaultParagraphFont"/>
    <w:semiHidden/>
    <w:unhideWhenUsed/>
    <w:rsid w:val="00B3539D"/>
    <w:rPr>
      <w:vertAlign w:val="superscript"/>
    </w:rPr>
  </w:style>
  <w:style w:type="character" w:styleId="BookTitle">
    <w:name w:val="Book Title"/>
    <w:basedOn w:val="DefaultParagraphFont"/>
    <w:uiPriority w:val="33"/>
    <w:qFormat/>
    <w:rsid w:val="00B40A06"/>
    <w:rPr>
      <w:b/>
      <w:bCs/>
      <w:smallCaps/>
      <w:spacing w:val="5"/>
    </w:rPr>
  </w:style>
  <w:style w:type="character" w:styleId="Hyperlink">
    <w:name w:val="Hyperlink"/>
    <w:basedOn w:val="DefaultParagraphFont"/>
    <w:uiPriority w:val="99"/>
    <w:unhideWhenUsed/>
    <w:rsid w:val="00D95930"/>
    <w:rPr>
      <w:color w:val="7B2E4B"/>
      <w:u w:val="single"/>
    </w:rPr>
  </w:style>
  <w:style w:type="paragraph" w:customStyle="1" w:styleId="le-normal-32-level">
    <w:name w:val="le-normal-32-level"/>
    <w:basedOn w:val="Normal"/>
    <w:rsid w:val="00D95930"/>
    <w:pPr>
      <w:spacing w:before="20" w:after="20"/>
      <w:jc w:val="left"/>
    </w:pPr>
    <w:rPr>
      <w:rFonts w:ascii="Courier New" w:eastAsia="Times New Roman" w:hAnsi="Courier New" w:cs="Courier New"/>
      <w:color w:val="000000"/>
      <w:sz w:val="20"/>
      <w:szCs w:val="20"/>
    </w:rPr>
  </w:style>
  <w:style w:type="character" w:customStyle="1" w:styleId="fd-citesto">
    <w:name w:val="fd-citesto"/>
    <w:basedOn w:val="DefaultParagraphFont"/>
    <w:rsid w:val="00D95930"/>
  </w:style>
  <w:style w:type="character" w:styleId="CommentReference">
    <w:name w:val="annotation reference"/>
    <w:basedOn w:val="DefaultParagraphFont"/>
    <w:uiPriority w:val="99"/>
    <w:semiHidden/>
    <w:unhideWhenUsed/>
    <w:rsid w:val="00556B22"/>
    <w:rPr>
      <w:sz w:val="16"/>
      <w:szCs w:val="16"/>
    </w:rPr>
  </w:style>
  <w:style w:type="paragraph" w:styleId="CommentText">
    <w:name w:val="annotation text"/>
    <w:basedOn w:val="Normal"/>
    <w:link w:val="CommentTextChar"/>
    <w:uiPriority w:val="99"/>
    <w:semiHidden/>
    <w:unhideWhenUsed/>
    <w:rsid w:val="00556B22"/>
    <w:rPr>
      <w:sz w:val="20"/>
      <w:szCs w:val="20"/>
    </w:rPr>
  </w:style>
  <w:style w:type="character" w:customStyle="1" w:styleId="CommentTextChar">
    <w:name w:val="Comment Text Char"/>
    <w:basedOn w:val="DefaultParagraphFont"/>
    <w:link w:val="CommentText"/>
    <w:uiPriority w:val="99"/>
    <w:semiHidden/>
    <w:rsid w:val="00556B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6B22"/>
    <w:rPr>
      <w:b/>
      <w:bCs/>
    </w:rPr>
  </w:style>
  <w:style w:type="character" w:customStyle="1" w:styleId="CommentSubjectChar">
    <w:name w:val="Comment Subject Char"/>
    <w:basedOn w:val="CommentTextChar"/>
    <w:link w:val="CommentSubject"/>
    <w:uiPriority w:val="99"/>
    <w:semiHidden/>
    <w:rsid w:val="00556B22"/>
    <w:rPr>
      <w:rFonts w:ascii="Times New Roman" w:hAnsi="Times New Roman"/>
      <w:b/>
      <w:bCs/>
      <w:sz w:val="20"/>
      <w:szCs w:val="20"/>
    </w:rPr>
  </w:style>
  <w:style w:type="paragraph" w:styleId="BalloonText">
    <w:name w:val="Balloon Text"/>
    <w:basedOn w:val="Normal"/>
    <w:link w:val="BalloonTextChar"/>
    <w:uiPriority w:val="99"/>
    <w:semiHidden/>
    <w:unhideWhenUsed/>
    <w:rsid w:val="00556B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22"/>
    <w:rPr>
      <w:rFonts w:ascii="Tahoma" w:hAnsi="Tahoma" w:cs="Tahoma"/>
      <w:sz w:val="16"/>
      <w:szCs w:val="16"/>
    </w:rPr>
  </w:style>
  <w:style w:type="paragraph" w:styleId="EndnoteText">
    <w:name w:val="endnote text"/>
    <w:basedOn w:val="Normal"/>
    <w:link w:val="EndnoteTextChar"/>
    <w:uiPriority w:val="99"/>
    <w:semiHidden/>
    <w:unhideWhenUsed/>
    <w:rsid w:val="007162A3"/>
    <w:pPr>
      <w:spacing w:after="0"/>
    </w:pPr>
    <w:rPr>
      <w:sz w:val="20"/>
      <w:szCs w:val="20"/>
    </w:rPr>
  </w:style>
  <w:style w:type="character" w:customStyle="1" w:styleId="EndnoteTextChar">
    <w:name w:val="Endnote Text Char"/>
    <w:basedOn w:val="DefaultParagraphFont"/>
    <w:link w:val="EndnoteText"/>
    <w:uiPriority w:val="99"/>
    <w:semiHidden/>
    <w:rsid w:val="007162A3"/>
    <w:rPr>
      <w:rFonts w:ascii="Times New Roman" w:hAnsi="Times New Roman"/>
      <w:sz w:val="20"/>
      <w:szCs w:val="20"/>
    </w:rPr>
  </w:style>
  <w:style w:type="character" w:styleId="EndnoteReference">
    <w:name w:val="endnote reference"/>
    <w:basedOn w:val="DefaultParagraphFont"/>
    <w:uiPriority w:val="99"/>
    <w:semiHidden/>
    <w:unhideWhenUsed/>
    <w:rsid w:val="007162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05"/>
    <w:pPr>
      <w:spacing w:line="24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30"/>
    <w:pPr>
      <w:tabs>
        <w:tab w:val="center" w:pos="4680"/>
        <w:tab w:val="right" w:pos="9360"/>
      </w:tabs>
      <w:spacing w:after="0"/>
    </w:pPr>
  </w:style>
  <w:style w:type="character" w:customStyle="1" w:styleId="HeaderChar">
    <w:name w:val="Header Char"/>
    <w:basedOn w:val="DefaultParagraphFont"/>
    <w:link w:val="Header"/>
    <w:uiPriority w:val="99"/>
    <w:rsid w:val="00176830"/>
    <w:rPr>
      <w:rFonts w:ascii="Times New Roman" w:hAnsi="Times New Roman"/>
      <w:sz w:val="24"/>
    </w:rPr>
  </w:style>
  <w:style w:type="paragraph" w:styleId="Footer">
    <w:name w:val="footer"/>
    <w:basedOn w:val="Normal"/>
    <w:link w:val="FooterChar"/>
    <w:uiPriority w:val="99"/>
    <w:unhideWhenUsed/>
    <w:rsid w:val="00176830"/>
    <w:pPr>
      <w:tabs>
        <w:tab w:val="center" w:pos="4680"/>
        <w:tab w:val="right" w:pos="9360"/>
      </w:tabs>
      <w:spacing w:after="0"/>
    </w:pPr>
  </w:style>
  <w:style w:type="character" w:customStyle="1" w:styleId="FooterChar">
    <w:name w:val="Footer Char"/>
    <w:basedOn w:val="DefaultParagraphFont"/>
    <w:link w:val="Footer"/>
    <w:uiPriority w:val="99"/>
    <w:rsid w:val="00176830"/>
    <w:rPr>
      <w:rFonts w:ascii="Times New Roman" w:hAnsi="Times New Roman"/>
      <w:sz w:val="24"/>
    </w:rPr>
  </w:style>
  <w:style w:type="paragraph" w:styleId="ListParagraph">
    <w:name w:val="List Paragraph"/>
    <w:basedOn w:val="Normal"/>
    <w:uiPriority w:val="34"/>
    <w:qFormat/>
    <w:rsid w:val="00125E51"/>
    <w:pPr>
      <w:ind w:left="720"/>
      <w:contextualSpacing/>
    </w:pPr>
  </w:style>
  <w:style w:type="paragraph" w:styleId="FootnoteText">
    <w:name w:val="footnote text"/>
    <w:basedOn w:val="Normal"/>
    <w:link w:val="FootnoteTextChar"/>
    <w:semiHidden/>
    <w:unhideWhenUsed/>
    <w:rsid w:val="00B3539D"/>
    <w:pPr>
      <w:spacing w:after="0"/>
    </w:pPr>
    <w:rPr>
      <w:sz w:val="20"/>
      <w:szCs w:val="20"/>
    </w:rPr>
  </w:style>
  <w:style w:type="character" w:customStyle="1" w:styleId="FootnoteTextChar">
    <w:name w:val="Footnote Text Char"/>
    <w:basedOn w:val="DefaultParagraphFont"/>
    <w:link w:val="FootnoteText"/>
    <w:semiHidden/>
    <w:rsid w:val="00B3539D"/>
    <w:rPr>
      <w:rFonts w:ascii="Times New Roman" w:hAnsi="Times New Roman"/>
      <w:sz w:val="20"/>
      <w:szCs w:val="20"/>
    </w:rPr>
  </w:style>
  <w:style w:type="character" w:styleId="FootnoteReference">
    <w:name w:val="footnote reference"/>
    <w:basedOn w:val="DefaultParagraphFont"/>
    <w:semiHidden/>
    <w:unhideWhenUsed/>
    <w:rsid w:val="00B3539D"/>
    <w:rPr>
      <w:vertAlign w:val="superscript"/>
    </w:rPr>
  </w:style>
  <w:style w:type="character" w:styleId="BookTitle">
    <w:name w:val="Book Title"/>
    <w:basedOn w:val="DefaultParagraphFont"/>
    <w:uiPriority w:val="33"/>
    <w:qFormat/>
    <w:rsid w:val="00B40A06"/>
    <w:rPr>
      <w:b/>
      <w:bCs/>
      <w:smallCaps/>
      <w:spacing w:val="5"/>
    </w:rPr>
  </w:style>
  <w:style w:type="character" w:styleId="Hyperlink">
    <w:name w:val="Hyperlink"/>
    <w:basedOn w:val="DefaultParagraphFont"/>
    <w:uiPriority w:val="99"/>
    <w:unhideWhenUsed/>
    <w:rsid w:val="00D95930"/>
    <w:rPr>
      <w:color w:val="7B2E4B"/>
      <w:u w:val="single"/>
    </w:rPr>
  </w:style>
  <w:style w:type="paragraph" w:customStyle="1" w:styleId="le-normal-32-level">
    <w:name w:val="le-normal-32-level"/>
    <w:basedOn w:val="Normal"/>
    <w:rsid w:val="00D95930"/>
    <w:pPr>
      <w:spacing w:before="20" w:after="20"/>
      <w:jc w:val="left"/>
    </w:pPr>
    <w:rPr>
      <w:rFonts w:ascii="Courier New" w:eastAsia="Times New Roman" w:hAnsi="Courier New" w:cs="Courier New"/>
      <w:color w:val="000000"/>
      <w:sz w:val="20"/>
      <w:szCs w:val="20"/>
    </w:rPr>
  </w:style>
  <w:style w:type="character" w:customStyle="1" w:styleId="fd-citesto">
    <w:name w:val="fd-citesto"/>
    <w:basedOn w:val="DefaultParagraphFont"/>
    <w:rsid w:val="00D95930"/>
  </w:style>
  <w:style w:type="character" w:styleId="CommentReference">
    <w:name w:val="annotation reference"/>
    <w:basedOn w:val="DefaultParagraphFont"/>
    <w:uiPriority w:val="99"/>
    <w:semiHidden/>
    <w:unhideWhenUsed/>
    <w:rsid w:val="00556B22"/>
    <w:rPr>
      <w:sz w:val="16"/>
      <w:szCs w:val="16"/>
    </w:rPr>
  </w:style>
  <w:style w:type="paragraph" w:styleId="CommentText">
    <w:name w:val="annotation text"/>
    <w:basedOn w:val="Normal"/>
    <w:link w:val="CommentTextChar"/>
    <w:uiPriority w:val="99"/>
    <w:semiHidden/>
    <w:unhideWhenUsed/>
    <w:rsid w:val="00556B22"/>
    <w:rPr>
      <w:sz w:val="20"/>
      <w:szCs w:val="20"/>
    </w:rPr>
  </w:style>
  <w:style w:type="character" w:customStyle="1" w:styleId="CommentTextChar">
    <w:name w:val="Comment Text Char"/>
    <w:basedOn w:val="DefaultParagraphFont"/>
    <w:link w:val="CommentText"/>
    <w:uiPriority w:val="99"/>
    <w:semiHidden/>
    <w:rsid w:val="00556B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6B22"/>
    <w:rPr>
      <w:b/>
      <w:bCs/>
    </w:rPr>
  </w:style>
  <w:style w:type="character" w:customStyle="1" w:styleId="CommentSubjectChar">
    <w:name w:val="Comment Subject Char"/>
    <w:basedOn w:val="CommentTextChar"/>
    <w:link w:val="CommentSubject"/>
    <w:uiPriority w:val="99"/>
    <w:semiHidden/>
    <w:rsid w:val="00556B22"/>
    <w:rPr>
      <w:rFonts w:ascii="Times New Roman" w:hAnsi="Times New Roman"/>
      <w:b/>
      <w:bCs/>
      <w:sz w:val="20"/>
      <w:szCs w:val="20"/>
    </w:rPr>
  </w:style>
  <w:style w:type="paragraph" w:styleId="BalloonText">
    <w:name w:val="Balloon Text"/>
    <w:basedOn w:val="Normal"/>
    <w:link w:val="BalloonTextChar"/>
    <w:uiPriority w:val="99"/>
    <w:semiHidden/>
    <w:unhideWhenUsed/>
    <w:rsid w:val="00556B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22"/>
    <w:rPr>
      <w:rFonts w:ascii="Tahoma" w:hAnsi="Tahoma" w:cs="Tahoma"/>
      <w:sz w:val="16"/>
      <w:szCs w:val="16"/>
    </w:rPr>
  </w:style>
  <w:style w:type="paragraph" w:styleId="EndnoteText">
    <w:name w:val="endnote text"/>
    <w:basedOn w:val="Normal"/>
    <w:link w:val="EndnoteTextChar"/>
    <w:uiPriority w:val="99"/>
    <w:semiHidden/>
    <w:unhideWhenUsed/>
    <w:rsid w:val="007162A3"/>
    <w:pPr>
      <w:spacing w:after="0"/>
    </w:pPr>
    <w:rPr>
      <w:sz w:val="20"/>
      <w:szCs w:val="20"/>
    </w:rPr>
  </w:style>
  <w:style w:type="character" w:customStyle="1" w:styleId="EndnoteTextChar">
    <w:name w:val="Endnote Text Char"/>
    <w:basedOn w:val="DefaultParagraphFont"/>
    <w:link w:val="EndnoteText"/>
    <w:uiPriority w:val="99"/>
    <w:semiHidden/>
    <w:rsid w:val="007162A3"/>
    <w:rPr>
      <w:rFonts w:ascii="Times New Roman" w:hAnsi="Times New Roman"/>
      <w:sz w:val="20"/>
      <w:szCs w:val="20"/>
    </w:rPr>
  </w:style>
  <w:style w:type="character" w:styleId="EndnoteReference">
    <w:name w:val="endnote reference"/>
    <w:basedOn w:val="DefaultParagraphFont"/>
    <w:uiPriority w:val="99"/>
    <w:semiHidden/>
    <w:unhideWhenUsed/>
    <w:rsid w:val="00716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7249">
      <w:bodyDiv w:val="1"/>
      <w:marLeft w:val="0"/>
      <w:marRight w:val="0"/>
      <w:marTop w:val="0"/>
      <w:marBottom w:val="0"/>
      <w:divBdr>
        <w:top w:val="none" w:sz="0" w:space="0" w:color="auto"/>
        <w:left w:val="none" w:sz="0" w:space="0" w:color="auto"/>
        <w:bottom w:val="none" w:sz="0" w:space="0" w:color="auto"/>
        <w:right w:val="none" w:sz="0" w:space="0" w:color="auto"/>
      </w:divBdr>
    </w:div>
    <w:div w:id="203368331">
      <w:bodyDiv w:val="1"/>
      <w:marLeft w:val="0"/>
      <w:marRight w:val="0"/>
      <w:marTop w:val="0"/>
      <w:marBottom w:val="0"/>
      <w:divBdr>
        <w:top w:val="none" w:sz="0" w:space="0" w:color="auto"/>
        <w:left w:val="none" w:sz="0" w:space="0" w:color="auto"/>
        <w:bottom w:val="none" w:sz="0" w:space="0" w:color="auto"/>
        <w:right w:val="none" w:sz="0" w:space="0" w:color="auto"/>
      </w:divBdr>
    </w:div>
    <w:div w:id="535506143">
      <w:bodyDiv w:val="1"/>
      <w:marLeft w:val="0"/>
      <w:marRight w:val="0"/>
      <w:marTop w:val="0"/>
      <w:marBottom w:val="0"/>
      <w:divBdr>
        <w:top w:val="none" w:sz="0" w:space="0" w:color="auto"/>
        <w:left w:val="none" w:sz="0" w:space="0" w:color="auto"/>
        <w:bottom w:val="none" w:sz="0" w:space="0" w:color="auto"/>
        <w:right w:val="none" w:sz="0" w:space="0" w:color="auto"/>
      </w:divBdr>
    </w:div>
    <w:div w:id="614797164">
      <w:bodyDiv w:val="1"/>
      <w:marLeft w:val="0"/>
      <w:marRight w:val="0"/>
      <w:marTop w:val="0"/>
      <w:marBottom w:val="0"/>
      <w:divBdr>
        <w:top w:val="none" w:sz="0" w:space="0" w:color="auto"/>
        <w:left w:val="none" w:sz="0" w:space="0" w:color="auto"/>
        <w:bottom w:val="none" w:sz="0" w:space="0" w:color="auto"/>
        <w:right w:val="none" w:sz="0" w:space="0" w:color="auto"/>
      </w:divBdr>
    </w:div>
    <w:div w:id="646397114">
      <w:bodyDiv w:val="1"/>
      <w:marLeft w:val="0"/>
      <w:marRight w:val="0"/>
      <w:marTop w:val="0"/>
      <w:marBottom w:val="0"/>
      <w:divBdr>
        <w:top w:val="none" w:sz="0" w:space="0" w:color="auto"/>
        <w:left w:val="none" w:sz="0" w:space="0" w:color="auto"/>
        <w:bottom w:val="none" w:sz="0" w:space="0" w:color="auto"/>
        <w:right w:val="none" w:sz="0" w:space="0" w:color="auto"/>
      </w:divBdr>
    </w:div>
    <w:div w:id="883253807">
      <w:bodyDiv w:val="1"/>
      <w:marLeft w:val="0"/>
      <w:marRight w:val="0"/>
      <w:marTop w:val="0"/>
      <w:marBottom w:val="0"/>
      <w:divBdr>
        <w:top w:val="none" w:sz="0" w:space="0" w:color="auto"/>
        <w:left w:val="none" w:sz="0" w:space="0" w:color="auto"/>
        <w:bottom w:val="none" w:sz="0" w:space="0" w:color="auto"/>
        <w:right w:val="none" w:sz="0" w:space="0" w:color="auto"/>
      </w:divBdr>
    </w:div>
    <w:div w:id="913272203">
      <w:bodyDiv w:val="1"/>
      <w:marLeft w:val="0"/>
      <w:marRight w:val="0"/>
      <w:marTop w:val="0"/>
      <w:marBottom w:val="0"/>
      <w:divBdr>
        <w:top w:val="none" w:sz="0" w:space="0" w:color="auto"/>
        <w:left w:val="none" w:sz="0" w:space="0" w:color="auto"/>
        <w:bottom w:val="none" w:sz="0" w:space="0" w:color="auto"/>
        <w:right w:val="none" w:sz="0" w:space="0" w:color="auto"/>
      </w:divBdr>
      <w:divsChild>
        <w:div w:id="1275596152">
          <w:marLeft w:val="0"/>
          <w:marRight w:val="0"/>
          <w:marTop w:val="0"/>
          <w:marBottom w:val="0"/>
          <w:divBdr>
            <w:top w:val="none" w:sz="0" w:space="0" w:color="auto"/>
            <w:left w:val="none" w:sz="0" w:space="0" w:color="auto"/>
            <w:bottom w:val="none" w:sz="0" w:space="0" w:color="auto"/>
            <w:right w:val="none" w:sz="0" w:space="0" w:color="auto"/>
          </w:divBdr>
          <w:divsChild>
            <w:div w:id="17701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2939">
      <w:bodyDiv w:val="1"/>
      <w:marLeft w:val="0"/>
      <w:marRight w:val="0"/>
      <w:marTop w:val="0"/>
      <w:marBottom w:val="0"/>
      <w:divBdr>
        <w:top w:val="none" w:sz="0" w:space="0" w:color="auto"/>
        <w:left w:val="none" w:sz="0" w:space="0" w:color="auto"/>
        <w:bottom w:val="none" w:sz="0" w:space="0" w:color="auto"/>
        <w:right w:val="none" w:sz="0" w:space="0" w:color="auto"/>
      </w:divBdr>
    </w:div>
    <w:div w:id="1443914947">
      <w:bodyDiv w:val="1"/>
      <w:marLeft w:val="0"/>
      <w:marRight w:val="0"/>
      <w:marTop w:val="0"/>
      <w:marBottom w:val="0"/>
      <w:divBdr>
        <w:top w:val="none" w:sz="0" w:space="0" w:color="auto"/>
        <w:left w:val="none" w:sz="0" w:space="0" w:color="auto"/>
        <w:bottom w:val="none" w:sz="0" w:space="0" w:color="auto"/>
        <w:right w:val="none" w:sz="0" w:space="0" w:color="auto"/>
      </w:divBdr>
      <w:divsChild>
        <w:div w:id="97527726">
          <w:marLeft w:val="0"/>
          <w:marRight w:val="0"/>
          <w:marTop w:val="1350"/>
          <w:marBottom w:val="0"/>
          <w:divBdr>
            <w:top w:val="none" w:sz="0" w:space="0" w:color="auto"/>
            <w:left w:val="none" w:sz="0" w:space="0" w:color="auto"/>
            <w:bottom w:val="none" w:sz="0" w:space="0" w:color="auto"/>
            <w:right w:val="none" w:sz="0" w:space="0" w:color="auto"/>
          </w:divBdr>
          <w:divsChild>
            <w:div w:id="1371372593">
              <w:marLeft w:val="3540"/>
              <w:marRight w:val="690"/>
              <w:marTop w:val="0"/>
              <w:marBottom w:val="0"/>
              <w:divBdr>
                <w:top w:val="none" w:sz="0" w:space="0" w:color="auto"/>
                <w:left w:val="none" w:sz="0" w:space="0" w:color="auto"/>
                <w:bottom w:val="none" w:sz="0" w:space="0" w:color="auto"/>
                <w:right w:val="none" w:sz="0" w:space="0" w:color="auto"/>
              </w:divBdr>
              <w:divsChild>
                <w:div w:id="1583179071">
                  <w:marLeft w:val="435"/>
                  <w:marRight w:val="930"/>
                  <w:marTop w:val="0"/>
                  <w:marBottom w:val="0"/>
                  <w:divBdr>
                    <w:top w:val="none" w:sz="0" w:space="0" w:color="auto"/>
                    <w:left w:val="none" w:sz="0" w:space="0" w:color="auto"/>
                    <w:bottom w:val="none" w:sz="0" w:space="0" w:color="auto"/>
                    <w:right w:val="none" w:sz="0" w:space="0" w:color="auto"/>
                  </w:divBdr>
                  <w:divsChild>
                    <w:div w:id="980354408">
                      <w:marLeft w:val="0"/>
                      <w:marRight w:val="0"/>
                      <w:marTop w:val="0"/>
                      <w:marBottom w:val="0"/>
                      <w:divBdr>
                        <w:top w:val="none" w:sz="0" w:space="0" w:color="auto"/>
                        <w:left w:val="none" w:sz="0" w:space="0" w:color="auto"/>
                        <w:bottom w:val="none" w:sz="0" w:space="0" w:color="auto"/>
                        <w:right w:val="none" w:sz="0" w:space="0" w:color="auto"/>
                      </w:divBdr>
                      <w:divsChild>
                        <w:div w:id="1662732828">
                          <w:marLeft w:val="0"/>
                          <w:marRight w:val="0"/>
                          <w:marTop w:val="0"/>
                          <w:marBottom w:val="0"/>
                          <w:divBdr>
                            <w:top w:val="none" w:sz="0" w:space="0" w:color="auto"/>
                            <w:left w:val="none" w:sz="0" w:space="0" w:color="auto"/>
                            <w:bottom w:val="none" w:sz="0" w:space="0" w:color="auto"/>
                            <w:right w:val="none" w:sz="0" w:space="0" w:color="auto"/>
                          </w:divBdr>
                          <w:divsChild>
                            <w:div w:id="248931965">
                              <w:marLeft w:val="0"/>
                              <w:marRight w:val="0"/>
                              <w:marTop w:val="0"/>
                              <w:marBottom w:val="0"/>
                              <w:divBdr>
                                <w:top w:val="none" w:sz="0" w:space="0" w:color="auto"/>
                                <w:left w:val="none" w:sz="0" w:space="0" w:color="auto"/>
                                <w:bottom w:val="none" w:sz="0" w:space="0" w:color="auto"/>
                                <w:right w:val="none" w:sz="0" w:space="0" w:color="auto"/>
                              </w:divBdr>
                              <w:divsChild>
                                <w:div w:id="623461484">
                                  <w:marLeft w:val="0"/>
                                  <w:marRight w:val="0"/>
                                  <w:marTop w:val="0"/>
                                  <w:marBottom w:val="0"/>
                                  <w:divBdr>
                                    <w:top w:val="none" w:sz="0" w:space="0" w:color="auto"/>
                                    <w:left w:val="none" w:sz="0" w:space="0" w:color="auto"/>
                                    <w:bottom w:val="none" w:sz="0" w:space="0" w:color="auto"/>
                                    <w:right w:val="none" w:sz="0" w:space="0" w:color="auto"/>
                                  </w:divBdr>
                                  <w:divsChild>
                                    <w:div w:id="196688791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29262">
      <w:bodyDiv w:val="1"/>
      <w:marLeft w:val="0"/>
      <w:marRight w:val="0"/>
      <w:marTop w:val="0"/>
      <w:marBottom w:val="0"/>
      <w:divBdr>
        <w:top w:val="none" w:sz="0" w:space="0" w:color="auto"/>
        <w:left w:val="none" w:sz="0" w:space="0" w:color="auto"/>
        <w:bottom w:val="none" w:sz="0" w:space="0" w:color="auto"/>
        <w:right w:val="none" w:sz="0" w:space="0" w:color="auto"/>
      </w:divBdr>
    </w:div>
    <w:div w:id="1840266141">
      <w:bodyDiv w:val="1"/>
      <w:marLeft w:val="0"/>
      <w:marRight w:val="0"/>
      <w:marTop w:val="0"/>
      <w:marBottom w:val="0"/>
      <w:divBdr>
        <w:top w:val="none" w:sz="0" w:space="0" w:color="auto"/>
        <w:left w:val="none" w:sz="0" w:space="0" w:color="auto"/>
        <w:bottom w:val="none" w:sz="0" w:space="0" w:color="auto"/>
        <w:right w:val="none" w:sz="0" w:space="0" w:color="auto"/>
      </w:divBdr>
    </w:div>
    <w:div w:id="20336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DD71-2A86-47B1-AFB9-AB34523C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2017-03-13T23:36:00Z</dcterms:created>
  <dc:creator>Serdynski, Anthony (ALA)</dc:creator>
  <lastModifiedBy>ANF</lastModifiedBy>
  <lastPrinted>2017-02-17T17:57:00Z</lastPrinted>
  <dcterms:modified xsi:type="dcterms:W3CDTF">2017-03-13T23:36:00Z</dcterms:modified>
  <revision>2</revision>
</coreProperties>
</file>