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BC" w:rsidRPr="009A76ED" w:rsidRDefault="00151AE7" w:rsidP="00167EBC">
      <w:pPr>
        <w:jc w:val="center"/>
        <w:rPr>
          <w:rFonts w:ascii="Trebuchet MS" w:hAnsi="Trebuchet MS"/>
          <w:sz w:val="72"/>
          <w:szCs w:val="72"/>
        </w:rPr>
      </w:pPr>
      <w:bookmarkStart w:id="0" w:name="OLE_LINK8"/>
      <w:bookmarkStart w:id="1" w:name="OLE_LINK9"/>
      <w:r>
        <w:rPr>
          <w:rFonts w:ascii="Trebuchet MS" w:hAnsi="Trebuchet MS"/>
          <w:sz w:val="72"/>
          <w:szCs w:val="72"/>
        </w:rPr>
        <w:t>Dental</w:t>
      </w:r>
      <w:r w:rsidR="00167EBC" w:rsidRPr="009A76ED">
        <w:rPr>
          <w:rFonts w:ascii="Trebuchet MS" w:hAnsi="Trebuchet MS"/>
          <w:sz w:val="72"/>
          <w:szCs w:val="72"/>
        </w:rPr>
        <w:t xml:space="preserve"> Education Core Competencies for the Prevention </w:t>
      </w:r>
      <w:r w:rsidR="009A76ED" w:rsidRPr="009A76ED">
        <w:rPr>
          <w:rFonts w:ascii="Trebuchet MS" w:hAnsi="Trebuchet MS"/>
          <w:sz w:val="72"/>
          <w:szCs w:val="72"/>
        </w:rPr>
        <w:t xml:space="preserve">and Management </w:t>
      </w:r>
      <w:r w:rsidR="00167EBC" w:rsidRPr="009A76ED">
        <w:rPr>
          <w:rFonts w:ascii="Trebuchet MS" w:hAnsi="Trebuchet MS"/>
          <w:sz w:val="72"/>
          <w:szCs w:val="72"/>
        </w:rPr>
        <w:t>of Prescription Drug Misuse</w:t>
      </w:r>
    </w:p>
    <w:bookmarkEnd w:id="0"/>
    <w:bookmarkEnd w:id="1"/>
    <w:p w:rsidR="009F437E" w:rsidRPr="009F437E" w:rsidRDefault="009F437E" w:rsidP="009F437E">
      <w:pPr>
        <w:rPr>
          <w:rFonts w:ascii="Trebuchet MS" w:hAnsi="Trebuchet MS"/>
          <w:sz w:val="20"/>
          <w:szCs w:val="20"/>
        </w:rPr>
      </w:pPr>
    </w:p>
    <w:p w:rsidR="00167EBC" w:rsidRPr="009F437E" w:rsidRDefault="001B19F1" w:rsidP="00167EBC">
      <w:pPr>
        <w:jc w:val="center"/>
        <w:rPr>
          <w:rFonts w:ascii="Trebuchet MS" w:hAnsi="Trebuchet MS"/>
          <w:sz w:val="20"/>
          <w:szCs w:val="20"/>
        </w:rPr>
      </w:pPr>
      <w:r>
        <w:rPr>
          <w:rFonts w:ascii="Trebuchet MS" w:hAnsi="Trebuchet MS"/>
          <w:noProof/>
          <w:sz w:val="72"/>
          <w:szCs w:val="24"/>
        </w:rPr>
        <mc:AlternateContent>
          <mc:Choice Requires="wps">
            <w:drawing>
              <wp:anchor distT="4294967295" distB="4294967295" distL="114300" distR="114300" simplePos="0" relativeHeight="251659264" behindDoc="0" locked="0" layoutInCell="1" allowOverlap="1">
                <wp:simplePos x="0" y="0"/>
                <wp:positionH relativeFrom="column">
                  <wp:posOffset>-554355</wp:posOffset>
                </wp:positionH>
                <wp:positionV relativeFrom="paragraph">
                  <wp:posOffset>88899</wp:posOffset>
                </wp:positionV>
                <wp:extent cx="6955155" cy="0"/>
                <wp:effectExtent l="0" t="19050" r="1714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7pt" to="7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" strokeweight="4pt">
                <v:stroke linestyle="thinThick"/>
              </v:line>
            </w:pict>
          </mc:Fallback>
        </mc:AlternateContent>
      </w:r>
    </w:p>
    <w:p w:rsidR="00167EBC" w:rsidRPr="009F437E" w:rsidRDefault="00167EBC" w:rsidP="00167EBC">
      <w:pPr>
        <w:rPr>
          <w:rFonts w:ascii="Trebuchet MS" w:hAnsi="Trebuchet MS"/>
          <w:smallCaps/>
          <w:sz w:val="40"/>
        </w:rPr>
      </w:pPr>
    </w:p>
    <w:p w:rsidR="00167EBC" w:rsidRPr="009F437E" w:rsidRDefault="009F437E" w:rsidP="009F437E">
      <w:pPr>
        <w:jc w:val="center"/>
        <w:rPr>
          <w:rFonts w:ascii="Trebuchet MS" w:hAnsi="Trebuchet MS"/>
          <w:smallCaps/>
          <w:sz w:val="40"/>
        </w:rPr>
      </w:pPr>
      <w:r w:rsidRPr="009F437E">
        <w:rPr>
          <w:rFonts w:ascii="Trebuchet MS" w:hAnsi="Trebuchet MS"/>
          <w:smallCaps/>
          <w:sz w:val="40"/>
        </w:rPr>
        <w:t xml:space="preserve">Recommendations from the Governor’s </w:t>
      </w:r>
      <w:r w:rsidR="00151AE7">
        <w:rPr>
          <w:rFonts w:ascii="Trebuchet MS" w:hAnsi="Trebuchet MS"/>
          <w:smallCaps/>
          <w:sz w:val="40"/>
        </w:rPr>
        <w:t>Dental</w:t>
      </w:r>
      <w:r w:rsidRPr="009F437E">
        <w:rPr>
          <w:rFonts w:ascii="Trebuchet MS" w:hAnsi="Trebuchet MS"/>
          <w:smallCaps/>
          <w:sz w:val="40"/>
        </w:rPr>
        <w:t xml:space="preserve"> Education Working Group on Prescription Drug Misuse</w:t>
      </w:r>
    </w:p>
    <w:p w:rsidR="009F437E" w:rsidRPr="009F437E" w:rsidRDefault="009F437E" w:rsidP="009F437E">
      <w:pPr>
        <w:jc w:val="center"/>
        <w:rPr>
          <w:rFonts w:ascii="Trebuchet MS" w:hAnsi="Trebuchet MS"/>
          <w:smallCaps/>
          <w:sz w:val="40"/>
        </w:rPr>
      </w:pPr>
    </w:p>
    <w:p w:rsidR="009F437E" w:rsidRPr="009F437E" w:rsidRDefault="009F437E" w:rsidP="009F437E">
      <w:pPr>
        <w:jc w:val="center"/>
        <w:rPr>
          <w:rFonts w:ascii="Trebuchet MS" w:hAnsi="Trebuchet MS"/>
          <w:smallCaps/>
          <w:sz w:val="40"/>
        </w:rPr>
      </w:pPr>
    </w:p>
    <w:p w:rsidR="009F437E" w:rsidRPr="009F437E" w:rsidRDefault="009A76ED" w:rsidP="009F437E">
      <w:pPr>
        <w:jc w:val="center"/>
        <w:rPr>
          <w:rFonts w:ascii="Trebuchet MS" w:hAnsi="Trebuchet MS"/>
          <w:sz w:val="40"/>
        </w:rPr>
      </w:pPr>
      <w:r w:rsidRPr="009F437E">
        <w:rPr>
          <w:noProof/>
          <w:sz w:val="24"/>
          <w:szCs w:val="24"/>
        </w:rPr>
        <w:drawing>
          <wp:anchor distT="0" distB="0" distL="114300" distR="114300" simplePos="0" relativeHeight="251662336" behindDoc="0" locked="0" layoutInCell="1" allowOverlap="1">
            <wp:simplePos x="0" y="0"/>
            <wp:positionH relativeFrom="column">
              <wp:posOffset>2088515</wp:posOffset>
            </wp:positionH>
            <wp:positionV relativeFrom="paragraph">
              <wp:posOffset>234518</wp:posOffset>
            </wp:positionV>
            <wp:extent cx="1487170" cy="1543050"/>
            <wp:effectExtent l="0" t="0" r="0" b="0"/>
            <wp:wrapNone/>
            <wp:docPr id="317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4"/>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87170" cy="1543050"/>
                    </a:xfrm>
                    <a:prstGeom prst="rect">
                      <a:avLst/>
                    </a:prstGeom>
                    <a:noFill/>
                    <a:ln w="9525">
                      <a:noFill/>
                      <a:miter lim="800000"/>
                      <a:headEnd/>
                      <a:tailEnd/>
                    </a:ln>
                  </pic:spPr>
                </pic:pic>
              </a:graphicData>
            </a:graphic>
          </wp:anchor>
        </w:drawing>
      </w:r>
    </w:p>
    <w:p w:rsidR="00167EBC" w:rsidRPr="009F437E" w:rsidRDefault="00167EBC" w:rsidP="00167EBC">
      <w:pPr>
        <w:jc w:val="right"/>
      </w:pPr>
    </w:p>
    <w:p w:rsidR="00167EBC" w:rsidRPr="009F437E" w:rsidRDefault="00167EBC"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167EBC" w:rsidRPr="009F437E" w:rsidRDefault="00167EBC" w:rsidP="00167EBC">
      <w:pPr>
        <w:jc w:val="right"/>
      </w:pPr>
    </w:p>
    <w:p w:rsidR="009F437E" w:rsidRDefault="009F437E" w:rsidP="00167EBC">
      <w:pPr>
        <w:jc w:val="right"/>
        <w:rPr>
          <w:b/>
          <w:sz w:val="24"/>
          <w:szCs w:val="24"/>
        </w:rPr>
      </w:pPr>
    </w:p>
    <w:p w:rsidR="009A76ED" w:rsidRDefault="009A76ED" w:rsidP="00167EBC">
      <w:pPr>
        <w:jc w:val="right"/>
        <w:rPr>
          <w:b/>
          <w:sz w:val="24"/>
          <w:szCs w:val="24"/>
        </w:rPr>
      </w:pPr>
    </w:p>
    <w:p w:rsidR="009A76ED" w:rsidRPr="009F437E" w:rsidRDefault="009A76ED" w:rsidP="00167EBC">
      <w:pPr>
        <w:jc w:val="right"/>
        <w:rPr>
          <w:b/>
          <w:sz w:val="24"/>
          <w:szCs w:val="24"/>
        </w:rPr>
      </w:pPr>
    </w:p>
    <w:p w:rsidR="009F437E" w:rsidRPr="009F437E" w:rsidRDefault="009F437E" w:rsidP="00D1502A">
      <w:pPr>
        <w:jc w:val="right"/>
        <w:outlineLvl w:val="0"/>
        <w:rPr>
          <w:rFonts w:ascii="Trebuchet MS" w:hAnsi="Trebuchet MS"/>
          <w:b/>
        </w:rPr>
      </w:pPr>
      <w:r w:rsidRPr="009F437E">
        <w:rPr>
          <w:rFonts w:ascii="Trebuchet MS" w:hAnsi="Trebuchet MS"/>
          <w:b/>
        </w:rPr>
        <w:t xml:space="preserve">Governor’s </w:t>
      </w:r>
      <w:r w:rsidR="00151AE7">
        <w:rPr>
          <w:rFonts w:ascii="Trebuchet MS" w:hAnsi="Trebuchet MS"/>
          <w:b/>
        </w:rPr>
        <w:t>Dental</w:t>
      </w:r>
      <w:r w:rsidRPr="009F437E">
        <w:rPr>
          <w:rFonts w:ascii="Trebuchet MS" w:hAnsi="Trebuchet MS"/>
          <w:b/>
        </w:rPr>
        <w:t xml:space="preserve"> Education Working Group on Prescription Drug Misuse</w:t>
      </w:r>
    </w:p>
    <w:p w:rsidR="00167EBC" w:rsidRPr="009F437E" w:rsidRDefault="00167EBC" w:rsidP="00D1502A">
      <w:pPr>
        <w:jc w:val="right"/>
        <w:outlineLvl w:val="0"/>
        <w:rPr>
          <w:rFonts w:ascii="Trebuchet MS" w:hAnsi="Trebuchet MS"/>
        </w:rPr>
      </w:pPr>
      <w:r w:rsidRPr="009F437E">
        <w:rPr>
          <w:rFonts w:ascii="Trebuchet MS" w:hAnsi="Trebuchet MS"/>
        </w:rPr>
        <w:t xml:space="preserve">Massachusetts Department of Public Health </w:t>
      </w:r>
    </w:p>
    <w:p w:rsidR="00167EBC" w:rsidRPr="009F437E" w:rsidRDefault="00167EBC" w:rsidP="00167EBC">
      <w:pPr>
        <w:jc w:val="right"/>
        <w:rPr>
          <w:rFonts w:ascii="Trebuchet MS" w:hAnsi="Trebuchet MS"/>
        </w:rPr>
      </w:pPr>
      <w:r w:rsidRPr="009F437E">
        <w:rPr>
          <w:rFonts w:ascii="Trebuchet MS" w:hAnsi="Trebuchet MS"/>
        </w:rPr>
        <w:t xml:space="preserve">Massachusetts </w:t>
      </w:r>
      <w:r w:rsidR="00151AE7">
        <w:rPr>
          <w:rFonts w:ascii="Trebuchet MS" w:hAnsi="Trebuchet MS"/>
        </w:rPr>
        <w:t>Dental</w:t>
      </w:r>
      <w:r w:rsidRPr="009F437E">
        <w:rPr>
          <w:rFonts w:ascii="Trebuchet MS" w:hAnsi="Trebuchet MS"/>
        </w:rPr>
        <w:t xml:space="preserve"> Society</w:t>
      </w:r>
    </w:p>
    <w:p w:rsidR="00167EBC" w:rsidRPr="009F437E" w:rsidRDefault="00151AE7" w:rsidP="00167EBC">
      <w:pPr>
        <w:jc w:val="right"/>
        <w:rPr>
          <w:rFonts w:ascii="Trebuchet MS" w:hAnsi="Trebuchet MS"/>
        </w:rPr>
      </w:pPr>
      <w:r w:rsidRPr="00151AE7">
        <w:rPr>
          <w:rFonts w:ascii="Trebuchet MS" w:hAnsi="Trebuchet MS"/>
        </w:rPr>
        <w:t>Boston University Henry M. Goldman School of Dental Medicine</w:t>
      </w:r>
    </w:p>
    <w:p w:rsidR="00167EBC" w:rsidRPr="009F437E" w:rsidRDefault="00151AE7" w:rsidP="00167EBC">
      <w:pPr>
        <w:jc w:val="right"/>
        <w:rPr>
          <w:rFonts w:ascii="Trebuchet MS" w:hAnsi="Trebuchet MS"/>
        </w:rPr>
      </w:pPr>
      <w:r w:rsidRPr="00151AE7">
        <w:rPr>
          <w:rFonts w:ascii="Trebuchet MS" w:hAnsi="Trebuchet MS"/>
        </w:rPr>
        <w:t>Harvard School of Dental Medicine</w:t>
      </w:r>
    </w:p>
    <w:p w:rsidR="00167EBC" w:rsidRPr="009F437E" w:rsidRDefault="00151AE7" w:rsidP="00167EBC">
      <w:pPr>
        <w:jc w:val="right"/>
        <w:rPr>
          <w:rFonts w:ascii="Trebuchet MS" w:hAnsi="Trebuchet MS"/>
        </w:rPr>
      </w:pPr>
      <w:r w:rsidRPr="00151AE7">
        <w:rPr>
          <w:rFonts w:ascii="Trebuchet MS" w:hAnsi="Trebuchet MS"/>
        </w:rPr>
        <w:t>Tufts University School of Dental Medicine</w:t>
      </w:r>
    </w:p>
    <w:p w:rsidR="00167EBC" w:rsidRPr="009F437E" w:rsidRDefault="00167EBC" w:rsidP="00167EBC">
      <w:pPr>
        <w:jc w:val="right"/>
        <w:rPr>
          <w:rFonts w:ascii="Trebuchet MS" w:hAnsi="Trebuchet MS"/>
        </w:rPr>
      </w:pPr>
    </w:p>
    <w:p w:rsidR="00167EBC" w:rsidRPr="009F437E" w:rsidRDefault="00167EBC" w:rsidP="009F437E">
      <w:pPr>
        <w:jc w:val="right"/>
        <w:rPr>
          <w:rFonts w:ascii="Trebuchet MS" w:hAnsi="Trebuchet MS"/>
          <w:b/>
        </w:rPr>
        <w:sectPr w:rsidR="00167EBC" w:rsidRPr="009F437E" w:rsidSect="00167EBC">
          <w:footerReference w:type="even" r:id="rId14"/>
          <w:footerReference w:type="default" r:id="rId15"/>
          <w:headerReference w:type="first" r:id="rId16"/>
          <w:pgSz w:w="12240" w:h="15840" w:code="1"/>
          <w:pgMar w:top="1440" w:right="1440" w:bottom="1440" w:left="1440" w:header="720" w:footer="720" w:gutter="0"/>
          <w:pgNumType w:fmt="lowerRoman" w:start="1"/>
          <w:cols w:space="720"/>
          <w:noEndnote/>
          <w:titlePg/>
        </w:sectPr>
      </w:pPr>
      <w:r w:rsidRPr="009F437E">
        <w:rPr>
          <w:rFonts w:ascii="Trebuchet MS" w:hAnsi="Trebuchet MS"/>
          <w:b/>
        </w:rPr>
        <w:t xml:space="preserve"> </w:t>
      </w:r>
      <w:r w:rsidR="00D573AE">
        <w:rPr>
          <w:rFonts w:ascii="Trebuchet MS" w:hAnsi="Trebuchet MS"/>
          <w:b/>
        </w:rPr>
        <w:t>February</w:t>
      </w:r>
      <w:bookmarkStart w:id="2" w:name="_GoBack"/>
      <w:bookmarkEnd w:id="2"/>
      <w:r w:rsidRPr="009F437E">
        <w:rPr>
          <w:rFonts w:ascii="Trebuchet MS" w:hAnsi="Trebuchet MS"/>
          <w:b/>
        </w:rPr>
        <w:t xml:space="preserve"> </w:t>
      </w:r>
      <w:r w:rsidR="009A76ED">
        <w:rPr>
          <w:rFonts w:ascii="Trebuchet MS" w:hAnsi="Trebuchet MS"/>
          <w:b/>
        </w:rPr>
        <w:t>201</w:t>
      </w:r>
      <w:r w:rsidR="001B19F1">
        <w:rPr>
          <w:rFonts w:ascii="Univers (WN)" w:hAnsi="Univers (WN)"/>
          <w:noProof/>
        </w:rPr>
        <mc:AlternateContent>
          <mc:Choice Requires="wps">
            <w:drawing>
              <wp:anchor distT="0" distB="0" distL="114300" distR="114300" simplePos="0" relativeHeight="251661312" behindDoc="0" locked="0" layoutInCell="1" allowOverlap="1">
                <wp:simplePos x="0" y="0"/>
                <wp:positionH relativeFrom="column">
                  <wp:posOffset>2566035</wp:posOffset>
                </wp:positionH>
                <wp:positionV relativeFrom="paragraph">
                  <wp:posOffset>8185785</wp:posOffset>
                </wp:positionV>
                <wp:extent cx="5715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EBC" w:rsidRDefault="00167EBC" w:rsidP="00167E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2.05pt;margin-top:644.5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tgAIAAA4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" stroked="f">
                <v:textbox>
                  <w:txbxContent>
                    <w:p w:rsidR="00167EBC" w:rsidRDefault="00167EBC" w:rsidP="00167EBC"/>
                  </w:txbxContent>
                </v:textbox>
              </v:shape>
            </w:pict>
          </mc:Fallback>
        </mc:AlternateContent>
      </w:r>
      <w:r w:rsidR="00151AE7">
        <w:rPr>
          <w:rFonts w:ascii="Trebuchet MS" w:hAnsi="Trebuchet MS"/>
          <w:b/>
        </w:rPr>
        <w:t>6</w:t>
      </w:r>
    </w:p>
    <w:p w:rsidR="003C1D19" w:rsidRPr="009F437E" w:rsidRDefault="003C1D19" w:rsidP="003C1D19">
      <w:pPr>
        <w:jc w:val="center"/>
        <w:outlineLvl w:val="0"/>
        <w:rPr>
          <w:rFonts w:ascii="Times New Roman" w:hAnsi="Times New Roman"/>
          <w:b/>
          <w:bCs/>
          <w:sz w:val="24"/>
          <w:szCs w:val="24"/>
        </w:rPr>
      </w:pPr>
      <w:r>
        <w:rPr>
          <w:rFonts w:ascii="Times New Roman" w:hAnsi="Times New Roman"/>
          <w:b/>
          <w:bCs/>
          <w:sz w:val="24"/>
          <w:szCs w:val="24"/>
        </w:rPr>
        <w:lastRenderedPageBreak/>
        <w:t xml:space="preserve">DENTAL EDUCATION </w:t>
      </w:r>
      <w:r w:rsidRPr="009F437E">
        <w:rPr>
          <w:rFonts w:ascii="Times New Roman" w:hAnsi="Times New Roman"/>
          <w:b/>
          <w:bCs/>
          <w:sz w:val="24"/>
          <w:szCs w:val="24"/>
        </w:rPr>
        <w:t xml:space="preserve">CORE COMPETENCIES FOR </w:t>
      </w:r>
    </w:p>
    <w:p w:rsidR="00554E6D" w:rsidRPr="009F437E" w:rsidRDefault="003C1D19" w:rsidP="003A0BC3">
      <w:pPr>
        <w:jc w:val="center"/>
        <w:rPr>
          <w:rFonts w:ascii="Times New Roman" w:hAnsi="Times New Roman"/>
          <w:b/>
          <w:bCs/>
          <w:sz w:val="24"/>
          <w:szCs w:val="24"/>
        </w:rPr>
      </w:pPr>
      <w:r w:rsidRPr="009F437E">
        <w:rPr>
          <w:rFonts w:ascii="Times New Roman" w:hAnsi="Times New Roman"/>
          <w:b/>
          <w:bCs/>
          <w:sz w:val="24"/>
          <w:szCs w:val="24"/>
        </w:rPr>
        <w:t>THE PREVENTION AND MANAGEMENT OF PRESCRIPTION DRUG MISUSE</w:t>
      </w:r>
    </w:p>
    <w:p w:rsidR="00554E6D" w:rsidRPr="009F437E" w:rsidRDefault="00554E6D" w:rsidP="003A0BC3">
      <w:pPr>
        <w:jc w:val="center"/>
        <w:rPr>
          <w:rFonts w:ascii="Times New Roman" w:hAnsi="Times New Roman"/>
          <w:b/>
          <w:i/>
          <w:sz w:val="24"/>
          <w:szCs w:val="24"/>
        </w:rPr>
      </w:pPr>
    </w:p>
    <w:p w:rsidR="00D602EA" w:rsidRPr="009F437E" w:rsidRDefault="00D602EA" w:rsidP="003A0BC3">
      <w:pPr>
        <w:jc w:val="both"/>
        <w:rPr>
          <w:rFonts w:ascii="Times New Roman" w:hAnsi="Times New Roman"/>
          <w:b/>
          <w:i/>
          <w:sz w:val="24"/>
          <w:szCs w:val="24"/>
        </w:rPr>
      </w:pPr>
    </w:p>
    <w:p w:rsidR="00D602EA" w:rsidRPr="00D36EDF" w:rsidRDefault="00D602EA" w:rsidP="00D36EDF">
      <w:pPr>
        <w:outlineLvl w:val="0"/>
        <w:rPr>
          <w:rFonts w:ascii="Times New Roman" w:hAnsi="Times New Roman"/>
          <w:b/>
          <w:sz w:val="24"/>
          <w:szCs w:val="24"/>
        </w:rPr>
      </w:pPr>
      <w:r w:rsidRPr="00D36EDF">
        <w:rPr>
          <w:rFonts w:ascii="Times New Roman" w:hAnsi="Times New Roman"/>
          <w:b/>
          <w:sz w:val="24"/>
          <w:szCs w:val="24"/>
        </w:rPr>
        <w:t xml:space="preserve">Working Group Background: </w:t>
      </w:r>
      <w:r w:rsidRPr="00D36EDF">
        <w:rPr>
          <w:rFonts w:ascii="Times New Roman" w:hAnsi="Times New Roman"/>
          <w:b/>
          <w:sz w:val="24"/>
          <w:szCs w:val="24"/>
        </w:rPr>
        <w:tab/>
      </w:r>
    </w:p>
    <w:p w:rsidR="00F42088" w:rsidRPr="00D36EDF" w:rsidRDefault="00F42088" w:rsidP="00D36EDF">
      <w:pPr>
        <w:rPr>
          <w:rFonts w:ascii="Times New Roman" w:hAnsi="Times New Roman"/>
          <w:b/>
          <w:sz w:val="24"/>
          <w:szCs w:val="24"/>
        </w:rPr>
      </w:pPr>
    </w:p>
    <w:p w:rsidR="001A3C2C" w:rsidRPr="00D36EDF" w:rsidRDefault="001A3C2C" w:rsidP="00D36EDF">
      <w:pPr>
        <w:spacing w:line="360" w:lineRule="auto"/>
        <w:ind w:firstLine="720"/>
        <w:rPr>
          <w:rFonts w:ascii="Times New Roman" w:hAnsi="Times New Roman"/>
          <w:sz w:val="24"/>
          <w:szCs w:val="24"/>
        </w:rPr>
      </w:pPr>
      <w:r w:rsidRPr="00D36EDF">
        <w:rPr>
          <w:rFonts w:ascii="Times New Roman" w:hAnsi="Times New Roman"/>
          <w:sz w:val="24"/>
          <w:szCs w:val="24"/>
        </w:rPr>
        <w:t>In an effort to prepare the next generation of prescribers with the necessary tools to curb the nation’s current opioid epidemic,</w:t>
      </w:r>
      <w:r w:rsidRPr="00D36EDF" w:rsidDel="005053C6">
        <w:rPr>
          <w:rFonts w:ascii="Times New Roman" w:hAnsi="Times New Roman"/>
          <w:sz w:val="24"/>
          <w:szCs w:val="24"/>
        </w:rPr>
        <w:t xml:space="preserve"> </w:t>
      </w:r>
      <w:r w:rsidRPr="00D36EDF">
        <w:rPr>
          <w:rFonts w:ascii="Times New Roman" w:hAnsi="Times New Roman"/>
          <w:sz w:val="24"/>
          <w:szCs w:val="24"/>
        </w:rPr>
        <w:t>the Baker-</w:t>
      </w:r>
      <w:proofErr w:type="spellStart"/>
      <w:r w:rsidRPr="00D36EDF">
        <w:rPr>
          <w:rFonts w:ascii="Times New Roman" w:hAnsi="Times New Roman"/>
          <w:sz w:val="24"/>
          <w:szCs w:val="24"/>
        </w:rPr>
        <w:t>Polito</w:t>
      </w:r>
      <w:proofErr w:type="spellEnd"/>
      <w:r w:rsidRPr="00D36EDF">
        <w:rPr>
          <w:rFonts w:ascii="Times New Roman" w:hAnsi="Times New Roman"/>
          <w:sz w:val="24"/>
          <w:szCs w:val="24"/>
        </w:rPr>
        <w:t xml:space="preserve"> Administration, the Massachusetts Dental Society, and the deans of the Commonwealth’s three dental schools – Boston University Henry M. Goldman School of Dental Medicine, Harvard School of Dental Medicine, and Tufts University School of Dental Medicine – have partnered in enhancing current dental school core competencies, building off of the </w:t>
      </w:r>
      <w:r w:rsidR="00C35C7D" w:rsidRPr="00D36EDF">
        <w:rPr>
          <w:rFonts w:ascii="Times New Roman" w:hAnsi="Times New Roman"/>
          <w:sz w:val="24"/>
          <w:szCs w:val="24"/>
        </w:rPr>
        <w:t xml:space="preserve">successes of the </w:t>
      </w:r>
      <w:r w:rsidRPr="00D36EDF">
        <w:rPr>
          <w:rFonts w:ascii="Times New Roman" w:hAnsi="Times New Roman"/>
          <w:sz w:val="24"/>
          <w:szCs w:val="24"/>
        </w:rPr>
        <w:t>Governor’s Medical Education Working Group on Prescription Drug Misuse</w:t>
      </w:r>
      <w:r w:rsidR="00C35C7D" w:rsidRPr="00D36EDF">
        <w:rPr>
          <w:rFonts w:ascii="Times New Roman" w:hAnsi="Times New Roman"/>
          <w:sz w:val="24"/>
          <w:szCs w:val="24"/>
        </w:rPr>
        <w:t xml:space="preserve">. </w:t>
      </w:r>
      <w:r w:rsidRPr="00D36EDF">
        <w:rPr>
          <w:rFonts w:ascii="Times New Roman" w:hAnsi="Times New Roman"/>
          <w:sz w:val="24"/>
          <w:szCs w:val="24"/>
        </w:rPr>
        <w:t>Spanning all dental specialties, this first-in-the-nation partnership has resulted in the establishment of cross-institutional core competencies for the prevention and management of prescription drug misuse that will reach the approximately 1,800 enrolled undergraduate dental students and 580 advanced graduate dental students across the Commonwealth of Massachusetts.</w:t>
      </w:r>
    </w:p>
    <w:p w:rsidR="001A3C2C" w:rsidRPr="00D36EDF" w:rsidRDefault="001A3C2C" w:rsidP="00D36EDF">
      <w:pPr>
        <w:spacing w:line="360" w:lineRule="auto"/>
        <w:rPr>
          <w:rFonts w:ascii="Times New Roman" w:hAnsi="Times New Roman"/>
          <w:sz w:val="24"/>
          <w:szCs w:val="24"/>
        </w:rPr>
      </w:pPr>
    </w:p>
    <w:p w:rsidR="00D602EA" w:rsidRPr="00D36EDF" w:rsidRDefault="002C3167" w:rsidP="00D36EDF">
      <w:pPr>
        <w:spacing w:line="360" w:lineRule="auto"/>
        <w:ind w:firstLine="720"/>
        <w:rPr>
          <w:rFonts w:ascii="Times New Roman" w:hAnsi="Times New Roman"/>
          <w:sz w:val="24"/>
          <w:szCs w:val="24"/>
        </w:rPr>
      </w:pPr>
      <w:r w:rsidRPr="00D36EDF">
        <w:rPr>
          <w:rFonts w:ascii="Times New Roman" w:hAnsi="Times New Roman"/>
          <w:sz w:val="24"/>
          <w:szCs w:val="24"/>
        </w:rPr>
        <w:t>Currently</w:t>
      </w:r>
      <w:r w:rsidR="001A3C2C" w:rsidRPr="00D36EDF">
        <w:rPr>
          <w:rFonts w:ascii="Times New Roman" w:hAnsi="Times New Roman"/>
          <w:sz w:val="24"/>
          <w:szCs w:val="24"/>
        </w:rPr>
        <w:t>,</w:t>
      </w:r>
      <w:r w:rsidRPr="00D36EDF">
        <w:rPr>
          <w:rFonts w:ascii="Times New Roman" w:hAnsi="Times New Roman"/>
          <w:sz w:val="24"/>
          <w:szCs w:val="24"/>
        </w:rPr>
        <w:t xml:space="preserve"> each </w:t>
      </w:r>
      <w:r w:rsidR="001A3C2C" w:rsidRPr="00D36EDF">
        <w:rPr>
          <w:rFonts w:ascii="Times New Roman" w:hAnsi="Times New Roman"/>
          <w:sz w:val="24"/>
          <w:szCs w:val="24"/>
        </w:rPr>
        <w:t xml:space="preserve">dental </w:t>
      </w:r>
      <w:r w:rsidRPr="00D36EDF">
        <w:rPr>
          <w:rFonts w:ascii="Times New Roman" w:hAnsi="Times New Roman"/>
          <w:sz w:val="24"/>
          <w:szCs w:val="24"/>
        </w:rPr>
        <w:t xml:space="preserve">school has </w:t>
      </w:r>
      <w:r w:rsidR="001A3C2C" w:rsidRPr="00D36EDF">
        <w:rPr>
          <w:rFonts w:ascii="Times New Roman" w:hAnsi="Times New Roman"/>
          <w:sz w:val="24"/>
          <w:szCs w:val="24"/>
        </w:rPr>
        <w:t xml:space="preserve">implemented </w:t>
      </w:r>
      <w:r w:rsidRPr="00D36EDF">
        <w:rPr>
          <w:rFonts w:ascii="Times New Roman" w:hAnsi="Times New Roman"/>
          <w:sz w:val="24"/>
          <w:szCs w:val="24"/>
        </w:rPr>
        <w:t>core competencies in the dia</w:t>
      </w:r>
      <w:r w:rsidR="001A3C2C" w:rsidRPr="00D36EDF">
        <w:rPr>
          <w:rFonts w:ascii="Times New Roman" w:hAnsi="Times New Roman"/>
          <w:sz w:val="24"/>
          <w:szCs w:val="24"/>
        </w:rPr>
        <w:t xml:space="preserve">gnosis and management of pain across various aspects of their curriculum; however, the Working Group </w:t>
      </w:r>
      <w:r w:rsidRPr="00D36EDF">
        <w:rPr>
          <w:rFonts w:ascii="Times New Roman" w:hAnsi="Times New Roman"/>
          <w:sz w:val="24"/>
          <w:szCs w:val="24"/>
        </w:rPr>
        <w:t>acknowledge</w:t>
      </w:r>
      <w:r w:rsidR="001A3C2C" w:rsidRPr="00D36EDF">
        <w:rPr>
          <w:rFonts w:ascii="Times New Roman" w:hAnsi="Times New Roman"/>
          <w:sz w:val="24"/>
          <w:szCs w:val="24"/>
        </w:rPr>
        <w:t>s</w:t>
      </w:r>
      <w:r w:rsidRPr="00D36EDF">
        <w:rPr>
          <w:rFonts w:ascii="Times New Roman" w:hAnsi="Times New Roman"/>
          <w:sz w:val="24"/>
          <w:szCs w:val="24"/>
        </w:rPr>
        <w:t xml:space="preserve"> the need to strengthen, coordinate</w:t>
      </w:r>
      <w:r w:rsidR="001A3C2C" w:rsidRPr="00D36EDF">
        <w:rPr>
          <w:rFonts w:ascii="Times New Roman" w:hAnsi="Times New Roman"/>
          <w:sz w:val="24"/>
          <w:szCs w:val="24"/>
        </w:rPr>
        <w:t>,</w:t>
      </w:r>
      <w:r w:rsidRPr="00D36EDF">
        <w:rPr>
          <w:rFonts w:ascii="Times New Roman" w:hAnsi="Times New Roman"/>
          <w:sz w:val="24"/>
          <w:szCs w:val="24"/>
        </w:rPr>
        <w:t xml:space="preserve"> and uni</w:t>
      </w:r>
      <w:r w:rsidR="001A3C2C" w:rsidRPr="00D36EDF">
        <w:rPr>
          <w:rFonts w:ascii="Times New Roman" w:hAnsi="Times New Roman"/>
          <w:sz w:val="24"/>
          <w:szCs w:val="24"/>
        </w:rPr>
        <w:t>fy these approaches within and across each program</w:t>
      </w:r>
      <w:r w:rsidRPr="00D36EDF">
        <w:rPr>
          <w:rFonts w:ascii="Times New Roman" w:hAnsi="Times New Roman"/>
          <w:sz w:val="24"/>
          <w:szCs w:val="24"/>
        </w:rPr>
        <w:t>.</w:t>
      </w:r>
      <w:r w:rsidR="001A3C2C" w:rsidRPr="00D36EDF">
        <w:rPr>
          <w:rFonts w:ascii="Times New Roman" w:hAnsi="Times New Roman"/>
          <w:sz w:val="24"/>
          <w:szCs w:val="24"/>
        </w:rPr>
        <w:t xml:space="preserve"> </w:t>
      </w:r>
      <w:r w:rsidR="00A431EE" w:rsidRPr="00D36EDF">
        <w:rPr>
          <w:rFonts w:ascii="Times New Roman" w:hAnsi="Times New Roman"/>
          <w:sz w:val="24"/>
          <w:szCs w:val="24"/>
        </w:rPr>
        <w:t>This collaboration and set of cross-institutional core competencies will provide dental students (both at the undergraduate and advanced graduate levels) with enhanced training in prevention strategies regarding prescription drug misuse, while concurrently providing effective pain care.  This represents an innovative and forward-thinking contribution to a multi-faceted strategy to curb the opioid epidemic.  The Commonwealth of Massachusetts is again setting a new standard – this time by providing dental students with a strong foundation in prevention, identifying substance use disorders, managing the complex patient requiring effective pain management, and referring patients for appropriate treatment.  With this enhanced educational foundation, Massachusetts’ dental students will be better prepared to enter residency training and practice to provide excellent patient care as our future dentists.</w:t>
      </w:r>
    </w:p>
    <w:p w:rsidR="00D602EA" w:rsidRPr="00D36EDF" w:rsidRDefault="00D602EA" w:rsidP="00D36EDF">
      <w:pPr>
        <w:rPr>
          <w:rFonts w:ascii="Times New Roman" w:hAnsi="Times New Roman"/>
          <w:sz w:val="24"/>
          <w:szCs w:val="24"/>
        </w:rPr>
      </w:pPr>
    </w:p>
    <w:p w:rsidR="00D602EA" w:rsidRPr="00D36EDF" w:rsidRDefault="009A3C98" w:rsidP="00D36EDF">
      <w:pPr>
        <w:outlineLvl w:val="0"/>
        <w:rPr>
          <w:rFonts w:ascii="Times New Roman" w:hAnsi="Times New Roman"/>
          <w:b/>
          <w:sz w:val="24"/>
          <w:szCs w:val="24"/>
        </w:rPr>
      </w:pPr>
      <w:r w:rsidRPr="00D36EDF">
        <w:rPr>
          <w:rFonts w:ascii="Times New Roman" w:hAnsi="Times New Roman"/>
          <w:b/>
          <w:sz w:val="24"/>
          <w:szCs w:val="24"/>
        </w:rPr>
        <w:t>Core Competencies</w:t>
      </w:r>
      <w:r w:rsidR="00D602EA" w:rsidRPr="00D36EDF">
        <w:rPr>
          <w:rFonts w:ascii="Times New Roman" w:hAnsi="Times New Roman"/>
          <w:b/>
          <w:sz w:val="24"/>
          <w:szCs w:val="24"/>
        </w:rPr>
        <w:t xml:space="preserve"> Overview: </w:t>
      </w:r>
    </w:p>
    <w:p w:rsidR="00F42088" w:rsidRPr="00D36EDF" w:rsidRDefault="00F42088" w:rsidP="00D36EDF">
      <w:pPr>
        <w:rPr>
          <w:rFonts w:ascii="Times New Roman" w:hAnsi="Times New Roman"/>
          <w:b/>
          <w:sz w:val="24"/>
          <w:szCs w:val="24"/>
        </w:rPr>
      </w:pPr>
    </w:p>
    <w:p w:rsidR="00985155" w:rsidRPr="00D36EDF" w:rsidRDefault="001A3C2C" w:rsidP="00D36EDF">
      <w:pPr>
        <w:pStyle w:val="Default"/>
        <w:spacing w:line="360" w:lineRule="auto"/>
        <w:ind w:firstLine="720"/>
        <w:rPr>
          <w:rFonts w:ascii="Times New Roman" w:hAnsi="Times New Roman" w:cs="Times New Roman"/>
          <w:color w:val="auto"/>
        </w:rPr>
      </w:pPr>
      <w:r w:rsidRPr="00D36EDF">
        <w:rPr>
          <w:rFonts w:ascii="Times New Roman" w:hAnsi="Times New Roman" w:cs="Times New Roman"/>
          <w:color w:val="auto"/>
        </w:rPr>
        <w:t xml:space="preserve">The Governor’s Dental Education Working Group membership, representing the Department of Public Health, the Massachusetts Dental Society, and all three Massachusetts dental schools – Boston </w:t>
      </w:r>
      <w:r w:rsidRPr="00D36EDF">
        <w:rPr>
          <w:rFonts w:ascii="Times New Roman" w:hAnsi="Times New Roman" w:cs="Times New Roman"/>
          <w:color w:val="auto"/>
        </w:rPr>
        <w:lastRenderedPageBreak/>
        <w:t xml:space="preserve">University Henry M. Goldman School of Dental Medicine, Harvard School of Dental Medicine, and Tufts University School of Dental Medicine – </w:t>
      </w:r>
      <w:r w:rsidR="00A431EE" w:rsidRPr="00D36EDF">
        <w:rPr>
          <w:rFonts w:ascii="Times New Roman" w:hAnsi="Times New Roman" w:cs="Times New Roman"/>
          <w:color w:val="auto"/>
        </w:rPr>
        <w:t>is pleased to outline the following cross-institutional</w:t>
      </w:r>
      <w:r w:rsidR="00C35C7D" w:rsidRPr="00D36EDF">
        <w:rPr>
          <w:rFonts w:ascii="Times New Roman" w:hAnsi="Times New Roman" w:cs="Times New Roman"/>
          <w:color w:val="auto"/>
        </w:rPr>
        <w:t>,</w:t>
      </w:r>
      <w:r w:rsidR="00A431EE" w:rsidRPr="00D36EDF">
        <w:rPr>
          <w:rFonts w:ascii="Times New Roman" w:hAnsi="Times New Roman" w:cs="Times New Roman"/>
          <w:color w:val="auto"/>
        </w:rPr>
        <w:t xml:space="preserve"> consensus document regarding a set of measureable core competencies for the prevention and management of prescription drug misuse in dentistry. </w:t>
      </w:r>
      <w:r w:rsidR="00C35C7D" w:rsidRPr="00D36EDF">
        <w:rPr>
          <w:rFonts w:ascii="Times New Roman" w:eastAsia="Calibri" w:hAnsi="Times New Roman" w:cs="Times New Roman"/>
          <w:bCs/>
          <w:color w:val="auto"/>
        </w:rPr>
        <w:t>Given the significant role of dentistry in opioid prescribing</w:t>
      </w:r>
      <w:r w:rsidR="002A02F3">
        <w:rPr>
          <w:rFonts w:ascii="Times New Roman" w:eastAsia="Calibri" w:hAnsi="Times New Roman" w:cs="Times New Roman"/>
          <w:bCs/>
          <w:color w:val="auto"/>
        </w:rPr>
        <w:t>,</w:t>
      </w:r>
      <w:r w:rsidR="00C35C7D" w:rsidRPr="00D36EDF">
        <w:rPr>
          <w:rFonts w:ascii="Times New Roman" w:eastAsia="Calibri" w:hAnsi="Times New Roman" w:cs="Times New Roman"/>
          <w:bCs/>
          <w:color w:val="auto"/>
        </w:rPr>
        <w:t xml:space="preserve"> </w:t>
      </w:r>
      <w:r w:rsidR="00C35C7D" w:rsidRPr="00D36EDF">
        <w:rPr>
          <w:rFonts w:ascii="Times New Roman" w:hAnsi="Times New Roman" w:cs="Times New Roman"/>
          <w:color w:val="auto"/>
        </w:rPr>
        <w:t>and i</w:t>
      </w:r>
      <w:r w:rsidRPr="00D36EDF">
        <w:rPr>
          <w:rFonts w:ascii="Times New Roman" w:hAnsi="Times New Roman" w:cs="Times New Roman"/>
          <w:color w:val="auto"/>
        </w:rPr>
        <w:t>n order to provide cross-institutional</w:t>
      </w:r>
      <w:r w:rsidR="00A431EE" w:rsidRPr="00D36EDF">
        <w:rPr>
          <w:rFonts w:ascii="Times New Roman" w:hAnsi="Times New Roman" w:cs="Times New Roman"/>
          <w:color w:val="auto"/>
        </w:rPr>
        <w:t xml:space="preserve"> standards of training to all dental students in Massachusetts, the following recommendations for the core competency domains will be adopted by all three </w:t>
      </w:r>
      <w:r w:rsidRPr="00D36EDF">
        <w:rPr>
          <w:rFonts w:ascii="Times New Roman" w:hAnsi="Times New Roman" w:cs="Times New Roman"/>
          <w:color w:val="auto"/>
        </w:rPr>
        <w:t xml:space="preserve">dental schools. </w:t>
      </w:r>
      <w:r w:rsidR="00A431EE" w:rsidRPr="00D36EDF">
        <w:rPr>
          <w:rFonts w:ascii="Times New Roman" w:hAnsi="Times New Roman" w:cs="Times New Roman"/>
          <w:color w:val="auto"/>
        </w:rPr>
        <w:t>Each school will establish appropriate curricular interventions and innovations to ensure that</w:t>
      </w:r>
      <w:r w:rsidRPr="00D36EDF">
        <w:rPr>
          <w:rFonts w:ascii="Times New Roman" w:hAnsi="Times New Roman" w:cs="Times New Roman"/>
          <w:color w:val="auto"/>
        </w:rPr>
        <w:t xml:space="preserve"> the stated competencies are fully</w:t>
      </w:r>
      <w:r w:rsidR="00B74C8F" w:rsidRPr="00D36EDF">
        <w:rPr>
          <w:rFonts w:ascii="Times New Roman" w:hAnsi="Times New Roman" w:cs="Times New Roman"/>
          <w:color w:val="auto"/>
        </w:rPr>
        <w:t xml:space="preserve"> addressed for all students</w:t>
      </w:r>
      <w:r w:rsidR="00985155" w:rsidRPr="00D36EDF">
        <w:rPr>
          <w:rFonts w:ascii="Times New Roman" w:hAnsi="Times New Roman" w:cs="Times New Roman"/>
          <w:color w:val="auto"/>
        </w:rPr>
        <w:t>, allowing schools to tailor these competencies to their own curriculum development and to link these skills to emerging trends in competency development</w:t>
      </w:r>
      <w:r w:rsidR="00B74C8F" w:rsidRPr="00D36EDF">
        <w:rPr>
          <w:rFonts w:ascii="Times New Roman" w:hAnsi="Times New Roman" w:cs="Times New Roman"/>
          <w:color w:val="auto"/>
        </w:rPr>
        <w:t xml:space="preserve">. </w:t>
      </w:r>
    </w:p>
    <w:p w:rsidR="00985155" w:rsidRPr="00D36EDF" w:rsidRDefault="00985155" w:rsidP="00D36EDF">
      <w:pPr>
        <w:pStyle w:val="Default"/>
        <w:spacing w:line="360" w:lineRule="auto"/>
        <w:ind w:firstLine="720"/>
        <w:rPr>
          <w:rFonts w:ascii="Times New Roman" w:hAnsi="Times New Roman" w:cs="Times New Roman"/>
          <w:color w:val="auto"/>
        </w:rPr>
      </w:pPr>
    </w:p>
    <w:p w:rsidR="008C2EDA" w:rsidRPr="00D36EDF" w:rsidRDefault="00985155" w:rsidP="00D36EDF">
      <w:pPr>
        <w:pStyle w:val="Default"/>
        <w:spacing w:line="360" w:lineRule="auto"/>
        <w:rPr>
          <w:rFonts w:ascii="Times New Roman" w:hAnsi="Times New Roman" w:cs="Times New Roman"/>
          <w:color w:val="auto"/>
        </w:rPr>
      </w:pPr>
      <w:r w:rsidRPr="00D36EDF">
        <w:rPr>
          <w:rFonts w:ascii="Times New Roman" w:hAnsi="Times New Roman" w:cs="Times New Roman"/>
          <w:color w:val="auto"/>
        </w:rPr>
        <w:tab/>
      </w:r>
      <w:r w:rsidR="00C35C7D" w:rsidRPr="00D36EDF">
        <w:rPr>
          <w:rFonts w:ascii="Times New Roman" w:hAnsi="Times New Roman" w:cs="Times New Roman"/>
          <w:color w:val="auto"/>
        </w:rPr>
        <w:t xml:space="preserve">To this end, the three schools have agreed in principle to develop and implement substantive assessment of these competencies in order to evaluate students for baseline and post-implementation measurements. </w:t>
      </w:r>
      <w:r w:rsidR="00B74C8F" w:rsidRPr="00D36EDF">
        <w:rPr>
          <w:rFonts w:ascii="Times New Roman" w:hAnsi="Times New Roman" w:cs="Times New Roman"/>
          <w:color w:val="auto"/>
        </w:rPr>
        <w:t xml:space="preserve">In addition, it is further recommended that dentists in Massachusetts receive continuing education on these core competencies to ensure ongoing knowledge on the prevention and management of prescription drug </w:t>
      </w:r>
      <w:r w:rsidR="00EF0BB4">
        <w:rPr>
          <w:rFonts w:ascii="Times New Roman" w:hAnsi="Times New Roman" w:cs="Times New Roman"/>
          <w:color w:val="auto"/>
        </w:rPr>
        <w:t>misuse</w:t>
      </w:r>
      <w:r w:rsidR="00B74C8F" w:rsidRPr="00D36EDF">
        <w:rPr>
          <w:rFonts w:ascii="Times New Roman" w:hAnsi="Times New Roman" w:cs="Times New Roman"/>
          <w:color w:val="auto"/>
        </w:rPr>
        <w:t xml:space="preserve"> in dentistry.</w:t>
      </w:r>
      <w:r w:rsidRPr="00D36EDF">
        <w:rPr>
          <w:rFonts w:ascii="Times New Roman" w:hAnsi="Times New Roman" w:cs="Times New Roman"/>
          <w:color w:val="auto"/>
        </w:rPr>
        <w:t xml:space="preserve"> The Working Group recognizes that the </w:t>
      </w:r>
      <w:r w:rsidR="00A431EE" w:rsidRPr="00D36EDF">
        <w:rPr>
          <w:rFonts w:ascii="Times New Roman" w:hAnsi="Times New Roman" w:cs="Times New Roman"/>
          <w:color w:val="auto"/>
        </w:rPr>
        <w:t>best evidence in dental education supports performance-based evaluation as a key component of competency-based curricula, utilizing c</w:t>
      </w:r>
      <w:r w:rsidR="00C35C7D" w:rsidRPr="00D36EDF">
        <w:rPr>
          <w:rFonts w:ascii="Times New Roman" w:hAnsi="Times New Roman" w:cs="Times New Roman"/>
          <w:color w:val="auto"/>
        </w:rPr>
        <w:t xml:space="preserve">linical settings or simulation, </w:t>
      </w:r>
      <w:r w:rsidR="00A431EE" w:rsidRPr="00D36EDF">
        <w:rPr>
          <w:rFonts w:ascii="Times New Roman" w:hAnsi="Times New Roman" w:cs="Times New Roman"/>
          <w:color w:val="auto"/>
        </w:rPr>
        <w:t>and/or objective patient-based assessments using standardized patients and technology-enhanced simulation.  These assessments represent the gold standard for objective competency evaluation of dental students and residents.</w:t>
      </w:r>
    </w:p>
    <w:p w:rsidR="008C2EDA" w:rsidRPr="00D36EDF" w:rsidRDefault="008C2EDA" w:rsidP="00D36EDF">
      <w:pPr>
        <w:rPr>
          <w:rFonts w:ascii="Times New Roman" w:hAnsi="Times New Roman"/>
          <w:b/>
          <w:sz w:val="24"/>
          <w:szCs w:val="24"/>
        </w:rPr>
      </w:pPr>
    </w:p>
    <w:p w:rsidR="00C35C7D" w:rsidRPr="00D36EDF" w:rsidRDefault="00C35C7D" w:rsidP="00D36EDF">
      <w:pPr>
        <w:outlineLvl w:val="0"/>
        <w:rPr>
          <w:rFonts w:ascii="Times New Roman" w:hAnsi="Times New Roman"/>
          <w:b/>
          <w:sz w:val="24"/>
          <w:szCs w:val="24"/>
        </w:rPr>
      </w:pPr>
      <w:r w:rsidRPr="00D36EDF">
        <w:rPr>
          <w:rFonts w:ascii="Times New Roman" w:hAnsi="Times New Roman"/>
          <w:b/>
          <w:sz w:val="24"/>
          <w:szCs w:val="24"/>
        </w:rPr>
        <w:t xml:space="preserve">Working Group Preamble: </w:t>
      </w:r>
    </w:p>
    <w:p w:rsidR="00C35C7D" w:rsidRPr="00D36EDF" w:rsidRDefault="00C35C7D" w:rsidP="00D36EDF">
      <w:pPr>
        <w:outlineLvl w:val="0"/>
        <w:rPr>
          <w:rFonts w:ascii="Times New Roman" w:hAnsi="Times New Roman"/>
          <w:b/>
          <w:sz w:val="24"/>
          <w:szCs w:val="24"/>
        </w:rPr>
      </w:pPr>
    </w:p>
    <w:p w:rsidR="00C35C7D" w:rsidRPr="00D36EDF" w:rsidRDefault="00C35C7D" w:rsidP="00D36EDF">
      <w:pPr>
        <w:spacing w:line="360" w:lineRule="auto"/>
        <w:ind w:firstLine="720"/>
        <w:rPr>
          <w:rFonts w:ascii="Times New Roman" w:eastAsia="Calibri" w:hAnsi="Times New Roman"/>
          <w:sz w:val="24"/>
          <w:szCs w:val="24"/>
        </w:rPr>
      </w:pPr>
      <w:r w:rsidRPr="00D36EDF">
        <w:rPr>
          <w:rFonts w:ascii="Times New Roman" w:eastAsia="Calibri" w:hAnsi="Times New Roman"/>
          <w:sz w:val="24"/>
          <w:szCs w:val="24"/>
        </w:rPr>
        <w:t>Dental Medicine has an expanding role in promoting public health, with an increased attention to inter</w:t>
      </w:r>
      <w:r w:rsidR="001A3EE2" w:rsidRPr="00D36EDF">
        <w:rPr>
          <w:rFonts w:ascii="Times New Roman" w:eastAsia="Calibri" w:hAnsi="Times New Roman"/>
          <w:sz w:val="24"/>
          <w:szCs w:val="24"/>
        </w:rPr>
        <w:t>-</w:t>
      </w:r>
      <w:r w:rsidRPr="00D36EDF">
        <w:rPr>
          <w:rFonts w:ascii="Times New Roman" w:eastAsia="Calibri" w:hAnsi="Times New Roman"/>
          <w:sz w:val="24"/>
          <w:szCs w:val="24"/>
        </w:rPr>
        <w:t>professional collaboration across a range of healthcare disciplines.  The need for this collaborative effort is most evident when the patient presents with complex medical and psychiatric comorbidities. For example, the patient can benefit from integrative care, after dental surgical procedures</w:t>
      </w:r>
      <w:r w:rsidRPr="00D36EDF" w:rsidDel="00E2554F">
        <w:rPr>
          <w:rFonts w:ascii="Times New Roman" w:eastAsia="Calibri" w:hAnsi="Times New Roman"/>
          <w:sz w:val="24"/>
          <w:szCs w:val="24"/>
        </w:rPr>
        <w:t xml:space="preserve"> </w:t>
      </w:r>
      <w:r w:rsidRPr="00D36EDF">
        <w:rPr>
          <w:rFonts w:ascii="Times New Roman" w:eastAsia="Calibri" w:hAnsi="Times New Roman"/>
          <w:sz w:val="24"/>
          <w:szCs w:val="24"/>
        </w:rPr>
        <w:t xml:space="preserve">where controlled substances are dispensed as a standard of care.  Dentists are in a particularly unique position to have an impact, as they typically have regular contact with their patients and commonly address issues of preventive health and wellness in their oral health regimes. </w:t>
      </w:r>
    </w:p>
    <w:p w:rsidR="00C35C7D" w:rsidRPr="00D36EDF" w:rsidRDefault="00C35C7D" w:rsidP="00D36EDF">
      <w:pPr>
        <w:spacing w:line="360" w:lineRule="auto"/>
        <w:rPr>
          <w:rFonts w:ascii="Times New Roman" w:eastAsia="Calibri" w:hAnsi="Times New Roman"/>
          <w:sz w:val="24"/>
          <w:szCs w:val="24"/>
        </w:rPr>
      </w:pPr>
    </w:p>
    <w:p w:rsidR="00C35C7D" w:rsidRPr="00D36EDF" w:rsidRDefault="00C35C7D" w:rsidP="00D36EDF">
      <w:pPr>
        <w:spacing w:line="360" w:lineRule="auto"/>
        <w:ind w:firstLine="720"/>
        <w:rPr>
          <w:rFonts w:ascii="Times New Roman" w:eastAsia="Calibri" w:hAnsi="Times New Roman"/>
          <w:sz w:val="24"/>
          <w:szCs w:val="24"/>
        </w:rPr>
      </w:pPr>
      <w:r w:rsidRPr="00D36EDF">
        <w:rPr>
          <w:rFonts w:ascii="Times New Roman" w:eastAsia="Calibri" w:hAnsi="Times New Roman"/>
          <w:sz w:val="24"/>
          <w:szCs w:val="24"/>
        </w:rPr>
        <w:lastRenderedPageBreak/>
        <w:t>Dentists have been identified as one of the most frequent prescribers of opioid analgesics for acute pain, following closely behind internal medicine and primary care physicians.  Furthermore, dentists are the most frequent prescribers to adolescents who are less aware of the high risks involved with opioid use.  A recent survey suggests that in one study, dentists prescribed more opioids after single tooth extraction than guidelines would</w:t>
      </w:r>
      <w:r w:rsidR="00CB2C2E">
        <w:rPr>
          <w:rFonts w:ascii="Times New Roman" w:eastAsia="Calibri" w:hAnsi="Times New Roman"/>
          <w:sz w:val="24"/>
          <w:szCs w:val="24"/>
        </w:rPr>
        <w:t xml:space="preserve"> support</w:t>
      </w:r>
      <w:r w:rsidRPr="00D36EDF">
        <w:rPr>
          <w:rFonts w:ascii="Times New Roman" w:eastAsia="Calibri" w:hAnsi="Times New Roman"/>
          <w:sz w:val="24"/>
          <w:szCs w:val="24"/>
        </w:rPr>
        <w:t xml:space="preserve">. Further complicating the problem, unused prescriptions from dental procedures can be unwittingly diverted to family members and other </w:t>
      </w:r>
      <w:r w:rsidR="00AD525B">
        <w:rPr>
          <w:rFonts w:ascii="Times New Roman" w:eastAsia="Calibri" w:hAnsi="Times New Roman"/>
          <w:sz w:val="24"/>
          <w:szCs w:val="24"/>
        </w:rPr>
        <w:t>individuals misusing</w:t>
      </w:r>
      <w:r w:rsidR="00D36EDF" w:rsidRPr="00D36EDF">
        <w:rPr>
          <w:rFonts w:ascii="Times New Roman" w:eastAsia="Calibri" w:hAnsi="Times New Roman"/>
          <w:sz w:val="24"/>
          <w:szCs w:val="24"/>
        </w:rPr>
        <w:t xml:space="preserve"> substances</w:t>
      </w:r>
      <w:r w:rsidRPr="00D36EDF">
        <w:rPr>
          <w:rFonts w:ascii="Times New Roman" w:eastAsia="Calibri" w:hAnsi="Times New Roman"/>
          <w:sz w:val="24"/>
          <w:szCs w:val="24"/>
        </w:rPr>
        <w:t>, thus contributing to the risk of substance misuse and opioid related overdoses and deaths.</w:t>
      </w:r>
    </w:p>
    <w:p w:rsidR="00C35C7D" w:rsidRPr="00D36EDF" w:rsidRDefault="00C35C7D" w:rsidP="00D36EDF">
      <w:pPr>
        <w:spacing w:line="360" w:lineRule="auto"/>
        <w:ind w:firstLine="720"/>
        <w:rPr>
          <w:rFonts w:ascii="Times New Roman" w:eastAsia="Calibri" w:hAnsi="Times New Roman"/>
          <w:sz w:val="24"/>
          <w:szCs w:val="24"/>
        </w:rPr>
      </w:pPr>
    </w:p>
    <w:p w:rsidR="00C35C7D" w:rsidRPr="00D36EDF" w:rsidRDefault="00C35C7D" w:rsidP="00D36EDF">
      <w:pPr>
        <w:spacing w:line="360" w:lineRule="auto"/>
        <w:ind w:firstLine="720"/>
        <w:rPr>
          <w:rFonts w:ascii="Times New Roman" w:eastAsia="Calibri" w:hAnsi="Times New Roman"/>
          <w:sz w:val="24"/>
          <w:szCs w:val="24"/>
        </w:rPr>
      </w:pPr>
      <w:r w:rsidRPr="00D36EDF">
        <w:rPr>
          <w:rFonts w:ascii="Times New Roman" w:eastAsia="Calibri" w:hAnsi="Times New Roman"/>
          <w:sz w:val="24"/>
          <w:szCs w:val="24"/>
        </w:rPr>
        <w:t xml:space="preserve">In a recent survey on screening in a dental care setting, Parish </w:t>
      </w:r>
      <w:r w:rsidR="00991A5C">
        <w:rPr>
          <w:rFonts w:ascii="Times New Roman" w:eastAsia="Calibri" w:hAnsi="Times New Roman"/>
          <w:sz w:val="24"/>
          <w:szCs w:val="24"/>
        </w:rPr>
        <w:t xml:space="preserve">et al. </w:t>
      </w:r>
      <w:r w:rsidRPr="00D36EDF">
        <w:rPr>
          <w:rFonts w:ascii="Times New Roman" w:eastAsia="Calibri" w:hAnsi="Times New Roman"/>
          <w:sz w:val="24"/>
          <w:szCs w:val="24"/>
        </w:rPr>
        <w:t xml:space="preserve">found that three out of four dentists reported that they asked their patients about substance misuse during a routine assessment. Conversely, most underestimated the importance of substance misuse assessment in dental practice, suggesting that few dentists may follow through with appropriate substance misuse risk counselling and referral, even after identifying misuse.  Hence, targeting education that encourages a simple reduction in opioid prescribing in dentistry may address only part of the problem, while more is required with respect to counselling, appropriate referral, and inter-professional collaboration. </w:t>
      </w:r>
    </w:p>
    <w:p w:rsidR="00C35C7D" w:rsidRPr="00D36EDF" w:rsidRDefault="00C35C7D" w:rsidP="00D36EDF">
      <w:pPr>
        <w:spacing w:line="360" w:lineRule="auto"/>
        <w:ind w:firstLine="720"/>
        <w:rPr>
          <w:rFonts w:ascii="Times New Roman" w:eastAsia="Calibri" w:hAnsi="Times New Roman"/>
          <w:sz w:val="24"/>
          <w:szCs w:val="24"/>
        </w:rPr>
      </w:pPr>
    </w:p>
    <w:p w:rsidR="00C35C7D" w:rsidRPr="00D36EDF" w:rsidRDefault="00C35C7D" w:rsidP="00D36EDF">
      <w:pPr>
        <w:spacing w:line="360" w:lineRule="auto"/>
        <w:ind w:firstLine="720"/>
        <w:rPr>
          <w:rFonts w:ascii="Times New Roman" w:eastAsia="Calibri" w:hAnsi="Times New Roman"/>
          <w:sz w:val="24"/>
          <w:szCs w:val="24"/>
        </w:rPr>
      </w:pPr>
      <w:r w:rsidRPr="00D36EDF">
        <w:rPr>
          <w:rFonts w:ascii="Times New Roman" w:eastAsia="Calibri" w:hAnsi="Times New Roman"/>
          <w:sz w:val="24"/>
          <w:szCs w:val="24"/>
        </w:rPr>
        <w:t>Massachusetts has historically led the educational efforts to address this problem with practicing dentists, as underscored by the recent S</w:t>
      </w:r>
      <w:r w:rsidRPr="00D36EDF">
        <w:rPr>
          <w:rFonts w:ascii="Times New Roman" w:eastAsia="Calibri" w:hAnsi="Times New Roman"/>
          <w:i/>
          <w:sz w:val="24"/>
          <w:szCs w:val="24"/>
        </w:rPr>
        <w:t>pecial Report on Prescribing in Dentistry in the Journal of the Massachusetts Dental Society</w:t>
      </w:r>
      <w:r w:rsidR="00991A5C">
        <w:rPr>
          <w:rFonts w:ascii="Times New Roman" w:eastAsia="Calibri" w:hAnsi="Times New Roman"/>
          <w:sz w:val="24"/>
          <w:szCs w:val="24"/>
        </w:rPr>
        <w:t xml:space="preserve">. </w:t>
      </w:r>
      <w:r w:rsidRPr="00D36EDF">
        <w:rPr>
          <w:rFonts w:ascii="Times New Roman" w:eastAsia="Calibri" w:hAnsi="Times New Roman"/>
          <w:sz w:val="24"/>
          <w:szCs w:val="24"/>
        </w:rPr>
        <w:t xml:space="preserve">Similarly, the American Dental Association recently addressed the issues with </w:t>
      </w:r>
      <w:r w:rsidRPr="00D36EDF">
        <w:rPr>
          <w:rFonts w:ascii="Times New Roman" w:eastAsia="Calibri" w:hAnsi="Times New Roman"/>
          <w:i/>
          <w:sz w:val="24"/>
          <w:szCs w:val="24"/>
        </w:rPr>
        <w:t>The Practical Guide to Substance Abuse Disorders</w:t>
      </w:r>
      <w:r w:rsidRPr="00D36EDF">
        <w:rPr>
          <w:rFonts w:ascii="Times New Roman" w:eastAsia="Calibri" w:hAnsi="Times New Roman"/>
          <w:sz w:val="24"/>
          <w:szCs w:val="24"/>
        </w:rPr>
        <w:t>, providing another template for enhancing the undergraduate dental curriculum. In a national effort, the National Institute</w:t>
      </w:r>
      <w:r w:rsidR="003347CD">
        <w:rPr>
          <w:rFonts w:ascii="Times New Roman" w:eastAsia="Calibri" w:hAnsi="Times New Roman"/>
          <w:sz w:val="24"/>
          <w:szCs w:val="24"/>
        </w:rPr>
        <w:t>s</w:t>
      </w:r>
      <w:r w:rsidRPr="00D36EDF">
        <w:rPr>
          <w:rFonts w:ascii="Times New Roman" w:eastAsia="Calibri" w:hAnsi="Times New Roman"/>
          <w:sz w:val="24"/>
          <w:szCs w:val="24"/>
        </w:rPr>
        <w:t xml:space="preserve"> of Health (NIH) recently created 12 </w:t>
      </w:r>
      <w:r w:rsidRPr="00D36EDF">
        <w:rPr>
          <w:rFonts w:ascii="Times New Roman" w:eastAsia="Calibri" w:hAnsi="Times New Roman"/>
          <w:i/>
          <w:sz w:val="24"/>
          <w:szCs w:val="24"/>
        </w:rPr>
        <w:t>Centers of Excellence in Pain Education</w:t>
      </w:r>
      <w:r w:rsidRPr="00D36EDF">
        <w:rPr>
          <w:rFonts w:ascii="Times New Roman" w:eastAsia="Calibri" w:hAnsi="Times New Roman"/>
          <w:sz w:val="24"/>
          <w:szCs w:val="24"/>
        </w:rPr>
        <w:t xml:space="preserve"> (</w:t>
      </w:r>
      <w:proofErr w:type="spellStart"/>
      <w:r w:rsidRPr="00D36EDF">
        <w:rPr>
          <w:rFonts w:ascii="Times New Roman" w:eastAsia="Calibri" w:hAnsi="Times New Roman"/>
          <w:sz w:val="24"/>
          <w:szCs w:val="24"/>
        </w:rPr>
        <w:t>CoEPEs</w:t>
      </w:r>
      <w:proofErr w:type="spellEnd"/>
      <w:r w:rsidRPr="00D36EDF">
        <w:rPr>
          <w:rFonts w:ascii="Times New Roman" w:eastAsia="Calibri" w:hAnsi="Times New Roman"/>
          <w:sz w:val="24"/>
          <w:szCs w:val="24"/>
        </w:rPr>
        <w:t xml:space="preserve">) with dentists playing a key role in guiding </w:t>
      </w:r>
      <w:proofErr w:type="spellStart"/>
      <w:r w:rsidRPr="00D36EDF">
        <w:rPr>
          <w:rFonts w:ascii="Times New Roman" w:eastAsia="Calibri" w:hAnsi="Times New Roman"/>
          <w:sz w:val="24"/>
          <w:szCs w:val="24"/>
        </w:rPr>
        <w:t>CoEPE</w:t>
      </w:r>
      <w:proofErr w:type="spellEnd"/>
      <w:r w:rsidRPr="00D36EDF">
        <w:rPr>
          <w:rFonts w:ascii="Times New Roman" w:eastAsia="Calibri" w:hAnsi="Times New Roman"/>
          <w:sz w:val="24"/>
          <w:szCs w:val="24"/>
        </w:rPr>
        <w:t xml:space="preserve"> based inter-professional education for teaching the appropriate use of controlle</w:t>
      </w:r>
      <w:r w:rsidR="00D36EDF" w:rsidRPr="00D36EDF">
        <w:rPr>
          <w:rFonts w:ascii="Times New Roman" w:eastAsia="Calibri" w:hAnsi="Times New Roman"/>
          <w:sz w:val="24"/>
          <w:szCs w:val="24"/>
        </w:rPr>
        <w:t>d substances in pain management.</w:t>
      </w:r>
    </w:p>
    <w:p w:rsidR="00C35C7D" w:rsidRPr="00D36EDF" w:rsidRDefault="00C35C7D" w:rsidP="00D36EDF">
      <w:pPr>
        <w:spacing w:line="360" w:lineRule="auto"/>
        <w:ind w:firstLine="720"/>
        <w:rPr>
          <w:rFonts w:ascii="Times New Roman" w:eastAsia="Calibri" w:hAnsi="Times New Roman"/>
          <w:sz w:val="24"/>
          <w:szCs w:val="24"/>
        </w:rPr>
      </w:pPr>
    </w:p>
    <w:p w:rsidR="00C35C7D" w:rsidRPr="00D36EDF" w:rsidRDefault="00C35C7D" w:rsidP="004A51E4">
      <w:pPr>
        <w:spacing w:line="360" w:lineRule="auto"/>
        <w:ind w:firstLine="720"/>
        <w:rPr>
          <w:rFonts w:ascii="Times New Roman" w:eastAsia="Calibri" w:hAnsi="Times New Roman"/>
          <w:sz w:val="24"/>
          <w:szCs w:val="24"/>
        </w:rPr>
      </w:pPr>
      <w:r w:rsidRPr="00D36EDF">
        <w:rPr>
          <w:rFonts w:ascii="Times New Roman" w:eastAsia="Calibri" w:hAnsi="Times New Roman"/>
          <w:sz w:val="24"/>
          <w:szCs w:val="24"/>
        </w:rPr>
        <w:t>Reinforcing the need for these successes, research suggests that change already appears to be occurring with respect to opioid prescribing in dentistry.  For ex</w:t>
      </w:r>
      <w:r w:rsidR="001D4A53">
        <w:rPr>
          <w:rFonts w:ascii="Times New Roman" w:eastAsia="Calibri" w:hAnsi="Times New Roman"/>
          <w:sz w:val="24"/>
          <w:szCs w:val="24"/>
        </w:rPr>
        <w:t xml:space="preserve">ample, Levy and colleagues </w:t>
      </w:r>
      <w:r w:rsidRPr="00D36EDF">
        <w:rPr>
          <w:rFonts w:ascii="Times New Roman" w:eastAsia="Calibri" w:hAnsi="Times New Roman"/>
          <w:sz w:val="24"/>
          <w:szCs w:val="24"/>
        </w:rPr>
        <w:t xml:space="preserve">found that the largest drop in percentage of prescribing from 2007 to 2012 was from the areas of emergency medicine (-9%) and dentistry (-6%).  More recent investigations suggest </w:t>
      </w:r>
      <w:r w:rsidR="00DB0328">
        <w:rPr>
          <w:rFonts w:ascii="Times New Roman" w:eastAsia="Calibri" w:hAnsi="Times New Roman"/>
          <w:sz w:val="24"/>
          <w:szCs w:val="24"/>
        </w:rPr>
        <w:t xml:space="preserve">that </w:t>
      </w:r>
      <w:r w:rsidRPr="00D36EDF">
        <w:rPr>
          <w:rFonts w:ascii="Times New Roman" w:eastAsia="Calibri" w:hAnsi="Times New Roman"/>
          <w:sz w:val="24"/>
          <w:szCs w:val="24"/>
        </w:rPr>
        <w:t xml:space="preserve">the drop in opioid prescribing continues.  As a result of concerted educational efforts directed toward those in practice, dentists may be shifting to alternative lower risk analgesics in order to effectively manage pain.  </w:t>
      </w:r>
    </w:p>
    <w:p w:rsidR="00C35C7D" w:rsidRPr="00D36EDF" w:rsidRDefault="00C35C7D" w:rsidP="00D36EDF">
      <w:pPr>
        <w:spacing w:line="360" w:lineRule="auto"/>
        <w:ind w:firstLine="720"/>
        <w:rPr>
          <w:rFonts w:ascii="Times New Roman" w:eastAsia="Calibri" w:hAnsi="Times New Roman"/>
          <w:sz w:val="24"/>
          <w:szCs w:val="24"/>
        </w:rPr>
      </w:pPr>
      <w:r w:rsidRPr="00D36EDF">
        <w:rPr>
          <w:rFonts w:ascii="Times New Roman" w:eastAsia="Calibri" w:hAnsi="Times New Roman"/>
          <w:sz w:val="24"/>
          <w:szCs w:val="24"/>
        </w:rPr>
        <w:lastRenderedPageBreak/>
        <w:t>However, more must be done to combat today’s opioid epidemic. Dental undergraduate and graduate education likely offers the best setting for early and effective clinician training, targeting developing clinician behavior that can have a positive impact during future years of practice</w:t>
      </w:r>
      <w:r w:rsidR="004A51E4">
        <w:rPr>
          <w:rFonts w:ascii="Times New Roman" w:eastAsia="Calibri" w:hAnsi="Times New Roman"/>
          <w:sz w:val="24"/>
          <w:szCs w:val="24"/>
        </w:rPr>
        <w:t>.</w:t>
      </w:r>
    </w:p>
    <w:p w:rsidR="001A3EE2" w:rsidRPr="00D36EDF" w:rsidRDefault="001A3EE2" w:rsidP="00D36EDF">
      <w:pPr>
        <w:spacing w:line="360" w:lineRule="auto"/>
        <w:ind w:firstLine="720"/>
        <w:rPr>
          <w:rFonts w:ascii="Times New Roman" w:eastAsia="Calibri" w:hAnsi="Times New Roman"/>
          <w:sz w:val="24"/>
          <w:szCs w:val="24"/>
        </w:rPr>
      </w:pPr>
    </w:p>
    <w:p w:rsidR="001A3EE2" w:rsidRPr="00D36EDF" w:rsidRDefault="001A3EE2" w:rsidP="00D36EDF">
      <w:pPr>
        <w:spacing w:line="360" w:lineRule="auto"/>
        <w:ind w:firstLine="720"/>
        <w:rPr>
          <w:rFonts w:ascii="Times New Roman" w:eastAsia="Calibri" w:hAnsi="Times New Roman"/>
          <w:sz w:val="24"/>
          <w:szCs w:val="24"/>
        </w:rPr>
      </w:pPr>
      <w:r w:rsidRPr="00D36EDF">
        <w:rPr>
          <w:rFonts w:ascii="Times New Roman" w:eastAsia="Calibri" w:hAnsi="Times New Roman"/>
          <w:sz w:val="24"/>
          <w:szCs w:val="24"/>
        </w:rPr>
        <w:t>Finally, the Governor’s Dental Education Working Group recognizes that the practice of dentistry differs in several important ways from t</w:t>
      </w:r>
      <w:r w:rsidR="00C80B5D">
        <w:rPr>
          <w:rFonts w:ascii="Times New Roman" w:eastAsia="Calibri" w:hAnsi="Times New Roman"/>
          <w:sz w:val="24"/>
          <w:szCs w:val="24"/>
        </w:rPr>
        <w:t>he practice</w:t>
      </w:r>
      <w:r w:rsidR="002A02F3">
        <w:rPr>
          <w:rFonts w:ascii="Times New Roman" w:eastAsia="Calibri" w:hAnsi="Times New Roman"/>
          <w:sz w:val="24"/>
          <w:szCs w:val="24"/>
        </w:rPr>
        <w:t xml:space="preserve"> of medicine. Some of these</w:t>
      </w:r>
      <w:r w:rsidR="00C22ABC">
        <w:rPr>
          <w:rFonts w:ascii="Times New Roman" w:eastAsia="Calibri" w:hAnsi="Times New Roman"/>
          <w:sz w:val="24"/>
          <w:szCs w:val="24"/>
        </w:rPr>
        <w:t xml:space="preserve"> differences</w:t>
      </w:r>
      <w:r w:rsidRPr="00D36EDF">
        <w:rPr>
          <w:rFonts w:ascii="Times New Roman" w:eastAsia="Calibri" w:hAnsi="Times New Roman"/>
          <w:sz w:val="24"/>
          <w:szCs w:val="24"/>
        </w:rPr>
        <w:t xml:space="preserve"> include:</w:t>
      </w:r>
    </w:p>
    <w:p w:rsidR="001A3EE2" w:rsidRPr="00D36EDF" w:rsidRDefault="001A3EE2" w:rsidP="00D36EDF">
      <w:pPr>
        <w:pStyle w:val="ListParagraph"/>
        <w:numPr>
          <w:ilvl w:val="0"/>
          <w:numId w:val="7"/>
        </w:numPr>
        <w:spacing w:line="360" w:lineRule="auto"/>
        <w:contextualSpacing/>
        <w:rPr>
          <w:rFonts w:ascii="Times New Roman" w:eastAsia="Calibri" w:hAnsi="Times New Roman" w:cs="Times New Roman"/>
          <w:sz w:val="24"/>
          <w:szCs w:val="24"/>
        </w:rPr>
      </w:pPr>
      <w:r w:rsidRPr="00D36EDF">
        <w:rPr>
          <w:rFonts w:ascii="Times New Roman" w:eastAsia="Calibri" w:hAnsi="Times New Roman" w:cs="Times New Roman"/>
          <w:sz w:val="24"/>
          <w:szCs w:val="24"/>
        </w:rPr>
        <w:t xml:space="preserve">While dentistry is practiced in small local offices (nationwide 78.4% of dentists work in solo practices-ADA Practice Survey 2010), over the past decade, physicians and other healthcare professionals have come together in larger group practices, </w:t>
      </w:r>
      <w:r w:rsidR="00DB0328">
        <w:rPr>
          <w:rFonts w:ascii="Times New Roman" w:eastAsia="Calibri" w:hAnsi="Times New Roman" w:cs="Times New Roman"/>
          <w:sz w:val="24"/>
          <w:szCs w:val="24"/>
        </w:rPr>
        <w:t>facilitating</w:t>
      </w:r>
      <w:r w:rsidRPr="00D36EDF">
        <w:rPr>
          <w:rFonts w:ascii="Times New Roman" w:eastAsia="Calibri" w:hAnsi="Times New Roman" w:cs="Times New Roman"/>
          <w:sz w:val="24"/>
          <w:szCs w:val="24"/>
        </w:rPr>
        <w:t xml:space="preserve"> and normalizing peer review and consultations as routine.</w:t>
      </w:r>
    </w:p>
    <w:p w:rsidR="001A3EE2" w:rsidRPr="00D36EDF" w:rsidRDefault="001A3EE2" w:rsidP="00D36EDF">
      <w:pPr>
        <w:pStyle w:val="ListParagraph"/>
        <w:numPr>
          <w:ilvl w:val="0"/>
          <w:numId w:val="7"/>
        </w:numPr>
        <w:spacing w:line="360" w:lineRule="auto"/>
        <w:contextualSpacing/>
        <w:rPr>
          <w:rFonts w:ascii="Times New Roman" w:eastAsia="Calibri" w:hAnsi="Times New Roman" w:cs="Times New Roman"/>
          <w:sz w:val="24"/>
          <w:szCs w:val="24"/>
        </w:rPr>
      </w:pPr>
      <w:r w:rsidRPr="00D36EDF">
        <w:rPr>
          <w:rFonts w:ascii="Times New Roman" w:eastAsia="Calibri" w:hAnsi="Times New Roman" w:cs="Times New Roman"/>
          <w:sz w:val="24"/>
          <w:szCs w:val="24"/>
        </w:rPr>
        <w:t>Dentists deal predominantly with acute pain, utilizing standard evaluations and evidence-based treatment protocols that are highly effective for acute pain.  However, in contrast, their experience treating chronic pain is limited.</w:t>
      </w:r>
    </w:p>
    <w:p w:rsidR="001A3EE2" w:rsidRPr="00D36EDF" w:rsidRDefault="001A3EE2" w:rsidP="00D36EDF">
      <w:pPr>
        <w:pStyle w:val="ListParagraph"/>
        <w:numPr>
          <w:ilvl w:val="0"/>
          <w:numId w:val="7"/>
        </w:numPr>
        <w:spacing w:line="360" w:lineRule="auto"/>
        <w:contextualSpacing/>
        <w:rPr>
          <w:rFonts w:ascii="Times New Roman" w:eastAsia="Calibri" w:hAnsi="Times New Roman" w:cs="Times New Roman"/>
          <w:sz w:val="24"/>
          <w:szCs w:val="24"/>
        </w:rPr>
      </w:pPr>
      <w:r w:rsidRPr="00D36EDF">
        <w:rPr>
          <w:rFonts w:ascii="Times New Roman" w:eastAsia="Calibri" w:hAnsi="Times New Roman" w:cs="Times New Roman"/>
          <w:sz w:val="24"/>
          <w:szCs w:val="24"/>
        </w:rPr>
        <w:t xml:space="preserve">More integration is required between dentistry and the medical field, particularly with regards to behavioral health. </w:t>
      </w:r>
    </w:p>
    <w:p w:rsidR="001A3EE2" w:rsidRPr="00D36EDF" w:rsidRDefault="001A3EE2" w:rsidP="00D36EDF">
      <w:pPr>
        <w:pStyle w:val="ListParagraph"/>
        <w:numPr>
          <w:ilvl w:val="0"/>
          <w:numId w:val="7"/>
        </w:numPr>
        <w:spacing w:line="360" w:lineRule="auto"/>
        <w:contextualSpacing/>
        <w:rPr>
          <w:rFonts w:ascii="Times New Roman" w:eastAsia="Calibri" w:hAnsi="Times New Roman" w:cs="Times New Roman"/>
          <w:sz w:val="24"/>
          <w:szCs w:val="24"/>
        </w:rPr>
      </w:pPr>
      <w:r w:rsidRPr="00D36EDF">
        <w:rPr>
          <w:rFonts w:ascii="Times New Roman" w:eastAsia="Calibri" w:hAnsi="Times New Roman" w:cs="Times New Roman"/>
          <w:sz w:val="24"/>
          <w:szCs w:val="24"/>
        </w:rPr>
        <w:t xml:space="preserve">Although implementation has begun through the </w:t>
      </w:r>
      <w:r w:rsidR="0054515F">
        <w:rPr>
          <w:rFonts w:ascii="Times New Roman" w:eastAsia="Calibri" w:hAnsi="Times New Roman" w:cs="Times New Roman"/>
          <w:i/>
          <w:sz w:val="24"/>
          <w:szCs w:val="24"/>
        </w:rPr>
        <w:t>Commission</w:t>
      </w:r>
      <w:r w:rsidRPr="00D36EDF">
        <w:rPr>
          <w:rFonts w:ascii="Times New Roman" w:eastAsia="Calibri" w:hAnsi="Times New Roman" w:cs="Times New Roman"/>
          <w:sz w:val="24"/>
          <w:szCs w:val="24"/>
        </w:rPr>
        <w:t xml:space="preserve"> </w:t>
      </w:r>
      <w:r w:rsidRPr="00D36EDF">
        <w:rPr>
          <w:rFonts w:ascii="Times New Roman" w:eastAsia="Calibri" w:hAnsi="Times New Roman" w:cs="Times New Roman"/>
          <w:i/>
          <w:sz w:val="24"/>
          <w:szCs w:val="24"/>
        </w:rPr>
        <w:t>on</w:t>
      </w:r>
      <w:r w:rsidRPr="00D36EDF">
        <w:rPr>
          <w:rFonts w:ascii="Times New Roman" w:eastAsia="Calibri" w:hAnsi="Times New Roman" w:cs="Times New Roman"/>
          <w:sz w:val="24"/>
          <w:szCs w:val="24"/>
        </w:rPr>
        <w:t xml:space="preserve"> </w:t>
      </w:r>
      <w:r w:rsidRPr="00D36EDF">
        <w:rPr>
          <w:rFonts w:ascii="Times New Roman" w:eastAsia="Calibri" w:hAnsi="Times New Roman" w:cs="Times New Roman"/>
          <w:i/>
          <w:sz w:val="24"/>
          <w:szCs w:val="24"/>
        </w:rPr>
        <w:t>Dental Accreditation</w:t>
      </w:r>
      <w:r w:rsidRPr="006323C7">
        <w:rPr>
          <w:rFonts w:ascii="Times New Roman" w:eastAsia="Calibri" w:hAnsi="Times New Roman" w:cs="Times New Roman"/>
          <w:sz w:val="24"/>
          <w:szCs w:val="24"/>
        </w:rPr>
        <w:t xml:space="preserve"> </w:t>
      </w:r>
      <w:r w:rsidR="00DB3B62" w:rsidRPr="006323C7">
        <w:rPr>
          <w:rFonts w:ascii="Times New Roman" w:eastAsia="Calibri" w:hAnsi="Times New Roman" w:cs="Times New Roman"/>
          <w:sz w:val="24"/>
          <w:szCs w:val="24"/>
        </w:rPr>
        <w:t>process</w:t>
      </w:r>
      <w:r w:rsidRPr="00D36EDF">
        <w:rPr>
          <w:rFonts w:ascii="Times New Roman" w:eastAsia="Calibri" w:hAnsi="Times New Roman" w:cs="Times New Roman"/>
          <w:sz w:val="24"/>
          <w:szCs w:val="24"/>
        </w:rPr>
        <w:t xml:space="preserve">, at this time there is no accredited specialty of Orofacial Pain, resulting in few resources across the dental field for consultation or referral. </w:t>
      </w:r>
    </w:p>
    <w:p w:rsidR="00C35C7D" w:rsidRPr="00D36EDF" w:rsidRDefault="00C35C7D" w:rsidP="00D36EDF">
      <w:pPr>
        <w:outlineLvl w:val="0"/>
        <w:rPr>
          <w:rFonts w:ascii="Times New Roman" w:hAnsi="Times New Roman"/>
          <w:b/>
          <w:sz w:val="24"/>
          <w:szCs w:val="24"/>
        </w:rPr>
      </w:pPr>
    </w:p>
    <w:p w:rsidR="00451463" w:rsidRPr="00D36EDF" w:rsidRDefault="00C35C7D" w:rsidP="00D36EDF">
      <w:pPr>
        <w:outlineLvl w:val="0"/>
        <w:rPr>
          <w:rFonts w:ascii="Times New Roman" w:hAnsi="Times New Roman"/>
          <w:b/>
          <w:sz w:val="24"/>
          <w:szCs w:val="24"/>
        </w:rPr>
      </w:pPr>
      <w:r w:rsidRPr="00D36EDF">
        <w:rPr>
          <w:rFonts w:ascii="Times New Roman" w:hAnsi="Times New Roman"/>
          <w:b/>
          <w:sz w:val="24"/>
          <w:szCs w:val="24"/>
        </w:rPr>
        <w:t xml:space="preserve">Dental Core Competencies </w:t>
      </w:r>
      <w:r w:rsidR="00451463" w:rsidRPr="00D36EDF">
        <w:rPr>
          <w:rFonts w:ascii="Times New Roman" w:hAnsi="Times New Roman"/>
          <w:b/>
          <w:sz w:val="24"/>
          <w:szCs w:val="24"/>
        </w:rPr>
        <w:t xml:space="preserve">Preamble: </w:t>
      </w:r>
    </w:p>
    <w:p w:rsidR="00F42088" w:rsidRPr="00D36EDF" w:rsidRDefault="00F42088" w:rsidP="00D36EDF">
      <w:pPr>
        <w:rPr>
          <w:rFonts w:ascii="Times New Roman" w:hAnsi="Times New Roman"/>
          <w:b/>
          <w:sz w:val="24"/>
          <w:szCs w:val="24"/>
        </w:rPr>
      </w:pPr>
    </w:p>
    <w:p w:rsidR="00725787" w:rsidRPr="00D36EDF" w:rsidRDefault="00451463" w:rsidP="00D36EDF">
      <w:pPr>
        <w:spacing w:line="360" w:lineRule="auto"/>
        <w:rPr>
          <w:rFonts w:ascii="Times New Roman" w:hAnsi="Times New Roman"/>
          <w:sz w:val="24"/>
          <w:szCs w:val="24"/>
        </w:rPr>
      </w:pPr>
      <w:r w:rsidRPr="00D36EDF">
        <w:rPr>
          <w:rFonts w:ascii="Times New Roman" w:hAnsi="Times New Roman"/>
          <w:sz w:val="24"/>
          <w:szCs w:val="24"/>
        </w:rPr>
        <w:tab/>
      </w:r>
      <w:r w:rsidR="005D4CF3" w:rsidRPr="00D36EDF">
        <w:rPr>
          <w:rFonts w:ascii="Times New Roman" w:hAnsi="Times New Roman"/>
          <w:sz w:val="24"/>
          <w:szCs w:val="24"/>
        </w:rPr>
        <w:t>The following cross-institutional core competencies are framed from the perspective of an encounter with a patient who typically presents with dental or orofacial pain for which a prescription medication with the potential for misuse may be indicated.  The goal of the stated core competencies is to support future dentists, over the course of their dental education, with both skills and a foundational knowledge in the prevention of prescription drug misuse and the effective management of pain.</w:t>
      </w:r>
      <w:r w:rsidR="00F264E8" w:rsidRPr="00D36EDF">
        <w:rPr>
          <w:rFonts w:ascii="Times New Roman" w:hAnsi="Times New Roman"/>
          <w:sz w:val="24"/>
          <w:szCs w:val="24"/>
        </w:rPr>
        <w:t xml:space="preserve"> </w:t>
      </w:r>
      <w:r w:rsidR="005D4CF3" w:rsidRPr="00D36EDF">
        <w:rPr>
          <w:rFonts w:ascii="Times New Roman" w:hAnsi="Times New Roman"/>
          <w:sz w:val="24"/>
          <w:szCs w:val="24"/>
        </w:rPr>
        <w:t>These competencies set clear baseline standards for primary (preventing prescription drug misuse), secondary (treating patients at-risk for substance use disorders) prevention skills and tertiary knowledge in the areas of screening, evaluation, treatment planning, and referral.</w:t>
      </w:r>
      <w:r w:rsidR="00F264E8" w:rsidRPr="00D36EDF">
        <w:rPr>
          <w:rFonts w:ascii="Times New Roman" w:hAnsi="Times New Roman"/>
          <w:sz w:val="24"/>
          <w:szCs w:val="24"/>
        </w:rPr>
        <w:t xml:space="preserve"> </w:t>
      </w:r>
      <w:r w:rsidR="00D66ABB" w:rsidRPr="00D36EDF">
        <w:rPr>
          <w:rFonts w:ascii="Times New Roman" w:hAnsi="Times New Roman"/>
          <w:sz w:val="24"/>
          <w:szCs w:val="24"/>
        </w:rPr>
        <w:t xml:space="preserve">While these competencies have been stratified into prevention domains, the following competencies are not intended to be wholly exclusive </w:t>
      </w:r>
      <w:r w:rsidR="00D66ABB" w:rsidRPr="00D36EDF">
        <w:rPr>
          <w:rFonts w:ascii="Times New Roman" w:hAnsi="Times New Roman"/>
          <w:sz w:val="24"/>
          <w:szCs w:val="24"/>
        </w:rPr>
        <w:lastRenderedPageBreak/>
        <w:t>to any one prevention level; rather, this document enlists skills and knowledge which should be broadly applied to enhance a future dental professional’s ability to prevent and manage prescription drug misuse.</w:t>
      </w:r>
    </w:p>
    <w:p w:rsidR="00725787" w:rsidRPr="00D36EDF" w:rsidRDefault="00725787" w:rsidP="00D36EDF">
      <w:pPr>
        <w:spacing w:line="360" w:lineRule="auto"/>
        <w:ind w:firstLine="720"/>
        <w:rPr>
          <w:rFonts w:ascii="Times New Roman" w:hAnsi="Times New Roman"/>
          <w:sz w:val="24"/>
          <w:szCs w:val="24"/>
        </w:rPr>
      </w:pPr>
    </w:p>
    <w:p w:rsidR="0068538A" w:rsidRPr="00D36EDF" w:rsidRDefault="005D4CF3" w:rsidP="00D36EDF">
      <w:pPr>
        <w:spacing w:line="360" w:lineRule="auto"/>
        <w:ind w:firstLine="720"/>
        <w:rPr>
          <w:rFonts w:ascii="Times New Roman" w:hAnsi="Times New Roman"/>
          <w:sz w:val="24"/>
          <w:szCs w:val="24"/>
        </w:rPr>
      </w:pPr>
      <w:r w:rsidRPr="00D36EDF">
        <w:rPr>
          <w:rFonts w:ascii="Times New Roman" w:hAnsi="Times New Roman"/>
          <w:sz w:val="24"/>
          <w:szCs w:val="24"/>
        </w:rPr>
        <w:t>The</w:t>
      </w:r>
      <w:r w:rsidR="003C1D19" w:rsidRPr="00D36EDF">
        <w:rPr>
          <w:rFonts w:ascii="Times New Roman" w:hAnsi="Times New Roman"/>
          <w:sz w:val="24"/>
          <w:szCs w:val="24"/>
        </w:rPr>
        <w:t>se</w:t>
      </w:r>
      <w:r w:rsidRPr="00D36EDF">
        <w:rPr>
          <w:rFonts w:ascii="Times New Roman" w:hAnsi="Times New Roman"/>
          <w:sz w:val="24"/>
          <w:szCs w:val="24"/>
        </w:rPr>
        <w:t xml:space="preserve"> </w:t>
      </w:r>
      <w:r w:rsidR="001A3EE2" w:rsidRPr="00D36EDF">
        <w:rPr>
          <w:rFonts w:ascii="Times New Roman" w:hAnsi="Times New Roman"/>
          <w:sz w:val="24"/>
          <w:szCs w:val="24"/>
        </w:rPr>
        <w:t xml:space="preserve">cross-institutional </w:t>
      </w:r>
      <w:r w:rsidRPr="00D36EDF">
        <w:rPr>
          <w:rFonts w:ascii="Times New Roman" w:hAnsi="Times New Roman"/>
          <w:sz w:val="24"/>
          <w:szCs w:val="24"/>
        </w:rPr>
        <w:t xml:space="preserve">core competencies are </w:t>
      </w:r>
      <w:r w:rsidR="001A3EE2" w:rsidRPr="00D36EDF">
        <w:rPr>
          <w:rFonts w:ascii="Times New Roman" w:hAnsi="Times New Roman"/>
          <w:sz w:val="24"/>
          <w:szCs w:val="24"/>
        </w:rPr>
        <w:t xml:space="preserve">also </w:t>
      </w:r>
      <w:r w:rsidRPr="00D36EDF">
        <w:rPr>
          <w:rFonts w:ascii="Times New Roman" w:hAnsi="Times New Roman"/>
          <w:sz w:val="24"/>
          <w:szCs w:val="24"/>
        </w:rPr>
        <w:t xml:space="preserve">designed to serve as a vital bridge between dental student education, graduate training, dental residency training and dental practice, ensuring that future generations of prescribers are equipped with essential skills for high quality dental </w:t>
      </w:r>
      <w:r w:rsidR="001A3EE2" w:rsidRPr="00D36EDF">
        <w:rPr>
          <w:rFonts w:ascii="Times New Roman" w:hAnsi="Times New Roman"/>
          <w:sz w:val="24"/>
          <w:szCs w:val="24"/>
        </w:rPr>
        <w:t xml:space="preserve">practice and safe prescribing. </w:t>
      </w:r>
      <w:r w:rsidRPr="00D36EDF">
        <w:rPr>
          <w:rFonts w:ascii="Times New Roman" w:hAnsi="Times New Roman"/>
          <w:sz w:val="24"/>
          <w:szCs w:val="24"/>
        </w:rPr>
        <w:t>These concepts both encourage and demand a dentists’ understanding of the importance of both team- and system-based care provision, ensuring the inter</w:t>
      </w:r>
      <w:r w:rsidR="00B74C8F" w:rsidRPr="00D36EDF">
        <w:rPr>
          <w:rFonts w:ascii="Times New Roman" w:hAnsi="Times New Roman"/>
          <w:sz w:val="24"/>
          <w:szCs w:val="24"/>
        </w:rPr>
        <w:t>-</w:t>
      </w:r>
      <w:r w:rsidRPr="00D36EDF">
        <w:rPr>
          <w:rFonts w:ascii="Times New Roman" w:hAnsi="Times New Roman"/>
          <w:sz w:val="24"/>
          <w:szCs w:val="24"/>
        </w:rPr>
        <w:t>professional treatment of substance use disorders as a chronic disease, while e</w:t>
      </w:r>
      <w:r w:rsidR="001A3EE2" w:rsidRPr="00D36EDF">
        <w:rPr>
          <w:rFonts w:ascii="Times New Roman" w:hAnsi="Times New Roman"/>
          <w:sz w:val="24"/>
          <w:szCs w:val="24"/>
        </w:rPr>
        <w:t>ffectively managing acute pain.</w:t>
      </w:r>
      <w:r w:rsidRPr="00D36EDF">
        <w:rPr>
          <w:rFonts w:ascii="Times New Roman" w:hAnsi="Times New Roman"/>
          <w:sz w:val="24"/>
          <w:szCs w:val="24"/>
        </w:rPr>
        <w:t xml:space="preserve"> The three Massachusetts Dental Schools and the Massachusetts Dental Society universally recognize these competencies as integral to the abilities of all dental students, residents, and practicing dental professionals to safely and competently prescribe effective controlled substances, and to successfully prevent, identify, and treat patients with substance use disorders.</w:t>
      </w:r>
    </w:p>
    <w:p w:rsidR="005D4CF3" w:rsidRPr="00D36EDF" w:rsidRDefault="005D4CF3" w:rsidP="00D36EDF">
      <w:pPr>
        <w:spacing w:line="360" w:lineRule="auto"/>
        <w:ind w:firstLine="720"/>
        <w:rPr>
          <w:rFonts w:ascii="Times New Roman" w:hAnsi="Times New Roman"/>
          <w:sz w:val="24"/>
          <w:szCs w:val="24"/>
        </w:rPr>
      </w:pPr>
    </w:p>
    <w:p w:rsidR="005D4CF3" w:rsidRPr="009F437E" w:rsidRDefault="005D4CF3" w:rsidP="001A3EE2">
      <w:pPr>
        <w:spacing w:line="360" w:lineRule="auto"/>
        <w:jc w:val="both"/>
        <w:rPr>
          <w:rFonts w:ascii="Times New Roman" w:hAnsi="Times New Roman"/>
          <w:sz w:val="24"/>
          <w:szCs w:val="24"/>
        </w:rPr>
        <w:sectPr w:rsidR="005D4CF3" w:rsidRPr="009F437E" w:rsidSect="008C2EDA">
          <w:headerReference w:type="default" r:id="rId17"/>
          <w:footerReference w:type="default" r:id="rId18"/>
          <w:pgSz w:w="12240" w:h="15840"/>
          <w:pgMar w:top="1440" w:right="1080" w:bottom="1440" w:left="1080" w:header="0" w:footer="0" w:gutter="0"/>
          <w:cols w:space="720"/>
          <w:docGrid w:linePitch="299"/>
        </w:sectPr>
      </w:pPr>
    </w:p>
    <w:p w:rsidR="001A3EE2" w:rsidRDefault="001A3EE2" w:rsidP="001A3EE2">
      <w:pPr>
        <w:rPr>
          <w:rFonts w:ascii="Times New Roman" w:hAnsi="Times New Roman"/>
          <w:b/>
          <w:bCs/>
          <w:sz w:val="24"/>
          <w:szCs w:val="24"/>
        </w:rPr>
      </w:pPr>
    </w:p>
    <w:p w:rsidR="001A3EE2" w:rsidRPr="009F437E" w:rsidRDefault="001A3EE2" w:rsidP="001A3EE2">
      <w:pPr>
        <w:jc w:val="center"/>
        <w:rPr>
          <w:rFonts w:ascii="Times New Roman" w:hAnsi="Times New Roman"/>
          <w:b/>
          <w:bCs/>
          <w:sz w:val="24"/>
          <w:szCs w:val="24"/>
        </w:rPr>
      </w:pPr>
      <w:r>
        <w:rPr>
          <w:rFonts w:ascii="Times New Roman" w:hAnsi="Times New Roman"/>
          <w:b/>
          <w:bCs/>
          <w:sz w:val="24"/>
          <w:szCs w:val="24"/>
        </w:rPr>
        <w:t xml:space="preserve">DENTAL EDUCATION </w:t>
      </w:r>
      <w:r w:rsidRPr="009F437E">
        <w:rPr>
          <w:rFonts w:ascii="Times New Roman" w:hAnsi="Times New Roman"/>
          <w:b/>
          <w:bCs/>
          <w:sz w:val="24"/>
          <w:szCs w:val="24"/>
        </w:rPr>
        <w:t xml:space="preserve">CORE COMPETENCIES FOR </w:t>
      </w:r>
    </w:p>
    <w:p w:rsidR="001A3EE2" w:rsidRPr="009F437E" w:rsidRDefault="001A3EE2" w:rsidP="001A3EE2">
      <w:pPr>
        <w:jc w:val="center"/>
        <w:rPr>
          <w:rFonts w:ascii="Times New Roman" w:hAnsi="Times New Roman"/>
          <w:b/>
          <w:bCs/>
          <w:sz w:val="24"/>
          <w:szCs w:val="24"/>
        </w:rPr>
      </w:pPr>
      <w:r w:rsidRPr="009F437E">
        <w:rPr>
          <w:rFonts w:ascii="Times New Roman" w:hAnsi="Times New Roman"/>
          <w:b/>
          <w:bCs/>
          <w:sz w:val="24"/>
          <w:szCs w:val="24"/>
        </w:rPr>
        <w:t xml:space="preserve">THE PREVENTION AND MANAGEMENT </w:t>
      </w:r>
    </w:p>
    <w:p w:rsidR="001A3EE2" w:rsidRPr="009F437E" w:rsidRDefault="001A3EE2" w:rsidP="001A3EE2">
      <w:pPr>
        <w:jc w:val="center"/>
        <w:rPr>
          <w:rFonts w:ascii="Times New Roman" w:hAnsi="Times New Roman"/>
          <w:b/>
          <w:bCs/>
          <w:sz w:val="24"/>
          <w:szCs w:val="24"/>
        </w:rPr>
      </w:pPr>
      <w:r w:rsidRPr="009F437E">
        <w:rPr>
          <w:rFonts w:ascii="Times New Roman" w:hAnsi="Times New Roman"/>
          <w:b/>
          <w:bCs/>
          <w:sz w:val="24"/>
          <w:szCs w:val="24"/>
        </w:rPr>
        <w:t xml:space="preserve">OF PRESCRIPTION DRUG MISUSE </w:t>
      </w:r>
    </w:p>
    <w:p w:rsidR="00451463" w:rsidRPr="009F437E" w:rsidRDefault="00451463" w:rsidP="00DF41C9">
      <w:pPr>
        <w:rPr>
          <w:rFonts w:ascii="Times New Roman" w:hAnsi="Times New Roman"/>
          <w:b/>
          <w:i/>
          <w:sz w:val="24"/>
          <w:szCs w:val="24"/>
        </w:rPr>
      </w:pPr>
    </w:p>
    <w:p w:rsidR="00451463" w:rsidRPr="009F437E" w:rsidRDefault="00460903" w:rsidP="00C924C1">
      <w:pPr>
        <w:spacing w:line="360" w:lineRule="auto"/>
        <w:rPr>
          <w:rFonts w:ascii="Times New Roman" w:hAnsi="Times New Roman"/>
          <w:sz w:val="24"/>
          <w:szCs w:val="24"/>
        </w:rPr>
      </w:pPr>
      <w:r w:rsidRPr="00460903">
        <w:rPr>
          <w:rFonts w:ascii="Times New Roman" w:hAnsi="Times New Roman"/>
          <w:sz w:val="24"/>
          <w:szCs w:val="24"/>
        </w:rPr>
        <w:t>In the appropriate setting, using recommended and evidence-based methodologies, the graduating dental student should demonstrate the independent ability and/or knowledge to:</w:t>
      </w:r>
    </w:p>
    <w:p w:rsidR="00451463" w:rsidRPr="009F437E" w:rsidRDefault="00451463" w:rsidP="00C924C1">
      <w:pPr>
        <w:spacing w:line="360" w:lineRule="auto"/>
        <w:rPr>
          <w:rFonts w:ascii="Times New Roman" w:hAnsi="Times New Roman"/>
          <w:sz w:val="24"/>
          <w:szCs w:val="24"/>
        </w:rPr>
      </w:pPr>
    </w:p>
    <w:p w:rsidR="003E12CA" w:rsidRPr="009F437E" w:rsidRDefault="003E12CA" w:rsidP="00C924C1">
      <w:pPr>
        <w:numPr>
          <w:ilvl w:val="0"/>
          <w:numId w:val="2"/>
        </w:numPr>
        <w:spacing w:line="360" w:lineRule="auto"/>
        <w:rPr>
          <w:rFonts w:ascii="Times New Roman" w:hAnsi="Times New Roman"/>
          <w:sz w:val="24"/>
          <w:szCs w:val="24"/>
        </w:rPr>
      </w:pPr>
      <w:r w:rsidRPr="009F437E">
        <w:rPr>
          <w:rFonts w:ascii="Times New Roman" w:hAnsi="Times New Roman"/>
          <w:b/>
          <w:sz w:val="24"/>
          <w:szCs w:val="24"/>
        </w:rPr>
        <w:t>Primary Prevention Domain – Preventing Prescription Drug Misuse:</w:t>
      </w:r>
      <w:r w:rsidRPr="009F437E">
        <w:rPr>
          <w:rFonts w:ascii="Times New Roman" w:hAnsi="Times New Roman"/>
          <w:sz w:val="24"/>
          <w:szCs w:val="24"/>
        </w:rPr>
        <w:t xml:space="preserve"> </w:t>
      </w:r>
      <w:r w:rsidRPr="009F437E">
        <w:rPr>
          <w:rFonts w:ascii="Times New Roman" w:hAnsi="Times New Roman"/>
          <w:i/>
          <w:sz w:val="24"/>
          <w:szCs w:val="24"/>
        </w:rPr>
        <w:t>Screening, Evaluation, and Prevention</w:t>
      </w:r>
      <w:r>
        <w:rPr>
          <w:rFonts w:ascii="Times New Roman" w:hAnsi="Times New Roman"/>
          <w:i/>
          <w:sz w:val="24"/>
          <w:szCs w:val="24"/>
        </w:rPr>
        <w:t xml:space="preserve"> of Substance Misuse During the </w:t>
      </w:r>
      <w:r w:rsidRPr="003E12CA">
        <w:rPr>
          <w:rFonts w:ascii="Times New Roman" w:hAnsi="Times New Roman"/>
          <w:i/>
          <w:sz w:val="24"/>
          <w:szCs w:val="24"/>
        </w:rPr>
        <w:t>Diagnosis of Dental and Orofacial Pain</w:t>
      </w:r>
    </w:p>
    <w:p w:rsidR="00451463" w:rsidRPr="009F437E" w:rsidRDefault="00451463" w:rsidP="00C924C1">
      <w:pPr>
        <w:spacing w:line="360" w:lineRule="auto"/>
        <w:ind w:left="360"/>
        <w:rPr>
          <w:rFonts w:ascii="Times New Roman" w:hAnsi="Times New Roman"/>
          <w:sz w:val="24"/>
          <w:szCs w:val="24"/>
        </w:rPr>
      </w:pPr>
    </w:p>
    <w:p w:rsidR="00451463" w:rsidRPr="009F437E" w:rsidRDefault="00460903" w:rsidP="00C924C1">
      <w:pPr>
        <w:pStyle w:val="ListParagraph"/>
        <w:numPr>
          <w:ilvl w:val="0"/>
          <w:numId w:val="3"/>
        </w:numPr>
        <w:spacing w:line="360" w:lineRule="auto"/>
        <w:rPr>
          <w:rFonts w:ascii="Times New Roman" w:hAnsi="Times New Roman" w:cs="Times New Roman"/>
          <w:sz w:val="24"/>
          <w:szCs w:val="24"/>
        </w:rPr>
      </w:pPr>
      <w:r w:rsidRPr="00460903">
        <w:rPr>
          <w:rFonts w:ascii="Times New Roman" w:hAnsi="Times New Roman" w:cs="Times New Roman"/>
          <w:sz w:val="24"/>
          <w:szCs w:val="24"/>
        </w:rPr>
        <w:t>Evaluate a patient’s pain using age, gender, and culturally appropriate evidence-based methodologies, together with history, physical examination and relevant imaging studies to develop an appropriate differential diagnosis.</w:t>
      </w:r>
    </w:p>
    <w:p w:rsidR="00451463" w:rsidRPr="009F437E" w:rsidRDefault="00451463" w:rsidP="00C924C1">
      <w:pPr>
        <w:pStyle w:val="ListParagraph"/>
        <w:numPr>
          <w:ilvl w:val="0"/>
          <w:numId w:val="0"/>
        </w:numPr>
        <w:spacing w:line="360" w:lineRule="auto"/>
        <w:ind w:left="810"/>
        <w:rPr>
          <w:rFonts w:ascii="Times New Roman" w:hAnsi="Times New Roman" w:cs="Times New Roman"/>
          <w:sz w:val="16"/>
          <w:szCs w:val="16"/>
        </w:rPr>
      </w:pPr>
    </w:p>
    <w:p w:rsidR="00451463" w:rsidRPr="009F437E" w:rsidRDefault="00D1502A" w:rsidP="00C924C1">
      <w:pPr>
        <w:pStyle w:val="ListParagraph"/>
        <w:numPr>
          <w:ilvl w:val="0"/>
          <w:numId w:val="3"/>
        </w:numPr>
        <w:spacing w:line="360" w:lineRule="auto"/>
        <w:rPr>
          <w:rFonts w:ascii="Times New Roman" w:hAnsi="Times New Roman" w:cs="Times New Roman"/>
          <w:sz w:val="24"/>
          <w:szCs w:val="24"/>
        </w:rPr>
      </w:pPr>
      <w:r w:rsidRPr="00D1502A">
        <w:rPr>
          <w:rFonts w:ascii="Times New Roman" w:hAnsi="Times New Roman" w:cs="Times New Roman"/>
          <w:sz w:val="24"/>
          <w:szCs w:val="24"/>
        </w:rPr>
        <w:t>Evaluate a patient’s risk for substance use disorders by utilizing age, gender, and culturally appropriate evidence-based communication skills and standardized assessment methodologies, supplemented with relevant available patient information, including but not limited to health records, family history, prescription dispensing records (e.g. the Prescription Drug Monitoring Program)</w:t>
      </w:r>
      <w:r w:rsidR="00745041">
        <w:rPr>
          <w:rFonts w:ascii="Times New Roman" w:hAnsi="Times New Roman" w:cs="Times New Roman"/>
          <w:sz w:val="24"/>
          <w:szCs w:val="24"/>
        </w:rPr>
        <w:t>,</w:t>
      </w:r>
      <w:r w:rsidRPr="00D1502A">
        <w:rPr>
          <w:rFonts w:ascii="Times New Roman" w:hAnsi="Times New Roman" w:cs="Times New Roman"/>
          <w:sz w:val="24"/>
          <w:szCs w:val="24"/>
        </w:rPr>
        <w:t xml:space="preserve"> screenings for commonly co-occurring psychiatric disorders (especially depression, anxiety disorders, and PTSD), review of relevant medical records, and communication with co-treating clinicians.</w:t>
      </w:r>
    </w:p>
    <w:p w:rsidR="00F43E68" w:rsidRPr="009F437E" w:rsidRDefault="00F43E68" w:rsidP="00C924C1">
      <w:pPr>
        <w:pStyle w:val="ListParagraph"/>
        <w:numPr>
          <w:ilvl w:val="0"/>
          <w:numId w:val="0"/>
        </w:numPr>
        <w:spacing w:line="360" w:lineRule="auto"/>
        <w:ind w:left="360"/>
        <w:rPr>
          <w:rFonts w:ascii="Times New Roman" w:hAnsi="Times New Roman" w:cs="Times New Roman"/>
          <w:sz w:val="16"/>
          <w:szCs w:val="16"/>
        </w:rPr>
      </w:pPr>
    </w:p>
    <w:p w:rsidR="00451463" w:rsidRPr="009F437E" w:rsidRDefault="00D1502A" w:rsidP="00C924C1">
      <w:pPr>
        <w:pStyle w:val="ListParagraph"/>
        <w:numPr>
          <w:ilvl w:val="0"/>
          <w:numId w:val="3"/>
        </w:numPr>
        <w:spacing w:line="360" w:lineRule="auto"/>
        <w:rPr>
          <w:rFonts w:ascii="Times New Roman" w:hAnsi="Times New Roman" w:cs="Times New Roman"/>
          <w:sz w:val="24"/>
          <w:szCs w:val="24"/>
        </w:rPr>
      </w:pPr>
      <w:r w:rsidRPr="00D1502A">
        <w:rPr>
          <w:rFonts w:ascii="Times New Roman" w:hAnsi="Times New Roman" w:cs="Times New Roman"/>
          <w:sz w:val="24"/>
          <w:szCs w:val="24"/>
        </w:rPr>
        <w:t xml:space="preserve">Identify and describe potential pharmacological and non-pharmacological treatment options including opioid and non-opioid treatments for acute and chronic pain management, along with patient </w:t>
      </w:r>
      <w:r w:rsidR="00C80B5D">
        <w:rPr>
          <w:rFonts w:ascii="Times New Roman" w:hAnsi="Times New Roman" w:cs="Times New Roman"/>
          <w:sz w:val="24"/>
          <w:szCs w:val="24"/>
        </w:rPr>
        <w:t>and family c</w:t>
      </w:r>
      <w:r w:rsidRPr="00D1502A">
        <w:rPr>
          <w:rFonts w:ascii="Times New Roman" w:hAnsi="Times New Roman" w:cs="Times New Roman"/>
          <w:sz w:val="24"/>
          <w:szCs w:val="24"/>
        </w:rPr>
        <w:t>ommunication and education regarding the risks and benefits associated with each of these available treatment options, securing of medications, and proper disposal.</w:t>
      </w:r>
    </w:p>
    <w:p w:rsidR="00451463" w:rsidRPr="009F437E" w:rsidRDefault="00451463" w:rsidP="00C924C1">
      <w:pPr>
        <w:pStyle w:val="ListParagraph"/>
        <w:numPr>
          <w:ilvl w:val="0"/>
          <w:numId w:val="0"/>
        </w:numPr>
        <w:spacing w:line="360" w:lineRule="auto"/>
        <w:ind w:left="360"/>
        <w:rPr>
          <w:rFonts w:ascii="Times New Roman" w:hAnsi="Times New Roman" w:cs="Times New Roman"/>
          <w:sz w:val="24"/>
          <w:szCs w:val="24"/>
        </w:rPr>
      </w:pPr>
    </w:p>
    <w:p w:rsidR="00451463" w:rsidRPr="009F437E" w:rsidRDefault="003E12CA" w:rsidP="00C924C1">
      <w:pPr>
        <w:pStyle w:val="ListParagraph"/>
        <w:numPr>
          <w:ilvl w:val="0"/>
          <w:numId w:val="2"/>
        </w:numPr>
        <w:spacing w:line="360" w:lineRule="auto"/>
        <w:rPr>
          <w:rFonts w:ascii="Times New Roman" w:hAnsi="Times New Roman" w:cs="Times New Roman"/>
          <w:sz w:val="24"/>
          <w:szCs w:val="24"/>
        </w:rPr>
      </w:pPr>
      <w:r w:rsidRPr="009F437E">
        <w:rPr>
          <w:rFonts w:ascii="Times New Roman" w:hAnsi="Times New Roman" w:cs="Times New Roman"/>
          <w:b/>
          <w:sz w:val="24"/>
          <w:szCs w:val="24"/>
        </w:rPr>
        <w:t xml:space="preserve">Secondary Prevention Domain – </w:t>
      </w:r>
      <w:r w:rsidR="00451463" w:rsidRPr="009F437E">
        <w:rPr>
          <w:rFonts w:ascii="Times New Roman" w:hAnsi="Times New Roman" w:cs="Times New Roman"/>
          <w:b/>
          <w:sz w:val="24"/>
          <w:szCs w:val="24"/>
        </w:rPr>
        <w:t>Treating Patients At-Risk for Substance Use Disorders:</w:t>
      </w:r>
      <w:r w:rsidR="00451463" w:rsidRPr="009F437E">
        <w:rPr>
          <w:rFonts w:ascii="Times New Roman" w:hAnsi="Times New Roman" w:cs="Times New Roman"/>
          <w:sz w:val="24"/>
          <w:szCs w:val="24"/>
        </w:rPr>
        <w:t xml:space="preserve"> </w:t>
      </w:r>
      <w:r w:rsidRPr="009F437E">
        <w:rPr>
          <w:rFonts w:ascii="Times New Roman" w:hAnsi="Times New Roman" w:cs="Times New Roman"/>
          <w:i/>
          <w:sz w:val="24"/>
          <w:szCs w:val="24"/>
        </w:rPr>
        <w:t>Engage Patients in Safe, Informed, and Patient-Centered Treatment Planning</w:t>
      </w:r>
    </w:p>
    <w:p w:rsidR="00451463" w:rsidRPr="009F437E" w:rsidRDefault="00451463" w:rsidP="00C924C1">
      <w:pPr>
        <w:pStyle w:val="ListParagraph"/>
        <w:numPr>
          <w:ilvl w:val="0"/>
          <w:numId w:val="0"/>
        </w:numPr>
        <w:spacing w:line="360" w:lineRule="auto"/>
        <w:ind w:left="720"/>
        <w:rPr>
          <w:rFonts w:ascii="Times New Roman" w:hAnsi="Times New Roman" w:cs="Times New Roman"/>
          <w:sz w:val="24"/>
          <w:szCs w:val="24"/>
        </w:rPr>
      </w:pPr>
    </w:p>
    <w:p w:rsidR="00F42088" w:rsidRPr="009F437E" w:rsidRDefault="00D1502A" w:rsidP="00C924C1">
      <w:pPr>
        <w:pStyle w:val="ListParagraph"/>
        <w:numPr>
          <w:ilvl w:val="0"/>
          <w:numId w:val="3"/>
        </w:numPr>
        <w:spacing w:line="360" w:lineRule="auto"/>
        <w:rPr>
          <w:rFonts w:ascii="Times New Roman" w:hAnsi="Times New Roman" w:cs="Times New Roman"/>
          <w:sz w:val="24"/>
          <w:szCs w:val="24"/>
        </w:rPr>
      </w:pPr>
      <w:r w:rsidRPr="007D6E75">
        <w:rPr>
          <w:rFonts w:ascii="Times New Roman" w:hAnsi="Times New Roman" w:cs="Times New Roman"/>
          <w:sz w:val="24"/>
          <w:szCs w:val="24"/>
        </w:rPr>
        <w:t>Demonstrate the ability to appropriately refer patients to their primary care physician</w:t>
      </w:r>
      <w:r>
        <w:rPr>
          <w:rFonts w:ascii="Times New Roman" w:hAnsi="Times New Roman" w:cs="Times New Roman"/>
          <w:sz w:val="24"/>
          <w:szCs w:val="24"/>
        </w:rPr>
        <w:t xml:space="preserve">, mental health specialists, pain specialists, </w:t>
      </w:r>
      <w:r w:rsidRPr="007D6E75">
        <w:rPr>
          <w:rFonts w:ascii="Times New Roman" w:hAnsi="Times New Roman" w:cs="Times New Roman"/>
          <w:sz w:val="24"/>
          <w:szCs w:val="24"/>
        </w:rPr>
        <w:t xml:space="preserve">and </w:t>
      </w:r>
      <w:r>
        <w:rPr>
          <w:rFonts w:ascii="Times New Roman" w:hAnsi="Times New Roman" w:cs="Times New Roman"/>
          <w:sz w:val="24"/>
          <w:szCs w:val="24"/>
        </w:rPr>
        <w:t xml:space="preserve">substance use </w:t>
      </w:r>
      <w:r w:rsidRPr="007D6E75">
        <w:rPr>
          <w:rFonts w:ascii="Times New Roman" w:hAnsi="Times New Roman" w:cs="Times New Roman"/>
          <w:sz w:val="24"/>
          <w:szCs w:val="24"/>
        </w:rPr>
        <w:t>treatment programs for consultation</w:t>
      </w:r>
      <w:r>
        <w:rPr>
          <w:rFonts w:ascii="Times New Roman" w:hAnsi="Times New Roman" w:cs="Times New Roman"/>
          <w:sz w:val="24"/>
          <w:szCs w:val="24"/>
        </w:rPr>
        <w:t xml:space="preserve"> and collaboration.</w:t>
      </w:r>
    </w:p>
    <w:p w:rsidR="00F42088" w:rsidRPr="009F437E" w:rsidRDefault="00F42088" w:rsidP="00C924C1">
      <w:pPr>
        <w:pStyle w:val="ListParagraph"/>
        <w:numPr>
          <w:ilvl w:val="0"/>
          <w:numId w:val="0"/>
        </w:numPr>
        <w:spacing w:line="360" w:lineRule="auto"/>
        <w:ind w:left="810"/>
        <w:rPr>
          <w:rFonts w:ascii="Times New Roman" w:hAnsi="Times New Roman" w:cs="Times New Roman"/>
          <w:sz w:val="24"/>
          <w:szCs w:val="24"/>
        </w:rPr>
      </w:pPr>
    </w:p>
    <w:p w:rsidR="00451463" w:rsidRPr="009F437E" w:rsidRDefault="00D1502A" w:rsidP="00C924C1">
      <w:pPr>
        <w:pStyle w:val="ListParagraph"/>
        <w:numPr>
          <w:ilvl w:val="0"/>
          <w:numId w:val="3"/>
        </w:numPr>
        <w:spacing w:line="360" w:lineRule="auto"/>
        <w:rPr>
          <w:rFonts w:ascii="Times New Roman" w:hAnsi="Times New Roman" w:cs="Times New Roman"/>
          <w:sz w:val="16"/>
          <w:szCs w:val="16"/>
        </w:rPr>
      </w:pPr>
      <w:r>
        <w:rPr>
          <w:rFonts w:ascii="Times New Roman" w:hAnsi="Times New Roman" w:cs="Times New Roman"/>
          <w:sz w:val="24"/>
          <w:szCs w:val="24"/>
        </w:rPr>
        <w:t>Practice</w:t>
      </w:r>
      <w:r w:rsidRPr="007D6E75">
        <w:rPr>
          <w:rFonts w:ascii="Times New Roman" w:hAnsi="Times New Roman" w:cs="Times New Roman"/>
          <w:sz w:val="24"/>
          <w:szCs w:val="24"/>
        </w:rPr>
        <w:t xml:space="preserve"> evidence-based and patient-centered pain management treatment plans for patients with acute and chronic pain</w:t>
      </w:r>
      <w:r>
        <w:rPr>
          <w:rFonts w:ascii="Times New Roman" w:hAnsi="Times New Roman" w:cs="Times New Roman"/>
          <w:sz w:val="24"/>
          <w:szCs w:val="24"/>
        </w:rPr>
        <w:t>.</w:t>
      </w:r>
    </w:p>
    <w:p w:rsidR="00363791" w:rsidRPr="009F437E" w:rsidRDefault="00363791" w:rsidP="00C924C1">
      <w:pPr>
        <w:pStyle w:val="ListParagraph"/>
        <w:numPr>
          <w:ilvl w:val="0"/>
          <w:numId w:val="0"/>
        </w:numPr>
        <w:spacing w:line="360" w:lineRule="auto"/>
        <w:ind w:left="360"/>
        <w:rPr>
          <w:rFonts w:ascii="Times New Roman" w:hAnsi="Times New Roman" w:cs="Times New Roman"/>
          <w:sz w:val="24"/>
          <w:szCs w:val="24"/>
        </w:rPr>
      </w:pPr>
    </w:p>
    <w:p w:rsidR="00CA15E4" w:rsidRDefault="00D1502A" w:rsidP="00C924C1">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Provide s</w:t>
      </w:r>
      <w:r w:rsidRPr="007D6E75">
        <w:rPr>
          <w:rFonts w:ascii="Times New Roman" w:hAnsi="Times New Roman" w:cs="Times New Roman"/>
          <w:sz w:val="24"/>
          <w:szCs w:val="24"/>
        </w:rPr>
        <w:t>pecial attention</w:t>
      </w:r>
      <w:r>
        <w:rPr>
          <w:rFonts w:ascii="Times New Roman" w:hAnsi="Times New Roman" w:cs="Times New Roman"/>
          <w:sz w:val="24"/>
          <w:szCs w:val="24"/>
        </w:rPr>
        <w:t xml:space="preserve"> </w:t>
      </w:r>
      <w:r w:rsidRPr="007D6E75">
        <w:rPr>
          <w:rFonts w:ascii="Times New Roman" w:hAnsi="Times New Roman" w:cs="Times New Roman"/>
          <w:sz w:val="24"/>
          <w:szCs w:val="24"/>
        </w:rPr>
        <w:t>to safe prescribing and recognizing patients displaying signs of aberrant prescription use behaviors</w:t>
      </w:r>
      <w:r>
        <w:rPr>
          <w:rFonts w:ascii="Times New Roman" w:hAnsi="Times New Roman" w:cs="Times New Roman"/>
          <w:sz w:val="24"/>
          <w:szCs w:val="24"/>
        </w:rPr>
        <w:t>.</w:t>
      </w:r>
    </w:p>
    <w:p w:rsidR="00D1502A" w:rsidRPr="00C04369" w:rsidRDefault="00D1502A" w:rsidP="00C924C1">
      <w:pPr>
        <w:spacing w:line="360" w:lineRule="auto"/>
        <w:rPr>
          <w:rFonts w:ascii="Times New Roman" w:hAnsi="Times New Roman"/>
          <w:sz w:val="24"/>
          <w:szCs w:val="24"/>
        </w:rPr>
      </w:pPr>
    </w:p>
    <w:p w:rsidR="00D1502A" w:rsidRPr="009F437E" w:rsidRDefault="00D1502A" w:rsidP="00C924C1">
      <w:pPr>
        <w:pStyle w:val="ListParagraph"/>
        <w:numPr>
          <w:ilvl w:val="0"/>
          <w:numId w:val="3"/>
        </w:numPr>
        <w:spacing w:line="360" w:lineRule="auto"/>
        <w:rPr>
          <w:rFonts w:ascii="Times New Roman" w:hAnsi="Times New Roman" w:cs="Times New Roman"/>
          <w:sz w:val="24"/>
          <w:szCs w:val="24"/>
        </w:rPr>
      </w:pPr>
      <w:r w:rsidRPr="00D1502A">
        <w:rPr>
          <w:rFonts w:ascii="Times New Roman" w:hAnsi="Times New Roman" w:cs="Times New Roman"/>
          <w:sz w:val="24"/>
          <w:szCs w:val="24"/>
        </w:rPr>
        <w:t>Demonstrate the foundational skills in patient-centered counselling and behavior change in the context of a patient encounter, consistent with evidence-based techniques</w:t>
      </w:r>
      <w:r>
        <w:rPr>
          <w:rFonts w:ascii="Times New Roman" w:hAnsi="Times New Roman" w:cs="Times New Roman"/>
          <w:sz w:val="24"/>
          <w:szCs w:val="24"/>
        </w:rPr>
        <w:t>.</w:t>
      </w:r>
    </w:p>
    <w:p w:rsidR="00BB5F54" w:rsidRPr="009F437E" w:rsidRDefault="00BB5F54" w:rsidP="00C924C1">
      <w:pPr>
        <w:pStyle w:val="ListParagraph"/>
        <w:numPr>
          <w:ilvl w:val="0"/>
          <w:numId w:val="0"/>
        </w:numPr>
        <w:spacing w:line="360" w:lineRule="auto"/>
        <w:ind w:left="810"/>
        <w:rPr>
          <w:rFonts w:ascii="Times New Roman" w:hAnsi="Times New Roman" w:cs="Times New Roman"/>
          <w:sz w:val="24"/>
          <w:szCs w:val="24"/>
        </w:rPr>
      </w:pPr>
    </w:p>
    <w:p w:rsidR="00451463" w:rsidRPr="009F437E" w:rsidRDefault="003E12CA" w:rsidP="00C924C1">
      <w:pPr>
        <w:pStyle w:val="ListParagraph"/>
        <w:numPr>
          <w:ilvl w:val="0"/>
          <w:numId w:val="2"/>
        </w:numPr>
        <w:spacing w:line="360" w:lineRule="auto"/>
        <w:rPr>
          <w:rFonts w:ascii="Times New Roman" w:hAnsi="Times New Roman" w:cs="Times New Roman"/>
          <w:i/>
          <w:sz w:val="24"/>
          <w:szCs w:val="24"/>
        </w:rPr>
      </w:pPr>
      <w:r w:rsidRPr="009F437E">
        <w:rPr>
          <w:rFonts w:ascii="Times New Roman" w:hAnsi="Times New Roman" w:cs="Times New Roman"/>
          <w:b/>
          <w:sz w:val="24"/>
          <w:szCs w:val="24"/>
        </w:rPr>
        <w:t>Tertiary Prevention Domain - Managing Substance Use Disorders as a Chronic Disease:</w:t>
      </w:r>
      <w:r w:rsidRPr="009F437E">
        <w:rPr>
          <w:rFonts w:ascii="Times New Roman" w:hAnsi="Times New Roman" w:cs="Times New Roman"/>
          <w:sz w:val="24"/>
          <w:szCs w:val="24"/>
        </w:rPr>
        <w:t xml:space="preserve"> </w:t>
      </w:r>
      <w:r w:rsidRPr="009F437E">
        <w:rPr>
          <w:rFonts w:ascii="Times New Roman" w:hAnsi="Times New Roman" w:cs="Times New Roman"/>
          <w:i/>
          <w:sz w:val="24"/>
          <w:szCs w:val="24"/>
        </w:rPr>
        <w:t xml:space="preserve">Eliminate Stigma and </w:t>
      </w:r>
      <w:r>
        <w:rPr>
          <w:rFonts w:ascii="Times New Roman" w:hAnsi="Times New Roman" w:cs="Times New Roman"/>
          <w:i/>
          <w:sz w:val="24"/>
          <w:szCs w:val="24"/>
        </w:rPr>
        <w:t>Advance Interdisciplinary and Inter-professional C</w:t>
      </w:r>
      <w:r w:rsidRPr="003E12CA">
        <w:rPr>
          <w:rFonts w:ascii="Times New Roman" w:hAnsi="Times New Roman" w:cs="Times New Roman"/>
          <w:i/>
          <w:sz w:val="24"/>
          <w:szCs w:val="24"/>
        </w:rPr>
        <w:t xml:space="preserve">ollaborative </w:t>
      </w:r>
      <w:r>
        <w:rPr>
          <w:rFonts w:ascii="Times New Roman" w:hAnsi="Times New Roman" w:cs="Times New Roman"/>
          <w:i/>
          <w:sz w:val="24"/>
          <w:szCs w:val="24"/>
        </w:rPr>
        <w:t>E</w:t>
      </w:r>
      <w:r w:rsidRPr="003E12CA">
        <w:rPr>
          <w:rFonts w:ascii="Times New Roman" w:hAnsi="Times New Roman" w:cs="Times New Roman"/>
          <w:i/>
          <w:sz w:val="24"/>
          <w:szCs w:val="24"/>
        </w:rPr>
        <w:t xml:space="preserve">fforts to </w:t>
      </w:r>
      <w:r>
        <w:rPr>
          <w:rFonts w:ascii="Times New Roman" w:hAnsi="Times New Roman" w:cs="Times New Roman"/>
          <w:i/>
          <w:sz w:val="24"/>
          <w:szCs w:val="24"/>
        </w:rPr>
        <w:t>R</w:t>
      </w:r>
      <w:r w:rsidRPr="003E12CA">
        <w:rPr>
          <w:rFonts w:ascii="Times New Roman" w:hAnsi="Times New Roman" w:cs="Times New Roman"/>
          <w:i/>
          <w:sz w:val="24"/>
          <w:szCs w:val="24"/>
        </w:rPr>
        <w:t xml:space="preserve">educe </w:t>
      </w:r>
      <w:r>
        <w:rPr>
          <w:rFonts w:ascii="Times New Roman" w:hAnsi="Times New Roman" w:cs="Times New Roman"/>
          <w:i/>
          <w:sz w:val="24"/>
          <w:szCs w:val="24"/>
        </w:rPr>
        <w:t>S</w:t>
      </w:r>
      <w:r w:rsidRPr="003E12CA">
        <w:rPr>
          <w:rFonts w:ascii="Times New Roman" w:hAnsi="Times New Roman" w:cs="Times New Roman"/>
          <w:i/>
          <w:sz w:val="24"/>
          <w:szCs w:val="24"/>
        </w:rPr>
        <w:t xml:space="preserve">ubstance </w:t>
      </w:r>
      <w:r>
        <w:rPr>
          <w:rFonts w:ascii="Times New Roman" w:hAnsi="Times New Roman" w:cs="Times New Roman"/>
          <w:i/>
          <w:sz w:val="24"/>
          <w:szCs w:val="24"/>
        </w:rPr>
        <w:t>M</w:t>
      </w:r>
      <w:r w:rsidRPr="003E12CA">
        <w:rPr>
          <w:rFonts w:ascii="Times New Roman" w:hAnsi="Times New Roman" w:cs="Times New Roman"/>
          <w:i/>
          <w:sz w:val="24"/>
          <w:szCs w:val="24"/>
        </w:rPr>
        <w:t>isuse</w:t>
      </w:r>
      <w:r w:rsidR="00451463" w:rsidRPr="009F437E">
        <w:rPr>
          <w:rFonts w:ascii="Times New Roman" w:hAnsi="Times New Roman" w:cs="Times New Roman"/>
          <w:i/>
          <w:sz w:val="24"/>
          <w:szCs w:val="24"/>
        </w:rPr>
        <w:t xml:space="preserve"> </w:t>
      </w:r>
    </w:p>
    <w:p w:rsidR="00451463" w:rsidRPr="009F437E" w:rsidRDefault="00451463" w:rsidP="00C924C1">
      <w:pPr>
        <w:spacing w:line="360" w:lineRule="auto"/>
        <w:rPr>
          <w:rFonts w:ascii="Times New Roman" w:hAnsi="Times New Roman"/>
          <w:sz w:val="24"/>
          <w:szCs w:val="24"/>
        </w:rPr>
      </w:pPr>
    </w:p>
    <w:p w:rsidR="00DF41C9" w:rsidRPr="009F437E" w:rsidRDefault="00D1502A" w:rsidP="00C924C1">
      <w:pPr>
        <w:pStyle w:val="ListParagraph"/>
        <w:numPr>
          <w:ilvl w:val="0"/>
          <w:numId w:val="3"/>
        </w:numPr>
        <w:spacing w:line="360" w:lineRule="auto"/>
        <w:rPr>
          <w:rFonts w:ascii="Times New Roman" w:hAnsi="Times New Roman" w:cs="Times New Roman"/>
          <w:sz w:val="24"/>
          <w:szCs w:val="24"/>
        </w:rPr>
      </w:pPr>
      <w:r w:rsidRPr="00D1502A">
        <w:rPr>
          <w:rFonts w:ascii="Times New Roman" w:hAnsi="Times New Roman" w:cs="Times New Roman"/>
          <w:sz w:val="24"/>
          <w:szCs w:val="24"/>
        </w:rPr>
        <w:t>Recognize the role of currently availab</w:t>
      </w:r>
      <w:r w:rsidR="00745041">
        <w:rPr>
          <w:rFonts w:ascii="Times New Roman" w:hAnsi="Times New Roman" w:cs="Times New Roman"/>
          <w:sz w:val="24"/>
          <w:szCs w:val="24"/>
        </w:rPr>
        <w:t>le screening instruments for at-</w:t>
      </w:r>
      <w:r w:rsidRPr="00D1502A">
        <w:rPr>
          <w:rFonts w:ascii="Times New Roman" w:hAnsi="Times New Roman" w:cs="Times New Roman"/>
          <w:sz w:val="24"/>
          <w:szCs w:val="24"/>
        </w:rPr>
        <w:t>risk patients, and support the development of instruments and protocols that are tailored to dental practice</w:t>
      </w:r>
      <w:r>
        <w:rPr>
          <w:rFonts w:ascii="Times New Roman" w:hAnsi="Times New Roman" w:cs="Times New Roman"/>
          <w:sz w:val="24"/>
          <w:szCs w:val="24"/>
        </w:rPr>
        <w:t>.</w:t>
      </w:r>
    </w:p>
    <w:p w:rsidR="00DF41C9" w:rsidRPr="009F437E" w:rsidRDefault="00DF41C9" w:rsidP="00C924C1">
      <w:pPr>
        <w:pStyle w:val="ListParagraph"/>
        <w:numPr>
          <w:ilvl w:val="0"/>
          <w:numId w:val="0"/>
        </w:numPr>
        <w:spacing w:line="360" w:lineRule="auto"/>
        <w:ind w:left="810"/>
        <w:rPr>
          <w:rFonts w:ascii="Times New Roman" w:hAnsi="Times New Roman" w:cs="Times New Roman"/>
          <w:sz w:val="16"/>
          <w:szCs w:val="16"/>
        </w:rPr>
      </w:pPr>
    </w:p>
    <w:p w:rsidR="00451463" w:rsidRPr="009F437E" w:rsidRDefault="00D1502A" w:rsidP="00C924C1">
      <w:pPr>
        <w:pStyle w:val="ListParagraph"/>
        <w:numPr>
          <w:ilvl w:val="0"/>
          <w:numId w:val="3"/>
        </w:numPr>
        <w:spacing w:line="360" w:lineRule="auto"/>
        <w:rPr>
          <w:rFonts w:ascii="Times New Roman" w:hAnsi="Times New Roman" w:cs="Times New Roman"/>
          <w:sz w:val="24"/>
          <w:szCs w:val="24"/>
        </w:rPr>
      </w:pPr>
      <w:r w:rsidRPr="00D1502A">
        <w:rPr>
          <w:rFonts w:ascii="Times New Roman" w:hAnsi="Times New Roman" w:cs="Times New Roman"/>
          <w:sz w:val="24"/>
          <w:szCs w:val="24"/>
        </w:rPr>
        <w:t>Work toward eliminating the stigma associated wit</w:t>
      </w:r>
      <w:r w:rsidR="00D36EDF">
        <w:rPr>
          <w:rFonts w:ascii="Times New Roman" w:hAnsi="Times New Roman" w:cs="Times New Roman"/>
          <w:sz w:val="24"/>
          <w:szCs w:val="24"/>
        </w:rPr>
        <w:t>h substance misuse, recognizing</w:t>
      </w:r>
      <w:r w:rsidRPr="00D1502A">
        <w:rPr>
          <w:rFonts w:ascii="Times New Roman" w:hAnsi="Times New Roman" w:cs="Times New Roman"/>
          <w:sz w:val="24"/>
          <w:szCs w:val="24"/>
        </w:rPr>
        <w:t xml:space="preserve"> substance use disorders as a chronic disease that can be treated with effective assessment, referral, and inter-professional collaboration</w:t>
      </w:r>
      <w:r>
        <w:rPr>
          <w:rFonts w:ascii="Times New Roman" w:hAnsi="Times New Roman" w:cs="Times New Roman"/>
          <w:sz w:val="24"/>
          <w:szCs w:val="24"/>
        </w:rPr>
        <w:t>.</w:t>
      </w:r>
    </w:p>
    <w:p w:rsidR="00451463" w:rsidRPr="00D36EDF" w:rsidRDefault="00451463" w:rsidP="00C924C1">
      <w:pPr>
        <w:pStyle w:val="ListParagraph"/>
        <w:numPr>
          <w:ilvl w:val="0"/>
          <w:numId w:val="0"/>
        </w:numPr>
        <w:spacing w:line="360" w:lineRule="auto"/>
        <w:ind w:left="810"/>
        <w:rPr>
          <w:rFonts w:ascii="Times New Roman" w:hAnsi="Times New Roman" w:cs="Times New Roman"/>
          <w:sz w:val="24"/>
          <w:szCs w:val="24"/>
        </w:rPr>
      </w:pPr>
    </w:p>
    <w:p w:rsidR="00DF41C9" w:rsidRDefault="00D1502A" w:rsidP="00C924C1">
      <w:pPr>
        <w:pStyle w:val="ListParagraph"/>
        <w:numPr>
          <w:ilvl w:val="0"/>
          <w:numId w:val="3"/>
        </w:numPr>
        <w:spacing w:line="360" w:lineRule="auto"/>
        <w:rPr>
          <w:rFonts w:ascii="Times New Roman" w:hAnsi="Times New Roman" w:cs="Times New Roman"/>
          <w:sz w:val="24"/>
          <w:szCs w:val="24"/>
        </w:rPr>
      </w:pPr>
      <w:r w:rsidRPr="004867A1">
        <w:rPr>
          <w:rFonts w:ascii="Times New Roman" w:hAnsi="Times New Roman" w:cs="Times New Roman"/>
          <w:sz w:val="24"/>
          <w:szCs w:val="24"/>
        </w:rPr>
        <w:t xml:space="preserve">Develop models of inter-professional education where dentists, physicians, </w:t>
      </w:r>
      <w:r>
        <w:rPr>
          <w:rFonts w:ascii="Times New Roman" w:hAnsi="Times New Roman" w:cs="Times New Roman"/>
          <w:sz w:val="24"/>
          <w:szCs w:val="24"/>
        </w:rPr>
        <w:t xml:space="preserve">nurses, </w:t>
      </w:r>
      <w:r w:rsidRPr="004867A1">
        <w:rPr>
          <w:rFonts w:ascii="Times New Roman" w:hAnsi="Times New Roman" w:cs="Times New Roman"/>
          <w:sz w:val="24"/>
          <w:szCs w:val="24"/>
        </w:rPr>
        <w:t>pharmacists, mental health clinicians and other critical disciplines can engage in collaborative training, to facilitate best practices and the optimal care of our patients</w:t>
      </w:r>
      <w:r w:rsidR="00D36EDF">
        <w:rPr>
          <w:rFonts w:ascii="Times New Roman" w:hAnsi="Times New Roman" w:cs="Times New Roman"/>
          <w:sz w:val="24"/>
          <w:szCs w:val="24"/>
        </w:rPr>
        <w:t>.</w:t>
      </w:r>
    </w:p>
    <w:p w:rsidR="00D36EDF" w:rsidRDefault="00D36EDF" w:rsidP="00D36EDF">
      <w:pPr>
        <w:rPr>
          <w:rFonts w:ascii="Times New Roman" w:hAnsi="Times New Roman"/>
          <w:sz w:val="24"/>
          <w:szCs w:val="24"/>
        </w:rPr>
      </w:pPr>
    </w:p>
    <w:p w:rsidR="00D36EDF" w:rsidRDefault="00D36EDF" w:rsidP="00D36EDF">
      <w:pPr>
        <w:rPr>
          <w:rFonts w:ascii="Times New Roman" w:hAnsi="Times New Roman"/>
          <w:sz w:val="24"/>
          <w:szCs w:val="24"/>
        </w:rPr>
      </w:pPr>
    </w:p>
    <w:p w:rsidR="00D36EDF" w:rsidRDefault="00D36EDF" w:rsidP="00C924C1">
      <w:pPr>
        <w:pStyle w:val="Title"/>
        <w:numPr>
          <w:ilvl w:val="0"/>
          <w:numId w:val="0"/>
        </w:numPr>
        <w:spacing w:before="0" w:after="0" w:line="360" w:lineRule="auto"/>
        <w:outlineLvl w:val="0"/>
        <w:rPr>
          <w:rFonts w:ascii="Times New Roman" w:hAnsi="Times New Roman"/>
          <w:sz w:val="24"/>
          <w:szCs w:val="24"/>
        </w:rPr>
      </w:pPr>
      <w:r w:rsidRPr="009F437E">
        <w:rPr>
          <w:rFonts w:ascii="Times New Roman" w:hAnsi="Times New Roman" w:cs="Times New Roman"/>
          <w:b/>
          <w:sz w:val="24"/>
          <w:szCs w:val="24"/>
        </w:rPr>
        <w:t>Recommended Evidence-Based Methodologies for the Prevention and Management of Prescription Drug Misuse:</w:t>
      </w:r>
      <w:r>
        <w:rPr>
          <w:rFonts w:ascii="Times New Roman" w:hAnsi="Times New Roman" w:cs="Times New Roman"/>
          <w:b/>
          <w:sz w:val="24"/>
          <w:szCs w:val="24"/>
        </w:rPr>
        <w:t xml:space="preserve"> </w:t>
      </w:r>
      <w:r w:rsidRPr="00117B28">
        <w:rPr>
          <w:rFonts w:ascii="Times New Roman" w:hAnsi="Times New Roman"/>
          <w:sz w:val="24"/>
          <w:szCs w:val="24"/>
        </w:rPr>
        <w:t>In the appropriate setting, it is recommended that the graduating dental student have operational knowledge of questionnaires with sufficient validity and reliability for the sc</w:t>
      </w:r>
      <w:r>
        <w:rPr>
          <w:rFonts w:ascii="Times New Roman" w:hAnsi="Times New Roman"/>
          <w:sz w:val="24"/>
          <w:szCs w:val="24"/>
        </w:rPr>
        <w:t xml:space="preserve">reening of substance use risk (e.g., the NIDA Quick Screen, </w:t>
      </w:r>
      <w:r w:rsidRPr="00117B28">
        <w:rPr>
          <w:rFonts w:ascii="Times New Roman" w:hAnsi="Times New Roman"/>
          <w:sz w:val="24"/>
          <w:szCs w:val="24"/>
        </w:rPr>
        <w:t>National I</w:t>
      </w:r>
      <w:r>
        <w:rPr>
          <w:rFonts w:ascii="Times New Roman" w:hAnsi="Times New Roman"/>
          <w:sz w:val="24"/>
          <w:szCs w:val="24"/>
        </w:rPr>
        <w:t xml:space="preserve">nstitute on Drug Abuse, 2015). </w:t>
      </w:r>
      <w:r w:rsidRPr="00117B28">
        <w:rPr>
          <w:rFonts w:ascii="Times New Roman" w:hAnsi="Times New Roman"/>
          <w:sz w:val="24"/>
          <w:szCs w:val="24"/>
        </w:rPr>
        <w:t xml:space="preserve">Additional research on the development of cost-effective screening questionnaires is currently underway, with specific reference to the dental patient. </w:t>
      </w:r>
      <w:r>
        <w:rPr>
          <w:rFonts w:ascii="Times New Roman" w:hAnsi="Times New Roman"/>
          <w:sz w:val="24"/>
          <w:szCs w:val="24"/>
        </w:rPr>
        <w:t>The three Massachusetts dental s</w:t>
      </w:r>
      <w:r w:rsidRPr="00117B28">
        <w:rPr>
          <w:rFonts w:ascii="Times New Roman" w:hAnsi="Times New Roman"/>
          <w:sz w:val="24"/>
          <w:szCs w:val="24"/>
        </w:rPr>
        <w:t>chools formally support this research development by their faculty.</w:t>
      </w:r>
    </w:p>
    <w:p w:rsidR="00D36EDF" w:rsidRPr="00D36EDF" w:rsidRDefault="00D36EDF" w:rsidP="00D36EDF">
      <w:pPr>
        <w:sectPr w:rsidR="00D36EDF" w:rsidRPr="00D36EDF" w:rsidSect="00F60D50">
          <w:pgSz w:w="12240" w:h="15840"/>
          <w:pgMar w:top="720" w:right="720" w:bottom="720" w:left="720" w:header="288" w:footer="144" w:gutter="0"/>
          <w:cols w:space="720"/>
          <w:docGrid w:linePitch="299"/>
        </w:sectPr>
      </w:pPr>
    </w:p>
    <w:p w:rsidR="00D36EDF" w:rsidRDefault="00D36EDF" w:rsidP="00D36EDF">
      <w:pPr>
        <w:spacing w:line="360" w:lineRule="auto"/>
        <w:rPr>
          <w:rFonts w:ascii="Times New Roman" w:eastAsia="Calibri" w:hAnsi="Times New Roman"/>
          <w:b/>
          <w:sz w:val="24"/>
          <w:szCs w:val="24"/>
        </w:rPr>
      </w:pPr>
      <w:r>
        <w:rPr>
          <w:rFonts w:ascii="Times New Roman" w:eastAsia="Calibri" w:hAnsi="Times New Roman"/>
          <w:b/>
          <w:sz w:val="24"/>
          <w:szCs w:val="24"/>
        </w:rPr>
        <w:lastRenderedPageBreak/>
        <w:t>APPENDIX</w:t>
      </w:r>
      <w:r w:rsidRPr="00320BD3">
        <w:rPr>
          <w:rFonts w:ascii="Times New Roman" w:eastAsia="Calibri" w:hAnsi="Times New Roman"/>
          <w:b/>
          <w:sz w:val="24"/>
          <w:szCs w:val="24"/>
        </w:rPr>
        <w:t>: Current Activities in Massachusetts Inter</w:t>
      </w:r>
      <w:r>
        <w:rPr>
          <w:rFonts w:ascii="Times New Roman" w:eastAsia="Calibri" w:hAnsi="Times New Roman"/>
          <w:b/>
        </w:rPr>
        <w:t>-</w:t>
      </w:r>
      <w:r w:rsidRPr="00320BD3">
        <w:rPr>
          <w:rFonts w:ascii="Times New Roman" w:eastAsia="Calibri" w:hAnsi="Times New Roman"/>
          <w:b/>
          <w:sz w:val="24"/>
          <w:szCs w:val="24"/>
        </w:rPr>
        <w:t xml:space="preserve">professional Dental Education </w:t>
      </w:r>
    </w:p>
    <w:p w:rsidR="00D36EDF" w:rsidRPr="00320BD3" w:rsidRDefault="00D36EDF" w:rsidP="00D36EDF">
      <w:pPr>
        <w:spacing w:line="360" w:lineRule="auto"/>
        <w:rPr>
          <w:rFonts w:ascii="Times New Roman" w:eastAsia="Calibri" w:hAnsi="Times New Roman"/>
          <w:b/>
          <w:sz w:val="24"/>
          <w:szCs w:val="24"/>
        </w:rPr>
      </w:pPr>
    </w:p>
    <w:p w:rsidR="00D36EDF" w:rsidRPr="00320BD3" w:rsidRDefault="00D36EDF" w:rsidP="0073485D">
      <w:pPr>
        <w:spacing w:line="360" w:lineRule="auto"/>
        <w:ind w:firstLine="720"/>
        <w:contextualSpacing/>
        <w:rPr>
          <w:rFonts w:ascii="Times New Roman" w:eastAsia="Calibri" w:hAnsi="Times New Roman"/>
          <w:sz w:val="24"/>
          <w:szCs w:val="24"/>
        </w:rPr>
      </w:pPr>
      <w:r w:rsidRPr="00320BD3">
        <w:rPr>
          <w:rFonts w:ascii="Times New Roman" w:eastAsia="Calibri" w:hAnsi="Times New Roman"/>
          <w:sz w:val="24"/>
          <w:szCs w:val="24"/>
        </w:rPr>
        <w:t>Although healthcare providers typically are trained within discipline-specific schools, there is a movement toward inter-profes</w:t>
      </w:r>
      <w:r>
        <w:rPr>
          <w:rFonts w:ascii="Times New Roman" w:eastAsia="Calibri" w:hAnsi="Times New Roman"/>
          <w:sz w:val="24"/>
          <w:szCs w:val="24"/>
        </w:rPr>
        <w:t xml:space="preserve">sional education in dentistry. </w:t>
      </w:r>
      <w:r w:rsidRPr="00320BD3">
        <w:rPr>
          <w:rFonts w:ascii="Times New Roman" w:eastAsia="Calibri" w:hAnsi="Times New Roman"/>
          <w:sz w:val="24"/>
          <w:szCs w:val="24"/>
        </w:rPr>
        <w:t>This focus is particularly relevan</w:t>
      </w:r>
      <w:r>
        <w:rPr>
          <w:rFonts w:ascii="Times New Roman" w:eastAsia="Calibri" w:hAnsi="Times New Roman"/>
          <w:sz w:val="24"/>
          <w:szCs w:val="24"/>
        </w:rPr>
        <w:t>t for addressing substance misuse</w:t>
      </w:r>
      <w:r w:rsidRPr="00320BD3">
        <w:rPr>
          <w:rFonts w:ascii="Times New Roman" w:eastAsia="Calibri" w:hAnsi="Times New Roman"/>
          <w:sz w:val="24"/>
          <w:szCs w:val="24"/>
        </w:rPr>
        <w:t xml:space="preserve"> risk assessment, counseling at-risk patients, and collaborating across disciplines on the manageme</w:t>
      </w:r>
      <w:r>
        <w:rPr>
          <w:rFonts w:ascii="Times New Roman" w:eastAsia="Calibri" w:hAnsi="Times New Roman"/>
          <w:sz w:val="24"/>
          <w:szCs w:val="24"/>
        </w:rPr>
        <w:t xml:space="preserve">nt of complex pain conditions. </w:t>
      </w:r>
      <w:r w:rsidRPr="00320BD3">
        <w:rPr>
          <w:rFonts w:ascii="Times New Roman" w:eastAsia="Calibri" w:hAnsi="Times New Roman"/>
          <w:sz w:val="24"/>
          <w:szCs w:val="24"/>
        </w:rPr>
        <w:t>In addition to didactic components of the curriculum taught by providers from varied disciplines, Massachusetts dental schools are increasingly including hands-on curriculum and clin</w:t>
      </w:r>
      <w:r>
        <w:rPr>
          <w:rFonts w:ascii="Times New Roman" w:eastAsia="Calibri" w:hAnsi="Times New Roman"/>
          <w:sz w:val="24"/>
          <w:szCs w:val="24"/>
        </w:rPr>
        <w:t xml:space="preserve">ical training that addresses </w:t>
      </w:r>
      <w:r w:rsidRPr="00320BD3">
        <w:rPr>
          <w:rFonts w:ascii="Times New Roman" w:eastAsia="Calibri" w:hAnsi="Times New Roman"/>
          <w:sz w:val="24"/>
          <w:szCs w:val="24"/>
        </w:rPr>
        <w:t>patient</w:t>
      </w:r>
      <w:r>
        <w:rPr>
          <w:rFonts w:ascii="Times New Roman" w:eastAsia="Calibri" w:hAnsi="Times New Roman"/>
          <w:sz w:val="24"/>
          <w:szCs w:val="24"/>
        </w:rPr>
        <w:t>s at-risk for substance use disorders</w:t>
      </w:r>
      <w:r w:rsidRPr="00320BD3">
        <w:rPr>
          <w:rFonts w:ascii="Times New Roman" w:eastAsia="Calibri" w:hAnsi="Times New Roman"/>
          <w:sz w:val="24"/>
          <w:szCs w:val="24"/>
        </w:rPr>
        <w:t xml:space="preserve"> with techniques such as motivational interviewing. These curriculum changes often require the addition of new dental faculty with backgrounds in clinical psychology, psychiatry, nursing, addiction medicine and other relevant healthcare subspecialties.  </w:t>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p>
    <w:p w:rsidR="00D36EDF" w:rsidRPr="00320BD3" w:rsidRDefault="00D36EDF" w:rsidP="0073485D">
      <w:pPr>
        <w:spacing w:line="360" w:lineRule="auto"/>
        <w:contextualSpacing/>
        <w:rPr>
          <w:rFonts w:ascii="Times New Roman" w:eastAsia="Calibri" w:hAnsi="Times New Roman"/>
          <w:sz w:val="24"/>
          <w:szCs w:val="24"/>
        </w:rPr>
      </w:pPr>
    </w:p>
    <w:p w:rsidR="00D36EDF" w:rsidRPr="00320BD3" w:rsidRDefault="00D36EDF" w:rsidP="0073485D">
      <w:pPr>
        <w:spacing w:line="360" w:lineRule="auto"/>
        <w:ind w:firstLine="720"/>
        <w:contextualSpacing/>
        <w:rPr>
          <w:rFonts w:ascii="Times New Roman" w:eastAsia="Calibri" w:hAnsi="Times New Roman"/>
          <w:sz w:val="24"/>
          <w:szCs w:val="24"/>
        </w:rPr>
      </w:pPr>
      <w:r w:rsidRPr="00320BD3">
        <w:rPr>
          <w:rFonts w:ascii="Times New Roman" w:eastAsia="Calibri" w:hAnsi="Times New Roman"/>
          <w:b/>
          <w:sz w:val="24"/>
          <w:szCs w:val="24"/>
        </w:rPr>
        <w:t>Boston University Henry M. Goldman School of Dental</w:t>
      </w:r>
      <w:r w:rsidRPr="00320BD3">
        <w:rPr>
          <w:rFonts w:ascii="Times New Roman" w:eastAsia="Calibri" w:hAnsi="Times New Roman"/>
          <w:sz w:val="24"/>
          <w:szCs w:val="24"/>
        </w:rPr>
        <w:t xml:space="preserve"> </w:t>
      </w:r>
      <w:r w:rsidRPr="00320BD3">
        <w:rPr>
          <w:rFonts w:ascii="Times New Roman" w:eastAsia="Calibri" w:hAnsi="Times New Roman"/>
          <w:b/>
          <w:sz w:val="24"/>
          <w:szCs w:val="24"/>
        </w:rPr>
        <w:t>Medicine</w:t>
      </w:r>
      <w:r w:rsidRPr="00320BD3">
        <w:rPr>
          <w:rFonts w:ascii="Times New Roman" w:eastAsia="Calibri" w:hAnsi="Times New Roman"/>
          <w:sz w:val="24"/>
          <w:szCs w:val="24"/>
        </w:rPr>
        <w:t xml:space="preserve"> is currentl</w:t>
      </w:r>
      <w:r>
        <w:rPr>
          <w:rFonts w:ascii="Times New Roman" w:eastAsia="Calibri" w:hAnsi="Times New Roman"/>
          <w:sz w:val="24"/>
          <w:szCs w:val="24"/>
        </w:rPr>
        <w:t>y incorporating substance use/mis</w:t>
      </w:r>
      <w:r w:rsidRPr="00320BD3">
        <w:rPr>
          <w:rFonts w:ascii="Times New Roman" w:eastAsia="Calibri" w:hAnsi="Times New Roman"/>
          <w:sz w:val="24"/>
          <w:szCs w:val="24"/>
        </w:rPr>
        <w:t>use instruction into the academic curriculum using the SBIRT model (</w:t>
      </w:r>
      <w:r w:rsidRPr="004A51E4">
        <w:rPr>
          <w:rFonts w:ascii="Times New Roman" w:eastAsia="Calibri" w:hAnsi="Times New Roman"/>
          <w:sz w:val="24"/>
          <w:szCs w:val="24"/>
          <w:u w:val="single"/>
        </w:rPr>
        <w:t>S</w:t>
      </w:r>
      <w:r w:rsidRPr="00320BD3">
        <w:rPr>
          <w:rFonts w:ascii="Times New Roman" w:eastAsia="Calibri" w:hAnsi="Times New Roman"/>
          <w:sz w:val="24"/>
          <w:szCs w:val="24"/>
        </w:rPr>
        <w:t xml:space="preserve">creening, </w:t>
      </w:r>
      <w:r w:rsidRPr="004A51E4">
        <w:rPr>
          <w:rFonts w:ascii="Times New Roman" w:eastAsia="Calibri" w:hAnsi="Times New Roman"/>
          <w:sz w:val="24"/>
          <w:szCs w:val="24"/>
          <w:u w:val="single"/>
        </w:rPr>
        <w:t>B</w:t>
      </w:r>
      <w:r w:rsidRPr="00320BD3">
        <w:rPr>
          <w:rFonts w:ascii="Times New Roman" w:eastAsia="Calibri" w:hAnsi="Times New Roman"/>
          <w:sz w:val="24"/>
          <w:szCs w:val="24"/>
        </w:rPr>
        <w:t xml:space="preserve">rief </w:t>
      </w:r>
      <w:r w:rsidRPr="004A51E4">
        <w:rPr>
          <w:rFonts w:ascii="Times New Roman" w:eastAsia="Calibri" w:hAnsi="Times New Roman"/>
          <w:sz w:val="24"/>
          <w:szCs w:val="24"/>
          <w:u w:val="single"/>
        </w:rPr>
        <w:t>I</w:t>
      </w:r>
      <w:r w:rsidRPr="00320BD3">
        <w:rPr>
          <w:rFonts w:ascii="Times New Roman" w:eastAsia="Calibri" w:hAnsi="Times New Roman"/>
          <w:sz w:val="24"/>
          <w:szCs w:val="24"/>
        </w:rPr>
        <w:t>nterventi</w:t>
      </w:r>
      <w:r>
        <w:rPr>
          <w:rFonts w:ascii="Times New Roman" w:eastAsia="Calibri" w:hAnsi="Times New Roman"/>
          <w:sz w:val="24"/>
          <w:szCs w:val="24"/>
        </w:rPr>
        <w:t xml:space="preserve">on, and </w:t>
      </w:r>
      <w:r w:rsidRPr="004A51E4">
        <w:rPr>
          <w:rFonts w:ascii="Times New Roman" w:eastAsia="Calibri" w:hAnsi="Times New Roman"/>
          <w:sz w:val="24"/>
          <w:szCs w:val="24"/>
          <w:u w:val="single"/>
        </w:rPr>
        <w:t>R</w:t>
      </w:r>
      <w:r>
        <w:rPr>
          <w:rFonts w:ascii="Times New Roman" w:eastAsia="Calibri" w:hAnsi="Times New Roman"/>
          <w:sz w:val="24"/>
          <w:szCs w:val="24"/>
        </w:rPr>
        <w:t xml:space="preserve">eferral to </w:t>
      </w:r>
      <w:r w:rsidRPr="004A51E4">
        <w:rPr>
          <w:rFonts w:ascii="Times New Roman" w:eastAsia="Calibri" w:hAnsi="Times New Roman"/>
          <w:sz w:val="24"/>
          <w:szCs w:val="24"/>
          <w:u w:val="single"/>
        </w:rPr>
        <w:t>T</w:t>
      </w:r>
      <w:r>
        <w:rPr>
          <w:rFonts w:ascii="Times New Roman" w:eastAsia="Calibri" w:hAnsi="Times New Roman"/>
          <w:sz w:val="24"/>
          <w:szCs w:val="24"/>
        </w:rPr>
        <w:t>reatment).</w:t>
      </w:r>
      <w:r w:rsidRPr="00320BD3">
        <w:rPr>
          <w:rFonts w:ascii="Times New Roman" w:eastAsia="Calibri" w:hAnsi="Times New Roman"/>
          <w:sz w:val="24"/>
          <w:szCs w:val="24"/>
        </w:rPr>
        <w:t xml:space="preserve"> This initiative is in collaboration with the Boston University School of Medicine through the BESST student training program (</w:t>
      </w:r>
      <w:r w:rsidRPr="00320BD3">
        <w:rPr>
          <w:rFonts w:ascii="Times New Roman" w:eastAsia="Calibri" w:hAnsi="Times New Roman"/>
          <w:sz w:val="24"/>
          <w:szCs w:val="24"/>
          <w:u w:val="single"/>
        </w:rPr>
        <w:t>B</w:t>
      </w:r>
      <w:r w:rsidRPr="00320BD3">
        <w:rPr>
          <w:rFonts w:ascii="Times New Roman" w:eastAsia="Calibri" w:hAnsi="Times New Roman"/>
          <w:sz w:val="24"/>
          <w:szCs w:val="24"/>
        </w:rPr>
        <w:t xml:space="preserve">oston University </w:t>
      </w:r>
      <w:r w:rsidRPr="00320BD3">
        <w:rPr>
          <w:rFonts w:ascii="Times New Roman" w:eastAsia="Calibri" w:hAnsi="Times New Roman"/>
          <w:sz w:val="24"/>
          <w:szCs w:val="24"/>
          <w:u w:val="single"/>
        </w:rPr>
        <w:t>E</w:t>
      </w:r>
      <w:r w:rsidRPr="00320BD3">
        <w:rPr>
          <w:rFonts w:ascii="Times New Roman" w:eastAsia="Calibri" w:hAnsi="Times New Roman"/>
          <w:sz w:val="24"/>
          <w:szCs w:val="24"/>
        </w:rPr>
        <w:t xml:space="preserve">vidence-Based </w:t>
      </w:r>
      <w:r w:rsidRPr="00320BD3">
        <w:rPr>
          <w:rFonts w:ascii="Times New Roman" w:eastAsia="Calibri" w:hAnsi="Times New Roman"/>
          <w:sz w:val="24"/>
          <w:szCs w:val="24"/>
          <w:u w:val="single"/>
        </w:rPr>
        <w:t>S</w:t>
      </w:r>
      <w:r w:rsidRPr="00320BD3">
        <w:rPr>
          <w:rFonts w:ascii="Times New Roman" w:eastAsia="Calibri" w:hAnsi="Times New Roman"/>
          <w:sz w:val="24"/>
          <w:szCs w:val="24"/>
        </w:rPr>
        <w:t xml:space="preserve">tudent </w:t>
      </w:r>
      <w:r w:rsidRPr="00320BD3">
        <w:rPr>
          <w:rFonts w:ascii="Times New Roman" w:eastAsia="Calibri" w:hAnsi="Times New Roman"/>
          <w:sz w:val="24"/>
          <w:szCs w:val="24"/>
          <w:u w:val="single"/>
        </w:rPr>
        <w:t>S</w:t>
      </w:r>
      <w:r w:rsidRPr="00320BD3">
        <w:rPr>
          <w:rFonts w:ascii="Times New Roman" w:eastAsia="Calibri" w:hAnsi="Times New Roman"/>
          <w:sz w:val="24"/>
          <w:szCs w:val="24"/>
        </w:rPr>
        <w:t xml:space="preserve">BIRT </w:t>
      </w:r>
      <w:r w:rsidRPr="00320BD3">
        <w:rPr>
          <w:rFonts w:ascii="Times New Roman" w:eastAsia="Calibri" w:hAnsi="Times New Roman"/>
          <w:sz w:val="24"/>
          <w:szCs w:val="24"/>
          <w:u w:val="single"/>
        </w:rPr>
        <w:t>T</w:t>
      </w:r>
      <w:r w:rsidRPr="00320BD3">
        <w:rPr>
          <w:rFonts w:ascii="Times New Roman" w:eastAsia="Calibri" w:hAnsi="Times New Roman"/>
          <w:sz w:val="24"/>
          <w:szCs w:val="24"/>
        </w:rPr>
        <w:t xml:space="preserve">raining), which is funded by a </w:t>
      </w:r>
      <w:r>
        <w:rPr>
          <w:rFonts w:ascii="Times New Roman" w:eastAsia="Calibri" w:hAnsi="Times New Roman"/>
          <w:sz w:val="24"/>
          <w:szCs w:val="24"/>
        </w:rPr>
        <w:t xml:space="preserve">recently awarded SAMHSA grant. </w:t>
      </w:r>
      <w:r w:rsidRPr="00320BD3">
        <w:rPr>
          <w:rFonts w:ascii="Times New Roman" w:eastAsia="Calibri" w:hAnsi="Times New Roman"/>
          <w:sz w:val="24"/>
          <w:szCs w:val="24"/>
        </w:rPr>
        <w:t>The goal of this initiative is to enhan</w:t>
      </w:r>
      <w:r>
        <w:rPr>
          <w:rFonts w:ascii="Times New Roman" w:eastAsia="Calibri" w:hAnsi="Times New Roman"/>
          <w:sz w:val="24"/>
          <w:szCs w:val="24"/>
        </w:rPr>
        <w:t>ce the existing substance use/mis</w:t>
      </w:r>
      <w:r w:rsidRPr="00320BD3">
        <w:rPr>
          <w:rFonts w:ascii="Times New Roman" w:eastAsia="Calibri" w:hAnsi="Times New Roman"/>
          <w:sz w:val="24"/>
          <w:szCs w:val="24"/>
        </w:rPr>
        <w:t>use curriculum in the areas of behavioral health, patient communication, and inter</w:t>
      </w:r>
      <w:r>
        <w:rPr>
          <w:rFonts w:ascii="Times New Roman" w:eastAsia="Calibri" w:hAnsi="Times New Roman"/>
          <w:sz w:val="24"/>
          <w:szCs w:val="24"/>
        </w:rPr>
        <w:t>-</w:t>
      </w:r>
      <w:r w:rsidRPr="00320BD3">
        <w:rPr>
          <w:rFonts w:ascii="Times New Roman" w:eastAsia="Calibri" w:hAnsi="Times New Roman"/>
          <w:sz w:val="24"/>
          <w:szCs w:val="24"/>
        </w:rPr>
        <w:t xml:space="preserve">professional team-based practice by including evidence-based SBIRT education in an integrated, </w:t>
      </w:r>
      <w:r w:rsidR="00745041">
        <w:rPr>
          <w:rFonts w:ascii="Times New Roman" w:eastAsia="Calibri" w:hAnsi="Times New Roman"/>
          <w:sz w:val="24"/>
          <w:szCs w:val="24"/>
        </w:rPr>
        <w:t xml:space="preserve">and </w:t>
      </w:r>
      <w:r w:rsidRPr="00320BD3">
        <w:rPr>
          <w:rFonts w:ascii="Times New Roman" w:eastAsia="Calibri" w:hAnsi="Times New Roman"/>
          <w:sz w:val="24"/>
          <w:szCs w:val="24"/>
        </w:rPr>
        <w:t>multidisciplinary collaborative environment.</w:t>
      </w:r>
    </w:p>
    <w:p w:rsidR="00D36EDF" w:rsidRPr="00320BD3" w:rsidRDefault="00D36EDF" w:rsidP="0073485D">
      <w:pPr>
        <w:spacing w:line="360" w:lineRule="auto"/>
        <w:ind w:firstLine="720"/>
        <w:contextualSpacing/>
        <w:rPr>
          <w:rFonts w:ascii="Times New Roman" w:eastAsia="Calibri" w:hAnsi="Times New Roman"/>
          <w:sz w:val="24"/>
          <w:szCs w:val="24"/>
        </w:rPr>
      </w:pPr>
    </w:p>
    <w:p w:rsidR="00D36EDF" w:rsidRPr="00320BD3" w:rsidRDefault="00D36EDF" w:rsidP="0073485D">
      <w:pPr>
        <w:spacing w:line="360" w:lineRule="auto"/>
        <w:contextualSpacing/>
        <w:rPr>
          <w:rFonts w:ascii="Times New Roman" w:eastAsia="Calibri" w:hAnsi="Times New Roman"/>
          <w:sz w:val="24"/>
          <w:szCs w:val="24"/>
        </w:rPr>
      </w:pPr>
      <w:r w:rsidRPr="00320BD3">
        <w:rPr>
          <w:rFonts w:ascii="Times New Roman" w:eastAsia="Calibri" w:hAnsi="Times New Roman"/>
          <w:sz w:val="24"/>
          <w:szCs w:val="24"/>
        </w:rPr>
        <w:tab/>
      </w:r>
      <w:r w:rsidRPr="00320BD3">
        <w:rPr>
          <w:rFonts w:ascii="Times New Roman" w:eastAsia="Calibri" w:hAnsi="Times New Roman"/>
          <w:b/>
          <w:sz w:val="24"/>
          <w:szCs w:val="24"/>
        </w:rPr>
        <w:t>Harvard School of Dental Medicine</w:t>
      </w:r>
      <w:r w:rsidRPr="00320BD3">
        <w:rPr>
          <w:rFonts w:ascii="Times New Roman" w:eastAsia="Calibri" w:hAnsi="Times New Roman"/>
          <w:sz w:val="24"/>
          <w:szCs w:val="24"/>
        </w:rPr>
        <w:t xml:space="preserve"> is the lead institution in the Boston-based CoEPE (NIH Pain Consortium Centers of Excellence in Pain Education, 2015</w:t>
      </w:r>
      <w:r>
        <w:rPr>
          <w:rFonts w:ascii="Times New Roman" w:eastAsia="Calibri" w:hAnsi="Times New Roman"/>
          <w:sz w:val="24"/>
          <w:szCs w:val="24"/>
        </w:rPr>
        <w:t>). At HSDM, with support of a 5-</w:t>
      </w:r>
      <w:r w:rsidRPr="00320BD3">
        <w:rPr>
          <w:rFonts w:ascii="Times New Roman" w:eastAsia="Calibri" w:hAnsi="Times New Roman"/>
          <w:sz w:val="24"/>
          <w:szCs w:val="24"/>
        </w:rPr>
        <w:t>year contract from the NIH’s National Institute of Drug Addiction (NIDA)</w:t>
      </w:r>
      <w:r>
        <w:rPr>
          <w:rFonts w:ascii="Times New Roman" w:eastAsia="Calibri" w:hAnsi="Times New Roman"/>
          <w:sz w:val="24"/>
          <w:szCs w:val="24"/>
        </w:rPr>
        <w:t>,</w:t>
      </w:r>
      <w:r w:rsidRPr="00320BD3">
        <w:rPr>
          <w:rFonts w:ascii="Times New Roman" w:eastAsia="Calibri" w:hAnsi="Times New Roman"/>
          <w:sz w:val="24"/>
          <w:szCs w:val="24"/>
        </w:rPr>
        <w:t xml:space="preserve"> educators are collaborating to teach appropriate controlled substance prescribing via both intra-professional (dentistry) and inter-professional (medical, dental, nursing, pharmacy and psychology) education. </w:t>
      </w:r>
      <w:r w:rsidRPr="00320BD3">
        <w:rPr>
          <w:rFonts w:ascii="Times New Roman" w:eastAsia="Calibri" w:hAnsi="Times New Roman"/>
          <w:color w:val="000000"/>
          <w:sz w:val="24"/>
          <w:szCs w:val="24"/>
        </w:rPr>
        <w:t xml:space="preserve">                        </w:t>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r w:rsidRPr="00320BD3">
        <w:rPr>
          <w:rFonts w:ascii="Times New Roman" w:eastAsia="Calibri" w:hAnsi="Times New Roman"/>
          <w:sz w:val="24"/>
          <w:szCs w:val="24"/>
        </w:rPr>
        <w:tab/>
      </w:r>
    </w:p>
    <w:p w:rsidR="00D36EDF" w:rsidRPr="00D36EDF" w:rsidRDefault="00D36EDF" w:rsidP="0073485D">
      <w:pPr>
        <w:spacing w:line="360" w:lineRule="auto"/>
        <w:ind w:firstLine="720"/>
        <w:contextualSpacing/>
        <w:rPr>
          <w:rFonts w:ascii="Times New Roman" w:eastAsia="Calibri" w:hAnsi="Times New Roman"/>
          <w:color w:val="000000"/>
          <w:sz w:val="24"/>
          <w:szCs w:val="24"/>
        </w:rPr>
      </w:pPr>
      <w:r w:rsidRPr="00320BD3">
        <w:rPr>
          <w:rFonts w:ascii="Times New Roman" w:eastAsia="Calibri" w:hAnsi="Times New Roman"/>
          <w:b/>
          <w:sz w:val="24"/>
          <w:szCs w:val="24"/>
        </w:rPr>
        <w:t>Tufts School of Dental Medicine</w:t>
      </w:r>
      <w:r w:rsidRPr="00320BD3">
        <w:rPr>
          <w:rFonts w:ascii="Times New Roman" w:eastAsia="Calibri" w:hAnsi="Times New Roman"/>
          <w:sz w:val="24"/>
          <w:szCs w:val="24"/>
        </w:rPr>
        <w:t xml:space="preserve"> currently conducts the weekly Inter</w:t>
      </w:r>
      <w:r>
        <w:rPr>
          <w:rFonts w:ascii="Times New Roman" w:eastAsia="Calibri" w:hAnsi="Times New Roman"/>
        </w:rPr>
        <w:t>-</w:t>
      </w:r>
      <w:r w:rsidRPr="00320BD3">
        <w:rPr>
          <w:rFonts w:ascii="Times New Roman" w:eastAsia="Calibri" w:hAnsi="Times New Roman"/>
          <w:sz w:val="24"/>
          <w:szCs w:val="24"/>
        </w:rPr>
        <w:t xml:space="preserve">professional Facial Pain and Headache Rounds with participation by students, faculty, and regional experts in area of pain and addiction, and the school is in the process of developing and evaluating a protocol for integrating the </w:t>
      </w:r>
      <w:r w:rsidRPr="00320BD3">
        <w:rPr>
          <w:rFonts w:ascii="Times New Roman" w:eastAsia="Calibri" w:hAnsi="Times New Roman"/>
          <w:sz w:val="24"/>
          <w:szCs w:val="24"/>
        </w:rPr>
        <w:lastRenderedPageBreak/>
        <w:t>Massachusetts Prescription Monitoring Program into the dental curriculum along with abbreviated sc</w:t>
      </w:r>
      <w:r>
        <w:rPr>
          <w:rFonts w:ascii="Times New Roman" w:eastAsia="Calibri" w:hAnsi="Times New Roman"/>
          <w:sz w:val="24"/>
          <w:szCs w:val="24"/>
        </w:rPr>
        <w:t xml:space="preserve">reening for at-risk patients. </w:t>
      </w:r>
      <w:r w:rsidRPr="00320BD3">
        <w:rPr>
          <w:rFonts w:ascii="Times New Roman" w:eastAsia="Calibri" w:hAnsi="Times New Roman"/>
          <w:sz w:val="24"/>
          <w:szCs w:val="24"/>
        </w:rPr>
        <w:t xml:space="preserve">Also, Tufts dental students review cases in a setting where multiple subspecialists collaborate on patient assessment and the management of medically complex patients. </w:t>
      </w:r>
    </w:p>
    <w:p w:rsidR="00E40A62" w:rsidRPr="009F437E" w:rsidRDefault="00E40A62" w:rsidP="00E40A62">
      <w:pPr>
        <w:pStyle w:val="ListParagraph"/>
        <w:numPr>
          <w:ilvl w:val="0"/>
          <w:numId w:val="0"/>
        </w:numPr>
        <w:ind w:left="360"/>
        <w:rPr>
          <w:rFonts w:ascii="Times New Roman" w:hAnsi="Times New Roman" w:cs="Times New Roman"/>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C924C1" w:rsidRDefault="00C924C1" w:rsidP="00D1502A">
      <w:pPr>
        <w:pStyle w:val="Title"/>
        <w:numPr>
          <w:ilvl w:val="0"/>
          <w:numId w:val="0"/>
        </w:numPr>
        <w:outlineLvl w:val="0"/>
        <w:rPr>
          <w:rFonts w:ascii="Times New Roman" w:hAnsi="Times New Roman" w:cs="Times New Roman"/>
          <w:b/>
          <w:sz w:val="24"/>
          <w:szCs w:val="24"/>
        </w:rPr>
      </w:pPr>
    </w:p>
    <w:p w:rsidR="00D36EDF" w:rsidRDefault="00C924C1" w:rsidP="00D1502A">
      <w:pPr>
        <w:pStyle w:val="Title"/>
        <w:numPr>
          <w:ilvl w:val="0"/>
          <w:numId w:val="0"/>
        </w:numP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References: </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 xml:space="preserve">Alford, D. P., Zisblatt, L., Ng, P., Hayes, S. M., </w:t>
      </w:r>
      <w:proofErr w:type="spellStart"/>
      <w:r w:rsidRPr="009F437E">
        <w:rPr>
          <w:rFonts w:ascii="Times New Roman" w:hAnsi="Times New Roman"/>
          <w:sz w:val="24"/>
          <w:szCs w:val="24"/>
        </w:rPr>
        <w:t>Peloquin</w:t>
      </w:r>
      <w:proofErr w:type="spellEnd"/>
      <w:r w:rsidRPr="009F437E">
        <w:rPr>
          <w:rFonts w:ascii="Times New Roman" w:hAnsi="Times New Roman"/>
          <w:sz w:val="24"/>
          <w:szCs w:val="24"/>
        </w:rPr>
        <w:t>, S., Hardesty, I., &amp; White, J. L. (2015).</w:t>
      </w:r>
      <w:proofErr w:type="gramEnd"/>
      <w:r w:rsidRPr="009F437E">
        <w:rPr>
          <w:rFonts w:ascii="Times New Roman" w:hAnsi="Times New Roman"/>
          <w:sz w:val="24"/>
          <w:szCs w:val="24"/>
        </w:rPr>
        <w:t xml:space="preserve"> SCOPE of Pain: An Evaluation of an Opioid Risk Evaluation and Mitigation Strategy Continuing Education Program. </w:t>
      </w:r>
      <w:r w:rsidRPr="009F437E">
        <w:rPr>
          <w:rFonts w:ascii="Times New Roman" w:hAnsi="Times New Roman"/>
          <w:i/>
          <w:iCs/>
          <w:sz w:val="24"/>
          <w:szCs w:val="24"/>
        </w:rPr>
        <w:t>Pain Med</w:t>
      </w:r>
      <w:r w:rsidRPr="009F437E">
        <w:rPr>
          <w:rFonts w:ascii="Times New Roman" w:hAnsi="Times New Roman"/>
          <w:sz w:val="24"/>
          <w:szCs w:val="24"/>
        </w:rPr>
        <w:t xml:space="preserve">. </w:t>
      </w:r>
      <w:proofErr w:type="spellStart"/>
      <w:r w:rsidRPr="009F437E">
        <w:rPr>
          <w:rFonts w:ascii="Times New Roman" w:hAnsi="Times New Roman"/>
          <w:sz w:val="24"/>
          <w:szCs w:val="24"/>
        </w:rPr>
        <w:t>doi</w:t>
      </w:r>
      <w:proofErr w:type="spellEnd"/>
      <w:r w:rsidRPr="009F437E">
        <w:rPr>
          <w:rFonts w:ascii="Times New Roman" w:hAnsi="Times New Roman"/>
          <w:sz w:val="24"/>
          <w:szCs w:val="24"/>
        </w:rPr>
        <w:t>: 10.1111/pme.12878 http://www.ncbi.nlm.nih.gov/pubmed/26304703</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Allen</w:t>
      </w:r>
      <w:r w:rsidR="0032626C">
        <w:rPr>
          <w:rFonts w:ascii="Times New Roman" w:hAnsi="Times New Roman"/>
          <w:sz w:val="24"/>
          <w:szCs w:val="24"/>
        </w:rPr>
        <w:t>,</w:t>
      </w:r>
      <w:r w:rsidRPr="00117B28">
        <w:rPr>
          <w:rFonts w:ascii="Times New Roman" w:hAnsi="Times New Roman"/>
          <w:sz w:val="24"/>
          <w:szCs w:val="24"/>
        </w:rPr>
        <w:t xml:space="preserve"> M</w:t>
      </w:r>
      <w:r w:rsidR="00745041">
        <w:rPr>
          <w:rFonts w:ascii="Times New Roman" w:hAnsi="Times New Roman"/>
          <w:sz w:val="24"/>
          <w:szCs w:val="24"/>
        </w:rPr>
        <w:t>., Macleod</w:t>
      </w:r>
      <w:r w:rsidR="0032626C">
        <w:rPr>
          <w:rFonts w:ascii="Times New Roman" w:hAnsi="Times New Roman"/>
          <w:sz w:val="24"/>
          <w:szCs w:val="24"/>
        </w:rPr>
        <w:t>,</w:t>
      </w:r>
      <w:r w:rsidR="00745041">
        <w:rPr>
          <w:rFonts w:ascii="Times New Roman" w:hAnsi="Times New Roman"/>
          <w:sz w:val="24"/>
          <w:szCs w:val="24"/>
        </w:rPr>
        <w:t xml:space="preserve"> T.,</w:t>
      </w:r>
      <w:r w:rsidRPr="00117B28">
        <w:rPr>
          <w:rFonts w:ascii="Times New Roman" w:hAnsi="Times New Roman"/>
          <w:sz w:val="24"/>
          <w:szCs w:val="24"/>
        </w:rPr>
        <w:t xml:space="preserve"> </w:t>
      </w:r>
      <w:proofErr w:type="spellStart"/>
      <w:r w:rsidRPr="00117B28">
        <w:rPr>
          <w:rFonts w:ascii="Times New Roman" w:hAnsi="Times New Roman"/>
          <w:sz w:val="24"/>
          <w:szCs w:val="24"/>
        </w:rPr>
        <w:t>Zwicker</w:t>
      </w:r>
      <w:proofErr w:type="spellEnd"/>
      <w:r w:rsidR="0032626C">
        <w:rPr>
          <w:rFonts w:ascii="Times New Roman" w:hAnsi="Times New Roman"/>
          <w:sz w:val="24"/>
          <w:szCs w:val="24"/>
        </w:rPr>
        <w:t>,</w:t>
      </w:r>
      <w:r w:rsidRPr="00117B28">
        <w:rPr>
          <w:rFonts w:ascii="Times New Roman" w:hAnsi="Times New Roman"/>
          <w:sz w:val="24"/>
          <w:szCs w:val="24"/>
        </w:rPr>
        <w:t xml:space="preserve"> B, </w:t>
      </w:r>
      <w:proofErr w:type="spellStart"/>
      <w:r w:rsidRPr="00117B28">
        <w:rPr>
          <w:rFonts w:ascii="Times New Roman" w:hAnsi="Times New Roman"/>
          <w:sz w:val="24"/>
          <w:szCs w:val="24"/>
        </w:rPr>
        <w:t>Chiarot</w:t>
      </w:r>
      <w:proofErr w:type="spellEnd"/>
      <w:r w:rsidRPr="00117B28">
        <w:rPr>
          <w:rFonts w:ascii="Times New Roman" w:hAnsi="Times New Roman"/>
          <w:sz w:val="24"/>
          <w:szCs w:val="24"/>
        </w:rPr>
        <w:t xml:space="preserve"> M</w:t>
      </w:r>
      <w:r w:rsidR="00745041">
        <w:rPr>
          <w:rFonts w:ascii="Times New Roman" w:hAnsi="Times New Roman"/>
          <w:sz w:val="24"/>
          <w:szCs w:val="24"/>
        </w:rPr>
        <w:t>.</w:t>
      </w:r>
      <w:r w:rsidRPr="00117B28">
        <w:rPr>
          <w:rFonts w:ascii="Times New Roman" w:hAnsi="Times New Roman"/>
          <w:sz w:val="24"/>
          <w:szCs w:val="24"/>
        </w:rPr>
        <w:t xml:space="preserve">, </w:t>
      </w:r>
      <w:proofErr w:type="gramStart"/>
      <w:r w:rsidR="00745041">
        <w:rPr>
          <w:rFonts w:ascii="Times New Roman" w:hAnsi="Times New Roman"/>
          <w:sz w:val="24"/>
          <w:szCs w:val="24"/>
        </w:rPr>
        <w:t xml:space="preserve">&amp; </w:t>
      </w:r>
      <w:r w:rsidR="0032626C">
        <w:rPr>
          <w:rFonts w:ascii="Times New Roman" w:hAnsi="Times New Roman"/>
          <w:sz w:val="24"/>
          <w:szCs w:val="24"/>
        </w:rPr>
        <w:t xml:space="preserve"> </w:t>
      </w:r>
      <w:r w:rsidRPr="00117B28">
        <w:rPr>
          <w:rFonts w:ascii="Times New Roman" w:hAnsi="Times New Roman"/>
          <w:sz w:val="24"/>
          <w:szCs w:val="24"/>
        </w:rPr>
        <w:t>Critchley</w:t>
      </w:r>
      <w:proofErr w:type="gramEnd"/>
      <w:r w:rsidRPr="00117B28">
        <w:rPr>
          <w:rFonts w:ascii="Times New Roman" w:hAnsi="Times New Roman"/>
          <w:sz w:val="24"/>
          <w:szCs w:val="24"/>
        </w:rPr>
        <w:t xml:space="preserve"> C. </w:t>
      </w:r>
      <w:proofErr w:type="spellStart"/>
      <w:r w:rsidRPr="00117B28">
        <w:rPr>
          <w:rFonts w:ascii="Times New Roman" w:hAnsi="Times New Roman"/>
          <w:sz w:val="24"/>
          <w:szCs w:val="24"/>
        </w:rPr>
        <w:t>Interprofessional</w:t>
      </w:r>
      <w:proofErr w:type="spellEnd"/>
      <w:r w:rsidRPr="00117B28">
        <w:rPr>
          <w:rFonts w:ascii="Times New Roman" w:hAnsi="Times New Roman"/>
          <w:sz w:val="24"/>
          <w:szCs w:val="24"/>
        </w:rPr>
        <w:t xml:space="preserve"> education in chronic non-cancer pain. </w:t>
      </w:r>
      <w:proofErr w:type="gramStart"/>
      <w:r w:rsidRPr="00117B28">
        <w:rPr>
          <w:rFonts w:ascii="Times New Roman" w:hAnsi="Times New Roman"/>
          <w:sz w:val="24"/>
          <w:szCs w:val="24"/>
        </w:rPr>
        <w:t xml:space="preserve">Journal of </w:t>
      </w:r>
      <w:proofErr w:type="spellStart"/>
      <w:r w:rsidRPr="00117B28">
        <w:rPr>
          <w:rFonts w:ascii="Times New Roman" w:hAnsi="Times New Roman"/>
          <w:sz w:val="24"/>
          <w:szCs w:val="24"/>
        </w:rPr>
        <w:t>Interprofessional</w:t>
      </w:r>
      <w:proofErr w:type="spellEnd"/>
      <w:r w:rsidRPr="00117B28">
        <w:rPr>
          <w:rFonts w:ascii="Times New Roman" w:hAnsi="Times New Roman"/>
          <w:sz w:val="24"/>
          <w:szCs w:val="24"/>
        </w:rPr>
        <w:t xml:space="preserve"> Care.</w:t>
      </w:r>
      <w:proofErr w:type="gramEnd"/>
      <w:r w:rsidRPr="00117B28">
        <w:rPr>
          <w:rFonts w:ascii="Times New Roman" w:hAnsi="Times New Roman"/>
          <w:sz w:val="24"/>
          <w:szCs w:val="24"/>
        </w:rPr>
        <w:t xml:space="preserve"> 2011 May</w:t>
      </w:r>
      <w:proofErr w:type="gramStart"/>
      <w:r w:rsidRPr="00117B28">
        <w:rPr>
          <w:rFonts w:ascii="Times New Roman" w:hAnsi="Times New Roman"/>
          <w:sz w:val="24"/>
          <w:szCs w:val="24"/>
        </w:rPr>
        <w:t>;25</w:t>
      </w:r>
      <w:proofErr w:type="gramEnd"/>
      <w:r w:rsidRPr="00117B28">
        <w:rPr>
          <w:rFonts w:ascii="Times New Roman" w:hAnsi="Times New Roman"/>
          <w:sz w:val="24"/>
          <w:szCs w:val="24"/>
        </w:rPr>
        <w:t>(3):221-2. PubMed PMID: 21425918.</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9F437E">
        <w:rPr>
          <w:rFonts w:ascii="Times New Roman" w:hAnsi="Times New Roman"/>
          <w:sz w:val="24"/>
          <w:szCs w:val="24"/>
        </w:rPr>
        <w:t>Ayu</w:t>
      </w:r>
      <w:proofErr w:type="spellEnd"/>
      <w:r w:rsidRPr="009F437E">
        <w:rPr>
          <w:rFonts w:ascii="Times New Roman" w:hAnsi="Times New Roman"/>
          <w:sz w:val="24"/>
          <w:szCs w:val="24"/>
        </w:rPr>
        <w:t xml:space="preserve">, A. P., </w:t>
      </w:r>
      <w:proofErr w:type="spellStart"/>
      <w:r w:rsidRPr="009F437E">
        <w:rPr>
          <w:rFonts w:ascii="Times New Roman" w:hAnsi="Times New Roman"/>
          <w:sz w:val="24"/>
          <w:szCs w:val="24"/>
        </w:rPr>
        <w:t>Schellekens</w:t>
      </w:r>
      <w:proofErr w:type="spellEnd"/>
      <w:r w:rsidRPr="009F437E">
        <w:rPr>
          <w:rFonts w:ascii="Times New Roman" w:hAnsi="Times New Roman"/>
          <w:sz w:val="24"/>
          <w:szCs w:val="24"/>
        </w:rPr>
        <w:t xml:space="preserve">, A. F., Iskandar, S., </w:t>
      </w:r>
      <w:proofErr w:type="spellStart"/>
      <w:r w:rsidRPr="009F437E">
        <w:rPr>
          <w:rFonts w:ascii="Times New Roman" w:hAnsi="Times New Roman"/>
          <w:sz w:val="24"/>
          <w:szCs w:val="24"/>
        </w:rPr>
        <w:t>Pinxten</w:t>
      </w:r>
      <w:proofErr w:type="spellEnd"/>
      <w:r w:rsidRPr="009F437E">
        <w:rPr>
          <w:rFonts w:ascii="Times New Roman" w:hAnsi="Times New Roman"/>
          <w:sz w:val="24"/>
          <w:szCs w:val="24"/>
        </w:rPr>
        <w:t xml:space="preserve">, L., &amp; De Jong, C. A. (2015). Effectiveness and Organization of Addiction Medicine Training </w:t>
      </w:r>
      <w:proofErr w:type="gramStart"/>
      <w:r w:rsidRPr="009F437E">
        <w:rPr>
          <w:rFonts w:ascii="Times New Roman" w:hAnsi="Times New Roman"/>
          <w:sz w:val="24"/>
          <w:szCs w:val="24"/>
        </w:rPr>
        <w:t>Across</w:t>
      </w:r>
      <w:proofErr w:type="gramEnd"/>
      <w:r w:rsidRPr="009F437E">
        <w:rPr>
          <w:rFonts w:ascii="Times New Roman" w:hAnsi="Times New Roman"/>
          <w:sz w:val="24"/>
          <w:szCs w:val="24"/>
        </w:rPr>
        <w:t xml:space="preserve"> the Globe. </w:t>
      </w:r>
      <w:proofErr w:type="spellStart"/>
      <w:r w:rsidRPr="009F437E">
        <w:rPr>
          <w:rFonts w:ascii="Times New Roman" w:hAnsi="Times New Roman"/>
          <w:i/>
          <w:iCs/>
          <w:sz w:val="24"/>
          <w:szCs w:val="24"/>
        </w:rPr>
        <w:t>Eur</w:t>
      </w:r>
      <w:proofErr w:type="spellEnd"/>
      <w:r w:rsidRPr="009F437E">
        <w:rPr>
          <w:rFonts w:ascii="Times New Roman" w:hAnsi="Times New Roman"/>
          <w:i/>
          <w:iCs/>
          <w:sz w:val="24"/>
          <w:szCs w:val="24"/>
        </w:rPr>
        <w:t xml:space="preserve"> Addict Res, 21</w:t>
      </w:r>
      <w:r w:rsidRPr="009F437E">
        <w:rPr>
          <w:rFonts w:ascii="Times New Roman" w:hAnsi="Times New Roman"/>
          <w:sz w:val="24"/>
          <w:szCs w:val="24"/>
        </w:rPr>
        <w:t xml:space="preserve">(5), 223-239.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10.1159/000381671 http://www.ncbi.nlm.nih.gov/pubmed/25966903</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Baker, J</w:t>
      </w:r>
      <w:r w:rsidR="0032626C">
        <w:rPr>
          <w:rFonts w:ascii="Times New Roman" w:hAnsi="Times New Roman"/>
          <w:sz w:val="24"/>
          <w:szCs w:val="24"/>
        </w:rPr>
        <w:t xml:space="preserve">.A, </w:t>
      </w:r>
      <w:proofErr w:type="spellStart"/>
      <w:r w:rsidR="0032626C">
        <w:rPr>
          <w:rFonts w:ascii="Times New Roman" w:hAnsi="Times New Roman"/>
          <w:sz w:val="24"/>
          <w:szCs w:val="24"/>
        </w:rPr>
        <w:t>Avorn</w:t>
      </w:r>
      <w:proofErr w:type="spellEnd"/>
      <w:r w:rsidR="0032626C">
        <w:rPr>
          <w:rFonts w:ascii="Times New Roman" w:hAnsi="Times New Roman"/>
          <w:sz w:val="24"/>
          <w:szCs w:val="24"/>
        </w:rPr>
        <w:t>, J, Levin, R, &amp;</w:t>
      </w:r>
      <w:r w:rsidRPr="00117B28">
        <w:rPr>
          <w:rFonts w:ascii="Times New Roman" w:hAnsi="Times New Roman"/>
          <w:sz w:val="24"/>
          <w:szCs w:val="24"/>
        </w:rPr>
        <w:t xml:space="preserve"> Bateman, BT Opioid prescribing after surgical extraction of teeth in Medicaid patients, 2000-2010 Journal American Medical Association 2015 (accepted for publication)</w:t>
      </w:r>
      <w:r w:rsidRPr="00117B28">
        <w:rPr>
          <w:rFonts w:ascii="Times New Roman" w:hAnsi="Times New Roman"/>
          <w:sz w:val="24"/>
          <w:szCs w:val="24"/>
        </w:rPr>
        <w:tab/>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Belgrade, M. J., Schamber, C. D., &amp; Lindgren, B. R. (2006).</w:t>
      </w:r>
      <w:proofErr w:type="gramEnd"/>
      <w:r w:rsidRPr="009F437E">
        <w:rPr>
          <w:rFonts w:ascii="Times New Roman" w:hAnsi="Times New Roman"/>
          <w:sz w:val="24"/>
          <w:szCs w:val="24"/>
        </w:rPr>
        <w:t xml:space="preserve"> The DIRE score: predicting outcomes of opioid prescribing for chronic pain. </w:t>
      </w:r>
      <w:r w:rsidRPr="009F437E">
        <w:rPr>
          <w:rFonts w:ascii="Times New Roman" w:hAnsi="Times New Roman"/>
          <w:i/>
          <w:iCs/>
          <w:sz w:val="24"/>
          <w:szCs w:val="24"/>
        </w:rPr>
        <w:t>J Pain, 7</w:t>
      </w:r>
      <w:r w:rsidRPr="009F437E">
        <w:rPr>
          <w:rFonts w:ascii="Times New Roman" w:hAnsi="Times New Roman"/>
          <w:sz w:val="24"/>
          <w:szCs w:val="24"/>
        </w:rPr>
        <w:t xml:space="preserve">(9), 671-681.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10.1016/j.jpain.2006.03.001 http://www.ncbi.nlm.nih.gov/pubmed/16942953</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Boyer, E. W. (2012).</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Management of opioid analgesic overdose.</w:t>
      </w:r>
      <w:proofErr w:type="gramEnd"/>
      <w:r w:rsidRPr="009F437E">
        <w:rPr>
          <w:rFonts w:ascii="Times New Roman" w:hAnsi="Times New Roman"/>
          <w:sz w:val="24"/>
          <w:szCs w:val="24"/>
        </w:rPr>
        <w:t xml:space="preserve"> </w:t>
      </w:r>
      <w:r w:rsidRPr="009F437E">
        <w:rPr>
          <w:rFonts w:ascii="Times New Roman" w:hAnsi="Times New Roman"/>
          <w:i/>
          <w:iCs/>
          <w:sz w:val="24"/>
          <w:szCs w:val="24"/>
        </w:rPr>
        <w:t xml:space="preserve">N </w:t>
      </w:r>
      <w:proofErr w:type="spellStart"/>
      <w:r w:rsidRPr="009F437E">
        <w:rPr>
          <w:rFonts w:ascii="Times New Roman" w:hAnsi="Times New Roman"/>
          <w:i/>
          <w:iCs/>
          <w:sz w:val="24"/>
          <w:szCs w:val="24"/>
        </w:rPr>
        <w:t>Engl</w:t>
      </w:r>
      <w:proofErr w:type="spellEnd"/>
      <w:r w:rsidRPr="009F437E">
        <w:rPr>
          <w:rFonts w:ascii="Times New Roman" w:hAnsi="Times New Roman"/>
          <w:i/>
          <w:iCs/>
          <w:sz w:val="24"/>
          <w:szCs w:val="24"/>
        </w:rPr>
        <w:t xml:space="preserve"> J Med, 367</w:t>
      </w:r>
      <w:r w:rsidRPr="009F437E">
        <w:rPr>
          <w:rFonts w:ascii="Times New Roman" w:hAnsi="Times New Roman"/>
          <w:sz w:val="24"/>
          <w:szCs w:val="24"/>
        </w:rPr>
        <w:t xml:space="preserve">(2), 146-155.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10.1056/NEJMra1202561 http://www.ncbi.nlm.nih.gov/pubmed/22784117</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Brady, K. T., McCauley, J. L., &amp; Back, S. E. (2015).</w:t>
      </w:r>
      <w:proofErr w:type="gramEnd"/>
      <w:r w:rsidRPr="009F437E">
        <w:rPr>
          <w:rFonts w:ascii="Times New Roman" w:hAnsi="Times New Roman"/>
          <w:sz w:val="24"/>
          <w:szCs w:val="24"/>
        </w:rPr>
        <w:t xml:space="preserve"> Prescription Opioid Misuse, Abuse, and Treatment in the United States: An Update. </w:t>
      </w:r>
      <w:r w:rsidRPr="009F437E">
        <w:rPr>
          <w:rFonts w:ascii="Times New Roman" w:hAnsi="Times New Roman"/>
          <w:i/>
          <w:iCs/>
          <w:sz w:val="24"/>
          <w:szCs w:val="24"/>
        </w:rPr>
        <w:t>Am J Psychiatry</w:t>
      </w:r>
      <w:r w:rsidRPr="009F437E">
        <w:rPr>
          <w:rFonts w:ascii="Times New Roman" w:hAnsi="Times New Roman"/>
          <w:sz w:val="24"/>
          <w:szCs w:val="24"/>
        </w:rPr>
        <w:t xml:space="preserve">, appiajp201515020262.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10.1176/appi.ajp.2015.15020262 http://www.ncbi.nlm.nih.gov/pubmed/26337039</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 xml:space="preserve">Butler, S. F., </w:t>
      </w:r>
      <w:proofErr w:type="spellStart"/>
      <w:r w:rsidRPr="009F437E">
        <w:rPr>
          <w:rFonts w:ascii="Times New Roman" w:hAnsi="Times New Roman"/>
          <w:sz w:val="24"/>
          <w:szCs w:val="24"/>
        </w:rPr>
        <w:t>Budman</w:t>
      </w:r>
      <w:proofErr w:type="spellEnd"/>
      <w:r w:rsidRPr="009F437E">
        <w:rPr>
          <w:rFonts w:ascii="Times New Roman" w:hAnsi="Times New Roman"/>
          <w:sz w:val="24"/>
          <w:szCs w:val="24"/>
        </w:rPr>
        <w:t>, S. H., Fernandez, K., &amp; Jamison, R. N. (2004).</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Validation of a screener and opioid assessment measure for patients with chronic pain.</w:t>
      </w:r>
      <w:proofErr w:type="gramEnd"/>
      <w:r w:rsidRPr="009F437E">
        <w:rPr>
          <w:rFonts w:ascii="Times New Roman" w:hAnsi="Times New Roman"/>
          <w:sz w:val="24"/>
          <w:szCs w:val="24"/>
        </w:rPr>
        <w:t xml:space="preserve"> </w:t>
      </w:r>
      <w:r w:rsidRPr="009F437E">
        <w:rPr>
          <w:rFonts w:ascii="Times New Roman" w:hAnsi="Times New Roman"/>
          <w:i/>
          <w:iCs/>
          <w:sz w:val="24"/>
          <w:szCs w:val="24"/>
        </w:rPr>
        <w:t>Pain, 112</w:t>
      </w:r>
      <w:r w:rsidRPr="009F437E">
        <w:rPr>
          <w:rFonts w:ascii="Times New Roman" w:hAnsi="Times New Roman"/>
          <w:sz w:val="24"/>
          <w:szCs w:val="24"/>
        </w:rPr>
        <w:t xml:space="preserve">(1-2), 65-75.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10.1016/j.pain.2004.07.026 http://www.ncbi.nlm.nih.gov/pubmed/15494186</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 xml:space="preserve">Carroll, J., </w:t>
      </w:r>
      <w:proofErr w:type="spellStart"/>
      <w:r w:rsidRPr="009F437E">
        <w:rPr>
          <w:rFonts w:ascii="Times New Roman" w:hAnsi="Times New Roman"/>
          <w:sz w:val="24"/>
          <w:szCs w:val="24"/>
        </w:rPr>
        <w:t>Goodair</w:t>
      </w:r>
      <w:proofErr w:type="spellEnd"/>
      <w:r w:rsidRPr="009F437E">
        <w:rPr>
          <w:rFonts w:ascii="Times New Roman" w:hAnsi="Times New Roman"/>
          <w:sz w:val="24"/>
          <w:szCs w:val="24"/>
        </w:rPr>
        <w:t xml:space="preserve">, C., </w:t>
      </w:r>
      <w:proofErr w:type="spellStart"/>
      <w:r w:rsidRPr="009F437E">
        <w:rPr>
          <w:rFonts w:ascii="Times New Roman" w:hAnsi="Times New Roman"/>
          <w:sz w:val="24"/>
          <w:szCs w:val="24"/>
        </w:rPr>
        <w:t>Chaytor</w:t>
      </w:r>
      <w:proofErr w:type="spellEnd"/>
      <w:r w:rsidRPr="009F437E">
        <w:rPr>
          <w:rFonts w:ascii="Times New Roman" w:hAnsi="Times New Roman"/>
          <w:sz w:val="24"/>
          <w:szCs w:val="24"/>
        </w:rPr>
        <w:t xml:space="preserve">, A., </w:t>
      </w:r>
      <w:proofErr w:type="spellStart"/>
      <w:r w:rsidRPr="009F437E">
        <w:rPr>
          <w:rFonts w:ascii="Times New Roman" w:hAnsi="Times New Roman"/>
          <w:sz w:val="24"/>
          <w:szCs w:val="24"/>
        </w:rPr>
        <w:t>Notley</w:t>
      </w:r>
      <w:proofErr w:type="spellEnd"/>
      <w:r w:rsidRPr="009F437E">
        <w:rPr>
          <w:rFonts w:ascii="Times New Roman" w:hAnsi="Times New Roman"/>
          <w:sz w:val="24"/>
          <w:szCs w:val="24"/>
        </w:rPr>
        <w:t xml:space="preserve">, C., </w:t>
      </w:r>
      <w:proofErr w:type="spellStart"/>
      <w:r w:rsidRPr="009F437E">
        <w:rPr>
          <w:rFonts w:ascii="Times New Roman" w:hAnsi="Times New Roman"/>
          <w:sz w:val="24"/>
          <w:szCs w:val="24"/>
        </w:rPr>
        <w:t>Ghodse</w:t>
      </w:r>
      <w:proofErr w:type="spellEnd"/>
      <w:r w:rsidRPr="009F437E">
        <w:rPr>
          <w:rFonts w:ascii="Times New Roman" w:hAnsi="Times New Roman"/>
          <w:sz w:val="24"/>
          <w:szCs w:val="24"/>
        </w:rPr>
        <w:t>, H., &amp; Kopelman, P. (2014).</w:t>
      </w:r>
      <w:proofErr w:type="gramEnd"/>
      <w:r w:rsidRPr="009F437E">
        <w:rPr>
          <w:rFonts w:ascii="Times New Roman" w:hAnsi="Times New Roman"/>
          <w:sz w:val="24"/>
          <w:szCs w:val="24"/>
        </w:rPr>
        <w:t xml:space="preserve"> Substance misuse teaching in undergraduate medical education. </w:t>
      </w:r>
      <w:proofErr w:type="gramStart"/>
      <w:r w:rsidRPr="009F437E">
        <w:rPr>
          <w:rFonts w:ascii="Times New Roman" w:hAnsi="Times New Roman"/>
          <w:i/>
          <w:iCs/>
          <w:sz w:val="24"/>
          <w:szCs w:val="24"/>
        </w:rPr>
        <w:t xml:space="preserve">BMC Med </w:t>
      </w:r>
      <w:proofErr w:type="spellStart"/>
      <w:r w:rsidRPr="009F437E">
        <w:rPr>
          <w:rFonts w:ascii="Times New Roman" w:hAnsi="Times New Roman"/>
          <w:i/>
          <w:iCs/>
          <w:sz w:val="24"/>
          <w:szCs w:val="24"/>
        </w:rPr>
        <w:t>Educ</w:t>
      </w:r>
      <w:proofErr w:type="spellEnd"/>
      <w:r w:rsidRPr="009F437E">
        <w:rPr>
          <w:rFonts w:ascii="Times New Roman" w:hAnsi="Times New Roman"/>
          <w:i/>
          <w:iCs/>
          <w:sz w:val="24"/>
          <w:szCs w:val="24"/>
        </w:rPr>
        <w:t>, 14</w:t>
      </w:r>
      <w:r w:rsidRPr="009F437E">
        <w:rPr>
          <w:rFonts w:ascii="Times New Roman" w:hAnsi="Times New Roman"/>
          <w:sz w:val="24"/>
          <w:szCs w:val="24"/>
        </w:rPr>
        <w:t>, 34.</w:t>
      </w:r>
      <w:proofErr w:type="gramEnd"/>
      <w:r w:rsidRPr="009F437E">
        <w:rPr>
          <w:rFonts w:ascii="Times New Roman" w:hAnsi="Times New Roman"/>
          <w:sz w:val="24"/>
          <w:szCs w:val="24"/>
        </w:rPr>
        <w:t xml:space="preserve">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10.1186/1472-6920-14-34 http://www.ncbi.nlm.nih.gov/pubmed/24533849</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117B28">
        <w:rPr>
          <w:rFonts w:ascii="Times New Roman" w:hAnsi="Times New Roman"/>
          <w:sz w:val="24"/>
          <w:szCs w:val="24"/>
        </w:rPr>
        <w:t>Chan,</w:t>
      </w:r>
      <w:r w:rsidR="0008117A">
        <w:rPr>
          <w:rFonts w:ascii="Times New Roman" w:hAnsi="Times New Roman"/>
          <w:sz w:val="24"/>
          <w:szCs w:val="24"/>
        </w:rPr>
        <w:t xml:space="preserve"> </w:t>
      </w:r>
      <w:r w:rsidRPr="00117B28">
        <w:rPr>
          <w:rFonts w:ascii="Times New Roman" w:hAnsi="Times New Roman"/>
          <w:sz w:val="24"/>
          <w:szCs w:val="24"/>
        </w:rPr>
        <w:t>J</w:t>
      </w:r>
      <w:r w:rsidR="0032626C">
        <w:rPr>
          <w:rFonts w:ascii="Times New Roman" w:hAnsi="Times New Roman"/>
          <w:sz w:val="24"/>
          <w:szCs w:val="24"/>
        </w:rPr>
        <w:t>.</w:t>
      </w:r>
      <w:r w:rsidRPr="00117B28">
        <w:rPr>
          <w:rFonts w:ascii="Times New Roman" w:hAnsi="Times New Roman"/>
          <w:sz w:val="24"/>
          <w:szCs w:val="24"/>
        </w:rPr>
        <w:t>H</w:t>
      </w:r>
      <w:r w:rsidR="0032626C">
        <w:rPr>
          <w:rFonts w:ascii="Times New Roman" w:hAnsi="Times New Roman"/>
          <w:sz w:val="24"/>
          <w:szCs w:val="24"/>
        </w:rPr>
        <w:t>.</w:t>
      </w:r>
      <w:r w:rsidRPr="00117B28">
        <w:rPr>
          <w:rFonts w:ascii="Times New Roman" w:hAnsi="Times New Roman"/>
          <w:sz w:val="24"/>
          <w:szCs w:val="24"/>
        </w:rPr>
        <w:t>, Humphreys,</w:t>
      </w:r>
      <w:r w:rsidR="0008117A">
        <w:rPr>
          <w:rFonts w:ascii="Times New Roman" w:hAnsi="Times New Roman"/>
          <w:sz w:val="24"/>
          <w:szCs w:val="24"/>
        </w:rPr>
        <w:t xml:space="preserve"> </w:t>
      </w:r>
      <w:r w:rsidR="0032626C">
        <w:rPr>
          <w:rFonts w:ascii="Times New Roman" w:hAnsi="Times New Roman"/>
          <w:sz w:val="24"/>
          <w:szCs w:val="24"/>
        </w:rPr>
        <w:t>K, Shah, NH, &amp;</w:t>
      </w:r>
      <w:r w:rsidRPr="00117B28">
        <w:rPr>
          <w:rFonts w:ascii="Times New Roman" w:hAnsi="Times New Roman"/>
          <w:sz w:val="24"/>
          <w:szCs w:val="24"/>
        </w:rPr>
        <w:t xml:space="preserve"> </w:t>
      </w:r>
      <w:proofErr w:type="spellStart"/>
      <w:r w:rsidRPr="00117B28">
        <w:rPr>
          <w:rFonts w:ascii="Times New Roman" w:hAnsi="Times New Roman"/>
          <w:sz w:val="24"/>
          <w:szCs w:val="24"/>
        </w:rPr>
        <w:t>Lembke</w:t>
      </w:r>
      <w:proofErr w:type="spellEnd"/>
      <w:r w:rsidRPr="00117B28">
        <w:rPr>
          <w:rFonts w:ascii="Times New Roman" w:hAnsi="Times New Roman"/>
          <w:sz w:val="24"/>
          <w:szCs w:val="24"/>
        </w:rPr>
        <w:t>, A</w:t>
      </w:r>
      <w:r w:rsidR="0032626C">
        <w:rPr>
          <w:rFonts w:ascii="Times New Roman" w:hAnsi="Times New Roman"/>
          <w:sz w:val="24"/>
          <w:szCs w:val="24"/>
        </w:rPr>
        <w:t>.</w:t>
      </w:r>
      <w:r w:rsidRPr="00117B28">
        <w:rPr>
          <w:rFonts w:ascii="Times New Roman" w:hAnsi="Times New Roman"/>
          <w:sz w:val="24"/>
          <w:szCs w:val="24"/>
        </w:rPr>
        <w:t xml:space="preserve"> Distribution of Opio</w:t>
      </w:r>
      <w:r w:rsidR="0008117A">
        <w:rPr>
          <w:rFonts w:ascii="Times New Roman" w:hAnsi="Times New Roman"/>
          <w:sz w:val="24"/>
          <w:szCs w:val="24"/>
        </w:rPr>
        <w:t>i</w:t>
      </w:r>
      <w:r w:rsidRPr="00117B28">
        <w:rPr>
          <w:rFonts w:ascii="Times New Roman" w:hAnsi="Times New Roman"/>
          <w:sz w:val="24"/>
          <w:szCs w:val="24"/>
        </w:rPr>
        <w:t>ds by different types of Medicare prescribers Journal American Medical Association December 14 2015.</w:t>
      </w:r>
      <w:proofErr w:type="gramEnd"/>
      <w:r w:rsidRPr="00117B28">
        <w:rPr>
          <w:rFonts w:ascii="Times New Roman" w:hAnsi="Times New Roman"/>
          <w:sz w:val="24"/>
          <w:szCs w:val="24"/>
        </w:rPr>
        <w:t xml:space="preserve"> doi:10.1001/jamaintermed.2015.6662</w:t>
      </w:r>
      <w:r w:rsidRPr="00117B28">
        <w:rPr>
          <w:rFonts w:ascii="Times New Roman" w:hAnsi="Times New Roman"/>
          <w:sz w:val="24"/>
          <w:szCs w:val="24"/>
        </w:rPr>
        <w:tab/>
      </w:r>
    </w:p>
    <w:p w:rsidR="00C924C1" w:rsidRDefault="0032626C" w:rsidP="0008117A">
      <w:pPr>
        <w:widowControl w:val="0"/>
        <w:autoSpaceDE w:val="0"/>
        <w:autoSpaceDN w:val="0"/>
        <w:adjustRightInd w:val="0"/>
        <w:spacing w:after="120"/>
        <w:ind w:left="720" w:right="-720" w:hanging="720"/>
        <w:rPr>
          <w:rFonts w:ascii="Times New Roman" w:hAnsi="Times New Roman"/>
          <w:sz w:val="24"/>
          <w:szCs w:val="24"/>
        </w:rPr>
      </w:pPr>
      <w:r>
        <w:rPr>
          <w:rFonts w:ascii="Times New Roman" w:hAnsi="Times New Roman"/>
          <w:sz w:val="24"/>
          <w:szCs w:val="24"/>
        </w:rPr>
        <w:t xml:space="preserve">Crump A., &amp; </w:t>
      </w:r>
      <w:proofErr w:type="spellStart"/>
      <w:r w:rsidR="00C924C1" w:rsidRPr="00117B28">
        <w:rPr>
          <w:rFonts w:ascii="Times New Roman" w:hAnsi="Times New Roman"/>
          <w:sz w:val="24"/>
          <w:szCs w:val="24"/>
        </w:rPr>
        <w:t>Shulden</w:t>
      </w:r>
      <w:proofErr w:type="spellEnd"/>
      <w:r>
        <w:rPr>
          <w:rFonts w:ascii="Times New Roman" w:hAnsi="Times New Roman"/>
          <w:sz w:val="24"/>
          <w:szCs w:val="24"/>
        </w:rPr>
        <w:t>,</w:t>
      </w:r>
      <w:r w:rsidR="00C924C1" w:rsidRPr="00117B28">
        <w:rPr>
          <w:rFonts w:ascii="Times New Roman" w:hAnsi="Times New Roman"/>
          <w:sz w:val="24"/>
          <w:szCs w:val="24"/>
        </w:rPr>
        <w:t xml:space="preserve"> J. Opioid prescribing to adolescents in dental settings. </w:t>
      </w:r>
      <w:proofErr w:type="gramStart"/>
      <w:r w:rsidR="00C924C1" w:rsidRPr="00117B28">
        <w:rPr>
          <w:rFonts w:ascii="Times New Roman" w:hAnsi="Times New Roman"/>
          <w:sz w:val="24"/>
          <w:szCs w:val="24"/>
        </w:rPr>
        <w:t>National Institute of</w:t>
      </w:r>
      <w:r w:rsidR="00C924C1">
        <w:rPr>
          <w:rFonts w:ascii="Times New Roman" w:hAnsi="Times New Roman"/>
          <w:sz w:val="24"/>
          <w:szCs w:val="24"/>
        </w:rPr>
        <w:t xml:space="preserve"> Drug Abuse.</w:t>
      </w:r>
      <w:proofErr w:type="gramEnd"/>
      <w:r w:rsidR="00C924C1">
        <w:rPr>
          <w:rFonts w:ascii="Times New Roman" w:hAnsi="Times New Roman"/>
          <w:sz w:val="24"/>
          <w:szCs w:val="24"/>
        </w:rPr>
        <w:t xml:space="preserve"> February 23, 2009. </w:t>
      </w:r>
      <w:r w:rsidR="00C924C1" w:rsidRPr="00117B28">
        <w:rPr>
          <w:rFonts w:ascii="Times New Roman" w:hAnsi="Times New Roman"/>
          <w:sz w:val="24"/>
          <w:szCs w:val="24"/>
        </w:rPr>
        <w:t>http://archives.drugabuse.gov/meetings/Dental/index.html</w:t>
      </w:r>
      <w:r w:rsidR="00C924C1">
        <w:rPr>
          <w:rFonts w:ascii="Times New Roman" w:hAnsi="Times New Roman"/>
          <w:sz w:val="24"/>
          <w:szCs w:val="24"/>
        </w:rPr>
        <w:t xml:space="preserve"> </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117B28">
        <w:rPr>
          <w:rFonts w:ascii="Times New Roman" w:hAnsi="Times New Roman"/>
          <w:sz w:val="24"/>
          <w:szCs w:val="24"/>
        </w:rPr>
        <w:t>Dinesco</w:t>
      </w:r>
      <w:proofErr w:type="spellEnd"/>
      <w:r w:rsidR="0008117A">
        <w:rPr>
          <w:rFonts w:ascii="Times New Roman" w:hAnsi="Times New Roman"/>
          <w:sz w:val="24"/>
          <w:szCs w:val="24"/>
        </w:rPr>
        <w:t>,</w:t>
      </w:r>
      <w:r w:rsidRPr="00117B28">
        <w:rPr>
          <w:rFonts w:ascii="Times New Roman" w:hAnsi="Times New Roman"/>
          <w:sz w:val="24"/>
          <w:szCs w:val="24"/>
        </w:rPr>
        <w:t xml:space="preserve"> R</w:t>
      </w:r>
      <w:r w:rsidR="0032626C">
        <w:rPr>
          <w:rFonts w:ascii="Times New Roman" w:hAnsi="Times New Roman"/>
          <w:sz w:val="24"/>
          <w:szCs w:val="24"/>
        </w:rPr>
        <w:t>.</w:t>
      </w:r>
      <w:r w:rsidRPr="00117B28">
        <w:rPr>
          <w:rFonts w:ascii="Times New Roman" w:hAnsi="Times New Roman"/>
          <w:sz w:val="24"/>
          <w:szCs w:val="24"/>
        </w:rPr>
        <w:t>C</w:t>
      </w:r>
      <w:r w:rsidR="0032626C">
        <w:rPr>
          <w:rFonts w:ascii="Times New Roman" w:hAnsi="Times New Roman"/>
          <w:sz w:val="24"/>
          <w:szCs w:val="24"/>
        </w:rPr>
        <w:t>.</w:t>
      </w:r>
      <w:r w:rsidRPr="00117B28">
        <w:rPr>
          <w:rFonts w:ascii="Times New Roman" w:hAnsi="Times New Roman"/>
          <w:sz w:val="24"/>
          <w:szCs w:val="24"/>
        </w:rPr>
        <w:t>, Kenna</w:t>
      </w:r>
      <w:r w:rsidR="0008117A">
        <w:rPr>
          <w:rFonts w:ascii="Times New Roman" w:hAnsi="Times New Roman"/>
          <w:sz w:val="24"/>
          <w:szCs w:val="24"/>
        </w:rPr>
        <w:t>,</w:t>
      </w:r>
      <w:r w:rsidRPr="00117B28">
        <w:rPr>
          <w:rFonts w:ascii="Times New Roman" w:hAnsi="Times New Roman"/>
          <w:sz w:val="24"/>
          <w:szCs w:val="24"/>
        </w:rPr>
        <w:t xml:space="preserve"> G</w:t>
      </w:r>
      <w:r w:rsidR="0032626C">
        <w:rPr>
          <w:rFonts w:ascii="Times New Roman" w:hAnsi="Times New Roman"/>
          <w:sz w:val="24"/>
          <w:szCs w:val="24"/>
        </w:rPr>
        <w:t>.</w:t>
      </w:r>
      <w:r w:rsidRPr="00117B28">
        <w:rPr>
          <w:rFonts w:ascii="Times New Roman" w:hAnsi="Times New Roman"/>
          <w:sz w:val="24"/>
          <w:szCs w:val="24"/>
        </w:rPr>
        <w:t>A</w:t>
      </w:r>
      <w:r w:rsidR="0032626C">
        <w:rPr>
          <w:rFonts w:ascii="Times New Roman" w:hAnsi="Times New Roman"/>
          <w:sz w:val="24"/>
          <w:szCs w:val="24"/>
        </w:rPr>
        <w:t>.</w:t>
      </w:r>
      <w:r w:rsidRPr="00117B28">
        <w:rPr>
          <w:rFonts w:ascii="Times New Roman" w:hAnsi="Times New Roman"/>
          <w:sz w:val="24"/>
          <w:szCs w:val="24"/>
        </w:rPr>
        <w:t>, O’Neil</w:t>
      </w:r>
      <w:r w:rsidR="0008117A">
        <w:rPr>
          <w:rFonts w:ascii="Times New Roman" w:hAnsi="Times New Roman"/>
          <w:sz w:val="24"/>
          <w:szCs w:val="24"/>
        </w:rPr>
        <w:t>,</w:t>
      </w:r>
      <w:r w:rsidRPr="00117B28">
        <w:rPr>
          <w:rFonts w:ascii="Times New Roman" w:hAnsi="Times New Roman"/>
          <w:sz w:val="24"/>
          <w:szCs w:val="24"/>
        </w:rPr>
        <w:t xml:space="preserve"> M</w:t>
      </w:r>
      <w:r w:rsidR="0032626C">
        <w:rPr>
          <w:rFonts w:ascii="Times New Roman" w:hAnsi="Times New Roman"/>
          <w:sz w:val="24"/>
          <w:szCs w:val="24"/>
        </w:rPr>
        <w:t>.</w:t>
      </w:r>
      <w:r w:rsidRPr="00117B28">
        <w:rPr>
          <w:rFonts w:ascii="Times New Roman" w:hAnsi="Times New Roman"/>
          <w:sz w:val="24"/>
          <w:szCs w:val="24"/>
        </w:rPr>
        <w:t>G</w:t>
      </w:r>
      <w:r w:rsidR="0032626C">
        <w:rPr>
          <w:rFonts w:ascii="Times New Roman" w:hAnsi="Times New Roman"/>
          <w:sz w:val="24"/>
          <w:szCs w:val="24"/>
        </w:rPr>
        <w:t>.</w:t>
      </w:r>
      <w:r w:rsidRPr="00117B28">
        <w:rPr>
          <w:rFonts w:ascii="Times New Roman" w:hAnsi="Times New Roman"/>
          <w:sz w:val="24"/>
          <w:szCs w:val="24"/>
        </w:rPr>
        <w:t>, Kulich</w:t>
      </w:r>
      <w:r w:rsidR="0008117A">
        <w:rPr>
          <w:rFonts w:ascii="Times New Roman" w:hAnsi="Times New Roman"/>
          <w:sz w:val="24"/>
          <w:szCs w:val="24"/>
        </w:rPr>
        <w:t>,</w:t>
      </w:r>
      <w:r w:rsidRPr="00117B28">
        <w:rPr>
          <w:rFonts w:ascii="Times New Roman" w:hAnsi="Times New Roman"/>
          <w:sz w:val="24"/>
          <w:szCs w:val="24"/>
        </w:rPr>
        <w:t xml:space="preserve"> R</w:t>
      </w:r>
      <w:r w:rsidR="0032626C">
        <w:rPr>
          <w:rFonts w:ascii="Times New Roman" w:hAnsi="Times New Roman"/>
          <w:sz w:val="24"/>
          <w:szCs w:val="24"/>
        </w:rPr>
        <w:t>.</w:t>
      </w:r>
      <w:r w:rsidRPr="00117B28">
        <w:rPr>
          <w:rFonts w:ascii="Times New Roman" w:hAnsi="Times New Roman"/>
          <w:sz w:val="24"/>
          <w:szCs w:val="24"/>
        </w:rPr>
        <w:t>J</w:t>
      </w:r>
      <w:r w:rsidR="0032626C">
        <w:rPr>
          <w:rFonts w:ascii="Times New Roman" w:hAnsi="Times New Roman"/>
          <w:sz w:val="24"/>
          <w:szCs w:val="24"/>
        </w:rPr>
        <w:t>.</w:t>
      </w:r>
      <w:r w:rsidRPr="00117B28">
        <w:rPr>
          <w:rFonts w:ascii="Times New Roman" w:hAnsi="Times New Roman"/>
          <w:sz w:val="24"/>
          <w:szCs w:val="24"/>
        </w:rPr>
        <w:t>, Moore</w:t>
      </w:r>
      <w:r w:rsidR="0008117A">
        <w:rPr>
          <w:rFonts w:ascii="Times New Roman" w:hAnsi="Times New Roman"/>
          <w:sz w:val="24"/>
          <w:szCs w:val="24"/>
        </w:rPr>
        <w:t>,</w:t>
      </w:r>
      <w:r w:rsidRPr="00117B28">
        <w:rPr>
          <w:rFonts w:ascii="Times New Roman" w:hAnsi="Times New Roman"/>
          <w:sz w:val="24"/>
          <w:szCs w:val="24"/>
        </w:rPr>
        <w:t xml:space="preserve"> P</w:t>
      </w:r>
      <w:r w:rsidR="0032626C">
        <w:rPr>
          <w:rFonts w:ascii="Times New Roman" w:hAnsi="Times New Roman"/>
          <w:sz w:val="24"/>
          <w:szCs w:val="24"/>
        </w:rPr>
        <w:t>.</w:t>
      </w:r>
      <w:r w:rsidRPr="00117B28">
        <w:rPr>
          <w:rFonts w:ascii="Times New Roman" w:hAnsi="Times New Roman"/>
          <w:sz w:val="24"/>
          <w:szCs w:val="24"/>
        </w:rPr>
        <w:t>A</w:t>
      </w:r>
      <w:r w:rsidR="0032626C">
        <w:rPr>
          <w:rFonts w:ascii="Times New Roman" w:hAnsi="Times New Roman"/>
          <w:sz w:val="24"/>
          <w:szCs w:val="24"/>
        </w:rPr>
        <w:t>.</w:t>
      </w:r>
      <w:r w:rsidRPr="00117B28">
        <w:rPr>
          <w:rFonts w:ascii="Times New Roman" w:hAnsi="Times New Roman"/>
          <w:sz w:val="24"/>
          <w:szCs w:val="24"/>
        </w:rPr>
        <w:t>, Kane</w:t>
      </w:r>
      <w:r w:rsidR="0008117A">
        <w:rPr>
          <w:rFonts w:ascii="Times New Roman" w:hAnsi="Times New Roman"/>
          <w:sz w:val="24"/>
          <w:szCs w:val="24"/>
        </w:rPr>
        <w:t>,</w:t>
      </w:r>
      <w:r w:rsidRPr="00117B28">
        <w:rPr>
          <w:rFonts w:ascii="Times New Roman" w:hAnsi="Times New Roman"/>
          <w:sz w:val="24"/>
          <w:szCs w:val="24"/>
        </w:rPr>
        <w:t xml:space="preserve"> W</w:t>
      </w:r>
      <w:r w:rsidR="0032626C">
        <w:rPr>
          <w:rFonts w:ascii="Times New Roman" w:hAnsi="Times New Roman"/>
          <w:sz w:val="24"/>
          <w:szCs w:val="24"/>
        </w:rPr>
        <w:t>.</w:t>
      </w:r>
      <w:r w:rsidRPr="00117B28">
        <w:rPr>
          <w:rFonts w:ascii="Times New Roman" w:hAnsi="Times New Roman"/>
          <w:sz w:val="24"/>
          <w:szCs w:val="24"/>
        </w:rPr>
        <w:t>T</w:t>
      </w:r>
      <w:r w:rsidR="0032626C">
        <w:rPr>
          <w:rFonts w:ascii="Times New Roman" w:hAnsi="Times New Roman"/>
          <w:sz w:val="24"/>
          <w:szCs w:val="24"/>
        </w:rPr>
        <w:t>.</w:t>
      </w:r>
      <w:r w:rsidRPr="00117B28">
        <w:rPr>
          <w:rFonts w:ascii="Times New Roman" w:hAnsi="Times New Roman"/>
          <w:sz w:val="24"/>
          <w:szCs w:val="24"/>
        </w:rPr>
        <w:t>, Mehta</w:t>
      </w:r>
      <w:r w:rsidR="0008117A">
        <w:rPr>
          <w:rFonts w:ascii="Times New Roman" w:hAnsi="Times New Roman"/>
          <w:sz w:val="24"/>
          <w:szCs w:val="24"/>
        </w:rPr>
        <w:t>,</w:t>
      </w:r>
      <w:r w:rsidRPr="00117B28">
        <w:rPr>
          <w:rFonts w:ascii="Times New Roman" w:hAnsi="Times New Roman"/>
          <w:sz w:val="24"/>
          <w:szCs w:val="24"/>
        </w:rPr>
        <w:t xml:space="preserve"> N</w:t>
      </w:r>
      <w:r w:rsidR="0032626C">
        <w:rPr>
          <w:rFonts w:ascii="Times New Roman" w:hAnsi="Times New Roman"/>
          <w:sz w:val="24"/>
          <w:szCs w:val="24"/>
        </w:rPr>
        <w:t>.</w:t>
      </w:r>
      <w:r w:rsidRPr="00117B28">
        <w:rPr>
          <w:rFonts w:ascii="Times New Roman" w:hAnsi="Times New Roman"/>
          <w:sz w:val="24"/>
          <w:szCs w:val="24"/>
        </w:rPr>
        <w:t>R</w:t>
      </w:r>
      <w:r w:rsidR="0032626C">
        <w:rPr>
          <w:rFonts w:ascii="Times New Roman" w:hAnsi="Times New Roman"/>
          <w:sz w:val="24"/>
          <w:szCs w:val="24"/>
        </w:rPr>
        <w:t>.</w:t>
      </w:r>
      <w:r w:rsidRPr="00117B28">
        <w:rPr>
          <w:rFonts w:ascii="Times New Roman" w:hAnsi="Times New Roman"/>
          <w:sz w:val="24"/>
          <w:szCs w:val="24"/>
        </w:rPr>
        <w:t xml:space="preserve">, </w:t>
      </w:r>
      <w:proofErr w:type="spellStart"/>
      <w:r w:rsidRPr="00117B28">
        <w:rPr>
          <w:rFonts w:ascii="Times New Roman" w:hAnsi="Times New Roman"/>
          <w:sz w:val="24"/>
          <w:szCs w:val="24"/>
        </w:rPr>
        <w:t>Hersh</w:t>
      </w:r>
      <w:proofErr w:type="spellEnd"/>
      <w:r w:rsidR="0008117A">
        <w:rPr>
          <w:rFonts w:ascii="Times New Roman" w:hAnsi="Times New Roman"/>
          <w:sz w:val="24"/>
          <w:szCs w:val="24"/>
        </w:rPr>
        <w:t>,</w:t>
      </w:r>
      <w:r w:rsidRPr="00117B28">
        <w:rPr>
          <w:rFonts w:ascii="Times New Roman" w:hAnsi="Times New Roman"/>
          <w:sz w:val="24"/>
          <w:szCs w:val="24"/>
        </w:rPr>
        <w:t xml:space="preserve"> E</w:t>
      </w:r>
      <w:r w:rsidR="0032626C">
        <w:rPr>
          <w:rFonts w:ascii="Times New Roman" w:hAnsi="Times New Roman"/>
          <w:sz w:val="24"/>
          <w:szCs w:val="24"/>
        </w:rPr>
        <w:t>.</w:t>
      </w:r>
      <w:r w:rsidRPr="00117B28">
        <w:rPr>
          <w:rFonts w:ascii="Times New Roman" w:hAnsi="Times New Roman"/>
          <w:sz w:val="24"/>
          <w:szCs w:val="24"/>
        </w:rPr>
        <w:t>V</w:t>
      </w:r>
      <w:r w:rsidR="0032626C">
        <w:rPr>
          <w:rFonts w:ascii="Times New Roman" w:hAnsi="Times New Roman"/>
          <w:sz w:val="24"/>
          <w:szCs w:val="24"/>
        </w:rPr>
        <w:t>.</w:t>
      </w:r>
      <w:r w:rsidRPr="00117B28">
        <w:rPr>
          <w:rFonts w:ascii="Times New Roman" w:hAnsi="Times New Roman"/>
          <w:sz w:val="24"/>
          <w:szCs w:val="24"/>
        </w:rPr>
        <w:t xml:space="preserve">, </w:t>
      </w:r>
      <w:r w:rsidR="0032626C">
        <w:rPr>
          <w:rFonts w:ascii="Times New Roman" w:hAnsi="Times New Roman"/>
          <w:sz w:val="24"/>
          <w:szCs w:val="24"/>
        </w:rPr>
        <w:t xml:space="preserve"> &amp; </w:t>
      </w:r>
      <w:r w:rsidRPr="00117B28">
        <w:rPr>
          <w:rFonts w:ascii="Times New Roman" w:hAnsi="Times New Roman"/>
          <w:sz w:val="24"/>
          <w:szCs w:val="24"/>
        </w:rPr>
        <w:t>Katz</w:t>
      </w:r>
      <w:r w:rsidR="0008117A">
        <w:rPr>
          <w:rFonts w:ascii="Times New Roman" w:hAnsi="Times New Roman"/>
          <w:sz w:val="24"/>
          <w:szCs w:val="24"/>
        </w:rPr>
        <w:t>,</w:t>
      </w:r>
      <w:r w:rsidRPr="00117B28">
        <w:rPr>
          <w:rFonts w:ascii="Times New Roman" w:hAnsi="Times New Roman"/>
          <w:sz w:val="24"/>
          <w:szCs w:val="24"/>
        </w:rPr>
        <w:t xml:space="preserve"> N. (2011) Prevention of prescription opioid abuse: The role of the dentist.  </w:t>
      </w:r>
      <w:proofErr w:type="gramStart"/>
      <w:r w:rsidRPr="00117B28">
        <w:rPr>
          <w:rFonts w:ascii="Times New Roman" w:hAnsi="Times New Roman"/>
          <w:sz w:val="24"/>
          <w:szCs w:val="24"/>
        </w:rPr>
        <w:t>Journal of the American Dental Association.</w:t>
      </w:r>
      <w:proofErr w:type="gramEnd"/>
      <w:r w:rsidRPr="00117B28">
        <w:rPr>
          <w:rFonts w:ascii="Times New Roman" w:hAnsi="Times New Roman"/>
          <w:sz w:val="24"/>
          <w:szCs w:val="24"/>
        </w:rPr>
        <w:t xml:space="preserve"> 142, 7</w:t>
      </w:r>
      <w:proofErr w:type="gramStart"/>
      <w:r w:rsidRPr="00117B28">
        <w:rPr>
          <w:rFonts w:ascii="Times New Roman" w:hAnsi="Times New Roman"/>
          <w:sz w:val="24"/>
          <w:szCs w:val="24"/>
        </w:rPr>
        <w:t>,  800</w:t>
      </w:r>
      <w:proofErr w:type="gramEnd"/>
      <w:r w:rsidRPr="00117B28">
        <w:rPr>
          <w:rFonts w:ascii="Times New Roman" w:hAnsi="Times New Roman"/>
          <w:sz w:val="24"/>
          <w:szCs w:val="24"/>
        </w:rPr>
        <w:t>-810.</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Federation of State Medical Boards.</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(2013). Model Policy on the Use of Opioid Analgesics in the Treatment of Pain.</w:t>
      </w:r>
      <w:proofErr w:type="gramEnd"/>
      <w:r w:rsidRPr="009F437E">
        <w:rPr>
          <w:rFonts w:ascii="Times New Roman" w:hAnsi="Times New Roman"/>
          <w:sz w:val="24"/>
          <w:szCs w:val="24"/>
        </w:rPr>
        <w:t xml:space="preserve"> http://www.fsmb.org/Media/Default/PDF/FSMB/Advocacy/pain_policy_july2013.pdf</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9F437E">
        <w:rPr>
          <w:rFonts w:ascii="Times New Roman" w:hAnsi="Times New Roman"/>
          <w:sz w:val="24"/>
          <w:szCs w:val="24"/>
        </w:rPr>
        <w:t xml:space="preserve">Fishman, S. M., Young, H. M., Lucas </w:t>
      </w:r>
      <w:proofErr w:type="spellStart"/>
      <w:r w:rsidRPr="009F437E">
        <w:rPr>
          <w:rFonts w:ascii="Times New Roman" w:hAnsi="Times New Roman"/>
          <w:sz w:val="24"/>
          <w:szCs w:val="24"/>
        </w:rPr>
        <w:t>Arwood</w:t>
      </w:r>
      <w:proofErr w:type="spellEnd"/>
      <w:r w:rsidRPr="009F437E">
        <w:rPr>
          <w:rFonts w:ascii="Times New Roman" w:hAnsi="Times New Roman"/>
          <w:sz w:val="24"/>
          <w:szCs w:val="24"/>
        </w:rPr>
        <w:t xml:space="preserve">, E., Chou, R., Herr, K., </w:t>
      </w:r>
      <w:proofErr w:type="spellStart"/>
      <w:r w:rsidRPr="009F437E">
        <w:rPr>
          <w:rFonts w:ascii="Times New Roman" w:hAnsi="Times New Roman"/>
          <w:sz w:val="24"/>
          <w:szCs w:val="24"/>
        </w:rPr>
        <w:t>Murinson</w:t>
      </w:r>
      <w:proofErr w:type="spellEnd"/>
      <w:r w:rsidRPr="009F437E">
        <w:rPr>
          <w:rFonts w:ascii="Times New Roman" w:hAnsi="Times New Roman"/>
          <w:sz w:val="24"/>
          <w:szCs w:val="24"/>
        </w:rPr>
        <w:t>, B. B</w:t>
      </w:r>
      <w:proofErr w:type="gramStart"/>
      <w:r w:rsidRPr="009F437E">
        <w:rPr>
          <w:rFonts w:ascii="Times New Roman" w:hAnsi="Times New Roman"/>
          <w:sz w:val="24"/>
          <w:szCs w:val="24"/>
        </w:rPr>
        <w:t>., . . .</w:t>
      </w:r>
      <w:proofErr w:type="gramEnd"/>
      <w:r w:rsidRPr="009F437E">
        <w:rPr>
          <w:rFonts w:ascii="Times New Roman" w:hAnsi="Times New Roman"/>
          <w:sz w:val="24"/>
          <w:szCs w:val="24"/>
        </w:rPr>
        <w:t xml:space="preserve"> </w:t>
      </w:r>
      <w:proofErr w:type="spellStart"/>
      <w:r w:rsidRPr="009F437E">
        <w:rPr>
          <w:rFonts w:ascii="Times New Roman" w:hAnsi="Times New Roman"/>
          <w:sz w:val="24"/>
          <w:szCs w:val="24"/>
        </w:rPr>
        <w:t>Strassels</w:t>
      </w:r>
      <w:proofErr w:type="spellEnd"/>
      <w:r w:rsidRPr="009F437E">
        <w:rPr>
          <w:rFonts w:ascii="Times New Roman" w:hAnsi="Times New Roman"/>
          <w:sz w:val="24"/>
          <w:szCs w:val="24"/>
        </w:rPr>
        <w:t xml:space="preserve">, S. A. (2013). Core competencies for pain management: results of an </w:t>
      </w:r>
      <w:proofErr w:type="spellStart"/>
      <w:r w:rsidRPr="009F437E">
        <w:rPr>
          <w:rFonts w:ascii="Times New Roman" w:hAnsi="Times New Roman"/>
          <w:sz w:val="24"/>
          <w:szCs w:val="24"/>
        </w:rPr>
        <w:t>interprofessional</w:t>
      </w:r>
      <w:proofErr w:type="spellEnd"/>
      <w:r w:rsidRPr="009F437E">
        <w:rPr>
          <w:rFonts w:ascii="Times New Roman" w:hAnsi="Times New Roman"/>
          <w:sz w:val="24"/>
          <w:szCs w:val="24"/>
        </w:rPr>
        <w:t xml:space="preserve"> consensus summit. </w:t>
      </w:r>
      <w:r w:rsidRPr="009F437E">
        <w:rPr>
          <w:rFonts w:ascii="Times New Roman" w:hAnsi="Times New Roman"/>
          <w:i/>
          <w:iCs/>
          <w:sz w:val="24"/>
          <w:szCs w:val="24"/>
        </w:rPr>
        <w:t>Pain Med, 14</w:t>
      </w:r>
      <w:r w:rsidRPr="009F437E">
        <w:rPr>
          <w:rFonts w:ascii="Times New Roman" w:hAnsi="Times New Roman"/>
          <w:sz w:val="24"/>
          <w:szCs w:val="24"/>
        </w:rPr>
        <w:t xml:space="preserve">(7), 971-981.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10.1111/pme.12107 http://www.ncbi.nlm.nih.gov/pubmed/23577878</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lastRenderedPageBreak/>
        <w:t xml:space="preserve">Friedman, R., Li, V., &amp; </w:t>
      </w:r>
      <w:proofErr w:type="spellStart"/>
      <w:r w:rsidRPr="009F437E">
        <w:rPr>
          <w:rFonts w:ascii="Times New Roman" w:hAnsi="Times New Roman"/>
          <w:sz w:val="24"/>
          <w:szCs w:val="24"/>
        </w:rPr>
        <w:t>Mehrotra</w:t>
      </w:r>
      <w:proofErr w:type="spellEnd"/>
      <w:r w:rsidRPr="009F437E">
        <w:rPr>
          <w:rFonts w:ascii="Times New Roman" w:hAnsi="Times New Roman"/>
          <w:sz w:val="24"/>
          <w:szCs w:val="24"/>
        </w:rPr>
        <w:t>, D. (2003).</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Treating pain patients at risk: evaluation of a screening tool in opioid-treated pain patients with and without addiction.</w:t>
      </w:r>
      <w:proofErr w:type="gramEnd"/>
      <w:r w:rsidRPr="009F437E">
        <w:rPr>
          <w:rFonts w:ascii="Times New Roman" w:hAnsi="Times New Roman"/>
          <w:sz w:val="24"/>
          <w:szCs w:val="24"/>
        </w:rPr>
        <w:t xml:space="preserve"> </w:t>
      </w:r>
      <w:r w:rsidRPr="009F437E">
        <w:rPr>
          <w:rFonts w:ascii="Times New Roman" w:hAnsi="Times New Roman"/>
          <w:i/>
          <w:iCs/>
          <w:sz w:val="24"/>
          <w:szCs w:val="24"/>
        </w:rPr>
        <w:t>Pain Med, 4</w:t>
      </w:r>
      <w:r w:rsidRPr="009F437E">
        <w:rPr>
          <w:rFonts w:ascii="Times New Roman" w:hAnsi="Times New Roman"/>
          <w:sz w:val="24"/>
          <w:szCs w:val="24"/>
        </w:rPr>
        <w:t>(2), 182-185. http://www.ncbi.nlm.nih.gov/pubmed/12873264</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 xml:space="preserve">Gonzalez, G., </w:t>
      </w:r>
      <w:proofErr w:type="spellStart"/>
      <w:r w:rsidRPr="009F437E">
        <w:rPr>
          <w:rFonts w:ascii="Times New Roman" w:hAnsi="Times New Roman"/>
          <w:sz w:val="24"/>
          <w:szCs w:val="24"/>
        </w:rPr>
        <w:t>Oliveto</w:t>
      </w:r>
      <w:proofErr w:type="spellEnd"/>
      <w:r w:rsidRPr="009F437E">
        <w:rPr>
          <w:rFonts w:ascii="Times New Roman" w:hAnsi="Times New Roman"/>
          <w:sz w:val="24"/>
          <w:szCs w:val="24"/>
        </w:rPr>
        <w:t xml:space="preserve">, A., &amp; </w:t>
      </w:r>
      <w:proofErr w:type="spellStart"/>
      <w:r w:rsidRPr="009F437E">
        <w:rPr>
          <w:rFonts w:ascii="Times New Roman" w:hAnsi="Times New Roman"/>
          <w:sz w:val="24"/>
          <w:szCs w:val="24"/>
        </w:rPr>
        <w:t>Kosten</w:t>
      </w:r>
      <w:proofErr w:type="spellEnd"/>
      <w:r w:rsidRPr="009F437E">
        <w:rPr>
          <w:rFonts w:ascii="Times New Roman" w:hAnsi="Times New Roman"/>
          <w:sz w:val="24"/>
          <w:szCs w:val="24"/>
        </w:rPr>
        <w:t>, T. R. (2004).</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Combating opiate dependence: a comparison among the available pharmacological options.</w:t>
      </w:r>
      <w:proofErr w:type="gramEnd"/>
      <w:r w:rsidRPr="009F437E">
        <w:rPr>
          <w:rFonts w:ascii="Times New Roman" w:hAnsi="Times New Roman"/>
          <w:sz w:val="24"/>
          <w:szCs w:val="24"/>
        </w:rPr>
        <w:t xml:space="preserve"> </w:t>
      </w:r>
      <w:r w:rsidRPr="009F437E">
        <w:rPr>
          <w:rFonts w:ascii="Times New Roman" w:hAnsi="Times New Roman"/>
          <w:i/>
          <w:iCs/>
          <w:sz w:val="24"/>
          <w:szCs w:val="24"/>
        </w:rPr>
        <w:t>Expert Opinion on Pharmacotherapy, 5</w:t>
      </w:r>
      <w:r w:rsidRPr="009F437E">
        <w:rPr>
          <w:rFonts w:ascii="Times New Roman" w:hAnsi="Times New Roman"/>
          <w:sz w:val="24"/>
          <w:szCs w:val="24"/>
        </w:rPr>
        <w:t>(4), 713-725. http://www.tandfonline.com/doi/abs/10.1517/14656566.5.4.713</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proofErr w:type="gramStart"/>
      <w:r w:rsidRPr="009F437E">
        <w:rPr>
          <w:rFonts w:ascii="Times New Roman" w:hAnsi="Times New Roman"/>
          <w:sz w:val="24"/>
          <w:szCs w:val="24"/>
        </w:rPr>
        <w:t>Goodair</w:t>
      </w:r>
      <w:proofErr w:type="spellEnd"/>
      <w:r w:rsidRPr="009F437E">
        <w:rPr>
          <w:rFonts w:ascii="Times New Roman" w:hAnsi="Times New Roman"/>
          <w:sz w:val="24"/>
          <w:szCs w:val="24"/>
        </w:rPr>
        <w:t xml:space="preserve">, C., &amp; </w:t>
      </w:r>
      <w:proofErr w:type="spellStart"/>
      <w:r w:rsidRPr="009F437E">
        <w:rPr>
          <w:rFonts w:ascii="Times New Roman" w:hAnsi="Times New Roman"/>
          <w:sz w:val="24"/>
          <w:szCs w:val="24"/>
        </w:rPr>
        <w:t>Crome</w:t>
      </w:r>
      <w:proofErr w:type="spellEnd"/>
      <w:r w:rsidRPr="009F437E">
        <w:rPr>
          <w:rFonts w:ascii="Times New Roman" w:hAnsi="Times New Roman"/>
          <w:sz w:val="24"/>
          <w:szCs w:val="24"/>
        </w:rPr>
        <w:t>, I. (2014).</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Improving the Landscape of Substance Misuse Teaching in Undergraduate Medical Education in English Medical Schools from Concept to Implementation.</w:t>
      </w:r>
      <w:proofErr w:type="gramEnd"/>
      <w:r w:rsidRPr="009F437E">
        <w:rPr>
          <w:rFonts w:ascii="Times New Roman" w:hAnsi="Times New Roman"/>
          <w:sz w:val="24"/>
          <w:szCs w:val="24"/>
        </w:rPr>
        <w:t xml:space="preserve"> </w:t>
      </w:r>
      <w:proofErr w:type="gramStart"/>
      <w:r w:rsidRPr="009F437E">
        <w:rPr>
          <w:rFonts w:ascii="Times New Roman" w:hAnsi="Times New Roman"/>
          <w:i/>
          <w:iCs/>
          <w:sz w:val="24"/>
          <w:szCs w:val="24"/>
        </w:rPr>
        <w:t>Canadian Journal of Addiction, 5</w:t>
      </w:r>
      <w:r w:rsidRPr="009F437E">
        <w:rPr>
          <w:rFonts w:ascii="Times New Roman" w:hAnsi="Times New Roman"/>
          <w:sz w:val="24"/>
          <w:szCs w:val="24"/>
        </w:rPr>
        <w:t>(3), 5.</w:t>
      </w:r>
      <w:proofErr w:type="gramEnd"/>
      <w:r w:rsidRPr="009F437E">
        <w:rPr>
          <w:rFonts w:ascii="Times New Roman" w:hAnsi="Times New Roman"/>
          <w:sz w:val="24"/>
          <w:szCs w:val="24"/>
        </w:rPr>
        <w:t xml:space="preserve"> </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9F437E">
        <w:rPr>
          <w:rFonts w:ascii="Times New Roman" w:hAnsi="Times New Roman"/>
          <w:sz w:val="24"/>
          <w:szCs w:val="24"/>
        </w:rPr>
        <w:t>Gourlay</w:t>
      </w:r>
      <w:proofErr w:type="spellEnd"/>
      <w:r w:rsidRPr="009F437E">
        <w:rPr>
          <w:rFonts w:ascii="Times New Roman" w:hAnsi="Times New Roman"/>
          <w:sz w:val="24"/>
          <w:szCs w:val="24"/>
        </w:rPr>
        <w:t xml:space="preserve">, D. L., &amp; </w:t>
      </w:r>
      <w:proofErr w:type="spellStart"/>
      <w:r w:rsidRPr="009F437E">
        <w:rPr>
          <w:rFonts w:ascii="Times New Roman" w:hAnsi="Times New Roman"/>
          <w:sz w:val="24"/>
          <w:szCs w:val="24"/>
        </w:rPr>
        <w:t>Heit</w:t>
      </w:r>
      <w:proofErr w:type="spellEnd"/>
      <w:r w:rsidRPr="009F437E">
        <w:rPr>
          <w:rFonts w:ascii="Times New Roman" w:hAnsi="Times New Roman"/>
          <w:sz w:val="24"/>
          <w:szCs w:val="24"/>
        </w:rPr>
        <w:t xml:space="preserve">, H. A. (2009). Universal precautions revisited: managing the inherited pain patient. </w:t>
      </w:r>
      <w:proofErr w:type="gramStart"/>
      <w:r w:rsidRPr="009F437E">
        <w:rPr>
          <w:rFonts w:ascii="Times New Roman" w:hAnsi="Times New Roman"/>
          <w:i/>
          <w:iCs/>
          <w:sz w:val="24"/>
          <w:szCs w:val="24"/>
        </w:rPr>
        <w:t xml:space="preserve">Pain Med, 10 </w:t>
      </w:r>
      <w:proofErr w:type="spellStart"/>
      <w:r w:rsidRPr="009F437E">
        <w:rPr>
          <w:rFonts w:ascii="Times New Roman" w:hAnsi="Times New Roman"/>
          <w:i/>
          <w:iCs/>
          <w:sz w:val="24"/>
          <w:szCs w:val="24"/>
        </w:rPr>
        <w:t>Suppl</w:t>
      </w:r>
      <w:proofErr w:type="spellEnd"/>
      <w:r w:rsidRPr="009F437E">
        <w:rPr>
          <w:rFonts w:ascii="Times New Roman" w:hAnsi="Times New Roman"/>
          <w:i/>
          <w:iCs/>
          <w:sz w:val="24"/>
          <w:szCs w:val="24"/>
        </w:rPr>
        <w:t xml:space="preserve"> 2</w:t>
      </w:r>
      <w:r w:rsidRPr="009F437E">
        <w:rPr>
          <w:rFonts w:ascii="Times New Roman" w:hAnsi="Times New Roman"/>
          <w:sz w:val="24"/>
          <w:szCs w:val="24"/>
        </w:rPr>
        <w:t>, S115-123.</w:t>
      </w:r>
      <w:proofErr w:type="gramEnd"/>
      <w:r w:rsidRPr="009F437E">
        <w:rPr>
          <w:rFonts w:ascii="Times New Roman" w:hAnsi="Times New Roman"/>
          <w:sz w:val="24"/>
          <w:szCs w:val="24"/>
        </w:rPr>
        <w:t xml:space="preserve">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10.1111/j.1526-4637.2009.00671.x http://www.ncbi.nlm.nih.gov/pubmed/19691682</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9F437E">
        <w:rPr>
          <w:rFonts w:ascii="Times New Roman" w:hAnsi="Times New Roman"/>
          <w:sz w:val="24"/>
          <w:szCs w:val="24"/>
        </w:rPr>
        <w:t>Gourlay</w:t>
      </w:r>
      <w:proofErr w:type="spellEnd"/>
      <w:r w:rsidRPr="009F437E">
        <w:rPr>
          <w:rFonts w:ascii="Times New Roman" w:hAnsi="Times New Roman"/>
          <w:sz w:val="24"/>
          <w:szCs w:val="24"/>
        </w:rPr>
        <w:t xml:space="preserve">, D. L., </w:t>
      </w:r>
      <w:proofErr w:type="spellStart"/>
      <w:r w:rsidRPr="009F437E">
        <w:rPr>
          <w:rFonts w:ascii="Times New Roman" w:hAnsi="Times New Roman"/>
          <w:sz w:val="24"/>
          <w:szCs w:val="24"/>
        </w:rPr>
        <w:t>Heit</w:t>
      </w:r>
      <w:proofErr w:type="spellEnd"/>
      <w:r w:rsidRPr="009F437E">
        <w:rPr>
          <w:rFonts w:ascii="Times New Roman" w:hAnsi="Times New Roman"/>
          <w:sz w:val="24"/>
          <w:szCs w:val="24"/>
        </w:rPr>
        <w:t xml:space="preserve">, H. A., &amp; </w:t>
      </w:r>
      <w:proofErr w:type="spellStart"/>
      <w:r w:rsidRPr="009F437E">
        <w:rPr>
          <w:rFonts w:ascii="Times New Roman" w:hAnsi="Times New Roman"/>
          <w:sz w:val="24"/>
          <w:szCs w:val="24"/>
        </w:rPr>
        <w:t>Almahrezi</w:t>
      </w:r>
      <w:proofErr w:type="spellEnd"/>
      <w:r w:rsidRPr="009F437E">
        <w:rPr>
          <w:rFonts w:ascii="Times New Roman" w:hAnsi="Times New Roman"/>
          <w:sz w:val="24"/>
          <w:szCs w:val="24"/>
        </w:rPr>
        <w:t xml:space="preserve">, A. (2005). Universal precautions in pain medicine: a rational approach to the treatment of chronic pain. </w:t>
      </w:r>
      <w:r w:rsidRPr="009F437E">
        <w:rPr>
          <w:rFonts w:ascii="Times New Roman" w:hAnsi="Times New Roman"/>
          <w:i/>
          <w:iCs/>
          <w:sz w:val="24"/>
          <w:szCs w:val="24"/>
        </w:rPr>
        <w:t>Pain Med, 6</w:t>
      </w:r>
      <w:r w:rsidRPr="009F437E">
        <w:rPr>
          <w:rFonts w:ascii="Times New Roman" w:hAnsi="Times New Roman"/>
          <w:sz w:val="24"/>
          <w:szCs w:val="24"/>
        </w:rPr>
        <w:t xml:space="preserve">(2), 107-112.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10.1111/j.1526-4637.2005.05031.x </w:t>
      </w:r>
      <w:r w:rsidRPr="00C924C1">
        <w:rPr>
          <w:rFonts w:ascii="Times New Roman" w:hAnsi="Times New Roman"/>
          <w:sz w:val="24"/>
          <w:szCs w:val="24"/>
        </w:rPr>
        <w:t>http://www.ncbi.nlm.nih.gov/pubmed/15773874</w:t>
      </w:r>
    </w:p>
    <w:p w:rsidR="00C924C1" w:rsidRPr="00C924C1" w:rsidRDefault="00C924C1" w:rsidP="0008117A">
      <w:pPr>
        <w:widowControl w:val="0"/>
        <w:autoSpaceDE w:val="0"/>
        <w:autoSpaceDN w:val="0"/>
        <w:adjustRightInd w:val="0"/>
        <w:spacing w:after="120"/>
        <w:ind w:left="720" w:right="-720" w:hanging="720"/>
        <w:rPr>
          <w:rFonts w:ascii="Times New Roman" w:hAnsi="Times New Roman"/>
          <w:sz w:val="24"/>
          <w:szCs w:val="24"/>
        </w:rPr>
      </w:pPr>
      <w:r>
        <w:rPr>
          <w:rFonts w:ascii="Times New Roman" w:hAnsi="Times New Roman"/>
          <w:sz w:val="24"/>
          <w:szCs w:val="24"/>
        </w:rPr>
        <w:t xml:space="preserve">Governor’s Medical Education Working Group on Prescription Drug Misuse (2015). </w:t>
      </w:r>
      <w:r w:rsidRPr="00C924C1">
        <w:rPr>
          <w:rFonts w:ascii="Times New Roman" w:hAnsi="Times New Roman"/>
          <w:sz w:val="24"/>
          <w:szCs w:val="24"/>
        </w:rPr>
        <w:t>Medical Education Core Competencies for the Prevention and Management of Prescription Drug Misuse:</w:t>
      </w:r>
      <w:r>
        <w:rPr>
          <w:rFonts w:ascii="Times New Roman" w:hAnsi="Times New Roman"/>
          <w:sz w:val="24"/>
          <w:szCs w:val="24"/>
        </w:rPr>
        <w:t xml:space="preserve"> Recommendations from the Governor’s Medical Education Working Group on Prescription Drug Misuse. </w:t>
      </w:r>
      <w:r w:rsidRPr="00C924C1">
        <w:rPr>
          <w:rFonts w:ascii="Times New Roman" w:hAnsi="Times New Roman"/>
          <w:sz w:val="24"/>
          <w:szCs w:val="24"/>
        </w:rPr>
        <w:t>http://www.massmed.org/Patient-Care/Health-Topics/Opioids/Medical-Education-Core-Competencies-for-the-Prevention-and-Management-of-Prescription-Drug-Misuse-(pdf)/</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9F437E">
        <w:rPr>
          <w:rFonts w:ascii="Times New Roman" w:hAnsi="Times New Roman"/>
          <w:sz w:val="24"/>
          <w:szCs w:val="24"/>
        </w:rPr>
        <w:t>Hardisty</w:t>
      </w:r>
      <w:proofErr w:type="spellEnd"/>
      <w:r w:rsidRPr="009F437E">
        <w:rPr>
          <w:rFonts w:ascii="Times New Roman" w:hAnsi="Times New Roman"/>
          <w:sz w:val="24"/>
          <w:szCs w:val="24"/>
        </w:rPr>
        <w:t xml:space="preserve">, J., Scott, L., Chandler, S., Pearson, P., &amp; Powell, S. (2014). </w:t>
      </w:r>
      <w:proofErr w:type="spellStart"/>
      <w:proofErr w:type="gramStart"/>
      <w:r w:rsidRPr="009F437E">
        <w:rPr>
          <w:rFonts w:ascii="Times New Roman" w:hAnsi="Times New Roman"/>
          <w:sz w:val="24"/>
          <w:szCs w:val="24"/>
        </w:rPr>
        <w:t>Interprofessional</w:t>
      </w:r>
      <w:proofErr w:type="spellEnd"/>
      <w:r w:rsidRPr="009F437E">
        <w:rPr>
          <w:rFonts w:ascii="Times New Roman" w:hAnsi="Times New Roman"/>
          <w:sz w:val="24"/>
          <w:szCs w:val="24"/>
        </w:rPr>
        <w:t xml:space="preserve"> learning for medication safety.</w:t>
      </w:r>
      <w:proofErr w:type="gramEnd"/>
      <w:r w:rsidRPr="009F437E">
        <w:rPr>
          <w:rFonts w:ascii="Times New Roman" w:hAnsi="Times New Roman"/>
          <w:sz w:val="24"/>
          <w:szCs w:val="24"/>
        </w:rPr>
        <w:t xml:space="preserve"> </w:t>
      </w:r>
      <w:proofErr w:type="spellStart"/>
      <w:r w:rsidRPr="009F437E">
        <w:rPr>
          <w:rFonts w:ascii="Times New Roman" w:hAnsi="Times New Roman"/>
          <w:i/>
          <w:iCs/>
          <w:sz w:val="24"/>
          <w:szCs w:val="24"/>
        </w:rPr>
        <w:t>Clin</w:t>
      </w:r>
      <w:proofErr w:type="spellEnd"/>
      <w:r w:rsidRPr="009F437E">
        <w:rPr>
          <w:rFonts w:ascii="Times New Roman" w:hAnsi="Times New Roman"/>
          <w:i/>
          <w:iCs/>
          <w:sz w:val="24"/>
          <w:szCs w:val="24"/>
        </w:rPr>
        <w:t xml:space="preserve"> Teach, 11</w:t>
      </w:r>
      <w:r w:rsidRPr="009F437E">
        <w:rPr>
          <w:rFonts w:ascii="Times New Roman" w:hAnsi="Times New Roman"/>
          <w:sz w:val="24"/>
          <w:szCs w:val="24"/>
        </w:rPr>
        <w:t xml:space="preserve">(4), 290-296.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10.1111/tct.12148 http://www.ncbi.nlm.nih.gov/pubmed/24917099</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9F437E">
        <w:rPr>
          <w:rFonts w:ascii="Times New Roman" w:hAnsi="Times New Roman"/>
          <w:sz w:val="24"/>
          <w:szCs w:val="24"/>
        </w:rPr>
        <w:t xml:space="preserve">Jackson, A. H., Alford, D. P., </w:t>
      </w:r>
      <w:proofErr w:type="spellStart"/>
      <w:r w:rsidRPr="009F437E">
        <w:rPr>
          <w:rFonts w:ascii="Times New Roman" w:hAnsi="Times New Roman"/>
          <w:sz w:val="24"/>
          <w:szCs w:val="24"/>
        </w:rPr>
        <w:t>Dube</w:t>
      </w:r>
      <w:proofErr w:type="spellEnd"/>
      <w:r w:rsidRPr="009F437E">
        <w:rPr>
          <w:rFonts w:ascii="Times New Roman" w:hAnsi="Times New Roman"/>
          <w:sz w:val="24"/>
          <w:szCs w:val="24"/>
        </w:rPr>
        <w:t xml:space="preserve">, C. E., &amp; Saitz, R. (2010). Internal medicine residency training for unhealthy alcohol and other drug use: recommendations for curriculum design. </w:t>
      </w:r>
      <w:proofErr w:type="gramStart"/>
      <w:r w:rsidRPr="009F437E">
        <w:rPr>
          <w:rFonts w:ascii="Times New Roman" w:hAnsi="Times New Roman"/>
          <w:i/>
          <w:iCs/>
          <w:sz w:val="24"/>
          <w:szCs w:val="24"/>
        </w:rPr>
        <w:t xml:space="preserve">BMC Med </w:t>
      </w:r>
      <w:proofErr w:type="spellStart"/>
      <w:r w:rsidRPr="009F437E">
        <w:rPr>
          <w:rFonts w:ascii="Times New Roman" w:hAnsi="Times New Roman"/>
          <w:i/>
          <w:iCs/>
          <w:sz w:val="24"/>
          <w:szCs w:val="24"/>
        </w:rPr>
        <w:t>Educ</w:t>
      </w:r>
      <w:proofErr w:type="spellEnd"/>
      <w:r w:rsidRPr="009F437E">
        <w:rPr>
          <w:rFonts w:ascii="Times New Roman" w:hAnsi="Times New Roman"/>
          <w:i/>
          <w:iCs/>
          <w:sz w:val="24"/>
          <w:szCs w:val="24"/>
        </w:rPr>
        <w:t>, 10</w:t>
      </w:r>
      <w:r w:rsidRPr="009F437E">
        <w:rPr>
          <w:rFonts w:ascii="Times New Roman" w:hAnsi="Times New Roman"/>
          <w:sz w:val="24"/>
          <w:szCs w:val="24"/>
        </w:rPr>
        <w:t>, 22.</w:t>
      </w:r>
      <w:proofErr w:type="gramEnd"/>
      <w:r w:rsidRPr="009F437E">
        <w:rPr>
          <w:rFonts w:ascii="Times New Roman" w:hAnsi="Times New Roman"/>
          <w:sz w:val="24"/>
          <w:szCs w:val="24"/>
        </w:rPr>
        <w:t xml:space="preserve">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10.1186/1472-6920-10-22 http://www.ncbi.nlm.nih.gov/pubmed/20230607</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proofErr w:type="gramStart"/>
      <w:r w:rsidRPr="009F437E">
        <w:rPr>
          <w:rFonts w:ascii="Times New Roman" w:hAnsi="Times New Roman"/>
          <w:sz w:val="24"/>
          <w:szCs w:val="24"/>
        </w:rPr>
        <w:t>Kampman</w:t>
      </w:r>
      <w:proofErr w:type="spellEnd"/>
      <w:r w:rsidRPr="009F437E">
        <w:rPr>
          <w:rFonts w:ascii="Times New Roman" w:hAnsi="Times New Roman"/>
          <w:sz w:val="24"/>
          <w:szCs w:val="24"/>
        </w:rPr>
        <w:t>, K., &amp; Jarvis, M. (2015).</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American Society of Addiction Medicine (ASAM) National Practice Guideline for the Use of Medications in the Treatment of Addiction Involving Opioid Use.</w:t>
      </w:r>
      <w:proofErr w:type="gramEnd"/>
      <w:r w:rsidRPr="009F437E">
        <w:rPr>
          <w:rFonts w:ascii="Times New Roman" w:hAnsi="Times New Roman"/>
          <w:sz w:val="24"/>
          <w:szCs w:val="24"/>
        </w:rPr>
        <w:t xml:space="preserve"> </w:t>
      </w:r>
      <w:r w:rsidRPr="009F437E">
        <w:rPr>
          <w:rFonts w:ascii="Times New Roman" w:hAnsi="Times New Roman"/>
          <w:i/>
          <w:iCs/>
          <w:sz w:val="24"/>
          <w:szCs w:val="24"/>
        </w:rPr>
        <w:t>J Addict Med, 9</w:t>
      </w:r>
      <w:r w:rsidRPr="009F437E">
        <w:rPr>
          <w:rFonts w:ascii="Times New Roman" w:hAnsi="Times New Roman"/>
          <w:sz w:val="24"/>
          <w:szCs w:val="24"/>
        </w:rPr>
        <w:t xml:space="preserve">(5), 358-367.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10.1097/ADM.0000000000000166 </w:t>
      </w:r>
      <w:r w:rsidRPr="00E72C31">
        <w:rPr>
          <w:rFonts w:ascii="Times New Roman" w:hAnsi="Times New Roman"/>
          <w:sz w:val="24"/>
          <w:szCs w:val="24"/>
        </w:rPr>
        <w:t>http://www.ncbi.nlm.nih.gov/pubmed/26406300</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Keith</w:t>
      </w:r>
      <w:r w:rsidR="0008117A">
        <w:rPr>
          <w:rFonts w:ascii="Times New Roman" w:hAnsi="Times New Roman"/>
          <w:sz w:val="24"/>
          <w:szCs w:val="24"/>
        </w:rPr>
        <w:t>,</w:t>
      </w:r>
      <w:r w:rsidRPr="00117B28">
        <w:rPr>
          <w:rFonts w:ascii="Times New Roman" w:hAnsi="Times New Roman"/>
          <w:sz w:val="24"/>
          <w:szCs w:val="24"/>
        </w:rPr>
        <w:t xml:space="preserve"> D</w:t>
      </w:r>
      <w:r w:rsidR="0032626C">
        <w:rPr>
          <w:rFonts w:ascii="Times New Roman" w:hAnsi="Times New Roman"/>
          <w:sz w:val="24"/>
          <w:szCs w:val="24"/>
        </w:rPr>
        <w:t>.</w:t>
      </w:r>
      <w:r w:rsidRPr="00117B28">
        <w:rPr>
          <w:rFonts w:ascii="Times New Roman" w:hAnsi="Times New Roman"/>
          <w:sz w:val="24"/>
          <w:szCs w:val="24"/>
        </w:rPr>
        <w:t xml:space="preserve">A. (2015) </w:t>
      </w:r>
      <w:proofErr w:type="gramStart"/>
      <w:r w:rsidRPr="00117B28">
        <w:rPr>
          <w:rFonts w:ascii="Times New Roman" w:hAnsi="Times New Roman"/>
          <w:sz w:val="24"/>
          <w:szCs w:val="24"/>
        </w:rPr>
        <w:t>The</w:t>
      </w:r>
      <w:proofErr w:type="gramEnd"/>
      <w:r w:rsidRPr="00117B28">
        <w:rPr>
          <w:rFonts w:ascii="Times New Roman" w:hAnsi="Times New Roman"/>
          <w:sz w:val="24"/>
          <w:szCs w:val="24"/>
        </w:rPr>
        <w:t xml:space="preserve"> prescription monitoring program in Massachusetts and its use in dentistry.  </w:t>
      </w:r>
      <w:proofErr w:type="gramStart"/>
      <w:r w:rsidRPr="00117B28">
        <w:rPr>
          <w:rFonts w:ascii="Times New Roman" w:hAnsi="Times New Roman"/>
          <w:sz w:val="24"/>
          <w:szCs w:val="24"/>
        </w:rPr>
        <w:t>Special Report on Prescribing in Dentistry, Journal of the Massachusetts Dental Society.</w:t>
      </w:r>
      <w:proofErr w:type="gramEnd"/>
      <w:r w:rsidRPr="00117B28">
        <w:rPr>
          <w:rFonts w:ascii="Times New Roman" w:hAnsi="Times New Roman"/>
          <w:sz w:val="24"/>
          <w:szCs w:val="24"/>
        </w:rPr>
        <w:t xml:space="preserve">  18-21. Fall 2015.</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117B28">
        <w:rPr>
          <w:rFonts w:ascii="Times New Roman" w:hAnsi="Times New Roman"/>
          <w:sz w:val="24"/>
          <w:szCs w:val="24"/>
        </w:rPr>
        <w:t>Klasser</w:t>
      </w:r>
      <w:proofErr w:type="spellEnd"/>
      <w:r w:rsidR="0008117A">
        <w:rPr>
          <w:rFonts w:ascii="Times New Roman" w:hAnsi="Times New Roman"/>
          <w:sz w:val="24"/>
          <w:szCs w:val="24"/>
        </w:rPr>
        <w:t>,</w:t>
      </w:r>
      <w:r w:rsidRPr="00117B28">
        <w:rPr>
          <w:rFonts w:ascii="Times New Roman" w:hAnsi="Times New Roman"/>
          <w:sz w:val="24"/>
          <w:szCs w:val="24"/>
        </w:rPr>
        <w:t xml:space="preserve"> G</w:t>
      </w:r>
      <w:r w:rsidR="0032626C">
        <w:rPr>
          <w:rFonts w:ascii="Times New Roman" w:hAnsi="Times New Roman"/>
          <w:sz w:val="24"/>
          <w:szCs w:val="24"/>
        </w:rPr>
        <w:t>.</w:t>
      </w:r>
      <w:r w:rsidRPr="00117B28">
        <w:rPr>
          <w:rFonts w:ascii="Times New Roman" w:hAnsi="Times New Roman"/>
          <w:sz w:val="24"/>
          <w:szCs w:val="24"/>
        </w:rPr>
        <w:t>D</w:t>
      </w:r>
      <w:r w:rsidR="0032626C">
        <w:rPr>
          <w:rFonts w:ascii="Times New Roman" w:hAnsi="Times New Roman"/>
          <w:sz w:val="24"/>
          <w:szCs w:val="24"/>
        </w:rPr>
        <w:t>.</w:t>
      </w:r>
      <w:r w:rsidRPr="00117B28">
        <w:rPr>
          <w:rFonts w:ascii="Times New Roman" w:hAnsi="Times New Roman"/>
          <w:sz w:val="24"/>
          <w:szCs w:val="24"/>
        </w:rPr>
        <w:t xml:space="preserve">, </w:t>
      </w:r>
      <w:r w:rsidR="00576CB0">
        <w:rPr>
          <w:rFonts w:ascii="Times New Roman" w:hAnsi="Times New Roman"/>
          <w:sz w:val="24"/>
          <w:szCs w:val="24"/>
        </w:rPr>
        <w:t xml:space="preserve">&amp; </w:t>
      </w:r>
      <w:proofErr w:type="spellStart"/>
      <w:r w:rsidRPr="00117B28">
        <w:rPr>
          <w:rFonts w:ascii="Times New Roman" w:hAnsi="Times New Roman"/>
          <w:sz w:val="24"/>
          <w:szCs w:val="24"/>
        </w:rPr>
        <w:t>Gremillion</w:t>
      </w:r>
      <w:proofErr w:type="spellEnd"/>
      <w:r w:rsidR="0008117A">
        <w:rPr>
          <w:rFonts w:ascii="Times New Roman" w:hAnsi="Times New Roman"/>
          <w:sz w:val="24"/>
          <w:szCs w:val="24"/>
        </w:rPr>
        <w:t>,</w:t>
      </w:r>
      <w:r w:rsidRPr="00117B28">
        <w:rPr>
          <w:rFonts w:ascii="Times New Roman" w:hAnsi="Times New Roman"/>
          <w:sz w:val="24"/>
          <w:szCs w:val="24"/>
        </w:rPr>
        <w:t xml:space="preserve"> H</w:t>
      </w:r>
      <w:r w:rsidR="0032626C">
        <w:rPr>
          <w:rFonts w:ascii="Times New Roman" w:hAnsi="Times New Roman"/>
          <w:sz w:val="24"/>
          <w:szCs w:val="24"/>
        </w:rPr>
        <w:t>.</w:t>
      </w:r>
      <w:r w:rsidRPr="00117B28">
        <w:rPr>
          <w:rFonts w:ascii="Times New Roman" w:hAnsi="Times New Roman"/>
          <w:sz w:val="24"/>
          <w:szCs w:val="24"/>
        </w:rPr>
        <w:t xml:space="preserve">A. Past, present, and future of </w:t>
      </w:r>
      <w:proofErr w:type="spellStart"/>
      <w:r w:rsidRPr="00117B28">
        <w:rPr>
          <w:rFonts w:ascii="Times New Roman" w:hAnsi="Times New Roman"/>
          <w:sz w:val="24"/>
          <w:szCs w:val="24"/>
        </w:rPr>
        <w:t>predoctoral</w:t>
      </w:r>
      <w:proofErr w:type="spellEnd"/>
      <w:r w:rsidRPr="00117B28">
        <w:rPr>
          <w:rFonts w:ascii="Times New Roman" w:hAnsi="Times New Roman"/>
          <w:sz w:val="24"/>
          <w:szCs w:val="24"/>
        </w:rPr>
        <w:t xml:space="preserve"> dental education in orofacial pain and TMDs: a call for </w:t>
      </w:r>
      <w:proofErr w:type="spellStart"/>
      <w:r w:rsidRPr="00117B28">
        <w:rPr>
          <w:rFonts w:ascii="Times New Roman" w:hAnsi="Times New Roman"/>
          <w:sz w:val="24"/>
          <w:szCs w:val="24"/>
        </w:rPr>
        <w:t>interprofessional</w:t>
      </w:r>
      <w:proofErr w:type="spellEnd"/>
      <w:r w:rsidRPr="00117B28">
        <w:rPr>
          <w:rFonts w:ascii="Times New Roman" w:hAnsi="Times New Roman"/>
          <w:sz w:val="24"/>
          <w:szCs w:val="24"/>
        </w:rPr>
        <w:t xml:space="preserve"> education. </w:t>
      </w:r>
      <w:proofErr w:type="gramStart"/>
      <w:r w:rsidRPr="00117B28">
        <w:rPr>
          <w:rFonts w:ascii="Times New Roman" w:hAnsi="Times New Roman"/>
          <w:sz w:val="24"/>
          <w:szCs w:val="24"/>
        </w:rPr>
        <w:t>Journal of Dental Education.</w:t>
      </w:r>
      <w:proofErr w:type="gramEnd"/>
      <w:r w:rsidRPr="00117B28">
        <w:rPr>
          <w:rFonts w:ascii="Times New Roman" w:hAnsi="Times New Roman"/>
          <w:sz w:val="24"/>
          <w:szCs w:val="24"/>
        </w:rPr>
        <w:t xml:space="preserve"> 2013 Apr</w:t>
      </w:r>
      <w:proofErr w:type="gramStart"/>
      <w:r w:rsidRPr="00117B28">
        <w:rPr>
          <w:rFonts w:ascii="Times New Roman" w:hAnsi="Times New Roman"/>
          <w:sz w:val="24"/>
          <w:szCs w:val="24"/>
        </w:rPr>
        <w:t>;77</w:t>
      </w:r>
      <w:proofErr w:type="gramEnd"/>
      <w:r w:rsidRPr="00117B28">
        <w:rPr>
          <w:rFonts w:ascii="Times New Roman" w:hAnsi="Times New Roman"/>
          <w:sz w:val="24"/>
          <w:szCs w:val="24"/>
        </w:rPr>
        <w:t>(4):395-400. PubMed PMID: 23576585.</w:t>
      </w:r>
      <w:r w:rsidRPr="00E72C31">
        <w:rPr>
          <w:rFonts w:ascii="Times New Roman" w:hAnsi="Times New Roman"/>
          <w:sz w:val="24"/>
          <w:szCs w:val="24"/>
        </w:rPr>
        <w:t xml:space="preserve"> </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Levy, B</w:t>
      </w:r>
      <w:r w:rsidR="00576CB0">
        <w:rPr>
          <w:rFonts w:ascii="Times New Roman" w:hAnsi="Times New Roman"/>
          <w:sz w:val="24"/>
          <w:szCs w:val="24"/>
        </w:rPr>
        <w:t>.</w:t>
      </w:r>
      <w:r w:rsidRPr="00117B28">
        <w:rPr>
          <w:rFonts w:ascii="Times New Roman" w:hAnsi="Times New Roman"/>
          <w:sz w:val="24"/>
          <w:szCs w:val="24"/>
        </w:rPr>
        <w:t xml:space="preserve">, </w:t>
      </w:r>
      <w:proofErr w:type="spellStart"/>
      <w:r w:rsidRPr="00117B28">
        <w:rPr>
          <w:rFonts w:ascii="Times New Roman" w:hAnsi="Times New Roman"/>
          <w:sz w:val="24"/>
          <w:szCs w:val="24"/>
        </w:rPr>
        <w:t>Paulozzi</w:t>
      </w:r>
      <w:proofErr w:type="spellEnd"/>
      <w:r w:rsidRPr="00117B28">
        <w:rPr>
          <w:rFonts w:ascii="Times New Roman" w:hAnsi="Times New Roman"/>
          <w:sz w:val="24"/>
          <w:szCs w:val="24"/>
        </w:rPr>
        <w:t xml:space="preserve"> L., Mack</w:t>
      </w:r>
      <w:r w:rsidR="00576CB0">
        <w:rPr>
          <w:rFonts w:ascii="Times New Roman" w:hAnsi="Times New Roman"/>
          <w:sz w:val="24"/>
          <w:szCs w:val="24"/>
        </w:rPr>
        <w:t>,</w:t>
      </w:r>
      <w:r w:rsidRPr="00117B28">
        <w:rPr>
          <w:rFonts w:ascii="Times New Roman" w:hAnsi="Times New Roman"/>
          <w:sz w:val="24"/>
          <w:szCs w:val="24"/>
        </w:rPr>
        <w:t xml:space="preserve"> K</w:t>
      </w:r>
      <w:r w:rsidR="00576CB0">
        <w:rPr>
          <w:rFonts w:ascii="Times New Roman" w:hAnsi="Times New Roman"/>
          <w:sz w:val="24"/>
          <w:szCs w:val="24"/>
        </w:rPr>
        <w:t>.</w:t>
      </w:r>
      <w:r w:rsidRPr="00117B28">
        <w:rPr>
          <w:rFonts w:ascii="Times New Roman" w:hAnsi="Times New Roman"/>
          <w:sz w:val="24"/>
          <w:szCs w:val="24"/>
        </w:rPr>
        <w:t>A</w:t>
      </w:r>
      <w:r w:rsidR="00576CB0">
        <w:rPr>
          <w:rFonts w:ascii="Times New Roman" w:hAnsi="Times New Roman"/>
          <w:sz w:val="24"/>
          <w:szCs w:val="24"/>
        </w:rPr>
        <w:t>.</w:t>
      </w:r>
      <w:proofErr w:type="gramStart"/>
      <w:r w:rsidRPr="00117B28">
        <w:rPr>
          <w:rFonts w:ascii="Times New Roman" w:hAnsi="Times New Roman"/>
          <w:sz w:val="24"/>
          <w:szCs w:val="24"/>
        </w:rPr>
        <w:t xml:space="preserve">, </w:t>
      </w:r>
      <w:r w:rsidR="00576CB0">
        <w:rPr>
          <w:rFonts w:ascii="Times New Roman" w:hAnsi="Times New Roman"/>
          <w:sz w:val="24"/>
          <w:szCs w:val="24"/>
        </w:rPr>
        <w:t xml:space="preserve"> &amp;</w:t>
      </w:r>
      <w:proofErr w:type="gramEnd"/>
      <w:r w:rsidR="00576CB0">
        <w:rPr>
          <w:rFonts w:ascii="Times New Roman" w:hAnsi="Times New Roman"/>
          <w:sz w:val="24"/>
          <w:szCs w:val="24"/>
        </w:rPr>
        <w:t xml:space="preserve"> </w:t>
      </w:r>
      <w:r w:rsidRPr="00117B28">
        <w:rPr>
          <w:rFonts w:ascii="Times New Roman" w:hAnsi="Times New Roman"/>
          <w:sz w:val="24"/>
          <w:szCs w:val="24"/>
        </w:rPr>
        <w:t>Jones, C</w:t>
      </w:r>
      <w:r w:rsidR="00576CB0">
        <w:rPr>
          <w:rFonts w:ascii="Times New Roman" w:hAnsi="Times New Roman"/>
          <w:sz w:val="24"/>
          <w:szCs w:val="24"/>
        </w:rPr>
        <w:t>.</w:t>
      </w:r>
      <w:r w:rsidRPr="00117B28">
        <w:rPr>
          <w:rFonts w:ascii="Times New Roman" w:hAnsi="Times New Roman"/>
          <w:sz w:val="24"/>
          <w:szCs w:val="24"/>
        </w:rPr>
        <w:t xml:space="preserve">M. (2015). Trends in Opioid Analgesic–Prescribing Rates by Specialty, US, 2007–2012. </w:t>
      </w:r>
      <w:proofErr w:type="gramStart"/>
      <w:r w:rsidRPr="00117B28">
        <w:rPr>
          <w:rFonts w:ascii="Times New Roman" w:hAnsi="Times New Roman"/>
          <w:sz w:val="24"/>
          <w:szCs w:val="24"/>
        </w:rPr>
        <w:t>American Journal of Preventive Medicine.</w:t>
      </w:r>
      <w:proofErr w:type="gramEnd"/>
      <w:r w:rsidRPr="00117B28">
        <w:rPr>
          <w:rFonts w:ascii="Times New Roman" w:hAnsi="Times New Roman"/>
          <w:sz w:val="24"/>
          <w:szCs w:val="24"/>
        </w:rPr>
        <w:t xml:space="preserve">  49(3):409-413.</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9F437E">
        <w:rPr>
          <w:rFonts w:ascii="Times New Roman" w:hAnsi="Times New Roman"/>
          <w:sz w:val="24"/>
          <w:szCs w:val="24"/>
        </w:rPr>
        <w:t xml:space="preserve">Meade, L. B., </w:t>
      </w:r>
      <w:proofErr w:type="spellStart"/>
      <w:r w:rsidRPr="009F437E">
        <w:rPr>
          <w:rFonts w:ascii="Times New Roman" w:hAnsi="Times New Roman"/>
          <w:sz w:val="24"/>
          <w:szCs w:val="24"/>
        </w:rPr>
        <w:t>Caverzagie</w:t>
      </w:r>
      <w:proofErr w:type="spellEnd"/>
      <w:r w:rsidRPr="009F437E">
        <w:rPr>
          <w:rFonts w:ascii="Times New Roman" w:hAnsi="Times New Roman"/>
          <w:sz w:val="24"/>
          <w:szCs w:val="24"/>
        </w:rPr>
        <w:t xml:space="preserve">, K. J., Swing, S. R., Jones, R. R., O'Malley, C. W., Yamazaki, K., &amp; </w:t>
      </w:r>
      <w:proofErr w:type="spellStart"/>
      <w:r w:rsidRPr="009F437E">
        <w:rPr>
          <w:rFonts w:ascii="Times New Roman" w:hAnsi="Times New Roman"/>
          <w:sz w:val="24"/>
          <w:szCs w:val="24"/>
        </w:rPr>
        <w:t>Zaas</w:t>
      </w:r>
      <w:proofErr w:type="spellEnd"/>
      <w:r w:rsidRPr="009F437E">
        <w:rPr>
          <w:rFonts w:ascii="Times New Roman" w:hAnsi="Times New Roman"/>
          <w:sz w:val="24"/>
          <w:szCs w:val="24"/>
        </w:rPr>
        <w:t xml:space="preserve">, A. K. (2013). Playing with curricular milestones in the educational sandbox: Q-sort results from an internal medicine educational collaborative. </w:t>
      </w:r>
      <w:proofErr w:type="spellStart"/>
      <w:r w:rsidRPr="009F437E">
        <w:rPr>
          <w:rFonts w:ascii="Times New Roman" w:hAnsi="Times New Roman"/>
          <w:i/>
          <w:iCs/>
          <w:sz w:val="24"/>
          <w:szCs w:val="24"/>
        </w:rPr>
        <w:t>Acad</w:t>
      </w:r>
      <w:proofErr w:type="spellEnd"/>
      <w:r w:rsidRPr="009F437E">
        <w:rPr>
          <w:rFonts w:ascii="Times New Roman" w:hAnsi="Times New Roman"/>
          <w:i/>
          <w:iCs/>
          <w:sz w:val="24"/>
          <w:szCs w:val="24"/>
        </w:rPr>
        <w:t xml:space="preserve"> Med, 88</w:t>
      </w:r>
      <w:r w:rsidRPr="009F437E">
        <w:rPr>
          <w:rFonts w:ascii="Times New Roman" w:hAnsi="Times New Roman"/>
          <w:sz w:val="24"/>
          <w:szCs w:val="24"/>
        </w:rPr>
        <w:t xml:space="preserve">(8), 1142-1148.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w:t>
      </w:r>
      <w:r w:rsidRPr="009F437E">
        <w:rPr>
          <w:rFonts w:ascii="Times New Roman" w:hAnsi="Times New Roman"/>
          <w:sz w:val="24"/>
          <w:szCs w:val="24"/>
        </w:rPr>
        <w:lastRenderedPageBreak/>
        <w:t xml:space="preserve">10.1097/ACM.0b013e31829a3967 </w:t>
      </w:r>
      <w:r w:rsidRPr="00E72C31">
        <w:rPr>
          <w:rFonts w:ascii="Times New Roman" w:hAnsi="Times New Roman"/>
          <w:sz w:val="24"/>
          <w:szCs w:val="24"/>
        </w:rPr>
        <w:t>http://www.ncbi.nlm.nih.gov/pubmed/23807106</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Moore, P</w:t>
      </w:r>
      <w:r w:rsidR="00576CB0">
        <w:rPr>
          <w:rFonts w:ascii="Times New Roman" w:hAnsi="Times New Roman"/>
          <w:sz w:val="24"/>
          <w:szCs w:val="24"/>
        </w:rPr>
        <w:t>.</w:t>
      </w:r>
      <w:r w:rsidRPr="00117B28">
        <w:rPr>
          <w:rFonts w:ascii="Times New Roman" w:hAnsi="Times New Roman"/>
          <w:sz w:val="24"/>
          <w:szCs w:val="24"/>
        </w:rPr>
        <w:t>A</w:t>
      </w:r>
      <w:r w:rsidR="00576CB0">
        <w:rPr>
          <w:rFonts w:ascii="Times New Roman" w:hAnsi="Times New Roman"/>
          <w:sz w:val="24"/>
          <w:szCs w:val="24"/>
        </w:rPr>
        <w:t xml:space="preserve">. </w:t>
      </w:r>
      <w:proofErr w:type="gramStart"/>
      <w:r w:rsidR="00576CB0">
        <w:rPr>
          <w:rFonts w:ascii="Times New Roman" w:hAnsi="Times New Roman"/>
          <w:sz w:val="24"/>
          <w:szCs w:val="24"/>
        </w:rPr>
        <w:t xml:space="preserve">&amp; </w:t>
      </w:r>
      <w:r w:rsidRPr="00117B28">
        <w:rPr>
          <w:rFonts w:ascii="Times New Roman" w:hAnsi="Times New Roman"/>
          <w:sz w:val="24"/>
          <w:szCs w:val="24"/>
        </w:rPr>
        <w:t xml:space="preserve"> </w:t>
      </w:r>
      <w:proofErr w:type="spellStart"/>
      <w:r w:rsidRPr="00117B28">
        <w:rPr>
          <w:rFonts w:ascii="Times New Roman" w:hAnsi="Times New Roman"/>
          <w:sz w:val="24"/>
          <w:szCs w:val="24"/>
        </w:rPr>
        <w:t>Hersh</w:t>
      </w:r>
      <w:proofErr w:type="spellEnd"/>
      <w:proofErr w:type="gramEnd"/>
      <w:r w:rsidRPr="00117B28">
        <w:rPr>
          <w:rFonts w:ascii="Times New Roman" w:hAnsi="Times New Roman"/>
          <w:sz w:val="24"/>
          <w:szCs w:val="24"/>
        </w:rPr>
        <w:t>, E</w:t>
      </w:r>
      <w:r w:rsidR="00576CB0">
        <w:rPr>
          <w:rFonts w:ascii="Times New Roman" w:hAnsi="Times New Roman"/>
          <w:sz w:val="24"/>
          <w:szCs w:val="24"/>
        </w:rPr>
        <w:t>.</w:t>
      </w:r>
      <w:r w:rsidRPr="00117B28">
        <w:rPr>
          <w:rFonts w:ascii="Times New Roman" w:hAnsi="Times New Roman"/>
          <w:sz w:val="24"/>
          <w:szCs w:val="24"/>
        </w:rPr>
        <w:t>V</w:t>
      </w:r>
      <w:r w:rsidR="00576CB0">
        <w:rPr>
          <w:rFonts w:ascii="Times New Roman" w:hAnsi="Times New Roman"/>
          <w:sz w:val="24"/>
          <w:szCs w:val="24"/>
        </w:rPr>
        <w:t>.</w:t>
      </w:r>
      <w:r w:rsidRPr="00117B28">
        <w:rPr>
          <w:rFonts w:ascii="Times New Roman" w:hAnsi="Times New Roman"/>
          <w:sz w:val="24"/>
          <w:szCs w:val="24"/>
        </w:rPr>
        <w:t xml:space="preserve"> Combining Ibuprofen and Acetaminophen for acute pain management after third molar extractions: translating clinical research to dental practice</w:t>
      </w:r>
      <w:r w:rsidR="00576CB0">
        <w:rPr>
          <w:rFonts w:ascii="Times New Roman" w:hAnsi="Times New Roman"/>
          <w:sz w:val="24"/>
          <w:szCs w:val="24"/>
        </w:rPr>
        <w:t>.</w:t>
      </w:r>
      <w:r w:rsidRPr="00117B28">
        <w:rPr>
          <w:rFonts w:ascii="Times New Roman" w:hAnsi="Times New Roman"/>
          <w:sz w:val="24"/>
          <w:szCs w:val="24"/>
        </w:rPr>
        <w:t xml:space="preserve"> Journal American Dental Association 144(8</w:t>
      </w:r>
      <w:proofErr w:type="gramStart"/>
      <w:r w:rsidRPr="00117B28">
        <w:rPr>
          <w:rFonts w:ascii="Times New Roman" w:hAnsi="Times New Roman"/>
          <w:sz w:val="24"/>
          <w:szCs w:val="24"/>
        </w:rPr>
        <w:t>) :</w:t>
      </w:r>
      <w:proofErr w:type="gramEnd"/>
      <w:r w:rsidRPr="00117B28">
        <w:rPr>
          <w:rFonts w:ascii="Times New Roman" w:hAnsi="Times New Roman"/>
          <w:sz w:val="24"/>
          <w:szCs w:val="24"/>
        </w:rPr>
        <w:t>898-908, 2013</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9F437E">
        <w:rPr>
          <w:rFonts w:ascii="Times New Roman" w:hAnsi="Times New Roman"/>
          <w:sz w:val="24"/>
          <w:szCs w:val="24"/>
        </w:rPr>
        <w:t xml:space="preserve">Morley-Forster, P. K., </w:t>
      </w:r>
      <w:proofErr w:type="spellStart"/>
      <w:r w:rsidRPr="009F437E">
        <w:rPr>
          <w:rFonts w:ascii="Times New Roman" w:hAnsi="Times New Roman"/>
          <w:sz w:val="24"/>
          <w:szCs w:val="24"/>
        </w:rPr>
        <w:t>Pergolizzi</w:t>
      </w:r>
      <w:proofErr w:type="spellEnd"/>
      <w:r w:rsidRPr="009F437E">
        <w:rPr>
          <w:rFonts w:ascii="Times New Roman" w:hAnsi="Times New Roman"/>
          <w:sz w:val="24"/>
          <w:szCs w:val="24"/>
        </w:rPr>
        <w:t xml:space="preserve">, J. V., Taylor, R., Jr., </w:t>
      </w:r>
      <w:proofErr w:type="spellStart"/>
      <w:r w:rsidRPr="009F437E">
        <w:rPr>
          <w:rFonts w:ascii="Times New Roman" w:hAnsi="Times New Roman"/>
          <w:sz w:val="24"/>
          <w:szCs w:val="24"/>
        </w:rPr>
        <w:t>Axford-Gatley</w:t>
      </w:r>
      <w:proofErr w:type="spellEnd"/>
      <w:r w:rsidRPr="009F437E">
        <w:rPr>
          <w:rFonts w:ascii="Times New Roman" w:hAnsi="Times New Roman"/>
          <w:sz w:val="24"/>
          <w:szCs w:val="24"/>
        </w:rPr>
        <w:t xml:space="preserve">, R. A., &amp; Sellers, E. M. (2013). </w:t>
      </w:r>
      <w:proofErr w:type="gramStart"/>
      <w:r w:rsidRPr="009F437E">
        <w:rPr>
          <w:rFonts w:ascii="Times New Roman" w:hAnsi="Times New Roman"/>
          <w:sz w:val="24"/>
          <w:szCs w:val="24"/>
        </w:rPr>
        <w:t>Mitigating the risk of opioid abuse through a balanced undergraduate pain medicine curriculum.</w:t>
      </w:r>
      <w:proofErr w:type="gramEnd"/>
      <w:r w:rsidRPr="009F437E">
        <w:rPr>
          <w:rFonts w:ascii="Times New Roman" w:hAnsi="Times New Roman"/>
          <w:sz w:val="24"/>
          <w:szCs w:val="24"/>
        </w:rPr>
        <w:t xml:space="preserve"> </w:t>
      </w:r>
      <w:r w:rsidRPr="009F437E">
        <w:rPr>
          <w:rFonts w:ascii="Times New Roman" w:hAnsi="Times New Roman"/>
          <w:i/>
          <w:iCs/>
          <w:sz w:val="24"/>
          <w:szCs w:val="24"/>
        </w:rPr>
        <w:t>J Pain Res, 6</w:t>
      </w:r>
      <w:r w:rsidRPr="009F437E">
        <w:rPr>
          <w:rFonts w:ascii="Times New Roman" w:hAnsi="Times New Roman"/>
          <w:sz w:val="24"/>
          <w:szCs w:val="24"/>
        </w:rPr>
        <w:t xml:space="preserve">, 791-801.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10.2147/JPR.S47192 http://www.ncbi.nlm.nih.gov/pubmed/24353438</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proofErr w:type="gramStart"/>
      <w:r w:rsidRPr="009F437E">
        <w:rPr>
          <w:rFonts w:ascii="Times New Roman" w:hAnsi="Times New Roman"/>
          <w:sz w:val="24"/>
          <w:szCs w:val="24"/>
        </w:rPr>
        <w:t>Murinson</w:t>
      </w:r>
      <w:proofErr w:type="spellEnd"/>
      <w:r w:rsidRPr="009F437E">
        <w:rPr>
          <w:rFonts w:ascii="Times New Roman" w:hAnsi="Times New Roman"/>
          <w:sz w:val="24"/>
          <w:szCs w:val="24"/>
        </w:rPr>
        <w:t xml:space="preserve">, B. B., </w:t>
      </w:r>
      <w:proofErr w:type="spellStart"/>
      <w:r w:rsidRPr="009F437E">
        <w:rPr>
          <w:rFonts w:ascii="Times New Roman" w:hAnsi="Times New Roman"/>
          <w:sz w:val="24"/>
          <w:szCs w:val="24"/>
        </w:rPr>
        <w:t>Gordin</w:t>
      </w:r>
      <w:proofErr w:type="spellEnd"/>
      <w:r w:rsidRPr="009F437E">
        <w:rPr>
          <w:rFonts w:ascii="Times New Roman" w:hAnsi="Times New Roman"/>
          <w:sz w:val="24"/>
          <w:szCs w:val="24"/>
        </w:rPr>
        <w:t xml:space="preserve">, V., Flynn, S., Driver, L. C., Gallagher, R. M., </w:t>
      </w:r>
      <w:proofErr w:type="spellStart"/>
      <w:r w:rsidRPr="009F437E">
        <w:rPr>
          <w:rFonts w:ascii="Times New Roman" w:hAnsi="Times New Roman"/>
          <w:sz w:val="24"/>
          <w:szCs w:val="24"/>
        </w:rPr>
        <w:t>Grabois</w:t>
      </w:r>
      <w:proofErr w:type="spellEnd"/>
      <w:r w:rsidRPr="009F437E">
        <w:rPr>
          <w:rFonts w:ascii="Times New Roman" w:hAnsi="Times New Roman"/>
          <w:sz w:val="24"/>
          <w:szCs w:val="24"/>
        </w:rPr>
        <w:t>, M., &amp; Medical Student Education Sub-committee of the American Academy of Pain</w:t>
      </w:r>
      <w:r w:rsidR="00576CB0">
        <w:rPr>
          <w:rFonts w:ascii="Times New Roman" w:hAnsi="Times New Roman"/>
          <w:sz w:val="24"/>
          <w:szCs w:val="24"/>
        </w:rPr>
        <w:t>.</w:t>
      </w:r>
      <w:proofErr w:type="gramEnd"/>
      <w:r w:rsidRPr="009F437E">
        <w:rPr>
          <w:rFonts w:ascii="Times New Roman" w:hAnsi="Times New Roman"/>
          <w:sz w:val="24"/>
          <w:szCs w:val="24"/>
        </w:rPr>
        <w:t xml:space="preserve"> (2013). Recommendations for a new curriculum in pain medicine for medical students: toward a career distinguished by competence and compassion. </w:t>
      </w:r>
      <w:r w:rsidRPr="009F437E">
        <w:rPr>
          <w:rFonts w:ascii="Times New Roman" w:hAnsi="Times New Roman"/>
          <w:i/>
          <w:iCs/>
          <w:sz w:val="24"/>
          <w:szCs w:val="24"/>
        </w:rPr>
        <w:t>Pain Med, 14</w:t>
      </w:r>
      <w:r w:rsidRPr="009F437E">
        <w:rPr>
          <w:rFonts w:ascii="Times New Roman" w:hAnsi="Times New Roman"/>
          <w:sz w:val="24"/>
          <w:szCs w:val="24"/>
        </w:rPr>
        <w:t xml:space="preserve">(3), 345-350.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10.1111/pme.12051 http://www.ncbi.nlm.nih.gov/pubmed/23387441</w:t>
      </w:r>
      <w:r>
        <w:rPr>
          <w:rFonts w:ascii="Times New Roman" w:hAnsi="Times New Roman"/>
          <w:sz w:val="24"/>
          <w:szCs w:val="24"/>
        </w:rPr>
        <w:t xml:space="preserve"> </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117B28">
        <w:rPr>
          <w:rFonts w:ascii="Times New Roman" w:hAnsi="Times New Roman"/>
          <w:sz w:val="24"/>
          <w:szCs w:val="24"/>
        </w:rPr>
        <w:t>The NIDA Quick Screen [Internet].</w:t>
      </w:r>
      <w:proofErr w:type="gramEnd"/>
      <w:r w:rsidRPr="00117B28">
        <w:rPr>
          <w:rFonts w:ascii="Times New Roman" w:hAnsi="Times New Roman"/>
          <w:sz w:val="24"/>
          <w:szCs w:val="24"/>
        </w:rPr>
        <w:t xml:space="preserve"> [</w:t>
      </w:r>
      <w:proofErr w:type="gramStart"/>
      <w:r w:rsidRPr="00117B28">
        <w:rPr>
          <w:rFonts w:ascii="Times New Roman" w:hAnsi="Times New Roman"/>
          <w:sz w:val="24"/>
          <w:szCs w:val="24"/>
        </w:rPr>
        <w:t>cited</w:t>
      </w:r>
      <w:proofErr w:type="gramEnd"/>
      <w:r w:rsidRPr="00117B28">
        <w:rPr>
          <w:rFonts w:ascii="Times New Roman" w:hAnsi="Times New Roman"/>
          <w:sz w:val="24"/>
          <w:szCs w:val="24"/>
        </w:rPr>
        <w:t xml:space="preserve"> 2015 Dec 7]. Available from: http://www.drugabuse.gov/publications/resource-guide-screening-drug-use-in-general-medical-settings/nida-quick-screen</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 xml:space="preserve">NIH Pain Consortium Centers of Excellence in Pain Education sponsored by the National Institute on Drug Abuse, NIH, Contract # </w:t>
      </w:r>
      <w:proofErr w:type="gramStart"/>
      <w:r w:rsidRPr="00117B28">
        <w:rPr>
          <w:rFonts w:ascii="Times New Roman" w:hAnsi="Times New Roman"/>
          <w:sz w:val="24"/>
          <w:szCs w:val="24"/>
        </w:rPr>
        <w:t>HHSN271201500075C  Reference</w:t>
      </w:r>
      <w:proofErr w:type="gramEnd"/>
      <w:r w:rsidRPr="00117B28">
        <w:rPr>
          <w:rFonts w:ascii="Times New Roman" w:hAnsi="Times New Roman"/>
          <w:sz w:val="24"/>
          <w:szCs w:val="24"/>
        </w:rPr>
        <w:t xml:space="preserve"> #:NO1DA-15-4427,2015. http://painconsortium.nih.gov/NIH_Pain_Programs/CoEPES.html</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O'Connor, P. G., Nyquist, J. G., &amp; McLellan, A. T. (2011).</w:t>
      </w:r>
      <w:proofErr w:type="gramEnd"/>
      <w:r w:rsidRPr="009F437E">
        <w:rPr>
          <w:rFonts w:ascii="Times New Roman" w:hAnsi="Times New Roman"/>
          <w:sz w:val="24"/>
          <w:szCs w:val="24"/>
        </w:rPr>
        <w:t xml:space="preserve"> Integrating addiction medicine into graduate medical education in primary care: the time has come. </w:t>
      </w:r>
      <w:r w:rsidRPr="009F437E">
        <w:rPr>
          <w:rFonts w:ascii="Times New Roman" w:hAnsi="Times New Roman"/>
          <w:i/>
          <w:iCs/>
          <w:sz w:val="24"/>
          <w:szCs w:val="24"/>
        </w:rPr>
        <w:t>Ann Intern Med, 154</w:t>
      </w:r>
      <w:r w:rsidRPr="009F437E">
        <w:rPr>
          <w:rFonts w:ascii="Times New Roman" w:hAnsi="Times New Roman"/>
          <w:sz w:val="24"/>
          <w:szCs w:val="24"/>
        </w:rPr>
        <w:t xml:space="preserve">(1), 56-59.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10.7326/0003-4819-154-1-201101040-00008 </w:t>
      </w:r>
      <w:r w:rsidRPr="00E72C31">
        <w:rPr>
          <w:rFonts w:ascii="Times New Roman" w:hAnsi="Times New Roman"/>
          <w:sz w:val="24"/>
          <w:szCs w:val="24"/>
        </w:rPr>
        <w:t>http://www.ncbi.nlm.nih.gov/pubmed/21200039</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O</w:t>
      </w:r>
      <w:r>
        <w:rPr>
          <w:rFonts w:ascii="Times New Roman" w:hAnsi="Times New Roman"/>
          <w:sz w:val="24"/>
          <w:szCs w:val="24"/>
        </w:rPr>
        <w:t>’</w:t>
      </w:r>
      <w:r w:rsidRPr="00117B28">
        <w:rPr>
          <w:rFonts w:ascii="Times New Roman" w:hAnsi="Times New Roman"/>
          <w:sz w:val="24"/>
          <w:szCs w:val="24"/>
        </w:rPr>
        <w:t xml:space="preserve">Neal M. (2015) </w:t>
      </w:r>
      <w:proofErr w:type="gramStart"/>
      <w:r w:rsidRPr="00117B28">
        <w:rPr>
          <w:rFonts w:ascii="Times New Roman" w:hAnsi="Times New Roman"/>
          <w:sz w:val="24"/>
          <w:szCs w:val="24"/>
        </w:rPr>
        <w:t>The</w:t>
      </w:r>
      <w:proofErr w:type="gramEnd"/>
      <w:r w:rsidRPr="00117B28">
        <w:rPr>
          <w:rFonts w:ascii="Times New Roman" w:hAnsi="Times New Roman"/>
          <w:sz w:val="24"/>
          <w:szCs w:val="24"/>
        </w:rPr>
        <w:t xml:space="preserve"> ADA Practical Guide to Substance Use Disorders and Safe Prescribing Wiley-Blackwell ISBN: 978-1-118-88601-4.</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 xml:space="preserve">Parish, S. J., </w:t>
      </w:r>
      <w:proofErr w:type="spellStart"/>
      <w:r w:rsidRPr="009F437E">
        <w:rPr>
          <w:rFonts w:ascii="Times New Roman" w:hAnsi="Times New Roman"/>
          <w:sz w:val="24"/>
          <w:szCs w:val="24"/>
        </w:rPr>
        <w:t>Ramaswamy</w:t>
      </w:r>
      <w:proofErr w:type="spellEnd"/>
      <w:r w:rsidRPr="009F437E">
        <w:rPr>
          <w:rFonts w:ascii="Times New Roman" w:hAnsi="Times New Roman"/>
          <w:sz w:val="24"/>
          <w:szCs w:val="24"/>
        </w:rPr>
        <w:t xml:space="preserve">, M., Stein, M. R., </w:t>
      </w:r>
      <w:proofErr w:type="spellStart"/>
      <w:r w:rsidRPr="009F437E">
        <w:rPr>
          <w:rFonts w:ascii="Times New Roman" w:hAnsi="Times New Roman"/>
          <w:sz w:val="24"/>
          <w:szCs w:val="24"/>
        </w:rPr>
        <w:t>Kachur</w:t>
      </w:r>
      <w:proofErr w:type="spellEnd"/>
      <w:r w:rsidRPr="009F437E">
        <w:rPr>
          <w:rFonts w:ascii="Times New Roman" w:hAnsi="Times New Roman"/>
          <w:sz w:val="24"/>
          <w:szCs w:val="24"/>
        </w:rPr>
        <w:t xml:space="preserve">, E. K., &amp; </w:t>
      </w:r>
      <w:proofErr w:type="spellStart"/>
      <w:r w:rsidRPr="009F437E">
        <w:rPr>
          <w:rFonts w:ascii="Times New Roman" w:hAnsi="Times New Roman"/>
          <w:sz w:val="24"/>
          <w:szCs w:val="24"/>
        </w:rPr>
        <w:t>Arnsten</w:t>
      </w:r>
      <w:proofErr w:type="spellEnd"/>
      <w:r w:rsidRPr="009F437E">
        <w:rPr>
          <w:rFonts w:ascii="Times New Roman" w:hAnsi="Times New Roman"/>
          <w:sz w:val="24"/>
          <w:szCs w:val="24"/>
        </w:rPr>
        <w:t>, J. H. (2006).</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Teaching about Substance Abuse with Objective Structured Clinical Exams.</w:t>
      </w:r>
      <w:proofErr w:type="gramEnd"/>
      <w:r w:rsidRPr="009F437E">
        <w:rPr>
          <w:rFonts w:ascii="Times New Roman" w:hAnsi="Times New Roman"/>
          <w:sz w:val="24"/>
          <w:szCs w:val="24"/>
        </w:rPr>
        <w:t xml:space="preserve"> </w:t>
      </w:r>
      <w:r w:rsidRPr="009F437E">
        <w:rPr>
          <w:rFonts w:ascii="Times New Roman" w:hAnsi="Times New Roman"/>
          <w:i/>
          <w:iCs/>
          <w:sz w:val="24"/>
          <w:szCs w:val="24"/>
        </w:rPr>
        <w:t>J Gen Intern Med, 21</w:t>
      </w:r>
      <w:r w:rsidRPr="009F437E">
        <w:rPr>
          <w:rFonts w:ascii="Times New Roman" w:hAnsi="Times New Roman"/>
          <w:sz w:val="24"/>
          <w:szCs w:val="24"/>
        </w:rPr>
        <w:t xml:space="preserve">(5), 453-459.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10.1111/j.1525-1497.2006.00426.x </w:t>
      </w:r>
      <w:r w:rsidRPr="00E72C31">
        <w:rPr>
          <w:rFonts w:ascii="Times New Roman" w:hAnsi="Times New Roman"/>
          <w:sz w:val="24"/>
          <w:szCs w:val="24"/>
        </w:rPr>
        <w:t>http://www.ncbi.nlm.nih.gov/pubmed/16704387</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117B28">
        <w:rPr>
          <w:rFonts w:ascii="Times New Roman" w:hAnsi="Times New Roman"/>
          <w:sz w:val="24"/>
          <w:szCs w:val="24"/>
        </w:rPr>
        <w:t>Parish</w:t>
      </w:r>
      <w:r w:rsidR="0008117A">
        <w:rPr>
          <w:rFonts w:ascii="Times New Roman" w:hAnsi="Times New Roman"/>
          <w:sz w:val="24"/>
          <w:szCs w:val="24"/>
        </w:rPr>
        <w:t>,</w:t>
      </w:r>
      <w:r w:rsidRPr="00117B28">
        <w:rPr>
          <w:rFonts w:ascii="Times New Roman" w:hAnsi="Times New Roman"/>
          <w:sz w:val="24"/>
          <w:szCs w:val="24"/>
        </w:rPr>
        <w:t xml:space="preserve"> CL, </w:t>
      </w:r>
      <w:proofErr w:type="spellStart"/>
      <w:r w:rsidRPr="00117B28">
        <w:rPr>
          <w:rFonts w:ascii="Times New Roman" w:hAnsi="Times New Roman"/>
          <w:sz w:val="24"/>
          <w:szCs w:val="24"/>
        </w:rPr>
        <w:t>Pereyra</w:t>
      </w:r>
      <w:proofErr w:type="spellEnd"/>
      <w:r w:rsidR="0008117A">
        <w:rPr>
          <w:rFonts w:ascii="Times New Roman" w:hAnsi="Times New Roman"/>
          <w:sz w:val="24"/>
          <w:szCs w:val="24"/>
        </w:rPr>
        <w:t>,</w:t>
      </w:r>
      <w:r w:rsidRPr="00117B28">
        <w:rPr>
          <w:rFonts w:ascii="Times New Roman" w:hAnsi="Times New Roman"/>
          <w:sz w:val="24"/>
          <w:szCs w:val="24"/>
        </w:rPr>
        <w:t xml:space="preserve"> MR, Pollack</w:t>
      </w:r>
      <w:r w:rsidR="0008117A">
        <w:rPr>
          <w:rFonts w:ascii="Times New Roman" w:hAnsi="Times New Roman"/>
          <w:sz w:val="24"/>
          <w:szCs w:val="24"/>
        </w:rPr>
        <w:t>,</w:t>
      </w:r>
      <w:r w:rsidRPr="00117B28">
        <w:rPr>
          <w:rFonts w:ascii="Times New Roman" w:hAnsi="Times New Roman"/>
          <w:sz w:val="24"/>
          <w:szCs w:val="24"/>
        </w:rPr>
        <w:t xml:space="preserve"> HA, Cardenas</w:t>
      </w:r>
      <w:r w:rsidR="0008117A">
        <w:rPr>
          <w:rFonts w:ascii="Times New Roman" w:hAnsi="Times New Roman"/>
          <w:sz w:val="24"/>
          <w:szCs w:val="24"/>
        </w:rPr>
        <w:t>,</w:t>
      </w:r>
      <w:r w:rsidRPr="00117B28">
        <w:rPr>
          <w:rFonts w:ascii="Times New Roman" w:hAnsi="Times New Roman"/>
          <w:sz w:val="24"/>
          <w:szCs w:val="24"/>
        </w:rPr>
        <w:t xml:space="preserve"> PC, Abel</w:t>
      </w:r>
      <w:r w:rsidR="0008117A">
        <w:rPr>
          <w:rFonts w:ascii="Times New Roman" w:hAnsi="Times New Roman"/>
          <w:sz w:val="24"/>
          <w:szCs w:val="24"/>
        </w:rPr>
        <w:t>,</w:t>
      </w:r>
      <w:r w:rsidRPr="00117B28">
        <w:rPr>
          <w:rFonts w:ascii="Times New Roman" w:hAnsi="Times New Roman"/>
          <w:sz w:val="24"/>
          <w:szCs w:val="24"/>
        </w:rPr>
        <w:t xml:space="preserve"> SN, Singer</w:t>
      </w:r>
      <w:r w:rsidR="0008117A">
        <w:rPr>
          <w:rFonts w:ascii="Times New Roman" w:hAnsi="Times New Roman"/>
          <w:sz w:val="24"/>
          <w:szCs w:val="24"/>
        </w:rPr>
        <w:t>,</w:t>
      </w:r>
      <w:r w:rsidRPr="00117B28">
        <w:rPr>
          <w:rFonts w:ascii="Times New Roman" w:hAnsi="Times New Roman"/>
          <w:sz w:val="24"/>
          <w:szCs w:val="24"/>
        </w:rPr>
        <w:t xml:space="preserve"> R, </w:t>
      </w:r>
      <w:proofErr w:type="spellStart"/>
      <w:r w:rsidRPr="00117B28">
        <w:rPr>
          <w:rFonts w:ascii="Times New Roman" w:hAnsi="Times New Roman"/>
          <w:sz w:val="24"/>
          <w:szCs w:val="24"/>
        </w:rPr>
        <w:t>Metsch</w:t>
      </w:r>
      <w:proofErr w:type="spellEnd"/>
      <w:r w:rsidR="0008117A">
        <w:rPr>
          <w:rFonts w:ascii="Times New Roman" w:hAnsi="Times New Roman"/>
          <w:sz w:val="24"/>
          <w:szCs w:val="24"/>
        </w:rPr>
        <w:t>,</w:t>
      </w:r>
      <w:r w:rsidRPr="00117B28">
        <w:rPr>
          <w:rFonts w:ascii="Times New Roman" w:hAnsi="Times New Roman"/>
          <w:sz w:val="24"/>
          <w:szCs w:val="24"/>
        </w:rPr>
        <w:t xml:space="preserve"> LR.</w:t>
      </w:r>
      <w:proofErr w:type="gramEnd"/>
      <w:r w:rsidRPr="00117B28">
        <w:rPr>
          <w:rFonts w:ascii="Times New Roman" w:hAnsi="Times New Roman"/>
          <w:sz w:val="24"/>
          <w:szCs w:val="24"/>
        </w:rPr>
        <w:t xml:space="preserve"> (2015) Screening for substance misuse in the dental care setting: findings from a nationally representative survey of dentists.  Addiction 110, 9, 1516–1523. </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proofErr w:type="gramStart"/>
      <w:r w:rsidRPr="009F437E">
        <w:rPr>
          <w:rFonts w:ascii="Times New Roman" w:hAnsi="Times New Roman"/>
          <w:sz w:val="24"/>
          <w:szCs w:val="24"/>
        </w:rPr>
        <w:t>Rockett</w:t>
      </w:r>
      <w:proofErr w:type="spellEnd"/>
      <w:r w:rsidRPr="009F437E">
        <w:rPr>
          <w:rFonts w:ascii="Times New Roman" w:hAnsi="Times New Roman"/>
          <w:sz w:val="24"/>
          <w:szCs w:val="24"/>
        </w:rPr>
        <w:t>, I. H., &amp; Caine, E. D. (2015).</w:t>
      </w:r>
      <w:proofErr w:type="gramEnd"/>
      <w:r w:rsidRPr="009F437E">
        <w:rPr>
          <w:rFonts w:ascii="Times New Roman" w:hAnsi="Times New Roman"/>
          <w:sz w:val="24"/>
          <w:szCs w:val="24"/>
        </w:rPr>
        <w:t xml:space="preserve"> Self-injury is the eighth</w:t>
      </w:r>
      <w:r w:rsidR="00576CB0">
        <w:rPr>
          <w:rFonts w:ascii="Times New Roman" w:hAnsi="Times New Roman"/>
          <w:sz w:val="24"/>
          <w:szCs w:val="24"/>
        </w:rPr>
        <w:t xml:space="preserve"> leading cause of death in the United S</w:t>
      </w:r>
      <w:r w:rsidRPr="009F437E">
        <w:rPr>
          <w:rFonts w:ascii="Times New Roman" w:hAnsi="Times New Roman"/>
          <w:sz w:val="24"/>
          <w:szCs w:val="24"/>
        </w:rPr>
        <w:t xml:space="preserve">tates: It is time to pay attention. </w:t>
      </w:r>
      <w:r w:rsidRPr="009F437E">
        <w:rPr>
          <w:rFonts w:ascii="Times New Roman" w:hAnsi="Times New Roman"/>
          <w:i/>
          <w:iCs/>
          <w:sz w:val="24"/>
          <w:szCs w:val="24"/>
        </w:rPr>
        <w:t>JAMA Psychiatry</w:t>
      </w:r>
      <w:r w:rsidRPr="009F437E">
        <w:rPr>
          <w:rFonts w:ascii="Times New Roman" w:hAnsi="Times New Roman"/>
          <w:sz w:val="24"/>
          <w:szCs w:val="24"/>
        </w:rPr>
        <w:t xml:space="preserve">, 1-2. </w:t>
      </w:r>
      <w:r w:rsidRPr="00E72C31">
        <w:rPr>
          <w:rFonts w:ascii="Times New Roman" w:hAnsi="Times New Roman"/>
          <w:sz w:val="24"/>
          <w:szCs w:val="24"/>
        </w:rPr>
        <w:t>http://dx.doi.org/10.1001/jamapsychiatry.2015.1418</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117B28">
        <w:rPr>
          <w:rFonts w:ascii="Times New Roman" w:hAnsi="Times New Roman"/>
          <w:sz w:val="24"/>
          <w:szCs w:val="24"/>
        </w:rPr>
        <w:t>Rasubala</w:t>
      </w:r>
      <w:proofErr w:type="spellEnd"/>
      <w:r w:rsidR="0008117A">
        <w:rPr>
          <w:rFonts w:ascii="Times New Roman" w:hAnsi="Times New Roman"/>
          <w:sz w:val="24"/>
          <w:szCs w:val="24"/>
        </w:rPr>
        <w:t>,</w:t>
      </w:r>
      <w:r w:rsidRPr="00117B28">
        <w:rPr>
          <w:rFonts w:ascii="Times New Roman" w:hAnsi="Times New Roman"/>
          <w:sz w:val="24"/>
          <w:szCs w:val="24"/>
        </w:rPr>
        <w:t xml:space="preserve"> L, </w:t>
      </w:r>
      <w:proofErr w:type="spellStart"/>
      <w:r w:rsidRPr="00117B28">
        <w:rPr>
          <w:rFonts w:ascii="Times New Roman" w:hAnsi="Times New Roman"/>
          <w:sz w:val="24"/>
          <w:szCs w:val="24"/>
        </w:rPr>
        <w:t>Pernapati</w:t>
      </w:r>
      <w:proofErr w:type="spellEnd"/>
      <w:r w:rsidR="0008117A">
        <w:rPr>
          <w:rFonts w:ascii="Times New Roman" w:hAnsi="Times New Roman"/>
          <w:sz w:val="24"/>
          <w:szCs w:val="24"/>
        </w:rPr>
        <w:t>,</w:t>
      </w:r>
      <w:r w:rsidRPr="00117B28">
        <w:rPr>
          <w:rFonts w:ascii="Times New Roman" w:hAnsi="Times New Roman"/>
          <w:sz w:val="24"/>
          <w:szCs w:val="24"/>
        </w:rPr>
        <w:t xml:space="preserve"> L, Velasquez</w:t>
      </w:r>
      <w:r w:rsidR="0008117A">
        <w:rPr>
          <w:rFonts w:ascii="Times New Roman" w:hAnsi="Times New Roman"/>
          <w:sz w:val="24"/>
          <w:szCs w:val="24"/>
        </w:rPr>
        <w:t>,</w:t>
      </w:r>
      <w:r w:rsidRPr="00117B28">
        <w:rPr>
          <w:rFonts w:ascii="Times New Roman" w:hAnsi="Times New Roman"/>
          <w:sz w:val="24"/>
          <w:szCs w:val="24"/>
        </w:rPr>
        <w:t xml:space="preserve"> X, Burk</w:t>
      </w:r>
      <w:r w:rsidR="0008117A">
        <w:rPr>
          <w:rFonts w:ascii="Times New Roman" w:hAnsi="Times New Roman"/>
          <w:sz w:val="24"/>
          <w:szCs w:val="24"/>
        </w:rPr>
        <w:t>,</w:t>
      </w:r>
      <w:r w:rsidRPr="00117B28">
        <w:rPr>
          <w:rFonts w:ascii="Times New Roman" w:hAnsi="Times New Roman"/>
          <w:sz w:val="24"/>
          <w:szCs w:val="24"/>
        </w:rPr>
        <w:t xml:space="preserve"> J</w:t>
      </w:r>
      <w:r w:rsidR="00576CB0">
        <w:rPr>
          <w:rFonts w:ascii="Times New Roman" w:hAnsi="Times New Roman"/>
          <w:sz w:val="24"/>
          <w:szCs w:val="24"/>
        </w:rPr>
        <w:t>.</w:t>
      </w:r>
      <w:r w:rsidRPr="00117B28">
        <w:rPr>
          <w:rFonts w:ascii="Times New Roman" w:hAnsi="Times New Roman"/>
          <w:sz w:val="24"/>
          <w:szCs w:val="24"/>
        </w:rPr>
        <w:t xml:space="preserve">, </w:t>
      </w:r>
      <w:r w:rsidR="00576CB0">
        <w:rPr>
          <w:rFonts w:ascii="Times New Roman" w:hAnsi="Times New Roman"/>
          <w:sz w:val="24"/>
          <w:szCs w:val="24"/>
        </w:rPr>
        <w:t xml:space="preserve">&amp; </w:t>
      </w:r>
      <w:r w:rsidRPr="00117B28">
        <w:rPr>
          <w:rFonts w:ascii="Times New Roman" w:hAnsi="Times New Roman"/>
          <w:sz w:val="24"/>
          <w:szCs w:val="24"/>
        </w:rPr>
        <w:t>Ren</w:t>
      </w:r>
      <w:r w:rsidR="0008117A">
        <w:rPr>
          <w:rFonts w:ascii="Times New Roman" w:hAnsi="Times New Roman"/>
          <w:sz w:val="24"/>
          <w:szCs w:val="24"/>
        </w:rPr>
        <w:t>,</w:t>
      </w:r>
      <w:r w:rsidRPr="00117B28">
        <w:rPr>
          <w:rFonts w:ascii="Times New Roman" w:hAnsi="Times New Roman"/>
          <w:sz w:val="24"/>
          <w:szCs w:val="24"/>
        </w:rPr>
        <w:t xml:space="preserve"> Y-F (2015) Impact of a Mandatory Prescription Drug Monitoring Program on Prescription of Opioid Analgesics by Dentists. </w:t>
      </w:r>
      <w:proofErr w:type="spellStart"/>
      <w:r w:rsidRPr="00117B28">
        <w:rPr>
          <w:rFonts w:ascii="Times New Roman" w:hAnsi="Times New Roman"/>
          <w:sz w:val="24"/>
          <w:szCs w:val="24"/>
        </w:rPr>
        <w:t>PLoS</w:t>
      </w:r>
      <w:proofErr w:type="spellEnd"/>
      <w:r w:rsidRPr="00117B28">
        <w:rPr>
          <w:rFonts w:ascii="Times New Roman" w:hAnsi="Times New Roman"/>
          <w:sz w:val="24"/>
          <w:szCs w:val="24"/>
        </w:rPr>
        <w:t xml:space="preserve"> ONE 10(8): e0135957. doi:10.1371/journal.pone.0135957</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 xml:space="preserve">Savage, S. R., </w:t>
      </w:r>
      <w:proofErr w:type="spellStart"/>
      <w:r w:rsidRPr="009F437E">
        <w:rPr>
          <w:rFonts w:ascii="Times New Roman" w:hAnsi="Times New Roman"/>
          <w:sz w:val="24"/>
          <w:szCs w:val="24"/>
        </w:rPr>
        <w:t>Kirsh</w:t>
      </w:r>
      <w:proofErr w:type="spellEnd"/>
      <w:r w:rsidRPr="009F437E">
        <w:rPr>
          <w:rFonts w:ascii="Times New Roman" w:hAnsi="Times New Roman"/>
          <w:sz w:val="24"/>
          <w:szCs w:val="24"/>
        </w:rPr>
        <w:t xml:space="preserve">, K. L., &amp; </w:t>
      </w:r>
      <w:proofErr w:type="spellStart"/>
      <w:r w:rsidRPr="009F437E">
        <w:rPr>
          <w:rFonts w:ascii="Times New Roman" w:hAnsi="Times New Roman"/>
          <w:sz w:val="24"/>
          <w:szCs w:val="24"/>
        </w:rPr>
        <w:t>Passik</w:t>
      </w:r>
      <w:proofErr w:type="spellEnd"/>
      <w:r w:rsidRPr="009F437E">
        <w:rPr>
          <w:rFonts w:ascii="Times New Roman" w:hAnsi="Times New Roman"/>
          <w:sz w:val="24"/>
          <w:szCs w:val="24"/>
        </w:rPr>
        <w:t>, S. D. (2008).</w:t>
      </w:r>
      <w:proofErr w:type="gramEnd"/>
      <w:r w:rsidRPr="009F437E">
        <w:rPr>
          <w:rFonts w:ascii="Times New Roman" w:hAnsi="Times New Roman"/>
          <w:sz w:val="24"/>
          <w:szCs w:val="24"/>
        </w:rPr>
        <w:t xml:space="preserve"> Challenges in using opioids to treat pain in persons with substance use disorders. </w:t>
      </w:r>
      <w:r w:rsidRPr="009F437E">
        <w:rPr>
          <w:rFonts w:ascii="Times New Roman" w:hAnsi="Times New Roman"/>
          <w:i/>
          <w:iCs/>
          <w:sz w:val="24"/>
          <w:szCs w:val="24"/>
        </w:rPr>
        <w:t xml:space="preserve">Addict </w:t>
      </w:r>
      <w:proofErr w:type="spellStart"/>
      <w:r w:rsidRPr="009F437E">
        <w:rPr>
          <w:rFonts w:ascii="Times New Roman" w:hAnsi="Times New Roman"/>
          <w:i/>
          <w:iCs/>
          <w:sz w:val="24"/>
          <w:szCs w:val="24"/>
        </w:rPr>
        <w:t>Sci</w:t>
      </w:r>
      <w:proofErr w:type="spellEnd"/>
      <w:r w:rsidRPr="009F437E">
        <w:rPr>
          <w:rFonts w:ascii="Times New Roman" w:hAnsi="Times New Roman"/>
          <w:i/>
          <w:iCs/>
          <w:sz w:val="24"/>
          <w:szCs w:val="24"/>
        </w:rPr>
        <w:t xml:space="preserve"> </w:t>
      </w:r>
      <w:proofErr w:type="spellStart"/>
      <w:r w:rsidRPr="009F437E">
        <w:rPr>
          <w:rFonts w:ascii="Times New Roman" w:hAnsi="Times New Roman"/>
          <w:i/>
          <w:iCs/>
          <w:sz w:val="24"/>
          <w:szCs w:val="24"/>
        </w:rPr>
        <w:t>Clin</w:t>
      </w:r>
      <w:proofErr w:type="spellEnd"/>
      <w:r w:rsidRPr="009F437E">
        <w:rPr>
          <w:rFonts w:ascii="Times New Roman" w:hAnsi="Times New Roman"/>
          <w:i/>
          <w:iCs/>
          <w:sz w:val="24"/>
          <w:szCs w:val="24"/>
        </w:rPr>
        <w:t xml:space="preserve"> </w:t>
      </w:r>
      <w:proofErr w:type="spellStart"/>
      <w:r w:rsidRPr="009F437E">
        <w:rPr>
          <w:rFonts w:ascii="Times New Roman" w:hAnsi="Times New Roman"/>
          <w:i/>
          <w:iCs/>
          <w:sz w:val="24"/>
          <w:szCs w:val="24"/>
        </w:rPr>
        <w:t>Pract</w:t>
      </w:r>
      <w:proofErr w:type="spellEnd"/>
      <w:r w:rsidRPr="009F437E">
        <w:rPr>
          <w:rFonts w:ascii="Times New Roman" w:hAnsi="Times New Roman"/>
          <w:i/>
          <w:iCs/>
          <w:sz w:val="24"/>
          <w:szCs w:val="24"/>
        </w:rPr>
        <w:t>, 4</w:t>
      </w:r>
      <w:r w:rsidRPr="009F437E">
        <w:rPr>
          <w:rFonts w:ascii="Times New Roman" w:hAnsi="Times New Roman"/>
          <w:sz w:val="24"/>
          <w:szCs w:val="24"/>
        </w:rPr>
        <w:t>(2), 4-25. http://www.ncbi.nlm.nih.gov/pubmed/18497713</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9F437E">
        <w:rPr>
          <w:rFonts w:ascii="Times New Roman" w:hAnsi="Times New Roman"/>
          <w:sz w:val="24"/>
          <w:szCs w:val="24"/>
        </w:rPr>
        <w:t xml:space="preserve">Seale, J. P., </w:t>
      </w:r>
      <w:proofErr w:type="spellStart"/>
      <w:r w:rsidRPr="009F437E">
        <w:rPr>
          <w:rFonts w:ascii="Times New Roman" w:hAnsi="Times New Roman"/>
          <w:sz w:val="24"/>
          <w:szCs w:val="24"/>
        </w:rPr>
        <w:t>Shellenberger</w:t>
      </w:r>
      <w:proofErr w:type="spellEnd"/>
      <w:r w:rsidRPr="009F437E">
        <w:rPr>
          <w:rFonts w:ascii="Times New Roman" w:hAnsi="Times New Roman"/>
          <w:sz w:val="24"/>
          <w:szCs w:val="24"/>
        </w:rPr>
        <w:t xml:space="preserve">, S., &amp; Clark, D. C. (2010). </w:t>
      </w:r>
      <w:proofErr w:type="gramStart"/>
      <w:r w:rsidRPr="009F437E">
        <w:rPr>
          <w:rFonts w:ascii="Times New Roman" w:hAnsi="Times New Roman"/>
          <w:sz w:val="24"/>
          <w:szCs w:val="24"/>
        </w:rPr>
        <w:t>Providing competency-based family medicine residency training in substance abuse in the new millennium: a model curriculum.</w:t>
      </w:r>
      <w:proofErr w:type="gramEnd"/>
      <w:r w:rsidRPr="009F437E">
        <w:rPr>
          <w:rFonts w:ascii="Times New Roman" w:hAnsi="Times New Roman"/>
          <w:sz w:val="24"/>
          <w:szCs w:val="24"/>
        </w:rPr>
        <w:t xml:space="preserve"> </w:t>
      </w:r>
      <w:proofErr w:type="gramStart"/>
      <w:r w:rsidRPr="009F437E">
        <w:rPr>
          <w:rFonts w:ascii="Times New Roman" w:hAnsi="Times New Roman"/>
          <w:i/>
          <w:iCs/>
          <w:sz w:val="24"/>
          <w:szCs w:val="24"/>
        </w:rPr>
        <w:t xml:space="preserve">BMC Med </w:t>
      </w:r>
      <w:proofErr w:type="spellStart"/>
      <w:r w:rsidRPr="009F437E">
        <w:rPr>
          <w:rFonts w:ascii="Times New Roman" w:hAnsi="Times New Roman"/>
          <w:i/>
          <w:iCs/>
          <w:sz w:val="24"/>
          <w:szCs w:val="24"/>
        </w:rPr>
        <w:t>Educ</w:t>
      </w:r>
      <w:proofErr w:type="spellEnd"/>
      <w:r w:rsidRPr="009F437E">
        <w:rPr>
          <w:rFonts w:ascii="Times New Roman" w:hAnsi="Times New Roman"/>
          <w:i/>
          <w:iCs/>
          <w:sz w:val="24"/>
          <w:szCs w:val="24"/>
        </w:rPr>
        <w:t>, 10</w:t>
      </w:r>
      <w:r w:rsidRPr="009F437E">
        <w:rPr>
          <w:rFonts w:ascii="Times New Roman" w:hAnsi="Times New Roman"/>
          <w:sz w:val="24"/>
          <w:szCs w:val="24"/>
        </w:rPr>
        <w:t>, 33.</w:t>
      </w:r>
      <w:proofErr w:type="gramEnd"/>
      <w:r w:rsidRPr="009F437E">
        <w:rPr>
          <w:rFonts w:ascii="Times New Roman" w:hAnsi="Times New Roman"/>
          <w:sz w:val="24"/>
          <w:szCs w:val="24"/>
        </w:rPr>
        <w:t xml:space="preserve">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10.1186/1472-6920-10-33 </w:t>
      </w:r>
      <w:r w:rsidRPr="00E72C31">
        <w:rPr>
          <w:rFonts w:ascii="Times New Roman" w:hAnsi="Times New Roman"/>
          <w:sz w:val="24"/>
          <w:szCs w:val="24"/>
        </w:rPr>
        <w:t>http://www.ncbi.nlm.nih.gov/pubmed/20459842</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117B28">
        <w:rPr>
          <w:rFonts w:ascii="Times New Roman" w:hAnsi="Times New Roman"/>
          <w:sz w:val="24"/>
          <w:szCs w:val="24"/>
        </w:rPr>
        <w:lastRenderedPageBreak/>
        <w:t>Special Report on Prescribing in Dentistry in the Journal of the Massachusetts Dental Society (Fall 2015).</w:t>
      </w:r>
      <w:proofErr w:type="gramEnd"/>
      <w:r w:rsidRPr="00117B28">
        <w:rPr>
          <w:rFonts w:ascii="Times New Roman" w:hAnsi="Times New Roman"/>
          <w:sz w:val="24"/>
          <w:szCs w:val="24"/>
        </w:rPr>
        <w:t xml:space="preserve">  </w:t>
      </w:r>
      <w:r w:rsidRPr="00E72C31">
        <w:rPr>
          <w:rFonts w:ascii="Times New Roman" w:hAnsi="Times New Roman"/>
          <w:sz w:val="24"/>
          <w:szCs w:val="24"/>
        </w:rPr>
        <w:t>http://mydigimag.rrd.com/publication/?i=280489&amp;p=20</w:t>
      </w:r>
      <w:r w:rsidRPr="00117B28">
        <w:rPr>
          <w:rFonts w:ascii="Times New Roman" w:hAnsi="Times New Roman"/>
          <w:sz w:val="24"/>
          <w:szCs w:val="24"/>
        </w:rPr>
        <w:t>.</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117B28">
        <w:rPr>
          <w:rFonts w:ascii="Times New Roman" w:hAnsi="Times New Roman"/>
          <w:sz w:val="24"/>
          <w:szCs w:val="24"/>
        </w:rPr>
        <w:t>Volkow</w:t>
      </w:r>
      <w:proofErr w:type="spellEnd"/>
      <w:r w:rsidRPr="00117B28">
        <w:rPr>
          <w:rFonts w:ascii="Times New Roman" w:hAnsi="Times New Roman"/>
          <w:sz w:val="24"/>
          <w:szCs w:val="24"/>
        </w:rPr>
        <w:t>, N</w:t>
      </w:r>
      <w:r w:rsidR="00576CB0">
        <w:rPr>
          <w:rFonts w:ascii="Times New Roman" w:hAnsi="Times New Roman"/>
          <w:sz w:val="24"/>
          <w:szCs w:val="24"/>
        </w:rPr>
        <w:t>.</w:t>
      </w:r>
      <w:r w:rsidRPr="00117B28">
        <w:rPr>
          <w:rFonts w:ascii="Times New Roman" w:hAnsi="Times New Roman"/>
          <w:sz w:val="24"/>
          <w:szCs w:val="24"/>
        </w:rPr>
        <w:t>D</w:t>
      </w:r>
      <w:r w:rsidR="00576CB0">
        <w:rPr>
          <w:rFonts w:ascii="Times New Roman" w:hAnsi="Times New Roman"/>
          <w:sz w:val="24"/>
          <w:szCs w:val="24"/>
        </w:rPr>
        <w:t>.</w:t>
      </w:r>
      <w:proofErr w:type="gramStart"/>
      <w:r w:rsidRPr="00117B28">
        <w:rPr>
          <w:rFonts w:ascii="Times New Roman" w:hAnsi="Times New Roman"/>
          <w:sz w:val="24"/>
          <w:szCs w:val="24"/>
        </w:rPr>
        <w:t>,  McLellan</w:t>
      </w:r>
      <w:proofErr w:type="gramEnd"/>
      <w:r w:rsidRPr="00117B28">
        <w:rPr>
          <w:rFonts w:ascii="Times New Roman" w:hAnsi="Times New Roman"/>
          <w:sz w:val="24"/>
          <w:szCs w:val="24"/>
        </w:rPr>
        <w:t>, T</w:t>
      </w:r>
      <w:r w:rsidR="00576CB0">
        <w:rPr>
          <w:rFonts w:ascii="Times New Roman" w:hAnsi="Times New Roman"/>
          <w:sz w:val="24"/>
          <w:szCs w:val="24"/>
        </w:rPr>
        <w:t>.</w:t>
      </w:r>
      <w:r w:rsidRPr="00117B28">
        <w:rPr>
          <w:rFonts w:ascii="Times New Roman" w:hAnsi="Times New Roman"/>
          <w:sz w:val="24"/>
          <w:szCs w:val="24"/>
        </w:rPr>
        <w:t>A</w:t>
      </w:r>
      <w:r w:rsidR="00576CB0">
        <w:rPr>
          <w:rFonts w:ascii="Times New Roman" w:hAnsi="Times New Roman"/>
          <w:sz w:val="24"/>
          <w:szCs w:val="24"/>
        </w:rPr>
        <w:t>.</w:t>
      </w:r>
      <w:r w:rsidRPr="00117B28">
        <w:rPr>
          <w:rFonts w:ascii="Times New Roman" w:hAnsi="Times New Roman"/>
          <w:sz w:val="24"/>
          <w:szCs w:val="24"/>
        </w:rPr>
        <w:t xml:space="preserve">, </w:t>
      </w:r>
      <w:proofErr w:type="spellStart"/>
      <w:r w:rsidRPr="00117B28">
        <w:rPr>
          <w:rFonts w:ascii="Times New Roman" w:hAnsi="Times New Roman"/>
          <w:sz w:val="24"/>
          <w:szCs w:val="24"/>
        </w:rPr>
        <w:t>Cotto</w:t>
      </w:r>
      <w:proofErr w:type="spellEnd"/>
      <w:r w:rsidRPr="00117B28">
        <w:rPr>
          <w:rFonts w:ascii="Times New Roman" w:hAnsi="Times New Roman"/>
          <w:sz w:val="24"/>
          <w:szCs w:val="24"/>
        </w:rPr>
        <w:t>, J</w:t>
      </w:r>
      <w:r w:rsidR="00576CB0">
        <w:rPr>
          <w:rFonts w:ascii="Times New Roman" w:hAnsi="Times New Roman"/>
          <w:sz w:val="24"/>
          <w:szCs w:val="24"/>
        </w:rPr>
        <w:t>.</w:t>
      </w:r>
      <w:r w:rsidRPr="00117B28">
        <w:rPr>
          <w:rFonts w:ascii="Times New Roman" w:hAnsi="Times New Roman"/>
          <w:sz w:val="24"/>
          <w:szCs w:val="24"/>
        </w:rPr>
        <w:t>H</w:t>
      </w:r>
      <w:r w:rsidR="00576CB0">
        <w:rPr>
          <w:rFonts w:ascii="Times New Roman" w:hAnsi="Times New Roman"/>
          <w:sz w:val="24"/>
          <w:szCs w:val="24"/>
        </w:rPr>
        <w:t>.</w:t>
      </w:r>
      <w:r w:rsidRPr="00117B28">
        <w:rPr>
          <w:rFonts w:ascii="Times New Roman" w:hAnsi="Times New Roman"/>
          <w:sz w:val="24"/>
          <w:szCs w:val="24"/>
        </w:rPr>
        <w:t xml:space="preserve">, </w:t>
      </w:r>
      <w:proofErr w:type="spellStart"/>
      <w:r w:rsidRPr="00117B28">
        <w:rPr>
          <w:rFonts w:ascii="Times New Roman" w:hAnsi="Times New Roman"/>
          <w:sz w:val="24"/>
          <w:szCs w:val="24"/>
        </w:rPr>
        <w:t>Karithanom</w:t>
      </w:r>
      <w:proofErr w:type="spellEnd"/>
      <w:r w:rsidRPr="00117B28">
        <w:rPr>
          <w:rFonts w:ascii="Times New Roman" w:hAnsi="Times New Roman"/>
          <w:sz w:val="24"/>
          <w:szCs w:val="24"/>
        </w:rPr>
        <w:t>, M</w:t>
      </w:r>
      <w:r w:rsidR="00576CB0">
        <w:rPr>
          <w:rFonts w:ascii="Times New Roman" w:hAnsi="Times New Roman"/>
          <w:sz w:val="24"/>
          <w:szCs w:val="24"/>
        </w:rPr>
        <w:t>. &amp;</w:t>
      </w:r>
      <w:r w:rsidRPr="00117B28">
        <w:rPr>
          <w:rFonts w:ascii="Times New Roman" w:hAnsi="Times New Roman"/>
          <w:sz w:val="24"/>
          <w:szCs w:val="24"/>
        </w:rPr>
        <w:t xml:space="preserve"> Weiss, S</w:t>
      </w:r>
      <w:r w:rsidR="00576CB0">
        <w:rPr>
          <w:rFonts w:ascii="Times New Roman" w:hAnsi="Times New Roman"/>
          <w:sz w:val="24"/>
          <w:szCs w:val="24"/>
        </w:rPr>
        <w:t>.</w:t>
      </w:r>
      <w:r w:rsidRPr="00117B28">
        <w:rPr>
          <w:rFonts w:ascii="Times New Roman" w:hAnsi="Times New Roman"/>
          <w:sz w:val="24"/>
          <w:szCs w:val="24"/>
        </w:rPr>
        <w:t>R</w:t>
      </w:r>
      <w:r w:rsidR="00576CB0">
        <w:rPr>
          <w:rFonts w:ascii="Times New Roman" w:hAnsi="Times New Roman"/>
          <w:sz w:val="24"/>
          <w:szCs w:val="24"/>
        </w:rPr>
        <w:t>.</w:t>
      </w:r>
      <w:r w:rsidRPr="00117B28">
        <w:rPr>
          <w:rFonts w:ascii="Times New Roman" w:hAnsi="Times New Roman"/>
          <w:sz w:val="24"/>
          <w:szCs w:val="24"/>
        </w:rPr>
        <w:t>B</w:t>
      </w:r>
      <w:r w:rsidR="00240391">
        <w:rPr>
          <w:rFonts w:ascii="Times New Roman" w:hAnsi="Times New Roman"/>
          <w:sz w:val="24"/>
          <w:szCs w:val="24"/>
        </w:rPr>
        <w:t>.</w:t>
      </w:r>
      <w:r w:rsidRPr="00117B28">
        <w:rPr>
          <w:rFonts w:ascii="Times New Roman" w:hAnsi="Times New Roman"/>
          <w:sz w:val="24"/>
          <w:szCs w:val="24"/>
        </w:rPr>
        <w:t xml:space="preserve"> Characteristics of Opioid prescriptions in 2009. JAMA: Journal American Medical Association. 2011</w:t>
      </w:r>
      <w:proofErr w:type="gramStart"/>
      <w:r w:rsidRPr="00117B28">
        <w:rPr>
          <w:rFonts w:ascii="Times New Roman" w:hAnsi="Times New Roman"/>
          <w:sz w:val="24"/>
          <w:szCs w:val="24"/>
        </w:rPr>
        <w:t>;305</w:t>
      </w:r>
      <w:proofErr w:type="gramEnd"/>
      <w:r w:rsidRPr="00117B28">
        <w:rPr>
          <w:rFonts w:ascii="Times New Roman" w:hAnsi="Times New Roman"/>
          <w:sz w:val="24"/>
          <w:szCs w:val="24"/>
        </w:rPr>
        <w:t>(13):1299-1301</w:t>
      </w:r>
    </w:p>
    <w:p w:rsidR="00C924C1" w:rsidRPr="009F437E"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r w:rsidRPr="009F437E">
        <w:rPr>
          <w:rFonts w:ascii="Times New Roman" w:hAnsi="Times New Roman"/>
          <w:sz w:val="24"/>
          <w:szCs w:val="24"/>
        </w:rPr>
        <w:t>Wachholtz</w:t>
      </w:r>
      <w:proofErr w:type="spellEnd"/>
      <w:r w:rsidRPr="009F437E">
        <w:rPr>
          <w:rFonts w:ascii="Times New Roman" w:hAnsi="Times New Roman"/>
          <w:sz w:val="24"/>
          <w:szCs w:val="24"/>
        </w:rPr>
        <w:t xml:space="preserve">, A., Foster, S., &amp; </w:t>
      </w:r>
      <w:proofErr w:type="spellStart"/>
      <w:r w:rsidRPr="009F437E">
        <w:rPr>
          <w:rFonts w:ascii="Times New Roman" w:hAnsi="Times New Roman"/>
          <w:sz w:val="24"/>
          <w:szCs w:val="24"/>
        </w:rPr>
        <w:t>Cheatle</w:t>
      </w:r>
      <w:proofErr w:type="spellEnd"/>
      <w:r w:rsidRPr="009F437E">
        <w:rPr>
          <w:rFonts w:ascii="Times New Roman" w:hAnsi="Times New Roman"/>
          <w:sz w:val="24"/>
          <w:szCs w:val="24"/>
        </w:rPr>
        <w:t xml:space="preserve">, M. (2015). Psychophysiology of pain and opioid use: implications for managing pain in patients with an opioid use disorder. </w:t>
      </w:r>
      <w:r w:rsidRPr="009F437E">
        <w:rPr>
          <w:rFonts w:ascii="Times New Roman" w:hAnsi="Times New Roman"/>
          <w:i/>
          <w:iCs/>
          <w:sz w:val="24"/>
          <w:szCs w:val="24"/>
        </w:rPr>
        <w:t>Drug Alcohol Depend, 146</w:t>
      </w:r>
      <w:r w:rsidRPr="009F437E">
        <w:rPr>
          <w:rFonts w:ascii="Times New Roman" w:hAnsi="Times New Roman"/>
          <w:sz w:val="24"/>
          <w:szCs w:val="24"/>
        </w:rPr>
        <w:t xml:space="preserve">, 1-6.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10.1016/j.drugalcdep.2014.10.023 http://www.ncbi.nlm.nih.gov/pubmed/25468815</w:t>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spellStart"/>
      <w:proofErr w:type="gramStart"/>
      <w:r w:rsidRPr="009F437E">
        <w:rPr>
          <w:rFonts w:ascii="Times New Roman" w:hAnsi="Times New Roman"/>
          <w:sz w:val="24"/>
          <w:szCs w:val="24"/>
        </w:rPr>
        <w:t>Wachholtz</w:t>
      </w:r>
      <w:proofErr w:type="spellEnd"/>
      <w:r w:rsidRPr="009F437E">
        <w:rPr>
          <w:rFonts w:ascii="Times New Roman" w:hAnsi="Times New Roman"/>
          <w:sz w:val="24"/>
          <w:szCs w:val="24"/>
        </w:rPr>
        <w:t xml:space="preserve">, A., Gonzalez, G., Boyer, E., Naqvi, Z. N., Rosenbaum, C., &amp; </w:t>
      </w:r>
      <w:proofErr w:type="spellStart"/>
      <w:r w:rsidRPr="009F437E">
        <w:rPr>
          <w:rFonts w:ascii="Times New Roman" w:hAnsi="Times New Roman"/>
          <w:sz w:val="24"/>
          <w:szCs w:val="24"/>
        </w:rPr>
        <w:t>Ziedonis</w:t>
      </w:r>
      <w:proofErr w:type="spellEnd"/>
      <w:r w:rsidRPr="009F437E">
        <w:rPr>
          <w:rFonts w:ascii="Times New Roman" w:hAnsi="Times New Roman"/>
          <w:sz w:val="24"/>
          <w:szCs w:val="24"/>
        </w:rPr>
        <w:t>, D. (2011).</w:t>
      </w:r>
      <w:proofErr w:type="gramEnd"/>
      <w:r w:rsidRPr="009F437E">
        <w:rPr>
          <w:rFonts w:ascii="Times New Roman" w:hAnsi="Times New Roman"/>
          <w:sz w:val="24"/>
          <w:szCs w:val="24"/>
        </w:rPr>
        <w:t xml:space="preserve"> Intersection of chronic pain treatment and opioid analgesic misuse: causes, treatments, and policy strategies. </w:t>
      </w:r>
      <w:proofErr w:type="spellStart"/>
      <w:r w:rsidRPr="009F437E">
        <w:rPr>
          <w:rFonts w:ascii="Times New Roman" w:hAnsi="Times New Roman"/>
          <w:i/>
          <w:iCs/>
          <w:sz w:val="24"/>
          <w:szCs w:val="24"/>
        </w:rPr>
        <w:t>Subst</w:t>
      </w:r>
      <w:proofErr w:type="spellEnd"/>
      <w:r w:rsidRPr="009F437E">
        <w:rPr>
          <w:rFonts w:ascii="Times New Roman" w:hAnsi="Times New Roman"/>
          <w:i/>
          <w:iCs/>
          <w:sz w:val="24"/>
          <w:szCs w:val="24"/>
        </w:rPr>
        <w:t xml:space="preserve"> Abuse </w:t>
      </w:r>
      <w:proofErr w:type="spellStart"/>
      <w:r w:rsidRPr="009F437E">
        <w:rPr>
          <w:rFonts w:ascii="Times New Roman" w:hAnsi="Times New Roman"/>
          <w:i/>
          <w:iCs/>
          <w:sz w:val="24"/>
          <w:szCs w:val="24"/>
        </w:rPr>
        <w:t>Rehabil</w:t>
      </w:r>
      <w:proofErr w:type="spellEnd"/>
      <w:r w:rsidRPr="009F437E">
        <w:rPr>
          <w:rFonts w:ascii="Times New Roman" w:hAnsi="Times New Roman"/>
          <w:i/>
          <w:iCs/>
          <w:sz w:val="24"/>
          <w:szCs w:val="24"/>
        </w:rPr>
        <w:t>, 2</w:t>
      </w:r>
      <w:r w:rsidRPr="009F437E">
        <w:rPr>
          <w:rFonts w:ascii="Times New Roman" w:hAnsi="Times New Roman"/>
          <w:sz w:val="24"/>
          <w:szCs w:val="24"/>
        </w:rPr>
        <w:t xml:space="preserve">, 145-162.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10.2147/SAR.S12944 </w:t>
      </w:r>
      <w:r w:rsidRPr="00E72C31">
        <w:rPr>
          <w:rFonts w:ascii="Times New Roman" w:hAnsi="Times New Roman"/>
          <w:sz w:val="24"/>
          <w:szCs w:val="24"/>
        </w:rPr>
        <w:t>http://www.ncbi.nlm.nih.gov/pubmed/24474854</w:t>
      </w:r>
    </w:p>
    <w:p w:rsidR="00C924C1" w:rsidRPr="00117B28" w:rsidRDefault="00C924C1" w:rsidP="0008117A">
      <w:pPr>
        <w:widowControl w:val="0"/>
        <w:autoSpaceDE w:val="0"/>
        <w:autoSpaceDN w:val="0"/>
        <w:adjustRightInd w:val="0"/>
        <w:spacing w:after="120"/>
        <w:ind w:left="720" w:right="-720" w:hanging="720"/>
        <w:rPr>
          <w:rFonts w:ascii="Times New Roman" w:hAnsi="Times New Roman"/>
          <w:sz w:val="24"/>
          <w:szCs w:val="24"/>
        </w:rPr>
      </w:pPr>
      <w:r w:rsidRPr="00117B28">
        <w:rPr>
          <w:rFonts w:ascii="Times New Roman" w:hAnsi="Times New Roman"/>
          <w:sz w:val="24"/>
          <w:szCs w:val="24"/>
        </w:rPr>
        <w:t>Watt-Watson</w:t>
      </w:r>
      <w:r w:rsidR="0008117A">
        <w:rPr>
          <w:rFonts w:ascii="Times New Roman" w:hAnsi="Times New Roman"/>
          <w:sz w:val="24"/>
          <w:szCs w:val="24"/>
        </w:rPr>
        <w:t>,</w:t>
      </w:r>
      <w:r w:rsidRPr="00117B28">
        <w:rPr>
          <w:rFonts w:ascii="Times New Roman" w:hAnsi="Times New Roman"/>
          <w:sz w:val="24"/>
          <w:szCs w:val="24"/>
        </w:rPr>
        <w:t xml:space="preserve"> J</w:t>
      </w:r>
      <w:r w:rsidR="00240391">
        <w:rPr>
          <w:rFonts w:ascii="Times New Roman" w:hAnsi="Times New Roman"/>
          <w:sz w:val="24"/>
          <w:szCs w:val="24"/>
        </w:rPr>
        <w:t>.</w:t>
      </w:r>
      <w:r w:rsidRPr="00117B28">
        <w:rPr>
          <w:rFonts w:ascii="Times New Roman" w:hAnsi="Times New Roman"/>
          <w:sz w:val="24"/>
          <w:szCs w:val="24"/>
        </w:rPr>
        <w:t>, Siddall</w:t>
      </w:r>
      <w:r w:rsidR="0008117A">
        <w:rPr>
          <w:rFonts w:ascii="Times New Roman" w:hAnsi="Times New Roman"/>
          <w:sz w:val="24"/>
          <w:szCs w:val="24"/>
        </w:rPr>
        <w:t>,</w:t>
      </w:r>
      <w:r w:rsidRPr="00117B28">
        <w:rPr>
          <w:rFonts w:ascii="Times New Roman" w:hAnsi="Times New Roman"/>
          <w:sz w:val="24"/>
          <w:szCs w:val="24"/>
        </w:rPr>
        <w:t xml:space="preserve"> P</w:t>
      </w:r>
      <w:r w:rsidR="00240391">
        <w:rPr>
          <w:rFonts w:ascii="Times New Roman" w:hAnsi="Times New Roman"/>
          <w:sz w:val="24"/>
          <w:szCs w:val="24"/>
        </w:rPr>
        <w:t>.</w:t>
      </w:r>
      <w:r w:rsidRPr="00117B28">
        <w:rPr>
          <w:rFonts w:ascii="Times New Roman" w:hAnsi="Times New Roman"/>
          <w:sz w:val="24"/>
          <w:szCs w:val="24"/>
        </w:rPr>
        <w:t>J</w:t>
      </w:r>
      <w:r w:rsidR="00240391">
        <w:rPr>
          <w:rFonts w:ascii="Times New Roman" w:hAnsi="Times New Roman"/>
          <w:sz w:val="24"/>
          <w:szCs w:val="24"/>
        </w:rPr>
        <w:t>.</w:t>
      </w:r>
      <w:r w:rsidRPr="00117B28">
        <w:rPr>
          <w:rFonts w:ascii="Times New Roman" w:hAnsi="Times New Roman"/>
          <w:sz w:val="24"/>
          <w:szCs w:val="24"/>
        </w:rPr>
        <w:t xml:space="preserve">, </w:t>
      </w:r>
      <w:r w:rsidR="00240391">
        <w:rPr>
          <w:rFonts w:ascii="Times New Roman" w:hAnsi="Times New Roman"/>
          <w:sz w:val="24"/>
          <w:szCs w:val="24"/>
        </w:rPr>
        <w:t xml:space="preserve">&amp; </w:t>
      </w:r>
      <w:r w:rsidRPr="00117B28">
        <w:rPr>
          <w:rFonts w:ascii="Times New Roman" w:hAnsi="Times New Roman"/>
          <w:sz w:val="24"/>
          <w:szCs w:val="24"/>
        </w:rPr>
        <w:t>Carr</w:t>
      </w:r>
      <w:r w:rsidR="0008117A">
        <w:rPr>
          <w:rFonts w:ascii="Times New Roman" w:hAnsi="Times New Roman"/>
          <w:sz w:val="24"/>
          <w:szCs w:val="24"/>
        </w:rPr>
        <w:t>,</w:t>
      </w:r>
      <w:r w:rsidRPr="00117B28">
        <w:rPr>
          <w:rFonts w:ascii="Times New Roman" w:hAnsi="Times New Roman"/>
          <w:sz w:val="24"/>
          <w:szCs w:val="24"/>
        </w:rPr>
        <w:t xml:space="preserve"> E. </w:t>
      </w:r>
      <w:proofErr w:type="spellStart"/>
      <w:r w:rsidRPr="00117B28">
        <w:rPr>
          <w:rFonts w:ascii="Times New Roman" w:hAnsi="Times New Roman"/>
          <w:sz w:val="24"/>
          <w:szCs w:val="24"/>
        </w:rPr>
        <w:t>Interprofessional</w:t>
      </w:r>
      <w:proofErr w:type="spellEnd"/>
      <w:r w:rsidRPr="00117B28">
        <w:rPr>
          <w:rFonts w:ascii="Times New Roman" w:hAnsi="Times New Roman"/>
          <w:sz w:val="24"/>
          <w:szCs w:val="24"/>
        </w:rPr>
        <w:t xml:space="preserve"> pain education: the road to successful pain management outcomes. </w:t>
      </w:r>
      <w:proofErr w:type="gramStart"/>
      <w:r w:rsidRPr="00117B28">
        <w:rPr>
          <w:rFonts w:ascii="Times New Roman" w:hAnsi="Times New Roman"/>
          <w:sz w:val="24"/>
          <w:szCs w:val="24"/>
        </w:rPr>
        <w:t>Pain Management.</w:t>
      </w:r>
      <w:proofErr w:type="gramEnd"/>
      <w:r w:rsidRPr="00117B28">
        <w:rPr>
          <w:rFonts w:ascii="Times New Roman" w:hAnsi="Times New Roman"/>
          <w:sz w:val="24"/>
          <w:szCs w:val="24"/>
        </w:rPr>
        <w:t xml:space="preserve"> 2012 Sep</w:t>
      </w:r>
      <w:proofErr w:type="gramStart"/>
      <w:r w:rsidRPr="00117B28">
        <w:rPr>
          <w:rFonts w:ascii="Times New Roman" w:hAnsi="Times New Roman"/>
          <w:sz w:val="24"/>
          <w:szCs w:val="24"/>
        </w:rPr>
        <w:t>;2</w:t>
      </w:r>
      <w:proofErr w:type="gramEnd"/>
      <w:r w:rsidRPr="00117B28">
        <w:rPr>
          <w:rFonts w:ascii="Times New Roman" w:hAnsi="Times New Roman"/>
          <w:sz w:val="24"/>
          <w:szCs w:val="24"/>
        </w:rPr>
        <w:t xml:space="preserve">(5):417-20. PubMed PMID: 24645854. </w:t>
      </w:r>
      <w:r w:rsidRPr="00117B28">
        <w:rPr>
          <w:rFonts w:ascii="Times New Roman" w:hAnsi="Times New Roman"/>
          <w:sz w:val="24"/>
          <w:szCs w:val="24"/>
        </w:rPr>
        <w:tab/>
      </w:r>
    </w:p>
    <w:p w:rsidR="00C924C1" w:rsidRDefault="00C924C1" w:rsidP="0008117A">
      <w:pPr>
        <w:widowControl w:val="0"/>
        <w:autoSpaceDE w:val="0"/>
        <w:autoSpaceDN w:val="0"/>
        <w:adjustRightInd w:val="0"/>
        <w:spacing w:after="120"/>
        <w:ind w:left="720" w:right="-720" w:hanging="720"/>
        <w:rPr>
          <w:rFonts w:ascii="Times New Roman" w:hAnsi="Times New Roman"/>
          <w:sz w:val="24"/>
          <w:szCs w:val="24"/>
        </w:rPr>
      </w:pPr>
      <w:proofErr w:type="gramStart"/>
      <w:r w:rsidRPr="009F437E">
        <w:rPr>
          <w:rFonts w:ascii="Times New Roman" w:hAnsi="Times New Roman"/>
          <w:sz w:val="24"/>
          <w:szCs w:val="24"/>
        </w:rPr>
        <w:t>Webster, L. R., &amp; Webster, R. M. (2005).</w:t>
      </w:r>
      <w:proofErr w:type="gramEnd"/>
      <w:r w:rsidRPr="009F437E">
        <w:rPr>
          <w:rFonts w:ascii="Times New Roman" w:hAnsi="Times New Roman"/>
          <w:sz w:val="24"/>
          <w:szCs w:val="24"/>
        </w:rPr>
        <w:t xml:space="preserve"> </w:t>
      </w:r>
      <w:proofErr w:type="gramStart"/>
      <w:r w:rsidRPr="009F437E">
        <w:rPr>
          <w:rFonts w:ascii="Times New Roman" w:hAnsi="Times New Roman"/>
          <w:sz w:val="24"/>
          <w:szCs w:val="24"/>
        </w:rPr>
        <w:t>Predicting aberrant behaviors in opioid-treated patients: preliminary validation of the Opioid Risk Tool.</w:t>
      </w:r>
      <w:proofErr w:type="gramEnd"/>
      <w:r w:rsidRPr="009F437E">
        <w:rPr>
          <w:rFonts w:ascii="Times New Roman" w:hAnsi="Times New Roman"/>
          <w:sz w:val="24"/>
          <w:szCs w:val="24"/>
        </w:rPr>
        <w:t xml:space="preserve"> </w:t>
      </w:r>
      <w:r w:rsidRPr="009F437E">
        <w:rPr>
          <w:rFonts w:ascii="Times New Roman" w:hAnsi="Times New Roman"/>
          <w:i/>
          <w:iCs/>
          <w:sz w:val="24"/>
          <w:szCs w:val="24"/>
        </w:rPr>
        <w:t>Pain Med, 6</w:t>
      </w:r>
      <w:r w:rsidRPr="009F437E">
        <w:rPr>
          <w:rFonts w:ascii="Times New Roman" w:hAnsi="Times New Roman"/>
          <w:sz w:val="24"/>
          <w:szCs w:val="24"/>
        </w:rPr>
        <w:t xml:space="preserve">(6), 432-442. </w:t>
      </w:r>
      <w:proofErr w:type="spellStart"/>
      <w:proofErr w:type="gramStart"/>
      <w:r w:rsidRPr="009F437E">
        <w:rPr>
          <w:rFonts w:ascii="Times New Roman" w:hAnsi="Times New Roman"/>
          <w:sz w:val="24"/>
          <w:szCs w:val="24"/>
        </w:rPr>
        <w:t>doi</w:t>
      </w:r>
      <w:proofErr w:type="spellEnd"/>
      <w:proofErr w:type="gramEnd"/>
      <w:r w:rsidRPr="009F437E">
        <w:rPr>
          <w:rFonts w:ascii="Times New Roman" w:hAnsi="Times New Roman"/>
          <w:sz w:val="24"/>
          <w:szCs w:val="24"/>
        </w:rPr>
        <w:t xml:space="preserve">: 10.1111/j.1526-4637.2005.00072.x </w:t>
      </w:r>
      <w:r w:rsidRPr="00E72C31">
        <w:rPr>
          <w:rFonts w:ascii="Times New Roman" w:hAnsi="Times New Roman"/>
          <w:sz w:val="24"/>
          <w:szCs w:val="24"/>
        </w:rPr>
        <w:t>http://www.ncbi.nlm.nih.gov/pubmed/16336480</w:t>
      </w:r>
    </w:p>
    <w:p w:rsidR="00D36EDF" w:rsidRDefault="00D36EDF" w:rsidP="00D1502A">
      <w:pPr>
        <w:pStyle w:val="Title"/>
        <w:numPr>
          <w:ilvl w:val="0"/>
          <w:numId w:val="0"/>
        </w:numPr>
        <w:outlineLvl w:val="0"/>
        <w:rPr>
          <w:rFonts w:ascii="Times New Roman" w:hAnsi="Times New Roman" w:cs="Times New Roman"/>
          <w:b/>
          <w:sz w:val="24"/>
          <w:szCs w:val="24"/>
        </w:rPr>
      </w:pPr>
    </w:p>
    <w:p w:rsidR="00D36EDF" w:rsidRPr="00C924C1" w:rsidRDefault="00D36EDF" w:rsidP="00D1502A">
      <w:pPr>
        <w:pStyle w:val="Title"/>
        <w:numPr>
          <w:ilvl w:val="0"/>
          <w:numId w:val="0"/>
        </w:numPr>
        <w:outlineLvl w:val="0"/>
        <w:rPr>
          <w:rFonts w:ascii="Times New Roman" w:hAnsi="Times New Roman" w:cs="Times New Roman"/>
          <w:b/>
          <w:sz w:val="20"/>
          <w:szCs w:val="20"/>
        </w:rPr>
      </w:pPr>
    </w:p>
    <w:p w:rsidR="00D36EDF" w:rsidRPr="00C924C1" w:rsidRDefault="00D36EDF" w:rsidP="00D1502A">
      <w:pPr>
        <w:pStyle w:val="Title"/>
        <w:numPr>
          <w:ilvl w:val="0"/>
          <w:numId w:val="0"/>
        </w:numPr>
        <w:outlineLvl w:val="0"/>
        <w:rPr>
          <w:rFonts w:ascii="Times New Roman" w:hAnsi="Times New Roman" w:cs="Times New Roman"/>
          <w:b/>
          <w:sz w:val="20"/>
          <w:szCs w:val="20"/>
        </w:rPr>
      </w:pPr>
    </w:p>
    <w:p w:rsidR="008C2EDA" w:rsidRPr="009F437E" w:rsidRDefault="008C2EDA" w:rsidP="00117B28">
      <w:pPr>
        <w:widowControl w:val="0"/>
        <w:autoSpaceDE w:val="0"/>
        <w:autoSpaceDN w:val="0"/>
        <w:adjustRightInd w:val="0"/>
        <w:ind w:left="720" w:right="-720" w:hanging="720"/>
        <w:sectPr w:rsidR="008C2EDA" w:rsidRPr="009F437E" w:rsidSect="008C2EDA">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0" w:footer="720" w:gutter="0"/>
          <w:cols w:space="720"/>
          <w:docGrid w:linePitch="360"/>
        </w:sectPr>
      </w:pPr>
    </w:p>
    <w:p w:rsidR="008C2EDA" w:rsidRPr="001E13AC" w:rsidRDefault="008C2EDA" w:rsidP="001E13AC">
      <w:pPr>
        <w:jc w:val="center"/>
        <w:outlineLvl w:val="0"/>
        <w:rPr>
          <w:rFonts w:ascii="Times New Roman" w:hAnsi="Times New Roman"/>
          <w:b/>
          <w:sz w:val="21"/>
          <w:szCs w:val="21"/>
        </w:rPr>
      </w:pPr>
      <w:r w:rsidRPr="001E13AC">
        <w:rPr>
          <w:rFonts w:ascii="Times New Roman" w:hAnsi="Times New Roman"/>
          <w:b/>
          <w:sz w:val="21"/>
          <w:szCs w:val="21"/>
        </w:rPr>
        <w:lastRenderedPageBreak/>
        <w:t>Commissioner Monica Bharel, MD, MPH</w:t>
      </w:r>
    </w:p>
    <w:p w:rsidR="008C2EDA" w:rsidRPr="001E13AC" w:rsidRDefault="008C2EDA" w:rsidP="008C2EDA">
      <w:pPr>
        <w:jc w:val="center"/>
        <w:rPr>
          <w:rFonts w:ascii="Times New Roman" w:hAnsi="Times New Roman"/>
          <w:sz w:val="21"/>
          <w:szCs w:val="21"/>
        </w:rPr>
      </w:pPr>
      <w:r w:rsidRPr="001E13AC">
        <w:rPr>
          <w:rFonts w:ascii="Times New Roman" w:hAnsi="Times New Roman"/>
          <w:sz w:val="21"/>
          <w:szCs w:val="21"/>
        </w:rPr>
        <w:t>Massachusetts Department of Public Health</w:t>
      </w:r>
    </w:p>
    <w:p w:rsidR="008C2EDA" w:rsidRPr="001E13AC" w:rsidRDefault="008C2EDA" w:rsidP="000A2CC6">
      <w:pPr>
        <w:rPr>
          <w:rFonts w:ascii="Times New Roman" w:hAnsi="Times New Roman"/>
          <w:b/>
          <w:sz w:val="21"/>
          <w:szCs w:val="21"/>
        </w:rPr>
      </w:pPr>
    </w:p>
    <w:p w:rsidR="009575C3" w:rsidRPr="001E13AC" w:rsidRDefault="009575C3" w:rsidP="009575C3">
      <w:pPr>
        <w:jc w:val="center"/>
        <w:rPr>
          <w:rFonts w:ascii="Times New Roman" w:hAnsi="Times New Roman"/>
          <w:b/>
          <w:sz w:val="21"/>
          <w:szCs w:val="21"/>
        </w:rPr>
      </w:pPr>
      <w:r w:rsidRPr="001E13AC">
        <w:rPr>
          <w:rFonts w:ascii="Times New Roman" w:hAnsi="Times New Roman"/>
          <w:b/>
          <w:sz w:val="21"/>
          <w:szCs w:val="21"/>
        </w:rPr>
        <w:t xml:space="preserve">Robert Boose, </w:t>
      </w:r>
      <w:proofErr w:type="spellStart"/>
      <w:r w:rsidRPr="001E13AC">
        <w:rPr>
          <w:rFonts w:ascii="Times New Roman" w:hAnsi="Times New Roman"/>
          <w:b/>
          <w:sz w:val="21"/>
          <w:szCs w:val="21"/>
        </w:rPr>
        <w:t>EdD</w:t>
      </w:r>
      <w:proofErr w:type="spellEnd"/>
    </w:p>
    <w:p w:rsidR="009575C3" w:rsidRPr="001E13AC" w:rsidRDefault="001E13AC" w:rsidP="009575C3">
      <w:pPr>
        <w:jc w:val="center"/>
        <w:rPr>
          <w:rFonts w:ascii="Times New Roman" w:hAnsi="Times New Roman"/>
          <w:sz w:val="21"/>
          <w:szCs w:val="21"/>
        </w:rPr>
      </w:pPr>
      <w:r>
        <w:rPr>
          <w:rFonts w:ascii="Times New Roman" w:hAnsi="Times New Roman"/>
          <w:sz w:val="21"/>
          <w:szCs w:val="21"/>
        </w:rPr>
        <w:t>Executive Director,</w:t>
      </w:r>
    </w:p>
    <w:p w:rsidR="009575C3" w:rsidRPr="001E13AC" w:rsidRDefault="009575C3" w:rsidP="009575C3">
      <w:pPr>
        <w:jc w:val="center"/>
        <w:rPr>
          <w:rFonts w:ascii="Times New Roman" w:hAnsi="Times New Roman"/>
          <w:sz w:val="21"/>
          <w:szCs w:val="21"/>
        </w:rPr>
      </w:pPr>
      <w:r w:rsidRPr="001E13AC">
        <w:rPr>
          <w:rFonts w:ascii="Times New Roman" w:hAnsi="Times New Roman"/>
          <w:sz w:val="21"/>
          <w:szCs w:val="21"/>
        </w:rPr>
        <w:t>Massachusetts Dental Society</w:t>
      </w:r>
    </w:p>
    <w:p w:rsidR="009575C3" w:rsidRDefault="009575C3" w:rsidP="009575C3">
      <w:pPr>
        <w:jc w:val="center"/>
        <w:rPr>
          <w:rFonts w:ascii="Times New Roman" w:hAnsi="Times New Roman"/>
          <w:sz w:val="21"/>
          <w:szCs w:val="21"/>
        </w:rPr>
      </w:pPr>
    </w:p>
    <w:p w:rsidR="00A34A54" w:rsidRPr="001E13AC" w:rsidRDefault="00A34A54" w:rsidP="00A34A54">
      <w:pPr>
        <w:jc w:val="center"/>
        <w:rPr>
          <w:rFonts w:ascii="Times New Roman" w:hAnsi="Times New Roman"/>
          <w:b/>
          <w:sz w:val="21"/>
          <w:szCs w:val="21"/>
        </w:rPr>
      </w:pPr>
      <w:r w:rsidRPr="001E13AC">
        <w:rPr>
          <w:rFonts w:ascii="Times New Roman" w:hAnsi="Times New Roman"/>
          <w:b/>
          <w:sz w:val="21"/>
          <w:szCs w:val="21"/>
        </w:rPr>
        <w:t xml:space="preserve">John Da Silva, </w:t>
      </w:r>
      <w:proofErr w:type="spellStart"/>
      <w:r w:rsidRPr="001E13AC">
        <w:rPr>
          <w:rFonts w:ascii="Times New Roman" w:hAnsi="Times New Roman"/>
          <w:b/>
          <w:sz w:val="21"/>
          <w:szCs w:val="21"/>
        </w:rPr>
        <w:t>ScM</w:t>
      </w:r>
      <w:proofErr w:type="spellEnd"/>
      <w:r w:rsidRPr="001E13AC">
        <w:rPr>
          <w:rFonts w:ascii="Times New Roman" w:hAnsi="Times New Roman"/>
          <w:b/>
          <w:sz w:val="21"/>
          <w:szCs w:val="21"/>
        </w:rPr>
        <w:t>, DMD, MPH</w:t>
      </w:r>
    </w:p>
    <w:p w:rsidR="00A34A54" w:rsidRPr="001E13AC" w:rsidRDefault="00A34A54" w:rsidP="00A34A54">
      <w:pPr>
        <w:jc w:val="center"/>
        <w:rPr>
          <w:rFonts w:ascii="Times New Roman" w:hAnsi="Times New Roman"/>
          <w:sz w:val="21"/>
          <w:szCs w:val="21"/>
        </w:rPr>
      </w:pPr>
      <w:r w:rsidRPr="001E13AC">
        <w:rPr>
          <w:rFonts w:ascii="Times New Roman" w:hAnsi="Times New Roman"/>
          <w:sz w:val="21"/>
          <w:szCs w:val="21"/>
        </w:rPr>
        <w:t xml:space="preserve">Vice Dean, Associate Professor of Restorative </w:t>
      </w:r>
    </w:p>
    <w:p w:rsidR="00A34A54" w:rsidRPr="001E13AC" w:rsidRDefault="00A34A54" w:rsidP="00A34A54">
      <w:pPr>
        <w:jc w:val="center"/>
        <w:rPr>
          <w:rFonts w:ascii="Times New Roman" w:hAnsi="Times New Roman"/>
          <w:sz w:val="21"/>
          <w:szCs w:val="21"/>
        </w:rPr>
      </w:pPr>
      <w:r w:rsidRPr="001E13AC">
        <w:rPr>
          <w:rFonts w:ascii="Times New Roman" w:hAnsi="Times New Roman"/>
          <w:sz w:val="21"/>
          <w:szCs w:val="21"/>
        </w:rPr>
        <w:t>Dentistry and Biomaterials Sciences,</w:t>
      </w:r>
    </w:p>
    <w:p w:rsidR="00A34A54" w:rsidRPr="001E13AC" w:rsidRDefault="00A34A54" w:rsidP="00A34A54">
      <w:pPr>
        <w:jc w:val="center"/>
        <w:rPr>
          <w:rFonts w:ascii="Times New Roman" w:hAnsi="Times New Roman"/>
          <w:sz w:val="21"/>
          <w:szCs w:val="21"/>
        </w:rPr>
      </w:pPr>
      <w:r w:rsidRPr="001E13AC">
        <w:rPr>
          <w:rFonts w:ascii="Times New Roman" w:hAnsi="Times New Roman"/>
          <w:sz w:val="21"/>
          <w:szCs w:val="21"/>
        </w:rPr>
        <w:t>Harvard School of Dental Medicine</w:t>
      </w:r>
    </w:p>
    <w:p w:rsidR="00A34A54" w:rsidRPr="001E13AC" w:rsidRDefault="00A34A54" w:rsidP="009575C3">
      <w:pPr>
        <w:jc w:val="center"/>
        <w:rPr>
          <w:rFonts w:ascii="Times New Roman" w:hAnsi="Times New Roman"/>
          <w:sz w:val="21"/>
          <w:szCs w:val="21"/>
        </w:rPr>
      </w:pPr>
    </w:p>
    <w:p w:rsidR="009575C3" w:rsidRPr="001E13AC" w:rsidRDefault="009575C3" w:rsidP="009575C3">
      <w:pPr>
        <w:jc w:val="center"/>
        <w:rPr>
          <w:rFonts w:ascii="Times New Roman" w:hAnsi="Times New Roman"/>
          <w:b/>
          <w:sz w:val="21"/>
          <w:szCs w:val="21"/>
        </w:rPr>
      </w:pPr>
      <w:r w:rsidRPr="001E13AC">
        <w:rPr>
          <w:rFonts w:ascii="Times New Roman" w:hAnsi="Times New Roman"/>
          <w:b/>
          <w:sz w:val="21"/>
          <w:szCs w:val="21"/>
        </w:rPr>
        <w:t xml:space="preserve">Richard </w:t>
      </w:r>
      <w:proofErr w:type="spellStart"/>
      <w:r w:rsidRPr="001E13AC">
        <w:rPr>
          <w:rFonts w:ascii="Times New Roman" w:hAnsi="Times New Roman"/>
          <w:b/>
          <w:sz w:val="21"/>
          <w:szCs w:val="21"/>
        </w:rPr>
        <w:t>D’Innocenzo</w:t>
      </w:r>
      <w:proofErr w:type="spellEnd"/>
      <w:r w:rsidRPr="001E13AC">
        <w:rPr>
          <w:rFonts w:ascii="Times New Roman" w:hAnsi="Times New Roman"/>
          <w:b/>
          <w:sz w:val="21"/>
          <w:szCs w:val="21"/>
        </w:rPr>
        <w:t xml:space="preserve">, DMD, MD </w:t>
      </w:r>
    </w:p>
    <w:p w:rsidR="001E13AC" w:rsidRDefault="009575C3" w:rsidP="009575C3">
      <w:pPr>
        <w:jc w:val="center"/>
        <w:rPr>
          <w:rFonts w:ascii="Times New Roman" w:hAnsi="Times New Roman"/>
          <w:sz w:val="21"/>
          <w:szCs w:val="21"/>
        </w:rPr>
      </w:pPr>
      <w:r w:rsidRPr="001E13AC">
        <w:rPr>
          <w:rFonts w:ascii="Times New Roman" w:hAnsi="Times New Roman"/>
          <w:sz w:val="21"/>
          <w:szCs w:val="21"/>
        </w:rPr>
        <w:t>Clinical Professor and Director of Pre-d</w:t>
      </w:r>
      <w:r w:rsidR="001E13AC">
        <w:rPr>
          <w:rFonts w:ascii="Times New Roman" w:hAnsi="Times New Roman"/>
          <w:sz w:val="21"/>
          <w:szCs w:val="21"/>
        </w:rPr>
        <w:t>octoral Oral Surgery Education,</w:t>
      </w:r>
    </w:p>
    <w:p w:rsidR="009575C3" w:rsidRPr="001E13AC" w:rsidRDefault="009575C3" w:rsidP="009575C3">
      <w:pPr>
        <w:jc w:val="center"/>
        <w:rPr>
          <w:rFonts w:ascii="Times New Roman" w:hAnsi="Times New Roman"/>
          <w:sz w:val="21"/>
          <w:szCs w:val="21"/>
        </w:rPr>
      </w:pPr>
      <w:r w:rsidRPr="001E13AC">
        <w:rPr>
          <w:rFonts w:ascii="Times New Roman" w:hAnsi="Times New Roman"/>
          <w:sz w:val="21"/>
          <w:szCs w:val="21"/>
        </w:rPr>
        <w:t>Boston University Henry M. Goldman School of Dental Medicine</w:t>
      </w:r>
    </w:p>
    <w:p w:rsidR="001E13AC" w:rsidRPr="001E13AC" w:rsidRDefault="001E13AC" w:rsidP="009575C3">
      <w:pPr>
        <w:jc w:val="center"/>
        <w:rPr>
          <w:rFonts w:ascii="Times New Roman" w:hAnsi="Times New Roman"/>
          <w:sz w:val="21"/>
          <w:szCs w:val="21"/>
        </w:rPr>
      </w:pPr>
    </w:p>
    <w:p w:rsidR="001E13AC" w:rsidRPr="001E13AC" w:rsidRDefault="001E13AC" w:rsidP="009575C3">
      <w:pPr>
        <w:jc w:val="center"/>
        <w:rPr>
          <w:rFonts w:ascii="Times New Roman" w:hAnsi="Times New Roman"/>
          <w:b/>
          <w:sz w:val="21"/>
          <w:szCs w:val="21"/>
          <w:shd w:val="clear" w:color="auto" w:fill="FFFFFF"/>
        </w:rPr>
      </w:pPr>
      <w:r w:rsidRPr="001E13AC">
        <w:rPr>
          <w:rFonts w:ascii="Times New Roman" w:hAnsi="Times New Roman"/>
          <w:b/>
          <w:sz w:val="21"/>
          <w:szCs w:val="21"/>
          <w:shd w:val="clear" w:color="auto" w:fill="FFFFFF"/>
        </w:rPr>
        <w:t xml:space="preserve">Bruce </w:t>
      </w:r>
      <w:proofErr w:type="spellStart"/>
      <w:r w:rsidRPr="001E13AC">
        <w:rPr>
          <w:rFonts w:ascii="Times New Roman" w:hAnsi="Times New Roman"/>
          <w:b/>
          <w:sz w:val="21"/>
          <w:szCs w:val="21"/>
          <w:shd w:val="clear" w:color="auto" w:fill="FFFFFF"/>
        </w:rPr>
        <w:t>Donoff</w:t>
      </w:r>
      <w:proofErr w:type="spellEnd"/>
      <w:r w:rsidRPr="001E13AC">
        <w:rPr>
          <w:rFonts w:ascii="Times New Roman" w:hAnsi="Times New Roman"/>
          <w:b/>
          <w:sz w:val="21"/>
          <w:szCs w:val="21"/>
          <w:shd w:val="clear" w:color="auto" w:fill="FFFFFF"/>
        </w:rPr>
        <w:t>, DMD, MD</w:t>
      </w:r>
    </w:p>
    <w:p w:rsidR="001E13AC" w:rsidRPr="001E13AC" w:rsidRDefault="001E13AC" w:rsidP="009575C3">
      <w:pPr>
        <w:jc w:val="center"/>
        <w:rPr>
          <w:rFonts w:ascii="Times New Roman" w:hAnsi="Times New Roman"/>
          <w:bCs/>
          <w:sz w:val="21"/>
          <w:szCs w:val="21"/>
          <w:shd w:val="clear" w:color="auto" w:fill="FFFFFF"/>
        </w:rPr>
      </w:pPr>
      <w:r w:rsidRPr="001E13AC">
        <w:rPr>
          <w:rFonts w:ascii="Times New Roman" w:hAnsi="Times New Roman"/>
          <w:bCs/>
          <w:sz w:val="21"/>
          <w:szCs w:val="21"/>
          <w:shd w:val="clear" w:color="auto" w:fill="FFFFFF"/>
        </w:rPr>
        <w:t xml:space="preserve">Dean and </w:t>
      </w:r>
      <w:proofErr w:type="spellStart"/>
      <w:r w:rsidRPr="001E13AC">
        <w:rPr>
          <w:rFonts w:ascii="Times New Roman" w:hAnsi="Times New Roman"/>
          <w:bCs/>
          <w:sz w:val="21"/>
          <w:szCs w:val="21"/>
          <w:shd w:val="clear" w:color="auto" w:fill="FFFFFF"/>
        </w:rPr>
        <w:t>Guralnick</w:t>
      </w:r>
      <w:proofErr w:type="spellEnd"/>
      <w:r w:rsidRPr="001E13AC">
        <w:rPr>
          <w:rFonts w:ascii="Times New Roman" w:hAnsi="Times New Roman"/>
          <w:bCs/>
          <w:sz w:val="21"/>
          <w:szCs w:val="21"/>
          <w:shd w:val="clear" w:color="auto" w:fill="FFFFFF"/>
        </w:rPr>
        <w:t xml:space="preserve"> Distinguished Professor of Oral and Maxillofacial Surgery</w:t>
      </w:r>
      <w:r>
        <w:rPr>
          <w:rFonts w:ascii="Times New Roman" w:hAnsi="Times New Roman"/>
          <w:bCs/>
          <w:sz w:val="21"/>
          <w:szCs w:val="21"/>
          <w:shd w:val="clear" w:color="auto" w:fill="FFFFFF"/>
        </w:rPr>
        <w:t>,</w:t>
      </w:r>
      <w:r w:rsidRPr="001E13AC">
        <w:rPr>
          <w:rFonts w:ascii="Times New Roman" w:hAnsi="Times New Roman"/>
          <w:bCs/>
          <w:sz w:val="21"/>
          <w:szCs w:val="21"/>
          <w:shd w:val="clear" w:color="auto" w:fill="FFFFFF"/>
        </w:rPr>
        <w:t xml:space="preserve"> </w:t>
      </w:r>
    </w:p>
    <w:p w:rsidR="001E13AC" w:rsidRPr="001E13AC" w:rsidRDefault="001E13AC" w:rsidP="001E13AC">
      <w:pPr>
        <w:jc w:val="center"/>
        <w:rPr>
          <w:rFonts w:ascii="Times New Roman" w:hAnsi="Times New Roman"/>
          <w:sz w:val="21"/>
          <w:szCs w:val="21"/>
        </w:rPr>
      </w:pPr>
      <w:r w:rsidRPr="001E13AC">
        <w:rPr>
          <w:rFonts w:ascii="Times New Roman" w:hAnsi="Times New Roman"/>
          <w:sz w:val="21"/>
          <w:szCs w:val="21"/>
        </w:rPr>
        <w:t>Harvard School of Dental Medicine</w:t>
      </w:r>
    </w:p>
    <w:p w:rsidR="009575C3" w:rsidRPr="001E13AC" w:rsidRDefault="009575C3" w:rsidP="001E13AC">
      <w:pPr>
        <w:rPr>
          <w:rFonts w:ascii="Times New Roman" w:hAnsi="Times New Roman"/>
          <w:sz w:val="21"/>
          <w:szCs w:val="21"/>
        </w:rPr>
      </w:pPr>
    </w:p>
    <w:p w:rsidR="009575C3" w:rsidRPr="001E13AC" w:rsidRDefault="004A51E4" w:rsidP="001E13AC">
      <w:pPr>
        <w:jc w:val="center"/>
        <w:rPr>
          <w:rFonts w:ascii="Times New Roman" w:hAnsi="Times New Roman"/>
          <w:b/>
          <w:sz w:val="21"/>
          <w:szCs w:val="21"/>
        </w:rPr>
      </w:pPr>
      <w:r w:rsidRPr="001E13AC">
        <w:rPr>
          <w:rFonts w:ascii="Times New Roman" w:hAnsi="Times New Roman"/>
          <w:b/>
          <w:sz w:val="21"/>
          <w:szCs w:val="21"/>
        </w:rPr>
        <w:t>Ellen Factor</w:t>
      </w:r>
    </w:p>
    <w:p w:rsidR="009575C3" w:rsidRPr="001E13AC" w:rsidRDefault="009575C3" w:rsidP="009575C3">
      <w:pPr>
        <w:jc w:val="center"/>
        <w:rPr>
          <w:rFonts w:ascii="Times New Roman" w:hAnsi="Times New Roman"/>
          <w:sz w:val="21"/>
          <w:szCs w:val="21"/>
        </w:rPr>
      </w:pPr>
      <w:r w:rsidRPr="001E13AC">
        <w:rPr>
          <w:rFonts w:ascii="Times New Roman" w:hAnsi="Times New Roman"/>
          <w:sz w:val="21"/>
          <w:szCs w:val="21"/>
        </w:rPr>
        <w:t>Director of Dental Practice,</w:t>
      </w:r>
    </w:p>
    <w:p w:rsidR="009575C3" w:rsidRPr="001E13AC" w:rsidRDefault="009575C3" w:rsidP="009575C3">
      <w:pPr>
        <w:jc w:val="center"/>
        <w:rPr>
          <w:rFonts w:ascii="Times New Roman" w:hAnsi="Times New Roman"/>
          <w:sz w:val="21"/>
          <w:szCs w:val="21"/>
        </w:rPr>
      </w:pPr>
      <w:r w:rsidRPr="001E13AC">
        <w:rPr>
          <w:rFonts w:ascii="Times New Roman" w:hAnsi="Times New Roman"/>
          <w:sz w:val="21"/>
          <w:szCs w:val="21"/>
        </w:rPr>
        <w:t>Massachusetts Dental Society</w:t>
      </w:r>
    </w:p>
    <w:p w:rsidR="009575C3" w:rsidRDefault="009575C3" w:rsidP="008C2EDA">
      <w:pPr>
        <w:jc w:val="center"/>
        <w:rPr>
          <w:rFonts w:ascii="Times New Roman" w:hAnsi="Times New Roman"/>
          <w:b/>
          <w:sz w:val="21"/>
          <w:szCs w:val="21"/>
        </w:rPr>
      </w:pPr>
    </w:p>
    <w:p w:rsidR="00A34A54" w:rsidRDefault="00A34A54" w:rsidP="008C2EDA">
      <w:pPr>
        <w:jc w:val="center"/>
        <w:rPr>
          <w:rFonts w:ascii="Times New Roman" w:hAnsi="Times New Roman"/>
          <w:b/>
          <w:sz w:val="21"/>
          <w:szCs w:val="21"/>
        </w:rPr>
      </w:pPr>
    </w:p>
    <w:p w:rsidR="00A34A54" w:rsidRDefault="00A34A54" w:rsidP="008C2EDA">
      <w:pPr>
        <w:jc w:val="center"/>
        <w:rPr>
          <w:rFonts w:ascii="Times New Roman" w:hAnsi="Times New Roman"/>
          <w:b/>
          <w:sz w:val="21"/>
          <w:szCs w:val="21"/>
        </w:rPr>
      </w:pPr>
    </w:p>
    <w:p w:rsidR="00A34A54" w:rsidRDefault="00A34A54" w:rsidP="008C2EDA">
      <w:pPr>
        <w:jc w:val="center"/>
        <w:rPr>
          <w:rFonts w:ascii="Times New Roman" w:hAnsi="Times New Roman"/>
          <w:b/>
          <w:sz w:val="21"/>
          <w:szCs w:val="21"/>
        </w:rPr>
      </w:pPr>
    </w:p>
    <w:p w:rsidR="00A34A54" w:rsidRDefault="00A34A54" w:rsidP="008C2EDA">
      <w:pPr>
        <w:jc w:val="center"/>
        <w:rPr>
          <w:rFonts w:ascii="Times New Roman" w:hAnsi="Times New Roman"/>
          <w:b/>
          <w:sz w:val="21"/>
          <w:szCs w:val="21"/>
        </w:rPr>
      </w:pPr>
    </w:p>
    <w:p w:rsidR="00A34A54" w:rsidRPr="001E13AC" w:rsidRDefault="00A34A54" w:rsidP="00A34A54">
      <w:pPr>
        <w:rPr>
          <w:rFonts w:ascii="Times New Roman" w:hAnsi="Times New Roman"/>
          <w:b/>
          <w:sz w:val="21"/>
          <w:szCs w:val="21"/>
        </w:rPr>
      </w:pPr>
    </w:p>
    <w:p w:rsidR="001E13AC" w:rsidRPr="001E13AC" w:rsidRDefault="001E13AC" w:rsidP="009575C3">
      <w:pPr>
        <w:jc w:val="center"/>
        <w:outlineLvl w:val="0"/>
        <w:rPr>
          <w:rFonts w:ascii="Times New Roman" w:hAnsi="Times New Roman"/>
          <w:b/>
          <w:sz w:val="21"/>
          <w:szCs w:val="21"/>
        </w:rPr>
      </w:pPr>
      <w:r w:rsidRPr="001E13AC">
        <w:rPr>
          <w:rFonts w:ascii="Times New Roman" w:hAnsi="Times New Roman"/>
          <w:b/>
          <w:sz w:val="21"/>
          <w:szCs w:val="21"/>
        </w:rPr>
        <w:lastRenderedPageBreak/>
        <w:t>Jeffrey W. Hutter, DMD, MA</w:t>
      </w:r>
    </w:p>
    <w:p w:rsidR="001E13AC" w:rsidRPr="001E13AC" w:rsidRDefault="001E13AC" w:rsidP="001E13AC">
      <w:pPr>
        <w:jc w:val="center"/>
        <w:outlineLvl w:val="0"/>
        <w:rPr>
          <w:rFonts w:ascii="Times New Roman" w:hAnsi="Times New Roman"/>
          <w:sz w:val="21"/>
          <w:szCs w:val="21"/>
        </w:rPr>
      </w:pPr>
      <w:r w:rsidRPr="001E13AC">
        <w:rPr>
          <w:rFonts w:ascii="Times New Roman" w:hAnsi="Times New Roman"/>
          <w:sz w:val="21"/>
          <w:szCs w:val="21"/>
        </w:rPr>
        <w:t>Dean and Spencer N. Frankl Professor in Dental Medicine</w:t>
      </w:r>
      <w:r w:rsidR="0073485D">
        <w:rPr>
          <w:rFonts w:ascii="Times New Roman" w:hAnsi="Times New Roman"/>
          <w:sz w:val="21"/>
          <w:szCs w:val="21"/>
        </w:rPr>
        <w:t>,</w:t>
      </w:r>
    </w:p>
    <w:p w:rsidR="001E13AC" w:rsidRPr="001E13AC" w:rsidRDefault="001E13AC" w:rsidP="001E13AC">
      <w:pPr>
        <w:jc w:val="center"/>
        <w:outlineLvl w:val="0"/>
        <w:rPr>
          <w:rFonts w:ascii="Times New Roman" w:hAnsi="Times New Roman"/>
          <w:sz w:val="21"/>
          <w:szCs w:val="21"/>
        </w:rPr>
      </w:pPr>
      <w:r w:rsidRPr="001E13AC">
        <w:rPr>
          <w:rFonts w:ascii="Times New Roman" w:eastAsia="Calibri" w:hAnsi="Times New Roman"/>
          <w:sz w:val="21"/>
          <w:szCs w:val="21"/>
        </w:rPr>
        <w:t>Boston University Henry M. Goldman School of Dental Medicine</w:t>
      </w:r>
    </w:p>
    <w:p w:rsidR="003968F5" w:rsidRDefault="003968F5" w:rsidP="009575C3">
      <w:pPr>
        <w:jc w:val="center"/>
        <w:outlineLvl w:val="0"/>
        <w:rPr>
          <w:rFonts w:ascii="Times New Roman" w:hAnsi="Times New Roman"/>
          <w:b/>
          <w:sz w:val="21"/>
          <w:szCs w:val="21"/>
        </w:rPr>
      </w:pPr>
    </w:p>
    <w:p w:rsidR="009575C3" w:rsidRPr="001E13AC" w:rsidRDefault="009575C3" w:rsidP="009575C3">
      <w:pPr>
        <w:jc w:val="center"/>
        <w:outlineLvl w:val="0"/>
        <w:rPr>
          <w:rFonts w:ascii="Times New Roman" w:hAnsi="Times New Roman"/>
          <w:b/>
          <w:sz w:val="21"/>
          <w:szCs w:val="21"/>
        </w:rPr>
      </w:pPr>
      <w:r w:rsidRPr="001E13AC">
        <w:rPr>
          <w:rFonts w:ascii="Times New Roman" w:hAnsi="Times New Roman"/>
          <w:b/>
          <w:sz w:val="21"/>
          <w:szCs w:val="21"/>
        </w:rPr>
        <w:t>David Keith, DMD, BDS</w:t>
      </w:r>
    </w:p>
    <w:p w:rsidR="000A2CC6" w:rsidRPr="001E13AC" w:rsidRDefault="000A2CC6" w:rsidP="000A2CC6">
      <w:pPr>
        <w:jc w:val="center"/>
        <w:rPr>
          <w:rFonts w:ascii="Times New Roman" w:hAnsi="Times New Roman"/>
          <w:sz w:val="21"/>
          <w:szCs w:val="21"/>
        </w:rPr>
      </w:pPr>
      <w:r w:rsidRPr="001E13AC">
        <w:rPr>
          <w:rFonts w:ascii="Times New Roman" w:hAnsi="Times New Roman"/>
          <w:i/>
          <w:sz w:val="21"/>
          <w:szCs w:val="21"/>
        </w:rPr>
        <w:t>Co-Chair</w:t>
      </w:r>
      <w:r w:rsidRPr="001E13AC">
        <w:rPr>
          <w:rFonts w:ascii="Times New Roman" w:hAnsi="Times New Roman"/>
          <w:sz w:val="21"/>
          <w:szCs w:val="21"/>
        </w:rPr>
        <w:t>, Governor’s Dental Education Working Group</w:t>
      </w:r>
      <w:r w:rsidR="0073485D">
        <w:rPr>
          <w:rFonts w:ascii="Times New Roman" w:hAnsi="Times New Roman"/>
          <w:sz w:val="21"/>
          <w:szCs w:val="21"/>
        </w:rPr>
        <w:t>,</w:t>
      </w:r>
    </w:p>
    <w:p w:rsidR="009575C3" w:rsidRPr="001E13AC" w:rsidRDefault="009575C3" w:rsidP="009575C3">
      <w:pPr>
        <w:jc w:val="center"/>
        <w:rPr>
          <w:rFonts w:ascii="Times New Roman" w:hAnsi="Times New Roman"/>
          <w:sz w:val="21"/>
          <w:szCs w:val="21"/>
        </w:rPr>
      </w:pPr>
      <w:r w:rsidRPr="001E13AC">
        <w:rPr>
          <w:rFonts w:ascii="Times New Roman" w:hAnsi="Times New Roman"/>
          <w:sz w:val="21"/>
          <w:szCs w:val="21"/>
        </w:rPr>
        <w:t xml:space="preserve">Professor of Oral and Maxillofacial Surgery, </w:t>
      </w:r>
    </w:p>
    <w:p w:rsidR="009575C3" w:rsidRPr="001E13AC" w:rsidRDefault="009575C3" w:rsidP="009575C3">
      <w:pPr>
        <w:jc w:val="center"/>
        <w:rPr>
          <w:rFonts w:ascii="Times New Roman" w:hAnsi="Times New Roman"/>
          <w:sz w:val="21"/>
          <w:szCs w:val="21"/>
        </w:rPr>
      </w:pPr>
      <w:r w:rsidRPr="001E13AC">
        <w:rPr>
          <w:rFonts w:ascii="Times New Roman" w:hAnsi="Times New Roman"/>
          <w:sz w:val="21"/>
          <w:szCs w:val="21"/>
        </w:rPr>
        <w:t xml:space="preserve">Harvard School of Dental Medicine </w:t>
      </w:r>
    </w:p>
    <w:p w:rsidR="009575C3" w:rsidRPr="001E13AC" w:rsidRDefault="009575C3" w:rsidP="008C2EDA">
      <w:pPr>
        <w:jc w:val="center"/>
        <w:rPr>
          <w:rFonts w:ascii="Times New Roman" w:hAnsi="Times New Roman"/>
          <w:b/>
          <w:sz w:val="21"/>
          <w:szCs w:val="21"/>
        </w:rPr>
      </w:pPr>
    </w:p>
    <w:p w:rsidR="009575C3" w:rsidRPr="001E13AC" w:rsidRDefault="009575C3" w:rsidP="009575C3">
      <w:pPr>
        <w:jc w:val="center"/>
        <w:outlineLvl w:val="0"/>
        <w:rPr>
          <w:rFonts w:ascii="Times New Roman" w:hAnsi="Times New Roman"/>
          <w:b/>
          <w:sz w:val="21"/>
          <w:szCs w:val="21"/>
        </w:rPr>
      </w:pPr>
      <w:r w:rsidRPr="001E13AC">
        <w:rPr>
          <w:rFonts w:ascii="Times New Roman" w:hAnsi="Times New Roman"/>
          <w:b/>
          <w:sz w:val="21"/>
          <w:szCs w:val="21"/>
        </w:rPr>
        <w:t>Ron</w:t>
      </w:r>
      <w:r w:rsidR="004A51E4" w:rsidRPr="001E13AC">
        <w:rPr>
          <w:rFonts w:ascii="Times New Roman" w:hAnsi="Times New Roman"/>
          <w:b/>
          <w:sz w:val="21"/>
          <w:szCs w:val="21"/>
        </w:rPr>
        <w:t>ald J.</w:t>
      </w:r>
      <w:r w:rsidRPr="001E13AC">
        <w:rPr>
          <w:rFonts w:ascii="Times New Roman" w:hAnsi="Times New Roman"/>
          <w:b/>
          <w:sz w:val="21"/>
          <w:szCs w:val="21"/>
        </w:rPr>
        <w:t xml:space="preserve"> Kulich, PhD</w:t>
      </w:r>
    </w:p>
    <w:p w:rsidR="000A2CC6" w:rsidRPr="001E13AC" w:rsidRDefault="000A2CC6" w:rsidP="000A2CC6">
      <w:pPr>
        <w:jc w:val="center"/>
        <w:rPr>
          <w:rFonts w:ascii="Times New Roman" w:hAnsi="Times New Roman"/>
          <w:sz w:val="21"/>
          <w:szCs w:val="21"/>
        </w:rPr>
      </w:pPr>
      <w:r w:rsidRPr="001E13AC">
        <w:rPr>
          <w:rFonts w:ascii="Times New Roman" w:hAnsi="Times New Roman"/>
          <w:i/>
          <w:sz w:val="21"/>
          <w:szCs w:val="21"/>
        </w:rPr>
        <w:t>Co-Chair</w:t>
      </w:r>
      <w:r w:rsidRPr="001E13AC">
        <w:rPr>
          <w:rFonts w:ascii="Times New Roman" w:hAnsi="Times New Roman"/>
          <w:sz w:val="21"/>
          <w:szCs w:val="21"/>
        </w:rPr>
        <w:t>, Governor’s Dental Education Working Group</w:t>
      </w:r>
      <w:r w:rsidR="0073485D">
        <w:rPr>
          <w:rFonts w:ascii="Times New Roman" w:hAnsi="Times New Roman"/>
          <w:sz w:val="21"/>
          <w:szCs w:val="21"/>
        </w:rPr>
        <w:t>,</w:t>
      </w:r>
    </w:p>
    <w:p w:rsidR="0073485D" w:rsidRDefault="009575C3" w:rsidP="000A2CC6">
      <w:pPr>
        <w:jc w:val="center"/>
        <w:rPr>
          <w:rFonts w:ascii="Times New Roman" w:hAnsi="Times New Roman"/>
          <w:sz w:val="21"/>
          <w:szCs w:val="21"/>
        </w:rPr>
      </w:pPr>
      <w:r w:rsidRPr="001E13AC">
        <w:rPr>
          <w:rFonts w:ascii="Times New Roman" w:hAnsi="Times New Roman"/>
          <w:sz w:val="21"/>
          <w:szCs w:val="21"/>
        </w:rPr>
        <w:t xml:space="preserve">Professor, </w:t>
      </w:r>
    </w:p>
    <w:p w:rsidR="009575C3" w:rsidRPr="001E13AC" w:rsidRDefault="009575C3" w:rsidP="000A2CC6">
      <w:pPr>
        <w:jc w:val="center"/>
        <w:rPr>
          <w:rFonts w:ascii="Times New Roman" w:hAnsi="Times New Roman"/>
          <w:sz w:val="21"/>
          <w:szCs w:val="21"/>
        </w:rPr>
      </w:pPr>
      <w:r w:rsidRPr="001E13AC">
        <w:rPr>
          <w:rFonts w:ascii="Times New Roman" w:hAnsi="Times New Roman"/>
          <w:sz w:val="21"/>
          <w:szCs w:val="21"/>
        </w:rPr>
        <w:t>Tufts University School of Dental Medicine</w:t>
      </w:r>
    </w:p>
    <w:p w:rsidR="001E13AC" w:rsidRPr="001E13AC" w:rsidRDefault="001E13AC" w:rsidP="00A34A54">
      <w:pPr>
        <w:rPr>
          <w:rFonts w:ascii="Times New Roman" w:hAnsi="Times New Roman"/>
          <w:sz w:val="21"/>
          <w:szCs w:val="21"/>
        </w:rPr>
      </w:pPr>
    </w:p>
    <w:p w:rsidR="001E13AC" w:rsidRPr="001E13AC" w:rsidRDefault="001E13AC" w:rsidP="001E13AC">
      <w:pPr>
        <w:jc w:val="center"/>
        <w:outlineLvl w:val="0"/>
        <w:rPr>
          <w:rFonts w:ascii="Times New Roman" w:hAnsi="Times New Roman"/>
          <w:b/>
          <w:sz w:val="21"/>
          <w:szCs w:val="21"/>
        </w:rPr>
      </w:pPr>
      <w:r w:rsidRPr="001E13AC">
        <w:rPr>
          <w:rFonts w:ascii="Times New Roman" w:hAnsi="Times New Roman"/>
          <w:b/>
          <w:sz w:val="21"/>
          <w:szCs w:val="21"/>
        </w:rPr>
        <w:t>Huw F. Thomas, BDS, MS, PhD</w:t>
      </w:r>
    </w:p>
    <w:p w:rsidR="001E13AC" w:rsidRPr="001E13AC" w:rsidRDefault="001E13AC" w:rsidP="001E13AC">
      <w:pPr>
        <w:jc w:val="center"/>
        <w:rPr>
          <w:rFonts w:ascii="Times New Roman" w:hAnsi="Times New Roman"/>
          <w:sz w:val="21"/>
          <w:szCs w:val="21"/>
        </w:rPr>
      </w:pPr>
      <w:r w:rsidRPr="001E13AC">
        <w:rPr>
          <w:rFonts w:ascii="Times New Roman" w:hAnsi="Times New Roman"/>
          <w:i/>
          <w:sz w:val="21"/>
          <w:szCs w:val="21"/>
        </w:rPr>
        <w:t>Co-Chair</w:t>
      </w:r>
      <w:r w:rsidRPr="001E13AC">
        <w:rPr>
          <w:rFonts w:ascii="Times New Roman" w:hAnsi="Times New Roman"/>
          <w:sz w:val="21"/>
          <w:szCs w:val="21"/>
        </w:rPr>
        <w:t>, Governor’s Dental Education Working Group</w:t>
      </w:r>
      <w:r w:rsidR="0073485D">
        <w:rPr>
          <w:rFonts w:ascii="Times New Roman" w:hAnsi="Times New Roman"/>
          <w:sz w:val="21"/>
          <w:szCs w:val="21"/>
        </w:rPr>
        <w:t>,</w:t>
      </w:r>
    </w:p>
    <w:p w:rsidR="001E13AC" w:rsidRPr="001E13AC" w:rsidRDefault="001E13AC" w:rsidP="001E13AC">
      <w:pPr>
        <w:jc w:val="center"/>
        <w:rPr>
          <w:rFonts w:ascii="Times New Roman" w:hAnsi="Times New Roman"/>
          <w:sz w:val="21"/>
          <w:szCs w:val="21"/>
        </w:rPr>
      </w:pPr>
      <w:r w:rsidRPr="001E13AC">
        <w:rPr>
          <w:rFonts w:ascii="Times New Roman" w:hAnsi="Times New Roman"/>
          <w:sz w:val="21"/>
          <w:szCs w:val="21"/>
        </w:rPr>
        <w:t>Dean and Professor of Pediatric Dentistry,</w:t>
      </w:r>
    </w:p>
    <w:p w:rsidR="001E13AC" w:rsidRPr="001E13AC" w:rsidRDefault="001E13AC" w:rsidP="001E13AC">
      <w:pPr>
        <w:jc w:val="center"/>
        <w:rPr>
          <w:rFonts w:ascii="Times New Roman" w:hAnsi="Times New Roman"/>
          <w:sz w:val="21"/>
          <w:szCs w:val="21"/>
        </w:rPr>
      </w:pPr>
      <w:r w:rsidRPr="001E13AC">
        <w:rPr>
          <w:rFonts w:ascii="Times New Roman" w:hAnsi="Times New Roman"/>
          <w:sz w:val="21"/>
          <w:szCs w:val="21"/>
        </w:rPr>
        <w:t>Tufts University School of Dental Medicine</w:t>
      </w:r>
    </w:p>
    <w:p w:rsidR="004A51E4" w:rsidRDefault="004A51E4" w:rsidP="0073485D">
      <w:pPr>
        <w:rPr>
          <w:rFonts w:ascii="Times New Roman" w:hAnsi="Times New Roman"/>
          <w:sz w:val="21"/>
          <w:szCs w:val="21"/>
        </w:rPr>
      </w:pPr>
    </w:p>
    <w:p w:rsidR="003968F5" w:rsidRPr="003968F5" w:rsidRDefault="001E13AC" w:rsidP="003968F5">
      <w:pPr>
        <w:pStyle w:val="PlainText"/>
        <w:rPr>
          <w:rFonts w:ascii="Times New Roman" w:hAnsi="Times New Roman"/>
          <w:sz w:val="21"/>
          <w:szCs w:val="21"/>
        </w:rPr>
      </w:pPr>
      <w:r w:rsidRPr="003968F5">
        <w:rPr>
          <w:rFonts w:ascii="Times New Roman" w:hAnsi="Times New Roman"/>
          <w:b/>
          <w:i/>
          <w:sz w:val="21"/>
          <w:szCs w:val="21"/>
        </w:rPr>
        <w:t>Special acknowledgement</w:t>
      </w:r>
      <w:r w:rsidRPr="003968F5">
        <w:rPr>
          <w:rFonts w:ascii="Times New Roman" w:hAnsi="Times New Roman"/>
          <w:sz w:val="21"/>
          <w:szCs w:val="21"/>
        </w:rPr>
        <w:t xml:space="preserve"> to members of the Massachusetts dental school’s working s</w:t>
      </w:r>
      <w:r w:rsidR="004A51E4" w:rsidRPr="003968F5">
        <w:rPr>
          <w:rFonts w:ascii="Times New Roman" w:hAnsi="Times New Roman"/>
          <w:sz w:val="21"/>
          <w:szCs w:val="21"/>
        </w:rPr>
        <w:t>ubcommitt</w:t>
      </w:r>
      <w:r w:rsidRPr="003968F5">
        <w:rPr>
          <w:rFonts w:ascii="Times New Roman" w:hAnsi="Times New Roman"/>
          <w:sz w:val="21"/>
          <w:szCs w:val="21"/>
        </w:rPr>
        <w:t>ee representing faculty from all three schools, which provided invaluable content and expertise to members of the Working Group in supporting this succes</w:t>
      </w:r>
      <w:r w:rsidR="003968F5" w:rsidRPr="003968F5">
        <w:rPr>
          <w:rFonts w:ascii="Times New Roman" w:hAnsi="Times New Roman"/>
          <w:sz w:val="21"/>
          <w:szCs w:val="21"/>
        </w:rPr>
        <w:t xml:space="preserve">sful collaboration’s completion: Antje M. </w:t>
      </w:r>
      <w:proofErr w:type="spellStart"/>
      <w:r w:rsidR="003968F5" w:rsidRPr="003968F5">
        <w:rPr>
          <w:rFonts w:ascii="Times New Roman" w:hAnsi="Times New Roman"/>
          <w:sz w:val="21"/>
          <w:szCs w:val="21"/>
        </w:rPr>
        <w:t>Barreveld</w:t>
      </w:r>
      <w:proofErr w:type="spellEnd"/>
      <w:r w:rsidR="003968F5" w:rsidRPr="003968F5">
        <w:rPr>
          <w:rFonts w:ascii="Times New Roman" w:hAnsi="Times New Roman"/>
          <w:sz w:val="21"/>
          <w:szCs w:val="21"/>
        </w:rPr>
        <w:t xml:space="preserve">, MD; Jennifer Brownstein, MA; </w:t>
      </w:r>
      <w:proofErr w:type="spellStart"/>
      <w:r w:rsidR="003968F5" w:rsidRPr="003968F5">
        <w:rPr>
          <w:rFonts w:ascii="Times New Roman" w:hAnsi="Times New Roman"/>
          <w:sz w:val="21"/>
          <w:szCs w:val="21"/>
        </w:rPr>
        <w:t>Shuchi</w:t>
      </w:r>
      <w:proofErr w:type="spellEnd"/>
      <w:r w:rsidR="003968F5" w:rsidRPr="003968F5">
        <w:rPr>
          <w:rFonts w:ascii="Times New Roman" w:hAnsi="Times New Roman"/>
          <w:sz w:val="21"/>
          <w:szCs w:val="21"/>
        </w:rPr>
        <w:t xml:space="preserve"> </w:t>
      </w:r>
      <w:proofErr w:type="spellStart"/>
      <w:r w:rsidR="003968F5" w:rsidRPr="003968F5">
        <w:rPr>
          <w:rFonts w:ascii="Times New Roman" w:hAnsi="Times New Roman"/>
          <w:sz w:val="21"/>
          <w:szCs w:val="21"/>
        </w:rPr>
        <w:t>Dhadwal</w:t>
      </w:r>
      <w:proofErr w:type="spellEnd"/>
      <w:r w:rsidR="003968F5" w:rsidRPr="003968F5">
        <w:rPr>
          <w:rFonts w:ascii="Times New Roman" w:hAnsi="Times New Roman"/>
          <w:sz w:val="21"/>
          <w:szCs w:val="21"/>
        </w:rPr>
        <w:t xml:space="preserve">, DMD; Kanchan Ganda, MD; Nadeem </w:t>
      </w:r>
      <w:proofErr w:type="spellStart"/>
      <w:r w:rsidR="003968F5" w:rsidRPr="003968F5">
        <w:rPr>
          <w:rFonts w:ascii="Times New Roman" w:hAnsi="Times New Roman"/>
          <w:sz w:val="21"/>
          <w:szCs w:val="21"/>
        </w:rPr>
        <w:t>Karimbux</w:t>
      </w:r>
      <w:proofErr w:type="spellEnd"/>
      <w:r w:rsidR="003968F5" w:rsidRPr="003968F5">
        <w:rPr>
          <w:rFonts w:ascii="Times New Roman" w:hAnsi="Times New Roman"/>
          <w:sz w:val="21"/>
          <w:szCs w:val="21"/>
        </w:rPr>
        <w:t xml:space="preserve">, DMD, </w:t>
      </w:r>
      <w:proofErr w:type="spellStart"/>
      <w:r w:rsidR="003968F5" w:rsidRPr="003968F5">
        <w:rPr>
          <w:rFonts w:ascii="Times New Roman" w:hAnsi="Times New Roman"/>
          <w:sz w:val="21"/>
          <w:szCs w:val="21"/>
        </w:rPr>
        <w:t>MMSc</w:t>
      </w:r>
      <w:proofErr w:type="spellEnd"/>
      <w:r w:rsidR="003968F5" w:rsidRPr="003968F5">
        <w:rPr>
          <w:rFonts w:ascii="Times New Roman" w:hAnsi="Times New Roman"/>
          <w:sz w:val="21"/>
          <w:szCs w:val="21"/>
        </w:rPr>
        <w:t>;</w:t>
      </w:r>
    </w:p>
    <w:p w:rsidR="003968F5" w:rsidRPr="003968F5" w:rsidRDefault="003968F5" w:rsidP="003968F5">
      <w:pPr>
        <w:pStyle w:val="PlainText"/>
        <w:rPr>
          <w:rFonts w:ascii="Times New Roman" w:hAnsi="Times New Roman"/>
          <w:sz w:val="21"/>
          <w:szCs w:val="21"/>
        </w:rPr>
      </w:pPr>
      <w:r w:rsidRPr="003968F5">
        <w:rPr>
          <w:rFonts w:ascii="Times New Roman" w:hAnsi="Times New Roman"/>
          <w:sz w:val="21"/>
          <w:szCs w:val="21"/>
        </w:rPr>
        <w:t xml:space="preserve">Jeffry R </w:t>
      </w:r>
      <w:proofErr w:type="spellStart"/>
      <w:r w:rsidRPr="003968F5">
        <w:rPr>
          <w:rFonts w:ascii="Times New Roman" w:hAnsi="Times New Roman"/>
          <w:sz w:val="21"/>
          <w:szCs w:val="21"/>
        </w:rPr>
        <w:t>Shaefer</w:t>
      </w:r>
      <w:proofErr w:type="spellEnd"/>
      <w:r w:rsidRPr="003968F5">
        <w:rPr>
          <w:rFonts w:ascii="Times New Roman" w:hAnsi="Times New Roman"/>
          <w:sz w:val="21"/>
          <w:szCs w:val="21"/>
        </w:rPr>
        <w:t>, DDS, MS, MPH</w:t>
      </w:r>
    </w:p>
    <w:p w:rsidR="004A51E4" w:rsidRPr="009F437E" w:rsidRDefault="001E13AC" w:rsidP="0073485D">
      <w:pPr>
        <w:jc w:val="center"/>
        <w:rPr>
          <w:rFonts w:ascii="Times New Roman" w:hAnsi="Times New Roman"/>
        </w:rPr>
        <w:sectPr w:rsidR="004A51E4" w:rsidRPr="009F437E" w:rsidSect="00C04369">
          <w:pgSz w:w="12240" w:h="15840" w:code="1"/>
          <w:pgMar w:top="720" w:right="720" w:bottom="720" w:left="720" w:header="720" w:footer="720" w:gutter="0"/>
          <w:cols w:num="2" w:space="720"/>
          <w:titlePg/>
          <w:docGrid w:linePitch="360"/>
        </w:sectPr>
      </w:pPr>
      <w:r>
        <w:rPr>
          <w:rFonts w:ascii="Times New Roman" w:hAnsi="Times New Roman"/>
          <w:sz w:val="21"/>
          <w:szCs w:val="21"/>
        </w:rPr>
        <w:t xml:space="preserve"> </w:t>
      </w:r>
    </w:p>
    <w:p w:rsidR="00B506E9" w:rsidRPr="00077B97" w:rsidRDefault="00B506E9" w:rsidP="00EE41CA">
      <w:pPr>
        <w:pStyle w:val="Default"/>
        <w:rPr>
          <w:rFonts w:ascii="Times New Roman" w:hAnsi="Times New Roman" w:cs="Times New Roman"/>
        </w:rPr>
      </w:pPr>
    </w:p>
    <w:sectPr w:rsidR="00B506E9" w:rsidRPr="00077B97" w:rsidSect="0072397D">
      <w:type w:val="continuous"/>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EDDBC7" w15:done="0"/>
  <w15:commentEx w15:paraId="5F0DEE16" w15:done="0"/>
  <w15:commentEx w15:paraId="0276FABF" w15:done="0"/>
  <w15:commentEx w15:paraId="73CB6C07" w15:done="0"/>
  <w15:commentEx w15:paraId="4E4C5CE2" w15:done="0"/>
  <w15:commentEx w15:paraId="24D138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3F" w:rsidRDefault="0054243F" w:rsidP="001C07A1">
      <w:r>
        <w:separator/>
      </w:r>
    </w:p>
    <w:p w:rsidR="0054243F" w:rsidRDefault="0054243F"/>
  </w:endnote>
  <w:endnote w:type="continuationSeparator" w:id="0">
    <w:p w:rsidR="0054243F" w:rsidRDefault="0054243F" w:rsidP="001C07A1">
      <w:r>
        <w:continuationSeparator/>
      </w:r>
    </w:p>
    <w:p w:rsidR="0054243F" w:rsidRDefault="0054243F"/>
  </w:endnote>
  <w:endnote w:type="continuationNotice" w:id="1">
    <w:p w:rsidR="0054243F" w:rsidRDefault="0054243F"/>
    <w:p w:rsidR="0054243F" w:rsidRDefault="00542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BC" w:rsidRDefault="00DF005F" w:rsidP="005F3CB0">
    <w:pPr>
      <w:pStyle w:val="Footer"/>
      <w:framePr w:wrap="around" w:vAnchor="text" w:hAnchor="margin" w:xAlign="center" w:y="1"/>
      <w:rPr>
        <w:rStyle w:val="PageNumber"/>
      </w:rPr>
    </w:pPr>
    <w:r>
      <w:rPr>
        <w:rStyle w:val="PageNumber"/>
      </w:rPr>
      <w:fldChar w:fldCharType="begin"/>
    </w:r>
    <w:r w:rsidR="00167EBC">
      <w:rPr>
        <w:rStyle w:val="PageNumber"/>
      </w:rPr>
      <w:instrText xml:space="preserve">PAGE  </w:instrText>
    </w:r>
    <w:r>
      <w:rPr>
        <w:rStyle w:val="PageNumber"/>
      </w:rPr>
      <w:fldChar w:fldCharType="separate"/>
    </w:r>
    <w:r w:rsidR="00167EBC">
      <w:rPr>
        <w:rStyle w:val="PageNumber"/>
        <w:noProof/>
      </w:rPr>
      <w:t>cxxi</w:t>
    </w:r>
    <w:r>
      <w:rPr>
        <w:rStyle w:val="PageNumber"/>
      </w:rPr>
      <w:fldChar w:fldCharType="end"/>
    </w:r>
  </w:p>
  <w:p w:rsidR="00167EBC" w:rsidRDefault="00167EBC" w:rsidP="005F3C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BC" w:rsidRPr="000D0A40" w:rsidRDefault="00DF005F" w:rsidP="0093303F">
    <w:pPr>
      <w:pStyle w:val="Footer"/>
      <w:framePr w:w="331" w:h="263" w:hRule="exact" w:wrap="around" w:vAnchor="text" w:hAnchor="margin" w:xAlign="center" w:yAlign="top"/>
      <w:rPr>
        <w:rStyle w:val="PageNumber"/>
      </w:rPr>
    </w:pPr>
    <w:r w:rsidRPr="000D0A40">
      <w:rPr>
        <w:rStyle w:val="PageNumber"/>
      </w:rPr>
      <w:fldChar w:fldCharType="begin"/>
    </w:r>
    <w:r w:rsidR="00167EBC" w:rsidRPr="000D0A40">
      <w:rPr>
        <w:rStyle w:val="PageNumber"/>
      </w:rPr>
      <w:instrText xml:space="preserve">PAGE  </w:instrText>
    </w:r>
    <w:r w:rsidRPr="000D0A40">
      <w:rPr>
        <w:rStyle w:val="PageNumber"/>
      </w:rPr>
      <w:fldChar w:fldCharType="separate"/>
    </w:r>
    <w:r w:rsidR="009A76ED">
      <w:rPr>
        <w:rStyle w:val="PageNumber"/>
        <w:noProof/>
      </w:rPr>
      <w:t>ii</w:t>
    </w:r>
    <w:r w:rsidRPr="000D0A40">
      <w:rPr>
        <w:rStyle w:val="PageNumber"/>
      </w:rPr>
      <w:fldChar w:fldCharType="end"/>
    </w:r>
  </w:p>
  <w:p w:rsidR="00167EBC" w:rsidRDefault="00167EBC">
    <w:pPr>
      <w:pStyle w:val="Footer"/>
      <w:ind w:right="360"/>
      <w:jc w:val="center"/>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96979"/>
      <w:docPartObj>
        <w:docPartGallery w:val="Page Numbers (Bottom of Page)"/>
        <w:docPartUnique/>
      </w:docPartObj>
    </w:sdtPr>
    <w:sdtEndPr>
      <w:rPr>
        <w:noProof/>
      </w:rPr>
    </w:sdtEndPr>
    <w:sdtContent>
      <w:p w:rsidR="00725787" w:rsidRDefault="00DF005F">
        <w:pPr>
          <w:pStyle w:val="Footer"/>
          <w:jc w:val="right"/>
        </w:pPr>
        <w:r>
          <w:fldChar w:fldCharType="begin"/>
        </w:r>
        <w:r w:rsidR="00725787">
          <w:instrText xml:space="preserve"> PAGE   \* MERGEFORMAT </w:instrText>
        </w:r>
        <w:r>
          <w:fldChar w:fldCharType="separate"/>
        </w:r>
        <w:r w:rsidR="00D573AE">
          <w:rPr>
            <w:noProof/>
          </w:rPr>
          <w:t>2</w:t>
        </w:r>
        <w:r>
          <w:rPr>
            <w:noProof/>
          </w:rPr>
          <w:fldChar w:fldCharType="end"/>
        </w:r>
      </w:p>
    </w:sdtContent>
  </w:sdt>
  <w:p w:rsidR="00725787" w:rsidRDefault="007257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AA" w:rsidRDefault="00B31CAA">
    <w:pPr>
      <w:pStyle w:val="Footer"/>
    </w:pPr>
  </w:p>
  <w:p w:rsidR="009D4842" w:rsidRDefault="009D4842"/>
  <w:p w:rsidR="00175311" w:rsidRDefault="0017531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330428"/>
      <w:docPartObj>
        <w:docPartGallery w:val="Page Numbers (Bottom of Page)"/>
        <w:docPartUnique/>
      </w:docPartObj>
    </w:sdtPr>
    <w:sdtEndPr>
      <w:rPr>
        <w:noProof/>
      </w:rPr>
    </w:sdtEndPr>
    <w:sdtContent>
      <w:p w:rsidR="005D3881" w:rsidRDefault="00DF005F">
        <w:pPr>
          <w:pStyle w:val="Footer"/>
          <w:jc w:val="right"/>
        </w:pPr>
        <w:r>
          <w:fldChar w:fldCharType="begin"/>
        </w:r>
        <w:r w:rsidR="005D3881">
          <w:instrText xml:space="preserve"> PAGE   \* MERGEFORMAT </w:instrText>
        </w:r>
        <w:r>
          <w:fldChar w:fldCharType="separate"/>
        </w:r>
        <w:r w:rsidR="00D573AE">
          <w:rPr>
            <w:noProof/>
          </w:rPr>
          <w:t>14</w:t>
        </w:r>
        <w:r>
          <w:rPr>
            <w:noProof/>
          </w:rPr>
          <w:fldChar w:fldCharType="end"/>
        </w:r>
      </w:p>
    </w:sdtContent>
  </w:sdt>
  <w:p w:rsidR="005D3881" w:rsidRDefault="005D3881">
    <w:pPr>
      <w:pStyle w:val="Footer"/>
    </w:pPr>
  </w:p>
  <w:p w:rsidR="009D4842" w:rsidRDefault="009D4842"/>
  <w:p w:rsidR="00175311" w:rsidRDefault="001753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AA" w:rsidRDefault="00B31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3F" w:rsidRDefault="0054243F" w:rsidP="001C07A1">
      <w:r>
        <w:separator/>
      </w:r>
    </w:p>
    <w:p w:rsidR="0054243F" w:rsidRDefault="0054243F"/>
  </w:footnote>
  <w:footnote w:type="continuationSeparator" w:id="0">
    <w:p w:rsidR="0054243F" w:rsidRDefault="0054243F" w:rsidP="001C07A1">
      <w:r>
        <w:continuationSeparator/>
      </w:r>
    </w:p>
    <w:p w:rsidR="0054243F" w:rsidRDefault="0054243F"/>
  </w:footnote>
  <w:footnote w:type="continuationNotice" w:id="1">
    <w:p w:rsidR="0054243F" w:rsidRDefault="0054243F"/>
    <w:p w:rsidR="0054243F" w:rsidRDefault="005424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2C" w:rsidRDefault="001A3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50" w:rsidRPr="00F60D50" w:rsidRDefault="00F60D50">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AA" w:rsidRDefault="00B31CAA">
    <w:pPr>
      <w:pStyle w:val="Header"/>
    </w:pPr>
  </w:p>
  <w:p w:rsidR="009D4842" w:rsidRDefault="009D4842"/>
  <w:p w:rsidR="00175311" w:rsidRDefault="0017531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11" w:rsidRPr="008C2EDA" w:rsidRDefault="00175311" w:rsidP="008C2E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ED" w:rsidRDefault="008C2EDA" w:rsidP="008C2EDA">
    <w:pPr>
      <w:jc w:val="center"/>
      <w:rPr>
        <w:rFonts w:ascii="Times New Roman" w:hAnsi="Times New Roman"/>
        <w:b/>
        <w:sz w:val="24"/>
        <w:szCs w:val="24"/>
      </w:rPr>
    </w:pPr>
    <w:r w:rsidRPr="008C2EDA">
      <w:rPr>
        <w:rFonts w:ascii="Times New Roman" w:hAnsi="Times New Roman"/>
        <w:b/>
        <w:sz w:val="24"/>
        <w:szCs w:val="24"/>
      </w:rPr>
      <w:t xml:space="preserve">Membership of the Governor’s </w:t>
    </w:r>
    <w:r w:rsidR="009575C3">
      <w:rPr>
        <w:rFonts w:ascii="Times New Roman" w:hAnsi="Times New Roman"/>
        <w:b/>
        <w:sz w:val="24"/>
        <w:szCs w:val="24"/>
      </w:rPr>
      <w:t>Dental</w:t>
    </w:r>
    <w:r w:rsidR="009A76ED">
      <w:rPr>
        <w:rFonts w:ascii="Times New Roman" w:hAnsi="Times New Roman"/>
        <w:b/>
        <w:sz w:val="24"/>
        <w:szCs w:val="24"/>
      </w:rPr>
      <w:t xml:space="preserve"> Education </w:t>
    </w:r>
  </w:p>
  <w:p w:rsidR="008C2EDA" w:rsidRPr="008C2EDA" w:rsidRDefault="008C2EDA" w:rsidP="008C2EDA">
    <w:pPr>
      <w:jc w:val="center"/>
      <w:rPr>
        <w:rFonts w:ascii="Times New Roman" w:hAnsi="Times New Roman"/>
        <w:b/>
        <w:sz w:val="24"/>
        <w:szCs w:val="24"/>
      </w:rPr>
    </w:pPr>
    <w:r w:rsidRPr="008C2EDA">
      <w:rPr>
        <w:rFonts w:ascii="Times New Roman" w:hAnsi="Times New Roman"/>
        <w:b/>
        <w:sz w:val="24"/>
        <w:szCs w:val="24"/>
      </w:rPr>
      <w:t>Working Group on Prescription Drug Misuse</w:t>
    </w:r>
  </w:p>
  <w:p w:rsidR="00B31CAA" w:rsidRDefault="00B31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B21"/>
    <w:multiLevelType w:val="hybridMultilevel"/>
    <w:tmpl w:val="967208BA"/>
    <w:lvl w:ilvl="0" w:tplc="46466A86">
      <w:start w:val="1"/>
      <w:numFmt w:val="decimal"/>
      <w:lvlText w:val="%1."/>
      <w:lvlJc w:val="left"/>
      <w:pPr>
        <w:tabs>
          <w:tab w:val="num" w:pos="810"/>
        </w:tabs>
        <w:ind w:left="810" w:hanging="360"/>
      </w:pPr>
      <w:rPr>
        <w:rFonts w:ascii="Times New Roman" w:hAnsi="Times New Roman" w:cs="Times New Roman" w:hint="default"/>
        <w:b/>
        <w:sz w:val="24"/>
        <w:szCs w:val="24"/>
        <w:vertAlign w:val="baseline"/>
      </w:rPr>
    </w:lvl>
    <w:lvl w:ilvl="1" w:tplc="04090001">
      <w:start w:val="1"/>
      <w:numFmt w:val="bullet"/>
      <w:lvlText w:val=""/>
      <w:lvlJc w:val="left"/>
      <w:pPr>
        <w:tabs>
          <w:tab w:val="num" w:pos="1530"/>
        </w:tabs>
        <w:ind w:left="1530" w:hanging="360"/>
      </w:pPr>
      <w:rPr>
        <w:rFonts w:ascii="Symbol" w:hAnsi="Symbol" w:hint="default"/>
      </w:rPr>
    </w:lvl>
    <w:lvl w:ilvl="2" w:tplc="5EA4304E" w:tentative="1">
      <w:start w:val="1"/>
      <w:numFmt w:val="bullet"/>
      <w:lvlText w:val=""/>
      <w:lvlJc w:val="left"/>
      <w:pPr>
        <w:tabs>
          <w:tab w:val="num" w:pos="2250"/>
        </w:tabs>
        <w:ind w:left="2250" w:hanging="360"/>
      </w:pPr>
      <w:rPr>
        <w:rFonts w:ascii="Wingdings" w:hAnsi="Wingdings" w:hint="default"/>
      </w:rPr>
    </w:lvl>
    <w:lvl w:ilvl="3" w:tplc="680273D0" w:tentative="1">
      <w:start w:val="1"/>
      <w:numFmt w:val="bullet"/>
      <w:lvlText w:val=""/>
      <w:lvlJc w:val="left"/>
      <w:pPr>
        <w:tabs>
          <w:tab w:val="num" w:pos="2970"/>
        </w:tabs>
        <w:ind w:left="2970" w:hanging="360"/>
      </w:pPr>
      <w:rPr>
        <w:rFonts w:ascii="Wingdings" w:hAnsi="Wingdings" w:hint="default"/>
      </w:rPr>
    </w:lvl>
    <w:lvl w:ilvl="4" w:tplc="8C925668" w:tentative="1">
      <w:start w:val="1"/>
      <w:numFmt w:val="bullet"/>
      <w:lvlText w:val=""/>
      <w:lvlJc w:val="left"/>
      <w:pPr>
        <w:tabs>
          <w:tab w:val="num" w:pos="3690"/>
        </w:tabs>
        <w:ind w:left="3690" w:hanging="360"/>
      </w:pPr>
      <w:rPr>
        <w:rFonts w:ascii="Wingdings" w:hAnsi="Wingdings" w:hint="default"/>
      </w:rPr>
    </w:lvl>
    <w:lvl w:ilvl="5" w:tplc="2E7477F2" w:tentative="1">
      <w:start w:val="1"/>
      <w:numFmt w:val="bullet"/>
      <w:lvlText w:val=""/>
      <w:lvlJc w:val="left"/>
      <w:pPr>
        <w:tabs>
          <w:tab w:val="num" w:pos="4410"/>
        </w:tabs>
        <w:ind w:left="4410" w:hanging="360"/>
      </w:pPr>
      <w:rPr>
        <w:rFonts w:ascii="Wingdings" w:hAnsi="Wingdings" w:hint="default"/>
      </w:rPr>
    </w:lvl>
    <w:lvl w:ilvl="6" w:tplc="0E702710" w:tentative="1">
      <w:start w:val="1"/>
      <w:numFmt w:val="bullet"/>
      <w:lvlText w:val=""/>
      <w:lvlJc w:val="left"/>
      <w:pPr>
        <w:tabs>
          <w:tab w:val="num" w:pos="5130"/>
        </w:tabs>
        <w:ind w:left="5130" w:hanging="360"/>
      </w:pPr>
      <w:rPr>
        <w:rFonts w:ascii="Wingdings" w:hAnsi="Wingdings" w:hint="default"/>
      </w:rPr>
    </w:lvl>
    <w:lvl w:ilvl="7" w:tplc="1A1AAB58" w:tentative="1">
      <w:start w:val="1"/>
      <w:numFmt w:val="bullet"/>
      <w:lvlText w:val=""/>
      <w:lvlJc w:val="left"/>
      <w:pPr>
        <w:tabs>
          <w:tab w:val="num" w:pos="5850"/>
        </w:tabs>
        <w:ind w:left="5850" w:hanging="360"/>
      </w:pPr>
      <w:rPr>
        <w:rFonts w:ascii="Wingdings" w:hAnsi="Wingdings" w:hint="default"/>
      </w:rPr>
    </w:lvl>
    <w:lvl w:ilvl="8" w:tplc="CB98358C" w:tentative="1">
      <w:start w:val="1"/>
      <w:numFmt w:val="bullet"/>
      <w:lvlText w:val=""/>
      <w:lvlJc w:val="left"/>
      <w:pPr>
        <w:tabs>
          <w:tab w:val="num" w:pos="6570"/>
        </w:tabs>
        <w:ind w:left="6570" w:hanging="360"/>
      </w:pPr>
      <w:rPr>
        <w:rFonts w:ascii="Wingdings" w:hAnsi="Wingdings" w:hint="default"/>
      </w:rPr>
    </w:lvl>
  </w:abstractNum>
  <w:abstractNum w:abstractNumId="1">
    <w:nsid w:val="1A805F9D"/>
    <w:multiLevelType w:val="hybridMultilevel"/>
    <w:tmpl w:val="780862EA"/>
    <w:lvl w:ilvl="0" w:tplc="F2FE92DC">
      <w:start w:val="1"/>
      <w:numFmt w:val="decimal"/>
      <w:lvlText w:val="%1."/>
      <w:lvlJc w:val="left"/>
      <w:pPr>
        <w:tabs>
          <w:tab w:val="num" w:pos="1170"/>
        </w:tabs>
        <w:ind w:left="1170" w:hanging="360"/>
      </w:pPr>
      <w:rPr>
        <w:rFonts w:ascii="Times New Roman" w:hAnsi="Times New Roman" w:cs="Times New Roman" w:hint="default"/>
        <w:b/>
        <w:sz w:val="24"/>
        <w:szCs w:val="24"/>
        <w:vertAlign w:val="baseline"/>
      </w:rPr>
    </w:lvl>
    <w:lvl w:ilvl="1" w:tplc="04090001">
      <w:start w:val="1"/>
      <w:numFmt w:val="bullet"/>
      <w:lvlText w:val=""/>
      <w:lvlJc w:val="left"/>
      <w:pPr>
        <w:tabs>
          <w:tab w:val="num" w:pos="1890"/>
        </w:tabs>
        <w:ind w:left="1890" w:hanging="360"/>
      </w:pPr>
      <w:rPr>
        <w:rFonts w:ascii="Symbol" w:hAnsi="Symbol" w:hint="default"/>
      </w:rPr>
    </w:lvl>
    <w:lvl w:ilvl="2" w:tplc="5EA4304E" w:tentative="1">
      <w:start w:val="1"/>
      <w:numFmt w:val="bullet"/>
      <w:lvlText w:val=""/>
      <w:lvlJc w:val="left"/>
      <w:pPr>
        <w:tabs>
          <w:tab w:val="num" w:pos="2610"/>
        </w:tabs>
        <w:ind w:left="2610" w:hanging="360"/>
      </w:pPr>
      <w:rPr>
        <w:rFonts w:ascii="Wingdings" w:hAnsi="Wingdings" w:hint="default"/>
      </w:rPr>
    </w:lvl>
    <w:lvl w:ilvl="3" w:tplc="680273D0" w:tentative="1">
      <w:start w:val="1"/>
      <w:numFmt w:val="bullet"/>
      <w:lvlText w:val=""/>
      <w:lvlJc w:val="left"/>
      <w:pPr>
        <w:tabs>
          <w:tab w:val="num" w:pos="3330"/>
        </w:tabs>
        <w:ind w:left="3330" w:hanging="360"/>
      </w:pPr>
      <w:rPr>
        <w:rFonts w:ascii="Wingdings" w:hAnsi="Wingdings" w:hint="default"/>
      </w:rPr>
    </w:lvl>
    <w:lvl w:ilvl="4" w:tplc="8C925668" w:tentative="1">
      <w:start w:val="1"/>
      <w:numFmt w:val="bullet"/>
      <w:lvlText w:val=""/>
      <w:lvlJc w:val="left"/>
      <w:pPr>
        <w:tabs>
          <w:tab w:val="num" w:pos="4050"/>
        </w:tabs>
        <w:ind w:left="4050" w:hanging="360"/>
      </w:pPr>
      <w:rPr>
        <w:rFonts w:ascii="Wingdings" w:hAnsi="Wingdings" w:hint="default"/>
      </w:rPr>
    </w:lvl>
    <w:lvl w:ilvl="5" w:tplc="2E7477F2" w:tentative="1">
      <w:start w:val="1"/>
      <w:numFmt w:val="bullet"/>
      <w:lvlText w:val=""/>
      <w:lvlJc w:val="left"/>
      <w:pPr>
        <w:tabs>
          <w:tab w:val="num" w:pos="4770"/>
        </w:tabs>
        <w:ind w:left="4770" w:hanging="360"/>
      </w:pPr>
      <w:rPr>
        <w:rFonts w:ascii="Wingdings" w:hAnsi="Wingdings" w:hint="default"/>
      </w:rPr>
    </w:lvl>
    <w:lvl w:ilvl="6" w:tplc="0E702710" w:tentative="1">
      <w:start w:val="1"/>
      <w:numFmt w:val="bullet"/>
      <w:lvlText w:val=""/>
      <w:lvlJc w:val="left"/>
      <w:pPr>
        <w:tabs>
          <w:tab w:val="num" w:pos="5490"/>
        </w:tabs>
        <w:ind w:left="5490" w:hanging="360"/>
      </w:pPr>
      <w:rPr>
        <w:rFonts w:ascii="Wingdings" w:hAnsi="Wingdings" w:hint="default"/>
      </w:rPr>
    </w:lvl>
    <w:lvl w:ilvl="7" w:tplc="1A1AAB58" w:tentative="1">
      <w:start w:val="1"/>
      <w:numFmt w:val="bullet"/>
      <w:lvlText w:val=""/>
      <w:lvlJc w:val="left"/>
      <w:pPr>
        <w:tabs>
          <w:tab w:val="num" w:pos="6210"/>
        </w:tabs>
        <w:ind w:left="6210" w:hanging="360"/>
      </w:pPr>
      <w:rPr>
        <w:rFonts w:ascii="Wingdings" w:hAnsi="Wingdings" w:hint="default"/>
      </w:rPr>
    </w:lvl>
    <w:lvl w:ilvl="8" w:tplc="CB98358C" w:tentative="1">
      <w:start w:val="1"/>
      <w:numFmt w:val="bullet"/>
      <w:lvlText w:val=""/>
      <w:lvlJc w:val="left"/>
      <w:pPr>
        <w:tabs>
          <w:tab w:val="num" w:pos="6930"/>
        </w:tabs>
        <w:ind w:left="6930" w:hanging="360"/>
      </w:pPr>
      <w:rPr>
        <w:rFonts w:ascii="Wingdings" w:hAnsi="Wingdings" w:hint="default"/>
      </w:rPr>
    </w:lvl>
  </w:abstractNum>
  <w:abstractNum w:abstractNumId="2">
    <w:nsid w:val="20C84B34"/>
    <w:multiLevelType w:val="hybridMultilevel"/>
    <w:tmpl w:val="809E9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BA1D65"/>
    <w:multiLevelType w:val="hybridMultilevel"/>
    <w:tmpl w:val="4158201E"/>
    <w:lvl w:ilvl="0" w:tplc="75CEFC4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5EA4304E" w:tentative="1">
      <w:start w:val="1"/>
      <w:numFmt w:val="bullet"/>
      <w:lvlText w:val=""/>
      <w:lvlJc w:val="left"/>
      <w:pPr>
        <w:tabs>
          <w:tab w:val="num" w:pos="1800"/>
        </w:tabs>
        <w:ind w:left="1800" w:hanging="360"/>
      </w:pPr>
      <w:rPr>
        <w:rFonts w:ascii="Wingdings" w:hAnsi="Wingdings" w:hint="default"/>
      </w:rPr>
    </w:lvl>
    <w:lvl w:ilvl="3" w:tplc="680273D0" w:tentative="1">
      <w:start w:val="1"/>
      <w:numFmt w:val="bullet"/>
      <w:lvlText w:val=""/>
      <w:lvlJc w:val="left"/>
      <w:pPr>
        <w:tabs>
          <w:tab w:val="num" w:pos="2520"/>
        </w:tabs>
        <w:ind w:left="2520" w:hanging="360"/>
      </w:pPr>
      <w:rPr>
        <w:rFonts w:ascii="Wingdings" w:hAnsi="Wingdings" w:hint="default"/>
      </w:rPr>
    </w:lvl>
    <w:lvl w:ilvl="4" w:tplc="8C925668" w:tentative="1">
      <w:start w:val="1"/>
      <w:numFmt w:val="bullet"/>
      <w:lvlText w:val=""/>
      <w:lvlJc w:val="left"/>
      <w:pPr>
        <w:tabs>
          <w:tab w:val="num" w:pos="3240"/>
        </w:tabs>
        <w:ind w:left="3240" w:hanging="360"/>
      </w:pPr>
      <w:rPr>
        <w:rFonts w:ascii="Wingdings" w:hAnsi="Wingdings" w:hint="default"/>
      </w:rPr>
    </w:lvl>
    <w:lvl w:ilvl="5" w:tplc="2E7477F2" w:tentative="1">
      <w:start w:val="1"/>
      <w:numFmt w:val="bullet"/>
      <w:lvlText w:val=""/>
      <w:lvlJc w:val="left"/>
      <w:pPr>
        <w:tabs>
          <w:tab w:val="num" w:pos="3960"/>
        </w:tabs>
        <w:ind w:left="3960" w:hanging="360"/>
      </w:pPr>
      <w:rPr>
        <w:rFonts w:ascii="Wingdings" w:hAnsi="Wingdings" w:hint="default"/>
      </w:rPr>
    </w:lvl>
    <w:lvl w:ilvl="6" w:tplc="0E702710" w:tentative="1">
      <w:start w:val="1"/>
      <w:numFmt w:val="bullet"/>
      <w:lvlText w:val=""/>
      <w:lvlJc w:val="left"/>
      <w:pPr>
        <w:tabs>
          <w:tab w:val="num" w:pos="4680"/>
        </w:tabs>
        <w:ind w:left="4680" w:hanging="360"/>
      </w:pPr>
      <w:rPr>
        <w:rFonts w:ascii="Wingdings" w:hAnsi="Wingdings" w:hint="default"/>
      </w:rPr>
    </w:lvl>
    <w:lvl w:ilvl="7" w:tplc="1A1AAB58" w:tentative="1">
      <w:start w:val="1"/>
      <w:numFmt w:val="bullet"/>
      <w:lvlText w:val=""/>
      <w:lvlJc w:val="left"/>
      <w:pPr>
        <w:tabs>
          <w:tab w:val="num" w:pos="5400"/>
        </w:tabs>
        <w:ind w:left="5400" w:hanging="360"/>
      </w:pPr>
      <w:rPr>
        <w:rFonts w:ascii="Wingdings" w:hAnsi="Wingdings" w:hint="default"/>
      </w:rPr>
    </w:lvl>
    <w:lvl w:ilvl="8" w:tplc="CB98358C" w:tentative="1">
      <w:start w:val="1"/>
      <w:numFmt w:val="bullet"/>
      <w:lvlText w:val=""/>
      <w:lvlJc w:val="left"/>
      <w:pPr>
        <w:tabs>
          <w:tab w:val="num" w:pos="6120"/>
        </w:tabs>
        <w:ind w:left="6120" w:hanging="360"/>
      </w:pPr>
      <w:rPr>
        <w:rFonts w:ascii="Wingdings" w:hAnsi="Wingdings" w:hint="default"/>
      </w:rPr>
    </w:lvl>
  </w:abstractNum>
  <w:abstractNum w:abstractNumId="4">
    <w:nsid w:val="5BE34CF2"/>
    <w:multiLevelType w:val="hybridMultilevel"/>
    <w:tmpl w:val="84AC5EE8"/>
    <w:lvl w:ilvl="0" w:tplc="64347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BE6011"/>
    <w:multiLevelType w:val="hybridMultilevel"/>
    <w:tmpl w:val="F97E0944"/>
    <w:lvl w:ilvl="0" w:tplc="ED521302">
      <w:start w:val="1"/>
      <w:numFmt w:val="bullet"/>
      <w:pStyle w:val="ListParagraph"/>
      <w:lvlText w:val=""/>
      <w:lvlJc w:val="left"/>
      <w:pPr>
        <w:ind w:left="720" w:hanging="360"/>
      </w:pPr>
      <w:rPr>
        <w:rFonts w:ascii="Symbol" w:hAnsi="Symbol" w:hint="default"/>
      </w:rPr>
    </w:lvl>
    <w:lvl w:ilvl="1" w:tplc="BA6A2CE6">
      <w:start w:val="1"/>
      <w:numFmt w:val="bullet"/>
      <w:pStyle w:val="Title"/>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1"/>
  </w:num>
  <w:num w:numId="6">
    <w:abstractNumId w:val="0"/>
  </w:num>
  <w:num w:numId="7">
    <w:abstractNumId w:val="2"/>
  </w:num>
  <w:numIdMacAtCleanup w:val="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E6"/>
    <w:rsid w:val="000023C0"/>
    <w:rsid w:val="000070D0"/>
    <w:rsid w:val="00007F0B"/>
    <w:rsid w:val="00012E87"/>
    <w:rsid w:val="00014963"/>
    <w:rsid w:val="000174AB"/>
    <w:rsid w:val="00020730"/>
    <w:rsid w:val="00023596"/>
    <w:rsid w:val="00023EFA"/>
    <w:rsid w:val="00026987"/>
    <w:rsid w:val="000307B2"/>
    <w:rsid w:val="00030FCC"/>
    <w:rsid w:val="000312E4"/>
    <w:rsid w:val="0003190A"/>
    <w:rsid w:val="00032013"/>
    <w:rsid w:val="0003225D"/>
    <w:rsid w:val="00032786"/>
    <w:rsid w:val="00033675"/>
    <w:rsid w:val="00040A0A"/>
    <w:rsid w:val="000429F2"/>
    <w:rsid w:val="00044D5A"/>
    <w:rsid w:val="000519C1"/>
    <w:rsid w:val="00052653"/>
    <w:rsid w:val="0005360E"/>
    <w:rsid w:val="00053B1B"/>
    <w:rsid w:val="00060F8B"/>
    <w:rsid w:val="00065107"/>
    <w:rsid w:val="0006683F"/>
    <w:rsid w:val="00076A56"/>
    <w:rsid w:val="00077B97"/>
    <w:rsid w:val="0008117A"/>
    <w:rsid w:val="00082567"/>
    <w:rsid w:val="00086DB0"/>
    <w:rsid w:val="000925A4"/>
    <w:rsid w:val="00094044"/>
    <w:rsid w:val="00096302"/>
    <w:rsid w:val="00096C85"/>
    <w:rsid w:val="000A2CC6"/>
    <w:rsid w:val="000A60BC"/>
    <w:rsid w:val="000A6915"/>
    <w:rsid w:val="000A6DB3"/>
    <w:rsid w:val="000A75F1"/>
    <w:rsid w:val="000B0876"/>
    <w:rsid w:val="000B5EEC"/>
    <w:rsid w:val="000C36D4"/>
    <w:rsid w:val="000C3936"/>
    <w:rsid w:val="000C6725"/>
    <w:rsid w:val="000C67A5"/>
    <w:rsid w:val="000C6E76"/>
    <w:rsid w:val="000D3F86"/>
    <w:rsid w:val="000E2BF3"/>
    <w:rsid w:val="000E4B9B"/>
    <w:rsid w:val="000E4E8D"/>
    <w:rsid w:val="000E606C"/>
    <w:rsid w:val="000E7A97"/>
    <w:rsid w:val="000F1E9A"/>
    <w:rsid w:val="000F5E9D"/>
    <w:rsid w:val="000F6571"/>
    <w:rsid w:val="000F6BC8"/>
    <w:rsid w:val="000F796A"/>
    <w:rsid w:val="000F7B77"/>
    <w:rsid w:val="001010E5"/>
    <w:rsid w:val="001014A2"/>
    <w:rsid w:val="001017B3"/>
    <w:rsid w:val="00101D33"/>
    <w:rsid w:val="001107BB"/>
    <w:rsid w:val="00112F53"/>
    <w:rsid w:val="00117B28"/>
    <w:rsid w:val="00122959"/>
    <w:rsid w:val="00126919"/>
    <w:rsid w:val="00131EC4"/>
    <w:rsid w:val="001343EF"/>
    <w:rsid w:val="00134C92"/>
    <w:rsid w:val="00136E4A"/>
    <w:rsid w:val="001371A7"/>
    <w:rsid w:val="0014257F"/>
    <w:rsid w:val="00145374"/>
    <w:rsid w:val="00151AE7"/>
    <w:rsid w:val="001520DB"/>
    <w:rsid w:val="00157F54"/>
    <w:rsid w:val="00167EBC"/>
    <w:rsid w:val="00175311"/>
    <w:rsid w:val="00181C7F"/>
    <w:rsid w:val="00183286"/>
    <w:rsid w:val="001857AD"/>
    <w:rsid w:val="00190814"/>
    <w:rsid w:val="00193F03"/>
    <w:rsid w:val="001A3C2C"/>
    <w:rsid w:val="001A3EE2"/>
    <w:rsid w:val="001A5F88"/>
    <w:rsid w:val="001A6DE6"/>
    <w:rsid w:val="001B09F2"/>
    <w:rsid w:val="001B1736"/>
    <w:rsid w:val="001B19F1"/>
    <w:rsid w:val="001B45B7"/>
    <w:rsid w:val="001B7820"/>
    <w:rsid w:val="001C07A1"/>
    <w:rsid w:val="001C1730"/>
    <w:rsid w:val="001C7495"/>
    <w:rsid w:val="001C7870"/>
    <w:rsid w:val="001D2D83"/>
    <w:rsid w:val="001D3BFA"/>
    <w:rsid w:val="001D4A53"/>
    <w:rsid w:val="001D5F18"/>
    <w:rsid w:val="001D7128"/>
    <w:rsid w:val="001E051B"/>
    <w:rsid w:val="001E0BFF"/>
    <w:rsid w:val="001E0F98"/>
    <w:rsid w:val="001E13AC"/>
    <w:rsid w:val="001E375F"/>
    <w:rsid w:val="001E6B1C"/>
    <w:rsid w:val="001E6CB0"/>
    <w:rsid w:val="001F2621"/>
    <w:rsid w:val="001F7EBE"/>
    <w:rsid w:val="00200CD0"/>
    <w:rsid w:val="00205A1F"/>
    <w:rsid w:val="00212C00"/>
    <w:rsid w:val="0021560D"/>
    <w:rsid w:val="00216691"/>
    <w:rsid w:val="00224DF5"/>
    <w:rsid w:val="00226CEB"/>
    <w:rsid w:val="0023470A"/>
    <w:rsid w:val="0023662E"/>
    <w:rsid w:val="00236F3B"/>
    <w:rsid w:val="00236F89"/>
    <w:rsid w:val="00240391"/>
    <w:rsid w:val="00243897"/>
    <w:rsid w:val="00243F85"/>
    <w:rsid w:val="00245262"/>
    <w:rsid w:val="0024765D"/>
    <w:rsid w:val="00262E9A"/>
    <w:rsid w:val="00263DE8"/>
    <w:rsid w:val="002641E7"/>
    <w:rsid w:val="0026530E"/>
    <w:rsid w:val="00271E1A"/>
    <w:rsid w:val="00272BB8"/>
    <w:rsid w:val="00272D78"/>
    <w:rsid w:val="0027776E"/>
    <w:rsid w:val="00280187"/>
    <w:rsid w:val="00282497"/>
    <w:rsid w:val="002847AF"/>
    <w:rsid w:val="00287B0A"/>
    <w:rsid w:val="002967DF"/>
    <w:rsid w:val="002A02F3"/>
    <w:rsid w:val="002B04D4"/>
    <w:rsid w:val="002B2AB9"/>
    <w:rsid w:val="002B3495"/>
    <w:rsid w:val="002B4EEA"/>
    <w:rsid w:val="002B694B"/>
    <w:rsid w:val="002B7EDA"/>
    <w:rsid w:val="002C08E3"/>
    <w:rsid w:val="002C3167"/>
    <w:rsid w:val="002C5CC3"/>
    <w:rsid w:val="002C784D"/>
    <w:rsid w:val="002D01B4"/>
    <w:rsid w:val="002D230E"/>
    <w:rsid w:val="002D69A4"/>
    <w:rsid w:val="002D725D"/>
    <w:rsid w:val="00303C01"/>
    <w:rsid w:val="00306F70"/>
    <w:rsid w:val="00310D92"/>
    <w:rsid w:val="00321A02"/>
    <w:rsid w:val="0032626C"/>
    <w:rsid w:val="00326874"/>
    <w:rsid w:val="00333BF0"/>
    <w:rsid w:val="003347CD"/>
    <w:rsid w:val="00337C9D"/>
    <w:rsid w:val="003402C0"/>
    <w:rsid w:val="0034374D"/>
    <w:rsid w:val="00345757"/>
    <w:rsid w:val="003461A8"/>
    <w:rsid w:val="00353DEE"/>
    <w:rsid w:val="00356B02"/>
    <w:rsid w:val="00360656"/>
    <w:rsid w:val="00363791"/>
    <w:rsid w:val="00364166"/>
    <w:rsid w:val="00370583"/>
    <w:rsid w:val="003733B8"/>
    <w:rsid w:val="00374618"/>
    <w:rsid w:val="00380D6E"/>
    <w:rsid w:val="00383C28"/>
    <w:rsid w:val="00385A40"/>
    <w:rsid w:val="00385F49"/>
    <w:rsid w:val="003876AF"/>
    <w:rsid w:val="00393FE5"/>
    <w:rsid w:val="003968F5"/>
    <w:rsid w:val="003A0BC3"/>
    <w:rsid w:val="003A2BB2"/>
    <w:rsid w:val="003A3F08"/>
    <w:rsid w:val="003A4297"/>
    <w:rsid w:val="003B248D"/>
    <w:rsid w:val="003B61B3"/>
    <w:rsid w:val="003B72AA"/>
    <w:rsid w:val="003C01A5"/>
    <w:rsid w:val="003C0F23"/>
    <w:rsid w:val="003C1D19"/>
    <w:rsid w:val="003C76E2"/>
    <w:rsid w:val="003C7AF7"/>
    <w:rsid w:val="003D1820"/>
    <w:rsid w:val="003E12CA"/>
    <w:rsid w:val="003E5DF0"/>
    <w:rsid w:val="003E603D"/>
    <w:rsid w:val="003F049E"/>
    <w:rsid w:val="003F1C05"/>
    <w:rsid w:val="003F5D30"/>
    <w:rsid w:val="00400554"/>
    <w:rsid w:val="00401C6A"/>
    <w:rsid w:val="00402798"/>
    <w:rsid w:val="00404435"/>
    <w:rsid w:val="004136FE"/>
    <w:rsid w:val="004137C7"/>
    <w:rsid w:val="00415792"/>
    <w:rsid w:val="00417A2C"/>
    <w:rsid w:val="00422494"/>
    <w:rsid w:val="00425866"/>
    <w:rsid w:val="004349B5"/>
    <w:rsid w:val="00436363"/>
    <w:rsid w:val="0045023C"/>
    <w:rsid w:val="00451463"/>
    <w:rsid w:val="00452499"/>
    <w:rsid w:val="00460903"/>
    <w:rsid w:val="00460F5C"/>
    <w:rsid w:val="00461794"/>
    <w:rsid w:val="00465701"/>
    <w:rsid w:val="00467071"/>
    <w:rsid w:val="00475876"/>
    <w:rsid w:val="004776AA"/>
    <w:rsid w:val="0048127E"/>
    <w:rsid w:val="004874EF"/>
    <w:rsid w:val="00494B77"/>
    <w:rsid w:val="004A3F07"/>
    <w:rsid w:val="004A51E4"/>
    <w:rsid w:val="004B1EBF"/>
    <w:rsid w:val="004B353F"/>
    <w:rsid w:val="004C20D6"/>
    <w:rsid w:val="004C3A6B"/>
    <w:rsid w:val="004C3E29"/>
    <w:rsid w:val="004C63D5"/>
    <w:rsid w:val="004C6A07"/>
    <w:rsid w:val="004D1E79"/>
    <w:rsid w:val="004D4D1F"/>
    <w:rsid w:val="004D4F1A"/>
    <w:rsid w:val="004E2F78"/>
    <w:rsid w:val="004E5320"/>
    <w:rsid w:val="004E64D8"/>
    <w:rsid w:val="004F3703"/>
    <w:rsid w:val="004F5CE8"/>
    <w:rsid w:val="004F7991"/>
    <w:rsid w:val="004F7BF4"/>
    <w:rsid w:val="00504D87"/>
    <w:rsid w:val="005053C6"/>
    <w:rsid w:val="00505BC6"/>
    <w:rsid w:val="0050694D"/>
    <w:rsid w:val="00506A9C"/>
    <w:rsid w:val="00507234"/>
    <w:rsid w:val="00522090"/>
    <w:rsid w:val="00524C3E"/>
    <w:rsid w:val="00526AC0"/>
    <w:rsid w:val="00531CE3"/>
    <w:rsid w:val="00533F1E"/>
    <w:rsid w:val="00534E9B"/>
    <w:rsid w:val="005352BD"/>
    <w:rsid w:val="00540D4F"/>
    <w:rsid w:val="0054243F"/>
    <w:rsid w:val="00543429"/>
    <w:rsid w:val="0054515F"/>
    <w:rsid w:val="00546D9D"/>
    <w:rsid w:val="005474C7"/>
    <w:rsid w:val="00552C4F"/>
    <w:rsid w:val="00554E6D"/>
    <w:rsid w:val="00557B70"/>
    <w:rsid w:val="005624C0"/>
    <w:rsid w:val="00563CE9"/>
    <w:rsid w:val="00566594"/>
    <w:rsid w:val="005731DB"/>
    <w:rsid w:val="00576CB0"/>
    <w:rsid w:val="00581CA5"/>
    <w:rsid w:val="00582C1B"/>
    <w:rsid w:val="00582DE8"/>
    <w:rsid w:val="00584321"/>
    <w:rsid w:val="005850F6"/>
    <w:rsid w:val="00591417"/>
    <w:rsid w:val="005918BB"/>
    <w:rsid w:val="005952D6"/>
    <w:rsid w:val="005955C8"/>
    <w:rsid w:val="005973E3"/>
    <w:rsid w:val="005A1B16"/>
    <w:rsid w:val="005A20D4"/>
    <w:rsid w:val="005A6A32"/>
    <w:rsid w:val="005A6A88"/>
    <w:rsid w:val="005A6FD9"/>
    <w:rsid w:val="005B02A1"/>
    <w:rsid w:val="005B1FB1"/>
    <w:rsid w:val="005B2BBD"/>
    <w:rsid w:val="005B338D"/>
    <w:rsid w:val="005B3407"/>
    <w:rsid w:val="005B4B2A"/>
    <w:rsid w:val="005B728C"/>
    <w:rsid w:val="005D1FA8"/>
    <w:rsid w:val="005D3792"/>
    <w:rsid w:val="005D3881"/>
    <w:rsid w:val="005D4CF3"/>
    <w:rsid w:val="005E030D"/>
    <w:rsid w:val="005E0BCA"/>
    <w:rsid w:val="005E20EC"/>
    <w:rsid w:val="005E5CBB"/>
    <w:rsid w:val="005E7258"/>
    <w:rsid w:val="005E7CCE"/>
    <w:rsid w:val="005F6ED6"/>
    <w:rsid w:val="00602F92"/>
    <w:rsid w:val="0061248E"/>
    <w:rsid w:val="00617243"/>
    <w:rsid w:val="00622B66"/>
    <w:rsid w:val="0062498A"/>
    <w:rsid w:val="00625296"/>
    <w:rsid w:val="006253DF"/>
    <w:rsid w:val="006307C2"/>
    <w:rsid w:val="00632236"/>
    <w:rsid w:val="006323C7"/>
    <w:rsid w:val="006327B5"/>
    <w:rsid w:val="006376C5"/>
    <w:rsid w:val="0063784C"/>
    <w:rsid w:val="00637FEB"/>
    <w:rsid w:val="00640A61"/>
    <w:rsid w:val="00642364"/>
    <w:rsid w:val="0064391C"/>
    <w:rsid w:val="00645A11"/>
    <w:rsid w:val="00646D75"/>
    <w:rsid w:val="00657095"/>
    <w:rsid w:val="00660EB2"/>
    <w:rsid w:val="006611EB"/>
    <w:rsid w:val="00662914"/>
    <w:rsid w:val="00662A98"/>
    <w:rsid w:val="00664828"/>
    <w:rsid w:val="0067228B"/>
    <w:rsid w:val="006724CD"/>
    <w:rsid w:val="00676842"/>
    <w:rsid w:val="00676C45"/>
    <w:rsid w:val="0068538A"/>
    <w:rsid w:val="00686BFB"/>
    <w:rsid w:val="00687BA9"/>
    <w:rsid w:val="006959CF"/>
    <w:rsid w:val="006961B9"/>
    <w:rsid w:val="006A2402"/>
    <w:rsid w:val="006A31BB"/>
    <w:rsid w:val="006A35C2"/>
    <w:rsid w:val="006A5476"/>
    <w:rsid w:val="006B25FA"/>
    <w:rsid w:val="006B71A5"/>
    <w:rsid w:val="006D1224"/>
    <w:rsid w:val="006D203E"/>
    <w:rsid w:val="006D354B"/>
    <w:rsid w:val="006D4C1F"/>
    <w:rsid w:val="006D5CF4"/>
    <w:rsid w:val="006D6E1D"/>
    <w:rsid w:val="006D7F1F"/>
    <w:rsid w:val="006E5BA6"/>
    <w:rsid w:val="006F17C5"/>
    <w:rsid w:val="006F1E03"/>
    <w:rsid w:val="006F2077"/>
    <w:rsid w:val="006F5182"/>
    <w:rsid w:val="0070150A"/>
    <w:rsid w:val="0070258B"/>
    <w:rsid w:val="0070305F"/>
    <w:rsid w:val="00703305"/>
    <w:rsid w:val="007044FA"/>
    <w:rsid w:val="00713C48"/>
    <w:rsid w:val="0071410B"/>
    <w:rsid w:val="00715EE6"/>
    <w:rsid w:val="0072397D"/>
    <w:rsid w:val="0072549E"/>
    <w:rsid w:val="00725787"/>
    <w:rsid w:val="00731A3B"/>
    <w:rsid w:val="007327A2"/>
    <w:rsid w:val="00734381"/>
    <w:rsid w:val="0073485D"/>
    <w:rsid w:val="00735641"/>
    <w:rsid w:val="007358BF"/>
    <w:rsid w:val="00742596"/>
    <w:rsid w:val="00745041"/>
    <w:rsid w:val="007506CE"/>
    <w:rsid w:val="00753121"/>
    <w:rsid w:val="00757B71"/>
    <w:rsid w:val="007626DF"/>
    <w:rsid w:val="00764432"/>
    <w:rsid w:val="00770D61"/>
    <w:rsid w:val="007744BC"/>
    <w:rsid w:val="00784B51"/>
    <w:rsid w:val="00786658"/>
    <w:rsid w:val="007A5028"/>
    <w:rsid w:val="007A51D3"/>
    <w:rsid w:val="007B29E4"/>
    <w:rsid w:val="007B4684"/>
    <w:rsid w:val="007C24CA"/>
    <w:rsid w:val="007C5958"/>
    <w:rsid w:val="007D14A1"/>
    <w:rsid w:val="007D388A"/>
    <w:rsid w:val="007D4132"/>
    <w:rsid w:val="007D456F"/>
    <w:rsid w:val="007E4198"/>
    <w:rsid w:val="007E5F9C"/>
    <w:rsid w:val="007E6B8A"/>
    <w:rsid w:val="007F1FE8"/>
    <w:rsid w:val="007F6421"/>
    <w:rsid w:val="007F71A1"/>
    <w:rsid w:val="007F73F3"/>
    <w:rsid w:val="00803576"/>
    <w:rsid w:val="0081294D"/>
    <w:rsid w:val="00814C64"/>
    <w:rsid w:val="00815212"/>
    <w:rsid w:val="00817672"/>
    <w:rsid w:val="00817F4E"/>
    <w:rsid w:val="00831041"/>
    <w:rsid w:val="00833079"/>
    <w:rsid w:val="00846E11"/>
    <w:rsid w:val="008524F2"/>
    <w:rsid w:val="0085496A"/>
    <w:rsid w:val="0085570C"/>
    <w:rsid w:val="008605E6"/>
    <w:rsid w:val="0086243E"/>
    <w:rsid w:val="0086473D"/>
    <w:rsid w:val="008668DF"/>
    <w:rsid w:val="00866AE0"/>
    <w:rsid w:val="008674A1"/>
    <w:rsid w:val="00873B14"/>
    <w:rsid w:val="00876DEF"/>
    <w:rsid w:val="00882777"/>
    <w:rsid w:val="008874CD"/>
    <w:rsid w:val="008904D2"/>
    <w:rsid w:val="0089310E"/>
    <w:rsid w:val="00894867"/>
    <w:rsid w:val="00896E4C"/>
    <w:rsid w:val="008A0E63"/>
    <w:rsid w:val="008A10DA"/>
    <w:rsid w:val="008B6418"/>
    <w:rsid w:val="008C2B29"/>
    <w:rsid w:val="008C2EDA"/>
    <w:rsid w:val="008C7DED"/>
    <w:rsid w:val="008D4B92"/>
    <w:rsid w:val="008D6318"/>
    <w:rsid w:val="008E2174"/>
    <w:rsid w:val="008F4107"/>
    <w:rsid w:val="008F6E34"/>
    <w:rsid w:val="0090629D"/>
    <w:rsid w:val="00906B6C"/>
    <w:rsid w:val="0090705B"/>
    <w:rsid w:val="009115F0"/>
    <w:rsid w:val="009121D6"/>
    <w:rsid w:val="009151AF"/>
    <w:rsid w:val="00915714"/>
    <w:rsid w:val="00915BEC"/>
    <w:rsid w:val="00930385"/>
    <w:rsid w:val="00932497"/>
    <w:rsid w:val="009342DE"/>
    <w:rsid w:val="0094358D"/>
    <w:rsid w:val="009442AD"/>
    <w:rsid w:val="00950108"/>
    <w:rsid w:val="009532B3"/>
    <w:rsid w:val="00955509"/>
    <w:rsid w:val="00957587"/>
    <w:rsid w:val="009575C3"/>
    <w:rsid w:val="009615F8"/>
    <w:rsid w:val="00963083"/>
    <w:rsid w:val="00964D88"/>
    <w:rsid w:val="009738D6"/>
    <w:rsid w:val="00981CF1"/>
    <w:rsid w:val="00983818"/>
    <w:rsid w:val="00983942"/>
    <w:rsid w:val="00985155"/>
    <w:rsid w:val="00986020"/>
    <w:rsid w:val="009919DB"/>
    <w:rsid w:val="00991A5C"/>
    <w:rsid w:val="00992FF4"/>
    <w:rsid w:val="009931E3"/>
    <w:rsid w:val="0099388F"/>
    <w:rsid w:val="00993A1E"/>
    <w:rsid w:val="009965ED"/>
    <w:rsid w:val="009A1EF8"/>
    <w:rsid w:val="009A3C98"/>
    <w:rsid w:val="009A5D15"/>
    <w:rsid w:val="009A76ED"/>
    <w:rsid w:val="009B38EC"/>
    <w:rsid w:val="009B54E8"/>
    <w:rsid w:val="009C0E66"/>
    <w:rsid w:val="009C1F86"/>
    <w:rsid w:val="009C42CF"/>
    <w:rsid w:val="009C5564"/>
    <w:rsid w:val="009D4842"/>
    <w:rsid w:val="009E22AC"/>
    <w:rsid w:val="009E410F"/>
    <w:rsid w:val="009E7AA3"/>
    <w:rsid w:val="009F0B24"/>
    <w:rsid w:val="009F16E7"/>
    <w:rsid w:val="009F178F"/>
    <w:rsid w:val="009F422A"/>
    <w:rsid w:val="009F437E"/>
    <w:rsid w:val="009F49E8"/>
    <w:rsid w:val="00A06283"/>
    <w:rsid w:val="00A06304"/>
    <w:rsid w:val="00A07A56"/>
    <w:rsid w:val="00A10F00"/>
    <w:rsid w:val="00A1241B"/>
    <w:rsid w:val="00A12648"/>
    <w:rsid w:val="00A26363"/>
    <w:rsid w:val="00A27901"/>
    <w:rsid w:val="00A30E5C"/>
    <w:rsid w:val="00A31825"/>
    <w:rsid w:val="00A34A54"/>
    <w:rsid w:val="00A351E7"/>
    <w:rsid w:val="00A42275"/>
    <w:rsid w:val="00A42E60"/>
    <w:rsid w:val="00A431EE"/>
    <w:rsid w:val="00A479DB"/>
    <w:rsid w:val="00A47A71"/>
    <w:rsid w:val="00A50B08"/>
    <w:rsid w:val="00A5481E"/>
    <w:rsid w:val="00A61FD2"/>
    <w:rsid w:val="00A62BE8"/>
    <w:rsid w:val="00A6307B"/>
    <w:rsid w:val="00A730B2"/>
    <w:rsid w:val="00A75267"/>
    <w:rsid w:val="00A7660C"/>
    <w:rsid w:val="00A82C64"/>
    <w:rsid w:val="00A83B81"/>
    <w:rsid w:val="00A84E82"/>
    <w:rsid w:val="00A85844"/>
    <w:rsid w:val="00A86C68"/>
    <w:rsid w:val="00AA0216"/>
    <w:rsid w:val="00AA0BF7"/>
    <w:rsid w:val="00AA5DD3"/>
    <w:rsid w:val="00AA79F7"/>
    <w:rsid w:val="00AB0888"/>
    <w:rsid w:val="00AB15AC"/>
    <w:rsid w:val="00AB2449"/>
    <w:rsid w:val="00AB79BC"/>
    <w:rsid w:val="00AB7E91"/>
    <w:rsid w:val="00AC0E7E"/>
    <w:rsid w:val="00AC13EE"/>
    <w:rsid w:val="00AC24D1"/>
    <w:rsid w:val="00AC4291"/>
    <w:rsid w:val="00AC4953"/>
    <w:rsid w:val="00AC61A7"/>
    <w:rsid w:val="00AD03CF"/>
    <w:rsid w:val="00AD525B"/>
    <w:rsid w:val="00AD6101"/>
    <w:rsid w:val="00AD6168"/>
    <w:rsid w:val="00AD65D8"/>
    <w:rsid w:val="00AE0659"/>
    <w:rsid w:val="00AE2A5A"/>
    <w:rsid w:val="00AE7410"/>
    <w:rsid w:val="00AF07A0"/>
    <w:rsid w:val="00AF78FA"/>
    <w:rsid w:val="00B010E8"/>
    <w:rsid w:val="00B02755"/>
    <w:rsid w:val="00B10562"/>
    <w:rsid w:val="00B17E2B"/>
    <w:rsid w:val="00B308A9"/>
    <w:rsid w:val="00B31CAA"/>
    <w:rsid w:val="00B368DA"/>
    <w:rsid w:val="00B47D51"/>
    <w:rsid w:val="00B506E9"/>
    <w:rsid w:val="00B52021"/>
    <w:rsid w:val="00B53B8D"/>
    <w:rsid w:val="00B61DA3"/>
    <w:rsid w:val="00B65D59"/>
    <w:rsid w:val="00B700F7"/>
    <w:rsid w:val="00B70500"/>
    <w:rsid w:val="00B7055F"/>
    <w:rsid w:val="00B74C8F"/>
    <w:rsid w:val="00B774F2"/>
    <w:rsid w:val="00B82083"/>
    <w:rsid w:val="00B85325"/>
    <w:rsid w:val="00BA0333"/>
    <w:rsid w:val="00BA0EA5"/>
    <w:rsid w:val="00BA0F28"/>
    <w:rsid w:val="00BA1778"/>
    <w:rsid w:val="00BA2809"/>
    <w:rsid w:val="00BA4010"/>
    <w:rsid w:val="00BB2105"/>
    <w:rsid w:val="00BB5F54"/>
    <w:rsid w:val="00BB6C43"/>
    <w:rsid w:val="00BC2AA5"/>
    <w:rsid w:val="00BC32C5"/>
    <w:rsid w:val="00BC3775"/>
    <w:rsid w:val="00BD2916"/>
    <w:rsid w:val="00BD6880"/>
    <w:rsid w:val="00BE2ABE"/>
    <w:rsid w:val="00BE7843"/>
    <w:rsid w:val="00BF46CE"/>
    <w:rsid w:val="00BF4CA4"/>
    <w:rsid w:val="00BF5F58"/>
    <w:rsid w:val="00C04369"/>
    <w:rsid w:val="00C06794"/>
    <w:rsid w:val="00C1109A"/>
    <w:rsid w:val="00C22ABC"/>
    <w:rsid w:val="00C319D8"/>
    <w:rsid w:val="00C32DA6"/>
    <w:rsid w:val="00C35C7D"/>
    <w:rsid w:val="00C42118"/>
    <w:rsid w:val="00C43687"/>
    <w:rsid w:val="00C43DBD"/>
    <w:rsid w:val="00C53D5D"/>
    <w:rsid w:val="00C550D9"/>
    <w:rsid w:val="00C569BB"/>
    <w:rsid w:val="00C603E3"/>
    <w:rsid w:val="00C609AD"/>
    <w:rsid w:val="00C63C90"/>
    <w:rsid w:val="00C66815"/>
    <w:rsid w:val="00C70923"/>
    <w:rsid w:val="00C73B84"/>
    <w:rsid w:val="00C80B5D"/>
    <w:rsid w:val="00C8146B"/>
    <w:rsid w:val="00C814D6"/>
    <w:rsid w:val="00C860F9"/>
    <w:rsid w:val="00C90863"/>
    <w:rsid w:val="00C91201"/>
    <w:rsid w:val="00C924C1"/>
    <w:rsid w:val="00C96FBC"/>
    <w:rsid w:val="00CA15E4"/>
    <w:rsid w:val="00CA4483"/>
    <w:rsid w:val="00CB28EA"/>
    <w:rsid w:val="00CB2C2E"/>
    <w:rsid w:val="00CB497D"/>
    <w:rsid w:val="00CB4C18"/>
    <w:rsid w:val="00CB6B26"/>
    <w:rsid w:val="00CB6CB9"/>
    <w:rsid w:val="00CC1421"/>
    <w:rsid w:val="00CC57FF"/>
    <w:rsid w:val="00CD073C"/>
    <w:rsid w:val="00CD1192"/>
    <w:rsid w:val="00CD463E"/>
    <w:rsid w:val="00CD678F"/>
    <w:rsid w:val="00CE13C1"/>
    <w:rsid w:val="00CE1A65"/>
    <w:rsid w:val="00CE3980"/>
    <w:rsid w:val="00CE6289"/>
    <w:rsid w:val="00CF18F0"/>
    <w:rsid w:val="00CF5465"/>
    <w:rsid w:val="00CF6EA3"/>
    <w:rsid w:val="00CF782A"/>
    <w:rsid w:val="00D00B6D"/>
    <w:rsid w:val="00D03528"/>
    <w:rsid w:val="00D03DF5"/>
    <w:rsid w:val="00D0516D"/>
    <w:rsid w:val="00D10AA2"/>
    <w:rsid w:val="00D1502A"/>
    <w:rsid w:val="00D15254"/>
    <w:rsid w:val="00D179F0"/>
    <w:rsid w:val="00D204D4"/>
    <w:rsid w:val="00D231CE"/>
    <w:rsid w:val="00D31FBE"/>
    <w:rsid w:val="00D34FA9"/>
    <w:rsid w:val="00D36EDF"/>
    <w:rsid w:val="00D4303E"/>
    <w:rsid w:val="00D44F88"/>
    <w:rsid w:val="00D518B3"/>
    <w:rsid w:val="00D53546"/>
    <w:rsid w:val="00D573AE"/>
    <w:rsid w:val="00D602EA"/>
    <w:rsid w:val="00D65537"/>
    <w:rsid w:val="00D66ABB"/>
    <w:rsid w:val="00D72C8E"/>
    <w:rsid w:val="00D80EFF"/>
    <w:rsid w:val="00D84D0D"/>
    <w:rsid w:val="00D851D1"/>
    <w:rsid w:val="00D87F3A"/>
    <w:rsid w:val="00D95BC5"/>
    <w:rsid w:val="00D968F9"/>
    <w:rsid w:val="00DA2A87"/>
    <w:rsid w:val="00DA5EDD"/>
    <w:rsid w:val="00DB0328"/>
    <w:rsid w:val="00DB1C2E"/>
    <w:rsid w:val="00DB2B53"/>
    <w:rsid w:val="00DB3B62"/>
    <w:rsid w:val="00DC2D18"/>
    <w:rsid w:val="00DE0889"/>
    <w:rsid w:val="00DE6417"/>
    <w:rsid w:val="00DE6D20"/>
    <w:rsid w:val="00DF005F"/>
    <w:rsid w:val="00DF1B86"/>
    <w:rsid w:val="00DF2CD3"/>
    <w:rsid w:val="00DF3213"/>
    <w:rsid w:val="00DF41C9"/>
    <w:rsid w:val="00E01210"/>
    <w:rsid w:val="00E02B73"/>
    <w:rsid w:val="00E1032E"/>
    <w:rsid w:val="00E10DA5"/>
    <w:rsid w:val="00E13C0C"/>
    <w:rsid w:val="00E155C5"/>
    <w:rsid w:val="00E170D7"/>
    <w:rsid w:val="00E203F7"/>
    <w:rsid w:val="00E211B5"/>
    <w:rsid w:val="00E23538"/>
    <w:rsid w:val="00E27A8F"/>
    <w:rsid w:val="00E3110B"/>
    <w:rsid w:val="00E33186"/>
    <w:rsid w:val="00E3646B"/>
    <w:rsid w:val="00E408CC"/>
    <w:rsid w:val="00E40A62"/>
    <w:rsid w:val="00E4409E"/>
    <w:rsid w:val="00E53D56"/>
    <w:rsid w:val="00E54106"/>
    <w:rsid w:val="00E578E4"/>
    <w:rsid w:val="00E57F80"/>
    <w:rsid w:val="00E706FA"/>
    <w:rsid w:val="00E7372F"/>
    <w:rsid w:val="00E8225F"/>
    <w:rsid w:val="00E853F2"/>
    <w:rsid w:val="00E9213E"/>
    <w:rsid w:val="00E95267"/>
    <w:rsid w:val="00E9741E"/>
    <w:rsid w:val="00EA3EE2"/>
    <w:rsid w:val="00EA5322"/>
    <w:rsid w:val="00EB37E7"/>
    <w:rsid w:val="00EB40CB"/>
    <w:rsid w:val="00EC081D"/>
    <w:rsid w:val="00ED080D"/>
    <w:rsid w:val="00ED0933"/>
    <w:rsid w:val="00ED2304"/>
    <w:rsid w:val="00ED4A4E"/>
    <w:rsid w:val="00ED601B"/>
    <w:rsid w:val="00ED6BCE"/>
    <w:rsid w:val="00EE41CA"/>
    <w:rsid w:val="00EE464C"/>
    <w:rsid w:val="00EE480C"/>
    <w:rsid w:val="00EE6DD9"/>
    <w:rsid w:val="00EE7278"/>
    <w:rsid w:val="00EF0BB4"/>
    <w:rsid w:val="00EF63E1"/>
    <w:rsid w:val="00EF6A25"/>
    <w:rsid w:val="00F006D2"/>
    <w:rsid w:val="00F01155"/>
    <w:rsid w:val="00F133C1"/>
    <w:rsid w:val="00F17642"/>
    <w:rsid w:val="00F22FE4"/>
    <w:rsid w:val="00F264E8"/>
    <w:rsid w:val="00F364A4"/>
    <w:rsid w:val="00F41E30"/>
    <w:rsid w:val="00F42088"/>
    <w:rsid w:val="00F43DEC"/>
    <w:rsid w:val="00F43E68"/>
    <w:rsid w:val="00F44BC1"/>
    <w:rsid w:val="00F46513"/>
    <w:rsid w:val="00F46F4E"/>
    <w:rsid w:val="00F50FD7"/>
    <w:rsid w:val="00F5316E"/>
    <w:rsid w:val="00F56F71"/>
    <w:rsid w:val="00F57D50"/>
    <w:rsid w:val="00F60D50"/>
    <w:rsid w:val="00F63049"/>
    <w:rsid w:val="00F64731"/>
    <w:rsid w:val="00F64B21"/>
    <w:rsid w:val="00F659AE"/>
    <w:rsid w:val="00F73E51"/>
    <w:rsid w:val="00F75831"/>
    <w:rsid w:val="00F856B0"/>
    <w:rsid w:val="00F94D58"/>
    <w:rsid w:val="00F94F83"/>
    <w:rsid w:val="00F95F4E"/>
    <w:rsid w:val="00F96687"/>
    <w:rsid w:val="00F97DF4"/>
    <w:rsid w:val="00FA0A56"/>
    <w:rsid w:val="00FA28FE"/>
    <w:rsid w:val="00FA778F"/>
    <w:rsid w:val="00FB41DB"/>
    <w:rsid w:val="00FB4FF0"/>
    <w:rsid w:val="00FB560D"/>
    <w:rsid w:val="00FC018E"/>
    <w:rsid w:val="00FC2EFE"/>
    <w:rsid w:val="00FC3CB9"/>
    <w:rsid w:val="00FD6C32"/>
    <w:rsid w:val="00FE36B3"/>
    <w:rsid w:val="00FE586E"/>
    <w:rsid w:val="00FF1A8E"/>
    <w:rsid w:val="00FF3A49"/>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E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519C1"/>
    <w:pPr>
      <w:spacing w:before="480" w:after="120" w:line="240" w:lineRule="atLeast"/>
      <w:outlineLvl w:val="0"/>
    </w:pPr>
    <w:rPr>
      <w:rFonts w:ascii="Arial" w:hAnsi="Arial" w:cs="Arial"/>
      <w:b/>
      <w:bCs/>
      <w:color w:val="000000"/>
      <w:sz w:val="28"/>
      <w:szCs w:val="28"/>
    </w:rPr>
  </w:style>
  <w:style w:type="paragraph" w:styleId="Heading2">
    <w:name w:val="heading 2"/>
    <w:aliases w:val="Body"/>
    <w:basedOn w:val="Normal"/>
    <w:next w:val="Normal"/>
    <w:link w:val="Heading2Char"/>
    <w:uiPriority w:val="9"/>
    <w:unhideWhenUsed/>
    <w:qFormat/>
    <w:rsid w:val="00637FEB"/>
    <w:pPr>
      <w:spacing w:before="240"/>
      <w:outlineLvl w:val="1"/>
    </w:pPr>
    <w:rPr>
      <w:rFonts w:ascii="Arial" w:hAnsi="Arial" w:cs="Arial"/>
      <w:bCs/>
      <w:color w:val="000000"/>
      <w:u w:val="single"/>
    </w:rPr>
  </w:style>
  <w:style w:type="paragraph" w:styleId="Heading3">
    <w:name w:val="heading 3"/>
    <w:basedOn w:val="Heading2"/>
    <w:next w:val="Normal"/>
    <w:link w:val="Heading3Char"/>
    <w:uiPriority w:val="9"/>
    <w:unhideWhenUsed/>
    <w:qFormat/>
    <w:rsid w:val="000519C1"/>
    <w:pPr>
      <w:spacing w:before="480" w:after="240"/>
      <w:outlineLvl w:val="2"/>
    </w:pPr>
    <w:rPr>
      <w:noProof/>
      <w:lang w:val="en"/>
    </w:rPr>
  </w:style>
  <w:style w:type="paragraph" w:styleId="Heading4">
    <w:name w:val="heading 4"/>
    <w:basedOn w:val="Normal"/>
    <w:next w:val="Normal"/>
    <w:link w:val="Heading4Char"/>
    <w:uiPriority w:val="9"/>
    <w:semiHidden/>
    <w:unhideWhenUsed/>
    <w:qFormat/>
    <w:rsid w:val="00A548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8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E6"/>
    <w:rPr>
      <w:color w:val="0000FF"/>
      <w:u w:val="single"/>
    </w:rPr>
  </w:style>
  <w:style w:type="paragraph" w:styleId="NormalWeb">
    <w:name w:val="Normal (Web)"/>
    <w:basedOn w:val="Normal"/>
    <w:uiPriority w:val="99"/>
    <w:unhideWhenUsed/>
    <w:rsid w:val="00715EE6"/>
    <w:rPr>
      <w:rFonts w:ascii="inherit" w:hAnsi="inherit"/>
      <w:sz w:val="24"/>
      <w:szCs w:val="24"/>
    </w:rPr>
  </w:style>
  <w:style w:type="paragraph" w:styleId="NoSpacing">
    <w:name w:val="No Spacing"/>
    <w:aliases w:val="List1"/>
    <w:basedOn w:val="ListParagraph"/>
    <w:uiPriority w:val="1"/>
    <w:qFormat/>
    <w:rsid w:val="00AE0659"/>
    <w:pPr>
      <w:spacing w:before="240" w:after="240"/>
      <w:ind w:left="547"/>
    </w:pPr>
    <w:rPr>
      <w:lang w:val="en"/>
    </w:rPr>
  </w:style>
  <w:style w:type="paragraph" w:styleId="ListParagraph">
    <w:name w:val="List Paragraph"/>
    <w:basedOn w:val="Normal"/>
    <w:uiPriority w:val="34"/>
    <w:qFormat/>
    <w:rsid w:val="00AA0216"/>
    <w:pPr>
      <w:numPr>
        <w:numId w:val="1"/>
      </w:numPr>
      <w:ind w:left="360"/>
    </w:pPr>
    <w:rPr>
      <w:rFonts w:ascii="Arial" w:eastAsia="Times New Roman" w:hAnsi="Arial" w:cs="Arial"/>
      <w:bCs/>
    </w:rPr>
  </w:style>
  <w:style w:type="character" w:styleId="CommentReference">
    <w:name w:val="annotation reference"/>
    <w:basedOn w:val="DefaultParagraphFont"/>
    <w:uiPriority w:val="99"/>
    <w:semiHidden/>
    <w:unhideWhenUsed/>
    <w:rsid w:val="00205A1F"/>
    <w:rPr>
      <w:sz w:val="16"/>
      <w:szCs w:val="16"/>
    </w:rPr>
  </w:style>
  <w:style w:type="paragraph" w:styleId="CommentText">
    <w:name w:val="annotation text"/>
    <w:basedOn w:val="Normal"/>
    <w:link w:val="CommentTextChar"/>
    <w:uiPriority w:val="99"/>
    <w:semiHidden/>
    <w:unhideWhenUsed/>
    <w:rsid w:val="00205A1F"/>
    <w:rPr>
      <w:sz w:val="20"/>
      <w:szCs w:val="20"/>
    </w:rPr>
  </w:style>
  <w:style w:type="character" w:customStyle="1" w:styleId="CommentTextChar">
    <w:name w:val="Comment Text Char"/>
    <w:basedOn w:val="DefaultParagraphFont"/>
    <w:link w:val="CommentText"/>
    <w:uiPriority w:val="99"/>
    <w:semiHidden/>
    <w:rsid w:val="00205A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5A1F"/>
    <w:rPr>
      <w:b/>
      <w:bCs/>
    </w:rPr>
  </w:style>
  <w:style w:type="character" w:customStyle="1" w:styleId="CommentSubjectChar">
    <w:name w:val="Comment Subject Char"/>
    <w:basedOn w:val="CommentTextChar"/>
    <w:link w:val="CommentSubject"/>
    <w:uiPriority w:val="99"/>
    <w:semiHidden/>
    <w:rsid w:val="00205A1F"/>
    <w:rPr>
      <w:rFonts w:ascii="Calibri" w:hAnsi="Calibri" w:cs="Times New Roman"/>
      <w:b/>
      <w:bCs/>
      <w:sz w:val="20"/>
      <w:szCs w:val="20"/>
    </w:rPr>
  </w:style>
  <w:style w:type="paragraph" w:styleId="BalloonText">
    <w:name w:val="Balloon Text"/>
    <w:basedOn w:val="Normal"/>
    <w:link w:val="BalloonTextChar"/>
    <w:uiPriority w:val="99"/>
    <w:semiHidden/>
    <w:unhideWhenUsed/>
    <w:rsid w:val="00205A1F"/>
    <w:rPr>
      <w:rFonts w:ascii="Tahoma" w:hAnsi="Tahoma" w:cs="Tahoma"/>
      <w:sz w:val="16"/>
      <w:szCs w:val="16"/>
    </w:rPr>
  </w:style>
  <w:style w:type="character" w:customStyle="1" w:styleId="BalloonTextChar">
    <w:name w:val="Balloon Text Char"/>
    <w:basedOn w:val="DefaultParagraphFont"/>
    <w:link w:val="BalloonText"/>
    <w:uiPriority w:val="99"/>
    <w:semiHidden/>
    <w:rsid w:val="00205A1F"/>
    <w:rPr>
      <w:rFonts w:ascii="Tahoma" w:hAnsi="Tahoma" w:cs="Tahoma"/>
      <w:sz w:val="16"/>
      <w:szCs w:val="16"/>
    </w:rPr>
  </w:style>
  <w:style w:type="character" w:styleId="Strong">
    <w:name w:val="Strong"/>
    <w:basedOn w:val="DefaultParagraphFont"/>
    <w:uiPriority w:val="22"/>
    <w:qFormat/>
    <w:rsid w:val="007327A2"/>
    <w:rPr>
      <w:b/>
      <w:bCs/>
    </w:rPr>
  </w:style>
  <w:style w:type="paragraph" w:styleId="Title">
    <w:name w:val="Title"/>
    <w:aliases w:val="list2"/>
    <w:basedOn w:val="ListParagraph"/>
    <w:next w:val="Normal"/>
    <w:link w:val="TitleChar"/>
    <w:uiPriority w:val="10"/>
    <w:qFormat/>
    <w:rsid w:val="00AE0659"/>
    <w:pPr>
      <w:numPr>
        <w:ilvl w:val="1"/>
      </w:numPr>
      <w:spacing w:before="120" w:after="240"/>
      <w:ind w:left="907"/>
    </w:pPr>
  </w:style>
  <w:style w:type="character" w:customStyle="1" w:styleId="TitleChar">
    <w:name w:val="Title Char"/>
    <w:aliases w:val="list2 Char"/>
    <w:basedOn w:val="DefaultParagraphFont"/>
    <w:link w:val="Title"/>
    <w:uiPriority w:val="10"/>
    <w:rsid w:val="00AE0659"/>
    <w:rPr>
      <w:rFonts w:ascii="Arial" w:eastAsia="Times New Roman" w:hAnsi="Arial" w:cs="Arial"/>
      <w:bCs/>
    </w:rPr>
  </w:style>
  <w:style w:type="character" w:customStyle="1" w:styleId="Heading1Char">
    <w:name w:val="Heading 1 Char"/>
    <w:basedOn w:val="DefaultParagraphFont"/>
    <w:link w:val="Heading1"/>
    <w:uiPriority w:val="9"/>
    <w:rsid w:val="000519C1"/>
    <w:rPr>
      <w:rFonts w:ascii="Arial" w:hAnsi="Arial" w:cs="Arial"/>
      <w:b/>
      <w:bCs/>
      <w:color w:val="000000"/>
      <w:sz w:val="28"/>
      <w:szCs w:val="28"/>
    </w:rPr>
  </w:style>
  <w:style w:type="character" w:customStyle="1" w:styleId="Heading2Char">
    <w:name w:val="Heading 2 Char"/>
    <w:aliases w:val="Body Char"/>
    <w:basedOn w:val="DefaultParagraphFont"/>
    <w:link w:val="Heading2"/>
    <w:uiPriority w:val="9"/>
    <w:rsid w:val="00637FEB"/>
    <w:rPr>
      <w:rFonts w:ascii="Arial" w:hAnsi="Arial" w:cs="Arial"/>
      <w:bCs/>
      <w:color w:val="000000"/>
      <w:u w:val="single"/>
    </w:rPr>
  </w:style>
  <w:style w:type="character" w:customStyle="1" w:styleId="apple-converted-space">
    <w:name w:val="apple-converted-space"/>
    <w:basedOn w:val="DefaultParagraphFont"/>
    <w:rsid w:val="00CF6EA3"/>
  </w:style>
  <w:style w:type="character" w:customStyle="1" w:styleId="Heading4Char">
    <w:name w:val="Heading 4 Char"/>
    <w:basedOn w:val="DefaultParagraphFont"/>
    <w:link w:val="Heading4"/>
    <w:uiPriority w:val="9"/>
    <w:semiHidden/>
    <w:rsid w:val="00A548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81E"/>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semiHidden/>
    <w:unhideWhenUsed/>
    <w:rsid w:val="00676842"/>
  </w:style>
  <w:style w:type="character" w:customStyle="1" w:styleId="PlainTextChar">
    <w:name w:val="Plain Text Char"/>
    <w:basedOn w:val="DefaultParagraphFont"/>
    <w:link w:val="PlainText"/>
    <w:uiPriority w:val="99"/>
    <w:semiHidden/>
    <w:rsid w:val="00676842"/>
    <w:rPr>
      <w:rFonts w:ascii="Calibri" w:hAnsi="Calibri" w:cs="Times New Roman"/>
    </w:rPr>
  </w:style>
  <w:style w:type="character" w:customStyle="1" w:styleId="Heading3Char">
    <w:name w:val="Heading 3 Char"/>
    <w:basedOn w:val="DefaultParagraphFont"/>
    <w:link w:val="Heading3"/>
    <w:uiPriority w:val="9"/>
    <w:rsid w:val="000519C1"/>
    <w:rPr>
      <w:rFonts w:ascii="Arial" w:hAnsi="Arial" w:cs="Arial"/>
      <w:bCs/>
      <w:noProof/>
      <w:color w:val="000000"/>
      <w:u w:val="single"/>
      <w:lang w:val="en"/>
    </w:rPr>
  </w:style>
  <w:style w:type="paragraph" w:styleId="FootnoteText">
    <w:name w:val="footnote text"/>
    <w:basedOn w:val="Normal"/>
    <w:link w:val="FootnoteTextChar"/>
    <w:uiPriority w:val="99"/>
    <w:unhideWhenUsed/>
    <w:rsid w:val="001C07A1"/>
    <w:rPr>
      <w:sz w:val="20"/>
      <w:szCs w:val="20"/>
    </w:rPr>
  </w:style>
  <w:style w:type="character" w:customStyle="1" w:styleId="FootnoteTextChar">
    <w:name w:val="Footnote Text Char"/>
    <w:basedOn w:val="DefaultParagraphFont"/>
    <w:link w:val="FootnoteText"/>
    <w:uiPriority w:val="99"/>
    <w:rsid w:val="001C07A1"/>
    <w:rPr>
      <w:rFonts w:ascii="Calibri" w:hAnsi="Calibri" w:cs="Times New Roman"/>
      <w:sz w:val="20"/>
      <w:szCs w:val="20"/>
    </w:rPr>
  </w:style>
  <w:style w:type="character" w:styleId="FootnoteReference">
    <w:name w:val="footnote reference"/>
    <w:basedOn w:val="DefaultParagraphFont"/>
    <w:uiPriority w:val="99"/>
    <w:unhideWhenUsed/>
    <w:rsid w:val="001C07A1"/>
    <w:rPr>
      <w:vertAlign w:val="superscript"/>
    </w:rPr>
  </w:style>
  <w:style w:type="paragraph" w:styleId="Header">
    <w:name w:val="header"/>
    <w:basedOn w:val="Normal"/>
    <w:link w:val="HeaderChar"/>
    <w:uiPriority w:val="99"/>
    <w:unhideWhenUsed/>
    <w:rsid w:val="00753121"/>
    <w:pPr>
      <w:tabs>
        <w:tab w:val="center" w:pos="4680"/>
        <w:tab w:val="right" w:pos="9360"/>
      </w:tabs>
    </w:pPr>
  </w:style>
  <w:style w:type="character" w:customStyle="1" w:styleId="HeaderChar">
    <w:name w:val="Header Char"/>
    <w:basedOn w:val="DefaultParagraphFont"/>
    <w:link w:val="Header"/>
    <w:uiPriority w:val="99"/>
    <w:rsid w:val="00753121"/>
    <w:rPr>
      <w:rFonts w:ascii="Calibri" w:hAnsi="Calibri" w:cs="Times New Roman"/>
    </w:rPr>
  </w:style>
  <w:style w:type="paragraph" w:styleId="Footer">
    <w:name w:val="footer"/>
    <w:basedOn w:val="Normal"/>
    <w:link w:val="FooterChar"/>
    <w:uiPriority w:val="99"/>
    <w:unhideWhenUsed/>
    <w:rsid w:val="00753121"/>
    <w:pPr>
      <w:tabs>
        <w:tab w:val="center" w:pos="4680"/>
        <w:tab w:val="right" w:pos="9360"/>
      </w:tabs>
    </w:pPr>
  </w:style>
  <w:style w:type="character" w:customStyle="1" w:styleId="FooterChar">
    <w:name w:val="Footer Char"/>
    <w:basedOn w:val="DefaultParagraphFont"/>
    <w:link w:val="Footer"/>
    <w:uiPriority w:val="99"/>
    <w:rsid w:val="00753121"/>
    <w:rPr>
      <w:rFonts w:ascii="Calibri" w:hAnsi="Calibri" w:cs="Times New Roman"/>
    </w:rPr>
  </w:style>
  <w:style w:type="paragraph" w:customStyle="1" w:styleId="Default">
    <w:name w:val="Default"/>
    <w:rsid w:val="008F4107"/>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Pr>
      <w:rFonts w:ascii="Courier" w:hAnsi="Courier"/>
      <w:sz w:val="20"/>
      <w:szCs w:val="20"/>
    </w:rPr>
  </w:style>
  <w:style w:type="character" w:customStyle="1" w:styleId="HTMLPreformattedChar">
    <w:name w:val="HTML Preformatted Char"/>
    <w:basedOn w:val="DefaultParagraphFont"/>
    <w:link w:val="HTMLPreformatted"/>
    <w:uiPriority w:val="99"/>
    <w:rPr>
      <w:rFonts w:ascii="Courier" w:hAnsi="Courier" w:cs="Times New Roman"/>
      <w:sz w:val="20"/>
      <w:szCs w:val="20"/>
    </w:rPr>
  </w:style>
  <w:style w:type="paragraph" w:styleId="Revision">
    <w:name w:val="Revision"/>
    <w:hidden/>
    <w:uiPriority w:val="99"/>
    <w:semiHidden/>
    <w:rsid w:val="00786658"/>
    <w:pPr>
      <w:spacing w:after="0" w:line="240" w:lineRule="auto"/>
    </w:pPr>
    <w:rPr>
      <w:rFonts w:ascii="Calibri" w:hAnsi="Calibri" w:cs="Times New Roman"/>
    </w:rPr>
  </w:style>
  <w:style w:type="character" w:styleId="Emphasis">
    <w:name w:val="Emphasis"/>
    <w:basedOn w:val="DefaultParagraphFont"/>
    <w:uiPriority w:val="20"/>
    <w:qFormat/>
    <w:rsid w:val="00417A2C"/>
    <w:rPr>
      <w:i/>
      <w:iCs/>
    </w:rPr>
  </w:style>
  <w:style w:type="character" w:customStyle="1" w:styleId="st1">
    <w:name w:val="st1"/>
    <w:basedOn w:val="DefaultParagraphFont"/>
    <w:rsid w:val="00533F1E"/>
  </w:style>
  <w:style w:type="character" w:styleId="PageNumber">
    <w:name w:val="page number"/>
    <w:rsid w:val="00167EBC"/>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E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519C1"/>
    <w:pPr>
      <w:spacing w:before="480" w:after="120" w:line="240" w:lineRule="atLeast"/>
      <w:outlineLvl w:val="0"/>
    </w:pPr>
    <w:rPr>
      <w:rFonts w:ascii="Arial" w:hAnsi="Arial" w:cs="Arial"/>
      <w:b/>
      <w:bCs/>
      <w:color w:val="000000"/>
      <w:sz w:val="28"/>
      <w:szCs w:val="28"/>
    </w:rPr>
  </w:style>
  <w:style w:type="paragraph" w:styleId="Heading2">
    <w:name w:val="heading 2"/>
    <w:aliases w:val="Body"/>
    <w:basedOn w:val="Normal"/>
    <w:next w:val="Normal"/>
    <w:link w:val="Heading2Char"/>
    <w:uiPriority w:val="9"/>
    <w:unhideWhenUsed/>
    <w:qFormat/>
    <w:rsid w:val="00637FEB"/>
    <w:pPr>
      <w:spacing w:before="240"/>
      <w:outlineLvl w:val="1"/>
    </w:pPr>
    <w:rPr>
      <w:rFonts w:ascii="Arial" w:hAnsi="Arial" w:cs="Arial"/>
      <w:bCs/>
      <w:color w:val="000000"/>
      <w:u w:val="single"/>
    </w:rPr>
  </w:style>
  <w:style w:type="paragraph" w:styleId="Heading3">
    <w:name w:val="heading 3"/>
    <w:basedOn w:val="Heading2"/>
    <w:next w:val="Normal"/>
    <w:link w:val="Heading3Char"/>
    <w:uiPriority w:val="9"/>
    <w:unhideWhenUsed/>
    <w:qFormat/>
    <w:rsid w:val="000519C1"/>
    <w:pPr>
      <w:spacing w:before="480" w:after="240"/>
      <w:outlineLvl w:val="2"/>
    </w:pPr>
    <w:rPr>
      <w:noProof/>
      <w:lang w:val="en"/>
    </w:rPr>
  </w:style>
  <w:style w:type="paragraph" w:styleId="Heading4">
    <w:name w:val="heading 4"/>
    <w:basedOn w:val="Normal"/>
    <w:next w:val="Normal"/>
    <w:link w:val="Heading4Char"/>
    <w:uiPriority w:val="9"/>
    <w:semiHidden/>
    <w:unhideWhenUsed/>
    <w:qFormat/>
    <w:rsid w:val="00A548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8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E6"/>
    <w:rPr>
      <w:color w:val="0000FF"/>
      <w:u w:val="single"/>
    </w:rPr>
  </w:style>
  <w:style w:type="paragraph" w:styleId="NormalWeb">
    <w:name w:val="Normal (Web)"/>
    <w:basedOn w:val="Normal"/>
    <w:uiPriority w:val="99"/>
    <w:unhideWhenUsed/>
    <w:rsid w:val="00715EE6"/>
    <w:rPr>
      <w:rFonts w:ascii="inherit" w:hAnsi="inherit"/>
      <w:sz w:val="24"/>
      <w:szCs w:val="24"/>
    </w:rPr>
  </w:style>
  <w:style w:type="paragraph" w:styleId="NoSpacing">
    <w:name w:val="No Spacing"/>
    <w:aliases w:val="List1"/>
    <w:basedOn w:val="ListParagraph"/>
    <w:uiPriority w:val="1"/>
    <w:qFormat/>
    <w:rsid w:val="00AE0659"/>
    <w:pPr>
      <w:spacing w:before="240" w:after="240"/>
      <w:ind w:left="547"/>
    </w:pPr>
    <w:rPr>
      <w:lang w:val="en"/>
    </w:rPr>
  </w:style>
  <w:style w:type="paragraph" w:styleId="ListParagraph">
    <w:name w:val="List Paragraph"/>
    <w:basedOn w:val="Normal"/>
    <w:uiPriority w:val="34"/>
    <w:qFormat/>
    <w:rsid w:val="00AA0216"/>
    <w:pPr>
      <w:numPr>
        <w:numId w:val="1"/>
      </w:numPr>
      <w:ind w:left="360"/>
    </w:pPr>
    <w:rPr>
      <w:rFonts w:ascii="Arial" w:eastAsia="Times New Roman" w:hAnsi="Arial" w:cs="Arial"/>
      <w:bCs/>
    </w:rPr>
  </w:style>
  <w:style w:type="character" w:styleId="CommentReference">
    <w:name w:val="annotation reference"/>
    <w:basedOn w:val="DefaultParagraphFont"/>
    <w:uiPriority w:val="99"/>
    <w:semiHidden/>
    <w:unhideWhenUsed/>
    <w:rsid w:val="00205A1F"/>
    <w:rPr>
      <w:sz w:val="16"/>
      <w:szCs w:val="16"/>
    </w:rPr>
  </w:style>
  <w:style w:type="paragraph" w:styleId="CommentText">
    <w:name w:val="annotation text"/>
    <w:basedOn w:val="Normal"/>
    <w:link w:val="CommentTextChar"/>
    <w:uiPriority w:val="99"/>
    <w:semiHidden/>
    <w:unhideWhenUsed/>
    <w:rsid w:val="00205A1F"/>
    <w:rPr>
      <w:sz w:val="20"/>
      <w:szCs w:val="20"/>
    </w:rPr>
  </w:style>
  <w:style w:type="character" w:customStyle="1" w:styleId="CommentTextChar">
    <w:name w:val="Comment Text Char"/>
    <w:basedOn w:val="DefaultParagraphFont"/>
    <w:link w:val="CommentText"/>
    <w:uiPriority w:val="99"/>
    <w:semiHidden/>
    <w:rsid w:val="00205A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5A1F"/>
    <w:rPr>
      <w:b/>
      <w:bCs/>
    </w:rPr>
  </w:style>
  <w:style w:type="character" w:customStyle="1" w:styleId="CommentSubjectChar">
    <w:name w:val="Comment Subject Char"/>
    <w:basedOn w:val="CommentTextChar"/>
    <w:link w:val="CommentSubject"/>
    <w:uiPriority w:val="99"/>
    <w:semiHidden/>
    <w:rsid w:val="00205A1F"/>
    <w:rPr>
      <w:rFonts w:ascii="Calibri" w:hAnsi="Calibri" w:cs="Times New Roman"/>
      <w:b/>
      <w:bCs/>
      <w:sz w:val="20"/>
      <w:szCs w:val="20"/>
    </w:rPr>
  </w:style>
  <w:style w:type="paragraph" w:styleId="BalloonText">
    <w:name w:val="Balloon Text"/>
    <w:basedOn w:val="Normal"/>
    <w:link w:val="BalloonTextChar"/>
    <w:uiPriority w:val="99"/>
    <w:semiHidden/>
    <w:unhideWhenUsed/>
    <w:rsid w:val="00205A1F"/>
    <w:rPr>
      <w:rFonts w:ascii="Tahoma" w:hAnsi="Tahoma" w:cs="Tahoma"/>
      <w:sz w:val="16"/>
      <w:szCs w:val="16"/>
    </w:rPr>
  </w:style>
  <w:style w:type="character" w:customStyle="1" w:styleId="BalloonTextChar">
    <w:name w:val="Balloon Text Char"/>
    <w:basedOn w:val="DefaultParagraphFont"/>
    <w:link w:val="BalloonText"/>
    <w:uiPriority w:val="99"/>
    <w:semiHidden/>
    <w:rsid w:val="00205A1F"/>
    <w:rPr>
      <w:rFonts w:ascii="Tahoma" w:hAnsi="Tahoma" w:cs="Tahoma"/>
      <w:sz w:val="16"/>
      <w:szCs w:val="16"/>
    </w:rPr>
  </w:style>
  <w:style w:type="character" w:styleId="Strong">
    <w:name w:val="Strong"/>
    <w:basedOn w:val="DefaultParagraphFont"/>
    <w:uiPriority w:val="22"/>
    <w:qFormat/>
    <w:rsid w:val="007327A2"/>
    <w:rPr>
      <w:b/>
      <w:bCs/>
    </w:rPr>
  </w:style>
  <w:style w:type="paragraph" w:styleId="Title">
    <w:name w:val="Title"/>
    <w:aliases w:val="list2"/>
    <w:basedOn w:val="ListParagraph"/>
    <w:next w:val="Normal"/>
    <w:link w:val="TitleChar"/>
    <w:uiPriority w:val="10"/>
    <w:qFormat/>
    <w:rsid w:val="00AE0659"/>
    <w:pPr>
      <w:numPr>
        <w:ilvl w:val="1"/>
      </w:numPr>
      <w:spacing w:before="120" w:after="240"/>
      <w:ind w:left="907"/>
    </w:pPr>
  </w:style>
  <w:style w:type="character" w:customStyle="1" w:styleId="TitleChar">
    <w:name w:val="Title Char"/>
    <w:aliases w:val="list2 Char"/>
    <w:basedOn w:val="DefaultParagraphFont"/>
    <w:link w:val="Title"/>
    <w:uiPriority w:val="10"/>
    <w:rsid w:val="00AE0659"/>
    <w:rPr>
      <w:rFonts w:ascii="Arial" w:eastAsia="Times New Roman" w:hAnsi="Arial" w:cs="Arial"/>
      <w:bCs/>
    </w:rPr>
  </w:style>
  <w:style w:type="character" w:customStyle="1" w:styleId="Heading1Char">
    <w:name w:val="Heading 1 Char"/>
    <w:basedOn w:val="DefaultParagraphFont"/>
    <w:link w:val="Heading1"/>
    <w:uiPriority w:val="9"/>
    <w:rsid w:val="000519C1"/>
    <w:rPr>
      <w:rFonts w:ascii="Arial" w:hAnsi="Arial" w:cs="Arial"/>
      <w:b/>
      <w:bCs/>
      <w:color w:val="000000"/>
      <w:sz w:val="28"/>
      <w:szCs w:val="28"/>
    </w:rPr>
  </w:style>
  <w:style w:type="character" w:customStyle="1" w:styleId="Heading2Char">
    <w:name w:val="Heading 2 Char"/>
    <w:aliases w:val="Body Char"/>
    <w:basedOn w:val="DefaultParagraphFont"/>
    <w:link w:val="Heading2"/>
    <w:uiPriority w:val="9"/>
    <w:rsid w:val="00637FEB"/>
    <w:rPr>
      <w:rFonts w:ascii="Arial" w:hAnsi="Arial" w:cs="Arial"/>
      <w:bCs/>
      <w:color w:val="000000"/>
      <w:u w:val="single"/>
    </w:rPr>
  </w:style>
  <w:style w:type="character" w:customStyle="1" w:styleId="apple-converted-space">
    <w:name w:val="apple-converted-space"/>
    <w:basedOn w:val="DefaultParagraphFont"/>
    <w:rsid w:val="00CF6EA3"/>
  </w:style>
  <w:style w:type="character" w:customStyle="1" w:styleId="Heading4Char">
    <w:name w:val="Heading 4 Char"/>
    <w:basedOn w:val="DefaultParagraphFont"/>
    <w:link w:val="Heading4"/>
    <w:uiPriority w:val="9"/>
    <w:semiHidden/>
    <w:rsid w:val="00A548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81E"/>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semiHidden/>
    <w:unhideWhenUsed/>
    <w:rsid w:val="00676842"/>
  </w:style>
  <w:style w:type="character" w:customStyle="1" w:styleId="PlainTextChar">
    <w:name w:val="Plain Text Char"/>
    <w:basedOn w:val="DefaultParagraphFont"/>
    <w:link w:val="PlainText"/>
    <w:uiPriority w:val="99"/>
    <w:semiHidden/>
    <w:rsid w:val="00676842"/>
    <w:rPr>
      <w:rFonts w:ascii="Calibri" w:hAnsi="Calibri" w:cs="Times New Roman"/>
    </w:rPr>
  </w:style>
  <w:style w:type="character" w:customStyle="1" w:styleId="Heading3Char">
    <w:name w:val="Heading 3 Char"/>
    <w:basedOn w:val="DefaultParagraphFont"/>
    <w:link w:val="Heading3"/>
    <w:uiPriority w:val="9"/>
    <w:rsid w:val="000519C1"/>
    <w:rPr>
      <w:rFonts w:ascii="Arial" w:hAnsi="Arial" w:cs="Arial"/>
      <w:bCs/>
      <w:noProof/>
      <w:color w:val="000000"/>
      <w:u w:val="single"/>
      <w:lang w:val="en"/>
    </w:rPr>
  </w:style>
  <w:style w:type="paragraph" w:styleId="FootnoteText">
    <w:name w:val="footnote text"/>
    <w:basedOn w:val="Normal"/>
    <w:link w:val="FootnoteTextChar"/>
    <w:uiPriority w:val="99"/>
    <w:unhideWhenUsed/>
    <w:rsid w:val="001C07A1"/>
    <w:rPr>
      <w:sz w:val="20"/>
      <w:szCs w:val="20"/>
    </w:rPr>
  </w:style>
  <w:style w:type="character" w:customStyle="1" w:styleId="FootnoteTextChar">
    <w:name w:val="Footnote Text Char"/>
    <w:basedOn w:val="DefaultParagraphFont"/>
    <w:link w:val="FootnoteText"/>
    <w:uiPriority w:val="99"/>
    <w:rsid w:val="001C07A1"/>
    <w:rPr>
      <w:rFonts w:ascii="Calibri" w:hAnsi="Calibri" w:cs="Times New Roman"/>
      <w:sz w:val="20"/>
      <w:szCs w:val="20"/>
    </w:rPr>
  </w:style>
  <w:style w:type="character" w:styleId="FootnoteReference">
    <w:name w:val="footnote reference"/>
    <w:basedOn w:val="DefaultParagraphFont"/>
    <w:uiPriority w:val="99"/>
    <w:unhideWhenUsed/>
    <w:rsid w:val="001C07A1"/>
    <w:rPr>
      <w:vertAlign w:val="superscript"/>
    </w:rPr>
  </w:style>
  <w:style w:type="paragraph" w:styleId="Header">
    <w:name w:val="header"/>
    <w:basedOn w:val="Normal"/>
    <w:link w:val="HeaderChar"/>
    <w:uiPriority w:val="99"/>
    <w:unhideWhenUsed/>
    <w:rsid w:val="00753121"/>
    <w:pPr>
      <w:tabs>
        <w:tab w:val="center" w:pos="4680"/>
        <w:tab w:val="right" w:pos="9360"/>
      </w:tabs>
    </w:pPr>
  </w:style>
  <w:style w:type="character" w:customStyle="1" w:styleId="HeaderChar">
    <w:name w:val="Header Char"/>
    <w:basedOn w:val="DefaultParagraphFont"/>
    <w:link w:val="Header"/>
    <w:uiPriority w:val="99"/>
    <w:rsid w:val="00753121"/>
    <w:rPr>
      <w:rFonts w:ascii="Calibri" w:hAnsi="Calibri" w:cs="Times New Roman"/>
    </w:rPr>
  </w:style>
  <w:style w:type="paragraph" w:styleId="Footer">
    <w:name w:val="footer"/>
    <w:basedOn w:val="Normal"/>
    <w:link w:val="FooterChar"/>
    <w:uiPriority w:val="99"/>
    <w:unhideWhenUsed/>
    <w:rsid w:val="00753121"/>
    <w:pPr>
      <w:tabs>
        <w:tab w:val="center" w:pos="4680"/>
        <w:tab w:val="right" w:pos="9360"/>
      </w:tabs>
    </w:pPr>
  </w:style>
  <w:style w:type="character" w:customStyle="1" w:styleId="FooterChar">
    <w:name w:val="Footer Char"/>
    <w:basedOn w:val="DefaultParagraphFont"/>
    <w:link w:val="Footer"/>
    <w:uiPriority w:val="99"/>
    <w:rsid w:val="00753121"/>
    <w:rPr>
      <w:rFonts w:ascii="Calibri" w:hAnsi="Calibri" w:cs="Times New Roman"/>
    </w:rPr>
  </w:style>
  <w:style w:type="paragraph" w:customStyle="1" w:styleId="Default">
    <w:name w:val="Default"/>
    <w:rsid w:val="008F4107"/>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Pr>
      <w:rFonts w:ascii="Courier" w:hAnsi="Courier"/>
      <w:sz w:val="20"/>
      <w:szCs w:val="20"/>
    </w:rPr>
  </w:style>
  <w:style w:type="character" w:customStyle="1" w:styleId="HTMLPreformattedChar">
    <w:name w:val="HTML Preformatted Char"/>
    <w:basedOn w:val="DefaultParagraphFont"/>
    <w:link w:val="HTMLPreformatted"/>
    <w:uiPriority w:val="99"/>
    <w:rPr>
      <w:rFonts w:ascii="Courier" w:hAnsi="Courier" w:cs="Times New Roman"/>
      <w:sz w:val="20"/>
      <w:szCs w:val="20"/>
    </w:rPr>
  </w:style>
  <w:style w:type="paragraph" w:styleId="Revision">
    <w:name w:val="Revision"/>
    <w:hidden/>
    <w:uiPriority w:val="99"/>
    <w:semiHidden/>
    <w:rsid w:val="00786658"/>
    <w:pPr>
      <w:spacing w:after="0" w:line="240" w:lineRule="auto"/>
    </w:pPr>
    <w:rPr>
      <w:rFonts w:ascii="Calibri" w:hAnsi="Calibri" w:cs="Times New Roman"/>
    </w:rPr>
  </w:style>
  <w:style w:type="character" w:styleId="Emphasis">
    <w:name w:val="Emphasis"/>
    <w:basedOn w:val="DefaultParagraphFont"/>
    <w:uiPriority w:val="20"/>
    <w:qFormat/>
    <w:rsid w:val="00417A2C"/>
    <w:rPr>
      <w:i/>
      <w:iCs/>
    </w:rPr>
  </w:style>
  <w:style w:type="character" w:customStyle="1" w:styleId="st1">
    <w:name w:val="st1"/>
    <w:basedOn w:val="DefaultParagraphFont"/>
    <w:rsid w:val="00533F1E"/>
  </w:style>
  <w:style w:type="character" w:styleId="PageNumber">
    <w:name w:val="page number"/>
    <w:rsid w:val="00167EB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1137">
      <w:bodyDiv w:val="1"/>
      <w:marLeft w:val="0"/>
      <w:marRight w:val="0"/>
      <w:marTop w:val="0"/>
      <w:marBottom w:val="0"/>
      <w:divBdr>
        <w:top w:val="none" w:sz="0" w:space="0" w:color="auto"/>
        <w:left w:val="none" w:sz="0" w:space="0" w:color="auto"/>
        <w:bottom w:val="none" w:sz="0" w:space="0" w:color="auto"/>
        <w:right w:val="none" w:sz="0" w:space="0" w:color="auto"/>
      </w:divBdr>
    </w:div>
    <w:div w:id="183518994">
      <w:bodyDiv w:val="1"/>
      <w:marLeft w:val="0"/>
      <w:marRight w:val="0"/>
      <w:marTop w:val="0"/>
      <w:marBottom w:val="0"/>
      <w:divBdr>
        <w:top w:val="none" w:sz="0" w:space="0" w:color="auto"/>
        <w:left w:val="none" w:sz="0" w:space="0" w:color="auto"/>
        <w:bottom w:val="none" w:sz="0" w:space="0" w:color="auto"/>
        <w:right w:val="none" w:sz="0" w:space="0" w:color="auto"/>
      </w:divBdr>
    </w:div>
    <w:div w:id="250897816">
      <w:bodyDiv w:val="1"/>
      <w:marLeft w:val="0"/>
      <w:marRight w:val="0"/>
      <w:marTop w:val="0"/>
      <w:marBottom w:val="0"/>
      <w:divBdr>
        <w:top w:val="none" w:sz="0" w:space="0" w:color="auto"/>
        <w:left w:val="none" w:sz="0" w:space="0" w:color="auto"/>
        <w:bottom w:val="none" w:sz="0" w:space="0" w:color="auto"/>
        <w:right w:val="none" w:sz="0" w:space="0" w:color="auto"/>
      </w:divBdr>
    </w:div>
    <w:div w:id="383599244">
      <w:bodyDiv w:val="1"/>
      <w:marLeft w:val="0"/>
      <w:marRight w:val="0"/>
      <w:marTop w:val="0"/>
      <w:marBottom w:val="0"/>
      <w:divBdr>
        <w:top w:val="none" w:sz="0" w:space="0" w:color="auto"/>
        <w:left w:val="none" w:sz="0" w:space="0" w:color="auto"/>
        <w:bottom w:val="none" w:sz="0" w:space="0" w:color="auto"/>
        <w:right w:val="none" w:sz="0" w:space="0" w:color="auto"/>
      </w:divBdr>
    </w:div>
    <w:div w:id="503781582">
      <w:bodyDiv w:val="1"/>
      <w:marLeft w:val="0"/>
      <w:marRight w:val="0"/>
      <w:marTop w:val="0"/>
      <w:marBottom w:val="0"/>
      <w:divBdr>
        <w:top w:val="none" w:sz="0" w:space="0" w:color="auto"/>
        <w:left w:val="none" w:sz="0" w:space="0" w:color="auto"/>
        <w:bottom w:val="none" w:sz="0" w:space="0" w:color="auto"/>
        <w:right w:val="none" w:sz="0" w:space="0" w:color="auto"/>
      </w:divBdr>
    </w:div>
    <w:div w:id="653340715">
      <w:bodyDiv w:val="1"/>
      <w:marLeft w:val="0"/>
      <w:marRight w:val="0"/>
      <w:marTop w:val="0"/>
      <w:marBottom w:val="0"/>
      <w:divBdr>
        <w:top w:val="none" w:sz="0" w:space="0" w:color="auto"/>
        <w:left w:val="none" w:sz="0" w:space="0" w:color="auto"/>
        <w:bottom w:val="none" w:sz="0" w:space="0" w:color="auto"/>
        <w:right w:val="none" w:sz="0" w:space="0" w:color="auto"/>
      </w:divBdr>
      <w:divsChild>
        <w:div w:id="1498763964">
          <w:marLeft w:val="0"/>
          <w:marRight w:val="0"/>
          <w:marTop w:val="225"/>
          <w:marBottom w:val="0"/>
          <w:divBdr>
            <w:top w:val="single" w:sz="18" w:space="0" w:color="CBAE60"/>
            <w:left w:val="single" w:sz="18" w:space="0" w:color="CBAE60"/>
            <w:bottom w:val="single" w:sz="6" w:space="0" w:color="CBAE60"/>
            <w:right w:val="single" w:sz="18" w:space="0" w:color="CBAE60"/>
          </w:divBdr>
          <w:divsChild>
            <w:div w:id="2138790680">
              <w:marLeft w:val="0"/>
              <w:marRight w:val="0"/>
              <w:marTop w:val="0"/>
              <w:marBottom w:val="0"/>
              <w:divBdr>
                <w:top w:val="none" w:sz="0" w:space="0" w:color="auto"/>
                <w:left w:val="none" w:sz="0" w:space="0" w:color="auto"/>
                <w:bottom w:val="none" w:sz="0" w:space="0" w:color="auto"/>
                <w:right w:val="none" w:sz="0" w:space="0" w:color="auto"/>
              </w:divBdr>
              <w:divsChild>
                <w:div w:id="1106653761">
                  <w:marLeft w:val="0"/>
                  <w:marRight w:val="0"/>
                  <w:marTop w:val="0"/>
                  <w:marBottom w:val="0"/>
                  <w:divBdr>
                    <w:top w:val="none" w:sz="0" w:space="0" w:color="auto"/>
                    <w:left w:val="none" w:sz="0" w:space="0" w:color="auto"/>
                    <w:bottom w:val="none" w:sz="0" w:space="0" w:color="auto"/>
                    <w:right w:val="none" w:sz="0" w:space="0" w:color="auto"/>
                  </w:divBdr>
                  <w:divsChild>
                    <w:div w:id="1462528626">
                      <w:marLeft w:val="0"/>
                      <w:marRight w:val="0"/>
                      <w:marTop w:val="0"/>
                      <w:marBottom w:val="0"/>
                      <w:divBdr>
                        <w:top w:val="none" w:sz="0" w:space="0" w:color="auto"/>
                        <w:left w:val="none" w:sz="0" w:space="0" w:color="auto"/>
                        <w:bottom w:val="none" w:sz="0" w:space="0" w:color="auto"/>
                        <w:right w:val="none" w:sz="0" w:space="0" w:color="auto"/>
                      </w:divBdr>
                      <w:divsChild>
                        <w:div w:id="117383896">
                          <w:marLeft w:val="0"/>
                          <w:marRight w:val="0"/>
                          <w:marTop w:val="0"/>
                          <w:marBottom w:val="0"/>
                          <w:divBdr>
                            <w:top w:val="none" w:sz="0" w:space="0" w:color="auto"/>
                            <w:left w:val="none" w:sz="0" w:space="0" w:color="auto"/>
                            <w:bottom w:val="none" w:sz="0" w:space="0" w:color="auto"/>
                            <w:right w:val="none" w:sz="0" w:space="0" w:color="auto"/>
                          </w:divBdr>
                          <w:divsChild>
                            <w:div w:id="970327331">
                              <w:marLeft w:val="0"/>
                              <w:marRight w:val="0"/>
                              <w:marTop w:val="0"/>
                              <w:marBottom w:val="0"/>
                              <w:divBdr>
                                <w:top w:val="none" w:sz="0" w:space="0" w:color="auto"/>
                                <w:left w:val="none" w:sz="0" w:space="0" w:color="auto"/>
                                <w:bottom w:val="none" w:sz="0" w:space="0" w:color="auto"/>
                                <w:right w:val="none" w:sz="0" w:space="0" w:color="auto"/>
                              </w:divBdr>
                              <w:divsChild>
                                <w:div w:id="1322348220">
                                  <w:marLeft w:val="0"/>
                                  <w:marRight w:val="0"/>
                                  <w:marTop w:val="0"/>
                                  <w:marBottom w:val="0"/>
                                  <w:divBdr>
                                    <w:top w:val="none" w:sz="0" w:space="0" w:color="auto"/>
                                    <w:left w:val="none" w:sz="0" w:space="0" w:color="auto"/>
                                    <w:bottom w:val="none" w:sz="0" w:space="0" w:color="auto"/>
                                    <w:right w:val="none" w:sz="0" w:space="0" w:color="auto"/>
                                  </w:divBdr>
                                  <w:divsChild>
                                    <w:div w:id="1232810306">
                                      <w:marLeft w:val="0"/>
                                      <w:marRight w:val="0"/>
                                      <w:marTop w:val="0"/>
                                      <w:marBottom w:val="0"/>
                                      <w:divBdr>
                                        <w:top w:val="none" w:sz="0" w:space="0" w:color="auto"/>
                                        <w:left w:val="none" w:sz="0" w:space="0" w:color="auto"/>
                                        <w:bottom w:val="none" w:sz="0" w:space="0" w:color="auto"/>
                                        <w:right w:val="none" w:sz="0" w:space="0" w:color="auto"/>
                                      </w:divBdr>
                                      <w:divsChild>
                                        <w:div w:id="6847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8698">
      <w:bodyDiv w:val="1"/>
      <w:marLeft w:val="0"/>
      <w:marRight w:val="0"/>
      <w:marTop w:val="0"/>
      <w:marBottom w:val="0"/>
      <w:divBdr>
        <w:top w:val="none" w:sz="0" w:space="0" w:color="auto"/>
        <w:left w:val="none" w:sz="0" w:space="0" w:color="auto"/>
        <w:bottom w:val="none" w:sz="0" w:space="0" w:color="auto"/>
        <w:right w:val="none" w:sz="0" w:space="0" w:color="auto"/>
      </w:divBdr>
    </w:div>
    <w:div w:id="761150169">
      <w:bodyDiv w:val="1"/>
      <w:marLeft w:val="0"/>
      <w:marRight w:val="0"/>
      <w:marTop w:val="0"/>
      <w:marBottom w:val="0"/>
      <w:divBdr>
        <w:top w:val="none" w:sz="0" w:space="0" w:color="auto"/>
        <w:left w:val="none" w:sz="0" w:space="0" w:color="auto"/>
        <w:bottom w:val="none" w:sz="0" w:space="0" w:color="auto"/>
        <w:right w:val="none" w:sz="0" w:space="0" w:color="auto"/>
      </w:divBdr>
    </w:div>
    <w:div w:id="771587584">
      <w:bodyDiv w:val="1"/>
      <w:marLeft w:val="0"/>
      <w:marRight w:val="0"/>
      <w:marTop w:val="0"/>
      <w:marBottom w:val="0"/>
      <w:divBdr>
        <w:top w:val="none" w:sz="0" w:space="0" w:color="auto"/>
        <w:left w:val="none" w:sz="0" w:space="0" w:color="auto"/>
        <w:bottom w:val="none" w:sz="0" w:space="0" w:color="auto"/>
        <w:right w:val="none" w:sz="0" w:space="0" w:color="auto"/>
      </w:divBdr>
    </w:div>
    <w:div w:id="825321641">
      <w:bodyDiv w:val="1"/>
      <w:marLeft w:val="0"/>
      <w:marRight w:val="0"/>
      <w:marTop w:val="0"/>
      <w:marBottom w:val="0"/>
      <w:divBdr>
        <w:top w:val="none" w:sz="0" w:space="0" w:color="auto"/>
        <w:left w:val="none" w:sz="0" w:space="0" w:color="auto"/>
        <w:bottom w:val="none" w:sz="0" w:space="0" w:color="auto"/>
        <w:right w:val="none" w:sz="0" w:space="0" w:color="auto"/>
      </w:divBdr>
    </w:div>
    <w:div w:id="862014731">
      <w:bodyDiv w:val="1"/>
      <w:marLeft w:val="0"/>
      <w:marRight w:val="0"/>
      <w:marTop w:val="0"/>
      <w:marBottom w:val="0"/>
      <w:divBdr>
        <w:top w:val="none" w:sz="0" w:space="0" w:color="auto"/>
        <w:left w:val="none" w:sz="0" w:space="0" w:color="auto"/>
        <w:bottom w:val="none" w:sz="0" w:space="0" w:color="auto"/>
        <w:right w:val="none" w:sz="0" w:space="0" w:color="auto"/>
      </w:divBdr>
    </w:div>
    <w:div w:id="990720025">
      <w:bodyDiv w:val="1"/>
      <w:marLeft w:val="0"/>
      <w:marRight w:val="0"/>
      <w:marTop w:val="0"/>
      <w:marBottom w:val="0"/>
      <w:divBdr>
        <w:top w:val="none" w:sz="0" w:space="0" w:color="auto"/>
        <w:left w:val="none" w:sz="0" w:space="0" w:color="auto"/>
        <w:bottom w:val="none" w:sz="0" w:space="0" w:color="auto"/>
        <w:right w:val="none" w:sz="0" w:space="0" w:color="auto"/>
      </w:divBdr>
    </w:div>
    <w:div w:id="1037004825">
      <w:bodyDiv w:val="1"/>
      <w:marLeft w:val="0"/>
      <w:marRight w:val="0"/>
      <w:marTop w:val="0"/>
      <w:marBottom w:val="0"/>
      <w:divBdr>
        <w:top w:val="none" w:sz="0" w:space="0" w:color="auto"/>
        <w:left w:val="none" w:sz="0" w:space="0" w:color="auto"/>
        <w:bottom w:val="none" w:sz="0" w:space="0" w:color="auto"/>
        <w:right w:val="none" w:sz="0" w:space="0" w:color="auto"/>
      </w:divBdr>
    </w:div>
    <w:div w:id="1076711655">
      <w:bodyDiv w:val="1"/>
      <w:marLeft w:val="0"/>
      <w:marRight w:val="0"/>
      <w:marTop w:val="0"/>
      <w:marBottom w:val="0"/>
      <w:divBdr>
        <w:top w:val="none" w:sz="0" w:space="0" w:color="auto"/>
        <w:left w:val="none" w:sz="0" w:space="0" w:color="auto"/>
        <w:bottom w:val="none" w:sz="0" w:space="0" w:color="auto"/>
        <w:right w:val="none" w:sz="0" w:space="0" w:color="auto"/>
      </w:divBdr>
    </w:div>
    <w:div w:id="1519847763">
      <w:bodyDiv w:val="1"/>
      <w:marLeft w:val="0"/>
      <w:marRight w:val="0"/>
      <w:marTop w:val="0"/>
      <w:marBottom w:val="0"/>
      <w:divBdr>
        <w:top w:val="none" w:sz="0" w:space="0" w:color="auto"/>
        <w:left w:val="none" w:sz="0" w:space="0" w:color="auto"/>
        <w:bottom w:val="none" w:sz="0" w:space="0" w:color="auto"/>
        <w:right w:val="none" w:sz="0" w:space="0" w:color="auto"/>
      </w:divBdr>
    </w:div>
    <w:div w:id="1531722482">
      <w:bodyDiv w:val="1"/>
      <w:marLeft w:val="0"/>
      <w:marRight w:val="0"/>
      <w:marTop w:val="0"/>
      <w:marBottom w:val="0"/>
      <w:divBdr>
        <w:top w:val="none" w:sz="0" w:space="0" w:color="auto"/>
        <w:left w:val="none" w:sz="0" w:space="0" w:color="auto"/>
        <w:bottom w:val="none" w:sz="0" w:space="0" w:color="auto"/>
        <w:right w:val="none" w:sz="0" w:space="0" w:color="auto"/>
      </w:divBdr>
      <w:divsChild>
        <w:div w:id="2106605378">
          <w:marLeft w:val="0"/>
          <w:marRight w:val="0"/>
          <w:marTop w:val="0"/>
          <w:marBottom w:val="0"/>
          <w:divBdr>
            <w:top w:val="none" w:sz="0" w:space="0" w:color="auto"/>
            <w:left w:val="none" w:sz="0" w:space="0" w:color="auto"/>
            <w:bottom w:val="none" w:sz="0" w:space="0" w:color="auto"/>
            <w:right w:val="none" w:sz="0" w:space="0" w:color="auto"/>
          </w:divBdr>
        </w:div>
      </w:divsChild>
    </w:div>
    <w:div w:id="1561597984">
      <w:bodyDiv w:val="1"/>
      <w:marLeft w:val="0"/>
      <w:marRight w:val="0"/>
      <w:marTop w:val="0"/>
      <w:marBottom w:val="0"/>
      <w:divBdr>
        <w:top w:val="none" w:sz="0" w:space="0" w:color="auto"/>
        <w:left w:val="none" w:sz="0" w:space="0" w:color="auto"/>
        <w:bottom w:val="none" w:sz="0" w:space="0" w:color="auto"/>
        <w:right w:val="none" w:sz="0" w:space="0" w:color="auto"/>
      </w:divBdr>
      <w:divsChild>
        <w:div w:id="1362123758">
          <w:marLeft w:val="0"/>
          <w:marRight w:val="0"/>
          <w:marTop w:val="225"/>
          <w:marBottom w:val="0"/>
          <w:divBdr>
            <w:top w:val="single" w:sz="18" w:space="0" w:color="CBAE60"/>
            <w:left w:val="single" w:sz="18" w:space="0" w:color="CBAE60"/>
            <w:bottom w:val="single" w:sz="6" w:space="0" w:color="CBAE60"/>
            <w:right w:val="single" w:sz="18" w:space="0" w:color="CBAE60"/>
          </w:divBdr>
          <w:divsChild>
            <w:div w:id="1256396907">
              <w:marLeft w:val="0"/>
              <w:marRight w:val="0"/>
              <w:marTop w:val="0"/>
              <w:marBottom w:val="0"/>
              <w:divBdr>
                <w:top w:val="none" w:sz="0" w:space="0" w:color="auto"/>
                <w:left w:val="none" w:sz="0" w:space="0" w:color="auto"/>
                <w:bottom w:val="none" w:sz="0" w:space="0" w:color="auto"/>
                <w:right w:val="none" w:sz="0" w:space="0" w:color="auto"/>
              </w:divBdr>
              <w:divsChild>
                <w:div w:id="6953951">
                  <w:marLeft w:val="0"/>
                  <w:marRight w:val="0"/>
                  <w:marTop w:val="0"/>
                  <w:marBottom w:val="0"/>
                  <w:divBdr>
                    <w:top w:val="none" w:sz="0" w:space="0" w:color="auto"/>
                    <w:left w:val="none" w:sz="0" w:space="0" w:color="auto"/>
                    <w:bottom w:val="none" w:sz="0" w:space="0" w:color="auto"/>
                    <w:right w:val="none" w:sz="0" w:space="0" w:color="auto"/>
                  </w:divBdr>
                  <w:divsChild>
                    <w:div w:id="184949532">
                      <w:marLeft w:val="0"/>
                      <w:marRight w:val="0"/>
                      <w:marTop w:val="0"/>
                      <w:marBottom w:val="0"/>
                      <w:divBdr>
                        <w:top w:val="none" w:sz="0" w:space="0" w:color="auto"/>
                        <w:left w:val="none" w:sz="0" w:space="0" w:color="auto"/>
                        <w:bottom w:val="none" w:sz="0" w:space="0" w:color="auto"/>
                        <w:right w:val="none" w:sz="0" w:space="0" w:color="auto"/>
                      </w:divBdr>
                      <w:divsChild>
                        <w:div w:id="414086573">
                          <w:marLeft w:val="0"/>
                          <w:marRight w:val="0"/>
                          <w:marTop w:val="0"/>
                          <w:marBottom w:val="0"/>
                          <w:divBdr>
                            <w:top w:val="none" w:sz="0" w:space="0" w:color="auto"/>
                            <w:left w:val="none" w:sz="0" w:space="0" w:color="auto"/>
                            <w:bottom w:val="none" w:sz="0" w:space="0" w:color="auto"/>
                            <w:right w:val="none" w:sz="0" w:space="0" w:color="auto"/>
                          </w:divBdr>
                          <w:divsChild>
                            <w:div w:id="3868089">
                              <w:marLeft w:val="0"/>
                              <w:marRight w:val="0"/>
                              <w:marTop w:val="0"/>
                              <w:marBottom w:val="0"/>
                              <w:divBdr>
                                <w:top w:val="none" w:sz="0" w:space="0" w:color="auto"/>
                                <w:left w:val="none" w:sz="0" w:space="0" w:color="auto"/>
                                <w:bottom w:val="none" w:sz="0" w:space="0" w:color="auto"/>
                                <w:right w:val="none" w:sz="0" w:space="0" w:color="auto"/>
                              </w:divBdr>
                              <w:divsChild>
                                <w:div w:id="1276403535">
                                  <w:marLeft w:val="0"/>
                                  <w:marRight w:val="0"/>
                                  <w:marTop w:val="0"/>
                                  <w:marBottom w:val="0"/>
                                  <w:divBdr>
                                    <w:top w:val="none" w:sz="0" w:space="0" w:color="auto"/>
                                    <w:left w:val="none" w:sz="0" w:space="0" w:color="auto"/>
                                    <w:bottom w:val="none" w:sz="0" w:space="0" w:color="auto"/>
                                    <w:right w:val="none" w:sz="0" w:space="0" w:color="auto"/>
                                  </w:divBdr>
                                  <w:divsChild>
                                    <w:div w:id="359431866">
                                      <w:marLeft w:val="0"/>
                                      <w:marRight w:val="0"/>
                                      <w:marTop w:val="0"/>
                                      <w:marBottom w:val="0"/>
                                      <w:divBdr>
                                        <w:top w:val="none" w:sz="0" w:space="0" w:color="auto"/>
                                        <w:left w:val="none" w:sz="0" w:space="0" w:color="auto"/>
                                        <w:bottom w:val="none" w:sz="0" w:space="0" w:color="auto"/>
                                        <w:right w:val="none" w:sz="0" w:space="0" w:color="auto"/>
                                      </w:divBdr>
                                      <w:divsChild>
                                        <w:div w:id="1039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931031">
      <w:bodyDiv w:val="1"/>
      <w:marLeft w:val="0"/>
      <w:marRight w:val="0"/>
      <w:marTop w:val="0"/>
      <w:marBottom w:val="0"/>
      <w:divBdr>
        <w:top w:val="none" w:sz="0" w:space="0" w:color="auto"/>
        <w:left w:val="none" w:sz="0" w:space="0" w:color="auto"/>
        <w:bottom w:val="none" w:sz="0" w:space="0" w:color="auto"/>
        <w:right w:val="none" w:sz="0" w:space="0" w:color="auto"/>
      </w:divBdr>
    </w:div>
    <w:div w:id="1643578929">
      <w:bodyDiv w:val="1"/>
      <w:marLeft w:val="0"/>
      <w:marRight w:val="0"/>
      <w:marTop w:val="0"/>
      <w:marBottom w:val="0"/>
      <w:divBdr>
        <w:top w:val="none" w:sz="0" w:space="0" w:color="auto"/>
        <w:left w:val="none" w:sz="0" w:space="0" w:color="auto"/>
        <w:bottom w:val="none" w:sz="0" w:space="0" w:color="auto"/>
        <w:right w:val="none" w:sz="0" w:space="0" w:color="auto"/>
      </w:divBdr>
    </w:div>
    <w:div w:id="1659190766">
      <w:bodyDiv w:val="1"/>
      <w:marLeft w:val="0"/>
      <w:marRight w:val="0"/>
      <w:marTop w:val="0"/>
      <w:marBottom w:val="0"/>
      <w:divBdr>
        <w:top w:val="none" w:sz="0" w:space="0" w:color="auto"/>
        <w:left w:val="none" w:sz="0" w:space="0" w:color="auto"/>
        <w:bottom w:val="none" w:sz="0" w:space="0" w:color="auto"/>
        <w:right w:val="none" w:sz="0" w:space="0" w:color="auto"/>
      </w:divBdr>
    </w:div>
    <w:div w:id="1759206767">
      <w:bodyDiv w:val="1"/>
      <w:marLeft w:val="0"/>
      <w:marRight w:val="0"/>
      <w:marTop w:val="0"/>
      <w:marBottom w:val="0"/>
      <w:divBdr>
        <w:top w:val="none" w:sz="0" w:space="0" w:color="auto"/>
        <w:left w:val="none" w:sz="0" w:space="0" w:color="auto"/>
        <w:bottom w:val="none" w:sz="0" w:space="0" w:color="auto"/>
        <w:right w:val="none" w:sz="0" w:space="0" w:color="auto"/>
      </w:divBdr>
      <w:divsChild>
        <w:div w:id="1742100956">
          <w:marLeft w:val="0"/>
          <w:marRight w:val="0"/>
          <w:marTop w:val="0"/>
          <w:marBottom w:val="0"/>
          <w:divBdr>
            <w:top w:val="none" w:sz="0" w:space="0" w:color="auto"/>
            <w:left w:val="none" w:sz="0" w:space="0" w:color="auto"/>
            <w:bottom w:val="none" w:sz="0" w:space="0" w:color="auto"/>
            <w:right w:val="none" w:sz="0" w:space="0" w:color="auto"/>
          </w:divBdr>
          <w:divsChild>
            <w:div w:id="1044066163">
              <w:marLeft w:val="0"/>
              <w:marRight w:val="0"/>
              <w:marTop w:val="0"/>
              <w:marBottom w:val="0"/>
              <w:divBdr>
                <w:top w:val="none" w:sz="0" w:space="0" w:color="auto"/>
                <w:left w:val="none" w:sz="0" w:space="0" w:color="auto"/>
                <w:bottom w:val="none" w:sz="0" w:space="0" w:color="auto"/>
                <w:right w:val="none" w:sz="0" w:space="0" w:color="auto"/>
              </w:divBdr>
              <w:divsChild>
                <w:div w:id="1720007729">
                  <w:marLeft w:val="0"/>
                  <w:marRight w:val="0"/>
                  <w:marTop w:val="0"/>
                  <w:marBottom w:val="0"/>
                  <w:divBdr>
                    <w:top w:val="none" w:sz="0" w:space="0" w:color="auto"/>
                    <w:left w:val="none" w:sz="0" w:space="0" w:color="auto"/>
                    <w:bottom w:val="none" w:sz="0" w:space="0" w:color="auto"/>
                    <w:right w:val="none" w:sz="0" w:space="0" w:color="auto"/>
                  </w:divBdr>
                  <w:divsChild>
                    <w:div w:id="349071753">
                      <w:marLeft w:val="2"/>
                      <w:marRight w:val="0"/>
                      <w:marTop w:val="0"/>
                      <w:marBottom w:val="0"/>
                      <w:divBdr>
                        <w:top w:val="none" w:sz="0" w:space="0" w:color="auto"/>
                        <w:left w:val="none" w:sz="0" w:space="0" w:color="auto"/>
                        <w:bottom w:val="none" w:sz="0" w:space="0" w:color="auto"/>
                        <w:right w:val="none" w:sz="0" w:space="0" w:color="auto"/>
                      </w:divBdr>
                      <w:divsChild>
                        <w:div w:id="1212115766">
                          <w:marLeft w:val="0"/>
                          <w:marRight w:val="0"/>
                          <w:marTop w:val="0"/>
                          <w:marBottom w:val="0"/>
                          <w:divBdr>
                            <w:top w:val="none" w:sz="0" w:space="0" w:color="auto"/>
                            <w:left w:val="none" w:sz="0" w:space="0" w:color="auto"/>
                            <w:bottom w:val="none" w:sz="0" w:space="0" w:color="auto"/>
                            <w:right w:val="none" w:sz="0" w:space="0" w:color="auto"/>
                          </w:divBdr>
                          <w:divsChild>
                            <w:div w:id="1071629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4350">
      <w:bodyDiv w:val="1"/>
      <w:marLeft w:val="0"/>
      <w:marRight w:val="0"/>
      <w:marTop w:val="0"/>
      <w:marBottom w:val="0"/>
      <w:divBdr>
        <w:top w:val="none" w:sz="0" w:space="0" w:color="auto"/>
        <w:left w:val="none" w:sz="0" w:space="0" w:color="auto"/>
        <w:bottom w:val="none" w:sz="0" w:space="0" w:color="auto"/>
        <w:right w:val="none" w:sz="0" w:space="0" w:color="auto"/>
      </w:divBdr>
    </w:div>
    <w:div w:id="1811166101">
      <w:bodyDiv w:val="1"/>
      <w:marLeft w:val="0"/>
      <w:marRight w:val="0"/>
      <w:marTop w:val="0"/>
      <w:marBottom w:val="0"/>
      <w:divBdr>
        <w:top w:val="none" w:sz="0" w:space="0" w:color="auto"/>
        <w:left w:val="none" w:sz="0" w:space="0" w:color="auto"/>
        <w:bottom w:val="none" w:sz="0" w:space="0" w:color="auto"/>
        <w:right w:val="none" w:sz="0" w:space="0" w:color="auto"/>
      </w:divBdr>
      <w:divsChild>
        <w:div w:id="244219492">
          <w:marLeft w:val="0"/>
          <w:marRight w:val="0"/>
          <w:marTop w:val="0"/>
          <w:marBottom w:val="0"/>
          <w:divBdr>
            <w:top w:val="none" w:sz="0" w:space="0" w:color="auto"/>
            <w:left w:val="none" w:sz="0" w:space="0" w:color="auto"/>
            <w:bottom w:val="none" w:sz="0" w:space="0" w:color="auto"/>
            <w:right w:val="none" w:sz="0" w:space="0" w:color="auto"/>
          </w:divBdr>
          <w:divsChild>
            <w:div w:id="1450398496">
              <w:marLeft w:val="0"/>
              <w:marRight w:val="0"/>
              <w:marTop w:val="0"/>
              <w:marBottom w:val="0"/>
              <w:divBdr>
                <w:top w:val="none" w:sz="0" w:space="0" w:color="auto"/>
                <w:left w:val="none" w:sz="0" w:space="0" w:color="auto"/>
                <w:bottom w:val="none" w:sz="0" w:space="0" w:color="auto"/>
                <w:right w:val="none" w:sz="0" w:space="0" w:color="auto"/>
              </w:divBdr>
              <w:divsChild>
                <w:div w:id="1245651285">
                  <w:marLeft w:val="0"/>
                  <w:marRight w:val="0"/>
                  <w:marTop w:val="0"/>
                  <w:marBottom w:val="0"/>
                  <w:divBdr>
                    <w:top w:val="none" w:sz="0" w:space="0" w:color="auto"/>
                    <w:left w:val="none" w:sz="0" w:space="0" w:color="auto"/>
                    <w:bottom w:val="none" w:sz="0" w:space="0" w:color="auto"/>
                    <w:right w:val="none" w:sz="0" w:space="0" w:color="auto"/>
                  </w:divBdr>
                  <w:divsChild>
                    <w:div w:id="1581215770">
                      <w:marLeft w:val="2"/>
                      <w:marRight w:val="0"/>
                      <w:marTop w:val="0"/>
                      <w:marBottom w:val="0"/>
                      <w:divBdr>
                        <w:top w:val="none" w:sz="0" w:space="0" w:color="auto"/>
                        <w:left w:val="none" w:sz="0" w:space="0" w:color="auto"/>
                        <w:bottom w:val="none" w:sz="0" w:space="0" w:color="auto"/>
                        <w:right w:val="none" w:sz="0" w:space="0" w:color="auto"/>
                      </w:divBdr>
                      <w:divsChild>
                        <w:div w:id="964579329">
                          <w:marLeft w:val="0"/>
                          <w:marRight w:val="0"/>
                          <w:marTop w:val="0"/>
                          <w:marBottom w:val="0"/>
                          <w:divBdr>
                            <w:top w:val="none" w:sz="0" w:space="0" w:color="auto"/>
                            <w:left w:val="none" w:sz="0" w:space="0" w:color="auto"/>
                            <w:bottom w:val="none" w:sz="0" w:space="0" w:color="auto"/>
                            <w:right w:val="none" w:sz="0" w:space="0" w:color="auto"/>
                          </w:divBdr>
                          <w:divsChild>
                            <w:div w:id="142175807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96584">
      <w:bodyDiv w:val="1"/>
      <w:marLeft w:val="0"/>
      <w:marRight w:val="0"/>
      <w:marTop w:val="0"/>
      <w:marBottom w:val="0"/>
      <w:divBdr>
        <w:top w:val="none" w:sz="0" w:space="0" w:color="auto"/>
        <w:left w:val="none" w:sz="0" w:space="0" w:color="auto"/>
        <w:bottom w:val="none" w:sz="0" w:space="0" w:color="auto"/>
        <w:right w:val="none" w:sz="0" w:space="0" w:color="auto"/>
      </w:divBdr>
    </w:div>
    <w:div w:id="1857966297">
      <w:bodyDiv w:val="1"/>
      <w:marLeft w:val="0"/>
      <w:marRight w:val="0"/>
      <w:marTop w:val="0"/>
      <w:marBottom w:val="0"/>
      <w:divBdr>
        <w:top w:val="none" w:sz="0" w:space="0" w:color="auto"/>
        <w:left w:val="none" w:sz="0" w:space="0" w:color="auto"/>
        <w:bottom w:val="none" w:sz="0" w:space="0" w:color="auto"/>
        <w:right w:val="none" w:sz="0" w:space="0" w:color="auto"/>
      </w:divBdr>
    </w:div>
    <w:div w:id="1858228481">
      <w:bodyDiv w:val="1"/>
      <w:marLeft w:val="0"/>
      <w:marRight w:val="0"/>
      <w:marTop w:val="0"/>
      <w:marBottom w:val="0"/>
      <w:divBdr>
        <w:top w:val="none" w:sz="0" w:space="0" w:color="auto"/>
        <w:left w:val="none" w:sz="0" w:space="0" w:color="auto"/>
        <w:bottom w:val="none" w:sz="0" w:space="0" w:color="auto"/>
        <w:right w:val="none" w:sz="0" w:space="0" w:color="auto"/>
      </w:divBdr>
    </w:div>
    <w:div w:id="19597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microsoft.com/office/2007/relationships/hdphoto" Target="media/hdphoto1.wdp"/>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header" Target="header3.xml"/>
  <Relationship Id="rId2" Type="http://schemas.openxmlformats.org/officeDocument/2006/relationships/customXml" Target="../customXml/item2.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5.xml"/>
  <Relationship Id="rId24" Type="http://schemas.openxmlformats.org/officeDocument/2006/relationships/footer" Target="footer6.xml"/>
  <Relationship Id="rId25" Type="http://schemas.openxmlformats.org/officeDocument/2006/relationships/fontTable" Target="fontTable.xml"/>
  <Relationship Id="rId26" Type="http://schemas.openxmlformats.org/officeDocument/2006/relationships/theme" Target="theme/theme1.xml"/>
  <Relationship Id="rId29" Type="http://schemas.microsoft.com/office/2011/relationships/people" Target="people.xml"/>
  <Relationship Id="rId3" Type="http://schemas.openxmlformats.org/officeDocument/2006/relationships/customXml" Target="../customXml/item3.xml"/>
  <Relationship Id="rId30" Type="http://schemas.microsoft.com/office/2011/relationships/commentsExtended" Target="commentsExtended.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7046-FA8A-4E8A-A974-48945DBACF8D}">
  <ds:schemaRefs>
    <ds:schemaRef ds:uri="http://schemas.openxmlformats.org/officeDocument/2006/bibliography"/>
  </ds:schemaRefs>
</ds:datastoreItem>
</file>

<file path=customXml/itemProps2.xml><?xml version="1.0" encoding="utf-8"?>
<ds:datastoreItem xmlns:ds="http://schemas.openxmlformats.org/officeDocument/2006/customXml" ds:itemID="{8818761C-F160-4EB7-9680-D598766D0B0A}">
  <ds:schemaRefs>
    <ds:schemaRef ds:uri="http://schemas.openxmlformats.org/officeDocument/2006/bibliography"/>
  </ds:schemaRefs>
</ds:datastoreItem>
</file>

<file path=customXml/itemProps3.xml><?xml version="1.0" encoding="utf-8"?>
<ds:datastoreItem xmlns:ds="http://schemas.openxmlformats.org/officeDocument/2006/customXml" ds:itemID="{885C63CB-044B-43BA-AA36-64BE1A4B56A1}">
  <ds:schemaRefs>
    <ds:schemaRef ds:uri="http://schemas.openxmlformats.org/officeDocument/2006/bibliography"/>
  </ds:schemaRefs>
</ds:datastoreItem>
</file>

<file path=customXml/itemProps4.xml><?xml version="1.0" encoding="utf-8"?>
<ds:datastoreItem xmlns:ds="http://schemas.openxmlformats.org/officeDocument/2006/customXml" ds:itemID="{354DF287-1DCA-4831-A17C-1B920ED6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4856</Words>
  <Characters>26613</Characters>
  <Application>Microsoft Office Word</Application>
  <DocSecurity>0</DocSecurity>
  <Lines>521</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31326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2016-02-10T15:39:00Z</dcterms:created>
  <dc:creator>Mangan, Thomas (DPH)</dc:creator>
  <lastModifiedBy/>
  <lastPrinted>2016-01-15T13:22:00Z</lastPrinted>
  <dcterms:modified xsi:type="dcterms:W3CDTF">2016-02-10T16:07:00Z</dcterms:modified>
  <revision>4</revision>
</coreProperties>
</file>