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5415D9" w:rsidP="001844EF">
      <w:bookmarkStart w:id="0" w:name="_GoBack"/>
      <w:bookmarkEnd w:id="0"/>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A4712E" w:rsidRDefault="00A4712E" w:rsidP="00DB51C0">
                            <w:pPr>
                              <w:jc w:val="center"/>
                              <w:rPr>
                                <w:b/>
                                <w:sz w:val="36"/>
                              </w:rPr>
                            </w:pPr>
                          </w:p>
                          <w:p w:rsidR="00A4712E" w:rsidRDefault="00A4712E" w:rsidP="00DB51C0">
                            <w:pPr>
                              <w:jc w:val="center"/>
                              <w:rPr>
                                <w:b/>
                                <w:sz w:val="36"/>
                              </w:rPr>
                            </w:pPr>
                          </w:p>
                          <w:p w:rsidR="00A4712E" w:rsidRDefault="009E2147" w:rsidP="00DB51C0">
                            <w:pPr>
                              <w:jc w:val="center"/>
                              <w:rPr>
                                <w:b/>
                                <w:sz w:val="36"/>
                              </w:rPr>
                            </w:pPr>
                            <w:r>
                              <w:rPr>
                                <w:b/>
                                <w:sz w:val="36"/>
                              </w:rPr>
                              <w:t>WATER DAMAGE</w:t>
                            </w:r>
                            <w:r w:rsidR="00A4712E">
                              <w:rPr>
                                <w:b/>
                                <w:sz w:val="36"/>
                              </w:rPr>
                              <w:t xml:space="preserve"> ASSESSMENT</w:t>
                            </w:r>
                          </w:p>
                          <w:p w:rsidR="00A4712E" w:rsidRPr="004027AB" w:rsidRDefault="00A4712E" w:rsidP="00DB51C0">
                            <w:pPr>
                              <w:jc w:val="center"/>
                              <w:rPr>
                                <w:b/>
                                <w:sz w:val="28"/>
                              </w:rPr>
                            </w:pPr>
                          </w:p>
                          <w:p w:rsidR="00A4712E" w:rsidRDefault="00A4712E" w:rsidP="00DB51C0">
                            <w:pPr>
                              <w:jc w:val="center"/>
                              <w:rPr>
                                <w:b/>
                                <w:sz w:val="28"/>
                              </w:rPr>
                            </w:pPr>
                          </w:p>
                          <w:p w:rsidR="00A4712E" w:rsidRPr="00CD03DB" w:rsidRDefault="00A4712E" w:rsidP="00CD03DB">
                            <w:pPr>
                              <w:jc w:val="center"/>
                              <w:rPr>
                                <w:b/>
                                <w:sz w:val="28"/>
                                <w:szCs w:val="28"/>
                              </w:rPr>
                            </w:pPr>
                            <w:r w:rsidRPr="00CD03DB">
                              <w:rPr>
                                <w:b/>
                                <w:sz w:val="28"/>
                                <w:szCs w:val="28"/>
                              </w:rPr>
                              <w:t xml:space="preserve">Massachusetts </w:t>
                            </w:r>
                            <w:r w:rsidR="00D45D4D">
                              <w:rPr>
                                <w:b/>
                                <w:sz w:val="28"/>
                                <w:szCs w:val="28"/>
                              </w:rPr>
                              <w:t>Department of Development</w:t>
                            </w:r>
                            <w:r w:rsidR="00E766CA">
                              <w:rPr>
                                <w:b/>
                                <w:sz w:val="28"/>
                                <w:szCs w:val="28"/>
                              </w:rPr>
                              <w:t>al</w:t>
                            </w:r>
                            <w:r w:rsidR="00D45D4D">
                              <w:rPr>
                                <w:b/>
                                <w:sz w:val="28"/>
                                <w:szCs w:val="28"/>
                              </w:rPr>
                              <w:t xml:space="preserve"> Services</w:t>
                            </w:r>
                          </w:p>
                          <w:p w:rsidR="00A4712E" w:rsidRPr="00CD03DB" w:rsidRDefault="00A4712E" w:rsidP="00CD03DB">
                            <w:pPr>
                              <w:jc w:val="center"/>
                              <w:rPr>
                                <w:b/>
                                <w:sz w:val="28"/>
                                <w:szCs w:val="28"/>
                              </w:rPr>
                            </w:pPr>
                            <w:r w:rsidRPr="00CD03DB">
                              <w:rPr>
                                <w:b/>
                                <w:sz w:val="28"/>
                                <w:szCs w:val="28"/>
                              </w:rPr>
                              <w:t>340 Main Street</w:t>
                            </w:r>
                          </w:p>
                          <w:p w:rsidR="00A4712E" w:rsidRDefault="00A4712E" w:rsidP="00CD03DB">
                            <w:pPr>
                              <w:jc w:val="center"/>
                              <w:rPr>
                                <w:b/>
                                <w:sz w:val="28"/>
                                <w:szCs w:val="28"/>
                              </w:rPr>
                            </w:pPr>
                            <w:r w:rsidRPr="00CD03DB">
                              <w:rPr>
                                <w:b/>
                                <w:sz w:val="28"/>
                                <w:szCs w:val="28"/>
                              </w:rPr>
                              <w:t>Worcester, Massachusetts</w:t>
                            </w:r>
                          </w:p>
                          <w:p w:rsidR="00D45D4D" w:rsidRPr="00CD03DB" w:rsidRDefault="00D45D4D" w:rsidP="00CD03DB">
                            <w:pPr>
                              <w:jc w:val="center"/>
                              <w:rPr>
                                <w:b/>
                                <w:sz w:val="28"/>
                                <w:szCs w:val="28"/>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Pr="00CD03DB" w:rsidRDefault="00A4712E" w:rsidP="00CD03DB">
                            <w:pPr>
                              <w:jc w:val="center"/>
                              <w:rPr>
                                <w:i/>
                                <w:szCs w:val="24"/>
                              </w:rPr>
                            </w:pPr>
                            <w:r w:rsidRPr="00CD03DB">
                              <w:rPr>
                                <w:noProof/>
                                <w:szCs w:val="24"/>
                              </w:rPr>
                              <w:drawing>
                                <wp:inline distT="0" distB="0" distL="0" distR="0" wp14:anchorId="1D4A877A" wp14:editId="4F3C0AFE">
                                  <wp:extent cx="4052636" cy="3200400"/>
                                  <wp:effectExtent l="0" t="0" r="5080" b="0"/>
                                  <wp:docPr id="2" name="Picture 2" descr="&#10;Aerial view of &#10;Massachusetts Department of Developmental Services&#10;340 Main Street&#10;Worcest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49194" t="43625" r="26285" b="22000"/>
                                          <a:stretch>
                                            <a:fillRect/>
                                          </a:stretch>
                                        </pic:blipFill>
                                        <pic:spPr bwMode="auto">
                                          <a:xfrm>
                                            <a:off x="0" y="0"/>
                                            <a:ext cx="4052636" cy="3200400"/>
                                          </a:xfrm>
                                          <a:prstGeom prst="rect">
                                            <a:avLst/>
                                          </a:prstGeom>
                                          <a:noFill/>
                                          <a:ln>
                                            <a:noFill/>
                                          </a:ln>
                                        </pic:spPr>
                                      </pic:pic>
                                    </a:graphicData>
                                  </a:graphic>
                                </wp:inline>
                              </w:drawing>
                            </w: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Default="00A4712E" w:rsidP="00DB51C0">
                            <w:pPr>
                              <w:jc w:val="center"/>
                            </w:pPr>
                          </w:p>
                          <w:p w:rsidR="00A4712E" w:rsidRDefault="00A4712E" w:rsidP="00DB51C0">
                            <w:pPr>
                              <w:jc w:val="center"/>
                            </w:pPr>
                          </w:p>
                          <w:p w:rsidR="00A4712E" w:rsidRPr="004027AB" w:rsidRDefault="00A4712E" w:rsidP="00DB51C0">
                            <w:pPr>
                              <w:jc w:val="center"/>
                            </w:pPr>
                            <w:r w:rsidRPr="004027AB">
                              <w:t>Prepared by:</w:t>
                            </w:r>
                          </w:p>
                          <w:p w:rsidR="00A4712E" w:rsidRPr="004027AB" w:rsidRDefault="00A4712E" w:rsidP="00DB51C0">
                            <w:pPr>
                              <w:jc w:val="center"/>
                            </w:pPr>
                            <w:r w:rsidRPr="004027AB">
                              <w:t>Massachusetts Department of Public Health</w:t>
                            </w:r>
                          </w:p>
                          <w:p w:rsidR="00A4712E" w:rsidRPr="004027AB" w:rsidRDefault="00A4712E" w:rsidP="00DB51C0">
                            <w:pPr>
                              <w:jc w:val="center"/>
                            </w:pPr>
                            <w:r w:rsidRPr="004027AB">
                              <w:t>Bureau of Environmental Health</w:t>
                            </w:r>
                          </w:p>
                          <w:p w:rsidR="00A4712E" w:rsidRPr="004027AB" w:rsidRDefault="00A4712E" w:rsidP="00DB51C0">
                            <w:pPr>
                              <w:jc w:val="center"/>
                            </w:pPr>
                            <w:r w:rsidRPr="004027AB">
                              <w:t>Indoor Air Quality Program</w:t>
                            </w:r>
                          </w:p>
                          <w:p w:rsidR="00A4712E" w:rsidRPr="004027AB" w:rsidRDefault="00B77ED3" w:rsidP="00DB51C0">
                            <w:pPr>
                              <w:jc w:val="center"/>
                            </w:pPr>
                            <w:r>
                              <w:t>May</w:t>
                            </w:r>
                            <w:r w:rsidR="00D45D4D">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A4712E" w:rsidRDefault="00A4712E" w:rsidP="00DB51C0">
                      <w:pPr>
                        <w:jc w:val="center"/>
                        <w:rPr>
                          <w:b/>
                          <w:sz w:val="36"/>
                        </w:rPr>
                      </w:pPr>
                    </w:p>
                    <w:p w:rsidR="00A4712E" w:rsidRDefault="00A4712E" w:rsidP="00DB51C0">
                      <w:pPr>
                        <w:jc w:val="center"/>
                        <w:rPr>
                          <w:b/>
                          <w:sz w:val="36"/>
                        </w:rPr>
                      </w:pPr>
                    </w:p>
                    <w:p w:rsidR="00A4712E" w:rsidRDefault="009E2147" w:rsidP="00DB51C0">
                      <w:pPr>
                        <w:jc w:val="center"/>
                        <w:rPr>
                          <w:b/>
                          <w:sz w:val="36"/>
                        </w:rPr>
                      </w:pPr>
                      <w:r>
                        <w:rPr>
                          <w:b/>
                          <w:sz w:val="36"/>
                        </w:rPr>
                        <w:t>WATER DAMAGE</w:t>
                      </w:r>
                      <w:r w:rsidR="00A4712E">
                        <w:rPr>
                          <w:b/>
                          <w:sz w:val="36"/>
                        </w:rPr>
                        <w:t xml:space="preserve"> ASSESSMENT</w:t>
                      </w:r>
                    </w:p>
                    <w:p w:rsidR="00A4712E" w:rsidRPr="004027AB" w:rsidRDefault="00A4712E" w:rsidP="00DB51C0">
                      <w:pPr>
                        <w:jc w:val="center"/>
                        <w:rPr>
                          <w:b/>
                          <w:sz w:val="28"/>
                        </w:rPr>
                      </w:pPr>
                    </w:p>
                    <w:p w:rsidR="00A4712E" w:rsidRDefault="00A4712E" w:rsidP="00DB51C0">
                      <w:pPr>
                        <w:jc w:val="center"/>
                        <w:rPr>
                          <w:b/>
                          <w:sz w:val="28"/>
                        </w:rPr>
                      </w:pPr>
                    </w:p>
                    <w:p w:rsidR="00A4712E" w:rsidRPr="00CD03DB" w:rsidRDefault="00A4712E" w:rsidP="00CD03DB">
                      <w:pPr>
                        <w:jc w:val="center"/>
                        <w:rPr>
                          <w:b/>
                          <w:sz w:val="28"/>
                          <w:szCs w:val="28"/>
                        </w:rPr>
                      </w:pPr>
                      <w:r w:rsidRPr="00CD03DB">
                        <w:rPr>
                          <w:b/>
                          <w:sz w:val="28"/>
                          <w:szCs w:val="28"/>
                        </w:rPr>
                        <w:t xml:space="preserve">Massachusetts </w:t>
                      </w:r>
                      <w:r w:rsidR="00D45D4D">
                        <w:rPr>
                          <w:b/>
                          <w:sz w:val="28"/>
                          <w:szCs w:val="28"/>
                        </w:rPr>
                        <w:t>Department of Development</w:t>
                      </w:r>
                      <w:r w:rsidR="00E766CA">
                        <w:rPr>
                          <w:b/>
                          <w:sz w:val="28"/>
                          <w:szCs w:val="28"/>
                        </w:rPr>
                        <w:t>al</w:t>
                      </w:r>
                      <w:r w:rsidR="00D45D4D">
                        <w:rPr>
                          <w:b/>
                          <w:sz w:val="28"/>
                          <w:szCs w:val="28"/>
                        </w:rPr>
                        <w:t xml:space="preserve"> Services</w:t>
                      </w:r>
                    </w:p>
                    <w:p w:rsidR="00A4712E" w:rsidRPr="00CD03DB" w:rsidRDefault="00A4712E" w:rsidP="00CD03DB">
                      <w:pPr>
                        <w:jc w:val="center"/>
                        <w:rPr>
                          <w:b/>
                          <w:sz w:val="28"/>
                          <w:szCs w:val="28"/>
                        </w:rPr>
                      </w:pPr>
                      <w:r w:rsidRPr="00CD03DB">
                        <w:rPr>
                          <w:b/>
                          <w:sz w:val="28"/>
                          <w:szCs w:val="28"/>
                        </w:rPr>
                        <w:t>340 Main Street</w:t>
                      </w:r>
                    </w:p>
                    <w:p w:rsidR="00A4712E" w:rsidRDefault="00A4712E" w:rsidP="00CD03DB">
                      <w:pPr>
                        <w:jc w:val="center"/>
                        <w:rPr>
                          <w:b/>
                          <w:sz w:val="28"/>
                          <w:szCs w:val="28"/>
                        </w:rPr>
                      </w:pPr>
                      <w:r w:rsidRPr="00CD03DB">
                        <w:rPr>
                          <w:b/>
                          <w:sz w:val="28"/>
                          <w:szCs w:val="28"/>
                        </w:rPr>
                        <w:t>Worcester, Massachusetts</w:t>
                      </w:r>
                    </w:p>
                    <w:p w:rsidR="00D45D4D" w:rsidRPr="00CD03DB" w:rsidRDefault="00D45D4D" w:rsidP="00CD03DB">
                      <w:pPr>
                        <w:jc w:val="center"/>
                        <w:rPr>
                          <w:b/>
                          <w:sz w:val="28"/>
                          <w:szCs w:val="28"/>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b/>
                          <w:iCs/>
                          <w:szCs w:val="24"/>
                        </w:rPr>
                      </w:pP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Pr="00CD03DB" w:rsidRDefault="00A4712E" w:rsidP="00CD03DB">
                      <w:pPr>
                        <w:jc w:val="center"/>
                        <w:rPr>
                          <w:i/>
                          <w:szCs w:val="24"/>
                        </w:rPr>
                      </w:pPr>
                      <w:r w:rsidRPr="00CD03DB">
                        <w:rPr>
                          <w:noProof/>
                          <w:szCs w:val="24"/>
                        </w:rPr>
                        <w:drawing>
                          <wp:inline distT="0" distB="0" distL="0" distR="0" wp14:anchorId="1D4A877A" wp14:editId="4F3C0AFE">
                            <wp:extent cx="4052636" cy="3200400"/>
                            <wp:effectExtent l="0" t="0" r="5080" b="0"/>
                            <wp:docPr id="2" name="Picture 2" descr="&#10;Aerial view of &#10;Massachusetts Department of Developmental Services&#10;340 Main Street&#10;Worcest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49194" t="43625" r="26285" b="22000"/>
                                    <a:stretch>
                                      <a:fillRect/>
                                    </a:stretch>
                                  </pic:blipFill>
                                  <pic:spPr bwMode="auto">
                                    <a:xfrm>
                                      <a:off x="0" y="0"/>
                                      <a:ext cx="4052636" cy="3200400"/>
                                    </a:xfrm>
                                    <a:prstGeom prst="rect">
                                      <a:avLst/>
                                    </a:prstGeom>
                                    <a:noFill/>
                                    <a:ln>
                                      <a:noFill/>
                                    </a:ln>
                                  </pic:spPr>
                                </pic:pic>
                              </a:graphicData>
                            </a:graphic>
                          </wp:inline>
                        </w:drawing>
                      </w: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Pr="00CD03DB" w:rsidRDefault="00A4712E" w:rsidP="00CD03DB">
                      <w:pPr>
                        <w:jc w:val="center"/>
                        <w:rPr>
                          <w:i/>
                          <w:szCs w:val="24"/>
                        </w:rPr>
                      </w:pPr>
                    </w:p>
                    <w:p w:rsidR="00A4712E" w:rsidRDefault="00A4712E" w:rsidP="00DB51C0">
                      <w:pPr>
                        <w:jc w:val="center"/>
                      </w:pPr>
                    </w:p>
                    <w:p w:rsidR="00A4712E" w:rsidRDefault="00A4712E" w:rsidP="00DB51C0">
                      <w:pPr>
                        <w:jc w:val="center"/>
                      </w:pPr>
                    </w:p>
                    <w:p w:rsidR="00A4712E" w:rsidRPr="004027AB" w:rsidRDefault="00A4712E" w:rsidP="00DB51C0">
                      <w:pPr>
                        <w:jc w:val="center"/>
                      </w:pPr>
                      <w:r w:rsidRPr="004027AB">
                        <w:t>Prepared by:</w:t>
                      </w:r>
                    </w:p>
                    <w:p w:rsidR="00A4712E" w:rsidRPr="004027AB" w:rsidRDefault="00A4712E" w:rsidP="00DB51C0">
                      <w:pPr>
                        <w:jc w:val="center"/>
                      </w:pPr>
                      <w:r w:rsidRPr="004027AB">
                        <w:t>Massachusetts Department of Public Health</w:t>
                      </w:r>
                    </w:p>
                    <w:p w:rsidR="00A4712E" w:rsidRPr="004027AB" w:rsidRDefault="00A4712E" w:rsidP="00DB51C0">
                      <w:pPr>
                        <w:jc w:val="center"/>
                      </w:pPr>
                      <w:r w:rsidRPr="004027AB">
                        <w:t>Bureau of Environmental Health</w:t>
                      </w:r>
                    </w:p>
                    <w:p w:rsidR="00A4712E" w:rsidRPr="004027AB" w:rsidRDefault="00A4712E" w:rsidP="00DB51C0">
                      <w:pPr>
                        <w:jc w:val="center"/>
                      </w:pPr>
                      <w:r w:rsidRPr="004027AB">
                        <w:t>Indoor Air Quality Program</w:t>
                      </w:r>
                    </w:p>
                    <w:p w:rsidR="00A4712E" w:rsidRPr="004027AB" w:rsidRDefault="00B77ED3" w:rsidP="00DB51C0">
                      <w:pPr>
                        <w:jc w:val="center"/>
                      </w:pPr>
                      <w:r>
                        <w:t>May</w:t>
                      </w:r>
                      <w:r w:rsidR="00D45D4D">
                        <w:t xml:space="preserve"> 2019</w:t>
                      </w:r>
                    </w:p>
                  </w:txbxContent>
                </v:textbox>
                <w10:anchorlock/>
              </v:shape>
            </w:pict>
          </mc:Fallback>
        </mc:AlternateContent>
      </w:r>
    </w:p>
    <w:p w:rsidR="00B530D3" w:rsidRDefault="00B530D3" w:rsidP="0007568F">
      <w:pPr>
        <w:pStyle w:val="Heading1"/>
      </w:pPr>
      <w:r w:rsidRPr="00B530D3">
        <w:lastRenderedPageBreak/>
        <w:t>Background</w:t>
      </w:r>
    </w:p>
    <w:p w:rsidR="00D45D4D" w:rsidRPr="00D45D4D" w:rsidRDefault="00D45D4D" w:rsidP="00D45D4D"/>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7727E3" w:rsidP="00E766CA">
            <w:pPr>
              <w:tabs>
                <w:tab w:val="left" w:pos="1485"/>
              </w:tabs>
              <w:rPr>
                <w:bCs/>
              </w:rPr>
            </w:pPr>
            <w:r>
              <w:rPr>
                <w:bCs/>
              </w:rPr>
              <w:t>Department of Development</w:t>
            </w:r>
            <w:r w:rsidR="00E766CA">
              <w:rPr>
                <w:bCs/>
              </w:rPr>
              <w:t>al</w:t>
            </w:r>
            <w:r>
              <w:rPr>
                <w:bCs/>
              </w:rPr>
              <w:t xml:space="preserve"> Services</w:t>
            </w:r>
            <w:r w:rsidR="0069275D">
              <w:rPr>
                <w:bCs/>
              </w:rPr>
              <w:t xml:space="preserve"> </w:t>
            </w:r>
            <w:r w:rsidR="00CD03DB">
              <w:rPr>
                <w:bCs/>
              </w:rPr>
              <w:t>(</w:t>
            </w:r>
            <w:r>
              <w:rPr>
                <w:bCs/>
              </w:rPr>
              <w:t>DDS</w:t>
            </w:r>
            <w:r w:rsidR="00CD03DB">
              <w:rPr>
                <w:bCs/>
              </w:rPr>
              <w:t>)</w:t>
            </w:r>
          </w:p>
        </w:tc>
      </w:tr>
      <w:tr w:rsidR="00966B98" w:rsidRPr="005E458D" w:rsidTr="007154D5">
        <w:trPr>
          <w:jc w:val="center"/>
        </w:trPr>
        <w:tc>
          <w:tcPr>
            <w:tcW w:w="5089" w:type="dxa"/>
            <w:shd w:val="clear" w:color="auto" w:fill="auto"/>
          </w:tcPr>
          <w:p w:rsidR="00966B98" w:rsidRPr="00986263" w:rsidRDefault="00966B98" w:rsidP="0090617E">
            <w:pPr>
              <w:tabs>
                <w:tab w:val="left" w:pos="1485"/>
              </w:tabs>
              <w:rPr>
                <w:rStyle w:val="BackgroundBoldedDescriptors"/>
              </w:rPr>
            </w:pPr>
            <w:r w:rsidRPr="00986263">
              <w:rPr>
                <w:rStyle w:val="BackgroundBoldedDescriptors"/>
              </w:rPr>
              <w:t>Address</w:t>
            </w:r>
            <w:r w:rsidR="0090617E">
              <w:rPr>
                <w:rStyle w:val="BackgroundBoldedDescriptors"/>
              </w:rPr>
              <w:t>:</w:t>
            </w:r>
          </w:p>
        </w:tc>
        <w:tc>
          <w:tcPr>
            <w:tcW w:w="4008" w:type="dxa"/>
            <w:shd w:val="clear" w:color="auto" w:fill="auto"/>
          </w:tcPr>
          <w:p w:rsidR="00966B98" w:rsidRPr="001174D9" w:rsidRDefault="00CD03DB" w:rsidP="00F37D79">
            <w:pPr>
              <w:pStyle w:val="StaffTitleHangingIndent"/>
            </w:pPr>
            <w:r w:rsidRPr="00CD03DB">
              <w:t>340 Main Street, Worcester</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7727E3" w:rsidP="007727E3">
            <w:pPr>
              <w:pStyle w:val="StaffTitleHangingIndent"/>
            </w:pPr>
            <w:r>
              <w:t>Erin McCabe,</w:t>
            </w:r>
            <w:r w:rsidR="00101263">
              <w:t xml:space="preserve"> Executive Office of Health and Human Services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6F4A4B" w:rsidP="0069275D">
            <w:pPr>
              <w:tabs>
                <w:tab w:val="left" w:pos="1485"/>
              </w:tabs>
              <w:rPr>
                <w:bCs/>
              </w:rPr>
            </w:pPr>
            <w:r>
              <w:rPr>
                <w:bCs/>
              </w:rPr>
              <w:t xml:space="preserve">Concerns regarding </w:t>
            </w:r>
            <w:r w:rsidR="0069275D">
              <w:rPr>
                <w:bCs/>
              </w:rPr>
              <w:t>odors/water damage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7727E3" w:rsidP="00F37D79">
            <w:pPr>
              <w:tabs>
                <w:tab w:val="left" w:pos="1485"/>
              </w:tabs>
              <w:rPr>
                <w:bCs/>
              </w:rPr>
            </w:pPr>
            <w:r>
              <w:rPr>
                <w:bCs/>
              </w:rPr>
              <w:t>April 1</w:t>
            </w:r>
            <w:r w:rsidR="00F37D79">
              <w:rPr>
                <w:bCs/>
              </w:rPr>
              <w:t>9</w:t>
            </w:r>
            <w:r w:rsidR="00CD03DB">
              <w:rPr>
                <w:bCs/>
              </w:rPr>
              <w:t>, 201</w:t>
            </w:r>
            <w:r>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CD03DB" w:rsidP="00E21D03">
            <w:pPr>
              <w:pStyle w:val="StaffTitleHangingIndent"/>
              <w:rPr>
                <w:bCs/>
              </w:rPr>
            </w:pPr>
            <w:r>
              <w:rPr>
                <w:bCs/>
              </w:rPr>
              <w:t>Michael Feeney, Director,</w:t>
            </w:r>
            <w:r w:rsidR="00E21D03">
              <w:rPr>
                <w:bCs/>
              </w:rPr>
              <w:t xml:space="preserve"> Indoor Air Quality (</w:t>
            </w:r>
            <w:r w:rsidR="0094674D">
              <w:rPr>
                <w:bCs/>
              </w:rPr>
              <w:t>IAQ</w:t>
            </w:r>
            <w:r w:rsidR="00E21D03">
              <w:rPr>
                <w:bCs/>
              </w:rPr>
              <w:t>)</w:t>
            </w:r>
            <w:r>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594045" w:rsidP="00E766CA">
            <w:pPr>
              <w:pStyle w:val="StaffTitleHangingIndent"/>
              <w:rPr>
                <w:bCs/>
              </w:rPr>
            </w:pPr>
            <w:r>
              <w:rPr>
                <w:bCs/>
              </w:rPr>
              <w:t>Multi-story building</w:t>
            </w:r>
            <w:r w:rsidR="00CD03DB">
              <w:rPr>
                <w:bCs/>
              </w:rPr>
              <w:t xml:space="preserve"> in downtown Worcester </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CD03DB">
            <w:pPr>
              <w:tabs>
                <w:tab w:val="left" w:pos="1485"/>
              </w:tabs>
              <w:rPr>
                <w:bCs/>
                <w:highlight w:val="yellow"/>
              </w:rPr>
            </w:pPr>
            <w:r w:rsidRPr="006033DE">
              <w:rPr>
                <w:bCs/>
              </w:rPr>
              <w:t>Approximately</w:t>
            </w:r>
            <w:r w:rsidR="00640206" w:rsidRPr="006033DE">
              <w:rPr>
                <w:bCs/>
              </w:rPr>
              <w:t xml:space="preserve"> </w:t>
            </w:r>
            <w:r w:rsidR="00CD03DB">
              <w:rPr>
                <w:bCs/>
              </w:rPr>
              <w:t>130</w:t>
            </w:r>
            <w:r w:rsidR="00154071" w:rsidRPr="006033DE">
              <w:rPr>
                <w:bCs/>
              </w:rPr>
              <w:t xml:space="preserve"> </w:t>
            </w:r>
            <w:r w:rsidR="00640206" w:rsidRPr="006033DE">
              <w:rPr>
                <w:bCs/>
              </w:rPr>
              <w:t>employees</w:t>
            </w:r>
            <w:r w:rsidR="00A42F4F" w:rsidRPr="006033DE">
              <w:rPr>
                <w:bCs/>
              </w:rPr>
              <w:t xml:space="preserve"> </w:t>
            </w:r>
            <w:r w:rsidR="00CD03DB">
              <w:rPr>
                <w:bCs/>
              </w:rPr>
              <w:t>and visitors from the public</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AE2B70" w:rsidP="00753693">
            <w:pPr>
              <w:tabs>
                <w:tab w:val="left" w:pos="1485"/>
              </w:tabs>
              <w:rPr>
                <w:bCs/>
              </w:rPr>
            </w:pPr>
            <w:r>
              <w:rPr>
                <w:bCs/>
              </w:rPr>
              <w:t>Op</w:t>
            </w:r>
            <w:r w:rsidR="0073731E">
              <w:rPr>
                <w:bCs/>
              </w:rPr>
              <w:t>enable</w:t>
            </w:r>
            <w:r>
              <w:rPr>
                <w:bCs/>
              </w:rPr>
              <w:t xml:space="preserve"> in some areas</w:t>
            </w:r>
            <w:r w:rsidR="00863A05">
              <w:rPr>
                <w:bCs/>
              </w:rPr>
              <w:t xml:space="preserve"> </w:t>
            </w:r>
          </w:p>
        </w:tc>
      </w:tr>
      <w:tr w:rsidR="00A23E98" w:rsidRPr="005E458D" w:rsidTr="007154D5">
        <w:trPr>
          <w:jc w:val="center"/>
        </w:trPr>
        <w:tc>
          <w:tcPr>
            <w:tcW w:w="5089" w:type="dxa"/>
            <w:shd w:val="clear" w:color="auto" w:fill="auto"/>
          </w:tcPr>
          <w:p w:rsidR="00A23E98" w:rsidRPr="00986263" w:rsidRDefault="00A23E98" w:rsidP="00486557">
            <w:pPr>
              <w:tabs>
                <w:tab w:val="left" w:pos="1485"/>
              </w:tabs>
              <w:rPr>
                <w:rStyle w:val="BackgroundBoldedDescriptors"/>
              </w:rPr>
            </w:pPr>
          </w:p>
        </w:tc>
        <w:tc>
          <w:tcPr>
            <w:tcW w:w="4008" w:type="dxa"/>
            <w:shd w:val="clear" w:color="auto" w:fill="auto"/>
          </w:tcPr>
          <w:p w:rsidR="00A23E98" w:rsidRDefault="00A23E98" w:rsidP="00753693">
            <w:pPr>
              <w:tabs>
                <w:tab w:val="left" w:pos="1485"/>
              </w:tabs>
              <w:rPr>
                <w:bCs/>
              </w:rPr>
            </w:pPr>
          </w:p>
        </w:tc>
      </w:tr>
    </w:tbl>
    <w:p w:rsidR="00A23E98" w:rsidRDefault="00A23E98" w:rsidP="00A23E98">
      <w:pPr>
        <w:spacing w:line="360" w:lineRule="auto"/>
        <w:ind w:firstLine="720"/>
      </w:pPr>
      <w:r>
        <w:t>An area of office space in the southwest corner of the rear of the 5</w:t>
      </w:r>
      <w:r w:rsidRPr="00D827FB">
        <w:rPr>
          <w:vertAlign w:val="superscript"/>
        </w:rPr>
        <w:t>th</w:t>
      </w:r>
      <w:r>
        <w:t xml:space="preserve"> floor that is around a vault and rear stairwell of the building (the flooded area) was inundated with water from a heating, ventilating and air-conditioning (HVAC) coil leak that occurred in July of 2018. DDS staff had reported an odor in this location on an intermittent basis since the flooding incident. DDS staff reported that the floor was dried to address the moistened carpet and walls.</w:t>
      </w:r>
      <w:r w:rsidRPr="00F37D79">
        <w:t xml:space="preserve"> </w:t>
      </w:r>
      <w:r w:rsidRPr="00DD14D9">
        <w:t xml:space="preserve">The BEH/IAQ Program was asked to examine the </w:t>
      </w:r>
      <w:r>
        <w:t>DDS floor in the area of the water damage.</w:t>
      </w:r>
    </w:p>
    <w:p w:rsidR="007727E3" w:rsidRPr="007727E3" w:rsidRDefault="007727E3" w:rsidP="0069275D">
      <w:pPr>
        <w:pStyle w:val="Heading1"/>
      </w:pPr>
      <w:r w:rsidRPr="007727E3">
        <w:t>Methods</w:t>
      </w:r>
    </w:p>
    <w:p w:rsidR="007727E3" w:rsidRPr="007727E3" w:rsidRDefault="007727E3" w:rsidP="00D45D4D">
      <w:pPr>
        <w:spacing w:line="360" w:lineRule="auto"/>
        <w:ind w:firstLine="720"/>
      </w:pPr>
      <w:r w:rsidRPr="007727E3">
        <w:t>Please refer to the IAQ Manual for methods, sampling procedures, and interpretation of results (MDPH, 2015).</w:t>
      </w:r>
    </w:p>
    <w:p w:rsidR="00DD14D9" w:rsidRPr="00DD14D9" w:rsidRDefault="00DD14D9" w:rsidP="0069275D">
      <w:pPr>
        <w:pStyle w:val="Heading1"/>
      </w:pPr>
      <w:r w:rsidRPr="00DD14D9">
        <w:t>IAQ Testing Results</w:t>
      </w:r>
    </w:p>
    <w:p w:rsidR="00DD14D9" w:rsidRPr="00DD14D9" w:rsidRDefault="00DD14D9" w:rsidP="00D45D4D">
      <w:pPr>
        <w:spacing w:line="360" w:lineRule="auto"/>
        <w:ind w:firstLine="720"/>
      </w:pPr>
      <w:r w:rsidRPr="00DD14D9">
        <w:t>Please refer to the IAQ Manual for methods, sampling procedures, and interpretation of results (MDPH, 2015). The following is a summary of testing results.</w:t>
      </w:r>
    </w:p>
    <w:p w:rsidR="00DD14D9" w:rsidRPr="00DD14D9" w:rsidRDefault="00DD14D9" w:rsidP="00D45D4D">
      <w:pPr>
        <w:numPr>
          <w:ilvl w:val="0"/>
          <w:numId w:val="5"/>
        </w:numPr>
        <w:spacing w:line="360" w:lineRule="auto"/>
        <w:rPr>
          <w:b/>
          <w:bCs/>
        </w:rPr>
      </w:pPr>
      <w:r w:rsidRPr="00DD14D9">
        <w:rPr>
          <w:b/>
          <w:i/>
        </w:rPr>
        <w:lastRenderedPageBreak/>
        <w:t>Temperature</w:t>
      </w:r>
      <w:r w:rsidRPr="00DD14D9">
        <w:t xml:space="preserve"> was within the recommended range of 70°F to 78°F in the areas tested.</w:t>
      </w:r>
    </w:p>
    <w:p w:rsidR="00DD14D9" w:rsidRPr="00DD14D9" w:rsidRDefault="00DD14D9" w:rsidP="00D45D4D">
      <w:pPr>
        <w:numPr>
          <w:ilvl w:val="0"/>
          <w:numId w:val="5"/>
        </w:numPr>
        <w:spacing w:line="360" w:lineRule="auto"/>
        <w:rPr>
          <w:b/>
          <w:bCs/>
        </w:rPr>
      </w:pPr>
      <w:r w:rsidRPr="00DD14D9">
        <w:rPr>
          <w:b/>
          <w:i/>
        </w:rPr>
        <w:t>Relative humidity</w:t>
      </w:r>
      <w:r w:rsidRPr="00DD14D9">
        <w:t xml:space="preserve"> was within the recommended range of 40 to 60% in areas tested at the time of the assessment.</w:t>
      </w:r>
    </w:p>
    <w:p w:rsidR="00DD14D9" w:rsidRPr="00DD14D9" w:rsidRDefault="00DD14D9" w:rsidP="00D45D4D">
      <w:pPr>
        <w:numPr>
          <w:ilvl w:val="0"/>
          <w:numId w:val="5"/>
        </w:numPr>
        <w:spacing w:line="360" w:lineRule="auto"/>
        <w:rPr>
          <w:b/>
          <w:bCs/>
        </w:rPr>
      </w:pPr>
      <w:r w:rsidRPr="00DD14D9">
        <w:rPr>
          <w:b/>
          <w:i/>
        </w:rPr>
        <w:t>Moisture Measurements</w:t>
      </w:r>
      <w:r w:rsidRPr="00DD14D9">
        <w:t xml:space="preserve"> in all carpeting </w:t>
      </w:r>
      <w:r>
        <w:t>in the areas around the vault had eleva</w:t>
      </w:r>
      <w:r w:rsidRPr="00DD14D9">
        <w:t xml:space="preserve">ted levels of moisture </w:t>
      </w:r>
      <w:r>
        <w:t xml:space="preserve">in comparison to non-flooded </w:t>
      </w:r>
      <w:r w:rsidR="00F37D79">
        <w:t xml:space="preserve">(control) </w:t>
      </w:r>
      <w:r>
        <w:t xml:space="preserve">areas </w:t>
      </w:r>
      <w:r w:rsidRPr="00DD14D9">
        <w:t>at the time of assessment.</w:t>
      </w:r>
    </w:p>
    <w:p w:rsidR="00DD14D9" w:rsidRPr="00DD14D9" w:rsidRDefault="00DD14D9" w:rsidP="0069275D">
      <w:pPr>
        <w:pStyle w:val="Heading1"/>
      </w:pPr>
      <w:r w:rsidRPr="00DD14D9">
        <w:t>Discussion</w:t>
      </w:r>
    </w:p>
    <w:p w:rsidR="00DD14D9" w:rsidRPr="00DD14D9" w:rsidRDefault="00DD14D9" w:rsidP="0069275D">
      <w:pPr>
        <w:pStyle w:val="Heading2"/>
      </w:pPr>
      <w:r w:rsidRPr="00DD14D9">
        <w:t>Microbial/Moisture Concerns</w:t>
      </w:r>
    </w:p>
    <w:p w:rsidR="00DD14D9" w:rsidRPr="00DD14D9" w:rsidRDefault="00F505D9" w:rsidP="00D45D4D">
      <w:pPr>
        <w:spacing w:line="360" w:lineRule="auto"/>
        <w:ind w:firstLine="720"/>
      </w:pPr>
      <w:r>
        <w:t>The leak occurred during a timeframe of unusual weather that existed from July to September 2018.</w:t>
      </w:r>
      <w:r w:rsidR="0069275D">
        <w:t xml:space="preserve"> </w:t>
      </w:r>
      <w:r w:rsidR="00DD14D9" w:rsidRPr="00DD14D9">
        <w:t xml:space="preserve">The Boston area experienced an unprecedented period of extended hot, humid weather. According to the Washington Post, “[d]ata…show[s]…cities in the Northeast have witnessed such humidity levels for record-challenging duration...[i]ncluding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adequate exhaust ventilation and air chilling capacity to remove/reduce relative humidity from outside air, then hot, moist air can be introduced into a building and linger to increase occupant discomfort as well as possibly moisten materials </w:t>
      </w:r>
      <w:r w:rsidR="00A84DCA">
        <w:t>(</w:t>
      </w:r>
      <w:r w:rsidR="00A84DCA" w:rsidRPr="008771C9">
        <w:t>or prevent/inhibit drying</w:t>
      </w:r>
      <w:r w:rsidR="00A84DCA">
        <w:t xml:space="preserve">) </w:t>
      </w:r>
      <w:r w:rsidR="008771C9">
        <w:t>which</w:t>
      </w:r>
      <w:r w:rsidR="00DD14D9" w:rsidRPr="00DD14D9">
        <w:t xml:space="preserve"> may lead to mold growth.</w:t>
      </w:r>
    </w:p>
    <w:p w:rsidR="00962AE6" w:rsidRDefault="00962AE6" w:rsidP="0069275D">
      <w:pPr>
        <w:spacing w:line="360" w:lineRule="auto"/>
        <w:ind w:firstLine="720"/>
      </w:pPr>
      <w:r>
        <w:t xml:space="preserve">The </w:t>
      </w:r>
      <w:r w:rsidR="00137497">
        <w:t xml:space="preserve">DDS office </w:t>
      </w:r>
      <w:r>
        <w:t>floor</w:t>
      </w:r>
      <w:r w:rsidR="00137497">
        <w:t xml:space="preserve">ing consists of </w:t>
      </w:r>
      <w:r>
        <w:t>carpet tile adhered to plywood installed over the original floor.</w:t>
      </w:r>
      <w:r w:rsidR="0069275D">
        <w:t xml:space="preserve"> </w:t>
      </w:r>
      <w:r>
        <w:t>It is feasible that water from the July 201</w:t>
      </w:r>
      <w:r w:rsidR="00E05A24">
        <w:t>8</w:t>
      </w:r>
      <w:r>
        <w:t xml:space="preserve"> water </w:t>
      </w:r>
      <w:r w:rsidR="00A84DCA">
        <w:t>damage</w:t>
      </w:r>
      <w:r>
        <w:t xml:space="preserve"> incident </w:t>
      </w:r>
      <w:r w:rsidR="00A84DCA">
        <w:t>resulted</w:t>
      </w:r>
      <w:r>
        <w:t xml:space="preserve"> in water passing into the space below the plywood through seams at the wall/floor.</w:t>
      </w:r>
      <w:r w:rsidR="0069275D">
        <w:t xml:space="preserve"> </w:t>
      </w:r>
      <w:r>
        <w:t>The combina</w:t>
      </w:r>
      <w:r w:rsidR="008771C9">
        <w:t>tion of humid weather and water-</w:t>
      </w:r>
      <w:r w:rsidR="00A84DCA">
        <w:t>impermeable</w:t>
      </w:r>
      <w:r>
        <w:t xml:space="preserve"> carpet tile </w:t>
      </w:r>
      <w:r w:rsidR="00A23E98">
        <w:t xml:space="preserve">may have </w:t>
      </w:r>
      <w:r>
        <w:t xml:space="preserve">prevented the drying of the space </w:t>
      </w:r>
      <w:r w:rsidR="00A23E98">
        <w:t>between</w:t>
      </w:r>
      <w:r>
        <w:t xml:space="preserve"> the plywood overlay</w:t>
      </w:r>
      <w:r w:rsidR="00A23E98">
        <w:t xml:space="preserve"> and the original floor</w:t>
      </w:r>
      <w:r>
        <w:t>.</w:t>
      </w:r>
    </w:p>
    <w:p w:rsidR="00A4712E" w:rsidRDefault="00A23E98" w:rsidP="00D45D4D">
      <w:pPr>
        <w:spacing w:line="360" w:lineRule="auto"/>
        <w:ind w:firstLine="720"/>
      </w:pPr>
      <w:r>
        <w:t>On the day of the assessment</w:t>
      </w:r>
      <w:r w:rsidR="0069275D">
        <w:t xml:space="preserve"> </w:t>
      </w:r>
      <w:r w:rsidR="00A4712E">
        <w:t>IAQ staff noted a musty wood odor upon entering the hallway outside room 54.</w:t>
      </w:r>
      <w:r w:rsidR="0069275D">
        <w:t xml:space="preserve"> </w:t>
      </w:r>
      <w:r w:rsidR="00A4712E">
        <w:t>The odor was confined to the flooded area and was not present in control areas or other locations examined by IAQ staff.</w:t>
      </w:r>
      <w:r w:rsidR="0069275D">
        <w:t xml:space="preserve"> </w:t>
      </w:r>
      <w:r w:rsidR="00A4712E">
        <w:t xml:space="preserve">The odor detected can be associated with chronic moisture exposure to wood or </w:t>
      </w:r>
      <w:r>
        <w:t xml:space="preserve">with </w:t>
      </w:r>
      <w:r w:rsidR="00A4712E">
        <w:t>dry drain traps</w:t>
      </w:r>
      <w:r>
        <w:t xml:space="preserve">/broken vent pipes in the sewer </w:t>
      </w:r>
      <w:r>
        <w:lastRenderedPageBreak/>
        <w:t>system</w:t>
      </w:r>
      <w:r w:rsidR="00A4712E">
        <w:t>.</w:t>
      </w:r>
      <w:r w:rsidR="0069275D">
        <w:t xml:space="preserve"> </w:t>
      </w:r>
      <w:r w:rsidR="00A4712E">
        <w:t>As reported by EOHHS staff, a smoke test in the restroom</w:t>
      </w:r>
      <w:r w:rsidR="00D45D4D">
        <w:t xml:space="preserve"> of this area indicated no leak</w:t>
      </w:r>
      <w:r w:rsidR="00A4712E">
        <w:t>s or dry traps adjacent to the flooded area, which would indicate th</w:t>
      </w:r>
      <w:r w:rsidR="008771C9">
        <w:t xml:space="preserve">e source is the </w:t>
      </w:r>
      <w:r w:rsidR="00A4712E">
        <w:t>floor.</w:t>
      </w:r>
    </w:p>
    <w:p w:rsidR="00A84DCA" w:rsidRDefault="00962AE6" w:rsidP="00D45D4D">
      <w:pPr>
        <w:spacing w:line="360" w:lineRule="auto"/>
        <w:ind w:firstLine="720"/>
      </w:pPr>
      <w:r>
        <w:t>In general, floors should ha</w:t>
      </w:r>
      <w:r w:rsidR="003A1B0C">
        <w:t>ve roughly uniform moisture measurements</w:t>
      </w:r>
      <w:r w:rsidR="00137497">
        <w:t xml:space="preserve"> that can change due to weather conditions</w:t>
      </w:r>
      <w:r w:rsidR="003A1B0C">
        <w:t>.</w:t>
      </w:r>
      <w:r w:rsidR="0069275D">
        <w:t xml:space="preserve"> </w:t>
      </w:r>
      <w:r w:rsidR="00A84DCA">
        <w:t>There are a number of measurements that indicate an unaccounted moisture source may exist in the flooded area.</w:t>
      </w:r>
      <w:r w:rsidR="0069275D">
        <w:t xml:space="preserve"> </w:t>
      </w:r>
      <w:r w:rsidR="00A4712E">
        <w:t>I</w:t>
      </w:r>
      <w:r w:rsidR="00A84DCA">
        <w:t xml:space="preserve">n the experience of the IAQ Program, relative humidity would </w:t>
      </w:r>
      <w:r w:rsidR="00A4712E">
        <w:t>expect</w:t>
      </w:r>
      <w:r w:rsidR="00A84DCA">
        <w:t xml:space="preserve"> to be +/- 2% throughout a space with normal occupancy.</w:t>
      </w:r>
      <w:r w:rsidR="0069275D">
        <w:t xml:space="preserve"> </w:t>
      </w:r>
      <w:r w:rsidR="00A4712E">
        <w:t xml:space="preserve">It is important to note that </w:t>
      </w:r>
      <w:r w:rsidR="00A84DCA">
        <w:t>humidity in the flooded area was 6-10% higher than the control areas.</w:t>
      </w:r>
      <w:r w:rsidR="0069275D">
        <w:t xml:space="preserve"> </w:t>
      </w:r>
      <w:r w:rsidR="00A84DCA">
        <w:t>This relative humidity increase may indicate that a moisture source exists in the flooded area.</w:t>
      </w:r>
    </w:p>
    <w:p w:rsidR="00F505D9" w:rsidRDefault="003A1B0C" w:rsidP="00D45D4D">
      <w:pPr>
        <w:spacing w:line="360" w:lineRule="auto"/>
        <w:ind w:firstLine="720"/>
      </w:pPr>
      <w:r>
        <w:t>In order to assess if flooring had a uniform moisture content, measurements were taken in locations reported to be outside where the water damage occurred (002 and 11).</w:t>
      </w:r>
      <w:r w:rsidR="0069275D">
        <w:t xml:space="preserve"> </w:t>
      </w:r>
      <w:r w:rsidR="00A4712E">
        <w:t xml:space="preserve">Moisture </w:t>
      </w:r>
      <w:r w:rsidR="008771C9">
        <w:t>testing</w:t>
      </w:r>
      <w:r w:rsidR="00A4712E">
        <w:t xml:space="preserve"> of flooring indicates that the material below </w:t>
      </w:r>
      <w:r w:rsidR="008771C9">
        <w:t xml:space="preserve">the </w:t>
      </w:r>
      <w:r w:rsidR="00A4712E">
        <w:t xml:space="preserve">carpet tiles </w:t>
      </w:r>
      <w:r w:rsidR="008771C9">
        <w:t xml:space="preserve">in the flooded area </w:t>
      </w:r>
      <w:r w:rsidR="00A23E98">
        <w:t>has</w:t>
      </w:r>
      <w:r w:rsidR="00A4712E">
        <w:t xml:space="preserve"> a moisture content that is</w:t>
      </w:r>
      <w:r w:rsidR="00020099">
        <w:t xml:space="preserve"> </w:t>
      </w:r>
      <w:r w:rsidR="00A4712E">
        <w:t>10-25% higher than floor measurements in the control locations</w:t>
      </w:r>
      <w:r w:rsidR="001621EF">
        <w:t xml:space="preserve"> (Table 1)</w:t>
      </w:r>
      <w:r w:rsidR="00A4712E">
        <w:t>.</w:t>
      </w:r>
      <w:r w:rsidR="0069275D">
        <w:t xml:space="preserve"> </w:t>
      </w:r>
      <w:r w:rsidR="00A4712E">
        <w:t>These moisture measurements indicate that a moisture source exist below the carpet tiles in the flooded area.</w:t>
      </w:r>
      <w:r w:rsidR="0069275D">
        <w:t xml:space="preserve"> </w:t>
      </w:r>
      <w:r w:rsidR="001621EF">
        <w:t>Based on the observations and measurements</w:t>
      </w:r>
      <w:r w:rsidR="00A23E98">
        <w:t xml:space="preserve"> made during the assessment</w:t>
      </w:r>
      <w:r w:rsidR="001621EF">
        <w:t>, it appears that the flooring beneath the carpet tile</w:t>
      </w:r>
      <w:r w:rsidR="002329C4">
        <w:t xml:space="preserve"> is currently </w:t>
      </w:r>
      <w:r w:rsidR="001621EF">
        <w:t>moistened.</w:t>
      </w:r>
    </w:p>
    <w:p w:rsidR="00DD14D9" w:rsidRDefault="00DD14D9" w:rsidP="00D45D4D">
      <w:pPr>
        <w:spacing w:line="360" w:lineRule="auto"/>
        <w:ind w:firstLine="720"/>
      </w:pPr>
      <w:r w:rsidRPr="00DD14D9">
        <w:t>In general, the US Environmental Protection Agency (US EPA) and the American Conference of Governmental Industrial Hygienists (ACGIH) recommends that porous materials (e.g., GW, carpeting) be dried with fans and heating within 24 to 48 hours of becoming wet (US EPA, 2008; ACGIH, 1989). If porous materials are not dried within this time frame, mold growth may occur.</w:t>
      </w:r>
    </w:p>
    <w:p w:rsidR="00DD14D9" w:rsidRPr="00DD14D9" w:rsidRDefault="00DD14D9" w:rsidP="0069275D">
      <w:pPr>
        <w:pStyle w:val="Heading1"/>
      </w:pPr>
      <w:r w:rsidRPr="00DD14D9">
        <w:t>Conclusions/Recommendations</w:t>
      </w:r>
    </w:p>
    <w:p w:rsidR="00DD14D9" w:rsidRPr="00DD14D9" w:rsidRDefault="001621EF" w:rsidP="00D45D4D">
      <w:pPr>
        <w:spacing w:line="360" w:lineRule="auto"/>
        <w:ind w:right="-720" w:firstLine="720"/>
      </w:pPr>
      <w:r>
        <w:rPr>
          <w:snapToGrid w:val="0"/>
        </w:rPr>
        <w:t>Based on the observations made during this assessment, the sou</w:t>
      </w:r>
      <w:r w:rsidR="00D45D4D">
        <w:rPr>
          <w:snapToGrid w:val="0"/>
        </w:rPr>
        <w:t>r</w:t>
      </w:r>
      <w:r>
        <w:rPr>
          <w:snapToGrid w:val="0"/>
        </w:rPr>
        <w:t>ce of the odors is likely the flooring beneath carpet tile.</w:t>
      </w:r>
      <w:r w:rsidR="0069275D">
        <w:rPr>
          <w:snapToGrid w:val="0"/>
        </w:rPr>
        <w:t xml:space="preserve"> </w:t>
      </w:r>
      <w:r>
        <w:rPr>
          <w:snapToGrid w:val="0"/>
        </w:rPr>
        <w:t>In order to address this situation, carpet tile and flooring needs to be examined</w:t>
      </w:r>
      <w:r w:rsidR="00A23E98">
        <w:rPr>
          <w:snapToGrid w:val="0"/>
        </w:rPr>
        <w:t>,</w:t>
      </w:r>
      <w:r>
        <w:rPr>
          <w:snapToGrid w:val="0"/>
        </w:rPr>
        <w:t xml:space="preserve"> and removed </w:t>
      </w:r>
      <w:r w:rsidR="00F53543">
        <w:rPr>
          <w:snapToGrid w:val="0"/>
        </w:rPr>
        <w:t>if it is the source of the odor:</w:t>
      </w:r>
    </w:p>
    <w:p w:rsidR="00A23E98" w:rsidRDefault="00D827FB" w:rsidP="00D45D4D">
      <w:pPr>
        <w:numPr>
          <w:ilvl w:val="0"/>
          <w:numId w:val="32"/>
        </w:numPr>
        <w:spacing w:line="360" w:lineRule="auto"/>
        <w:ind w:right="-720"/>
      </w:pPr>
      <w:r>
        <w:t>The IAQ Program suggests removing flooring in a limited area to ascertain if the odor and/or excessive moisture are present beneath the floor.</w:t>
      </w:r>
      <w:r w:rsidR="00F53543" w:rsidRPr="00F53543">
        <w:t xml:space="preserve"> </w:t>
      </w:r>
    </w:p>
    <w:p w:rsidR="00D827FB" w:rsidRDefault="00F53543" w:rsidP="00D45D4D">
      <w:pPr>
        <w:numPr>
          <w:ilvl w:val="0"/>
          <w:numId w:val="32"/>
        </w:numPr>
        <w:spacing w:line="360" w:lineRule="auto"/>
        <w:ind w:right="-720"/>
      </w:pPr>
      <w:r>
        <w:t>All mold-colonized flooring materials</w:t>
      </w:r>
      <w:r w:rsidR="00A23E98">
        <w:t xml:space="preserve"> found</w:t>
      </w:r>
      <w:r>
        <w:t xml:space="preserve"> (plywood and padding) should be removed and replaced.</w:t>
      </w:r>
    </w:p>
    <w:p w:rsidR="008771C9" w:rsidRPr="008771C9" w:rsidRDefault="008771C9" w:rsidP="00D45D4D">
      <w:pPr>
        <w:numPr>
          <w:ilvl w:val="0"/>
          <w:numId w:val="32"/>
        </w:numPr>
        <w:spacing w:line="360" w:lineRule="auto"/>
        <w:ind w:right="-720"/>
      </w:pPr>
      <w:r>
        <w:rPr>
          <w:snapToGrid w:val="0"/>
        </w:rPr>
        <w:t>In order to facilitate remediation, it is advisable to relocate DDS personnel from this location while examination and possible remediation is completed.</w:t>
      </w:r>
    </w:p>
    <w:p w:rsidR="008771C9" w:rsidRDefault="008771C9" w:rsidP="00D45D4D">
      <w:pPr>
        <w:numPr>
          <w:ilvl w:val="0"/>
          <w:numId w:val="32"/>
        </w:numPr>
        <w:spacing w:line="360" w:lineRule="auto"/>
        <w:ind w:right="-720"/>
      </w:pPr>
      <w:r>
        <w:rPr>
          <w:snapToGrid w:val="0"/>
        </w:rPr>
        <w:lastRenderedPageBreak/>
        <w:t xml:space="preserve">It is highly recommend to use the </w:t>
      </w:r>
      <w:r w:rsidRPr="00DD14D9">
        <w:t>US EPA’s “Mold Remediation in Sc</w:t>
      </w:r>
      <w:r>
        <w:t>hools and Commercial Buildings” (</w:t>
      </w:r>
      <w:r w:rsidRPr="00DD14D9">
        <w:t xml:space="preserve">available at: </w:t>
      </w:r>
      <w:hyperlink r:id="rId9" w:history="1">
        <w:r w:rsidRPr="00DD14D9">
          <w:rPr>
            <w:color w:val="0000FF"/>
            <w:u w:val="single"/>
          </w:rPr>
          <w:t>http://www.epa.gov/mold/mold-remediation-schools-and-commercial-buildings-guide</w:t>
        </w:r>
      </w:hyperlink>
      <w:r>
        <w:t xml:space="preserve">) as a guideline for remediation efforts. </w:t>
      </w:r>
    </w:p>
    <w:p w:rsidR="008771C9" w:rsidRDefault="008771C9" w:rsidP="00D45D4D">
      <w:pPr>
        <w:numPr>
          <w:ilvl w:val="0"/>
          <w:numId w:val="32"/>
        </w:numPr>
        <w:spacing w:line="360" w:lineRule="auto"/>
        <w:ind w:right="-720"/>
      </w:pPr>
      <w:r>
        <w:t>Given the location</w:t>
      </w:r>
      <w:r w:rsidR="00B77ED3">
        <w:t xml:space="preserve"> of the flooded area</w:t>
      </w:r>
      <w:r>
        <w:t>, sealing this area during remediation should be achieved by sealing the entrance to the hallway outside room 54.</w:t>
      </w:r>
    </w:p>
    <w:p w:rsidR="00DD14D9" w:rsidRPr="00DD14D9" w:rsidRDefault="00DD14D9" w:rsidP="00D45D4D">
      <w:pPr>
        <w:numPr>
          <w:ilvl w:val="0"/>
          <w:numId w:val="32"/>
        </w:numPr>
        <w:spacing w:line="360" w:lineRule="auto"/>
        <w:ind w:right="-720"/>
      </w:pPr>
      <w:r w:rsidRPr="00DD14D9">
        <w:t xml:space="preserve">Refer to resource manuals and other related IAQ documents for further building-wide evaluations and advice on maintaining public buildings. Copies of these materials are located on the MDPH’s website: </w:t>
      </w:r>
      <w:hyperlink r:id="rId10" w:history="1">
        <w:r w:rsidRPr="00DD14D9">
          <w:rPr>
            <w:color w:val="0000FF"/>
            <w:szCs w:val="24"/>
            <w:u w:val="single"/>
          </w:rPr>
          <w:t>http://mass.gov/dph/iaq</w:t>
        </w:r>
      </w:hyperlink>
      <w:r w:rsidRPr="00DD14D9">
        <w:t>.</w:t>
      </w:r>
    </w:p>
    <w:p w:rsidR="00DD14D9" w:rsidRPr="00DD14D9" w:rsidRDefault="00DD14D9" w:rsidP="00DD14D9">
      <w:pPr>
        <w:keepNext/>
        <w:spacing w:before="360" w:line="360" w:lineRule="auto"/>
        <w:outlineLvl w:val="0"/>
        <w:rPr>
          <w:b/>
          <w:sz w:val="28"/>
        </w:rPr>
      </w:pPr>
      <w:r w:rsidRPr="00DD14D9">
        <w:rPr>
          <w:b/>
          <w:sz w:val="28"/>
        </w:rPr>
        <w:br w:type="page"/>
      </w:r>
      <w:r w:rsidRPr="00DD14D9">
        <w:rPr>
          <w:b/>
          <w:sz w:val="28"/>
        </w:rPr>
        <w:lastRenderedPageBreak/>
        <w:t>REFERENCES</w:t>
      </w:r>
    </w:p>
    <w:p w:rsidR="00DD14D9" w:rsidRPr="00DD14D9" w:rsidRDefault="00DD14D9" w:rsidP="00DD14D9">
      <w:pPr>
        <w:spacing w:after="240"/>
        <w:rPr>
          <w:highlight w:val="yellow"/>
        </w:rPr>
      </w:pPr>
      <w:r w:rsidRPr="00DD14D9">
        <w:t>ACGIH. 1989. Guidelines for the Assessment of Bioaerosols in the Indoor Environment. American Conference of Governmental Industrial Hygienists, Cincinnati, OH.</w:t>
      </w:r>
    </w:p>
    <w:p w:rsidR="00DD14D9" w:rsidRPr="00DD14D9" w:rsidRDefault="00DD14D9" w:rsidP="00DD14D9">
      <w:pPr>
        <w:spacing w:after="240"/>
      </w:pPr>
      <w:r w:rsidRPr="00DD14D9">
        <w:t xml:space="preserve">MDPH. 2015. Massachusetts Department of Public Health. “Indoor Air Quality Manual: Chapters I-III”. Available at: </w:t>
      </w:r>
      <w:hyperlink r:id="rId11" w:history="1">
        <w:r w:rsidRPr="00DD14D9">
          <w:rPr>
            <w:color w:val="0000FF"/>
            <w:szCs w:val="24"/>
            <w:u w:val="single"/>
          </w:rPr>
          <w:t>http://www.mass.gov/eohhs/gov/departments/dph/programs/environmental-health/exposure-topics/iaq/iaq-manual/</w:t>
        </w:r>
      </w:hyperlink>
      <w:r w:rsidRPr="00DD14D9">
        <w:t>.</w:t>
      </w:r>
    </w:p>
    <w:p w:rsidR="00DD14D9" w:rsidRPr="00DD14D9" w:rsidRDefault="00DD14D9" w:rsidP="00DD14D9">
      <w:pPr>
        <w:spacing w:after="240"/>
      </w:pPr>
      <w:r w:rsidRPr="00DD14D9">
        <w:t xml:space="preserve">US EPA. 2008. Mold Remediation in Schools and Commercial Buildings. US Environmental Protection Agency, Office of Air and Radiation, Indoor Environments Division, Washington, D.C. EPA 402-K-01-001. </w:t>
      </w:r>
      <w:hyperlink r:id="rId12" w:history="1">
        <w:r w:rsidRPr="00DD14D9">
          <w:rPr>
            <w:color w:val="0000FF"/>
            <w:u w:val="single"/>
          </w:rPr>
          <w:t>http://www.epa.gov/mold/mold-remediation-schools-and-commercial-buildings-guide</w:t>
        </w:r>
      </w:hyperlink>
      <w:r w:rsidRPr="00DD14D9">
        <w:t>.</w:t>
      </w:r>
    </w:p>
    <w:p w:rsidR="00CB330B" w:rsidRDefault="00DD14D9" w:rsidP="00E766CA">
      <w:pPr>
        <w:spacing w:after="240"/>
        <w:rPr>
          <w:color w:val="0000FF"/>
          <w:u w:val="single"/>
        </w:rPr>
        <w:sectPr w:rsidR="00CB330B"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r w:rsidRPr="00DD14D9">
        <w:t xml:space="preserve">WP. 2018. ‘It’s been relentless’: Smothering summer humidity in the Northeast has crushed records. Washington Post, Washington, DC. </w:t>
      </w:r>
      <w:r w:rsidRPr="00DD14D9">
        <w:rPr>
          <w:color w:val="0000FF"/>
          <w:u w:val="single"/>
        </w:rPr>
        <w:t>https://www.washingtonpost.com/news/capital-weather-gang/wp/2018/08/30/its-been-relentless-smothering-summer-humidity-in-th</w:t>
      </w:r>
      <w:r w:rsidR="00CB330B">
        <w:rPr>
          <w:color w:val="0000FF"/>
          <w:u w:val="single"/>
        </w:rPr>
        <w:t>e-northeast-has-crushed-records</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668"/>
        <w:gridCol w:w="1350"/>
        <w:gridCol w:w="1577"/>
        <w:gridCol w:w="1759"/>
        <w:gridCol w:w="1621"/>
        <w:gridCol w:w="1621"/>
        <w:gridCol w:w="2020"/>
        <w:gridCol w:w="1180"/>
      </w:tblGrid>
      <w:tr w:rsidR="00CB330B" w:rsidTr="00C0377A">
        <w:trPr>
          <w:tblHeader/>
          <w:jc w:val="center"/>
        </w:trPr>
        <w:tc>
          <w:tcPr>
            <w:tcW w:w="1790" w:type="dxa"/>
            <w:shd w:val="clear" w:color="auto" w:fill="auto"/>
            <w:vAlign w:val="bottom"/>
          </w:tcPr>
          <w:p w:rsidR="00CB330B" w:rsidRPr="005239EC" w:rsidRDefault="00CB330B" w:rsidP="00C0377A">
            <w:pPr>
              <w:jc w:val="center"/>
              <w:rPr>
                <w:b/>
              </w:rPr>
            </w:pPr>
            <w:r w:rsidRPr="005239EC">
              <w:rPr>
                <w:b/>
              </w:rPr>
              <w:lastRenderedPageBreak/>
              <w:t>Location</w:t>
            </w:r>
          </w:p>
        </w:tc>
        <w:tc>
          <w:tcPr>
            <w:tcW w:w="1668" w:type="dxa"/>
            <w:shd w:val="clear" w:color="auto" w:fill="auto"/>
            <w:vAlign w:val="bottom"/>
          </w:tcPr>
          <w:p w:rsidR="00CB330B" w:rsidRPr="005239EC" w:rsidRDefault="00CB330B" w:rsidP="00C0377A">
            <w:pPr>
              <w:jc w:val="center"/>
              <w:rPr>
                <w:b/>
              </w:rPr>
            </w:pPr>
            <w:r w:rsidRPr="005239EC">
              <w:rPr>
                <w:b/>
              </w:rPr>
              <w:t>Air Temperature</w:t>
            </w:r>
          </w:p>
          <w:p w:rsidR="00CB330B" w:rsidRPr="005239EC" w:rsidRDefault="00CB330B" w:rsidP="00C0377A">
            <w:pPr>
              <w:jc w:val="center"/>
              <w:rPr>
                <w:b/>
              </w:rPr>
            </w:pPr>
            <w:r w:rsidRPr="005239EC">
              <w:rPr>
                <w:b/>
              </w:rPr>
              <w:t>(</w:t>
            </w:r>
            <w:r w:rsidRPr="005239EC">
              <w:rPr>
                <w:b/>
                <w:vertAlign w:val="superscript"/>
              </w:rPr>
              <w:t>o</w:t>
            </w:r>
            <w:r w:rsidRPr="005239EC">
              <w:rPr>
                <w:b/>
              </w:rPr>
              <w:t>F)</w:t>
            </w:r>
          </w:p>
        </w:tc>
        <w:tc>
          <w:tcPr>
            <w:tcW w:w="1350" w:type="dxa"/>
            <w:shd w:val="clear" w:color="auto" w:fill="auto"/>
            <w:vAlign w:val="bottom"/>
          </w:tcPr>
          <w:p w:rsidR="00CB330B" w:rsidRPr="005239EC" w:rsidRDefault="00CB330B" w:rsidP="00C0377A">
            <w:pPr>
              <w:jc w:val="center"/>
              <w:rPr>
                <w:b/>
              </w:rPr>
            </w:pPr>
          </w:p>
          <w:p w:rsidR="00CB330B" w:rsidRPr="005239EC" w:rsidRDefault="00CB330B" w:rsidP="00C0377A">
            <w:pPr>
              <w:jc w:val="center"/>
              <w:rPr>
                <w:b/>
              </w:rPr>
            </w:pPr>
            <w:r w:rsidRPr="005239EC">
              <w:rPr>
                <w:b/>
              </w:rPr>
              <w:t>Relative Humidity</w:t>
            </w:r>
          </w:p>
          <w:p w:rsidR="00CB330B" w:rsidRPr="005239EC" w:rsidRDefault="00CB330B" w:rsidP="00C0377A">
            <w:pPr>
              <w:jc w:val="center"/>
              <w:rPr>
                <w:b/>
              </w:rPr>
            </w:pPr>
            <w:r w:rsidRPr="005239EC">
              <w:rPr>
                <w:b/>
              </w:rPr>
              <w:t>(%)</w:t>
            </w:r>
          </w:p>
        </w:tc>
        <w:tc>
          <w:tcPr>
            <w:tcW w:w="1577" w:type="dxa"/>
            <w:shd w:val="clear" w:color="auto" w:fill="auto"/>
            <w:vAlign w:val="bottom"/>
          </w:tcPr>
          <w:p w:rsidR="00CB330B" w:rsidRPr="005239EC" w:rsidRDefault="00CB330B" w:rsidP="00C0377A">
            <w:pPr>
              <w:jc w:val="center"/>
              <w:rPr>
                <w:b/>
              </w:rPr>
            </w:pPr>
            <w:r>
              <w:rPr>
                <w:b/>
              </w:rPr>
              <w:t>Moisture Content in Exterior Wall around window (%)</w:t>
            </w:r>
          </w:p>
        </w:tc>
        <w:tc>
          <w:tcPr>
            <w:tcW w:w="1759" w:type="dxa"/>
            <w:shd w:val="clear" w:color="auto" w:fill="auto"/>
            <w:vAlign w:val="bottom"/>
          </w:tcPr>
          <w:p w:rsidR="00CB330B" w:rsidRPr="005239EC" w:rsidRDefault="00CB330B" w:rsidP="00C0377A">
            <w:pPr>
              <w:jc w:val="center"/>
              <w:rPr>
                <w:b/>
              </w:rPr>
            </w:pPr>
            <w:r>
              <w:rPr>
                <w:b/>
              </w:rPr>
              <w:t>Moisture content in interior wall (%)</w:t>
            </w:r>
          </w:p>
        </w:tc>
        <w:tc>
          <w:tcPr>
            <w:tcW w:w="1621" w:type="dxa"/>
            <w:shd w:val="clear" w:color="auto" w:fill="auto"/>
            <w:vAlign w:val="bottom"/>
          </w:tcPr>
          <w:p w:rsidR="00CB330B" w:rsidRDefault="00CB330B" w:rsidP="00C0377A">
            <w:pPr>
              <w:jc w:val="center"/>
              <w:rPr>
                <w:b/>
              </w:rPr>
            </w:pPr>
            <w:r>
              <w:rPr>
                <w:b/>
              </w:rPr>
              <w:t>Moisture content of carpeting at Exterior Wall</w:t>
            </w:r>
          </w:p>
          <w:p w:rsidR="00CB330B" w:rsidRPr="005239EC" w:rsidRDefault="00CB330B" w:rsidP="00C0377A">
            <w:pPr>
              <w:jc w:val="center"/>
              <w:rPr>
                <w:b/>
              </w:rPr>
            </w:pPr>
            <w:r>
              <w:rPr>
                <w:b/>
              </w:rPr>
              <w:t>(%)</w:t>
            </w:r>
          </w:p>
        </w:tc>
        <w:tc>
          <w:tcPr>
            <w:tcW w:w="1621" w:type="dxa"/>
            <w:shd w:val="clear" w:color="auto" w:fill="auto"/>
            <w:vAlign w:val="bottom"/>
          </w:tcPr>
          <w:p w:rsidR="00CB330B" w:rsidRDefault="00CB330B" w:rsidP="00C0377A">
            <w:pPr>
              <w:jc w:val="center"/>
              <w:rPr>
                <w:b/>
              </w:rPr>
            </w:pPr>
            <w:r w:rsidRPr="00330866">
              <w:rPr>
                <w:b/>
              </w:rPr>
              <w:t xml:space="preserve">Moisture content of carpeting </w:t>
            </w:r>
            <w:r>
              <w:rPr>
                <w:b/>
              </w:rPr>
              <w:t>5′ from</w:t>
            </w:r>
            <w:r w:rsidRPr="00330866">
              <w:rPr>
                <w:b/>
              </w:rPr>
              <w:t xml:space="preserve"> Exterior Wall</w:t>
            </w:r>
          </w:p>
          <w:p w:rsidR="00CB330B" w:rsidRPr="005239EC" w:rsidRDefault="00CB330B" w:rsidP="00C0377A">
            <w:pPr>
              <w:jc w:val="center"/>
              <w:rPr>
                <w:b/>
              </w:rPr>
            </w:pPr>
            <w:r>
              <w:rPr>
                <w:b/>
              </w:rPr>
              <w:t>(%)</w:t>
            </w:r>
          </w:p>
        </w:tc>
        <w:tc>
          <w:tcPr>
            <w:tcW w:w="2020" w:type="dxa"/>
            <w:vAlign w:val="bottom"/>
          </w:tcPr>
          <w:p w:rsidR="00CB330B" w:rsidRDefault="00CB330B" w:rsidP="00C0377A">
            <w:pPr>
              <w:jc w:val="center"/>
              <w:rPr>
                <w:b/>
              </w:rPr>
            </w:pPr>
            <w:r>
              <w:rPr>
                <w:b/>
              </w:rPr>
              <w:t>Moisture content of hallway carpeting</w:t>
            </w:r>
          </w:p>
          <w:p w:rsidR="00CB330B" w:rsidRDefault="00CB330B" w:rsidP="00C0377A">
            <w:pPr>
              <w:ind w:firstLine="2"/>
              <w:jc w:val="center"/>
              <w:rPr>
                <w:b/>
              </w:rPr>
            </w:pPr>
            <w:r>
              <w:rPr>
                <w:b/>
              </w:rPr>
              <w:t>(%)</w:t>
            </w:r>
          </w:p>
        </w:tc>
        <w:tc>
          <w:tcPr>
            <w:tcW w:w="1180" w:type="dxa"/>
            <w:shd w:val="clear" w:color="auto" w:fill="auto"/>
            <w:vAlign w:val="bottom"/>
          </w:tcPr>
          <w:p w:rsidR="00CB330B" w:rsidRPr="005239EC" w:rsidRDefault="00CB330B" w:rsidP="00C0377A">
            <w:pPr>
              <w:ind w:firstLine="2"/>
              <w:jc w:val="center"/>
              <w:rPr>
                <w:b/>
              </w:rPr>
            </w:pPr>
            <w:r>
              <w:rPr>
                <w:b/>
              </w:rPr>
              <w:t>Presence of odor</w:t>
            </w:r>
          </w:p>
        </w:tc>
      </w:tr>
      <w:tr w:rsidR="00CB330B" w:rsidTr="00C0377A">
        <w:trPr>
          <w:jc w:val="center"/>
        </w:trPr>
        <w:tc>
          <w:tcPr>
            <w:tcW w:w="1790" w:type="dxa"/>
            <w:shd w:val="clear" w:color="auto" w:fill="auto"/>
            <w:vAlign w:val="center"/>
          </w:tcPr>
          <w:p w:rsidR="00CB330B" w:rsidRDefault="00CB330B" w:rsidP="00C0377A">
            <w:pPr>
              <w:spacing w:before="60" w:after="60"/>
            </w:pPr>
            <w:r>
              <w:t>002</w:t>
            </w:r>
          </w:p>
        </w:tc>
        <w:tc>
          <w:tcPr>
            <w:tcW w:w="1668" w:type="dxa"/>
            <w:shd w:val="clear" w:color="auto" w:fill="auto"/>
            <w:vAlign w:val="center"/>
          </w:tcPr>
          <w:p w:rsidR="00CB330B" w:rsidRDefault="00CB330B" w:rsidP="00C0377A">
            <w:pPr>
              <w:spacing w:before="60" w:after="60"/>
              <w:jc w:val="center"/>
            </w:pPr>
            <w:r>
              <w:t>75</w:t>
            </w:r>
          </w:p>
        </w:tc>
        <w:tc>
          <w:tcPr>
            <w:tcW w:w="1350" w:type="dxa"/>
            <w:shd w:val="clear" w:color="auto" w:fill="auto"/>
            <w:vAlign w:val="center"/>
          </w:tcPr>
          <w:p w:rsidR="00CB330B" w:rsidRDefault="00CB330B" w:rsidP="00C0377A">
            <w:pPr>
              <w:spacing w:before="60" w:after="60"/>
              <w:jc w:val="center"/>
            </w:pPr>
            <w:r>
              <w:t>44</w:t>
            </w:r>
          </w:p>
        </w:tc>
        <w:tc>
          <w:tcPr>
            <w:tcW w:w="1577" w:type="dxa"/>
            <w:shd w:val="clear" w:color="auto" w:fill="auto"/>
            <w:vAlign w:val="center"/>
          </w:tcPr>
          <w:p w:rsidR="00CB330B" w:rsidRDefault="00CB330B" w:rsidP="00C0377A">
            <w:pPr>
              <w:spacing w:before="60" w:after="60"/>
              <w:jc w:val="center"/>
            </w:pPr>
            <w:r>
              <w:t>24</w:t>
            </w:r>
          </w:p>
          <w:p w:rsidR="00CB330B" w:rsidRDefault="00CB330B" w:rsidP="00C0377A">
            <w:pPr>
              <w:spacing w:before="60" w:after="60"/>
              <w:jc w:val="center"/>
            </w:pPr>
            <w:r>
              <w:t>(plaster)</w:t>
            </w:r>
          </w:p>
        </w:tc>
        <w:tc>
          <w:tcPr>
            <w:tcW w:w="1759" w:type="dxa"/>
            <w:shd w:val="clear" w:color="auto" w:fill="auto"/>
            <w:vAlign w:val="center"/>
          </w:tcPr>
          <w:p w:rsidR="00CB330B" w:rsidRDefault="00CB330B" w:rsidP="00C0377A">
            <w:pPr>
              <w:spacing w:before="60" w:after="60"/>
              <w:jc w:val="center"/>
            </w:pPr>
            <w:r>
              <w:t>1</w:t>
            </w:r>
          </w:p>
          <w:p w:rsidR="00CB330B" w:rsidRDefault="00CB330B" w:rsidP="00C0377A">
            <w:pPr>
              <w:spacing w:before="60" w:after="60"/>
              <w:jc w:val="center"/>
            </w:pPr>
            <w:r>
              <w:t>(gypsum wallboard)</w:t>
            </w:r>
          </w:p>
        </w:tc>
        <w:tc>
          <w:tcPr>
            <w:tcW w:w="1621" w:type="dxa"/>
            <w:shd w:val="clear" w:color="auto" w:fill="auto"/>
            <w:vAlign w:val="center"/>
          </w:tcPr>
          <w:p w:rsidR="00CB330B" w:rsidRDefault="00CB330B" w:rsidP="00C0377A">
            <w:pPr>
              <w:spacing w:before="60" w:after="60"/>
              <w:jc w:val="center"/>
            </w:pPr>
            <w:r>
              <w:t>2</w:t>
            </w:r>
          </w:p>
        </w:tc>
        <w:tc>
          <w:tcPr>
            <w:tcW w:w="1621" w:type="dxa"/>
            <w:shd w:val="clear" w:color="auto" w:fill="auto"/>
            <w:vAlign w:val="center"/>
          </w:tcPr>
          <w:p w:rsidR="00CB330B" w:rsidRDefault="00CB330B" w:rsidP="00C0377A">
            <w:pPr>
              <w:spacing w:before="60" w:after="60"/>
              <w:jc w:val="center"/>
            </w:pPr>
            <w:r>
              <w:t>3</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No</w:t>
            </w:r>
          </w:p>
        </w:tc>
      </w:tr>
      <w:tr w:rsidR="00CB330B" w:rsidTr="00C0377A">
        <w:trPr>
          <w:jc w:val="center"/>
        </w:trPr>
        <w:tc>
          <w:tcPr>
            <w:tcW w:w="1790" w:type="dxa"/>
            <w:shd w:val="clear" w:color="auto" w:fill="auto"/>
            <w:vAlign w:val="center"/>
          </w:tcPr>
          <w:p w:rsidR="00CB330B" w:rsidRDefault="00CB330B" w:rsidP="00C0377A">
            <w:pPr>
              <w:spacing w:before="60" w:after="60"/>
            </w:pPr>
            <w:r>
              <w:t>11</w:t>
            </w:r>
          </w:p>
        </w:tc>
        <w:tc>
          <w:tcPr>
            <w:tcW w:w="1668" w:type="dxa"/>
            <w:shd w:val="clear" w:color="auto" w:fill="auto"/>
            <w:vAlign w:val="center"/>
          </w:tcPr>
          <w:p w:rsidR="00CB330B" w:rsidRDefault="00CB330B" w:rsidP="00C0377A">
            <w:pPr>
              <w:spacing w:before="60" w:after="60"/>
              <w:jc w:val="center"/>
            </w:pPr>
            <w:r>
              <w:t>75</w:t>
            </w:r>
          </w:p>
        </w:tc>
        <w:tc>
          <w:tcPr>
            <w:tcW w:w="1350" w:type="dxa"/>
            <w:shd w:val="clear" w:color="auto" w:fill="auto"/>
            <w:vAlign w:val="center"/>
          </w:tcPr>
          <w:p w:rsidR="00CB330B" w:rsidRDefault="00CB330B" w:rsidP="00C0377A">
            <w:pPr>
              <w:spacing w:before="60" w:after="60"/>
              <w:jc w:val="center"/>
            </w:pPr>
            <w:r>
              <w:t>40</w:t>
            </w:r>
          </w:p>
        </w:tc>
        <w:tc>
          <w:tcPr>
            <w:tcW w:w="1577" w:type="dxa"/>
            <w:shd w:val="clear" w:color="auto" w:fill="auto"/>
            <w:vAlign w:val="center"/>
          </w:tcPr>
          <w:p w:rsidR="00CB330B" w:rsidRDefault="00CB330B" w:rsidP="00C0377A">
            <w:pPr>
              <w:spacing w:before="60" w:after="60"/>
              <w:jc w:val="center"/>
            </w:pPr>
            <w:r>
              <w:t>1-2</w:t>
            </w:r>
          </w:p>
          <w:p w:rsidR="00CB330B" w:rsidRDefault="00CB330B" w:rsidP="00C0377A">
            <w:pPr>
              <w:spacing w:before="60" w:after="60"/>
              <w:jc w:val="center"/>
            </w:pPr>
            <w:r>
              <w:t>(gypsum wall</w:t>
            </w:r>
            <w:r w:rsidRPr="00330866">
              <w:t>board)</w:t>
            </w:r>
          </w:p>
        </w:tc>
        <w:tc>
          <w:tcPr>
            <w:tcW w:w="1759" w:type="dxa"/>
            <w:shd w:val="clear" w:color="auto" w:fill="auto"/>
            <w:vAlign w:val="center"/>
          </w:tcPr>
          <w:p w:rsidR="00CB330B" w:rsidRDefault="00CB330B" w:rsidP="00C0377A">
            <w:pPr>
              <w:spacing w:before="60" w:after="60"/>
              <w:jc w:val="center"/>
            </w:pPr>
            <w:r>
              <w:t>0-4</w:t>
            </w:r>
          </w:p>
          <w:p w:rsidR="00CB330B" w:rsidRDefault="00CB330B" w:rsidP="00C0377A">
            <w:pPr>
              <w:spacing w:before="60" w:after="60"/>
              <w:jc w:val="center"/>
            </w:pPr>
            <w:r>
              <w:t>(gypsum wall</w:t>
            </w:r>
            <w:r w:rsidRPr="00330866">
              <w:t>board)</w:t>
            </w:r>
          </w:p>
        </w:tc>
        <w:tc>
          <w:tcPr>
            <w:tcW w:w="1621" w:type="dxa"/>
            <w:shd w:val="clear" w:color="auto" w:fill="auto"/>
            <w:vAlign w:val="center"/>
          </w:tcPr>
          <w:p w:rsidR="00CB330B" w:rsidRDefault="00CB330B" w:rsidP="00C0377A">
            <w:pPr>
              <w:spacing w:before="60" w:after="60"/>
              <w:jc w:val="center"/>
            </w:pPr>
            <w:r>
              <w:t>3</w:t>
            </w:r>
          </w:p>
        </w:tc>
        <w:tc>
          <w:tcPr>
            <w:tcW w:w="1621" w:type="dxa"/>
            <w:shd w:val="clear" w:color="auto" w:fill="auto"/>
            <w:vAlign w:val="center"/>
          </w:tcPr>
          <w:p w:rsidR="00CB330B" w:rsidRDefault="00CB330B" w:rsidP="00C0377A">
            <w:pPr>
              <w:spacing w:before="60" w:after="60"/>
              <w:jc w:val="center"/>
            </w:pPr>
            <w:r>
              <w:t>3</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No</w:t>
            </w:r>
          </w:p>
        </w:tc>
      </w:tr>
      <w:tr w:rsidR="00CB330B" w:rsidTr="00C0377A">
        <w:trPr>
          <w:jc w:val="center"/>
        </w:trPr>
        <w:tc>
          <w:tcPr>
            <w:tcW w:w="1790" w:type="dxa"/>
            <w:shd w:val="clear" w:color="auto" w:fill="auto"/>
            <w:vAlign w:val="center"/>
          </w:tcPr>
          <w:p w:rsidR="00CB330B" w:rsidRDefault="00CB330B" w:rsidP="00C0377A">
            <w:pPr>
              <w:spacing w:before="60" w:after="60"/>
            </w:pPr>
            <w:r>
              <w:t>46</w:t>
            </w:r>
          </w:p>
        </w:tc>
        <w:tc>
          <w:tcPr>
            <w:tcW w:w="1668" w:type="dxa"/>
            <w:shd w:val="clear" w:color="auto" w:fill="auto"/>
            <w:vAlign w:val="center"/>
          </w:tcPr>
          <w:p w:rsidR="00CB330B" w:rsidRDefault="00CB330B" w:rsidP="00C0377A">
            <w:pPr>
              <w:spacing w:before="60" w:after="60"/>
              <w:jc w:val="center"/>
            </w:pPr>
            <w:r>
              <w:t>74</w:t>
            </w:r>
          </w:p>
        </w:tc>
        <w:tc>
          <w:tcPr>
            <w:tcW w:w="1350" w:type="dxa"/>
            <w:shd w:val="clear" w:color="auto" w:fill="auto"/>
            <w:vAlign w:val="center"/>
          </w:tcPr>
          <w:p w:rsidR="00CB330B" w:rsidRDefault="00CB330B" w:rsidP="00C0377A">
            <w:pPr>
              <w:spacing w:before="60" w:after="60"/>
              <w:jc w:val="center"/>
            </w:pPr>
            <w:r>
              <w:t>50</w:t>
            </w:r>
          </w:p>
        </w:tc>
        <w:tc>
          <w:tcPr>
            <w:tcW w:w="1577" w:type="dxa"/>
            <w:shd w:val="clear" w:color="auto" w:fill="auto"/>
            <w:vAlign w:val="center"/>
          </w:tcPr>
          <w:p w:rsidR="00CB330B" w:rsidRDefault="00CB330B" w:rsidP="00C0377A">
            <w:pPr>
              <w:spacing w:before="60" w:after="60"/>
              <w:jc w:val="center"/>
            </w:pPr>
            <w:r>
              <w:t>0</w:t>
            </w:r>
          </w:p>
          <w:p w:rsidR="00CB330B" w:rsidRDefault="00CB330B" w:rsidP="00C0377A">
            <w:pPr>
              <w:spacing w:before="60" w:after="60"/>
              <w:jc w:val="center"/>
            </w:pPr>
            <w:r w:rsidRPr="00053B31">
              <w:t>(gypsum wallboard)</w:t>
            </w:r>
          </w:p>
        </w:tc>
        <w:tc>
          <w:tcPr>
            <w:tcW w:w="1759" w:type="dxa"/>
            <w:shd w:val="clear" w:color="auto" w:fill="auto"/>
            <w:vAlign w:val="center"/>
          </w:tcPr>
          <w:p w:rsidR="00CB330B" w:rsidRDefault="00CB330B" w:rsidP="00C0377A">
            <w:pPr>
              <w:spacing w:before="60" w:after="60"/>
              <w:jc w:val="center"/>
            </w:pPr>
            <w:r>
              <w:t>0</w:t>
            </w:r>
          </w:p>
          <w:p w:rsidR="00CB330B" w:rsidRDefault="00CB330B" w:rsidP="00C0377A">
            <w:pPr>
              <w:spacing w:before="60" w:after="60"/>
              <w:jc w:val="center"/>
            </w:pPr>
            <w:r w:rsidRPr="00053B31">
              <w:t>(gypsum wallboard)</w:t>
            </w:r>
          </w:p>
        </w:tc>
        <w:tc>
          <w:tcPr>
            <w:tcW w:w="1621" w:type="dxa"/>
            <w:shd w:val="clear" w:color="auto" w:fill="auto"/>
            <w:vAlign w:val="center"/>
          </w:tcPr>
          <w:p w:rsidR="00CB330B" w:rsidRDefault="00CB330B" w:rsidP="00C0377A">
            <w:pPr>
              <w:spacing w:before="60" w:after="60"/>
              <w:jc w:val="center"/>
            </w:pPr>
            <w:r>
              <w:t>13</w:t>
            </w:r>
          </w:p>
        </w:tc>
        <w:tc>
          <w:tcPr>
            <w:tcW w:w="1621" w:type="dxa"/>
            <w:shd w:val="clear" w:color="auto" w:fill="auto"/>
            <w:vAlign w:val="center"/>
          </w:tcPr>
          <w:p w:rsidR="00CB330B" w:rsidRDefault="00CB330B" w:rsidP="00C0377A">
            <w:pPr>
              <w:spacing w:before="60" w:after="60"/>
              <w:jc w:val="center"/>
            </w:pPr>
            <w:r>
              <w:t>16</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Yes</w:t>
            </w:r>
          </w:p>
        </w:tc>
      </w:tr>
      <w:tr w:rsidR="00CB330B" w:rsidTr="00C0377A">
        <w:trPr>
          <w:jc w:val="center"/>
        </w:trPr>
        <w:tc>
          <w:tcPr>
            <w:tcW w:w="1790" w:type="dxa"/>
            <w:shd w:val="clear" w:color="auto" w:fill="auto"/>
            <w:vAlign w:val="center"/>
          </w:tcPr>
          <w:p w:rsidR="00CB330B" w:rsidRDefault="00CB330B" w:rsidP="00C0377A">
            <w:pPr>
              <w:spacing w:before="60" w:after="60"/>
            </w:pPr>
            <w:r>
              <w:t>Hallway outside 54</w:t>
            </w:r>
          </w:p>
        </w:tc>
        <w:tc>
          <w:tcPr>
            <w:tcW w:w="1668" w:type="dxa"/>
            <w:shd w:val="clear" w:color="auto" w:fill="auto"/>
            <w:vAlign w:val="center"/>
          </w:tcPr>
          <w:p w:rsidR="00CB330B" w:rsidRDefault="00CB330B" w:rsidP="00C0377A">
            <w:pPr>
              <w:spacing w:before="60" w:after="60"/>
              <w:jc w:val="center"/>
            </w:pPr>
            <w:r>
              <w:t>74</w:t>
            </w:r>
          </w:p>
        </w:tc>
        <w:tc>
          <w:tcPr>
            <w:tcW w:w="1350" w:type="dxa"/>
            <w:shd w:val="clear" w:color="auto" w:fill="auto"/>
            <w:vAlign w:val="center"/>
          </w:tcPr>
          <w:p w:rsidR="00CB330B" w:rsidRDefault="00CB330B" w:rsidP="00C0377A">
            <w:pPr>
              <w:spacing w:before="60" w:after="60"/>
              <w:jc w:val="center"/>
            </w:pPr>
            <w:r>
              <w:t>51</w:t>
            </w:r>
          </w:p>
        </w:tc>
        <w:tc>
          <w:tcPr>
            <w:tcW w:w="1577" w:type="dxa"/>
            <w:shd w:val="clear" w:color="auto" w:fill="auto"/>
            <w:vAlign w:val="center"/>
          </w:tcPr>
          <w:p w:rsidR="00CB330B" w:rsidRDefault="00CB330B" w:rsidP="00C0377A">
            <w:pPr>
              <w:spacing w:before="60" w:after="60"/>
              <w:jc w:val="center"/>
            </w:pPr>
            <w:r>
              <w:t>-</w:t>
            </w:r>
          </w:p>
        </w:tc>
        <w:tc>
          <w:tcPr>
            <w:tcW w:w="1759" w:type="dxa"/>
            <w:shd w:val="clear" w:color="auto" w:fill="auto"/>
            <w:vAlign w:val="center"/>
          </w:tcPr>
          <w:p w:rsidR="00CB330B" w:rsidRDefault="00CB330B" w:rsidP="00C0377A">
            <w:pPr>
              <w:spacing w:before="60" w:after="60"/>
              <w:jc w:val="center"/>
            </w:pPr>
            <w:r>
              <w:t>8-15</w:t>
            </w:r>
          </w:p>
          <w:p w:rsidR="00CB330B" w:rsidRDefault="00CB330B" w:rsidP="00C0377A">
            <w:pPr>
              <w:spacing w:before="60" w:after="60"/>
              <w:jc w:val="center"/>
            </w:pPr>
            <w:r>
              <w:t>(plaster)</w:t>
            </w:r>
          </w:p>
        </w:tc>
        <w:tc>
          <w:tcPr>
            <w:tcW w:w="1621" w:type="dxa"/>
            <w:shd w:val="clear" w:color="auto" w:fill="auto"/>
            <w:vAlign w:val="center"/>
          </w:tcPr>
          <w:p w:rsidR="00CB330B" w:rsidRDefault="00CB330B" w:rsidP="00C0377A">
            <w:pPr>
              <w:spacing w:before="60" w:after="60"/>
              <w:jc w:val="center"/>
            </w:pPr>
            <w:r>
              <w:t>-</w:t>
            </w:r>
          </w:p>
        </w:tc>
        <w:tc>
          <w:tcPr>
            <w:tcW w:w="1621" w:type="dxa"/>
            <w:shd w:val="clear" w:color="auto" w:fill="auto"/>
            <w:vAlign w:val="center"/>
          </w:tcPr>
          <w:p w:rsidR="00CB330B" w:rsidRDefault="00CB330B" w:rsidP="00C0377A">
            <w:pPr>
              <w:spacing w:before="60" w:after="60"/>
              <w:jc w:val="center"/>
            </w:pPr>
            <w:r>
              <w:t>-</w:t>
            </w:r>
          </w:p>
        </w:tc>
        <w:tc>
          <w:tcPr>
            <w:tcW w:w="2020" w:type="dxa"/>
            <w:vAlign w:val="center"/>
          </w:tcPr>
          <w:p w:rsidR="00CB330B" w:rsidRDefault="00CB330B" w:rsidP="00C0377A">
            <w:pPr>
              <w:spacing w:before="60" w:after="60"/>
              <w:jc w:val="center"/>
            </w:pPr>
            <w:r>
              <w:t>28</w:t>
            </w:r>
          </w:p>
        </w:tc>
        <w:tc>
          <w:tcPr>
            <w:tcW w:w="1180" w:type="dxa"/>
            <w:shd w:val="clear" w:color="auto" w:fill="auto"/>
            <w:vAlign w:val="center"/>
          </w:tcPr>
          <w:p w:rsidR="00CB330B" w:rsidRDefault="00CB330B" w:rsidP="00C0377A">
            <w:pPr>
              <w:spacing w:before="60" w:after="60"/>
              <w:jc w:val="center"/>
            </w:pPr>
            <w:r>
              <w:t>Yes</w:t>
            </w:r>
          </w:p>
        </w:tc>
      </w:tr>
      <w:tr w:rsidR="00CB330B" w:rsidTr="00C0377A">
        <w:trPr>
          <w:jc w:val="center"/>
        </w:trPr>
        <w:tc>
          <w:tcPr>
            <w:tcW w:w="1790" w:type="dxa"/>
            <w:shd w:val="clear" w:color="auto" w:fill="auto"/>
            <w:vAlign w:val="center"/>
          </w:tcPr>
          <w:p w:rsidR="00CB330B" w:rsidRDefault="00CB330B" w:rsidP="00C0377A">
            <w:pPr>
              <w:spacing w:before="60" w:after="60"/>
            </w:pPr>
            <w:r>
              <w:t>56</w:t>
            </w:r>
          </w:p>
        </w:tc>
        <w:tc>
          <w:tcPr>
            <w:tcW w:w="1668" w:type="dxa"/>
            <w:shd w:val="clear" w:color="auto" w:fill="auto"/>
            <w:vAlign w:val="center"/>
          </w:tcPr>
          <w:p w:rsidR="00CB330B" w:rsidRDefault="00CB330B" w:rsidP="00C0377A">
            <w:pPr>
              <w:spacing w:before="60" w:after="60"/>
              <w:jc w:val="center"/>
            </w:pPr>
            <w:r>
              <w:t>74</w:t>
            </w:r>
          </w:p>
        </w:tc>
        <w:tc>
          <w:tcPr>
            <w:tcW w:w="1350" w:type="dxa"/>
            <w:shd w:val="clear" w:color="auto" w:fill="auto"/>
            <w:vAlign w:val="center"/>
          </w:tcPr>
          <w:p w:rsidR="00CB330B" w:rsidRDefault="00CB330B" w:rsidP="00C0377A">
            <w:pPr>
              <w:spacing w:before="60" w:after="60"/>
              <w:jc w:val="center"/>
            </w:pPr>
            <w:r>
              <w:t>52</w:t>
            </w:r>
          </w:p>
        </w:tc>
        <w:tc>
          <w:tcPr>
            <w:tcW w:w="1577" w:type="dxa"/>
            <w:shd w:val="clear" w:color="auto" w:fill="auto"/>
            <w:vAlign w:val="center"/>
          </w:tcPr>
          <w:p w:rsidR="00CB330B" w:rsidRDefault="00CB330B" w:rsidP="00C0377A">
            <w:pPr>
              <w:spacing w:before="60" w:after="60"/>
              <w:jc w:val="center"/>
            </w:pPr>
            <w:r>
              <w:t>0</w:t>
            </w:r>
          </w:p>
        </w:tc>
        <w:tc>
          <w:tcPr>
            <w:tcW w:w="1759" w:type="dxa"/>
            <w:shd w:val="clear" w:color="auto" w:fill="auto"/>
            <w:vAlign w:val="center"/>
          </w:tcPr>
          <w:p w:rsidR="00CB330B" w:rsidRDefault="00CB330B" w:rsidP="00C0377A">
            <w:pPr>
              <w:spacing w:before="60" w:after="60"/>
              <w:jc w:val="center"/>
            </w:pPr>
            <w:r>
              <w:t>0-8</w:t>
            </w:r>
          </w:p>
        </w:tc>
        <w:tc>
          <w:tcPr>
            <w:tcW w:w="1621" w:type="dxa"/>
            <w:shd w:val="clear" w:color="auto" w:fill="auto"/>
            <w:vAlign w:val="center"/>
          </w:tcPr>
          <w:p w:rsidR="00CB330B" w:rsidRDefault="00CB330B" w:rsidP="00C0377A">
            <w:pPr>
              <w:spacing w:before="60" w:after="60"/>
              <w:jc w:val="center"/>
            </w:pPr>
            <w:r>
              <w:t>26</w:t>
            </w:r>
          </w:p>
        </w:tc>
        <w:tc>
          <w:tcPr>
            <w:tcW w:w="1621" w:type="dxa"/>
            <w:shd w:val="clear" w:color="auto" w:fill="auto"/>
            <w:vAlign w:val="center"/>
          </w:tcPr>
          <w:p w:rsidR="00CB330B" w:rsidRDefault="00CB330B" w:rsidP="00C0377A">
            <w:pPr>
              <w:spacing w:before="60" w:after="60"/>
              <w:jc w:val="center"/>
            </w:pPr>
            <w:r>
              <w:t>15</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Yes</w:t>
            </w:r>
          </w:p>
        </w:tc>
      </w:tr>
      <w:tr w:rsidR="00CB330B" w:rsidTr="00C0377A">
        <w:trPr>
          <w:jc w:val="center"/>
        </w:trPr>
        <w:tc>
          <w:tcPr>
            <w:tcW w:w="1790" w:type="dxa"/>
            <w:shd w:val="clear" w:color="auto" w:fill="auto"/>
            <w:vAlign w:val="center"/>
          </w:tcPr>
          <w:p w:rsidR="00CB330B" w:rsidRDefault="00CB330B" w:rsidP="00C0377A">
            <w:pPr>
              <w:spacing w:before="60" w:after="60"/>
            </w:pPr>
            <w:r>
              <w:t>Hallway outside 58</w:t>
            </w:r>
          </w:p>
        </w:tc>
        <w:tc>
          <w:tcPr>
            <w:tcW w:w="1668" w:type="dxa"/>
            <w:shd w:val="clear" w:color="auto" w:fill="auto"/>
            <w:vAlign w:val="center"/>
          </w:tcPr>
          <w:p w:rsidR="00CB330B" w:rsidRDefault="00CB330B" w:rsidP="00C0377A">
            <w:pPr>
              <w:spacing w:before="60" w:after="60"/>
              <w:jc w:val="center"/>
            </w:pPr>
            <w:r>
              <w:t>73</w:t>
            </w:r>
          </w:p>
        </w:tc>
        <w:tc>
          <w:tcPr>
            <w:tcW w:w="1350" w:type="dxa"/>
            <w:shd w:val="clear" w:color="auto" w:fill="auto"/>
            <w:vAlign w:val="center"/>
          </w:tcPr>
          <w:p w:rsidR="00CB330B" w:rsidRDefault="00CB330B" w:rsidP="00C0377A">
            <w:pPr>
              <w:spacing w:before="60" w:after="60"/>
              <w:jc w:val="center"/>
            </w:pPr>
            <w:r>
              <w:t>53</w:t>
            </w:r>
          </w:p>
        </w:tc>
        <w:tc>
          <w:tcPr>
            <w:tcW w:w="1577" w:type="dxa"/>
            <w:shd w:val="clear" w:color="auto" w:fill="auto"/>
            <w:vAlign w:val="center"/>
          </w:tcPr>
          <w:p w:rsidR="00CB330B" w:rsidRDefault="00CB330B" w:rsidP="00C0377A">
            <w:pPr>
              <w:spacing w:before="60" w:after="60"/>
              <w:jc w:val="center"/>
            </w:pPr>
            <w:r>
              <w:t>0-4</w:t>
            </w:r>
          </w:p>
          <w:p w:rsidR="00CB330B" w:rsidRDefault="00CB330B" w:rsidP="00C0377A">
            <w:pPr>
              <w:spacing w:before="60" w:after="60"/>
              <w:jc w:val="center"/>
            </w:pPr>
            <w:r>
              <w:t>(gypsum wall</w:t>
            </w:r>
            <w:r w:rsidRPr="00053B31">
              <w:t>board)</w:t>
            </w:r>
          </w:p>
        </w:tc>
        <w:tc>
          <w:tcPr>
            <w:tcW w:w="1759" w:type="dxa"/>
            <w:shd w:val="clear" w:color="auto" w:fill="auto"/>
            <w:vAlign w:val="center"/>
          </w:tcPr>
          <w:p w:rsidR="00CB330B" w:rsidRDefault="00CB330B" w:rsidP="00C0377A">
            <w:pPr>
              <w:spacing w:before="60" w:after="60"/>
              <w:jc w:val="center"/>
            </w:pPr>
            <w:r>
              <w:t>29</w:t>
            </w:r>
          </w:p>
          <w:p w:rsidR="00CB330B" w:rsidRDefault="00CB330B" w:rsidP="00C0377A">
            <w:pPr>
              <w:spacing w:before="60" w:after="60"/>
              <w:jc w:val="center"/>
            </w:pPr>
            <w:r>
              <w:t>(plaster)</w:t>
            </w:r>
          </w:p>
        </w:tc>
        <w:tc>
          <w:tcPr>
            <w:tcW w:w="1621" w:type="dxa"/>
            <w:shd w:val="clear" w:color="auto" w:fill="auto"/>
            <w:vAlign w:val="center"/>
          </w:tcPr>
          <w:p w:rsidR="00CB330B" w:rsidRDefault="00CB330B" w:rsidP="00C0377A">
            <w:pPr>
              <w:spacing w:before="60" w:after="60"/>
              <w:jc w:val="center"/>
            </w:pPr>
            <w:r>
              <w:t>13</w:t>
            </w:r>
          </w:p>
        </w:tc>
        <w:tc>
          <w:tcPr>
            <w:tcW w:w="1621" w:type="dxa"/>
            <w:shd w:val="clear" w:color="auto" w:fill="auto"/>
            <w:vAlign w:val="center"/>
          </w:tcPr>
          <w:p w:rsidR="00CB330B" w:rsidRDefault="00CB330B" w:rsidP="00C0377A">
            <w:pPr>
              <w:spacing w:before="60" w:after="60"/>
              <w:jc w:val="center"/>
            </w:pPr>
            <w:r>
              <w:t>14</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Yes</w:t>
            </w:r>
          </w:p>
        </w:tc>
      </w:tr>
      <w:tr w:rsidR="00CB330B" w:rsidTr="00C0377A">
        <w:trPr>
          <w:jc w:val="center"/>
        </w:trPr>
        <w:tc>
          <w:tcPr>
            <w:tcW w:w="1790" w:type="dxa"/>
            <w:shd w:val="clear" w:color="auto" w:fill="auto"/>
            <w:vAlign w:val="center"/>
          </w:tcPr>
          <w:p w:rsidR="00CB330B" w:rsidRDefault="00CB330B" w:rsidP="00C0377A">
            <w:pPr>
              <w:spacing w:before="60" w:after="60"/>
            </w:pPr>
            <w:r>
              <w:t>Space between AC closet and restroom</w:t>
            </w:r>
          </w:p>
        </w:tc>
        <w:tc>
          <w:tcPr>
            <w:tcW w:w="1668" w:type="dxa"/>
            <w:shd w:val="clear" w:color="auto" w:fill="auto"/>
            <w:vAlign w:val="center"/>
          </w:tcPr>
          <w:p w:rsidR="00CB330B" w:rsidRDefault="00CB330B" w:rsidP="00C0377A">
            <w:pPr>
              <w:spacing w:before="60" w:after="60"/>
              <w:jc w:val="center"/>
            </w:pPr>
            <w:r>
              <w:t>73</w:t>
            </w:r>
          </w:p>
        </w:tc>
        <w:tc>
          <w:tcPr>
            <w:tcW w:w="1350" w:type="dxa"/>
            <w:shd w:val="clear" w:color="auto" w:fill="auto"/>
            <w:vAlign w:val="center"/>
          </w:tcPr>
          <w:p w:rsidR="00CB330B" w:rsidRDefault="00CB330B" w:rsidP="00C0377A">
            <w:pPr>
              <w:spacing w:before="60" w:after="60"/>
              <w:jc w:val="center"/>
            </w:pPr>
            <w:r>
              <w:t>54</w:t>
            </w:r>
          </w:p>
        </w:tc>
        <w:tc>
          <w:tcPr>
            <w:tcW w:w="1577" w:type="dxa"/>
            <w:shd w:val="clear" w:color="auto" w:fill="auto"/>
            <w:vAlign w:val="center"/>
          </w:tcPr>
          <w:p w:rsidR="00CB330B" w:rsidRDefault="00CB330B" w:rsidP="00C0377A">
            <w:pPr>
              <w:spacing w:before="60" w:after="60"/>
              <w:jc w:val="center"/>
            </w:pPr>
            <w:r>
              <w:t>10</w:t>
            </w:r>
          </w:p>
          <w:p w:rsidR="00CB330B" w:rsidRDefault="00CB330B" w:rsidP="00C0377A">
            <w:pPr>
              <w:spacing w:before="60" w:after="60"/>
              <w:jc w:val="center"/>
            </w:pPr>
            <w:r w:rsidRPr="00053B31">
              <w:t>(gypsum wallboard)</w:t>
            </w:r>
          </w:p>
        </w:tc>
        <w:tc>
          <w:tcPr>
            <w:tcW w:w="1759" w:type="dxa"/>
            <w:shd w:val="clear" w:color="auto" w:fill="auto"/>
            <w:vAlign w:val="center"/>
          </w:tcPr>
          <w:p w:rsidR="00CB330B" w:rsidRDefault="00CB330B" w:rsidP="00C0377A">
            <w:pPr>
              <w:spacing w:before="60" w:after="60"/>
              <w:jc w:val="center"/>
            </w:pPr>
            <w:r>
              <w:t>10-28</w:t>
            </w:r>
          </w:p>
          <w:p w:rsidR="00CB330B" w:rsidRDefault="00CB330B" w:rsidP="00C0377A">
            <w:pPr>
              <w:spacing w:before="60" w:after="60"/>
              <w:jc w:val="center"/>
            </w:pPr>
            <w:r w:rsidRPr="00053B31">
              <w:t>(gypsum wallboard)</w:t>
            </w:r>
          </w:p>
        </w:tc>
        <w:tc>
          <w:tcPr>
            <w:tcW w:w="1621" w:type="dxa"/>
            <w:shd w:val="clear" w:color="auto" w:fill="auto"/>
            <w:vAlign w:val="center"/>
          </w:tcPr>
          <w:p w:rsidR="00CB330B" w:rsidRDefault="00CB330B" w:rsidP="00C0377A">
            <w:pPr>
              <w:spacing w:before="60" w:after="60"/>
              <w:jc w:val="center"/>
            </w:pPr>
            <w:r>
              <w:t>10</w:t>
            </w:r>
          </w:p>
        </w:tc>
        <w:tc>
          <w:tcPr>
            <w:tcW w:w="1621" w:type="dxa"/>
            <w:shd w:val="clear" w:color="auto" w:fill="auto"/>
            <w:vAlign w:val="center"/>
          </w:tcPr>
          <w:p w:rsidR="00CB330B" w:rsidRDefault="00CB330B" w:rsidP="00C0377A">
            <w:pPr>
              <w:spacing w:before="60" w:after="60"/>
              <w:jc w:val="center"/>
            </w:pPr>
            <w:r>
              <w:t>14</w:t>
            </w:r>
          </w:p>
        </w:tc>
        <w:tc>
          <w:tcPr>
            <w:tcW w:w="2020" w:type="dxa"/>
            <w:vAlign w:val="center"/>
          </w:tcPr>
          <w:p w:rsidR="00CB330B" w:rsidRDefault="00CB330B" w:rsidP="00C0377A">
            <w:pPr>
              <w:spacing w:before="60" w:after="60"/>
              <w:jc w:val="center"/>
            </w:pPr>
          </w:p>
        </w:tc>
        <w:tc>
          <w:tcPr>
            <w:tcW w:w="1180" w:type="dxa"/>
            <w:shd w:val="clear" w:color="auto" w:fill="auto"/>
            <w:vAlign w:val="center"/>
          </w:tcPr>
          <w:p w:rsidR="00CB330B" w:rsidRDefault="00CB330B" w:rsidP="00C0377A">
            <w:pPr>
              <w:spacing w:before="60" w:after="60"/>
              <w:jc w:val="center"/>
            </w:pPr>
            <w:r>
              <w:t>Yes</w:t>
            </w:r>
          </w:p>
        </w:tc>
      </w:tr>
    </w:tbl>
    <w:p w:rsidR="007727E3" w:rsidRDefault="007727E3" w:rsidP="00E766CA">
      <w:pPr>
        <w:spacing w:after="240"/>
      </w:pPr>
    </w:p>
    <w:sectPr w:rsidR="007727E3" w:rsidSect="00CB330B">
      <w:headerReference w:type="default" r:id="rId19"/>
      <w:footerReference w:type="default" r:id="rId20"/>
      <w:headerReference w:type="first" r:id="rId21"/>
      <w:footerReference w:type="first" r:id="rId22"/>
      <w:pgSz w:w="15840" w:h="12240" w:orient="landscape" w:code="1"/>
      <w:pgMar w:top="1800" w:right="1440" w:bottom="180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787" w:rsidRDefault="00617787">
      <w:r>
        <w:separator/>
      </w:r>
    </w:p>
  </w:endnote>
  <w:endnote w:type="continuationSeparator" w:id="0">
    <w:p w:rsidR="00617787" w:rsidRDefault="006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2E" w:rsidRDefault="00A4712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712E" w:rsidRDefault="00A47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2E" w:rsidRDefault="00A4712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7001">
      <w:rPr>
        <w:rStyle w:val="PageNumber"/>
        <w:noProof/>
      </w:rPr>
      <w:t>2</w:t>
    </w:r>
    <w:r>
      <w:rPr>
        <w:rStyle w:val="PageNumber"/>
      </w:rPr>
      <w:fldChar w:fldCharType="end"/>
    </w:r>
  </w:p>
  <w:p w:rsidR="00A4712E" w:rsidRDefault="00A47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0B" w:rsidRDefault="00CB33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A1" w:rsidRDefault="00CB330B" w:rsidP="00425EF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F84" w:rsidRDefault="00CB330B" w:rsidP="003F7F8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00"/>
      <w:gridCol w:w="1368"/>
    </w:tblGrid>
    <w:tr w:rsidR="003F7F84" w:rsidRPr="003F7F84" w:rsidTr="003F7F84">
      <w:tc>
        <w:tcPr>
          <w:tcW w:w="3600" w:type="dxa"/>
        </w:tcPr>
        <w:p w:rsidR="003F7F84" w:rsidRPr="003F7F84" w:rsidRDefault="00CB330B" w:rsidP="003F7F84">
          <w:pPr>
            <w:rPr>
              <w:sz w:val="20"/>
            </w:rPr>
          </w:pPr>
          <w:r w:rsidRPr="003F7F84">
            <w:rPr>
              <w:sz w:val="20"/>
            </w:rPr>
            <w:t>Temperature:</w:t>
          </w:r>
        </w:p>
      </w:tc>
      <w:tc>
        <w:tcPr>
          <w:tcW w:w="1368" w:type="dxa"/>
        </w:tcPr>
        <w:p w:rsidR="003F7F84" w:rsidRPr="003F7F84" w:rsidRDefault="00CB330B" w:rsidP="003F7F84">
          <w:pPr>
            <w:rPr>
              <w:sz w:val="20"/>
            </w:rPr>
          </w:pPr>
          <w:r w:rsidRPr="003F7F84">
            <w:rPr>
              <w:sz w:val="20"/>
            </w:rPr>
            <w:t>70 - 78 °F</w:t>
          </w:r>
        </w:p>
      </w:tc>
    </w:tr>
    <w:tr w:rsidR="003F7F84" w:rsidRPr="003F7F84" w:rsidTr="003F7F84">
      <w:tc>
        <w:tcPr>
          <w:tcW w:w="3600" w:type="dxa"/>
        </w:tcPr>
        <w:p w:rsidR="003F7F84" w:rsidRPr="003F7F84" w:rsidRDefault="00CB330B" w:rsidP="003F7F84">
          <w:pPr>
            <w:rPr>
              <w:sz w:val="20"/>
            </w:rPr>
          </w:pPr>
          <w:r w:rsidRPr="003F7F84">
            <w:rPr>
              <w:sz w:val="20"/>
            </w:rPr>
            <w:t>Relative Humidity:</w:t>
          </w:r>
        </w:p>
      </w:tc>
      <w:tc>
        <w:tcPr>
          <w:tcW w:w="1368" w:type="dxa"/>
        </w:tcPr>
        <w:p w:rsidR="003F7F84" w:rsidRPr="003F7F84" w:rsidRDefault="00CB330B" w:rsidP="003F7F84">
          <w:pPr>
            <w:rPr>
              <w:sz w:val="20"/>
            </w:rPr>
          </w:pPr>
          <w:r w:rsidRPr="003F7F84">
            <w:rPr>
              <w:sz w:val="20"/>
            </w:rPr>
            <w:t>40 - 60%</w:t>
          </w:r>
        </w:p>
      </w:tc>
    </w:tr>
  </w:tbl>
  <w:p w:rsidR="00DA04A1" w:rsidRDefault="00CB330B" w:rsidP="00425EF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64700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787" w:rsidRDefault="00617787">
      <w:r>
        <w:separator/>
      </w:r>
    </w:p>
  </w:footnote>
  <w:footnote w:type="continuationSeparator" w:id="0">
    <w:p w:rsidR="00617787" w:rsidRDefault="0061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0B" w:rsidRDefault="00CB3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0B" w:rsidRDefault="00CB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0B" w:rsidRDefault="00CB33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961"/>
      <w:gridCol w:w="3600"/>
      <w:gridCol w:w="1980"/>
      <w:gridCol w:w="3261"/>
    </w:tblGrid>
    <w:tr w:rsidR="00AF57DD" w:rsidTr="00B34AC5">
      <w:trPr>
        <w:cantSplit/>
        <w:jc w:val="center"/>
      </w:trPr>
      <w:tc>
        <w:tcPr>
          <w:tcW w:w="11541" w:type="dxa"/>
          <w:gridSpan w:val="3"/>
        </w:tcPr>
        <w:p w:rsidR="00AF57DD" w:rsidRPr="00677AC6" w:rsidRDefault="00CB330B" w:rsidP="00B34AC5">
          <w:pPr>
            <w:pStyle w:val="Header"/>
            <w:spacing w:before="60" w:after="60"/>
            <w:rPr>
              <w:b/>
            </w:rPr>
          </w:pPr>
          <w:r>
            <w:rPr>
              <w:b/>
            </w:rPr>
            <w:t xml:space="preserve">Location: DEP Central Regional Offices </w:t>
          </w:r>
        </w:p>
      </w:tc>
      <w:tc>
        <w:tcPr>
          <w:tcW w:w="3261" w:type="dxa"/>
        </w:tcPr>
        <w:p w:rsidR="00AF57DD" w:rsidRDefault="00CB330B" w:rsidP="00B34AC5">
          <w:pPr>
            <w:pStyle w:val="Header"/>
            <w:tabs>
              <w:tab w:val="clear" w:pos="4320"/>
              <w:tab w:val="clear" w:pos="8640"/>
            </w:tabs>
            <w:spacing w:before="60" w:after="60"/>
            <w:rPr>
              <w:b/>
            </w:rPr>
          </w:pPr>
          <w:r>
            <w:rPr>
              <w:b/>
            </w:rPr>
            <w:t>Temperature Readings</w:t>
          </w:r>
        </w:p>
      </w:tc>
    </w:tr>
    <w:tr w:rsidR="00AF57DD" w:rsidTr="00B34AC5">
      <w:trPr>
        <w:cantSplit/>
        <w:trHeight w:val="225"/>
        <w:jc w:val="center"/>
      </w:trPr>
      <w:tc>
        <w:tcPr>
          <w:tcW w:w="5961" w:type="dxa"/>
        </w:tcPr>
        <w:p w:rsidR="00AF57DD" w:rsidRDefault="00CB330B" w:rsidP="00B34AC5">
          <w:pPr>
            <w:rPr>
              <w:b/>
            </w:rPr>
          </w:pPr>
          <w:r w:rsidRPr="007464D2">
            <w:rPr>
              <w:b/>
            </w:rPr>
            <w:t xml:space="preserve">Address: </w:t>
          </w:r>
          <w:r>
            <w:rPr>
              <w:b/>
            </w:rPr>
            <w:t>8 New Bond St., Worcester, MA</w:t>
          </w:r>
        </w:p>
      </w:tc>
      <w:tc>
        <w:tcPr>
          <w:tcW w:w="3600" w:type="dxa"/>
        </w:tcPr>
        <w:p w:rsidR="00AF57DD" w:rsidRDefault="00CB330B" w:rsidP="00B34AC5">
          <w:pPr>
            <w:pStyle w:val="Header"/>
            <w:tabs>
              <w:tab w:val="clear" w:pos="4320"/>
              <w:tab w:val="clear" w:pos="8640"/>
            </w:tabs>
            <w:spacing w:before="60" w:after="60"/>
            <w:jc w:val="center"/>
            <w:rPr>
              <w:b/>
              <w:sz w:val="28"/>
            </w:rPr>
          </w:pPr>
          <w:r>
            <w:rPr>
              <w:b/>
              <w:sz w:val="28"/>
            </w:rPr>
            <w:t>Table 1 (continued)</w:t>
          </w:r>
        </w:p>
      </w:tc>
      <w:tc>
        <w:tcPr>
          <w:tcW w:w="1980" w:type="dxa"/>
        </w:tcPr>
        <w:p w:rsidR="00AF57DD" w:rsidRDefault="00617787" w:rsidP="00B34AC5">
          <w:pPr>
            <w:pStyle w:val="Header"/>
            <w:tabs>
              <w:tab w:val="clear" w:pos="4320"/>
              <w:tab w:val="clear" w:pos="8640"/>
            </w:tabs>
            <w:spacing w:before="60" w:after="60"/>
            <w:rPr>
              <w:b/>
            </w:rPr>
          </w:pPr>
        </w:p>
      </w:tc>
      <w:tc>
        <w:tcPr>
          <w:tcW w:w="3261" w:type="dxa"/>
        </w:tcPr>
        <w:p w:rsidR="00AF57DD" w:rsidRDefault="00CB330B" w:rsidP="00B34AC5">
          <w:pPr>
            <w:pStyle w:val="Header"/>
            <w:tabs>
              <w:tab w:val="clear" w:pos="4320"/>
              <w:tab w:val="clear" w:pos="8640"/>
            </w:tabs>
            <w:spacing w:before="60" w:after="60"/>
            <w:rPr>
              <w:b/>
            </w:rPr>
          </w:pPr>
          <w:r w:rsidRPr="00677AC6">
            <w:rPr>
              <w:b/>
            </w:rPr>
            <w:t>Date:</w:t>
          </w:r>
          <w:r>
            <w:rPr>
              <w:b/>
            </w:rPr>
            <w:t xml:space="preserve"> 12/28/2018</w:t>
          </w:r>
        </w:p>
      </w:tc>
    </w:tr>
  </w:tbl>
  <w:p w:rsidR="00DA04A1" w:rsidRDefault="00617787" w:rsidP="00425EF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961"/>
      <w:gridCol w:w="3600"/>
      <w:gridCol w:w="1980"/>
      <w:gridCol w:w="3261"/>
    </w:tblGrid>
    <w:tr w:rsidR="00DA04A1" w:rsidTr="00AF57DD">
      <w:trPr>
        <w:cantSplit/>
        <w:jc w:val="center"/>
      </w:trPr>
      <w:tc>
        <w:tcPr>
          <w:tcW w:w="11541" w:type="dxa"/>
          <w:gridSpan w:val="3"/>
        </w:tcPr>
        <w:p w:rsidR="00DA04A1" w:rsidRPr="00677AC6" w:rsidRDefault="00CB330B" w:rsidP="003F7F84">
          <w:pPr>
            <w:pStyle w:val="Header"/>
            <w:spacing w:before="60" w:after="60"/>
            <w:rPr>
              <w:b/>
            </w:rPr>
          </w:pPr>
          <w:r>
            <w:rPr>
              <w:b/>
            </w:rPr>
            <w:t>Location: Department of Developmental Services</w:t>
          </w:r>
        </w:p>
      </w:tc>
      <w:tc>
        <w:tcPr>
          <w:tcW w:w="3261" w:type="dxa"/>
        </w:tcPr>
        <w:p w:rsidR="00DA04A1" w:rsidRDefault="00CB330B" w:rsidP="00AF57DD">
          <w:pPr>
            <w:pStyle w:val="Header"/>
            <w:tabs>
              <w:tab w:val="clear" w:pos="4320"/>
              <w:tab w:val="clear" w:pos="8640"/>
            </w:tabs>
            <w:spacing w:before="60" w:after="60"/>
            <w:rPr>
              <w:b/>
            </w:rPr>
          </w:pPr>
          <w:r>
            <w:rPr>
              <w:b/>
            </w:rPr>
            <w:t>Moisture Readings</w:t>
          </w:r>
        </w:p>
      </w:tc>
    </w:tr>
    <w:tr w:rsidR="00DA04A1" w:rsidTr="00AF57DD">
      <w:trPr>
        <w:cantSplit/>
        <w:trHeight w:val="225"/>
        <w:jc w:val="center"/>
      </w:trPr>
      <w:tc>
        <w:tcPr>
          <w:tcW w:w="5961" w:type="dxa"/>
        </w:tcPr>
        <w:p w:rsidR="00DA04A1" w:rsidRDefault="00CB330B" w:rsidP="00053B31">
          <w:pPr>
            <w:rPr>
              <w:b/>
            </w:rPr>
          </w:pPr>
          <w:r w:rsidRPr="007464D2">
            <w:rPr>
              <w:b/>
            </w:rPr>
            <w:t xml:space="preserve">Address: </w:t>
          </w:r>
          <w:r>
            <w:rPr>
              <w:b/>
            </w:rPr>
            <w:t>340 Main Street, Worcester, MA</w:t>
          </w:r>
        </w:p>
      </w:tc>
      <w:tc>
        <w:tcPr>
          <w:tcW w:w="3600" w:type="dxa"/>
        </w:tcPr>
        <w:p w:rsidR="00DA04A1" w:rsidRDefault="00CB330B" w:rsidP="00584D8C">
          <w:pPr>
            <w:pStyle w:val="Header"/>
            <w:tabs>
              <w:tab w:val="clear" w:pos="4320"/>
              <w:tab w:val="clear" w:pos="8640"/>
            </w:tabs>
            <w:spacing w:before="60" w:after="60"/>
            <w:jc w:val="center"/>
            <w:rPr>
              <w:b/>
              <w:sz w:val="28"/>
            </w:rPr>
          </w:pPr>
          <w:r>
            <w:rPr>
              <w:b/>
              <w:sz w:val="28"/>
            </w:rPr>
            <w:t>Table 1</w:t>
          </w:r>
        </w:p>
      </w:tc>
      <w:tc>
        <w:tcPr>
          <w:tcW w:w="1980" w:type="dxa"/>
        </w:tcPr>
        <w:p w:rsidR="00DA04A1" w:rsidRDefault="00617787" w:rsidP="00550B5E">
          <w:pPr>
            <w:pStyle w:val="Header"/>
            <w:tabs>
              <w:tab w:val="clear" w:pos="4320"/>
              <w:tab w:val="clear" w:pos="8640"/>
            </w:tabs>
            <w:spacing w:before="60" w:after="60"/>
            <w:rPr>
              <w:b/>
            </w:rPr>
          </w:pPr>
        </w:p>
      </w:tc>
      <w:tc>
        <w:tcPr>
          <w:tcW w:w="3261" w:type="dxa"/>
        </w:tcPr>
        <w:p w:rsidR="00C04E2B" w:rsidRDefault="00CB330B" w:rsidP="00522414">
          <w:pPr>
            <w:pStyle w:val="Header"/>
            <w:tabs>
              <w:tab w:val="clear" w:pos="4320"/>
              <w:tab w:val="clear" w:pos="8640"/>
            </w:tabs>
            <w:spacing w:before="60" w:after="60"/>
            <w:rPr>
              <w:b/>
            </w:rPr>
          </w:pPr>
          <w:r w:rsidRPr="00677AC6">
            <w:rPr>
              <w:b/>
            </w:rPr>
            <w:t>Date:</w:t>
          </w:r>
          <w:r>
            <w:rPr>
              <w:b/>
            </w:rPr>
            <w:t xml:space="preserve"> 4/19/2019</w:t>
          </w:r>
        </w:p>
      </w:tc>
    </w:tr>
  </w:tbl>
  <w:p w:rsidR="00DA04A1" w:rsidRDefault="0061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7C963FB"/>
    <w:multiLevelType w:val="hybridMultilevel"/>
    <w:tmpl w:val="B274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47C8"/>
    <w:multiLevelType w:val="multilevel"/>
    <w:tmpl w:val="CB4E28B8"/>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C1600B"/>
    <w:multiLevelType w:val="multilevel"/>
    <w:tmpl w:val="1762915E"/>
    <w:numStyleLink w:val="StyleBulletedSymbolsymbolBoldLeft0Hanging0251"/>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22521C"/>
    <w:multiLevelType w:val="hybridMultilevel"/>
    <w:tmpl w:val="84D68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BF1751F"/>
    <w:multiLevelType w:val="multilevel"/>
    <w:tmpl w:val="C99CF634"/>
    <w:numStyleLink w:val="StyleNumbered12pt1"/>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E49E3"/>
    <w:multiLevelType w:val="hybridMultilevel"/>
    <w:tmpl w:val="844A7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15:restartNumberingAfterBreak="0">
    <w:nsid w:val="3DC5691E"/>
    <w:multiLevelType w:val="hybridMultilevel"/>
    <w:tmpl w:val="B344E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D64C6"/>
    <w:multiLevelType w:val="multilevel"/>
    <w:tmpl w:val="1762915E"/>
    <w:numStyleLink w:val="StyleBulletedSymbolsymbolBoldLeft0Hanging0251"/>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E67BEC"/>
    <w:multiLevelType w:val="multilevel"/>
    <w:tmpl w:val="71C4E34C"/>
    <w:numStyleLink w:val="StyleNumberedLeft0Hanging025"/>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539B3021"/>
    <w:multiLevelType w:val="hybridMultilevel"/>
    <w:tmpl w:val="4270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C6D8A"/>
    <w:multiLevelType w:val="multilevel"/>
    <w:tmpl w:val="1762915E"/>
    <w:numStyleLink w:val="StyleBulletedSymbolsymbolBoldLeft0Hanging0251"/>
  </w:abstractNum>
  <w:abstractNum w:abstractNumId="29" w15:restartNumberingAfterBreak="0">
    <w:nsid w:val="68B64B61"/>
    <w:multiLevelType w:val="hybridMultilevel"/>
    <w:tmpl w:val="2CBA3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7"/>
  </w:num>
  <w:num w:numId="2">
    <w:abstractNumId w:val="0"/>
  </w:num>
  <w:num w:numId="3">
    <w:abstractNumId w:val="15"/>
  </w:num>
  <w:num w:numId="4">
    <w:abstractNumId w:val="18"/>
  </w:num>
  <w:num w:numId="5">
    <w:abstractNumId w:val="19"/>
  </w:num>
  <w:num w:numId="6">
    <w:abstractNumId w:val="31"/>
  </w:num>
  <w:num w:numId="7">
    <w:abstractNumId w:val="30"/>
  </w:num>
  <w:num w:numId="8">
    <w:abstractNumId w:val="11"/>
  </w:num>
  <w:num w:numId="9">
    <w:abstractNumId w:val="4"/>
  </w:num>
  <w:num w:numId="10">
    <w:abstractNumId w:val="12"/>
  </w:num>
  <w:num w:numId="11">
    <w:abstractNumId w:val="23"/>
  </w:num>
  <w:num w:numId="12">
    <w:abstractNumId w:val="10"/>
  </w:num>
  <w:num w:numId="13">
    <w:abstractNumId w:val="25"/>
  </w:num>
  <w:num w:numId="14">
    <w:abstractNumId w:val="21"/>
  </w:num>
  <w:num w:numId="15">
    <w:abstractNumId w:val="8"/>
  </w:num>
  <w:num w:numId="16">
    <w:abstractNumId w:val="20"/>
  </w:num>
  <w:num w:numId="17">
    <w:abstractNumId w:val="7"/>
  </w:num>
  <w:num w:numId="18">
    <w:abstractNumId w:val="13"/>
  </w:num>
  <w:num w:numId="19">
    <w:abstractNumId w:val="28"/>
  </w:num>
  <w:num w:numId="20">
    <w:abstractNumId w:val="27"/>
  </w:num>
  <w:num w:numId="21">
    <w:abstractNumId w:val="32"/>
  </w:num>
  <w:num w:numId="22">
    <w:abstractNumId w:val="22"/>
  </w:num>
  <w:num w:numId="23">
    <w:abstractNumId w:val="24"/>
  </w:num>
  <w:num w:numId="24">
    <w:abstractNumId w:val="5"/>
  </w:num>
  <w:num w:numId="25">
    <w:abstractNumId w:val="3"/>
  </w:num>
  <w:num w:numId="26">
    <w:abstractNumId w:val="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num>
  <w:num w:numId="30">
    <w:abstractNumId w:val="16"/>
  </w:num>
  <w:num w:numId="31">
    <w:abstractNumId w:val="2"/>
  </w:num>
  <w:num w:numId="32">
    <w:abstractNumId w:val="14"/>
  </w:num>
  <w:num w:numId="33">
    <w:abstractNumId w:val="1"/>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xsTQ2MTI0MjcxMrdQ0lEKTi0uzszPAykwqgUAnZANwCwAAAA="/>
  </w:docVars>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099"/>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6BE7"/>
    <w:rsid w:val="000371AB"/>
    <w:rsid w:val="00040134"/>
    <w:rsid w:val="0004147F"/>
    <w:rsid w:val="00042E30"/>
    <w:rsid w:val="000430EE"/>
    <w:rsid w:val="00044AAC"/>
    <w:rsid w:val="0004505E"/>
    <w:rsid w:val="00045144"/>
    <w:rsid w:val="0004591A"/>
    <w:rsid w:val="00045DAC"/>
    <w:rsid w:val="0004717A"/>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2F1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598"/>
    <w:rsid w:val="000C0F0F"/>
    <w:rsid w:val="000C0FC9"/>
    <w:rsid w:val="000C1026"/>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4AB"/>
    <w:rsid w:val="000F07EE"/>
    <w:rsid w:val="000F247D"/>
    <w:rsid w:val="000F2B46"/>
    <w:rsid w:val="000F2DD2"/>
    <w:rsid w:val="000F5F97"/>
    <w:rsid w:val="000F694B"/>
    <w:rsid w:val="0010091C"/>
    <w:rsid w:val="00101263"/>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37497"/>
    <w:rsid w:val="00137820"/>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1EF"/>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599"/>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5AB"/>
    <w:rsid w:val="0020481E"/>
    <w:rsid w:val="0020490E"/>
    <w:rsid w:val="00204E93"/>
    <w:rsid w:val="00204FA6"/>
    <w:rsid w:val="002050C5"/>
    <w:rsid w:val="002050F5"/>
    <w:rsid w:val="002051EB"/>
    <w:rsid w:val="00205552"/>
    <w:rsid w:val="002100BB"/>
    <w:rsid w:val="002102DD"/>
    <w:rsid w:val="00211F13"/>
    <w:rsid w:val="002124B1"/>
    <w:rsid w:val="00213E67"/>
    <w:rsid w:val="00214204"/>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29C4"/>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31A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037D"/>
    <w:rsid w:val="002E18EF"/>
    <w:rsid w:val="002E21D7"/>
    <w:rsid w:val="002E378D"/>
    <w:rsid w:val="002E3BBA"/>
    <w:rsid w:val="002E418D"/>
    <w:rsid w:val="002E5125"/>
    <w:rsid w:val="002E5D37"/>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B1F"/>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1561"/>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1B0C"/>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C3C"/>
    <w:rsid w:val="003B5CF0"/>
    <w:rsid w:val="003B610C"/>
    <w:rsid w:val="003B6252"/>
    <w:rsid w:val="003B78B1"/>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BB7"/>
    <w:rsid w:val="003F4EC3"/>
    <w:rsid w:val="003F4F8C"/>
    <w:rsid w:val="003F54C4"/>
    <w:rsid w:val="003F66CC"/>
    <w:rsid w:val="003F6DB7"/>
    <w:rsid w:val="003F72B5"/>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2953"/>
    <w:rsid w:val="0042329A"/>
    <w:rsid w:val="0042497C"/>
    <w:rsid w:val="00425FC6"/>
    <w:rsid w:val="00426402"/>
    <w:rsid w:val="0042699C"/>
    <w:rsid w:val="00427518"/>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47AD"/>
    <w:rsid w:val="00445006"/>
    <w:rsid w:val="0044643A"/>
    <w:rsid w:val="0045416E"/>
    <w:rsid w:val="004543CC"/>
    <w:rsid w:val="004545E3"/>
    <w:rsid w:val="00454B4A"/>
    <w:rsid w:val="00454D42"/>
    <w:rsid w:val="00455543"/>
    <w:rsid w:val="00456C2C"/>
    <w:rsid w:val="004576F9"/>
    <w:rsid w:val="004578E9"/>
    <w:rsid w:val="004610F9"/>
    <w:rsid w:val="00462FD3"/>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15D9"/>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045"/>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E74DA"/>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787"/>
    <w:rsid w:val="00617A60"/>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47001"/>
    <w:rsid w:val="00651657"/>
    <w:rsid w:val="00651C6A"/>
    <w:rsid w:val="00651F00"/>
    <w:rsid w:val="00652F0C"/>
    <w:rsid w:val="00653719"/>
    <w:rsid w:val="0065405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3CF5"/>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75D"/>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4A4B"/>
    <w:rsid w:val="006F61D3"/>
    <w:rsid w:val="006F6496"/>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7E3"/>
    <w:rsid w:val="007746D5"/>
    <w:rsid w:val="00774BD5"/>
    <w:rsid w:val="00774E53"/>
    <w:rsid w:val="007759CE"/>
    <w:rsid w:val="007759E8"/>
    <w:rsid w:val="0077606E"/>
    <w:rsid w:val="0077623F"/>
    <w:rsid w:val="007764CB"/>
    <w:rsid w:val="0077662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4E39"/>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670E"/>
    <w:rsid w:val="00807B6A"/>
    <w:rsid w:val="00807CC6"/>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1C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B72E9"/>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33"/>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17E"/>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674D"/>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AE6"/>
    <w:rsid w:val="00962DF6"/>
    <w:rsid w:val="00963131"/>
    <w:rsid w:val="009639F0"/>
    <w:rsid w:val="00963FCC"/>
    <w:rsid w:val="009641BA"/>
    <w:rsid w:val="00964329"/>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9F"/>
    <w:rsid w:val="009C0CF7"/>
    <w:rsid w:val="009C229C"/>
    <w:rsid w:val="009C2BDD"/>
    <w:rsid w:val="009C3562"/>
    <w:rsid w:val="009C44BD"/>
    <w:rsid w:val="009C4F02"/>
    <w:rsid w:val="009C6546"/>
    <w:rsid w:val="009C7C1A"/>
    <w:rsid w:val="009D26CE"/>
    <w:rsid w:val="009D2AB1"/>
    <w:rsid w:val="009D2E84"/>
    <w:rsid w:val="009E061D"/>
    <w:rsid w:val="009E2147"/>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3E98"/>
    <w:rsid w:val="00A240B9"/>
    <w:rsid w:val="00A242EB"/>
    <w:rsid w:val="00A26AEC"/>
    <w:rsid w:val="00A27DB3"/>
    <w:rsid w:val="00A27F47"/>
    <w:rsid w:val="00A30906"/>
    <w:rsid w:val="00A30B81"/>
    <w:rsid w:val="00A325D3"/>
    <w:rsid w:val="00A335F3"/>
    <w:rsid w:val="00A3362C"/>
    <w:rsid w:val="00A33B7A"/>
    <w:rsid w:val="00A344EE"/>
    <w:rsid w:val="00A346C8"/>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12E"/>
    <w:rsid w:val="00A473E6"/>
    <w:rsid w:val="00A47ABA"/>
    <w:rsid w:val="00A47B29"/>
    <w:rsid w:val="00A50CF4"/>
    <w:rsid w:val="00A524E1"/>
    <w:rsid w:val="00A52C43"/>
    <w:rsid w:val="00A53180"/>
    <w:rsid w:val="00A5401F"/>
    <w:rsid w:val="00A60961"/>
    <w:rsid w:val="00A63B94"/>
    <w:rsid w:val="00A63E7D"/>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4DCA"/>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B70"/>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135"/>
    <w:rsid w:val="00B62316"/>
    <w:rsid w:val="00B625C3"/>
    <w:rsid w:val="00B63D2C"/>
    <w:rsid w:val="00B64827"/>
    <w:rsid w:val="00B64F70"/>
    <w:rsid w:val="00B65149"/>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77ED3"/>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09C4"/>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E7C"/>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09A0"/>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AC8"/>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30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3DB"/>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5A"/>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38C"/>
    <w:rsid w:val="00D4551C"/>
    <w:rsid w:val="00D45D4D"/>
    <w:rsid w:val="00D5159F"/>
    <w:rsid w:val="00D51841"/>
    <w:rsid w:val="00D52C42"/>
    <w:rsid w:val="00D542B2"/>
    <w:rsid w:val="00D54EA8"/>
    <w:rsid w:val="00D54F30"/>
    <w:rsid w:val="00D55C6D"/>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7FB"/>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557D"/>
    <w:rsid w:val="00DA59BA"/>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14D9"/>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072C"/>
    <w:rsid w:val="00DF2A15"/>
    <w:rsid w:val="00DF2CD5"/>
    <w:rsid w:val="00DF3697"/>
    <w:rsid w:val="00DF3E8A"/>
    <w:rsid w:val="00DF43A9"/>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5A24"/>
    <w:rsid w:val="00E06A7B"/>
    <w:rsid w:val="00E07992"/>
    <w:rsid w:val="00E102B0"/>
    <w:rsid w:val="00E10416"/>
    <w:rsid w:val="00E11055"/>
    <w:rsid w:val="00E115C8"/>
    <w:rsid w:val="00E125FF"/>
    <w:rsid w:val="00E133E4"/>
    <w:rsid w:val="00E15CC3"/>
    <w:rsid w:val="00E17A04"/>
    <w:rsid w:val="00E20082"/>
    <w:rsid w:val="00E20175"/>
    <w:rsid w:val="00E20275"/>
    <w:rsid w:val="00E2097B"/>
    <w:rsid w:val="00E20A0F"/>
    <w:rsid w:val="00E20E0A"/>
    <w:rsid w:val="00E21719"/>
    <w:rsid w:val="00E21D03"/>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C3"/>
    <w:rsid w:val="00E7277E"/>
    <w:rsid w:val="00E728B4"/>
    <w:rsid w:val="00E72FF5"/>
    <w:rsid w:val="00E74B8A"/>
    <w:rsid w:val="00E761FD"/>
    <w:rsid w:val="00E766CA"/>
    <w:rsid w:val="00E76D00"/>
    <w:rsid w:val="00E77116"/>
    <w:rsid w:val="00E77729"/>
    <w:rsid w:val="00E82B15"/>
    <w:rsid w:val="00E8444B"/>
    <w:rsid w:val="00E84CA2"/>
    <w:rsid w:val="00E85D88"/>
    <w:rsid w:val="00E863F6"/>
    <w:rsid w:val="00E87E98"/>
    <w:rsid w:val="00E90C4E"/>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E7AFB"/>
    <w:rsid w:val="00EF2FCF"/>
    <w:rsid w:val="00EF3B42"/>
    <w:rsid w:val="00EF3C45"/>
    <w:rsid w:val="00EF3FC8"/>
    <w:rsid w:val="00EF6658"/>
    <w:rsid w:val="00EF697F"/>
    <w:rsid w:val="00EF6CE0"/>
    <w:rsid w:val="00F00E4B"/>
    <w:rsid w:val="00F01B8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3911"/>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37D79"/>
    <w:rsid w:val="00F40C5B"/>
    <w:rsid w:val="00F40DEC"/>
    <w:rsid w:val="00F412D3"/>
    <w:rsid w:val="00F4163D"/>
    <w:rsid w:val="00F438A3"/>
    <w:rsid w:val="00F43F15"/>
    <w:rsid w:val="00F444EF"/>
    <w:rsid w:val="00F45763"/>
    <w:rsid w:val="00F46252"/>
    <w:rsid w:val="00F467F1"/>
    <w:rsid w:val="00F46DB2"/>
    <w:rsid w:val="00F505D9"/>
    <w:rsid w:val="00F51419"/>
    <w:rsid w:val="00F516B0"/>
    <w:rsid w:val="00F53543"/>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64EC"/>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97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F9E7F5-03FF-45B5-A2DD-F0888821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paragraph" w:styleId="ListParagraph">
    <w:name w:val="List Paragraph"/>
    <w:basedOn w:val="Normal"/>
    <w:uiPriority w:val="34"/>
    <w:qFormat/>
    <w:rsid w:val="00794E39"/>
    <w:pPr>
      <w:ind w:left="720"/>
      <w:contextualSpacing/>
    </w:pPr>
  </w:style>
  <w:style w:type="paragraph" w:customStyle="1" w:styleId="Recommendations">
    <w:name w:val="Recommendations"/>
    <w:basedOn w:val="TOC6"/>
    <w:qFormat/>
    <w:rsid w:val="00794E39"/>
    <w:pPr>
      <w:numPr>
        <w:numId w:val="26"/>
      </w:numPr>
      <w:tabs>
        <w:tab w:val="clear" w:pos="9360"/>
        <w:tab w:val="num" w:pos="360"/>
      </w:tabs>
      <w:suppressAutoHyphens w:val="0"/>
      <w:ind w:left="720" w:hanging="720"/>
    </w:pPr>
  </w:style>
  <w:style w:type="numbering" w:customStyle="1" w:styleId="StyleBulletedSymbolsymbolBoldLeft0Hanging02511">
    <w:name w:val="Style Bulleted Symbol (symbol) Bold Left:  0&quot; Hanging:  0.25&quot;11"/>
    <w:basedOn w:val="NoList"/>
    <w:rsid w:val="007727E3"/>
  </w:style>
  <w:style w:type="numbering" w:customStyle="1" w:styleId="StyleNumbered12pt1">
    <w:name w:val="Style Numbered 12 pt1"/>
    <w:basedOn w:val="NoList"/>
    <w:rsid w:val="007727E3"/>
    <w:pPr>
      <w:numPr>
        <w:numId w:val="33"/>
      </w:numPr>
    </w:pPr>
  </w:style>
  <w:style w:type="numbering" w:customStyle="1" w:styleId="StyleNumbered12pt11">
    <w:name w:val="Style Numbered 12 pt11"/>
    <w:basedOn w:val="NoList"/>
    <w:rsid w:val="00DD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72266711">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86717829">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9996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mass.gov/dph/iaq"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C87A-5419-4DE7-BAB1-4BAB9152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8703</CharactersWithSpaces>
  <SharedDoc>false</SharedDoc>
  <HLinks>
    <vt:vector size="18" baseType="variant">
      <vt:variant>
        <vt:i4>5111863</vt:i4>
      </vt:variant>
      <vt:variant>
        <vt:i4>9</vt:i4>
      </vt:variant>
      <vt:variant>
        <vt:i4>0</vt:i4>
      </vt:variant>
      <vt:variant>
        <vt:i4>5</vt:i4>
      </vt:variant>
      <vt:variant>
        <vt:lpwstr>http://www.epa.gov/iaq/molds/mold_remediation.html</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Department of Developmental Services Water Damage Assessment (May 2019)</dc:title>
  <dc:subject>Worcester DDS 340 Main</dc:subject>
  <dc:creator>Indoor Air Quality Program</dc:creator>
  <cp:lastModifiedBy>Woo, Karl (EHS)</cp:lastModifiedBy>
  <cp:revision>5</cp:revision>
  <cp:lastPrinted>2019-04-30T12:18:00Z</cp:lastPrinted>
  <dcterms:created xsi:type="dcterms:W3CDTF">2019-05-01T19:04:00Z</dcterms:created>
  <dcterms:modified xsi:type="dcterms:W3CDTF">2019-05-22T13:57:00Z</dcterms:modified>
</cp:coreProperties>
</file>