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754B6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0" w:name="_GoBack"/>
                            <w:bookmarkEnd w:id="0"/>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610486" w:rsidP="00986263">
                            <w:pPr>
                              <w:jc w:val="center"/>
                              <w:rPr>
                                <w:b/>
                                <w:sz w:val="28"/>
                              </w:rPr>
                            </w:pPr>
                            <w:r>
                              <w:rPr>
                                <w:b/>
                                <w:sz w:val="28"/>
                              </w:rPr>
                              <w:t>Department of Developmental Services</w:t>
                            </w:r>
                          </w:p>
                          <w:p w:rsidR="000C0B8A" w:rsidRDefault="00610486" w:rsidP="00986263">
                            <w:pPr>
                              <w:jc w:val="center"/>
                              <w:rPr>
                                <w:b/>
                                <w:sz w:val="28"/>
                              </w:rPr>
                            </w:pPr>
                            <w:r>
                              <w:rPr>
                                <w:b/>
                                <w:sz w:val="28"/>
                              </w:rPr>
                              <w:t>194 West Street</w:t>
                            </w:r>
                            <w:r w:rsidR="00441887">
                              <w:rPr>
                                <w:b/>
                                <w:sz w:val="28"/>
                              </w:rPr>
                              <w:t>, Unit 9</w:t>
                            </w:r>
                          </w:p>
                          <w:p w:rsidR="00986263" w:rsidRPr="00986263" w:rsidRDefault="00610486" w:rsidP="00986263">
                            <w:pPr>
                              <w:jc w:val="center"/>
                              <w:rPr>
                                <w:b/>
                                <w:sz w:val="28"/>
                              </w:rPr>
                            </w:pPr>
                            <w:r>
                              <w:rPr>
                                <w:b/>
                                <w:sz w:val="28"/>
                              </w:rPr>
                              <w:t>Milford</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754B6B" w:rsidP="00986263">
                            <w:pPr>
                              <w:jc w:val="center"/>
                            </w:pPr>
                            <w:r>
                              <w:rPr>
                                <w:noProof/>
                              </w:rPr>
                              <w:drawing>
                                <wp:inline distT="0" distB="0" distL="0" distR="0">
                                  <wp:extent cx="4274820" cy="3200400"/>
                                  <wp:effectExtent l="0" t="0" r="0" b="0"/>
                                  <wp:docPr id="7" name="Picture 7" descr="Department of Developmental Services&#10;194 West Street&#10;Milfor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artment of Developmental Services&#10;194 West Street&#10;Milford,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74820" cy="320040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10486" w:rsidP="00986263">
                            <w:pPr>
                              <w:jc w:val="center"/>
                            </w:pPr>
                            <w:r>
                              <w:t>July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1" w:name="_GoBack"/>
                      <w:bookmarkEnd w:id="1"/>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610486" w:rsidP="00986263">
                      <w:pPr>
                        <w:jc w:val="center"/>
                        <w:rPr>
                          <w:b/>
                          <w:sz w:val="28"/>
                        </w:rPr>
                      </w:pPr>
                      <w:r>
                        <w:rPr>
                          <w:b/>
                          <w:sz w:val="28"/>
                        </w:rPr>
                        <w:t>Department of Developmental Services</w:t>
                      </w:r>
                    </w:p>
                    <w:p w:rsidR="000C0B8A" w:rsidRDefault="00610486" w:rsidP="00986263">
                      <w:pPr>
                        <w:jc w:val="center"/>
                        <w:rPr>
                          <w:b/>
                          <w:sz w:val="28"/>
                        </w:rPr>
                      </w:pPr>
                      <w:r>
                        <w:rPr>
                          <w:b/>
                          <w:sz w:val="28"/>
                        </w:rPr>
                        <w:t>194 West Street</w:t>
                      </w:r>
                      <w:r w:rsidR="00441887">
                        <w:rPr>
                          <w:b/>
                          <w:sz w:val="28"/>
                        </w:rPr>
                        <w:t>, Unit 9</w:t>
                      </w:r>
                    </w:p>
                    <w:p w:rsidR="00986263" w:rsidRPr="00986263" w:rsidRDefault="00610486" w:rsidP="00986263">
                      <w:pPr>
                        <w:jc w:val="center"/>
                        <w:rPr>
                          <w:b/>
                          <w:sz w:val="28"/>
                        </w:rPr>
                      </w:pPr>
                      <w:r>
                        <w:rPr>
                          <w:b/>
                          <w:sz w:val="28"/>
                        </w:rPr>
                        <w:t>Milford</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754B6B" w:rsidP="00986263">
                      <w:pPr>
                        <w:jc w:val="center"/>
                      </w:pPr>
                      <w:r>
                        <w:rPr>
                          <w:noProof/>
                        </w:rPr>
                        <w:drawing>
                          <wp:inline distT="0" distB="0" distL="0" distR="0">
                            <wp:extent cx="4274820" cy="3200400"/>
                            <wp:effectExtent l="0" t="0" r="0" b="0"/>
                            <wp:docPr id="7" name="Picture 7" descr="Department of Developmental Services&#10;194 West Street&#10;Milfor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artment of Developmental Services&#10;194 West Street&#10;Milford,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74820" cy="320040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610486" w:rsidP="00986263">
                      <w:pPr>
                        <w:jc w:val="center"/>
                      </w:pPr>
                      <w:r>
                        <w:t>July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10486" w:rsidP="00610486">
            <w:pPr>
              <w:tabs>
                <w:tab w:val="left" w:pos="1485"/>
              </w:tabs>
              <w:rPr>
                <w:bCs/>
              </w:rPr>
            </w:pPr>
            <w:r>
              <w:rPr>
                <w:bCs/>
              </w:rPr>
              <w:t>Department of Developmental Services (DDS)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610486" w:rsidP="00441887">
            <w:pPr>
              <w:tabs>
                <w:tab w:val="left" w:pos="1485"/>
              </w:tabs>
              <w:rPr>
                <w:bCs/>
              </w:rPr>
            </w:pPr>
            <w:r>
              <w:t>194 West Street</w:t>
            </w:r>
            <w:r w:rsidR="00441887">
              <w:t>, Unit 9</w:t>
            </w:r>
            <w:r>
              <w:t>, Milford</w:t>
            </w:r>
            <w:r w:rsidR="00CA46A3">
              <w:t>,</w:t>
            </w:r>
            <w:r w:rsidR="007C4D14">
              <w:t xml:space="preserve">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1E747C" w:rsidP="00CA46A3">
            <w:pPr>
              <w:tabs>
                <w:tab w:val="left" w:pos="1485"/>
              </w:tabs>
              <w:rPr>
                <w:bCs/>
              </w:rPr>
            </w:pPr>
            <w:r w:rsidRPr="00E7142F">
              <w:rPr>
                <w:szCs w:val="24"/>
              </w:rPr>
              <w:t xml:space="preserve">Erin McCabe, </w:t>
            </w:r>
            <w:r w:rsidRPr="00E7142F">
              <w:t>EHS Facilities Deputy Director for Finance and Operations, EOHHS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610486" w:rsidP="000D035B">
            <w:pPr>
              <w:tabs>
                <w:tab w:val="left" w:pos="1485"/>
              </w:tabs>
              <w:rPr>
                <w:bCs/>
              </w:rPr>
            </w:pPr>
            <w:r>
              <w:rPr>
                <w:bCs/>
              </w:rPr>
              <w:t>July 18,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86263">
            <w:pPr>
              <w:pStyle w:val="StaffTitleHangingIndent"/>
            </w:pPr>
            <w:r>
              <w:t>Cory Holmes, Environmental Analyst/Inspector,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CA46A3" w:rsidP="001C1A08">
            <w:pPr>
              <w:pStyle w:val="StaffTitleHangingIndent"/>
            </w:pPr>
            <w:r>
              <w:t>The D</w:t>
            </w:r>
            <w:r w:rsidR="00610486">
              <w:t>DS</w:t>
            </w:r>
            <w:r>
              <w:t xml:space="preserve"> office is on </w:t>
            </w:r>
            <w:r w:rsidR="00610486">
              <w:t xml:space="preserve">located in a one-story mixed use building built in 1988. The DDS has occupied the space for approximately 20 years and is flanked by </w:t>
            </w:r>
            <w:r w:rsidR="00EF578A">
              <w:t>a</w:t>
            </w:r>
            <w:r w:rsidR="00610486">
              <w:t xml:space="preserve"> private office and exercise facility</w:t>
            </w:r>
            <w:r>
              <w:t>.</w:t>
            </w:r>
            <w:r w:rsidR="001C1A08">
              <w:t xml:space="preserve"> The office contains wall-to-</w:t>
            </w:r>
            <w:r w:rsidR="008C397E">
              <w:t>wall carpeting (~6 years old), gypsum wallboard (GW) and suspended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A62943" w:rsidRPr="00A62943" w:rsidRDefault="00A62943" w:rsidP="00A62943">
      <w:pPr>
        <w:keepNext/>
        <w:spacing w:before="600" w:line="360" w:lineRule="auto"/>
        <w:outlineLvl w:val="0"/>
        <w:rPr>
          <w:b/>
          <w:sz w:val="28"/>
        </w:rPr>
      </w:pPr>
      <w:r w:rsidRPr="00A62943">
        <w:rPr>
          <w:b/>
          <w:sz w:val="28"/>
        </w:rPr>
        <w:t>IAQ Testing Results</w:t>
      </w:r>
    </w:p>
    <w:p w:rsidR="00A62943" w:rsidRPr="00A62943" w:rsidRDefault="00A62943" w:rsidP="00A62943">
      <w:pPr>
        <w:spacing w:line="360" w:lineRule="auto"/>
        <w:ind w:firstLine="720"/>
      </w:pPr>
      <w:r w:rsidRPr="00A62943">
        <w:t>Please refer to the IAQ Manual for methods, sampling procedures, and interpretation of results (MDPH, 2015). The following is a summary of testing results (Table 1).</w:t>
      </w:r>
    </w:p>
    <w:p w:rsidR="00A62943" w:rsidRPr="00A62943" w:rsidRDefault="00A62943" w:rsidP="00A62943">
      <w:pPr>
        <w:numPr>
          <w:ilvl w:val="0"/>
          <w:numId w:val="41"/>
        </w:numPr>
        <w:spacing w:line="360" w:lineRule="auto"/>
        <w:rPr>
          <w:b/>
          <w:bCs/>
        </w:rPr>
      </w:pPr>
      <w:r>
        <w:rPr>
          <w:b/>
          <w:i/>
        </w:rPr>
        <w:t>Moisture Measurements</w:t>
      </w:r>
      <w:r w:rsidRPr="00A62943">
        <w:t xml:space="preserve"> were </w:t>
      </w:r>
      <w:r>
        <w:t>all dry (i.e., within normal parameters) at the time of assessment.</w:t>
      </w:r>
    </w:p>
    <w:p w:rsidR="00A62943" w:rsidRPr="00A62943" w:rsidRDefault="00A62943" w:rsidP="00A62943">
      <w:pPr>
        <w:numPr>
          <w:ilvl w:val="0"/>
          <w:numId w:val="41"/>
        </w:numPr>
        <w:spacing w:line="360" w:lineRule="auto"/>
        <w:rPr>
          <w:b/>
          <w:bCs/>
        </w:rPr>
      </w:pPr>
      <w:r w:rsidRPr="00A62943">
        <w:rPr>
          <w:b/>
          <w:i/>
        </w:rPr>
        <w:t>Temperature</w:t>
      </w:r>
      <w:r w:rsidRPr="00A62943">
        <w:t xml:space="preserve"> was within the recommended range of 70°F to 78°F </w:t>
      </w:r>
      <w:r w:rsidR="00D2763B">
        <w:t>at the time of</w:t>
      </w:r>
      <w:r w:rsidRPr="00A62943">
        <w:t xml:space="preserve"> assessment.</w:t>
      </w:r>
    </w:p>
    <w:p w:rsidR="00A62943" w:rsidRPr="00A62943" w:rsidRDefault="00A62943" w:rsidP="00A62943">
      <w:pPr>
        <w:numPr>
          <w:ilvl w:val="0"/>
          <w:numId w:val="41"/>
        </w:numPr>
        <w:spacing w:line="360" w:lineRule="auto"/>
        <w:rPr>
          <w:b/>
          <w:bCs/>
        </w:rPr>
      </w:pPr>
      <w:r w:rsidRPr="00A62943">
        <w:rPr>
          <w:b/>
          <w:i/>
        </w:rPr>
        <w:t>Relative humidity</w:t>
      </w:r>
      <w:r w:rsidRPr="00A62943">
        <w:t xml:space="preserve"> was within the recommended range of 40 to 60% in areas </w:t>
      </w:r>
      <w:r>
        <w:t xml:space="preserve">tested </w:t>
      </w:r>
      <w:r w:rsidR="00D2763B">
        <w:t xml:space="preserve">at the time of </w:t>
      </w:r>
      <w:r w:rsidRPr="00A62943">
        <w:t>the assessment</w:t>
      </w:r>
      <w:r w:rsidR="00610486">
        <w:t xml:space="preserve"> and lower than outside measurements</w:t>
      </w:r>
      <w:r w:rsidRPr="00A62943">
        <w:t>.</w:t>
      </w:r>
    </w:p>
    <w:p w:rsidR="008F0C39" w:rsidRPr="008F0C39" w:rsidRDefault="00671968" w:rsidP="00986263">
      <w:pPr>
        <w:pStyle w:val="Heading1"/>
      </w:pPr>
      <w:r>
        <w:t>Background</w:t>
      </w:r>
      <w:r w:rsidR="00986263">
        <w:t xml:space="preserve"> and D</w:t>
      </w:r>
      <w:r>
        <w:t>iscussion</w:t>
      </w:r>
    </w:p>
    <w:p w:rsidR="009930CD" w:rsidRDefault="000145DE" w:rsidP="009930CD">
      <w:pPr>
        <w:pStyle w:val="BodyTextlinebeforebulletedtextonly"/>
        <w:ind w:firstLine="720"/>
      </w:pPr>
      <w:r>
        <w:t xml:space="preserve">The </w:t>
      </w:r>
      <w:r w:rsidR="00770F12">
        <w:t xml:space="preserve">BEH/IAQ Program was asked to examine the </w:t>
      </w:r>
      <w:r w:rsidR="008B4EB9">
        <w:t>D</w:t>
      </w:r>
      <w:r w:rsidR="00610486">
        <w:t>DS</w:t>
      </w:r>
      <w:r w:rsidR="008B4EB9">
        <w:t xml:space="preserve"> office</w:t>
      </w:r>
      <w:r w:rsidR="00770F12">
        <w:t xml:space="preserve"> for the presence of water damage/mold growth, with a focus on </w:t>
      </w:r>
      <w:r w:rsidR="000D035B">
        <w:t xml:space="preserve">areas that were damaged by </w:t>
      </w:r>
      <w:r w:rsidR="008B4EB9">
        <w:t xml:space="preserve">a </w:t>
      </w:r>
      <w:r w:rsidR="001C1A08">
        <w:t>roof</w:t>
      </w:r>
      <w:r w:rsidR="008B4EB9">
        <w:t xml:space="preserve"> leak</w:t>
      </w:r>
      <w:r w:rsidR="000D035B">
        <w:t xml:space="preserve"> that </w:t>
      </w:r>
      <w:r w:rsidR="00610486">
        <w:t xml:space="preserve">reportedly </w:t>
      </w:r>
      <w:r w:rsidR="000D035B">
        <w:lastRenderedPageBreak/>
        <w:t xml:space="preserve">occurred </w:t>
      </w:r>
      <w:r w:rsidR="008B4EB9">
        <w:t xml:space="preserve">on </w:t>
      </w:r>
      <w:r w:rsidR="00610486">
        <w:t>Tuesday July 10, 2018</w:t>
      </w:r>
      <w:r w:rsidR="00770F12">
        <w:t xml:space="preserve">. </w:t>
      </w:r>
      <w:r w:rsidR="008B4EB9">
        <w:t xml:space="preserve">The leak reportedly </w:t>
      </w:r>
      <w:r w:rsidR="00953772">
        <w:t>resulted in</w:t>
      </w:r>
      <w:r w:rsidR="008B4EB9">
        <w:t xml:space="preserve"> </w:t>
      </w:r>
      <w:r w:rsidR="00610486">
        <w:t>wet carpeting in the right hallway and ceiling tiles in a number of areas throughout the space</w:t>
      </w:r>
      <w:r w:rsidR="008C397E">
        <w:t xml:space="preserve"> (Pictures 1 through </w:t>
      </w:r>
      <w:r w:rsidR="00EF578A">
        <w:t>5</w:t>
      </w:r>
      <w:r w:rsidR="008C397E">
        <w:t>)</w:t>
      </w:r>
      <w:r w:rsidR="000D035B">
        <w:t xml:space="preserve">. </w:t>
      </w:r>
      <w:r w:rsidR="00F95F7B">
        <w:t>One ceiling tile in an office appear</w:t>
      </w:r>
      <w:r w:rsidR="00A9440A">
        <w:t>ed to have mold growth (Table 1;</w:t>
      </w:r>
      <w:r w:rsidR="00F95F7B">
        <w:t xml:space="preserve"> Picture </w:t>
      </w:r>
      <w:r w:rsidR="00EF578A">
        <w:t>5</w:t>
      </w:r>
      <w:r w:rsidR="00F95F7B">
        <w:t xml:space="preserve">). </w:t>
      </w:r>
      <w:r w:rsidR="00BD5469">
        <w:t>It was also reported that a flooding restoration</w:t>
      </w:r>
      <w:r w:rsidR="00610486">
        <w:t>/carpet cleaning</w:t>
      </w:r>
      <w:r w:rsidR="00BD5469">
        <w:t xml:space="preserve"> firm</w:t>
      </w:r>
      <w:r w:rsidR="008C397E">
        <w:t xml:space="preserve"> (Stanley </w:t>
      </w:r>
      <w:proofErr w:type="spellStart"/>
      <w:r w:rsidR="008C397E">
        <w:t>Ste</w:t>
      </w:r>
      <w:r w:rsidR="00A9440A">
        <w:t>e</w:t>
      </w:r>
      <w:r w:rsidR="008C397E">
        <w:t>mer</w:t>
      </w:r>
      <w:proofErr w:type="spellEnd"/>
      <w:r w:rsidR="008C397E">
        <w:t>)</w:t>
      </w:r>
      <w:r w:rsidR="00E07729">
        <w:t>,</w:t>
      </w:r>
      <w:r w:rsidR="00BD5469">
        <w:t xml:space="preserve"> had been contacted to perform </w:t>
      </w:r>
      <w:r w:rsidR="00610486">
        <w:t>moisture testing of wet materials, primarily</w:t>
      </w:r>
      <w:r w:rsidR="00F735C9">
        <w:t xml:space="preserve"> </w:t>
      </w:r>
      <w:r w:rsidR="009930CD">
        <w:t>GW</w:t>
      </w:r>
      <w:r w:rsidR="00BD5469">
        <w:t>.</w:t>
      </w:r>
    </w:p>
    <w:p w:rsidR="009930CD" w:rsidRDefault="00770F12" w:rsidP="004868C7">
      <w:pPr>
        <w:pStyle w:val="BodyTextlinebeforebulletedtextonly"/>
        <w:ind w:firstLine="720"/>
      </w:pPr>
      <w:r>
        <w:t>A</w:t>
      </w:r>
      <w:r w:rsidR="000D035B">
        <w:t>t the time of assessment</w:t>
      </w:r>
      <w:r w:rsidR="00953772">
        <w:t>,</w:t>
      </w:r>
      <w:r>
        <w:t xml:space="preserve"> </w:t>
      </w:r>
      <w:r w:rsidR="008C397E">
        <w:t xml:space="preserve">all porous materials tested (i.e., carpet, ceiling tiles and GW) were dry and </w:t>
      </w:r>
      <w:r>
        <w:t>no visible mold</w:t>
      </w:r>
      <w:r w:rsidR="008C397E">
        <w:t>/associated odor</w:t>
      </w:r>
      <w:r>
        <w:t xml:space="preserve"> was </w:t>
      </w:r>
      <w:r w:rsidR="005F2670">
        <w:t>observed</w:t>
      </w:r>
      <w:r w:rsidR="008C397E">
        <w:t>/detected</w:t>
      </w:r>
      <w:r w:rsidR="001C1A08">
        <w:t xml:space="preserve"> apart from the single ceiling tile</w:t>
      </w:r>
      <w:r w:rsidR="000D035B">
        <w:t xml:space="preserve"> </w:t>
      </w:r>
      <w:r w:rsidR="008B4EB9">
        <w:t>(Table 1)</w:t>
      </w:r>
      <w:r w:rsidR="000D035B">
        <w:t xml:space="preserve">. </w:t>
      </w:r>
      <w:r w:rsidR="009930CD">
        <w:t>It is important to note that r</w:t>
      </w:r>
      <w:r w:rsidR="009930CD" w:rsidRPr="009930CD">
        <w:t xml:space="preserve">elative humidity </w:t>
      </w:r>
      <w:r w:rsidR="0088427D">
        <w:t>levels</w:t>
      </w:r>
      <w:r w:rsidR="009930CD">
        <w:t xml:space="preserve"> were</w:t>
      </w:r>
      <w:r w:rsidR="009930CD" w:rsidRPr="009930CD">
        <w:t xml:space="preserve"> within the recommended range of 40 to 60% in </w:t>
      </w:r>
      <w:r w:rsidR="009930CD">
        <w:t>all</w:t>
      </w:r>
      <w:r w:rsidR="009930CD" w:rsidRPr="009930CD">
        <w:t xml:space="preserve"> areas</w:t>
      </w:r>
      <w:r w:rsidR="0088427D">
        <w:t xml:space="preserve"> tested, suggesting that no sources of </w:t>
      </w:r>
      <w:r w:rsidR="008C397E">
        <w:t>lingering</w:t>
      </w:r>
      <w:r w:rsidR="0088427D">
        <w:t xml:space="preserve"> moisture were present</w:t>
      </w:r>
      <w:r w:rsidR="009930CD" w:rsidRPr="009930CD">
        <w:t xml:space="preserve"> </w:t>
      </w:r>
      <w:r w:rsidR="009930CD">
        <w:t xml:space="preserve">at the time of </w:t>
      </w:r>
      <w:r w:rsidR="009930CD" w:rsidRPr="009930CD">
        <w:t>assessment.</w:t>
      </w:r>
    </w:p>
    <w:p w:rsidR="000D035B" w:rsidRDefault="008C397E" w:rsidP="000D035B">
      <w:pPr>
        <w:spacing w:line="360" w:lineRule="auto"/>
        <w:ind w:firstLine="720"/>
      </w:pPr>
      <w:r>
        <w:t>In general, t</w:t>
      </w:r>
      <w:r w:rsidR="000D035B" w:rsidRPr="000D035B">
        <w: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r>
        <w:t xml:space="preserve"> However, it is important to note that in the DDS office the carpet is a thin, commercial grade with no padding/backing (unlike in homes), which allows it to dry relatively </w:t>
      </w:r>
      <w:r w:rsidR="001C1A08">
        <w:t>quickly</w:t>
      </w:r>
      <w:r>
        <w:t>.</w:t>
      </w:r>
    </w:p>
    <w:p w:rsidR="001C1A08" w:rsidRDefault="00F95F7B" w:rsidP="001C1A08">
      <w:pPr>
        <w:pStyle w:val="BodyText"/>
        <w:ind w:firstLine="720"/>
      </w:pPr>
      <w:r>
        <w:t>As mentioned, the DDS office contains</w:t>
      </w:r>
      <w:r w:rsidR="001C1A08">
        <w:t xml:space="preserve"> wall-to-</w:t>
      </w:r>
      <w:r w:rsidR="008C397E" w:rsidRPr="008C397E">
        <w:t xml:space="preserve">wall carpeting. </w:t>
      </w:r>
      <w:r>
        <w:t>DDS</w:t>
      </w:r>
      <w:r w:rsidRPr="008C397E">
        <w:t xml:space="preserve"> staff reported that a regular carpet cleaning program was not in place.</w:t>
      </w:r>
      <w:r w:rsidRPr="00F95F7B">
        <w:t xml:space="preserve"> Carpets should be vacuumed regularly with a high efficiency particulate arrestance (HEPA) filter equipped vacuum cleaner and cleaned annually (or semi-annually in soiled/high traffic areas) in accordance with Institute of Inspection, Cleaning and Restoration Certification (IICRC) recommendations, (IICRC, 2012).</w:t>
      </w:r>
    </w:p>
    <w:p w:rsidR="0028601C" w:rsidRPr="0028601C" w:rsidRDefault="0028601C" w:rsidP="001C1A08">
      <w:pPr>
        <w:pStyle w:val="Heading1"/>
      </w:pPr>
      <w:r w:rsidRPr="0028601C">
        <w:t>Conclusions/Recommendations</w:t>
      </w:r>
    </w:p>
    <w:p w:rsidR="0028601C" w:rsidRPr="0028601C" w:rsidRDefault="0028601C" w:rsidP="0028601C">
      <w:pPr>
        <w:spacing w:line="480" w:lineRule="auto"/>
        <w:ind w:right="-720" w:firstLine="720"/>
        <w:rPr>
          <w:snapToGrid w:val="0"/>
        </w:rPr>
      </w:pPr>
      <w:r w:rsidRPr="0028601C">
        <w:rPr>
          <w:snapToGrid w:val="0"/>
        </w:rPr>
        <w:t xml:space="preserve">Based on the observations made during the visit, the following recommendations </w:t>
      </w:r>
      <w:r>
        <w:rPr>
          <w:snapToGrid w:val="0"/>
        </w:rPr>
        <w:t>are made</w:t>
      </w:r>
      <w:r w:rsidRPr="0028601C">
        <w:rPr>
          <w:snapToGrid w:val="0"/>
        </w:rPr>
        <w:t>:</w:t>
      </w:r>
    </w:p>
    <w:p w:rsidR="00BD5469" w:rsidRDefault="00BD5469" w:rsidP="00832FC6">
      <w:pPr>
        <w:numPr>
          <w:ilvl w:val="0"/>
          <w:numId w:val="35"/>
        </w:numPr>
        <w:spacing w:line="360" w:lineRule="auto"/>
        <w:ind w:right="-720"/>
      </w:pPr>
      <w:r>
        <w:t xml:space="preserve">Continue with plans to </w:t>
      </w:r>
      <w:r w:rsidR="008B4EB9">
        <w:t>work</w:t>
      </w:r>
      <w:r>
        <w:t xml:space="preserve"> </w:t>
      </w:r>
      <w:r w:rsidR="008B4EB9">
        <w:t xml:space="preserve">with </w:t>
      </w:r>
      <w:r w:rsidR="00F95F7B">
        <w:t>building management to replace all water</w:t>
      </w:r>
      <w:r w:rsidR="00F33986">
        <w:t>-</w:t>
      </w:r>
      <w:r w:rsidR="00F95F7B">
        <w:t>damaged ceiling tiles</w:t>
      </w:r>
      <w:r>
        <w:t>.</w:t>
      </w:r>
    </w:p>
    <w:p w:rsidR="00EF578A" w:rsidRDefault="00EF578A" w:rsidP="00EF578A">
      <w:pPr>
        <w:pStyle w:val="BodyText"/>
        <w:numPr>
          <w:ilvl w:val="0"/>
          <w:numId w:val="35"/>
        </w:numPr>
        <w:spacing w:after="0"/>
      </w:pPr>
      <w:r>
        <w:t>Clean carpeting in accordance with IICRC recommendations (IICRC, 2012).</w:t>
      </w:r>
    </w:p>
    <w:p w:rsidR="00EF578A" w:rsidRDefault="00EF578A" w:rsidP="00EF578A">
      <w:pPr>
        <w:pStyle w:val="BodyText"/>
        <w:numPr>
          <w:ilvl w:val="0"/>
          <w:numId w:val="35"/>
        </w:numPr>
        <w:spacing w:after="0"/>
      </w:pPr>
      <w:r>
        <w:t xml:space="preserve">Operate HVAC system/set thermostat to fan “on” </w:t>
      </w:r>
      <w:r w:rsidR="000A676C">
        <w:t xml:space="preserve">(continuous) </w:t>
      </w:r>
      <w:r w:rsidR="001C1A08">
        <w:t xml:space="preserve">mode </w:t>
      </w:r>
      <w:r>
        <w:t>vs “auto” to facilitate air</w:t>
      </w:r>
      <w:r w:rsidR="000A676C">
        <w:t xml:space="preserve"> exchange</w:t>
      </w:r>
      <w:r>
        <w:t xml:space="preserve"> and assist drying prior to occupants returning to space.</w:t>
      </w:r>
    </w:p>
    <w:p w:rsidR="00087588" w:rsidRDefault="00087588" w:rsidP="00087588">
      <w:pPr>
        <w:numPr>
          <w:ilvl w:val="0"/>
          <w:numId w:val="35"/>
        </w:numPr>
        <w:spacing w:line="360" w:lineRule="auto"/>
      </w:pPr>
      <w:r>
        <w:lastRenderedPageBreak/>
        <w:t>For more information on mold refer to the US EPA’s “</w:t>
      </w:r>
      <w:r w:rsidRPr="00087588">
        <w:t>Mold Remediation in Schools and Commercial Buildings</w:t>
      </w:r>
      <w:r>
        <w:t>”</w:t>
      </w:r>
      <w:r w:rsidRPr="00087588">
        <w:t xml:space="preserve">. Available at: </w:t>
      </w:r>
      <w:hyperlink r:id="rId10" w:history="1">
        <w:r w:rsidRPr="00F62AA3">
          <w:rPr>
            <w:rStyle w:val="Hyperlink"/>
          </w:rPr>
          <w:t>http://ww</w:t>
        </w:r>
        <w:r w:rsidRPr="00F62AA3">
          <w:rPr>
            <w:rStyle w:val="Hyperlink"/>
          </w:rPr>
          <w:t>w</w:t>
        </w:r>
        <w:r w:rsidRPr="00F62AA3">
          <w:rPr>
            <w:rStyle w:val="Hyperlink"/>
          </w:rPr>
          <w:t>.epa.gov</w:t>
        </w:r>
        <w:r w:rsidRPr="00F62AA3">
          <w:rPr>
            <w:rStyle w:val="Hyperlink"/>
          </w:rPr>
          <w:t>/</w:t>
        </w:r>
        <w:r w:rsidRPr="00F62AA3">
          <w:rPr>
            <w:rStyle w:val="Hyperlink"/>
          </w:rPr>
          <w:t>mold</w:t>
        </w:r>
        <w:r w:rsidRPr="00F62AA3">
          <w:rPr>
            <w:rStyle w:val="Hyperlink"/>
          </w:rPr>
          <w:t>/</w:t>
        </w:r>
        <w:r w:rsidRPr="00F62AA3">
          <w:rPr>
            <w:rStyle w:val="Hyperlink"/>
          </w:rPr>
          <w:t>m</w:t>
        </w:r>
        <w:r w:rsidRPr="00F62AA3">
          <w:rPr>
            <w:rStyle w:val="Hyperlink"/>
          </w:rPr>
          <w:t>old-re</w:t>
        </w:r>
        <w:r w:rsidRPr="00F62AA3">
          <w:rPr>
            <w:rStyle w:val="Hyperlink"/>
          </w:rPr>
          <w:t>m</w:t>
        </w:r>
        <w:r w:rsidRPr="00F62AA3">
          <w:rPr>
            <w:rStyle w:val="Hyperlink"/>
          </w:rPr>
          <w:t>ediation-schools-and-commercial-buildings-guide</w:t>
        </w:r>
      </w:hyperlink>
      <w:r>
        <w:t>.</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1" w:history="1">
        <w:r w:rsidRPr="00087588">
          <w:rPr>
            <w:color w:val="0000FF"/>
            <w:szCs w:val="24"/>
            <w:u w:val="single"/>
          </w:rPr>
          <w:t>http</w:t>
        </w:r>
        <w:r w:rsidRPr="00087588">
          <w:rPr>
            <w:color w:val="0000FF"/>
            <w:szCs w:val="24"/>
            <w:u w:val="single"/>
          </w:rPr>
          <w:t>:</w:t>
        </w:r>
        <w:r w:rsidRPr="00087588">
          <w:rPr>
            <w:color w:val="0000FF"/>
            <w:szCs w:val="24"/>
            <w:u w:val="single"/>
          </w:rPr>
          <w:t>//mass.g</w:t>
        </w:r>
        <w:r w:rsidRPr="00087588">
          <w:rPr>
            <w:color w:val="0000FF"/>
            <w:szCs w:val="24"/>
            <w:u w:val="single"/>
          </w:rPr>
          <w:t>o</w:t>
        </w:r>
        <w:r w:rsidRPr="00087588">
          <w:rPr>
            <w:color w:val="0000FF"/>
            <w:szCs w:val="24"/>
            <w:u w:val="single"/>
          </w:rPr>
          <w:t>v/d</w:t>
        </w:r>
        <w:r w:rsidRPr="00087588">
          <w:rPr>
            <w:color w:val="0000FF"/>
            <w:szCs w:val="24"/>
            <w:u w:val="single"/>
          </w:rPr>
          <w:t>p</w:t>
        </w:r>
        <w:r w:rsidRPr="00087588">
          <w:rPr>
            <w:color w:val="0000FF"/>
            <w:szCs w:val="24"/>
            <w:u w:val="single"/>
          </w:rPr>
          <w:t>h</w:t>
        </w:r>
        <w:r w:rsidRPr="00087588">
          <w:rPr>
            <w:color w:val="0000FF"/>
            <w:szCs w:val="24"/>
            <w:u w:val="single"/>
          </w:rPr>
          <w:t>/</w:t>
        </w:r>
        <w:r w:rsidRPr="00087588">
          <w:rPr>
            <w:color w:val="0000FF"/>
            <w:szCs w:val="24"/>
            <w:u w:val="single"/>
          </w:rPr>
          <w:t>ia</w:t>
        </w:r>
        <w:r w:rsidRPr="00087588">
          <w:rPr>
            <w:color w:val="0000FF"/>
            <w:szCs w:val="24"/>
            <w:u w:val="single"/>
          </w:rPr>
          <w:t>q</w:t>
        </w:r>
      </w:hyperlink>
      <w:r w:rsidRPr="00AA445B">
        <w:t>.</w:t>
      </w:r>
    </w:p>
    <w:p w:rsidR="00D77E51" w:rsidRDefault="00893E48" w:rsidP="0028601C">
      <w:pPr>
        <w:pStyle w:val="Heading1"/>
      </w:pPr>
      <w:r>
        <w:br w:type="page"/>
      </w:r>
      <w:r w:rsidR="000A321D">
        <w:lastRenderedPageBreak/>
        <w:t>REFERENCES</w:t>
      </w:r>
    </w:p>
    <w:p w:rsidR="00BF3BF7" w:rsidRPr="003F2533" w:rsidRDefault="00BF3BF7" w:rsidP="00BF3BF7">
      <w:pPr>
        <w:pStyle w:val="References"/>
        <w:rPr>
          <w:highlight w:val="yellow"/>
        </w:rPr>
      </w:pPr>
      <w:proofErr w:type="gramStart"/>
      <w:r w:rsidRPr="003F2533">
        <w:t>ACGIH.</w:t>
      </w:r>
      <w:proofErr w:type="gramEnd"/>
      <w:r w:rsidRPr="003F2533">
        <w:t xml:space="preserve"> 1989. Guidelines for the Assessment of Bioaerosols in the Indoor Environment. </w:t>
      </w:r>
      <w:proofErr w:type="gramStart"/>
      <w:r w:rsidRPr="003F2533">
        <w:t>American Conference of Governmental Industrial Hygienists, Cincinnati, OH.</w:t>
      </w:r>
      <w:proofErr w:type="gramEnd"/>
    </w:p>
    <w:p w:rsidR="00EF578A" w:rsidRPr="00294E3C" w:rsidRDefault="00EF578A" w:rsidP="00EF578A">
      <w:pPr>
        <w:pStyle w:val="References"/>
      </w:pPr>
      <w:proofErr w:type="gramStart"/>
      <w:r w:rsidRPr="00294E3C">
        <w:t>IICRC.</w:t>
      </w:r>
      <w:proofErr w:type="gramEnd"/>
      <w:r w:rsidRPr="00294E3C">
        <w:t xml:space="preserve"> 2012. Institute of Inspection, Cleaning and Restoration Certification. Carpet Cleaning: FAQ.</w:t>
      </w:r>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w:t>
        </w:r>
        <w:r w:rsidRPr="003F2533">
          <w:rPr>
            <w:rStyle w:val="Hyperlink"/>
            <w:szCs w:val="24"/>
          </w:rPr>
          <w:t>o</w:t>
        </w:r>
        <w:r w:rsidRPr="003F2533">
          <w:rPr>
            <w:rStyle w:val="Hyperlink"/>
            <w:szCs w:val="24"/>
          </w:rPr>
          <w:t>v/de</w:t>
        </w:r>
        <w:r w:rsidRPr="003F2533">
          <w:rPr>
            <w:rStyle w:val="Hyperlink"/>
            <w:szCs w:val="24"/>
          </w:rPr>
          <w:t>p</w:t>
        </w:r>
        <w:r w:rsidRPr="003F2533">
          <w:rPr>
            <w:rStyle w:val="Hyperlink"/>
            <w:szCs w:val="24"/>
          </w:rPr>
          <w:t>artments/dp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ograms/environmental-health/exposure-topics/iaq/iaq-manual/</w:t>
        </w:r>
      </w:hyperlink>
      <w:r w:rsidRPr="003F2533">
        <w:t>.</w:t>
      </w:r>
    </w:p>
    <w:p w:rsidR="006E25EC" w:rsidRDefault="00F34BD4" w:rsidP="00F34BD4">
      <w:pPr>
        <w:pStyle w:val="References"/>
        <w:sectPr w:rsidR="006E25EC"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3F2533">
        <w:t>US EPA</w:t>
      </w:r>
      <w:r w:rsidR="005B5E95" w:rsidRPr="003F2533">
        <w:t>.</w:t>
      </w:r>
      <w:proofErr w:type="gramEnd"/>
      <w:r w:rsidR="005B5E95" w:rsidRPr="003F2533">
        <w:t xml:space="preserve"> </w:t>
      </w:r>
      <w:r w:rsidRPr="003F2533">
        <w:t xml:space="preserve">2008. Mold Remediation in Schools and Commercial Buildings. </w:t>
      </w:r>
      <w:proofErr w:type="gramStart"/>
      <w:r w:rsidRPr="003F2533">
        <w:t>US Environmental Protection Agency, Office of Air and Radiation, Indoor Environments Division, Washington, D.C. EPA 402-K-01-001.</w:t>
      </w:r>
      <w:proofErr w:type="gramEnd"/>
      <w:r w:rsidRPr="003F2533">
        <w:t xml:space="preserve"> </w:t>
      </w:r>
      <w:hyperlink r:id="rId19" w:history="1">
        <w:r w:rsidRPr="003F2533">
          <w:rPr>
            <w:rStyle w:val="Hyperlink"/>
          </w:rPr>
          <w:t>http://ww</w:t>
        </w:r>
        <w:r w:rsidRPr="003F2533">
          <w:rPr>
            <w:rStyle w:val="Hyperlink"/>
          </w:rPr>
          <w:t>w</w:t>
        </w:r>
        <w:r w:rsidRPr="003F2533">
          <w:rPr>
            <w:rStyle w:val="Hyperlink"/>
          </w:rPr>
          <w:t>.ep</w:t>
        </w:r>
        <w:r w:rsidRPr="003F2533">
          <w:rPr>
            <w:rStyle w:val="Hyperlink"/>
          </w:rPr>
          <w:t>a</w:t>
        </w:r>
        <w:r w:rsidRPr="003F2533">
          <w:rPr>
            <w:rStyle w:val="Hyperlink"/>
          </w:rPr>
          <w:t>.</w:t>
        </w:r>
        <w:r w:rsidRPr="003F2533">
          <w:rPr>
            <w:rStyle w:val="Hyperlink"/>
          </w:rPr>
          <w:t>g</w:t>
        </w:r>
        <w:r w:rsidRPr="003F2533">
          <w:rPr>
            <w:rStyle w:val="Hyperlink"/>
          </w:rPr>
          <w:t>ov/m</w:t>
        </w:r>
        <w:r w:rsidRPr="003F2533">
          <w:rPr>
            <w:rStyle w:val="Hyperlink"/>
          </w:rPr>
          <w:t>o</w:t>
        </w:r>
        <w:r w:rsidRPr="003F2533">
          <w:rPr>
            <w:rStyle w:val="Hyperlink"/>
          </w:rPr>
          <w:t>l</w:t>
        </w:r>
        <w:r w:rsidRPr="003F2533">
          <w:rPr>
            <w:rStyle w:val="Hyperlink"/>
          </w:rPr>
          <w:t>d/</w:t>
        </w:r>
        <w:r w:rsidRPr="003F2533">
          <w:rPr>
            <w:rStyle w:val="Hyperlink"/>
          </w:rPr>
          <w:t>m</w:t>
        </w:r>
        <w:r w:rsidRPr="003F2533">
          <w:rPr>
            <w:rStyle w:val="Hyperlink"/>
          </w:rPr>
          <w:t>o</w:t>
        </w:r>
        <w:r w:rsidRPr="003F2533">
          <w:rPr>
            <w:rStyle w:val="Hyperlink"/>
          </w:rPr>
          <w:t>l</w:t>
        </w:r>
        <w:r w:rsidRPr="003F2533">
          <w:rPr>
            <w:rStyle w:val="Hyperlink"/>
          </w:rPr>
          <w:t>d-re</w:t>
        </w:r>
        <w:r w:rsidRPr="003F2533">
          <w:rPr>
            <w:rStyle w:val="Hyperlink"/>
          </w:rPr>
          <w:t>m</w:t>
        </w:r>
        <w:r w:rsidRPr="003F2533">
          <w:rPr>
            <w:rStyle w:val="Hyperlink"/>
          </w:rPr>
          <w:t>ediation-schools-and-commercial-buildings-guide</w:t>
        </w:r>
      </w:hyperlink>
      <w:r w:rsidRPr="003F2533">
        <w:t>.</w:t>
      </w:r>
    </w:p>
    <w:p w:rsidR="006E25EC" w:rsidRPr="006E25EC" w:rsidRDefault="006E25EC" w:rsidP="006E25EC">
      <w:pPr>
        <w:spacing w:after="200" w:line="276" w:lineRule="auto"/>
        <w:rPr>
          <w:rFonts w:eastAsia="Calibri"/>
          <w:b/>
          <w:szCs w:val="24"/>
        </w:rPr>
      </w:pPr>
      <w:r w:rsidRPr="006E25EC">
        <w:rPr>
          <w:rFonts w:eastAsia="Calibri"/>
          <w:b/>
          <w:szCs w:val="24"/>
        </w:rPr>
        <w:lastRenderedPageBreak/>
        <w:t>Picture 1</w:t>
      </w:r>
    </w:p>
    <w:p w:rsidR="006E25EC" w:rsidRPr="006E25EC" w:rsidRDefault="00754B6B" w:rsidP="006E25EC">
      <w:pPr>
        <w:spacing w:after="200" w:line="276" w:lineRule="auto"/>
        <w:jc w:val="center"/>
        <w:rPr>
          <w:rFonts w:eastAsia="Calibri"/>
          <w:b/>
          <w:szCs w:val="24"/>
        </w:rPr>
      </w:pPr>
      <w:r>
        <w:rPr>
          <w:rFonts w:eastAsia="Calibri"/>
          <w:b/>
          <w:noProof/>
          <w:szCs w:val="24"/>
        </w:rPr>
        <w:drawing>
          <wp:inline distT="0" distB="0" distL="0" distR="0">
            <wp:extent cx="5690361" cy="3291840"/>
            <wp:effectExtent l="0" t="0" r="0" b="0"/>
            <wp:docPr id="2" name="Picture 1" descr="Water-damaged ceiling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damaged ceiling tiles" title="Picture 1"/>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569023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E25EC" w:rsidRPr="006E25EC" w:rsidRDefault="006E25EC" w:rsidP="006E25EC">
      <w:pPr>
        <w:spacing w:after="200" w:line="276" w:lineRule="auto"/>
        <w:jc w:val="center"/>
        <w:rPr>
          <w:rFonts w:eastAsia="Calibri"/>
          <w:b/>
          <w:szCs w:val="24"/>
        </w:rPr>
      </w:pPr>
      <w:r w:rsidRPr="006E25EC">
        <w:rPr>
          <w:rFonts w:eastAsia="Calibri"/>
          <w:b/>
          <w:szCs w:val="24"/>
        </w:rPr>
        <w:t>Water-damaged ceiling tiles</w:t>
      </w:r>
    </w:p>
    <w:p w:rsidR="006E25EC" w:rsidRPr="006E25EC" w:rsidRDefault="006E25EC" w:rsidP="006E25EC">
      <w:pPr>
        <w:spacing w:after="200" w:line="276" w:lineRule="auto"/>
        <w:rPr>
          <w:rFonts w:eastAsia="Calibri"/>
          <w:b/>
          <w:szCs w:val="24"/>
        </w:rPr>
      </w:pPr>
      <w:r w:rsidRPr="006E25EC">
        <w:rPr>
          <w:rFonts w:eastAsia="Calibri"/>
          <w:b/>
          <w:szCs w:val="24"/>
        </w:rPr>
        <w:t>Picture 2</w:t>
      </w:r>
    </w:p>
    <w:p w:rsidR="006E25EC" w:rsidRPr="006E25EC" w:rsidRDefault="00754B6B" w:rsidP="006E25EC">
      <w:pPr>
        <w:spacing w:after="200" w:line="276" w:lineRule="auto"/>
        <w:jc w:val="center"/>
        <w:rPr>
          <w:rFonts w:eastAsia="Calibri"/>
          <w:b/>
          <w:szCs w:val="24"/>
        </w:rPr>
      </w:pPr>
      <w:r>
        <w:rPr>
          <w:rFonts w:eastAsia="Calibri"/>
          <w:b/>
          <w:noProof/>
          <w:szCs w:val="24"/>
        </w:rPr>
        <w:drawing>
          <wp:inline distT="0" distB="0" distL="0" distR="0">
            <wp:extent cx="4738242" cy="3291840"/>
            <wp:effectExtent l="0" t="0" r="0" b="0"/>
            <wp:docPr id="3" name="Picture 2" descr="Water-damaged ceiling tile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ter-damaged ceiling tiles" title="Picture 2"/>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473773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E25EC" w:rsidRPr="006E25EC" w:rsidRDefault="006E25EC" w:rsidP="006E25EC">
      <w:pPr>
        <w:spacing w:after="200" w:line="276" w:lineRule="auto"/>
        <w:jc w:val="center"/>
        <w:rPr>
          <w:rFonts w:eastAsia="Calibri"/>
          <w:b/>
          <w:szCs w:val="24"/>
        </w:rPr>
      </w:pPr>
      <w:r w:rsidRPr="006E25EC">
        <w:rPr>
          <w:rFonts w:eastAsia="Calibri"/>
          <w:b/>
          <w:szCs w:val="24"/>
        </w:rPr>
        <w:t>Water-damaged ceiling tiles</w:t>
      </w:r>
    </w:p>
    <w:p w:rsidR="006E25EC" w:rsidRPr="006E25EC" w:rsidRDefault="006E25EC" w:rsidP="006E25EC">
      <w:pPr>
        <w:spacing w:after="200" w:line="276" w:lineRule="auto"/>
        <w:rPr>
          <w:rFonts w:eastAsia="Calibri"/>
          <w:b/>
          <w:szCs w:val="24"/>
        </w:rPr>
      </w:pPr>
      <w:r w:rsidRPr="006E25EC">
        <w:rPr>
          <w:rFonts w:eastAsia="Calibri"/>
          <w:b/>
          <w:szCs w:val="24"/>
        </w:rPr>
        <w:lastRenderedPageBreak/>
        <w:t>Picture 3</w:t>
      </w:r>
    </w:p>
    <w:p w:rsidR="006E25EC" w:rsidRPr="006E25EC" w:rsidRDefault="00754B6B" w:rsidP="006E25EC">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4" name="Picture 3" descr="Water-damaged ceiling til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damaged ceiling tiles" title="Picture 3"/>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38848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E25EC" w:rsidRPr="006E25EC" w:rsidRDefault="006E25EC" w:rsidP="006E25EC">
      <w:pPr>
        <w:spacing w:after="200" w:line="276" w:lineRule="auto"/>
        <w:jc w:val="center"/>
        <w:rPr>
          <w:rFonts w:eastAsia="Calibri"/>
          <w:b/>
          <w:szCs w:val="24"/>
        </w:rPr>
      </w:pPr>
      <w:r w:rsidRPr="006E25EC">
        <w:rPr>
          <w:rFonts w:eastAsia="Calibri"/>
          <w:b/>
          <w:szCs w:val="24"/>
        </w:rPr>
        <w:t>Water-damaged ceiling tiles</w:t>
      </w:r>
    </w:p>
    <w:p w:rsidR="006E25EC" w:rsidRPr="006E25EC" w:rsidRDefault="006E25EC" w:rsidP="006E25EC">
      <w:pPr>
        <w:spacing w:after="200" w:line="276" w:lineRule="auto"/>
        <w:rPr>
          <w:rFonts w:eastAsia="Calibri"/>
          <w:b/>
          <w:szCs w:val="24"/>
        </w:rPr>
      </w:pPr>
      <w:r w:rsidRPr="006E25EC">
        <w:rPr>
          <w:rFonts w:eastAsia="Calibri"/>
          <w:b/>
          <w:szCs w:val="24"/>
        </w:rPr>
        <w:t>Picture 4</w:t>
      </w:r>
    </w:p>
    <w:p w:rsidR="006E25EC" w:rsidRPr="006E25EC" w:rsidRDefault="00754B6B" w:rsidP="006E25EC">
      <w:pPr>
        <w:spacing w:after="200" w:line="276" w:lineRule="auto"/>
        <w:jc w:val="center"/>
        <w:rPr>
          <w:rFonts w:eastAsia="Calibri"/>
          <w:b/>
          <w:szCs w:val="24"/>
        </w:rPr>
      </w:pPr>
      <w:r>
        <w:rPr>
          <w:rFonts w:eastAsia="Calibri"/>
          <w:b/>
          <w:noProof/>
          <w:szCs w:val="24"/>
        </w:rPr>
        <w:drawing>
          <wp:inline distT="0" distB="0" distL="0" distR="0">
            <wp:extent cx="3221102" cy="3291840"/>
            <wp:effectExtent l="0" t="0" r="0" b="0"/>
            <wp:docPr id="5" name="Picture 4" descr="Water-damaged ceiling til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s" title="Picture 4"/>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b="-1773"/>
                    <a:stretch/>
                  </pic:blipFill>
                  <pic:spPr bwMode="auto">
                    <a:xfrm>
                      <a:off x="0" y="0"/>
                      <a:ext cx="32207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E25EC" w:rsidRPr="006E25EC" w:rsidRDefault="006E25EC" w:rsidP="006E25EC">
      <w:pPr>
        <w:spacing w:after="200" w:line="276" w:lineRule="auto"/>
        <w:jc w:val="center"/>
        <w:rPr>
          <w:rFonts w:eastAsia="Calibri"/>
          <w:b/>
          <w:szCs w:val="24"/>
        </w:rPr>
      </w:pPr>
      <w:r w:rsidRPr="006E25EC">
        <w:rPr>
          <w:rFonts w:eastAsia="Calibri"/>
          <w:b/>
          <w:szCs w:val="24"/>
        </w:rPr>
        <w:t>Water-damaged ceiling tiles</w:t>
      </w:r>
    </w:p>
    <w:p w:rsidR="006E25EC" w:rsidRPr="006E25EC" w:rsidRDefault="006E25EC" w:rsidP="006E25EC">
      <w:pPr>
        <w:spacing w:after="200" w:line="276" w:lineRule="auto"/>
        <w:rPr>
          <w:rFonts w:eastAsia="Calibri"/>
          <w:b/>
          <w:szCs w:val="24"/>
        </w:rPr>
      </w:pPr>
      <w:r w:rsidRPr="006E25EC">
        <w:rPr>
          <w:rFonts w:eastAsia="Calibri"/>
          <w:b/>
          <w:szCs w:val="24"/>
        </w:rPr>
        <w:lastRenderedPageBreak/>
        <w:t>Picture 5</w:t>
      </w:r>
    </w:p>
    <w:p w:rsidR="006E25EC" w:rsidRPr="006E25EC" w:rsidRDefault="00754B6B" w:rsidP="006E25EC">
      <w:pPr>
        <w:spacing w:after="200" w:line="276" w:lineRule="auto"/>
        <w:jc w:val="center"/>
        <w:rPr>
          <w:rFonts w:eastAsia="Calibri"/>
          <w:b/>
          <w:szCs w:val="24"/>
        </w:rPr>
      </w:pPr>
      <w:r>
        <w:rPr>
          <w:rFonts w:eastAsia="Calibri"/>
          <w:b/>
          <w:noProof/>
          <w:szCs w:val="24"/>
        </w:rPr>
        <w:drawing>
          <wp:inline distT="0" distB="0" distL="0" distR="0">
            <wp:extent cx="2903220" cy="3291840"/>
            <wp:effectExtent l="0" t="0" r="0" b="0"/>
            <wp:docPr id="6" name="Picture 5" descr="Water-damaged ceiling tile with possible mold growth"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with possible mold growth" title="Picture 5"/>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9032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E25EC" w:rsidRDefault="006E25EC" w:rsidP="006E25EC">
      <w:pPr>
        <w:spacing w:after="200" w:line="276" w:lineRule="auto"/>
        <w:jc w:val="center"/>
        <w:rPr>
          <w:rFonts w:eastAsia="Calibri"/>
          <w:b/>
          <w:szCs w:val="24"/>
        </w:rPr>
        <w:sectPr w:rsidR="006E25EC">
          <w:footerReference w:type="default" r:id="rId25"/>
          <w:pgSz w:w="12240" w:h="15840"/>
          <w:pgMar w:top="1440" w:right="1440" w:bottom="1440" w:left="1440" w:header="720" w:footer="720" w:gutter="0"/>
          <w:cols w:space="720"/>
          <w:docGrid w:linePitch="360"/>
        </w:sectPr>
      </w:pPr>
      <w:r w:rsidRPr="006E25EC">
        <w:rPr>
          <w:rFonts w:eastAsia="Calibri"/>
          <w:b/>
          <w:szCs w:val="24"/>
        </w:rPr>
        <w:t>Water-damaged ceiling tile with possible mold growth</w:t>
      </w:r>
    </w:p>
    <w:tbl>
      <w:tblPr>
        <w:tblW w:w="8029" w:type="dxa"/>
        <w:jc w:val="center"/>
        <w:tblInd w:w="-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
        <w:gridCol w:w="1972"/>
        <w:gridCol w:w="994"/>
        <w:gridCol w:w="994"/>
        <w:gridCol w:w="4060"/>
      </w:tblGrid>
      <w:tr w:rsidR="006E25EC" w:rsidRPr="006E25EC" w:rsidTr="006B55FF">
        <w:tblPrEx>
          <w:tblCellMar>
            <w:top w:w="0" w:type="dxa"/>
            <w:bottom w:w="0" w:type="dxa"/>
          </w:tblCellMar>
        </w:tblPrEx>
        <w:trPr>
          <w:cantSplit/>
          <w:trHeight w:val="650"/>
          <w:tblHeader/>
          <w:jc w:val="center"/>
        </w:trPr>
        <w:tc>
          <w:tcPr>
            <w:tcW w:w="1981" w:type="dxa"/>
            <w:gridSpan w:val="2"/>
            <w:vAlign w:val="bottom"/>
          </w:tcPr>
          <w:p w:rsidR="006E25EC" w:rsidRPr="006E25EC" w:rsidRDefault="006E25EC" w:rsidP="006E25EC">
            <w:pPr>
              <w:keepNext/>
              <w:jc w:val="center"/>
              <w:outlineLvl w:val="0"/>
              <w:rPr>
                <w:b/>
                <w:sz w:val="22"/>
              </w:rPr>
            </w:pPr>
            <w:r w:rsidRPr="006E25EC">
              <w:rPr>
                <w:b/>
                <w:sz w:val="22"/>
              </w:rPr>
              <w:lastRenderedPageBreak/>
              <w:t>Location</w:t>
            </w:r>
          </w:p>
        </w:tc>
        <w:tc>
          <w:tcPr>
            <w:tcW w:w="994" w:type="dxa"/>
            <w:vAlign w:val="bottom"/>
          </w:tcPr>
          <w:p w:rsidR="006E25EC" w:rsidRPr="006E25EC" w:rsidRDefault="006E25EC" w:rsidP="006E25EC">
            <w:pPr>
              <w:jc w:val="center"/>
              <w:rPr>
                <w:b/>
                <w:sz w:val="18"/>
              </w:rPr>
            </w:pPr>
            <w:r w:rsidRPr="006E25EC">
              <w:rPr>
                <w:b/>
                <w:sz w:val="18"/>
              </w:rPr>
              <w:t>Temp</w:t>
            </w:r>
          </w:p>
          <w:p w:rsidR="006E25EC" w:rsidRPr="006E25EC" w:rsidRDefault="006E25EC" w:rsidP="006E25EC">
            <w:pPr>
              <w:jc w:val="center"/>
              <w:rPr>
                <w:b/>
                <w:sz w:val="18"/>
              </w:rPr>
            </w:pPr>
            <w:r w:rsidRPr="006E25EC">
              <w:rPr>
                <w:b/>
                <w:sz w:val="18"/>
              </w:rPr>
              <w:t>(°F)</w:t>
            </w:r>
          </w:p>
        </w:tc>
        <w:tc>
          <w:tcPr>
            <w:tcW w:w="994" w:type="dxa"/>
            <w:vAlign w:val="bottom"/>
          </w:tcPr>
          <w:p w:rsidR="006E25EC" w:rsidRPr="006E25EC" w:rsidRDefault="006E25EC" w:rsidP="006E25EC">
            <w:pPr>
              <w:jc w:val="center"/>
              <w:rPr>
                <w:b/>
                <w:sz w:val="18"/>
              </w:rPr>
            </w:pPr>
            <w:r w:rsidRPr="006E25EC">
              <w:rPr>
                <w:b/>
                <w:sz w:val="18"/>
              </w:rPr>
              <w:t>Relative</w:t>
            </w:r>
          </w:p>
          <w:p w:rsidR="006E25EC" w:rsidRPr="006E25EC" w:rsidRDefault="006E25EC" w:rsidP="006E25EC">
            <w:pPr>
              <w:jc w:val="center"/>
              <w:rPr>
                <w:b/>
                <w:sz w:val="18"/>
              </w:rPr>
            </w:pPr>
            <w:r w:rsidRPr="006E25EC">
              <w:rPr>
                <w:b/>
                <w:sz w:val="18"/>
              </w:rPr>
              <w:t>Humidity</w:t>
            </w:r>
          </w:p>
          <w:p w:rsidR="006E25EC" w:rsidRPr="006E25EC" w:rsidRDefault="006E25EC" w:rsidP="006E25EC">
            <w:pPr>
              <w:jc w:val="center"/>
              <w:rPr>
                <w:b/>
                <w:sz w:val="18"/>
              </w:rPr>
            </w:pPr>
            <w:r w:rsidRPr="006E25EC">
              <w:rPr>
                <w:b/>
                <w:sz w:val="18"/>
              </w:rPr>
              <w:t>(%)</w:t>
            </w:r>
          </w:p>
        </w:tc>
        <w:tc>
          <w:tcPr>
            <w:tcW w:w="4060" w:type="dxa"/>
            <w:vAlign w:val="bottom"/>
          </w:tcPr>
          <w:p w:rsidR="006E25EC" w:rsidRPr="006E25EC" w:rsidRDefault="006E25EC" w:rsidP="006E25EC">
            <w:pPr>
              <w:jc w:val="center"/>
              <w:rPr>
                <w:b/>
                <w:sz w:val="18"/>
              </w:rPr>
            </w:pPr>
            <w:r w:rsidRPr="006E25EC">
              <w:rPr>
                <w:b/>
                <w:sz w:val="18"/>
              </w:rPr>
              <w:t>Moisture Testing/Remarks</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Background (outside)</w:t>
            </w:r>
          </w:p>
        </w:tc>
        <w:tc>
          <w:tcPr>
            <w:tcW w:w="994" w:type="dxa"/>
            <w:vAlign w:val="center"/>
          </w:tcPr>
          <w:p w:rsidR="006E25EC" w:rsidRPr="006E25EC" w:rsidRDefault="006E25EC" w:rsidP="006E25EC">
            <w:pPr>
              <w:spacing w:before="60" w:after="60"/>
              <w:jc w:val="center"/>
              <w:rPr>
                <w:sz w:val="20"/>
              </w:rPr>
            </w:pPr>
            <w:r w:rsidRPr="006E25EC">
              <w:rPr>
                <w:sz w:val="20"/>
              </w:rPr>
              <w:t>71</w:t>
            </w:r>
          </w:p>
        </w:tc>
        <w:tc>
          <w:tcPr>
            <w:tcW w:w="994" w:type="dxa"/>
            <w:vAlign w:val="center"/>
          </w:tcPr>
          <w:p w:rsidR="006E25EC" w:rsidRPr="006E25EC" w:rsidRDefault="006E25EC" w:rsidP="006E25EC">
            <w:pPr>
              <w:spacing w:before="60" w:after="60"/>
              <w:jc w:val="center"/>
              <w:rPr>
                <w:sz w:val="20"/>
              </w:rPr>
            </w:pPr>
            <w:r w:rsidRPr="006E25EC">
              <w:rPr>
                <w:sz w:val="20"/>
              </w:rPr>
              <w:t>67</w:t>
            </w:r>
          </w:p>
        </w:tc>
        <w:tc>
          <w:tcPr>
            <w:tcW w:w="4060" w:type="dxa"/>
            <w:tcBorders>
              <w:left w:val="nil"/>
            </w:tcBorders>
            <w:vAlign w:val="center"/>
          </w:tcPr>
          <w:p w:rsidR="006E25EC" w:rsidRPr="006E25EC" w:rsidRDefault="006E25EC" w:rsidP="006E25EC">
            <w:pPr>
              <w:spacing w:before="60" w:after="60"/>
              <w:rPr>
                <w:sz w:val="20"/>
              </w:rPr>
            </w:pPr>
            <w:r w:rsidRPr="006E25EC">
              <w:rPr>
                <w:sz w:val="20"/>
              </w:rPr>
              <w:t>Cool, mostly sunny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Reception</w:t>
            </w:r>
          </w:p>
        </w:tc>
        <w:tc>
          <w:tcPr>
            <w:tcW w:w="994" w:type="dxa"/>
            <w:vAlign w:val="center"/>
          </w:tcPr>
          <w:p w:rsidR="006E25EC" w:rsidRPr="006E25EC" w:rsidRDefault="006E25EC" w:rsidP="006E25EC">
            <w:pPr>
              <w:spacing w:before="60" w:after="60"/>
              <w:jc w:val="center"/>
              <w:rPr>
                <w:sz w:val="20"/>
              </w:rPr>
            </w:pPr>
            <w:r w:rsidRPr="006E25EC">
              <w:rPr>
                <w:sz w:val="20"/>
              </w:rPr>
              <w:t>73</w:t>
            </w:r>
          </w:p>
        </w:tc>
        <w:tc>
          <w:tcPr>
            <w:tcW w:w="994" w:type="dxa"/>
            <w:vAlign w:val="center"/>
          </w:tcPr>
          <w:p w:rsidR="006E25EC" w:rsidRPr="006E25EC" w:rsidRDefault="006E25EC" w:rsidP="006E25EC">
            <w:pPr>
              <w:spacing w:before="60" w:after="60"/>
              <w:jc w:val="center"/>
              <w:rPr>
                <w:sz w:val="20"/>
              </w:rPr>
            </w:pPr>
            <w:r w:rsidRPr="006E25EC">
              <w:rPr>
                <w:sz w:val="20"/>
              </w:rPr>
              <w:t>53</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Work Cubicle</w:t>
            </w:r>
          </w:p>
        </w:tc>
        <w:tc>
          <w:tcPr>
            <w:tcW w:w="994" w:type="dxa"/>
            <w:vAlign w:val="center"/>
          </w:tcPr>
          <w:p w:rsidR="006E25EC" w:rsidRPr="006E25EC" w:rsidRDefault="006E25EC" w:rsidP="006E25EC">
            <w:pPr>
              <w:spacing w:before="60" w:after="60"/>
              <w:jc w:val="center"/>
              <w:rPr>
                <w:sz w:val="20"/>
              </w:rPr>
            </w:pPr>
            <w:r w:rsidRPr="006E25EC">
              <w:rPr>
                <w:sz w:val="20"/>
              </w:rPr>
              <w:t>73</w:t>
            </w:r>
          </w:p>
        </w:tc>
        <w:tc>
          <w:tcPr>
            <w:tcW w:w="994" w:type="dxa"/>
            <w:vAlign w:val="center"/>
          </w:tcPr>
          <w:p w:rsidR="006E25EC" w:rsidRPr="006E25EC" w:rsidRDefault="006E25EC" w:rsidP="006E25EC">
            <w:pPr>
              <w:spacing w:before="60" w:after="60"/>
              <w:jc w:val="center"/>
              <w:rPr>
                <w:sz w:val="20"/>
              </w:rPr>
            </w:pPr>
            <w:r w:rsidRPr="006E25EC">
              <w:rPr>
                <w:sz w:val="20"/>
              </w:rPr>
              <w:t>53</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tiles</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Left Hallway</w:t>
            </w:r>
          </w:p>
        </w:tc>
        <w:tc>
          <w:tcPr>
            <w:tcW w:w="994" w:type="dxa"/>
            <w:vAlign w:val="center"/>
          </w:tcPr>
          <w:p w:rsidR="006E25EC" w:rsidRPr="006E25EC" w:rsidRDefault="006E25EC" w:rsidP="006E25EC">
            <w:pPr>
              <w:spacing w:before="60" w:after="60"/>
              <w:jc w:val="center"/>
              <w:rPr>
                <w:sz w:val="20"/>
              </w:rPr>
            </w:pPr>
            <w:r w:rsidRPr="006E25EC">
              <w:rPr>
                <w:sz w:val="20"/>
              </w:rPr>
              <w:t>71</w:t>
            </w:r>
          </w:p>
        </w:tc>
        <w:tc>
          <w:tcPr>
            <w:tcW w:w="994" w:type="dxa"/>
            <w:vAlign w:val="center"/>
          </w:tcPr>
          <w:p w:rsidR="006E25EC" w:rsidRPr="006E25EC" w:rsidRDefault="006E25EC" w:rsidP="006E25EC">
            <w:pPr>
              <w:spacing w:before="60" w:after="60"/>
              <w:jc w:val="center"/>
              <w:rPr>
                <w:sz w:val="20"/>
              </w:rPr>
            </w:pPr>
            <w:r w:rsidRPr="006E25EC">
              <w:rPr>
                <w:sz w:val="20"/>
              </w:rPr>
              <w:t>54</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Right Hallway - Rear</w:t>
            </w:r>
          </w:p>
        </w:tc>
        <w:tc>
          <w:tcPr>
            <w:tcW w:w="994" w:type="dxa"/>
            <w:vAlign w:val="center"/>
          </w:tcPr>
          <w:p w:rsidR="006E25EC" w:rsidRPr="006E25EC" w:rsidRDefault="006E25EC" w:rsidP="006E25EC">
            <w:pPr>
              <w:spacing w:before="60" w:after="60"/>
              <w:jc w:val="center"/>
              <w:rPr>
                <w:sz w:val="20"/>
              </w:rPr>
            </w:pPr>
            <w:r w:rsidRPr="006E25EC">
              <w:rPr>
                <w:sz w:val="20"/>
              </w:rPr>
              <w:t>72</w:t>
            </w:r>
          </w:p>
        </w:tc>
        <w:tc>
          <w:tcPr>
            <w:tcW w:w="994" w:type="dxa"/>
            <w:vAlign w:val="center"/>
          </w:tcPr>
          <w:p w:rsidR="006E25EC" w:rsidRPr="006E25EC" w:rsidRDefault="006E25EC" w:rsidP="006E25EC">
            <w:pPr>
              <w:spacing w:before="60" w:after="60"/>
              <w:jc w:val="center"/>
              <w:rPr>
                <w:sz w:val="20"/>
              </w:rPr>
            </w:pPr>
            <w:r w:rsidRPr="006E25EC">
              <w:rPr>
                <w:sz w:val="20"/>
              </w:rPr>
              <w:t>54</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w:t>
            </w:r>
          </w:p>
        </w:tc>
      </w:tr>
      <w:tr w:rsidR="006E25EC" w:rsidRPr="006E25EC" w:rsidTr="006B55FF">
        <w:tblPrEx>
          <w:tblCellMar>
            <w:top w:w="0" w:type="dxa"/>
            <w:bottom w:w="0" w:type="dxa"/>
          </w:tblCellMar>
        </w:tblPrEx>
        <w:trPr>
          <w:gridBefore w:val="1"/>
          <w:wBefore w:w="9" w:type="dxa"/>
          <w:trHeight w:val="606"/>
          <w:jc w:val="center"/>
        </w:trPr>
        <w:tc>
          <w:tcPr>
            <w:tcW w:w="1972" w:type="dxa"/>
            <w:vAlign w:val="center"/>
          </w:tcPr>
          <w:p w:rsidR="006E25EC" w:rsidRPr="006E25EC" w:rsidRDefault="006E25EC" w:rsidP="006E25EC">
            <w:pPr>
              <w:spacing w:before="60" w:after="60"/>
              <w:rPr>
                <w:sz w:val="20"/>
              </w:rPr>
            </w:pPr>
            <w:r w:rsidRPr="006E25EC">
              <w:rPr>
                <w:sz w:val="20"/>
              </w:rPr>
              <w:t>Right Hallway - Mid</w:t>
            </w:r>
          </w:p>
        </w:tc>
        <w:tc>
          <w:tcPr>
            <w:tcW w:w="994" w:type="dxa"/>
            <w:vAlign w:val="center"/>
          </w:tcPr>
          <w:p w:rsidR="006E25EC" w:rsidRPr="006E25EC" w:rsidRDefault="006E25EC" w:rsidP="006E25EC">
            <w:pPr>
              <w:spacing w:before="60" w:after="60"/>
              <w:jc w:val="center"/>
              <w:rPr>
                <w:sz w:val="20"/>
              </w:rPr>
            </w:pPr>
            <w:r w:rsidRPr="006E25EC">
              <w:rPr>
                <w:sz w:val="20"/>
              </w:rPr>
              <w:t>72</w:t>
            </w:r>
          </w:p>
        </w:tc>
        <w:tc>
          <w:tcPr>
            <w:tcW w:w="994" w:type="dxa"/>
            <w:vAlign w:val="center"/>
          </w:tcPr>
          <w:p w:rsidR="006E25EC" w:rsidRPr="006E25EC" w:rsidRDefault="006E25EC" w:rsidP="006E25EC">
            <w:pPr>
              <w:spacing w:before="60" w:after="60"/>
              <w:jc w:val="center"/>
              <w:rPr>
                <w:sz w:val="20"/>
              </w:rPr>
            </w:pPr>
            <w:r w:rsidRPr="006E25EC">
              <w:rPr>
                <w:sz w:val="20"/>
              </w:rPr>
              <w:t>53</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tiles</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Right Hallway – Front</w:t>
            </w:r>
          </w:p>
        </w:tc>
        <w:tc>
          <w:tcPr>
            <w:tcW w:w="994" w:type="dxa"/>
            <w:vAlign w:val="center"/>
          </w:tcPr>
          <w:p w:rsidR="006E25EC" w:rsidRPr="006E25EC" w:rsidRDefault="006E25EC" w:rsidP="006E25EC">
            <w:pPr>
              <w:spacing w:before="60" w:after="60"/>
              <w:jc w:val="center"/>
              <w:rPr>
                <w:sz w:val="20"/>
              </w:rPr>
            </w:pPr>
            <w:r w:rsidRPr="006E25EC">
              <w:rPr>
                <w:sz w:val="20"/>
              </w:rPr>
              <w:t>72</w:t>
            </w:r>
          </w:p>
        </w:tc>
        <w:tc>
          <w:tcPr>
            <w:tcW w:w="994" w:type="dxa"/>
            <w:vAlign w:val="center"/>
          </w:tcPr>
          <w:p w:rsidR="006E25EC" w:rsidRPr="006E25EC" w:rsidRDefault="006E25EC" w:rsidP="006E25EC">
            <w:pPr>
              <w:spacing w:before="60" w:after="60"/>
              <w:jc w:val="center"/>
              <w:rPr>
                <w:sz w:val="20"/>
              </w:rPr>
            </w:pPr>
            <w:r w:rsidRPr="006E25EC">
              <w:rPr>
                <w:sz w:val="20"/>
              </w:rPr>
              <w:t>53</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Small Conference Room</w:t>
            </w:r>
          </w:p>
        </w:tc>
        <w:tc>
          <w:tcPr>
            <w:tcW w:w="994" w:type="dxa"/>
            <w:vAlign w:val="center"/>
          </w:tcPr>
          <w:p w:rsidR="006E25EC" w:rsidRPr="006E25EC" w:rsidRDefault="006E25EC" w:rsidP="006E25EC">
            <w:pPr>
              <w:spacing w:before="60" w:after="60"/>
              <w:jc w:val="center"/>
              <w:rPr>
                <w:sz w:val="20"/>
              </w:rPr>
            </w:pPr>
            <w:r w:rsidRPr="006E25EC">
              <w:rPr>
                <w:sz w:val="20"/>
              </w:rPr>
              <w:t>72</w:t>
            </w:r>
          </w:p>
        </w:tc>
        <w:tc>
          <w:tcPr>
            <w:tcW w:w="994" w:type="dxa"/>
            <w:vAlign w:val="center"/>
          </w:tcPr>
          <w:p w:rsidR="006E25EC" w:rsidRPr="006E25EC" w:rsidRDefault="006E25EC" w:rsidP="006E25EC">
            <w:pPr>
              <w:spacing w:before="60" w:after="60"/>
              <w:jc w:val="center"/>
              <w:rPr>
                <w:sz w:val="20"/>
              </w:rPr>
            </w:pPr>
            <w:r w:rsidRPr="006E25EC">
              <w:rPr>
                <w:sz w:val="20"/>
              </w:rPr>
              <w:t>56</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tiles - dry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Large Conference Room</w:t>
            </w:r>
          </w:p>
        </w:tc>
        <w:tc>
          <w:tcPr>
            <w:tcW w:w="994" w:type="dxa"/>
            <w:vAlign w:val="center"/>
          </w:tcPr>
          <w:p w:rsidR="006E25EC" w:rsidRPr="006E25EC" w:rsidRDefault="006E25EC" w:rsidP="006E25EC">
            <w:pPr>
              <w:spacing w:before="60" w:after="60"/>
              <w:jc w:val="center"/>
              <w:rPr>
                <w:sz w:val="20"/>
              </w:rPr>
            </w:pPr>
            <w:r w:rsidRPr="006E25EC">
              <w:rPr>
                <w:sz w:val="20"/>
              </w:rPr>
              <w:t>71</w:t>
            </w:r>
          </w:p>
        </w:tc>
        <w:tc>
          <w:tcPr>
            <w:tcW w:w="994" w:type="dxa"/>
            <w:vAlign w:val="center"/>
          </w:tcPr>
          <w:p w:rsidR="006E25EC" w:rsidRPr="006E25EC" w:rsidRDefault="006E25EC" w:rsidP="006E25EC">
            <w:pPr>
              <w:spacing w:before="60" w:after="60"/>
              <w:jc w:val="center"/>
              <w:rPr>
                <w:sz w:val="20"/>
              </w:rPr>
            </w:pPr>
            <w:r w:rsidRPr="006E25EC">
              <w:rPr>
                <w:sz w:val="20"/>
              </w:rPr>
              <w:t>52</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tiles</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proofErr w:type="spellStart"/>
            <w:r w:rsidRPr="006E25EC">
              <w:rPr>
                <w:sz w:val="20"/>
              </w:rPr>
              <w:lastRenderedPageBreak/>
              <w:t>Enegren</w:t>
            </w:r>
            <w:proofErr w:type="spellEnd"/>
            <w:r w:rsidRPr="006E25EC">
              <w:rPr>
                <w:sz w:val="20"/>
              </w:rPr>
              <w:t xml:space="preserve"> Office</w:t>
            </w:r>
          </w:p>
        </w:tc>
        <w:tc>
          <w:tcPr>
            <w:tcW w:w="994" w:type="dxa"/>
            <w:vAlign w:val="center"/>
          </w:tcPr>
          <w:p w:rsidR="006E25EC" w:rsidRPr="006E25EC" w:rsidRDefault="006E25EC" w:rsidP="006E25EC">
            <w:pPr>
              <w:spacing w:before="60" w:after="60"/>
              <w:jc w:val="center"/>
              <w:rPr>
                <w:sz w:val="20"/>
              </w:rPr>
            </w:pPr>
            <w:r w:rsidRPr="006E25EC">
              <w:rPr>
                <w:sz w:val="20"/>
              </w:rPr>
              <w:t>73</w:t>
            </w:r>
          </w:p>
        </w:tc>
        <w:tc>
          <w:tcPr>
            <w:tcW w:w="994" w:type="dxa"/>
            <w:vAlign w:val="center"/>
          </w:tcPr>
          <w:p w:rsidR="006E25EC" w:rsidRPr="006E25EC" w:rsidRDefault="006E25EC" w:rsidP="006E25EC">
            <w:pPr>
              <w:spacing w:before="60" w:after="60"/>
              <w:jc w:val="center"/>
              <w:rPr>
                <w:sz w:val="20"/>
              </w:rPr>
            </w:pPr>
            <w:r w:rsidRPr="006E25EC">
              <w:rPr>
                <w:sz w:val="20"/>
              </w:rPr>
              <w:t>56</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p w:rsidR="006E25EC" w:rsidRPr="006E25EC" w:rsidRDefault="006E25EC" w:rsidP="006E25EC">
            <w:pPr>
              <w:spacing w:before="60" w:after="60"/>
              <w:rPr>
                <w:sz w:val="20"/>
              </w:rPr>
            </w:pPr>
            <w:r w:rsidRPr="006E25EC">
              <w:rPr>
                <w:sz w:val="20"/>
              </w:rPr>
              <w:t>Water-damaged ceiling tile possible mold growth (light grey staining)</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Germaine Office</w:t>
            </w:r>
          </w:p>
        </w:tc>
        <w:tc>
          <w:tcPr>
            <w:tcW w:w="994" w:type="dxa"/>
            <w:vAlign w:val="center"/>
          </w:tcPr>
          <w:p w:rsidR="006E25EC" w:rsidRPr="006E25EC" w:rsidRDefault="006E25EC" w:rsidP="006E25EC">
            <w:pPr>
              <w:spacing w:before="60" w:after="60"/>
              <w:jc w:val="center"/>
              <w:rPr>
                <w:sz w:val="20"/>
              </w:rPr>
            </w:pPr>
            <w:r w:rsidRPr="006E25EC">
              <w:rPr>
                <w:sz w:val="20"/>
              </w:rPr>
              <w:t>73</w:t>
            </w:r>
          </w:p>
        </w:tc>
        <w:tc>
          <w:tcPr>
            <w:tcW w:w="994" w:type="dxa"/>
            <w:vAlign w:val="center"/>
          </w:tcPr>
          <w:p w:rsidR="006E25EC" w:rsidRPr="006E25EC" w:rsidRDefault="006E25EC" w:rsidP="006E25EC">
            <w:pPr>
              <w:spacing w:before="60" w:after="60"/>
              <w:jc w:val="center"/>
              <w:rPr>
                <w:sz w:val="20"/>
              </w:rPr>
            </w:pPr>
            <w:r w:rsidRPr="006E25EC">
              <w:rPr>
                <w:sz w:val="20"/>
              </w:rPr>
              <w:t>55</w:t>
            </w: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Carpet – dry</w:t>
            </w:r>
          </w:p>
          <w:p w:rsidR="006E25EC" w:rsidRPr="006E25EC" w:rsidRDefault="006E25EC" w:rsidP="006E25EC">
            <w:pPr>
              <w:spacing w:before="60" w:after="60"/>
              <w:rPr>
                <w:sz w:val="20"/>
              </w:rPr>
            </w:pPr>
            <w:r w:rsidRPr="006E25EC">
              <w:rPr>
                <w:sz w:val="20"/>
              </w:rPr>
              <w:t>Gypsum wallboard – dry</w:t>
            </w:r>
          </w:p>
        </w:tc>
      </w:tr>
      <w:tr w:rsidR="006E25EC" w:rsidRPr="006E25EC" w:rsidTr="006B55FF">
        <w:tblPrEx>
          <w:tblCellMar>
            <w:top w:w="0" w:type="dxa"/>
            <w:bottom w:w="0" w:type="dxa"/>
          </w:tblCellMar>
        </w:tblPrEx>
        <w:trPr>
          <w:gridBefore w:val="1"/>
          <w:wBefore w:w="9" w:type="dxa"/>
          <w:trHeight w:val="560"/>
          <w:jc w:val="center"/>
        </w:trPr>
        <w:tc>
          <w:tcPr>
            <w:tcW w:w="1972" w:type="dxa"/>
            <w:vAlign w:val="center"/>
          </w:tcPr>
          <w:p w:rsidR="006E25EC" w:rsidRPr="006E25EC" w:rsidRDefault="006E25EC" w:rsidP="006E25EC">
            <w:pPr>
              <w:spacing w:before="60" w:after="60"/>
              <w:rPr>
                <w:sz w:val="20"/>
              </w:rPr>
            </w:pPr>
            <w:r w:rsidRPr="006E25EC">
              <w:rPr>
                <w:sz w:val="20"/>
              </w:rPr>
              <w:t>Rear restroom</w:t>
            </w:r>
          </w:p>
        </w:tc>
        <w:tc>
          <w:tcPr>
            <w:tcW w:w="994" w:type="dxa"/>
            <w:vAlign w:val="center"/>
          </w:tcPr>
          <w:p w:rsidR="006E25EC" w:rsidRPr="006E25EC" w:rsidRDefault="006E25EC" w:rsidP="006E25EC">
            <w:pPr>
              <w:spacing w:before="60" w:after="60"/>
              <w:jc w:val="center"/>
              <w:rPr>
                <w:sz w:val="20"/>
              </w:rPr>
            </w:pPr>
          </w:p>
        </w:tc>
        <w:tc>
          <w:tcPr>
            <w:tcW w:w="994" w:type="dxa"/>
            <w:vAlign w:val="center"/>
          </w:tcPr>
          <w:p w:rsidR="006E25EC" w:rsidRPr="006E25EC" w:rsidRDefault="006E25EC" w:rsidP="006E25EC">
            <w:pPr>
              <w:spacing w:before="60" w:after="60"/>
              <w:jc w:val="center"/>
              <w:rPr>
                <w:sz w:val="20"/>
              </w:rPr>
            </w:pPr>
          </w:p>
        </w:tc>
        <w:tc>
          <w:tcPr>
            <w:tcW w:w="4060" w:type="dxa"/>
            <w:tcBorders>
              <w:left w:val="nil"/>
            </w:tcBorders>
            <w:vAlign w:val="center"/>
          </w:tcPr>
          <w:p w:rsidR="006E25EC" w:rsidRPr="006E25EC" w:rsidRDefault="006E25EC" w:rsidP="006E25EC">
            <w:pPr>
              <w:tabs>
                <w:tab w:val="center" w:pos="4320"/>
                <w:tab w:val="right" w:pos="8640"/>
              </w:tabs>
              <w:spacing w:before="60" w:after="60"/>
              <w:rPr>
                <w:sz w:val="20"/>
              </w:rPr>
            </w:pPr>
            <w:r w:rsidRPr="006E25EC">
              <w:rPr>
                <w:sz w:val="20"/>
              </w:rPr>
              <w:t>Water-damaged ceiling tile</w:t>
            </w:r>
          </w:p>
        </w:tc>
      </w:tr>
    </w:tbl>
    <w:p w:rsidR="006E25EC" w:rsidRPr="006E25EC" w:rsidRDefault="006E25EC" w:rsidP="006E25EC">
      <w:pPr>
        <w:tabs>
          <w:tab w:val="left" w:pos="12860"/>
        </w:tabs>
        <w:rPr>
          <w:sz w:val="20"/>
        </w:rPr>
      </w:pPr>
      <w:r w:rsidRPr="006E25EC">
        <w:rPr>
          <w:sz w:val="20"/>
        </w:rPr>
        <w:tab/>
      </w:r>
    </w:p>
    <w:p w:rsidR="00F34BD4" w:rsidRPr="006E25EC" w:rsidRDefault="00F34BD4" w:rsidP="006E25EC">
      <w:pPr>
        <w:spacing w:after="200" w:line="276" w:lineRule="auto"/>
        <w:jc w:val="center"/>
        <w:rPr>
          <w:rFonts w:ascii="Calibri" w:eastAsia="Calibri" w:hAnsi="Calibri"/>
          <w:sz w:val="22"/>
          <w:szCs w:val="22"/>
        </w:rPr>
      </w:pPr>
    </w:p>
    <w:sectPr w:rsidR="00F34BD4" w:rsidRPr="006E25EC" w:rsidSect="006E25EC">
      <w:headerReference w:type="even" r:id="rId26"/>
      <w:headerReference w:type="default" r:id="rId27"/>
      <w:footerReference w:type="even" r:id="rId28"/>
      <w:footerReference w:type="default" r:id="rId29"/>
      <w:headerReference w:type="first" r:id="rId30"/>
      <w:footerReference w:type="first" r:id="rId31"/>
      <w:pgSz w:w="15840" w:h="12240" w:orient="landscape" w:code="1"/>
      <w:pgMar w:top="36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FC" w:rsidRDefault="00545CFC">
      <w:r>
        <w:separator/>
      </w:r>
    </w:p>
  </w:endnote>
  <w:endnote w:type="continuationSeparator" w:id="0">
    <w:p w:rsidR="00545CFC" w:rsidRDefault="0054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85E">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EC" w:rsidRDefault="006E25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EC" w:rsidRDefault="006E25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FF" w:rsidRDefault="006B55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jc w:val="center"/>
      <w:tblInd w:w="-1118" w:type="dxa"/>
      <w:tblLayout w:type="fixed"/>
      <w:tblLook w:val="0000" w:firstRow="0" w:lastRow="0" w:firstColumn="0" w:lastColumn="0" w:noHBand="0" w:noVBand="0"/>
    </w:tblPr>
    <w:tblGrid>
      <w:gridCol w:w="1020"/>
      <w:gridCol w:w="3407"/>
      <w:gridCol w:w="2562"/>
      <w:gridCol w:w="1980"/>
      <w:gridCol w:w="1890"/>
      <w:gridCol w:w="2819"/>
    </w:tblGrid>
    <w:tr w:rsidR="006B55FF" w:rsidRPr="00F374D5" w:rsidTr="006B55FF">
      <w:trPr>
        <w:gridAfter w:val="1"/>
        <w:wAfter w:w="2819" w:type="dxa"/>
        <w:trHeight w:val="313"/>
        <w:jc w:val="center"/>
      </w:trPr>
      <w:tc>
        <w:tcPr>
          <w:tcW w:w="4427" w:type="dxa"/>
          <w:gridSpan w:val="2"/>
          <w:tcBorders>
            <w:top w:val="nil"/>
            <w:left w:val="nil"/>
            <w:bottom w:val="nil"/>
            <w:right w:val="nil"/>
          </w:tcBorders>
          <w:vAlign w:val="bottom"/>
        </w:tcPr>
        <w:p w:rsidR="006B55FF" w:rsidRPr="00F374D5" w:rsidRDefault="006B55FF" w:rsidP="006B55FF">
          <w:pPr>
            <w:rPr>
              <w:rFonts w:ascii="Times" w:hAnsi="Times" w:cs="Times"/>
              <w:sz w:val="20"/>
            </w:rPr>
          </w:pPr>
        </w:p>
      </w:tc>
      <w:tc>
        <w:tcPr>
          <w:tcW w:w="2562" w:type="dxa"/>
          <w:tcBorders>
            <w:top w:val="nil"/>
            <w:left w:val="nil"/>
            <w:bottom w:val="nil"/>
            <w:right w:val="nil"/>
          </w:tcBorders>
          <w:shd w:val="clear" w:color="auto" w:fill="auto"/>
          <w:noWrap/>
          <w:vAlign w:val="bottom"/>
        </w:tcPr>
        <w:p w:rsidR="006B55FF" w:rsidRPr="00F374D5" w:rsidRDefault="006B55FF" w:rsidP="006B55FF">
          <w:pPr>
            <w:jc w:val="both"/>
            <w:rPr>
              <w:rFonts w:ascii="Times" w:hAnsi="Times" w:cs="Times"/>
              <w:sz w:val="20"/>
            </w:rPr>
          </w:pPr>
        </w:p>
      </w:tc>
      <w:tc>
        <w:tcPr>
          <w:tcW w:w="1980" w:type="dxa"/>
          <w:tcBorders>
            <w:top w:val="nil"/>
            <w:left w:val="nil"/>
            <w:bottom w:val="nil"/>
            <w:right w:val="nil"/>
          </w:tcBorders>
          <w:shd w:val="clear" w:color="auto" w:fill="auto"/>
          <w:noWrap/>
          <w:vAlign w:val="bottom"/>
        </w:tcPr>
        <w:p w:rsidR="006B55FF" w:rsidRPr="00F374D5" w:rsidRDefault="006B55FF" w:rsidP="006B55FF">
          <w:pPr>
            <w:jc w:val="both"/>
            <w:rPr>
              <w:rFonts w:ascii="Times" w:hAnsi="Times" w:cs="Times"/>
              <w:sz w:val="20"/>
            </w:rPr>
          </w:pPr>
        </w:p>
      </w:tc>
      <w:tc>
        <w:tcPr>
          <w:tcW w:w="1890" w:type="dxa"/>
          <w:tcBorders>
            <w:top w:val="nil"/>
            <w:left w:val="nil"/>
            <w:bottom w:val="nil"/>
            <w:right w:val="nil"/>
          </w:tcBorders>
          <w:shd w:val="clear" w:color="auto" w:fill="auto"/>
          <w:noWrap/>
          <w:vAlign w:val="bottom"/>
        </w:tcPr>
        <w:p w:rsidR="006B55FF" w:rsidRPr="00F374D5" w:rsidRDefault="006B55FF" w:rsidP="006B55FF">
          <w:pPr>
            <w:jc w:val="both"/>
            <w:rPr>
              <w:rFonts w:ascii="Times" w:hAnsi="Times" w:cs="Times"/>
              <w:sz w:val="20"/>
            </w:rPr>
          </w:pPr>
        </w:p>
      </w:tc>
    </w:tr>
    <w:tr w:rsidR="006B55FF" w:rsidRPr="00F374D5" w:rsidTr="006B55FF">
      <w:trPr>
        <w:gridBefore w:val="1"/>
        <w:wBefore w:w="1020" w:type="dxa"/>
        <w:trHeight w:val="300"/>
        <w:jc w:val="center"/>
      </w:trPr>
      <w:tc>
        <w:tcPr>
          <w:tcW w:w="3407" w:type="dxa"/>
          <w:tcBorders>
            <w:top w:val="nil"/>
            <w:left w:val="nil"/>
            <w:bottom w:val="nil"/>
            <w:right w:val="nil"/>
          </w:tcBorders>
        </w:tcPr>
        <w:p w:rsidR="006B55FF" w:rsidRPr="00F374D5" w:rsidRDefault="006B55FF" w:rsidP="006B55FF">
          <w:pPr>
            <w:rPr>
              <w:rFonts w:ascii="Times" w:hAnsi="Times" w:cs="Times"/>
              <w:sz w:val="20"/>
            </w:rPr>
          </w:pPr>
        </w:p>
      </w:tc>
      <w:tc>
        <w:tcPr>
          <w:tcW w:w="2562" w:type="dxa"/>
          <w:tcBorders>
            <w:top w:val="nil"/>
            <w:left w:val="nil"/>
            <w:bottom w:val="nil"/>
            <w:right w:val="nil"/>
          </w:tcBorders>
          <w:shd w:val="clear" w:color="auto" w:fill="auto"/>
          <w:noWrap/>
          <w:vAlign w:val="bottom"/>
        </w:tcPr>
        <w:p w:rsidR="006B55FF" w:rsidRPr="00F374D5" w:rsidRDefault="006B55FF" w:rsidP="006B55FF">
          <w:pPr>
            <w:rPr>
              <w:rFonts w:ascii="Times" w:hAnsi="Times" w:cs="Times"/>
              <w:sz w:val="20"/>
            </w:rPr>
          </w:pPr>
        </w:p>
      </w:tc>
      <w:tc>
        <w:tcPr>
          <w:tcW w:w="1980" w:type="dxa"/>
          <w:tcBorders>
            <w:top w:val="nil"/>
            <w:left w:val="nil"/>
            <w:bottom w:val="nil"/>
            <w:right w:val="nil"/>
          </w:tcBorders>
          <w:shd w:val="clear" w:color="auto" w:fill="auto"/>
          <w:noWrap/>
          <w:vAlign w:val="bottom"/>
        </w:tcPr>
        <w:p w:rsidR="006B55FF" w:rsidRPr="00F374D5" w:rsidRDefault="006B55FF" w:rsidP="006B55FF">
          <w:pPr>
            <w:rPr>
              <w:rFonts w:ascii="Times" w:hAnsi="Times" w:cs="Times"/>
              <w:sz w:val="20"/>
            </w:rPr>
          </w:pPr>
        </w:p>
      </w:tc>
      <w:tc>
        <w:tcPr>
          <w:tcW w:w="4709" w:type="dxa"/>
          <w:gridSpan w:val="2"/>
          <w:tcBorders>
            <w:top w:val="nil"/>
            <w:left w:val="nil"/>
            <w:bottom w:val="nil"/>
            <w:right w:val="nil"/>
          </w:tcBorders>
          <w:shd w:val="clear" w:color="auto" w:fill="auto"/>
          <w:noWrap/>
          <w:vAlign w:val="bottom"/>
        </w:tcPr>
        <w:p w:rsidR="006B55FF" w:rsidRPr="00F374D5" w:rsidRDefault="006B55FF" w:rsidP="006B55FF">
          <w:pPr>
            <w:rPr>
              <w:rFonts w:ascii="Times" w:hAnsi="Times" w:cs="Times"/>
              <w:sz w:val="20"/>
            </w:rPr>
          </w:pPr>
        </w:p>
      </w:tc>
    </w:tr>
  </w:tbl>
  <w:p w:rsidR="006B55FF" w:rsidRDefault="006B55FF" w:rsidP="006B55FF">
    <w:pPr>
      <w:tabs>
        <w:tab w:val="left" w:pos="1452"/>
      </w:tabs>
    </w:pPr>
    <w:r>
      <w:rPr>
        <w:sz w:val="20"/>
      </w:rPr>
      <w:tab/>
    </w:r>
    <w:r>
      <w:rPr>
        <w:sz w:val="20"/>
      </w:rPr>
      <w:tab/>
    </w:r>
    <w:r>
      <w:rPr>
        <w:sz w:val="20"/>
      </w:rPr>
      <w:tab/>
    </w:r>
    <w:r>
      <w:rPr>
        <w:sz w:val="20"/>
      </w:rPr>
      <w:tab/>
    </w:r>
    <w:r>
      <w:rPr>
        <w:sz w:val="20"/>
      </w:rPr>
      <w:tab/>
    </w:r>
    <w:r>
      <w:rPr>
        <w:sz w:val="20"/>
      </w:rPr>
      <w:tab/>
      <w:t>C</w:t>
    </w:r>
    <w:r>
      <w:rPr>
        <w:b/>
        <w:sz w:val="20"/>
      </w:rPr>
      <w:t>omfort Guidelines</w:t>
    </w:r>
  </w:p>
  <w:tbl>
    <w:tblPr>
      <w:tblW w:w="4194"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35"/>
      <w:gridCol w:w="1459"/>
    </w:tblGrid>
    <w:tr w:rsidR="006B55FF" w:rsidTr="006B55FF">
      <w:trPr>
        <w:jc w:val="center"/>
      </w:trPr>
      <w:tc>
        <w:tcPr>
          <w:tcW w:w="2735" w:type="dxa"/>
          <w:vAlign w:val="center"/>
        </w:tcPr>
        <w:p w:rsidR="006B55FF" w:rsidRDefault="006B55FF" w:rsidP="006B55FF">
          <w:pPr>
            <w:jc w:val="right"/>
            <w:rPr>
              <w:sz w:val="20"/>
            </w:rPr>
          </w:pPr>
          <w:r>
            <w:rPr>
              <w:sz w:val="20"/>
            </w:rPr>
            <w:t>Relative Humidity:</w:t>
          </w:r>
        </w:p>
      </w:tc>
      <w:tc>
        <w:tcPr>
          <w:tcW w:w="1459" w:type="dxa"/>
          <w:vAlign w:val="center"/>
        </w:tcPr>
        <w:p w:rsidR="006B55FF" w:rsidRDefault="006B55FF" w:rsidP="006B55FF">
          <w:pPr>
            <w:rPr>
              <w:sz w:val="20"/>
            </w:rPr>
          </w:pPr>
          <w:r>
            <w:rPr>
              <w:sz w:val="20"/>
            </w:rPr>
            <w:t>40 - 60%</w:t>
          </w:r>
        </w:p>
      </w:tc>
    </w:tr>
    <w:tr w:rsidR="006B55FF" w:rsidTr="006B55FF">
      <w:trPr>
        <w:jc w:val="center"/>
      </w:trPr>
      <w:tc>
        <w:tcPr>
          <w:tcW w:w="2735" w:type="dxa"/>
          <w:vAlign w:val="center"/>
        </w:tcPr>
        <w:p w:rsidR="006B55FF" w:rsidRDefault="006B55FF" w:rsidP="006B55FF">
          <w:pPr>
            <w:jc w:val="right"/>
            <w:rPr>
              <w:sz w:val="20"/>
            </w:rPr>
          </w:pPr>
          <w:r>
            <w:rPr>
              <w:sz w:val="20"/>
            </w:rPr>
            <w:t>Temperature:</w:t>
          </w:r>
        </w:p>
      </w:tc>
      <w:tc>
        <w:tcPr>
          <w:tcW w:w="1459" w:type="dxa"/>
          <w:vAlign w:val="center"/>
        </w:tcPr>
        <w:p w:rsidR="006B55FF" w:rsidRDefault="006B55FF" w:rsidP="006B55FF">
          <w:pPr>
            <w:rPr>
              <w:sz w:val="20"/>
            </w:rPr>
          </w:pPr>
          <w:r>
            <w:rPr>
              <w:sz w:val="20"/>
            </w:rPr>
            <w:t>70 - 78 °F</w:t>
          </w:r>
        </w:p>
      </w:tc>
    </w:tr>
  </w:tbl>
  <w:p w:rsidR="006B55FF" w:rsidRDefault="006B55FF" w:rsidP="006B55FF">
    <w:pPr>
      <w:pStyle w:val="Footer"/>
      <w:jc w:val="center"/>
    </w:pPr>
  </w:p>
  <w:p w:rsidR="006B55FF" w:rsidRDefault="006B55FF" w:rsidP="006B55F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1485E">
      <w:rPr>
        <w:rStyle w:val="PageNumber"/>
        <w:noProof/>
      </w:rPr>
      <w:t>2</w:t>
    </w:r>
    <w:r>
      <w:rPr>
        <w:rStyle w:val="PageNumber"/>
      </w:rPr>
      <w:fldChar w:fldCharType="end"/>
    </w:r>
  </w:p>
  <w:p w:rsidR="006B55FF" w:rsidRDefault="006B55FF" w:rsidP="006B55FF">
    <w:pPr>
      <w:tabs>
        <w:tab w:val="left" w:pos="145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FF" w:rsidRDefault="006B55FF" w:rsidP="006B55FF">
    <w:pPr>
      <w:jc w:val="right"/>
      <w:rPr>
        <w:sz w:val="20"/>
      </w:rPr>
    </w:pPr>
  </w:p>
  <w:p w:rsidR="006B55FF" w:rsidRDefault="006B55FF" w:rsidP="006B55FF">
    <w:pPr>
      <w:tabs>
        <w:tab w:val="left" w:pos="1452"/>
      </w:tabs>
    </w:pPr>
    <w:r>
      <w:rPr>
        <w:sz w:val="20"/>
      </w:rPr>
      <w:tab/>
    </w:r>
    <w:r>
      <w:rPr>
        <w:sz w:val="20"/>
      </w:rPr>
      <w:tab/>
    </w:r>
    <w:r>
      <w:rPr>
        <w:sz w:val="20"/>
      </w:rPr>
      <w:tab/>
    </w:r>
    <w:r>
      <w:rPr>
        <w:sz w:val="20"/>
      </w:rPr>
      <w:tab/>
    </w:r>
    <w:r>
      <w:rPr>
        <w:sz w:val="20"/>
      </w:rPr>
      <w:tab/>
    </w:r>
    <w:r>
      <w:rPr>
        <w:sz w:val="20"/>
      </w:rPr>
      <w:tab/>
      <w:t>C</w:t>
    </w:r>
    <w:r>
      <w:rPr>
        <w:b/>
        <w:sz w:val="20"/>
      </w:rPr>
      <w:t>omfort Guidelines</w:t>
    </w:r>
  </w:p>
  <w:tbl>
    <w:tblPr>
      <w:tblW w:w="4194"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35"/>
      <w:gridCol w:w="1459"/>
    </w:tblGrid>
    <w:tr w:rsidR="006B55FF" w:rsidTr="006B55FF">
      <w:trPr>
        <w:jc w:val="center"/>
      </w:trPr>
      <w:tc>
        <w:tcPr>
          <w:tcW w:w="2735" w:type="dxa"/>
          <w:vAlign w:val="center"/>
        </w:tcPr>
        <w:p w:rsidR="006B55FF" w:rsidRDefault="006B55FF" w:rsidP="006B55FF">
          <w:pPr>
            <w:jc w:val="right"/>
            <w:rPr>
              <w:sz w:val="20"/>
            </w:rPr>
          </w:pPr>
          <w:r>
            <w:rPr>
              <w:sz w:val="20"/>
            </w:rPr>
            <w:t>Relative Humidity:</w:t>
          </w:r>
        </w:p>
      </w:tc>
      <w:tc>
        <w:tcPr>
          <w:tcW w:w="1459" w:type="dxa"/>
          <w:vAlign w:val="center"/>
        </w:tcPr>
        <w:p w:rsidR="006B55FF" w:rsidRDefault="006B55FF" w:rsidP="006B55FF">
          <w:pPr>
            <w:rPr>
              <w:sz w:val="20"/>
            </w:rPr>
          </w:pPr>
          <w:r>
            <w:rPr>
              <w:sz w:val="20"/>
            </w:rPr>
            <w:t>40 - 60%</w:t>
          </w:r>
        </w:p>
      </w:tc>
    </w:tr>
    <w:tr w:rsidR="006B55FF" w:rsidTr="006B55FF">
      <w:trPr>
        <w:jc w:val="center"/>
      </w:trPr>
      <w:tc>
        <w:tcPr>
          <w:tcW w:w="2735" w:type="dxa"/>
          <w:vAlign w:val="center"/>
        </w:tcPr>
        <w:p w:rsidR="006B55FF" w:rsidRDefault="006B55FF" w:rsidP="006B55FF">
          <w:pPr>
            <w:jc w:val="right"/>
            <w:rPr>
              <w:sz w:val="20"/>
            </w:rPr>
          </w:pPr>
          <w:r>
            <w:rPr>
              <w:sz w:val="20"/>
            </w:rPr>
            <w:t>Temperature:</w:t>
          </w:r>
        </w:p>
      </w:tc>
      <w:tc>
        <w:tcPr>
          <w:tcW w:w="1459" w:type="dxa"/>
          <w:vAlign w:val="center"/>
        </w:tcPr>
        <w:p w:rsidR="006B55FF" w:rsidRDefault="006B55FF" w:rsidP="006B55FF">
          <w:pPr>
            <w:rPr>
              <w:sz w:val="20"/>
            </w:rPr>
          </w:pPr>
          <w:r>
            <w:rPr>
              <w:sz w:val="20"/>
            </w:rPr>
            <w:t>70 - 78 °F</w:t>
          </w:r>
        </w:p>
      </w:tc>
    </w:tr>
  </w:tbl>
  <w:p w:rsidR="006B55FF" w:rsidRDefault="006B55FF" w:rsidP="006B55FF">
    <w:pPr>
      <w:pStyle w:val="Footer"/>
      <w:jc w:val="center"/>
    </w:pPr>
  </w:p>
  <w:p w:rsidR="006B55FF" w:rsidRDefault="006B55FF" w:rsidP="006B55F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148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FC" w:rsidRDefault="00545CFC">
      <w:r>
        <w:separator/>
      </w:r>
    </w:p>
  </w:footnote>
  <w:footnote w:type="continuationSeparator" w:id="0">
    <w:p w:rsidR="00545CFC" w:rsidRDefault="00545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EC" w:rsidRDefault="006E2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EC" w:rsidRDefault="006E2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EC" w:rsidRDefault="006E25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FF" w:rsidRDefault="006B55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976" w:type="dxa"/>
      <w:jc w:val="center"/>
      <w:tblLook w:val="0000" w:firstRow="0" w:lastRow="0" w:firstColumn="0" w:lastColumn="0" w:noHBand="0" w:noVBand="0"/>
    </w:tblPr>
    <w:tblGrid>
      <w:gridCol w:w="5297"/>
      <w:gridCol w:w="4749"/>
      <w:gridCol w:w="2544"/>
      <w:gridCol w:w="2386"/>
    </w:tblGrid>
    <w:tr w:rsidR="006B55FF" w:rsidTr="006B55FF">
      <w:trPr>
        <w:cantSplit/>
        <w:jc w:val="center"/>
      </w:trPr>
      <w:tc>
        <w:tcPr>
          <w:tcW w:w="12590" w:type="dxa"/>
          <w:gridSpan w:val="3"/>
          <w:vAlign w:val="center"/>
        </w:tcPr>
        <w:p w:rsidR="006B55FF" w:rsidRPr="00677AC6" w:rsidRDefault="006B55FF" w:rsidP="006B55FF">
          <w:pPr>
            <w:pStyle w:val="Header"/>
            <w:spacing w:before="60" w:after="60"/>
            <w:rPr>
              <w:b/>
            </w:rPr>
          </w:pPr>
          <w:r>
            <w:rPr>
              <w:b/>
            </w:rPr>
            <w:t>Location: Dept. of Developmental Services</w:t>
          </w:r>
        </w:p>
      </w:tc>
      <w:tc>
        <w:tcPr>
          <w:tcW w:w="2386" w:type="dxa"/>
          <w:vAlign w:val="center"/>
        </w:tcPr>
        <w:p w:rsidR="006B55FF" w:rsidRDefault="006B55FF" w:rsidP="006B55FF">
          <w:pPr>
            <w:pStyle w:val="Header"/>
            <w:tabs>
              <w:tab w:val="clear" w:pos="4320"/>
              <w:tab w:val="clear" w:pos="8640"/>
            </w:tabs>
            <w:spacing w:before="60" w:after="60"/>
            <w:rPr>
              <w:b/>
            </w:rPr>
          </w:pPr>
          <w:r>
            <w:rPr>
              <w:b/>
            </w:rPr>
            <w:t>Indoor Air Results</w:t>
          </w:r>
        </w:p>
      </w:tc>
    </w:tr>
    <w:tr w:rsidR="006B55FF" w:rsidTr="006B55FF">
      <w:trPr>
        <w:cantSplit/>
        <w:jc w:val="center"/>
      </w:trPr>
      <w:tc>
        <w:tcPr>
          <w:tcW w:w="5297" w:type="dxa"/>
          <w:vAlign w:val="center"/>
        </w:tcPr>
        <w:p w:rsidR="006B55FF" w:rsidRDefault="006B55FF" w:rsidP="006B55FF">
          <w:pPr>
            <w:pStyle w:val="Header"/>
            <w:tabs>
              <w:tab w:val="clear" w:pos="4320"/>
              <w:tab w:val="clear" w:pos="8640"/>
            </w:tabs>
            <w:spacing w:before="60" w:after="60"/>
            <w:rPr>
              <w:b/>
            </w:rPr>
          </w:pPr>
          <w:r>
            <w:rPr>
              <w:b/>
            </w:rPr>
            <w:t>Address</w:t>
          </w:r>
          <w:r w:rsidRPr="007464D2">
            <w:rPr>
              <w:b/>
            </w:rPr>
            <w:t xml:space="preserve">: </w:t>
          </w:r>
          <w:r>
            <w:rPr>
              <w:b/>
            </w:rPr>
            <w:t>194 West Street, Milford, MA</w:t>
          </w:r>
        </w:p>
      </w:tc>
      <w:tc>
        <w:tcPr>
          <w:tcW w:w="4749" w:type="dxa"/>
          <w:vAlign w:val="center"/>
        </w:tcPr>
        <w:p w:rsidR="006B55FF" w:rsidRDefault="006B55FF" w:rsidP="006B55FF">
          <w:pPr>
            <w:pStyle w:val="Header"/>
            <w:tabs>
              <w:tab w:val="clear" w:pos="4320"/>
              <w:tab w:val="clear" w:pos="8640"/>
            </w:tabs>
            <w:spacing w:before="60" w:after="60"/>
            <w:jc w:val="center"/>
            <w:rPr>
              <w:b/>
              <w:sz w:val="28"/>
            </w:rPr>
          </w:pPr>
          <w:r>
            <w:rPr>
              <w:b/>
              <w:sz w:val="28"/>
            </w:rPr>
            <w:t>Table 1 (continued)</w:t>
          </w:r>
        </w:p>
      </w:tc>
      <w:tc>
        <w:tcPr>
          <w:tcW w:w="2544" w:type="dxa"/>
          <w:vAlign w:val="center"/>
        </w:tcPr>
        <w:p w:rsidR="006B55FF" w:rsidRDefault="006B55FF" w:rsidP="006B55FF">
          <w:pPr>
            <w:pStyle w:val="Header"/>
            <w:tabs>
              <w:tab w:val="clear" w:pos="4320"/>
              <w:tab w:val="clear" w:pos="8640"/>
            </w:tabs>
            <w:spacing w:before="60" w:after="60"/>
            <w:rPr>
              <w:b/>
            </w:rPr>
          </w:pPr>
        </w:p>
      </w:tc>
      <w:tc>
        <w:tcPr>
          <w:tcW w:w="2386" w:type="dxa"/>
          <w:vAlign w:val="center"/>
        </w:tcPr>
        <w:p w:rsidR="006B55FF" w:rsidRDefault="006B55FF" w:rsidP="006B55FF">
          <w:pPr>
            <w:pStyle w:val="Header"/>
            <w:tabs>
              <w:tab w:val="clear" w:pos="4320"/>
              <w:tab w:val="clear" w:pos="8640"/>
            </w:tabs>
            <w:spacing w:before="60" w:after="60"/>
            <w:rPr>
              <w:b/>
            </w:rPr>
          </w:pPr>
          <w:r w:rsidRPr="00677AC6">
            <w:rPr>
              <w:b/>
            </w:rPr>
            <w:t xml:space="preserve">Date: </w:t>
          </w:r>
          <w:r>
            <w:rPr>
              <w:b/>
            </w:rPr>
            <w:t>7/18/2018</w:t>
          </w:r>
        </w:p>
      </w:tc>
    </w:tr>
  </w:tbl>
  <w:p w:rsidR="006B55FF" w:rsidRDefault="006B55FF" w:rsidP="006B55FF">
    <w:pPr>
      <w:pStyle w:val="Heade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976" w:type="dxa"/>
      <w:jc w:val="center"/>
      <w:tblLook w:val="0000" w:firstRow="0" w:lastRow="0" w:firstColumn="0" w:lastColumn="0" w:noHBand="0" w:noVBand="0"/>
    </w:tblPr>
    <w:tblGrid>
      <w:gridCol w:w="5297"/>
      <w:gridCol w:w="4749"/>
      <w:gridCol w:w="2544"/>
      <w:gridCol w:w="2386"/>
    </w:tblGrid>
    <w:tr w:rsidR="006B55FF" w:rsidTr="006B55FF">
      <w:trPr>
        <w:cantSplit/>
        <w:jc w:val="center"/>
      </w:trPr>
      <w:tc>
        <w:tcPr>
          <w:tcW w:w="12590" w:type="dxa"/>
          <w:gridSpan w:val="3"/>
          <w:vAlign w:val="center"/>
        </w:tcPr>
        <w:p w:rsidR="006B55FF" w:rsidRPr="00677AC6" w:rsidRDefault="006B55FF" w:rsidP="006B55FF">
          <w:pPr>
            <w:pStyle w:val="Header"/>
            <w:spacing w:before="60" w:after="60"/>
            <w:rPr>
              <w:b/>
            </w:rPr>
          </w:pPr>
          <w:r>
            <w:rPr>
              <w:b/>
            </w:rPr>
            <w:t>Location: Dept. of Developmental Services</w:t>
          </w:r>
        </w:p>
      </w:tc>
      <w:tc>
        <w:tcPr>
          <w:tcW w:w="2386" w:type="dxa"/>
          <w:vAlign w:val="center"/>
        </w:tcPr>
        <w:p w:rsidR="006B55FF" w:rsidRDefault="006B55FF" w:rsidP="006B55FF">
          <w:pPr>
            <w:pStyle w:val="Header"/>
            <w:tabs>
              <w:tab w:val="clear" w:pos="4320"/>
              <w:tab w:val="clear" w:pos="8640"/>
            </w:tabs>
            <w:spacing w:before="60" w:after="60"/>
            <w:rPr>
              <w:b/>
            </w:rPr>
          </w:pPr>
          <w:r>
            <w:rPr>
              <w:b/>
            </w:rPr>
            <w:t>Indoor Air Results</w:t>
          </w:r>
        </w:p>
      </w:tc>
    </w:tr>
    <w:tr w:rsidR="006B55FF" w:rsidTr="006B55FF">
      <w:trPr>
        <w:cantSplit/>
        <w:jc w:val="center"/>
      </w:trPr>
      <w:tc>
        <w:tcPr>
          <w:tcW w:w="5297" w:type="dxa"/>
          <w:vAlign w:val="center"/>
        </w:tcPr>
        <w:p w:rsidR="006B55FF" w:rsidRDefault="006B55FF" w:rsidP="006B55FF">
          <w:pPr>
            <w:pStyle w:val="Header"/>
            <w:tabs>
              <w:tab w:val="clear" w:pos="4320"/>
              <w:tab w:val="clear" w:pos="8640"/>
            </w:tabs>
            <w:spacing w:before="60" w:after="60"/>
            <w:rPr>
              <w:b/>
            </w:rPr>
          </w:pPr>
          <w:r>
            <w:rPr>
              <w:b/>
            </w:rPr>
            <w:t>Address: 194 West Street, Milford, MA</w:t>
          </w:r>
        </w:p>
      </w:tc>
      <w:tc>
        <w:tcPr>
          <w:tcW w:w="4749" w:type="dxa"/>
          <w:vAlign w:val="center"/>
        </w:tcPr>
        <w:p w:rsidR="006B55FF" w:rsidRDefault="006B55FF" w:rsidP="006B55FF">
          <w:pPr>
            <w:pStyle w:val="Header"/>
            <w:tabs>
              <w:tab w:val="clear" w:pos="4320"/>
              <w:tab w:val="clear" w:pos="8640"/>
            </w:tabs>
            <w:spacing w:before="60" w:after="60"/>
            <w:jc w:val="center"/>
            <w:rPr>
              <w:b/>
              <w:sz w:val="28"/>
            </w:rPr>
          </w:pPr>
          <w:r>
            <w:rPr>
              <w:b/>
              <w:sz w:val="28"/>
            </w:rPr>
            <w:t xml:space="preserve">Table 1 </w:t>
          </w:r>
        </w:p>
      </w:tc>
      <w:tc>
        <w:tcPr>
          <w:tcW w:w="2544" w:type="dxa"/>
          <w:vAlign w:val="center"/>
        </w:tcPr>
        <w:p w:rsidR="006B55FF" w:rsidRDefault="006B55FF" w:rsidP="006B55FF">
          <w:pPr>
            <w:pStyle w:val="Header"/>
            <w:tabs>
              <w:tab w:val="clear" w:pos="4320"/>
              <w:tab w:val="clear" w:pos="8640"/>
            </w:tabs>
            <w:spacing w:before="60" w:after="60"/>
            <w:rPr>
              <w:b/>
            </w:rPr>
          </w:pPr>
        </w:p>
      </w:tc>
      <w:tc>
        <w:tcPr>
          <w:tcW w:w="2386" w:type="dxa"/>
          <w:vAlign w:val="center"/>
        </w:tcPr>
        <w:p w:rsidR="006B55FF" w:rsidRDefault="006B55FF" w:rsidP="006B55FF">
          <w:pPr>
            <w:pStyle w:val="Header"/>
            <w:tabs>
              <w:tab w:val="clear" w:pos="4320"/>
              <w:tab w:val="clear" w:pos="8640"/>
            </w:tabs>
            <w:spacing w:before="60" w:after="60"/>
            <w:rPr>
              <w:b/>
            </w:rPr>
          </w:pPr>
          <w:r w:rsidRPr="00677AC6">
            <w:rPr>
              <w:b/>
            </w:rPr>
            <w:t xml:space="preserve">Date: </w:t>
          </w:r>
          <w:r>
            <w:rPr>
              <w:b/>
            </w:rPr>
            <w:t>7/18/2018</w:t>
          </w:r>
        </w:p>
      </w:tc>
    </w:tr>
  </w:tbl>
  <w:p w:rsidR="006B55FF" w:rsidRDefault="006B55FF" w:rsidP="006B55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B5F26"/>
    <w:multiLevelType w:val="multilevel"/>
    <w:tmpl w:val="28FCADD2"/>
    <w:numStyleLink w:val="StyleBulletedSymbolsymbolLeft025Hanging025"/>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8B3CEF"/>
    <w:multiLevelType w:val="multilevel"/>
    <w:tmpl w:val="28FCADD2"/>
    <w:numStyleLink w:val="StyleBulletedSymbolsymbolLeft025Hanging025"/>
  </w:abstractNum>
  <w:abstractNum w:abstractNumId="13">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F1751F"/>
    <w:multiLevelType w:val="multilevel"/>
    <w:tmpl w:val="C99CF634"/>
    <w:numStyleLink w:val="StyleNumbered12pt1"/>
  </w:abstractNum>
  <w:abstractNum w:abstractNumId="15">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B24EFB"/>
    <w:multiLevelType w:val="multilevel"/>
    <w:tmpl w:val="28FCADD2"/>
    <w:numStyleLink w:val="StyleBulletedSymbolsymbolLeft025Hanging025"/>
  </w:abstractNum>
  <w:abstractNum w:abstractNumId="17">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7C414D"/>
    <w:multiLevelType w:val="multilevel"/>
    <w:tmpl w:val="28FCADD2"/>
    <w:numStyleLink w:val="StyleBulletedSymbolsymbolLeft025Hanging025"/>
  </w:abstractNum>
  <w:abstractNum w:abstractNumId="23">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A9165D"/>
    <w:multiLevelType w:val="multilevel"/>
    <w:tmpl w:val="28FCADD2"/>
    <w:numStyleLink w:val="StyleBulletedSymbolsymbolLeft025Hanging025"/>
  </w:abstractNum>
  <w:abstractNum w:abstractNumId="26">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27BCB"/>
    <w:multiLevelType w:val="multilevel"/>
    <w:tmpl w:val="28FCADD2"/>
    <w:numStyleLink w:val="StyleBulletedSymbolsymbolLeft025Hanging025"/>
  </w:abstractNum>
  <w:abstractNum w:abstractNumId="28">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EC13BE"/>
    <w:multiLevelType w:val="multilevel"/>
    <w:tmpl w:val="28FCADD2"/>
    <w:numStyleLink w:val="StyleBulletedSymbolsymbolLeft025Hanging025"/>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076D5"/>
    <w:multiLevelType w:val="multilevel"/>
    <w:tmpl w:val="28FCADD2"/>
    <w:numStyleLink w:val="StyleBulletedSymbolsymbolLeft025Hanging025"/>
  </w:abstractNum>
  <w:abstractNum w:abstractNumId="35">
    <w:nsid w:val="6375391E"/>
    <w:multiLevelType w:val="multilevel"/>
    <w:tmpl w:val="28FCADD2"/>
    <w:numStyleLink w:val="StyleBulletedSymbolsymbolLeft025Hanging025"/>
  </w:abstractNum>
  <w:abstractNum w:abstractNumId="36">
    <w:nsid w:val="6C8F7FF3"/>
    <w:multiLevelType w:val="multilevel"/>
    <w:tmpl w:val="28FCADD2"/>
    <w:numStyleLink w:val="StyleBulletedSymbolsymbolLeft025Hanging025"/>
  </w:abstractNum>
  <w:abstractNum w:abstractNumId="37">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207EF2"/>
    <w:multiLevelType w:val="multilevel"/>
    <w:tmpl w:val="28FCADD2"/>
    <w:numStyleLink w:val="StyleBulletedSymbolsymbolLeft025Hanging025"/>
  </w:abstractNum>
  <w:abstractNum w:abstractNumId="39">
    <w:nsid w:val="777F1BC7"/>
    <w:multiLevelType w:val="multilevel"/>
    <w:tmpl w:val="28FCADD2"/>
    <w:numStyleLink w:val="StyleBulletedSymbolsymbolLeft025Hanging025"/>
  </w:abstractNum>
  <w:abstractNum w:abstractNumId="4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97650F"/>
    <w:multiLevelType w:val="multilevel"/>
    <w:tmpl w:val="28FCADD2"/>
    <w:numStyleLink w:val="StyleBulletedSymbolsymbolLeft025Hanging025"/>
  </w:abstractNum>
  <w:num w:numId="1">
    <w:abstractNumId w:val="0"/>
  </w:num>
  <w:num w:numId="2">
    <w:abstractNumId w:val="17"/>
  </w:num>
  <w:num w:numId="3">
    <w:abstractNumId w:val="6"/>
  </w:num>
  <w:num w:numId="4">
    <w:abstractNumId w:val="11"/>
  </w:num>
  <w:num w:numId="5">
    <w:abstractNumId w:val="37"/>
  </w:num>
  <w:num w:numId="6">
    <w:abstractNumId w:val="30"/>
  </w:num>
  <w:num w:numId="7">
    <w:abstractNumId w:val="32"/>
  </w:num>
  <w:num w:numId="8">
    <w:abstractNumId w:val="5"/>
  </w:num>
  <w:num w:numId="9">
    <w:abstractNumId w:val="18"/>
  </w:num>
  <w:num w:numId="10">
    <w:abstractNumId w:val="40"/>
  </w:num>
  <w:num w:numId="11">
    <w:abstractNumId w:val="21"/>
  </w:num>
  <w:num w:numId="12">
    <w:abstractNumId w:val="23"/>
  </w:num>
  <w:num w:numId="13">
    <w:abstractNumId w:val="15"/>
  </w:num>
  <w:num w:numId="14">
    <w:abstractNumId w:val="28"/>
  </w:num>
  <w:num w:numId="15">
    <w:abstractNumId w:val="9"/>
  </w:num>
  <w:num w:numId="16">
    <w:abstractNumId w:val="1"/>
  </w:num>
  <w:num w:numId="17">
    <w:abstractNumId w:val="33"/>
  </w:num>
  <w:num w:numId="18">
    <w:abstractNumId w:val="13"/>
  </w:num>
  <w:num w:numId="19">
    <w:abstractNumId w:val="24"/>
  </w:num>
  <w:num w:numId="20">
    <w:abstractNumId w:val="16"/>
  </w:num>
  <w:num w:numId="21">
    <w:abstractNumId w:val="22"/>
  </w:num>
  <w:num w:numId="22">
    <w:abstractNumId w:val="39"/>
  </w:num>
  <w:num w:numId="23">
    <w:abstractNumId w:val="29"/>
  </w:num>
  <w:num w:numId="24">
    <w:abstractNumId w:val="12"/>
  </w:num>
  <w:num w:numId="25">
    <w:abstractNumId w:val="3"/>
  </w:num>
  <w:num w:numId="26">
    <w:abstractNumId w:val="36"/>
  </w:num>
  <w:num w:numId="27">
    <w:abstractNumId w:val="41"/>
  </w:num>
  <w:num w:numId="28">
    <w:abstractNumId w:val="27"/>
  </w:num>
  <w:num w:numId="29">
    <w:abstractNumId w:val="35"/>
  </w:num>
  <w:num w:numId="30">
    <w:abstractNumId w:val="38"/>
  </w:num>
  <w:num w:numId="31">
    <w:abstractNumId w:val="25"/>
  </w:num>
  <w:num w:numId="32">
    <w:abstractNumId w:val="34"/>
  </w:num>
  <w:num w:numId="33">
    <w:abstractNumId w:val="10"/>
  </w:num>
  <w:num w:numId="34">
    <w:abstractNumId w:val="7"/>
  </w:num>
  <w:num w:numId="35">
    <w:abstractNumId w:val="14"/>
  </w:num>
  <w:num w:numId="36">
    <w:abstractNumId w:val="4"/>
  </w:num>
  <w:num w:numId="37">
    <w:abstractNumId w:val="31"/>
  </w:num>
  <w:num w:numId="38">
    <w:abstractNumId w:val="19"/>
  </w:num>
  <w:num w:numId="39">
    <w:abstractNumId w:val="8"/>
  </w:num>
  <w:num w:numId="40">
    <w:abstractNumId w:val="2"/>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44B1"/>
    <w:rsid w:val="000145DE"/>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47E78"/>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FF9"/>
    <w:rsid w:val="0009646E"/>
    <w:rsid w:val="000A2E16"/>
    <w:rsid w:val="000A321D"/>
    <w:rsid w:val="000A676C"/>
    <w:rsid w:val="000B1F52"/>
    <w:rsid w:val="000B3761"/>
    <w:rsid w:val="000B6CF5"/>
    <w:rsid w:val="000B7600"/>
    <w:rsid w:val="000C09CF"/>
    <w:rsid w:val="000C0B8A"/>
    <w:rsid w:val="000C6745"/>
    <w:rsid w:val="000C6C7E"/>
    <w:rsid w:val="000C7FDD"/>
    <w:rsid w:val="000D035B"/>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1A08"/>
    <w:rsid w:val="001C6237"/>
    <w:rsid w:val="001C71A7"/>
    <w:rsid w:val="001D44B2"/>
    <w:rsid w:val="001D4B00"/>
    <w:rsid w:val="001D4EEE"/>
    <w:rsid w:val="001E0ABF"/>
    <w:rsid w:val="001E310F"/>
    <w:rsid w:val="001E60BF"/>
    <w:rsid w:val="001E747C"/>
    <w:rsid w:val="001F3D81"/>
    <w:rsid w:val="001F4798"/>
    <w:rsid w:val="001F5CED"/>
    <w:rsid w:val="001F65C7"/>
    <w:rsid w:val="001F7516"/>
    <w:rsid w:val="002010EE"/>
    <w:rsid w:val="00202766"/>
    <w:rsid w:val="00202CA3"/>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32C2"/>
    <w:rsid w:val="003057DA"/>
    <w:rsid w:val="00306E16"/>
    <w:rsid w:val="00307BFE"/>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21C1"/>
    <w:rsid w:val="00363F43"/>
    <w:rsid w:val="0036445C"/>
    <w:rsid w:val="00366847"/>
    <w:rsid w:val="003703E6"/>
    <w:rsid w:val="00371C91"/>
    <w:rsid w:val="003726F5"/>
    <w:rsid w:val="00372A31"/>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887"/>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5CFC"/>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486"/>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F3D"/>
    <w:rsid w:val="0068094D"/>
    <w:rsid w:val="0068132D"/>
    <w:rsid w:val="0069201C"/>
    <w:rsid w:val="00694B99"/>
    <w:rsid w:val="006969F0"/>
    <w:rsid w:val="006A0211"/>
    <w:rsid w:val="006A1AA4"/>
    <w:rsid w:val="006A474E"/>
    <w:rsid w:val="006A4A99"/>
    <w:rsid w:val="006A74BF"/>
    <w:rsid w:val="006B4190"/>
    <w:rsid w:val="006B55FF"/>
    <w:rsid w:val="006C3609"/>
    <w:rsid w:val="006C71E8"/>
    <w:rsid w:val="006C7326"/>
    <w:rsid w:val="006C75C7"/>
    <w:rsid w:val="006D0F26"/>
    <w:rsid w:val="006D1D68"/>
    <w:rsid w:val="006D4AA2"/>
    <w:rsid w:val="006D77B8"/>
    <w:rsid w:val="006E25EC"/>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4B6B"/>
    <w:rsid w:val="00755175"/>
    <w:rsid w:val="00756365"/>
    <w:rsid w:val="007565CD"/>
    <w:rsid w:val="007567B0"/>
    <w:rsid w:val="00756973"/>
    <w:rsid w:val="00756E8A"/>
    <w:rsid w:val="007612B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6580"/>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A074F"/>
    <w:rsid w:val="008A2103"/>
    <w:rsid w:val="008A2DC6"/>
    <w:rsid w:val="008A2EF6"/>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97E"/>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1ED2"/>
    <w:rsid w:val="00A532C6"/>
    <w:rsid w:val="00A533A7"/>
    <w:rsid w:val="00A53B3D"/>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29BE"/>
    <w:rsid w:val="00A83A38"/>
    <w:rsid w:val="00A849A4"/>
    <w:rsid w:val="00A861E5"/>
    <w:rsid w:val="00A907A6"/>
    <w:rsid w:val="00A909CA"/>
    <w:rsid w:val="00A91284"/>
    <w:rsid w:val="00A93FD3"/>
    <w:rsid w:val="00A9440A"/>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1485E"/>
    <w:rsid w:val="00B20823"/>
    <w:rsid w:val="00B214F4"/>
    <w:rsid w:val="00B22BFD"/>
    <w:rsid w:val="00B2308F"/>
    <w:rsid w:val="00B23E18"/>
    <w:rsid w:val="00B34EF8"/>
    <w:rsid w:val="00B365DE"/>
    <w:rsid w:val="00B36641"/>
    <w:rsid w:val="00B37D63"/>
    <w:rsid w:val="00B43160"/>
    <w:rsid w:val="00B453F1"/>
    <w:rsid w:val="00B456BF"/>
    <w:rsid w:val="00B472FB"/>
    <w:rsid w:val="00B47567"/>
    <w:rsid w:val="00B513DB"/>
    <w:rsid w:val="00B524FD"/>
    <w:rsid w:val="00B54B68"/>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15D8"/>
    <w:rsid w:val="00CB4377"/>
    <w:rsid w:val="00CC08EC"/>
    <w:rsid w:val="00CC1303"/>
    <w:rsid w:val="00CC4463"/>
    <w:rsid w:val="00CC5061"/>
    <w:rsid w:val="00CD056B"/>
    <w:rsid w:val="00CD1863"/>
    <w:rsid w:val="00CD46C5"/>
    <w:rsid w:val="00CE2182"/>
    <w:rsid w:val="00CE6B86"/>
    <w:rsid w:val="00CF0714"/>
    <w:rsid w:val="00CF3A54"/>
    <w:rsid w:val="00CF41F1"/>
    <w:rsid w:val="00CF6BA5"/>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63B"/>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EB6"/>
    <w:rsid w:val="00DC3569"/>
    <w:rsid w:val="00DC3660"/>
    <w:rsid w:val="00DC3F49"/>
    <w:rsid w:val="00DC431A"/>
    <w:rsid w:val="00DC5130"/>
    <w:rsid w:val="00DC5267"/>
    <w:rsid w:val="00DD286A"/>
    <w:rsid w:val="00DD30A4"/>
    <w:rsid w:val="00DD5EF1"/>
    <w:rsid w:val="00DD5FB0"/>
    <w:rsid w:val="00DD67B3"/>
    <w:rsid w:val="00DE19FF"/>
    <w:rsid w:val="00DE3A85"/>
    <w:rsid w:val="00DE658C"/>
    <w:rsid w:val="00DE6CA2"/>
    <w:rsid w:val="00DF1388"/>
    <w:rsid w:val="00DF2249"/>
    <w:rsid w:val="00E0059E"/>
    <w:rsid w:val="00E0129C"/>
    <w:rsid w:val="00E01752"/>
    <w:rsid w:val="00E026B3"/>
    <w:rsid w:val="00E03A16"/>
    <w:rsid w:val="00E04DEA"/>
    <w:rsid w:val="00E06007"/>
    <w:rsid w:val="00E07729"/>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47953"/>
    <w:rsid w:val="00E54365"/>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EFB"/>
    <w:rsid w:val="00EF033E"/>
    <w:rsid w:val="00EF1DE6"/>
    <w:rsid w:val="00EF2489"/>
    <w:rsid w:val="00EF395E"/>
    <w:rsid w:val="00EF578A"/>
    <w:rsid w:val="00EF7533"/>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3986"/>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4339"/>
    <w:rsid w:val="00F6478F"/>
    <w:rsid w:val="00F64A60"/>
    <w:rsid w:val="00F64FAE"/>
    <w:rsid w:val="00F659D2"/>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5F7B"/>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character" w:customStyle="1" w:styleId="FooterChar">
    <w:name w:val="Footer Char"/>
    <w:link w:val="Footer"/>
    <w:uiPriority w:val="99"/>
    <w:rsid w:val="006E25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character" w:customStyle="1" w:styleId="FooterChar">
    <w:name w:val="Footer Char"/>
    <w:link w:val="Footer"/>
    <w:uiPriority w:val="99"/>
    <w:rsid w:val="006E25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footer" Target="footer5.xml"/><Relationship Id="rId10" Type="http://schemas.openxmlformats.org/officeDocument/2006/relationships/hyperlink" Target="http://www.epa.gov/mold/mold-remediation-schools-and-commercial-buildings-guide"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A314-13C1-4D76-9378-A030C5DD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6625</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Developmental Services Water Damage Investigation (July 2018)</dc:title>
  <dc:subject>Milford DDS Water Damage Assessment</dc:subject>
  <dc:creator>Indoor Air Quality Program</dc:creator>
  <cp:keywords/>
  <cp:lastModifiedBy>AutoBVT</cp:lastModifiedBy>
  <cp:revision>3</cp:revision>
  <cp:lastPrinted>2018-07-18T17:58:00Z</cp:lastPrinted>
  <dcterms:created xsi:type="dcterms:W3CDTF">2018-09-19T14:07:00Z</dcterms:created>
  <dcterms:modified xsi:type="dcterms:W3CDTF">2018-09-19T14:07:00Z</dcterms:modified>
</cp:coreProperties>
</file>