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6D4256" w:rsidRDefault="00215041" w:rsidP="002770E5">
      <w:pPr>
        <w:tabs>
          <w:tab w:val="left" w:pos="-900"/>
          <w:tab w:val="left" w:pos="-630"/>
        </w:tabs>
        <w:ind w:left="720" w:right="720"/>
        <w:jc w:val="center"/>
        <w:rPr>
          <w:szCs w:val="24"/>
        </w:rPr>
      </w:pPr>
      <w:bookmarkStart w:id="0" w:name="_GoBack"/>
      <w:bookmarkEnd w:id="0"/>
      <w:r w:rsidRPr="006D4256">
        <w:rPr>
          <w:szCs w:val="24"/>
        </w:rPr>
        <w:t>COMMONWEALTH OF MASSACHUSETTS</w:t>
      </w:r>
    </w:p>
    <w:p w:rsidR="00215041" w:rsidRPr="006D4256" w:rsidRDefault="00215041" w:rsidP="00215041">
      <w:pPr>
        <w:spacing w:line="240" w:lineRule="auto"/>
        <w:ind w:left="4680"/>
        <w:rPr>
          <w:b/>
          <w:szCs w:val="24"/>
        </w:rPr>
      </w:pPr>
      <w:r w:rsidRPr="006D4256">
        <w:rPr>
          <w:b/>
          <w:szCs w:val="24"/>
        </w:rPr>
        <w:t>Division of Administrative Law Appeals</w:t>
      </w:r>
    </w:p>
    <w:p w:rsidR="00215041" w:rsidRPr="006D4256" w:rsidRDefault="001B7CB5" w:rsidP="00215041">
      <w:pPr>
        <w:spacing w:line="240" w:lineRule="auto"/>
        <w:ind w:left="4680"/>
        <w:rPr>
          <w:b/>
          <w:szCs w:val="24"/>
        </w:rPr>
      </w:pPr>
      <w:r w:rsidRPr="006D4256">
        <w:rPr>
          <w:b/>
          <w:szCs w:val="24"/>
        </w:rPr>
        <w:t>1 Congress</w:t>
      </w:r>
      <w:r w:rsidR="00215041" w:rsidRPr="006D4256">
        <w:rPr>
          <w:b/>
          <w:szCs w:val="24"/>
        </w:rPr>
        <w:t xml:space="preserve"> Street, </w:t>
      </w:r>
      <w:r w:rsidRPr="006D4256">
        <w:rPr>
          <w:b/>
          <w:szCs w:val="24"/>
        </w:rPr>
        <w:t>11</w:t>
      </w:r>
      <w:r w:rsidR="00215041" w:rsidRPr="006D4256">
        <w:rPr>
          <w:b/>
          <w:szCs w:val="24"/>
        </w:rPr>
        <w:t>th Floor</w:t>
      </w:r>
    </w:p>
    <w:p w:rsidR="00215041" w:rsidRPr="006D4256" w:rsidRDefault="00215041" w:rsidP="00215041">
      <w:pPr>
        <w:spacing w:line="240" w:lineRule="auto"/>
        <w:ind w:left="4680"/>
        <w:rPr>
          <w:b/>
          <w:szCs w:val="24"/>
        </w:rPr>
      </w:pPr>
      <w:r w:rsidRPr="006D4256">
        <w:rPr>
          <w:b/>
          <w:szCs w:val="24"/>
        </w:rPr>
        <w:t>Boston, MA 02114</w:t>
      </w:r>
    </w:p>
    <w:p w:rsidR="00215041" w:rsidRPr="006D4256" w:rsidRDefault="00215041" w:rsidP="00215041">
      <w:pPr>
        <w:spacing w:line="240" w:lineRule="auto"/>
        <w:ind w:left="4680"/>
        <w:rPr>
          <w:b/>
          <w:szCs w:val="24"/>
        </w:rPr>
      </w:pPr>
      <w:r w:rsidRPr="006D4256">
        <w:rPr>
          <w:b/>
          <w:szCs w:val="24"/>
        </w:rPr>
        <w:t>www.mass.gov/dala</w:t>
      </w:r>
    </w:p>
    <w:p w:rsidR="00215041" w:rsidRPr="006D4256" w:rsidRDefault="00215041" w:rsidP="000A0ABD">
      <w:pPr>
        <w:spacing w:line="240" w:lineRule="auto"/>
        <w:rPr>
          <w:szCs w:val="24"/>
        </w:rPr>
      </w:pPr>
    </w:p>
    <w:p w:rsidR="00215041" w:rsidRPr="006D4256" w:rsidRDefault="0008174A" w:rsidP="000A0ABD">
      <w:pPr>
        <w:spacing w:line="240" w:lineRule="auto"/>
        <w:rPr>
          <w:szCs w:val="24"/>
        </w:rPr>
      </w:pPr>
      <w:r w:rsidRPr="006D4256">
        <w:rPr>
          <w:b/>
          <w:szCs w:val="24"/>
        </w:rPr>
        <w:t>Department of Public Health, Medical Use of Marijuana Program</w:t>
      </w:r>
      <w:r w:rsidRPr="006D4256">
        <w:rPr>
          <w:szCs w:val="24"/>
        </w:rPr>
        <w:t xml:space="preserve">, </w:t>
      </w:r>
    </w:p>
    <w:p w:rsidR="00215041" w:rsidRPr="006D4256" w:rsidRDefault="00215041" w:rsidP="000A0ABD">
      <w:pPr>
        <w:spacing w:line="240" w:lineRule="auto"/>
        <w:rPr>
          <w:szCs w:val="24"/>
        </w:rPr>
      </w:pPr>
      <w:r w:rsidRPr="006D4256">
        <w:rPr>
          <w:szCs w:val="24"/>
        </w:rPr>
        <w:t>Petitioner</w:t>
      </w:r>
    </w:p>
    <w:p w:rsidR="00215041" w:rsidRPr="006D4256" w:rsidRDefault="00215041" w:rsidP="000A0ABD">
      <w:pPr>
        <w:spacing w:line="240" w:lineRule="auto"/>
        <w:rPr>
          <w:szCs w:val="24"/>
        </w:rPr>
      </w:pPr>
    </w:p>
    <w:p w:rsidR="00215041" w:rsidRPr="006D4256" w:rsidRDefault="00215041" w:rsidP="000A0ABD">
      <w:pPr>
        <w:spacing w:line="240" w:lineRule="auto"/>
        <w:rPr>
          <w:szCs w:val="24"/>
        </w:rPr>
      </w:pPr>
      <w:r w:rsidRPr="006D4256">
        <w:rPr>
          <w:szCs w:val="24"/>
        </w:rPr>
        <w:t xml:space="preserve">v.                                                                           Docket No. </w:t>
      </w:r>
      <w:r w:rsidR="00FA75E8" w:rsidRPr="006D4256">
        <w:rPr>
          <w:szCs w:val="24"/>
        </w:rPr>
        <w:t>PH-15-589</w:t>
      </w:r>
    </w:p>
    <w:p w:rsidR="00134DFF" w:rsidRPr="006D4256" w:rsidRDefault="00134DFF" w:rsidP="000A0ABD">
      <w:pPr>
        <w:spacing w:line="240" w:lineRule="auto"/>
        <w:rPr>
          <w:szCs w:val="24"/>
        </w:rPr>
      </w:pPr>
    </w:p>
    <w:p w:rsidR="00215041" w:rsidRPr="006D4256" w:rsidRDefault="00FA75E8" w:rsidP="000A0ABD">
      <w:pPr>
        <w:spacing w:line="240" w:lineRule="auto"/>
        <w:rPr>
          <w:szCs w:val="24"/>
        </w:rPr>
      </w:pPr>
      <w:r w:rsidRPr="006D4256">
        <w:rPr>
          <w:b/>
          <w:szCs w:val="24"/>
        </w:rPr>
        <w:t>James Willis</w:t>
      </w:r>
      <w:r w:rsidR="00215041" w:rsidRPr="006D4256">
        <w:rPr>
          <w:szCs w:val="24"/>
        </w:rPr>
        <w:t>,</w:t>
      </w:r>
    </w:p>
    <w:p w:rsidR="00FD3CDE" w:rsidRPr="006D4256" w:rsidRDefault="00215041" w:rsidP="000A0ABD">
      <w:pPr>
        <w:spacing w:line="240" w:lineRule="auto"/>
        <w:rPr>
          <w:szCs w:val="24"/>
        </w:rPr>
      </w:pPr>
      <w:r w:rsidRPr="006D4256">
        <w:rPr>
          <w:szCs w:val="24"/>
        </w:rPr>
        <w:t xml:space="preserve">Respondent         </w:t>
      </w:r>
    </w:p>
    <w:p w:rsidR="00FD3CDE" w:rsidRPr="006D4256" w:rsidRDefault="00FD3CDE" w:rsidP="000A0ABD">
      <w:pPr>
        <w:spacing w:line="240" w:lineRule="auto"/>
        <w:rPr>
          <w:szCs w:val="24"/>
        </w:rPr>
      </w:pPr>
    </w:p>
    <w:p w:rsidR="00FD3CDE" w:rsidRPr="006D4256" w:rsidRDefault="00FD3CDE" w:rsidP="000A0ABD">
      <w:pPr>
        <w:spacing w:line="240" w:lineRule="auto"/>
        <w:rPr>
          <w:szCs w:val="24"/>
        </w:rPr>
      </w:pPr>
      <w:r w:rsidRPr="006D4256">
        <w:rPr>
          <w:b/>
          <w:szCs w:val="24"/>
        </w:rPr>
        <w:t>Appearance for Petitioner</w:t>
      </w:r>
      <w:r w:rsidRPr="006D4256">
        <w:rPr>
          <w:szCs w:val="24"/>
        </w:rPr>
        <w:t>:</w:t>
      </w:r>
      <w:r w:rsidRPr="006D4256">
        <w:rPr>
          <w:szCs w:val="24"/>
        </w:rPr>
        <w:tab/>
      </w:r>
      <w:r w:rsidRPr="006D4256">
        <w:rPr>
          <w:szCs w:val="24"/>
        </w:rPr>
        <w:tab/>
      </w:r>
      <w:r w:rsidRPr="006D4256">
        <w:rPr>
          <w:szCs w:val="24"/>
        </w:rPr>
        <w:tab/>
      </w:r>
    </w:p>
    <w:p w:rsidR="00FD3CDE" w:rsidRPr="006D4256" w:rsidRDefault="00FD3CDE" w:rsidP="000A0ABD">
      <w:pPr>
        <w:spacing w:line="240" w:lineRule="auto"/>
        <w:rPr>
          <w:szCs w:val="24"/>
          <w:highlight w:val="lightGray"/>
        </w:rPr>
      </w:pPr>
    </w:p>
    <w:p w:rsidR="005B7797" w:rsidRPr="006D4256" w:rsidRDefault="00FA75E8" w:rsidP="00070706">
      <w:pPr>
        <w:spacing w:line="240" w:lineRule="auto"/>
        <w:ind w:left="720"/>
        <w:rPr>
          <w:szCs w:val="24"/>
        </w:rPr>
      </w:pPr>
      <w:r w:rsidRPr="006D4256">
        <w:rPr>
          <w:szCs w:val="24"/>
        </w:rPr>
        <w:t>James M. Strong</w:t>
      </w:r>
      <w:r w:rsidR="00D7609C" w:rsidRPr="006D4256">
        <w:rPr>
          <w:szCs w:val="24"/>
        </w:rPr>
        <w:t>, Esq.</w:t>
      </w:r>
    </w:p>
    <w:p w:rsidR="00FA75E8" w:rsidRPr="006D4256" w:rsidRDefault="00FA75E8" w:rsidP="00070706">
      <w:pPr>
        <w:spacing w:line="240" w:lineRule="auto"/>
        <w:ind w:left="720"/>
        <w:rPr>
          <w:szCs w:val="24"/>
        </w:rPr>
      </w:pPr>
      <w:r w:rsidRPr="006D4256">
        <w:rPr>
          <w:szCs w:val="24"/>
        </w:rPr>
        <w:t>Deputy General Counsel</w:t>
      </w:r>
    </w:p>
    <w:p w:rsidR="00FA75E8" w:rsidRPr="006D4256" w:rsidRDefault="00FA75E8" w:rsidP="00070706">
      <w:pPr>
        <w:spacing w:line="240" w:lineRule="auto"/>
        <w:ind w:left="720"/>
        <w:rPr>
          <w:szCs w:val="24"/>
        </w:rPr>
      </w:pPr>
      <w:r w:rsidRPr="006D4256">
        <w:rPr>
          <w:szCs w:val="24"/>
        </w:rPr>
        <w:t>Department of Public Health</w:t>
      </w:r>
    </w:p>
    <w:p w:rsidR="00FA75E8" w:rsidRPr="006D4256" w:rsidRDefault="00FA75E8" w:rsidP="00070706">
      <w:pPr>
        <w:spacing w:line="240" w:lineRule="auto"/>
        <w:ind w:left="720"/>
        <w:rPr>
          <w:szCs w:val="24"/>
        </w:rPr>
      </w:pPr>
      <w:r w:rsidRPr="006D4256">
        <w:rPr>
          <w:szCs w:val="24"/>
        </w:rPr>
        <w:t>250 Washington Street</w:t>
      </w:r>
    </w:p>
    <w:p w:rsidR="00FA75E8" w:rsidRPr="006D4256" w:rsidRDefault="00FA75E8" w:rsidP="00070706">
      <w:pPr>
        <w:spacing w:line="240" w:lineRule="auto"/>
        <w:ind w:left="720"/>
        <w:rPr>
          <w:szCs w:val="24"/>
        </w:rPr>
      </w:pPr>
      <w:r w:rsidRPr="006D4256">
        <w:rPr>
          <w:szCs w:val="24"/>
        </w:rPr>
        <w:t>Boston, MA 02018-4619</w:t>
      </w:r>
    </w:p>
    <w:p w:rsidR="00FD3CDE" w:rsidRPr="006D4256" w:rsidRDefault="00FD3CDE" w:rsidP="000A0ABD">
      <w:pPr>
        <w:spacing w:line="240" w:lineRule="auto"/>
        <w:rPr>
          <w:szCs w:val="24"/>
          <w:highlight w:val="lightGray"/>
        </w:rPr>
      </w:pPr>
    </w:p>
    <w:p w:rsidR="00FD3CDE" w:rsidRPr="006D4256" w:rsidRDefault="00FD3CDE" w:rsidP="000A0ABD">
      <w:pPr>
        <w:spacing w:line="240" w:lineRule="auto"/>
        <w:rPr>
          <w:szCs w:val="24"/>
        </w:rPr>
      </w:pPr>
      <w:r w:rsidRPr="006D4256">
        <w:rPr>
          <w:b/>
          <w:szCs w:val="24"/>
        </w:rPr>
        <w:t>Appearance for Respondent</w:t>
      </w:r>
      <w:r w:rsidRPr="006D4256">
        <w:rPr>
          <w:szCs w:val="24"/>
        </w:rPr>
        <w:t>:</w:t>
      </w:r>
      <w:r w:rsidRPr="006D4256">
        <w:rPr>
          <w:szCs w:val="24"/>
        </w:rPr>
        <w:tab/>
      </w:r>
      <w:r w:rsidRPr="006D4256">
        <w:rPr>
          <w:szCs w:val="24"/>
        </w:rPr>
        <w:tab/>
      </w:r>
      <w:r w:rsidRPr="006D4256">
        <w:rPr>
          <w:szCs w:val="24"/>
        </w:rPr>
        <w:tab/>
      </w:r>
    </w:p>
    <w:p w:rsidR="00FD3CDE" w:rsidRPr="006D4256" w:rsidRDefault="00FD3CDE" w:rsidP="000A0ABD">
      <w:pPr>
        <w:spacing w:line="240" w:lineRule="auto"/>
        <w:rPr>
          <w:szCs w:val="24"/>
        </w:rPr>
      </w:pPr>
    </w:p>
    <w:p w:rsidR="00FD3CDE" w:rsidRPr="006D4256" w:rsidRDefault="005B24B6" w:rsidP="00CA36D0">
      <w:pPr>
        <w:spacing w:line="240" w:lineRule="auto"/>
        <w:ind w:firstLine="720"/>
        <w:rPr>
          <w:szCs w:val="24"/>
        </w:rPr>
      </w:pPr>
      <w:r w:rsidRPr="006D4256">
        <w:rPr>
          <w:szCs w:val="24"/>
        </w:rPr>
        <w:t>Cornelius J. Madera, III</w:t>
      </w:r>
      <w:r w:rsidR="00D7609C" w:rsidRPr="006D4256">
        <w:rPr>
          <w:szCs w:val="24"/>
        </w:rPr>
        <w:t>, Esq.</w:t>
      </w:r>
    </w:p>
    <w:p w:rsidR="005B24B6" w:rsidRPr="006D4256" w:rsidRDefault="005B24B6" w:rsidP="00CA36D0">
      <w:pPr>
        <w:spacing w:line="240" w:lineRule="auto"/>
        <w:ind w:firstLine="720"/>
        <w:rPr>
          <w:szCs w:val="24"/>
        </w:rPr>
      </w:pPr>
      <w:r w:rsidRPr="006D4256">
        <w:rPr>
          <w:szCs w:val="24"/>
        </w:rPr>
        <w:t xml:space="preserve">Ryan Faenza </w:t>
      </w:r>
      <w:proofErr w:type="spellStart"/>
      <w:r w:rsidRPr="006D4256">
        <w:rPr>
          <w:szCs w:val="24"/>
        </w:rPr>
        <w:t>Cataldo</w:t>
      </w:r>
      <w:proofErr w:type="spellEnd"/>
    </w:p>
    <w:p w:rsidR="005B24B6" w:rsidRPr="006D4256" w:rsidRDefault="005B24B6" w:rsidP="00CA36D0">
      <w:pPr>
        <w:spacing w:line="240" w:lineRule="auto"/>
        <w:ind w:firstLine="720"/>
        <w:rPr>
          <w:szCs w:val="24"/>
        </w:rPr>
      </w:pPr>
      <w:r w:rsidRPr="006D4256">
        <w:rPr>
          <w:szCs w:val="24"/>
        </w:rPr>
        <w:t>1000 Franklin Village Drive, Suite 302</w:t>
      </w:r>
    </w:p>
    <w:p w:rsidR="005B24B6" w:rsidRPr="006D4256" w:rsidRDefault="005B24B6" w:rsidP="00CA36D0">
      <w:pPr>
        <w:spacing w:line="240" w:lineRule="auto"/>
        <w:ind w:firstLine="720"/>
        <w:rPr>
          <w:szCs w:val="24"/>
        </w:rPr>
      </w:pPr>
      <w:r w:rsidRPr="006D4256">
        <w:rPr>
          <w:szCs w:val="24"/>
        </w:rPr>
        <w:t xml:space="preserve">Franklin, MA </w:t>
      </w:r>
      <w:r w:rsidR="00B5588C" w:rsidRPr="006D4256">
        <w:rPr>
          <w:szCs w:val="24"/>
        </w:rPr>
        <w:t>02038</w:t>
      </w:r>
    </w:p>
    <w:p w:rsidR="00CA36D0" w:rsidRPr="006D4256" w:rsidRDefault="00CA36D0" w:rsidP="00CA36D0">
      <w:pPr>
        <w:spacing w:line="240" w:lineRule="auto"/>
        <w:rPr>
          <w:szCs w:val="24"/>
        </w:rPr>
      </w:pPr>
    </w:p>
    <w:p w:rsidR="00FD3CDE" w:rsidRPr="006D4256" w:rsidRDefault="00FD3CDE" w:rsidP="000A0ABD">
      <w:pPr>
        <w:spacing w:line="240" w:lineRule="auto"/>
        <w:rPr>
          <w:szCs w:val="24"/>
        </w:rPr>
      </w:pPr>
      <w:r w:rsidRPr="006D4256">
        <w:rPr>
          <w:b/>
          <w:szCs w:val="24"/>
        </w:rPr>
        <w:t>Administrative Magistrate</w:t>
      </w:r>
      <w:r w:rsidRPr="006D4256">
        <w:rPr>
          <w:szCs w:val="24"/>
        </w:rPr>
        <w:t>:</w:t>
      </w:r>
      <w:r w:rsidRPr="006D4256">
        <w:rPr>
          <w:szCs w:val="24"/>
        </w:rPr>
        <w:tab/>
      </w:r>
      <w:r w:rsidRPr="006D4256">
        <w:rPr>
          <w:szCs w:val="24"/>
        </w:rPr>
        <w:tab/>
      </w:r>
      <w:r w:rsidRPr="006D4256">
        <w:rPr>
          <w:szCs w:val="24"/>
        </w:rPr>
        <w:tab/>
      </w:r>
    </w:p>
    <w:p w:rsidR="00FD3CDE" w:rsidRPr="006D4256" w:rsidRDefault="00FD3CDE" w:rsidP="000A0ABD">
      <w:pPr>
        <w:spacing w:line="240" w:lineRule="auto"/>
        <w:rPr>
          <w:szCs w:val="24"/>
        </w:rPr>
      </w:pPr>
    </w:p>
    <w:p w:rsidR="0056519D" w:rsidRPr="006D4256" w:rsidRDefault="00FD3CDE" w:rsidP="00F87485">
      <w:pPr>
        <w:ind w:firstLine="720"/>
        <w:rPr>
          <w:szCs w:val="24"/>
        </w:rPr>
      </w:pPr>
      <w:r w:rsidRPr="006D4256">
        <w:rPr>
          <w:szCs w:val="24"/>
        </w:rPr>
        <w:t xml:space="preserve">Kenneth </w:t>
      </w:r>
      <w:r w:rsidR="00F70C88" w:rsidRPr="006D4256">
        <w:rPr>
          <w:szCs w:val="24"/>
        </w:rPr>
        <w:t>Bresler</w:t>
      </w:r>
      <w:r w:rsidR="00215041" w:rsidRPr="006D4256">
        <w:rPr>
          <w:szCs w:val="24"/>
        </w:rPr>
        <w:t xml:space="preserve">     </w:t>
      </w:r>
    </w:p>
    <w:p w:rsidR="0056519D" w:rsidRPr="006D4256" w:rsidRDefault="0056519D" w:rsidP="00565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r w:rsidRPr="002770E5">
        <w:rPr>
          <w:b/>
          <w:szCs w:val="24"/>
        </w:rPr>
        <w:t>SUMMARY OF DECISION</w:t>
      </w:r>
    </w:p>
    <w:p w:rsidR="0056519D" w:rsidRDefault="0056519D" w:rsidP="005651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szCs w:val="24"/>
        </w:rPr>
      </w:pPr>
    </w:p>
    <w:p w:rsidR="002770E5" w:rsidRDefault="002770E5" w:rsidP="009F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szCs w:val="24"/>
          <w:lang w:val="en"/>
        </w:rPr>
      </w:pPr>
      <w:r w:rsidRPr="002770E5">
        <w:rPr>
          <w:szCs w:val="24"/>
        </w:rPr>
        <w:t>Department of Public Health</w:t>
      </w:r>
      <w:r>
        <w:rPr>
          <w:szCs w:val="24"/>
        </w:rPr>
        <w:t xml:space="preserve"> may temporarily suspend and may revoke a dispensary agent</w:t>
      </w:r>
      <w:r w:rsidR="003A02FC">
        <w:rPr>
          <w:szCs w:val="24"/>
        </w:rPr>
        <w:t>’</w:t>
      </w:r>
      <w:r>
        <w:rPr>
          <w:szCs w:val="24"/>
        </w:rPr>
        <w:t xml:space="preserve">s registration because the application submitted on his behalf contained </w:t>
      </w:r>
      <w:r w:rsidRPr="006D4256">
        <w:rPr>
          <w:rFonts w:cs="Times New Roman"/>
          <w:color w:val="000000"/>
          <w:szCs w:val="24"/>
        </w:rPr>
        <w:t xml:space="preserve">misleading, incorrect, </w:t>
      </w:r>
      <w:r>
        <w:rPr>
          <w:rFonts w:cs="Times New Roman"/>
          <w:color w:val="000000"/>
          <w:szCs w:val="24"/>
        </w:rPr>
        <w:t xml:space="preserve">and </w:t>
      </w:r>
      <w:r w:rsidRPr="006D4256">
        <w:rPr>
          <w:rFonts w:cs="Times New Roman"/>
          <w:color w:val="000000"/>
          <w:szCs w:val="24"/>
        </w:rPr>
        <w:t>false</w:t>
      </w:r>
      <w:r>
        <w:rPr>
          <w:szCs w:val="24"/>
        </w:rPr>
        <w:t xml:space="preserve"> information. It may do so under </w:t>
      </w:r>
      <w:r w:rsidRPr="006D4256">
        <w:rPr>
          <w:rFonts w:cs="Times New Roman"/>
          <w:szCs w:val="24"/>
        </w:rPr>
        <w:t>105 CMR 725.</w:t>
      </w:r>
      <w:r w:rsidR="00644B86">
        <w:rPr>
          <w:rFonts w:cs="Times New Roman"/>
          <w:szCs w:val="24"/>
        </w:rPr>
        <w:t>425</w:t>
      </w:r>
      <w:r w:rsidRPr="006D4256">
        <w:rPr>
          <w:rFonts w:cs="Times New Roman"/>
          <w:szCs w:val="24"/>
        </w:rPr>
        <w:t>(A)(1)</w:t>
      </w:r>
      <w:r>
        <w:rPr>
          <w:rFonts w:cs="Times New Roman"/>
          <w:szCs w:val="24"/>
        </w:rPr>
        <w:t>;</w:t>
      </w:r>
      <w:r w:rsidR="00B1308A">
        <w:rPr>
          <w:szCs w:val="24"/>
        </w:rPr>
        <w:t xml:space="preserve"> </w:t>
      </w:r>
      <w:r w:rsidRPr="006D4256">
        <w:rPr>
          <w:rFonts w:cs="Times New Roman"/>
          <w:szCs w:val="24"/>
        </w:rPr>
        <w:t>105 CMR 725.425(A)(2)</w:t>
      </w:r>
      <w:r>
        <w:rPr>
          <w:rFonts w:cs="Times New Roman"/>
          <w:szCs w:val="24"/>
        </w:rPr>
        <w:t xml:space="preserve">; </w:t>
      </w:r>
      <w:r>
        <w:rPr>
          <w:szCs w:val="24"/>
        </w:rPr>
        <w:t xml:space="preserve">and </w:t>
      </w:r>
      <w:r w:rsidRPr="006D4256">
        <w:rPr>
          <w:rFonts w:cs="Times New Roman"/>
          <w:szCs w:val="24"/>
        </w:rPr>
        <w:t>105 CMR 725.425(E)</w:t>
      </w:r>
      <w:r>
        <w:rPr>
          <w:rFonts w:cs="Times New Roman"/>
          <w:szCs w:val="24"/>
        </w:rPr>
        <w:t xml:space="preserve">, but, because of lack of notice, not under its </w:t>
      </w:r>
      <w:r>
        <w:rPr>
          <w:rFonts w:cs="Times New Roman"/>
          <w:szCs w:val="24"/>
          <w:lang w:val="en"/>
        </w:rPr>
        <w:t xml:space="preserve">Guidance for Registered Marijuana Dispensaries Regarding Background Checks or its policy that dispensary agents </w:t>
      </w:r>
      <w:r w:rsidR="00F4656F">
        <w:rPr>
          <w:rFonts w:cs="Times New Roman"/>
          <w:szCs w:val="24"/>
          <w:lang w:val="en"/>
        </w:rPr>
        <w:t xml:space="preserve">must </w:t>
      </w:r>
      <w:r>
        <w:rPr>
          <w:rFonts w:cs="Times New Roman"/>
          <w:szCs w:val="24"/>
          <w:lang w:val="en"/>
        </w:rPr>
        <w:t>be honest.</w:t>
      </w:r>
    </w:p>
    <w:p w:rsidR="009F60E5" w:rsidRDefault="009F60E5" w:rsidP="009F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szCs w:val="24"/>
          <w:lang w:val="en"/>
        </w:rPr>
      </w:pPr>
    </w:p>
    <w:p w:rsidR="009F60E5" w:rsidRDefault="009F60E5" w:rsidP="009F60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rFonts w:cs="Times New Roman"/>
          <w:szCs w:val="24"/>
          <w:lang w:val="en"/>
        </w:rPr>
      </w:pPr>
    </w:p>
    <w:p w:rsidR="002770E5" w:rsidRPr="006D4256" w:rsidRDefault="002770E5" w:rsidP="00277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szCs w:val="24"/>
        </w:rPr>
      </w:pPr>
    </w:p>
    <w:p w:rsidR="0056519D" w:rsidRPr="006D4256" w:rsidRDefault="0056519D" w:rsidP="00B130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Cs w:val="24"/>
          <w:u w:val="single"/>
        </w:rPr>
      </w:pPr>
      <w:r w:rsidRPr="006D4256">
        <w:rPr>
          <w:b/>
          <w:szCs w:val="24"/>
        </w:rPr>
        <w:lastRenderedPageBreak/>
        <w:t>DECISION</w:t>
      </w:r>
    </w:p>
    <w:p w:rsidR="0056519D" w:rsidRPr="006D4256" w:rsidRDefault="0056519D" w:rsidP="00B1308A">
      <w:pPr>
        <w:widowControl w:val="0"/>
        <w:rPr>
          <w:szCs w:val="24"/>
        </w:rPr>
      </w:pPr>
      <w:r w:rsidRPr="006D4256">
        <w:rPr>
          <w:szCs w:val="24"/>
        </w:rPr>
        <w:tab/>
        <w:t xml:space="preserve">The petitioner, </w:t>
      </w:r>
      <w:r w:rsidR="0033204B">
        <w:rPr>
          <w:szCs w:val="24"/>
        </w:rPr>
        <w:t>James Willis, appeals the Department of Public Health</w:t>
      </w:r>
      <w:r w:rsidR="003A02FC">
        <w:rPr>
          <w:szCs w:val="24"/>
        </w:rPr>
        <w:t>’</w:t>
      </w:r>
      <w:r w:rsidR="0033204B">
        <w:rPr>
          <w:szCs w:val="24"/>
        </w:rPr>
        <w:t>s immediate suspension and proposed revocation of his registration as a medical marijuana dispensary agent.</w:t>
      </w:r>
    </w:p>
    <w:p w:rsidR="0033204B" w:rsidRPr="0033204B" w:rsidRDefault="0033204B" w:rsidP="0033204B">
      <w:pPr>
        <w:widowControl w:val="0"/>
        <w:ind w:firstLine="720"/>
        <w:rPr>
          <w:szCs w:val="24"/>
          <w:u w:val="single"/>
        </w:rPr>
      </w:pPr>
      <w:r>
        <w:rPr>
          <w:szCs w:val="24"/>
          <w:u w:val="single"/>
        </w:rPr>
        <w:t>Procedural history</w:t>
      </w:r>
    </w:p>
    <w:p w:rsidR="00B819AE" w:rsidRPr="006D4256" w:rsidRDefault="00157998" w:rsidP="0033204B">
      <w:pPr>
        <w:widowControl w:val="0"/>
        <w:rPr>
          <w:szCs w:val="24"/>
        </w:rPr>
      </w:pPr>
      <w:r w:rsidRPr="006D4256">
        <w:rPr>
          <w:szCs w:val="24"/>
        </w:rPr>
        <w:tab/>
        <w:t xml:space="preserve">On </w:t>
      </w:r>
      <w:r w:rsidR="00760FA1">
        <w:rPr>
          <w:szCs w:val="24"/>
        </w:rPr>
        <w:t>October 1, 2015,</w:t>
      </w:r>
      <w:r w:rsidRPr="006D4256">
        <w:rPr>
          <w:szCs w:val="24"/>
        </w:rPr>
        <w:t xml:space="preserve"> DPH summarily suspended Mr. Willis</w:t>
      </w:r>
      <w:r w:rsidR="003A02FC">
        <w:rPr>
          <w:szCs w:val="24"/>
        </w:rPr>
        <w:t>’</w:t>
      </w:r>
      <w:r w:rsidRPr="006D4256">
        <w:rPr>
          <w:szCs w:val="24"/>
        </w:rPr>
        <w:t>s registration as a medical marijuana dispensary agent</w:t>
      </w:r>
      <w:r w:rsidR="00562412" w:rsidRPr="006D4256">
        <w:rPr>
          <w:szCs w:val="24"/>
        </w:rPr>
        <w:t xml:space="preserve"> for presenting a danger to the public health and safety, and proposed to revoke his registration. DPH </w:t>
      </w:r>
      <w:r w:rsidR="00D66658" w:rsidRPr="006D4256">
        <w:rPr>
          <w:szCs w:val="24"/>
        </w:rPr>
        <w:t>invoked three regulations:</w:t>
      </w:r>
      <w:r w:rsidR="00B473BB" w:rsidRPr="006D4256">
        <w:rPr>
          <w:szCs w:val="24"/>
        </w:rPr>
        <w:t xml:space="preserve"> </w:t>
      </w:r>
    </w:p>
    <w:p w:rsidR="00B819AE" w:rsidRPr="006D4256" w:rsidRDefault="00B819AE" w:rsidP="00866683">
      <w:pPr>
        <w:rPr>
          <w:rFonts w:cs="Times New Roman"/>
          <w:color w:val="000000"/>
          <w:szCs w:val="24"/>
        </w:rPr>
      </w:pPr>
      <w:r w:rsidRPr="006D4256">
        <w:rPr>
          <w:szCs w:val="24"/>
        </w:rPr>
        <w:tab/>
      </w:r>
      <w:r w:rsidRPr="006D4256">
        <w:rPr>
          <w:rFonts w:cs="Times New Roman"/>
          <w:szCs w:val="24"/>
        </w:rPr>
        <w:t>•</w:t>
      </w:r>
      <w:r w:rsidRPr="006D4256">
        <w:rPr>
          <w:szCs w:val="24"/>
        </w:rPr>
        <w:t xml:space="preserve"> </w:t>
      </w:r>
      <w:r w:rsidR="00B473BB" w:rsidRPr="006D4256">
        <w:rPr>
          <w:rFonts w:cs="Times New Roman"/>
          <w:szCs w:val="24"/>
        </w:rPr>
        <w:t>105 CMR 725.</w:t>
      </w:r>
      <w:r w:rsidR="00644B86">
        <w:rPr>
          <w:rFonts w:cs="Times New Roman"/>
          <w:szCs w:val="24"/>
        </w:rPr>
        <w:t>425</w:t>
      </w:r>
      <w:r w:rsidR="00B473BB" w:rsidRPr="006D4256">
        <w:rPr>
          <w:rFonts w:cs="Times New Roman"/>
          <w:szCs w:val="24"/>
        </w:rPr>
        <w:t>(A)(1)</w:t>
      </w:r>
      <w:r w:rsidR="002A4049" w:rsidRPr="006D4256">
        <w:rPr>
          <w:rFonts w:cs="Times New Roman"/>
          <w:szCs w:val="24"/>
        </w:rPr>
        <w:t xml:space="preserve">, which </w:t>
      </w:r>
      <w:r w:rsidR="00063FC9" w:rsidRPr="006D4256">
        <w:rPr>
          <w:rFonts w:cs="Times New Roman"/>
          <w:szCs w:val="24"/>
        </w:rPr>
        <w:t xml:space="preserve">authorizes DPH to revoke </w:t>
      </w:r>
      <w:r w:rsidR="00063FC9" w:rsidRPr="006D4256">
        <w:rPr>
          <w:rFonts w:cs="Times New Roman"/>
          <w:color w:val="000000"/>
          <w:szCs w:val="24"/>
        </w:rPr>
        <w:t>a dispensary agent</w:t>
      </w:r>
      <w:r w:rsidR="003A02FC">
        <w:rPr>
          <w:rFonts w:cs="Times New Roman"/>
          <w:color w:val="000000"/>
          <w:szCs w:val="24"/>
        </w:rPr>
        <w:t>’</w:t>
      </w:r>
      <w:r w:rsidR="00063FC9" w:rsidRPr="006D4256">
        <w:rPr>
          <w:rFonts w:cs="Times New Roman"/>
          <w:color w:val="000000"/>
          <w:szCs w:val="24"/>
        </w:rPr>
        <w:t>s registration because of</w:t>
      </w:r>
      <w:r w:rsidR="00B473BB" w:rsidRPr="006D4256">
        <w:rPr>
          <w:rFonts w:cs="Times New Roman"/>
          <w:szCs w:val="24"/>
        </w:rPr>
        <w:t xml:space="preserve"> </w:t>
      </w:r>
      <w:r w:rsidR="00F17C5B">
        <w:rPr>
          <w:rFonts w:cs="Times New Roman"/>
          <w:szCs w:val="24"/>
        </w:rPr>
        <w:t>“</w:t>
      </w:r>
      <w:r w:rsidR="00B473BB" w:rsidRPr="006D4256">
        <w:rPr>
          <w:rFonts w:cs="Times New Roman"/>
          <w:szCs w:val="24"/>
        </w:rPr>
        <w:t>[s]</w:t>
      </w:r>
      <w:proofErr w:type="spellStart"/>
      <w:r w:rsidR="00B473BB" w:rsidRPr="006D4256">
        <w:rPr>
          <w:rFonts w:cs="Times New Roman"/>
          <w:color w:val="000000"/>
          <w:szCs w:val="24"/>
        </w:rPr>
        <w:t>ubmission</w:t>
      </w:r>
      <w:proofErr w:type="spellEnd"/>
      <w:r w:rsidR="00B473BB" w:rsidRPr="006D4256">
        <w:rPr>
          <w:rFonts w:cs="Times New Roman"/>
          <w:color w:val="000000"/>
          <w:szCs w:val="24"/>
        </w:rPr>
        <w:t xml:space="preserve"> of misleading, incorrect, false, or fraudulent information in the application</w:t>
      </w:r>
      <w:r w:rsidR="00F17C5B">
        <w:rPr>
          <w:rFonts w:cs="Times New Roman"/>
          <w:color w:val="000000"/>
          <w:szCs w:val="24"/>
        </w:rPr>
        <w:t>”</w:t>
      </w:r>
      <w:r w:rsidR="002A4049" w:rsidRPr="006D4256">
        <w:rPr>
          <w:rFonts w:cs="Times New Roman"/>
          <w:color w:val="000000"/>
          <w:szCs w:val="24"/>
        </w:rPr>
        <w:t xml:space="preserve">; </w:t>
      </w:r>
    </w:p>
    <w:p w:rsidR="00190E8A" w:rsidRPr="006D4256" w:rsidRDefault="00B819AE" w:rsidP="00866683">
      <w:pPr>
        <w:rPr>
          <w:szCs w:val="24"/>
        </w:rPr>
      </w:pPr>
      <w:r w:rsidRPr="006D4256">
        <w:rPr>
          <w:rFonts w:cs="Times New Roman"/>
          <w:color w:val="000000"/>
          <w:szCs w:val="24"/>
        </w:rPr>
        <w:tab/>
      </w:r>
      <w:r w:rsidRPr="006D4256">
        <w:rPr>
          <w:rFonts w:cs="Times New Roman"/>
          <w:szCs w:val="24"/>
        </w:rPr>
        <w:t>•</w:t>
      </w:r>
      <w:r w:rsidRPr="006D4256">
        <w:rPr>
          <w:szCs w:val="24"/>
        </w:rPr>
        <w:t xml:space="preserve"> </w:t>
      </w:r>
      <w:r w:rsidR="00063FC9" w:rsidRPr="006D4256">
        <w:rPr>
          <w:rFonts w:cs="Times New Roman"/>
          <w:szCs w:val="24"/>
        </w:rPr>
        <w:t>105 CMR 725.425(A)(4),</w:t>
      </w:r>
      <w:r w:rsidR="00063FC9" w:rsidRPr="006D4256">
        <w:rPr>
          <w:szCs w:val="24"/>
        </w:rPr>
        <w:t xml:space="preserve"> </w:t>
      </w:r>
      <w:r w:rsidR="00190E8A" w:rsidRPr="006D4256">
        <w:rPr>
          <w:szCs w:val="24"/>
        </w:rPr>
        <w:t xml:space="preserve">which </w:t>
      </w:r>
      <w:r w:rsidR="00063FC9" w:rsidRPr="006D4256">
        <w:rPr>
          <w:szCs w:val="24"/>
        </w:rPr>
        <w:t xml:space="preserve">authorizes revocation of </w:t>
      </w:r>
      <w:r w:rsidR="00FF69E5" w:rsidRPr="006D4256">
        <w:rPr>
          <w:szCs w:val="24"/>
        </w:rPr>
        <w:t>a dispensary agent</w:t>
      </w:r>
      <w:r w:rsidR="003A02FC">
        <w:rPr>
          <w:szCs w:val="24"/>
        </w:rPr>
        <w:t>’</w:t>
      </w:r>
      <w:r w:rsidR="00FF69E5" w:rsidRPr="006D4256">
        <w:rPr>
          <w:szCs w:val="24"/>
        </w:rPr>
        <w:t xml:space="preserve">s </w:t>
      </w:r>
      <w:r w:rsidR="00063FC9" w:rsidRPr="006D4256">
        <w:rPr>
          <w:szCs w:val="24"/>
        </w:rPr>
        <w:t xml:space="preserve">registration for </w:t>
      </w:r>
      <w:r w:rsidR="00F17C5B">
        <w:rPr>
          <w:szCs w:val="24"/>
        </w:rPr>
        <w:t>“</w:t>
      </w:r>
      <w:r w:rsidR="00063FC9" w:rsidRPr="006D4256">
        <w:rPr>
          <w:szCs w:val="24"/>
        </w:rPr>
        <w:t>[s]</w:t>
      </w:r>
      <w:proofErr w:type="spellStart"/>
      <w:r w:rsidR="00063FC9" w:rsidRPr="006D4256">
        <w:rPr>
          <w:szCs w:val="24"/>
        </w:rPr>
        <w:t>elling</w:t>
      </w:r>
      <w:proofErr w:type="spellEnd"/>
      <w:r w:rsidR="00063FC9" w:rsidRPr="006D4256">
        <w:rPr>
          <w:szCs w:val="24"/>
        </w:rPr>
        <w:t>, distributing, or giving marijuana to any unauthorized person</w:t>
      </w:r>
      <w:r w:rsidR="00F17C5B">
        <w:rPr>
          <w:szCs w:val="24"/>
        </w:rPr>
        <w:t>”</w:t>
      </w:r>
      <w:r w:rsidR="00FF69E5" w:rsidRPr="006D4256">
        <w:rPr>
          <w:szCs w:val="24"/>
        </w:rPr>
        <w:t xml:space="preserve">; and </w:t>
      </w:r>
    </w:p>
    <w:p w:rsidR="00760FA1" w:rsidRPr="006D4256" w:rsidRDefault="00190E8A" w:rsidP="00B819AE">
      <w:pPr>
        <w:rPr>
          <w:szCs w:val="24"/>
        </w:rPr>
      </w:pPr>
      <w:r w:rsidRPr="006D4256">
        <w:rPr>
          <w:szCs w:val="24"/>
        </w:rPr>
        <w:tab/>
      </w:r>
      <w:r w:rsidRPr="006D4256">
        <w:rPr>
          <w:rFonts w:cs="Times New Roman"/>
          <w:szCs w:val="24"/>
        </w:rPr>
        <w:t>•</w:t>
      </w:r>
      <w:r w:rsidRPr="006D4256">
        <w:rPr>
          <w:szCs w:val="24"/>
        </w:rPr>
        <w:t xml:space="preserve"> </w:t>
      </w:r>
      <w:r w:rsidR="00273C63" w:rsidRPr="006D4256">
        <w:rPr>
          <w:rFonts w:cs="Times New Roman"/>
          <w:szCs w:val="24"/>
        </w:rPr>
        <w:t>105 CMR 725.425(A)(2)</w:t>
      </w:r>
      <w:r w:rsidR="00656A1A" w:rsidRPr="006D4256">
        <w:rPr>
          <w:rFonts w:cs="Times New Roman"/>
          <w:szCs w:val="24"/>
        </w:rPr>
        <w:t xml:space="preserve">, which authorizes revocation for </w:t>
      </w:r>
      <w:r w:rsidR="00F17C5B">
        <w:rPr>
          <w:rFonts w:cs="Times New Roman"/>
          <w:szCs w:val="24"/>
        </w:rPr>
        <w:t>“</w:t>
      </w:r>
      <w:r w:rsidR="00656A1A" w:rsidRPr="006D4256">
        <w:rPr>
          <w:rFonts w:cs="Times New Roman"/>
          <w:szCs w:val="24"/>
        </w:rPr>
        <w:t>[v]</w:t>
      </w:r>
      <w:proofErr w:type="spellStart"/>
      <w:r w:rsidR="00656A1A" w:rsidRPr="006D4256">
        <w:rPr>
          <w:szCs w:val="24"/>
        </w:rPr>
        <w:t>iolation</w:t>
      </w:r>
      <w:proofErr w:type="spellEnd"/>
      <w:r w:rsidR="00656A1A" w:rsidRPr="006D4256">
        <w:rPr>
          <w:szCs w:val="24"/>
        </w:rPr>
        <w:t xml:space="preserve"> of the requirements</w:t>
      </w:r>
      <w:r w:rsidR="00F17C5B">
        <w:rPr>
          <w:szCs w:val="24"/>
        </w:rPr>
        <w:t>”</w:t>
      </w:r>
      <w:r w:rsidR="00866683" w:rsidRPr="006D4256">
        <w:rPr>
          <w:szCs w:val="24"/>
        </w:rPr>
        <w:t xml:space="preserve"> of </w:t>
      </w:r>
      <w:r w:rsidR="00B819AE" w:rsidRPr="006D4256">
        <w:rPr>
          <w:color w:val="000000"/>
          <w:szCs w:val="24"/>
        </w:rPr>
        <w:t>An Act for t</w:t>
      </w:r>
      <w:r w:rsidR="00866683" w:rsidRPr="006D4256">
        <w:rPr>
          <w:color w:val="000000"/>
          <w:szCs w:val="24"/>
        </w:rPr>
        <w:t xml:space="preserve">he Humanitarian Medical </w:t>
      </w:r>
      <w:r w:rsidR="00866683" w:rsidRPr="006D4256">
        <w:rPr>
          <w:szCs w:val="24"/>
        </w:rPr>
        <w:t xml:space="preserve">Use </w:t>
      </w:r>
      <w:r w:rsidR="00B819AE" w:rsidRPr="006D4256">
        <w:rPr>
          <w:szCs w:val="24"/>
        </w:rPr>
        <w:t>o</w:t>
      </w:r>
      <w:r w:rsidR="00866683" w:rsidRPr="006D4256">
        <w:rPr>
          <w:szCs w:val="24"/>
        </w:rPr>
        <w:t>f Marijuana</w:t>
      </w:r>
      <w:r w:rsidR="005457BA" w:rsidRPr="006D4256">
        <w:rPr>
          <w:szCs w:val="24"/>
        </w:rPr>
        <w:t xml:space="preserve"> (which this decision calls </w:t>
      </w:r>
      <w:r w:rsidR="00F17C5B">
        <w:rPr>
          <w:szCs w:val="24"/>
        </w:rPr>
        <w:t>“</w:t>
      </w:r>
      <w:r w:rsidR="005457BA" w:rsidRPr="006D4256">
        <w:rPr>
          <w:szCs w:val="24"/>
        </w:rPr>
        <w:t>the medical marijuana statute</w:t>
      </w:r>
      <w:r w:rsidR="00F17C5B">
        <w:rPr>
          <w:szCs w:val="24"/>
        </w:rPr>
        <w:t>”</w:t>
      </w:r>
      <w:r w:rsidR="005457BA" w:rsidRPr="006D4256">
        <w:rPr>
          <w:szCs w:val="24"/>
        </w:rPr>
        <w:t>)</w:t>
      </w:r>
      <w:r w:rsidR="00B819AE" w:rsidRPr="006D4256">
        <w:rPr>
          <w:szCs w:val="24"/>
        </w:rPr>
        <w:t xml:space="preserve"> or the DPH regulations implementing it.</w:t>
      </w:r>
      <w:r w:rsidR="00565F11">
        <w:rPr>
          <w:szCs w:val="24"/>
        </w:rPr>
        <w:t xml:space="preserve"> </w:t>
      </w:r>
      <w:r w:rsidR="00760FA1">
        <w:rPr>
          <w:szCs w:val="24"/>
        </w:rPr>
        <w:t xml:space="preserve">(Ex. </w:t>
      </w:r>
      <w:r w:rsidR="00403C92">
        <w:rPr>
          <w:szCs w:val="24"/>
        </w:rPr>
        <w:t>1</w:t>
      </w:r>
      <w:r w:rsidR="00760FA1">
        <w:rPr>
          <w:szCs w:val="24"/>
        </w:rPr>
        <w:t>.)</w:t>
      </w:r>
    </w:p>
    <w:p w:rsidR="004536D0" w:rsidRPr="006D4256" w:rsidRDefault="004536D0" w:rsidP="0056519D">
      <w:pPr>
        <w:rPr>
          <w:szCs w:val="24"/>
        </w:rPr>
      </w:pPr>
      <w:r w:rsidRPr="006D4256">
        <w:rPr>
          <w:szCs w:val="24"/>
        </w:rPr>
        <w:tab/>
        <w:t xml:space="preserve">On </w:t>
      </w:r>
      <w:r w:rsidR="00403C92">
        <w:rPr>
          <w:szCs w:val="24"/>
        </w:rPr>
        <w:t>October 16, 2015</w:t>
      </w:r>
      <w:r w:rsidRPr="006D4256">
        <w:rPr>
          <w:szCs w:val="24"/>
        </w:rPr>
        <w:t>, Mr. Willis appealed.</w:t>
      </w:r>
      <w:r w:rsidR="00403C92">
        <w:rPr>
          <w:szCs w:val="24"/>
        </w:rPr>
        <w:t xml:space="preserve"> (Ex. 3.)</w:t>
      </w:r>
    </w:p>
    <w:p w:rsidR="00B973D2" w:rsidRPr="006D4256" w:rsidRDefault="004536D0" w:rsidP="003620EF">
      <w:pPr>
        <w:rPr>
          <w:szCs w:val="24"/>
        </w:rPr>
      </w:pPr>
      <w:r w:rsidRPr="006D4256">
        <w:rPr>
          <w:szCs w:val="24"/>
        </w:rPr>
        <w:tab/>
        <w:t xml:space="preserve">On </w:t>
      </w:r>
      <w:r w:rsidR="003620EF">
        <w:rPr>
          <w:szCs w:val="24"/>
        </w:rPr>
        <w:t>February 3, 2016</w:t>
      </w:r>
      <w:r w:rsidRPr="006D4256">
        <w:rPr>
          <w:szCs w:val="24"/>
        </w:rPr>
        <w:t>, DPH moved for summary decision and to dismiss Mr. Willis</w:t>
      </w:r>
      <w:r w:rsidR="003A02FC">
        <w:rPr>
          <w:szCs w:val="24"/>
        </w:rPr>
        <w:t>’</w:t>
      </w:r>
      <w:r w:rsidRPr="006D4256">
        <w:rPr>
          <w:szCs w:val="24"/>
        </w:rPr>
        <w:t>s appeal as moot.</w:t>
      </w:r>
      <w:r w:rsidR="003620EF">
        <w:rPr>
          <w:szCs w:val="24"/>
        </w:rPr>
        <w:t xml:space="preserve"> </w:t>
      </w:r>
      <w:r w:rsidR="003003DE" w:rsidRPr="006D4256">
        <w:rPr>
          <w:szCs w:val="24"/>
        </w:rPr>
        <w:t xml:space="preserve">On </w:t>
      </w:r>
      <w:r w:rsidR="003620EF">
        <w:rPr>
          <w:szCs w:val="24"/>
        </w:rPr>
        <w:t>February 16, 2016</w:t>
      </w:r>
      <w:r w:rsidR="003003DE" w:rsidRPr="006D4256">
        <w:rPr>
          <w:szCs w:val="24"/>
        </w:rPr>
        <w:t>, Mr. Willis opposed both DPH motions and cross-moved for summary decision.</w:t>
      </w:r>
      <w:r w:rsidR="00E74ACF" w:rsidRPr="006D4256">
        <w:rPr>
          <w:szCs w:val="24"/>
        </w:rPr>
        <w:t xml:space="preserve"> </w:t>
      </w:r>
    </w:p>
    <w:p w:rsidR="00230281" w:rsidRPr="006D4256" w:rsidRDefault="00B973D2" w:rsidP="009507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6D4256">
        <w:rPr>
          <w:szCs w:val="24"/>
        </w:rPr>
        <w:tab/>
      </w:r>
      <w:r w:rsidR="003A0B6C" w:rsidRPr="006D4256">
        <w:rPr>
          <w:szCs w:val="24"/>
        </w:rPr>
        <w:t xml:space="preserve">On </w:t>
      </w:r>
      <w:r w:rsidR="00403C92">
        <w:rPr>
          <w:szCs w:val="24"/>
        </w:rPr>
        <w:t>February 25, 2016</w:t>
      </w:r>
      <w:r w:rsidR="003A0B6C" w:rsidRPr="006D4256">
        <w:rPr>
          <w:szCs w:val="24"/>
        </w:rPr>
        <w:t xml:space="preserve">, </w:t>
      </w:r>
      <w:r w:rsidR="00E74ACF" w:rsidRPr="006D4256">
        <w:rPr>
          <w:szCs w:val="24"/>
        </w:rPr>
        <w:t xml:space="preserve">I denied </w:t>
      </w:r>
      <w:r w:rsidR="003003DE" w:rsidRPr="006D4256">
        <w:rPr>
          <w:szCs w:val="24"/>
        </w:rPr>
        <w:t>both DPH motions</w:t>
      </w:r>
      <w:r w:rsidR="003A0B6C" w:rsidRPr="006D4256">
        <w:rPr>
          <w:szCs w:val="24"/>
        </w:rPr>
        <w:t xml:space="preserve"> and</w:t>
      </w:r>
      <w:r w:rsidR="003003DE" w:rsidRPr="006D4256">
        <w:rPr>
          <w:szCs w:val="24"/>
        </w:rPr>
        <w:t xml:space="preserve"> partly grant</w:t>
      </w:r>
      <w:r w:rsidR="003A0B6C" w:rsidRPr="006D4256">
        <w:rPr>
          <w:szCs w:val="24"/>
        </w:rPr>
        <w:t>ed</w:t>
      </w:r>
      <w:r w:rsidR="003003DE" w:rsidRPr="006D4256">
        <w:rPr>
          <w:szCs w:val="24"/>
        </w:rPr>
        <w:t xml:space="preserve"> Mr. Willis</w:t>
      </w:r>
      <w:r w:rsidR="003A02FC">
        <w:rPr>
          <w:szCs w:val="24"/>
        </w:rPr>
        <w:t>’</w:t>
      </w:r>
      <w:r w:rsidR="003003DE" w:rsidRPr="006D4256">
        <w:rPr>
          <w:szCs w:val="24"/>
        </w:rPr>
        <w:t>s motion.</w:t>
      </w:r>
      <w:r w:rsidR="003A0B6C" w:rsidRPr="006D4256">
        <w:rPr>
          <w:szCs w:val="24"/>
        </w:rPr>
        <w:t xml:space="preserve"> I ruled that DPH could </w:t>
      </w:r>
      <w:r w:rsidR="00484AB9" w:rsidRPr="006D4256">
        <w:rPr>
          <w:szCs w:val="24"/>
        </w:rPr>
        <w:t xml:space="preserve">not </w:t>
      </w:r>
      <w:r w:rsidR="003A0B6C" w:rsidRPr="006D4256">
        <w:rPr>
          <w:szCs w:val="24"/>
        </w:rPr>
        <w:t>temporarily or permanently revoke Mr. Willis</w:t>
      </w:r>
      <w:r w:rsidR="003A02FC">
        <w:rPr>
          <w:szCs w:val="24"/>
        </w:rPr>
        <w:t>’</w:t>
      </w:r>
      <w:r w:rsidR="003A0B6C" w:rsidRPr="006D4256">
        <w:rPr>
          <w:szCs w:val="24"/>
        </w:rPr>
        <w:t xml:space="preserve">s registration as a dispensary agent </w:t>
      </w:r>
      <w:r w:rsidR="00484AB9" w:rsidRPr="006D4256">
        <w:rPr>
          <w:szCs w:val="24"/>
        </w:rPr>
        <w:t xml:space="preserve">for </w:t>
      </w:r>
      <w:r w:rsidR="007C357F" w:rsidRPr="006D4256">
        <w:rPr>
          <w:szCs w:val="24"/>
        </w:rPr>
        <w:t xml:space="preserve">his </w:t>
      </w:r>
      <w:r w:rsidR="003A0B6C" w:rsidRPr="006D4256">
        <w:rPr>
          <w:szCs w:val="24"/>
        </w:rPr>
        <w:t>con</w:t>
      </w:r>
      <w:r w:rsidR="007C357F" w:rsidRPr="006D4256">
        <w:rPr>
          <w:szCs w:val="24"/>
        </w:rPr>
        <w:t>viction</w:t>
      </w:r>
      <w:r w:rsidR="003A0B6C" w:rsidRPr="006D4256">
        <w:rPr>
          <w:szCs w:val="24"/>
        </w:rPr>
        <w:t xml:space="preserve"> of a marijuana crime in 1998</w:t>
      </w:r>
      <w:r w:rsidR="007C357F" w:rsidRPr="006D4256">
        <w:rPr>
          <w:szCs w:val="24"/>
        </w:rPr>
        <w:t xml:space="preserve"> because </w:t>
      </w:r>
      <w:r w:rsidR="007C357F" w:rsidRPr="006D4256">
        <w:rPr>
          <w:rFonts w:cs="Times New Roman"/>
          <w:szCs w:val="24"/>
        </w:rPr>
        <w:t xml:space="preserve">105 CMR </w:t>
      </w:r>
      <w:r w:rsidR="007C357F" w:rsidRPr="006D4256">
        <w:rPr>
          <w:rFonts w:cs="Times New Roman"/>
          <w:szCs w:val="24"/>
        </w:rPr>
        <w:lastRenderedPageBreak/>
        <w:t>725.425(A</w:t>
      </w:r>
      <w:proofErr w:type="gramStart"/>
      <w:r w:rsidR="007C357F" w:rsidRPr="006D4256">
        <w:rPr>
          <w:rFonts w:cs="Times New Roman"/>
          <w:szCs w:val="24"/>
        </w:rPr>
        <w:t>)(</w:t>
      </w:r>
      <w:proofErr w:type="gramEnd"/>
      <w:r w:rsidR="007C357F" w:rsidRPr="006D4256">
        <w:rPr>
          <w:rFonts w:cs="Times New Roman"/>
          <w:szCs w:val="24"/>
        </w:rPr>
        <w:t>4) did not govern it.</w:t>
      </w:r>
      <w:r w:rsidR="00403C92">
        <w:rPr>
          <w:rStyle w:val="FootnoteReference"/>
          <w:rFonts w:cs="Times New Roman"/>
          <w:szCs w:val="24"/>
        </w:rPr>
        <w:footnoteReference w:id="1"/>
      </w:r>
      <w:r w:rsidR="00484AB9" w:rsidRPr="006D4256">
        <w:rPr>
          <w:rFonts w:cs="Times New Roman"/>
          <w:szCs w:val="24"/>
        </w:rPr>
        <w:t xml:space="preserve"> </w:t>
      </w:r>
      <w:r w:rsidR="00565F11" w:rsidRPr="006D4256">
        <w:rPr>
          <w:rFonts w:cs="Times New Roman"/>
          <w:szCs w:val="24"/>
        </w:rPr>
        <w:t>I allowed DPH to proceed on 105 CM</w:t>
      </w:r>
      <w:r w:rsidR="00565F11">
        <w:rPr>
          <w:rFonts w:cs="Times New Roman"/>
          <w:szCs w:val="24"/>
        </w:rPr>
        <w:t>R 725.425(A</w:t>
      </w:r>
      <w:proofErr w:type="gramStart"/>
      <w:r w:rsidR="00565F11">
        <w:rPr>
          <w:rFonts w:cs="Times New Roman"/>
          <w:szCs w:val="24"/>
        </w:rPr>
        <w:t>)(</w:t>
      </w:r>
      <w:proofErr w:type="gramEnd"/>
      <w:r w:rsidR="00565F11">
        <w:rPr>
          <w:rFonts w:cs="Times New Roman"/>
          <w:szCs w:val="24"/>
        </w:rPr>
        <w:t>1</w:t>
      </w:r>
      <w:r w:rsidR="00565F11" w:rsidRPr="006D4256">
        <w:rPr>
          <w:rFonts w:cs="Times New Roman"/>
          <w:szCs w:val="24"/>
        </w:rPr>
        <w:t>) if it had better evidence.</w:t>
      </w:r>
      <w:r w:rsidR="00565F11">
        <w:rPr>
          <w:rFonts w:cs="Times New Roman"/>
          <w:szCs w:val="24"/>
        </w:rPr>
        <w:t xml:space="preserve"> If it did not have better evidence, then DPH could proceed on </w:t>
      </w:r>
      <w:r w:rsidR="00484AB9" w:rsidRPr="006D4256">
        <w:rPr>
          <w:rFonts w:cs="Times New Roman"/>
          <w:szCs w:val="24"/>
        </w:rPr>
        <w:t>105 CMR 725.425(A</w:t>
      </w:r>
      <w:proofErr w:type="gramStart"/>
      <w:r w:rsidR="00484AB9" w:rsidRPr="006D4256">
        <w:rPr>
          <w:rFonts w:cs="Times New Roman"/>
          <w:szCs w:val="24"/>
        </w:rPr>
        <w:t>)(</w:t>
      </w:r>
      <w:proofErr w:type="gramEnd"/>
      <w:r w:rsidR="00484AB9" w:rsidRPr="006D4256">
        <w:rPr>
          <w:rFonts w:cs="Times New Roman"/>
          <w:szCs w:val="24"/>
        </w:rPr>
        <w:t>2)</w:t>
      </w:r>
      <w:r w:rsidR="008A47E7" w:rsidRPr="006D4256">
        <w:rPr>
          <w:rFonts w:cs="Times New Roman"/>
          <w:szCs w:val="24"/>
        </w:rPr>
        <w:t xml:space="preserve">. </w:t>
      </w:r>
      <w:r w:rsidR="00230281" w:rsidRPr="006D4256">
        <w:rPr>
          <w:rFonts w:cs="Times New Roman"/>
          <w:szCs w:val="24"/>
        </w:rPr>
        <w:t>Finally, in response to Mr. Willis</w:t>
      </w:r>
      <w:r w:rsidR="003A02FC">
        <w:rPr>
          <w:rFonts w:cs="Times New Roman"/>
          <w:szCs w:val="24"/>
        </w:rPr>
        <w:t>’</w:t>
      </w:r>
      <w:r w:rsidR="00230281" w:rsidRPr="006D4256">
        <w:rPr>
          <w:rFonts w:cs="Times New Roman"/>
          <w:szCs w:val="24"/>
        </w:rPr>
        <w:t xml:space="preserve">s argument that some </w:t>
      </w:r>
      <w:r w:rsidR="00644B86">
        <w:rPr>
          <w:rFonts w:cs="Times New Roman"/>
          <w:szCs w:val="24"/>
        </w:rPr>
        <w:t xml:space="preserve">of </w:t>
      </w:r>
      <w:r w:rsidR="00230281" w:rsidRPr="006D4256">
        <w:rPr>
          <w:rFonts w:cs="Times New Roman"/>
          <w:szCs w:val="24"/>
        </w:rPr>
        <w:t>DPH</w:t>
      </w:r>
      <w:r w:rsidR="003A02FC">
        <w:rPr>
          <w:rFonts w:cs="Times New Roman"/>
          <w:szCs w:val="24"/>
        </w:rPr>
        <w:t>’</w:t>
      </w:r>
      <w:r w:rsidR="00230281" w:rsidRPr="006D4256">
        <w:rPr>
          <w:rFonts w:cs="Times New Roman"/>
          <w:szCs w:val="24"/>
        </w:rPr>
        <w:t xml:space="preserve">s regulations are not authorized by the </w:t>
      </w:r>
      <w:r w:rsidR="005457BA" w:rsidRPr="006D4256">
        <w:rPr>
          <w:rFonts w:cs="Times New Roman"/>
          <w:szCs w:val="24"/>
        </w:rPr>
        <w:t>medical marijuana statute</w:t>
      </w:r>
      <w:r w:rsidR="00230281" w:rsidRPr="006D4256">
        <w:rPr>
          <w:rFonts w:cs="Times New Roman"/>
          <w:szCs w:val="24"/>
        </w:rPr>
        <w:t xml:space="preserve"> and are therefore illegal, I opined that I do not ha</w:t>
      </w:r>
      <w:r w:rsidRPr="006D4256">
        <w:rPr>
          <w:rFonts w:cs="Times New Roman"/>
          <w:szCs w:val="24"/>
        </w:rPr>
        <w:t>ve the authority to rule on the</w:t>
      </w:r>
      <w:r w:rsidR="00230281" w:rsidRPr="006D4256">
        <w:rPr>
          <w:rFonts w:cs="Times New Roman"/>
          <w:szCs w:val="24"/>
        </w:rPr>
        <w:t xml:space="preserve"> issue.</w:t>
      </w:r>
      <w:r w:rsidR="00D15C11">
        <w:rPr>
          <w:rStyle w:val="FootnoteReference"/>
          <w:rFonts w:cs="Times New Roman"/>
          <w:szCs w:val="24"/>
        </w:rPr>
        <w:footnoteReference w:id="2"/>
      </w:r>
      <w:r w:rsidR="00644B86">
        <w:rPr>
          <w:rFonts w:cs="Times New Roman"/>
          <w:szCs w:val="24"/>
        </w:rPr>
        <w:t xml:space="preserve"> I later reopened this issue and asked the parties to brief it.</w:t>
      </w:r>
    </w:p>
    <w:p w:rsidR="003F1C83" w:rsidRPr="006D4256" w:rsidRDefault="004136E8" w:rsidP="009507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imes New Roman"/>
          <w:szCs w:val="24"/>
        </w:rPr>
      </w:pPr>
      <w:r w:rsidRPr="006D4256">
        <w:rPr>
          <w:rFonts w:cs="Times New Roman"/>
          <w:szCs w:val="24"/>
        </w:rPr>
        <w:tab/>
        <w:t xml:space="preserve">On </w:t>
      </w:r>
      <w:r w:rsidR="00D67A2E">
        <w:rPr>
          <w:rFonts w:cs="Times New Roman"/>
          <w:szCs w:val="24"/>
        </w:rPr>
        <w:t>March 23, 2016</w:t>
      </w:r>
      <w:r w:rsidRPr="006D4256">
        <w:rPr>
          <w:rFonts w:cs="Times New Roman"/>
          <w:szCs w:val="24"/>
        </w:rPr>
        <w:t xml:space="preserve">, Mr. Willis </w:t>
      </w:r>
      <w:r w:rsidRPr="00D67A2E">
        <w:rPr>
          <w:rFonts w:cs="Times New Roman"/>
          <w:szCs w:val="24"/>
        </w:rPr>
        <w:t>again</w:t>
      </w:r>
      <w:r w:rsidRPr="006D4256">
        <w:rPr>
          <w:rFonts w:cs="Times New Roman"/>
          <w:szCs w:val="24"/>
        </w:rPr>
        <w:t xml:space="preserve"> moved for summary decision</w:t>
      </w:r>
      <w:r w:rsidR="00D67A2E">
        <w:rPr>
          <w:rFonts w:cs="Times New Roman"/>
          <w:szCs w:val="24"/>
        </w:rPr>
        <w:t>, this time on</w:t>
      </w:r>
      <w:r w:rsidR="00D67A2E" w:rsidRPr="006D4256">
        <w:rPr>
          <w:rFonts w:cs="Times New Roman"/>
          <w:szCs w:val="24"/>
        </w:rPr>
        <w:t>105 CMR 725.425(A)(2)</w:t>
      </w:r>
      <w:r w:rsidRPr="006D4256">
        <w:rPr>
          <w:rFonts w:cs="Times New Roman"/>
          <w:szCs w:val="24"/>
        </w:rPr>
        <w:t xml:space="preserve">. On March 31, 2016, </w:t>
      </w:r>
      <w:r w:rsidR="003F1C83" w:rsidRPr="006D4256">
        <w:rPr>
          <w:rFonts w:cs="Times New Roman"/>
          <w:szCs w:val="24"/>
        </w:rPr>
        <w:t>I denied the motion. I also stated:</w:t>
      </w:r>
    </w:p>
    <w:p w:rsidR="003F1C83" w:rsidRPr="006D4256" w:rsidRDefault="003F1C83" w:rsidP="008A2CC1">
      <w:pPr>
        <w:spacing w:line="240" w:lineRule="auto"/>
        <w:ind w:left="720" w:right="720" w:firstLine="720"/>
        <w:rPr>
          <w:rFonts w:cs="Times New Roman"/>
          <w:color w:val="000000"/>
          <w:szCs w:val="24"/>
        </w:rPr>
      </w:pPr>
      <w:r w:rsidRPr="006D4256">
        <w:rPr>
          <w:rFonts w:cs="Times New Roman"/>
          <w:color w:val="000000"/>
          <w:szCs w:val="24"/>
        </w:rPr>
        <w:t>DPH</w:t>
      </w:r>
      <w:r w:rsidR="003A02FC">
        <w:rPr>
          <w:rFonts w:cs="Times New Roman"/>
          <w:color w:val="000000"/>
          <w:szCs w:val="24"/>
        </w:rPr>
        <w:t>’</w:t>
      </w:r>
      <w:r w:rsidRPr="006D4256">
        <w:rPr>
          <w:rFonts w:cs="Times New Roman"/>
          <w:color w:val="000000"/>
          <w:szCs w:val="24"/>
        </w:rPr>
        <w:t xml:space="preserve">s case under both </w:t>
      </w:r>
      <w:r w:rsidRPr="006D4256">
        <w:rPr>
          <w:rFonts w:cs="Times New Roman"/>
          <w:szCs w:val="24"/>
        </w:rPr>
        <w:t>105 CMR 725.</w:t>
      </w:r>
      <w:r w:rsidR="00644B86">
        <w:rPr>
          <w:rFonts w:cs="Times New Roman"/>
          <w:szCs w:val="24"/>
        </w:rPr>
        <w:t>425</w:t>
      </w:r>
      <w:r w:rsidRPr="006D4256">
        <w:rPr>
          <w:rFonts w:cs="Times New Roman"/>
          <w:szCs w:val="24"/>
        </w:rPr>
        <w:t xml:space="preserve">(A)(1) and (A)(2) </w:t>
      </w:r>
      <w:r w:rsidRPr="006D4256">
        <w:rPr>
          <w:rFonts w:cs="Times New Roman"/>
          <w:color w:val="000000"/>
          <w:szCs w:val="24"/>
        </w:rPr>
        <w:t>seems to rely, at least in part, on the revocation of Mr. Willis</w:t>
      </w:r>
      <w:r w:rsidR="003A02FC">
        <w:rPr>
          <w:rFonts w:cs="Times New Roman"/>
          <w:color w:val="000000"/>
          <w:szCs w:val="24"/>
        </w:rPr>
        <w:t>’</w:t>
      </w:r>
      <w:r w:rsidRPr="006D4256">
        <w:rPr>
          <w:rFonts w:cs="Times New Roman"/>
          <w:color w:val="000000"/>
          <w:szCs w:val="24"/>
        </w:rPr>
        <w:t>s probation. Since the reason for the revocation is not readily apparent to me in the record, it occurs to me that resolving the remaining issues in the appeal will require testimony and more documentary evidence.</w:t>
      </w:r>
    </w:p>
    <w:p w:rsidR="008A2CC1" w:rsidRPr="006D4256" w:rsidRDefault="008A2CC1" w:rsidP="008A2CC1">
      <w:pPr>
        <w:spacing w:line="240" w:lineRule="auto"/>
        <w:ind w:left="720" w:right="720" w:firstLine="720"/>
        <w:rPr>
          <w:rFonts w:cs="Times New Roman"/>
          <w:szCs w:val="24"/>
        </w:rPr>
      </w:pPr>
    </w:p>
    <w:p w:rsidR="00230281" w:rsidRPr="006D4256" w:rsidRDefault="008A2CC1" w:rsidP="003003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6D4256">
        <w:rPr>
          <w:szCs w:val="24"/>
        </w:rPr>
        <w:tab/>
        <w:t xml:space="preserve">I </w:t>
      </w:r>
      <w:r w:rsidR="00543426">
        <w:rPr>
          <w:szCs w:val="24"/>
        </w:rPr>
        <w:t xml:space="preserve">further </w:t>
      </w:r>
      <w:r w:rsidRPr="006D4256">
        <w:rPr>
          <w:szCs w:val="24"/>
        </w:rPr>
        <w:t xml:space="preserve">stated: </w:t>
      </w:r>
    </w:p>
    <w:p w:rsidR="008A2CC1" w:rsidRPr="006D4256" w:rsidRDefault="008A2CC1" w:rsidP="008A2CC1">
      <w:pPr>
        <w:spacing w:line="240" w:lineRule="auto"/>
        <w:ind w:left="720" w:right="720" w:firstLine="720"/>
        <w:rPr>
          <w:rFonts w:cs="Times New Roman"/>
          <w:szCs w:val="24"/>
        </w:rPr>
      </w:pPr>
      <w:r w:rsidRPr="006D4256">
        <w:rPr>
          <w:rFonts w:cs="Times New Roman"/>
          <w:color w:val="000000"/>
          <w:szCs w:val="24"/>
        </w:rPr>
        <w:t>DPH argues that it should be allowed to revoke Mr. Willis</w:t>
      </w:r>
      <w:r w:rsidR="003A02FC">
        <w:rPr>
          <w:rFonts w:cs="Times New Roman"/>
          <w:color w:val="000000"/>
          <w:szCs w:val="24"/>
        </w:rPr>
        <w:t>’</w:t>
      </w:r>
      <w:r w:rsidRPr="006D4256">
        <w:rPr>
          <w:rFonts w:cs="Times New Roman"/>
          <w:color w:val="000000"/>
          <w:szCs w:val="24"/>
        </w:rPr>
        <w:t xml:space="preserve">s registration under </w:t>
      </w:r>
      <w:r w:rsidRPr="006D4256">
        <w:rPr>
          <w:rFonts w:cs="Times New Roman"/>
          <w:szCs w:val="24"/>
        </w:rPr>
        <w:t>105 CMR 725.425(E)....However, DPH may not proceed under 105 CMR 725.425(E) unless it brings to my attention that its Notice of Agency Action and Notice of Claim for an Adjudicatory Proceeding invoke that provision, or unless it amends those notices and I am convinced that Mr. Willis is not prejudiced by the amendments.</w:t>
      </w:r>
    </w:p>
    <w:p w:rsidR="00176FD8" w:rsidRPr="006D4256" w:rsidRDefault="00176FD8" w:rsidP="008A2CC1">
      <w:pPr>
        <w:spacing w:line="240" w:lineRule="auto"/>
        <w:ind w:left="720" w:right="720" w:firstLine="720"/>
        <w:rPr>
          <w:rFonts w:cs="Times New Roman"/>
          <w:szCs w:val="24"/>
        </w:rPr>
      </w:pPr>
    </w:p>
    <w:p w:rsidR="003900A2" w:rsidRDefault="00176FD8" w:rsidP="005457BA">
      <w:pPr>
        <w:ind w:firstLine="720"/>
        <w:rPr>
          <w:rFonts w:cs="Times New Roman"/>
          <w:szCs w:val="24"/>
        </w:rPr>
      </w:pPr>
      <w:r w:rsidRPr="006D4256">
        <w:rPr>
          <w:rFonts w:cs="Times New Roman"/>
          <w:szCs w:val="24"/>
        </w:rPr>
        <w:t xml:space="preserve">On </w:t>
      </w:r>
      <w:r w:rsidR="006010CE">
        <w:rPr>
          <w:rFonts w:cs="Times New Roman"/>
          <w:szCs w:val="24"/>
        </w:rPr>
        <w:t xml:space="preserve">May </w:t>
      </w:r>
      <w:r w:rsidR="0033204B">
        <w:rPr>
          <w:rFonts w:cs="Times New Roman"/>
          <w:szCs w:val="24"/>
        </w:rPr>
        <w:t>4</w:t>
      </w:r>
      <w:r w:rsidR="006010CE">
        <w:rPr>
          <w:rFonts w:cs="Times New Roman"/>
          <w:szCs w:val="24"/>
        </w:rPr>
        <w:t>, 2016</w:t>
      </w:r>
      <w:r w:rsidRPr="006D4256">
        <w:rPr>
          <w:rFonts w:cs="Times New Roman"/>
          <w:szCs w:val="24"/>
        </w:rPr>
        <w:t>, DPH moved to amend its notices to include 105 CMR 725.425(E)</w:t>
      </w:r>
      <w:r w:rsidR="003900A2" w:rsidRPr="006D4256">
        <w:rPr>
          <w:rFonts w:cs="Times New Roman"/>
          <w:szCs w:val="24"/>
        </w:rPr>
        <w:t>, which allows DPH to revoke a dispensary agent</w:t>
      </w:r>
      <w:r w:rsidR="003A02FC">
        <w:rPr>
          <w:rFonts w:cs="Times New Roman"/>
          <w:szCs w:val="24"/>
        </w:rPr>
        <w:t>’</w:t>
      </w:r>
      <w:r w:rsidR="003900A2" w:rsidRPr="006D4256">
        <w:rPr>
          <w:rFonts w:cs="Times New Roman"/>
          <w:szCs w:val="24"/>
        </w:rPr>
        <w:t>s registration</w:t>
      </w:r>
      <w:r w:rsidR="005457BA" w:rsidRPr="006D4256">
        <w:rPr>
          <w:rFonts w:cs="Times New Roman"/>
          <w:szCs w:val="24"/>
        </w:rPr>
        <w:t xml:space="preserve"> on </w:t>
      </w:r>
      <w:r w:rsidR="00F17C5B">
        <w:rPr>
          <w:rFonts w:cs="Times New Roman"/>
          <w:szCs w:val="24"/>
        </w:rPr>
        <w:t>“</w:t>
      </w:r>
      <w:r w:rsidR="003900A2" w:rsidRPr="006D4256">
        <w:rPr>
          <w:szCs w:val="24"/>
        </w:rPr>
        <w:t>any other ground that serves the purposes</w:t>
      </w:r>
      <w:r w:rsidR="00F17C5B">
        <w:rPr>
          <w:szCs w:val="24"/>
        </w:rPr>
        <w:t>”</w:t>
      </w:r>
      <w:r w:rsidR="003900A2" w:rsidRPr="006D4256">
        <w:rPr>
          <w:szCs w:val="24"/>
        </w:rPr>
        <w:t xml:space="preserve"> of </w:t>
      </w:r>
      <w:r w:rsidR="006D4256" w:rsidRPr="006D4256">
        <w:rPr>
          <w:szCs w:val="24"/>
        </w:rPr>
        <w:t>the medical marijuana statute or the DPH regulations implementing it.</w:t>
      </w:r>
      <w:r w:rsidR="003900A2" w:rsidRPr="006D4256">
        <w:rPr>
          <w:szCs w:val="24"/>
        </w:rPr>
        <w:t xml:space="preserve"> </w:t>
      </w:r>
      <w:r w:rsidR="006010CE">
        <w:rPr>
          <w:szCs w:val="24"/>
        </w:rPr>
        <w:t xml:space="preserve">On </w:t>
      </w:r>
      <w:r w:rsidR="00D67A2E">
        <w:rPr>
          <w:szCs w:val="24"/>
        </w:rPr>
        <w:t xml:space="preserve">May </w:t>
      </w:r>
      <w:r w:rsidR="00D67A2E">
        <w:rPr>
          <w:szCs w:val="24"/>
        </w:rPr>
        <w:lastRenderedPageBreak/>
        <w:t>5, 2016</w:t>
      </w:r>
      <w:r w:rsidR="006010CE">
        <w:rPr>
          <w:szCs w:val="24"/>
        </w:rPr>
        <w:t xml:space="preserve">, </w:t>
      </w:r>
      <w:r w:rsidR="006D4256">
        <w:rPr>
          <w:szCs w:val="24"/>
        </w:rPr>
        <w:t>I allowed the amendment.</w:t>
      </w:r>
      <w:r w:rsidR="0033204B">
        <w:rPr>
          <w:szCs w:val="24"/>
        </w:rPr>
        <w:t xml:space="preserve"> On May 10, 2016, DPH amended its notices to </w:t>
      </w:r>
      <w:r w:rsidR="0033204B" w:rsidRPr="006D4256">
        <w:rPr>
          <w:rFonts w:cs="Times New Roman"/>
          <w:szCs w:val="24"/>
        </w:rPr>
        <w:t>include 105 CMR 725.425(E)</w:t>
      </w:r>
      <w:r w:rsidR="0033204B">
        <w:rPr>
          <w:rFonts w:cs="Times New Roman"/>
          <w:szCs w:val="24"/>
        </w:rPr>
        <w:t>.</w:t>
      </w:r>
    </w:p>
    <w:p w:rsidR="00691D08" w:rsidRPr="00565F11" w:rsidRDefault="00565F11" w:rsidP="00266E3B">
      <w:pPr>
        <w:ind w:firstLine="720"/>
        <w:rPr>
          <w:szCs w:val="24"/>
          <w:u w:val="single"/>
        </w:rPr>
      </w:pPr>
      <w:r w:rsidRPr="00565F11">
        <w:rPr>
          <w:szCs w:val="24"/>
          <w:u w:val="single"/>
        </w:rPr>
        <w:t>Hearing</w:t>
      </w:r>
    </w:p>
    <w:p w:rsidR="00F07FA5" w:rsidRPr="006D4256" w:rsidRDefault="00C1640A" w:rsidP="00F07FA5">
      <w:pPr>
        <w:ind w:firstLine="720"/>
        <w:rPr>
          <w:szCs w:val="24"/>
        </w:rPr>
      </w:pPr>
      <w:r>
        <w:rPr>
          <w:szCs w:val="24"/>
        </w:rPr>
        <w:t xml:space="preserve">On </w:t>
      </w:r>
      <w:r w:rsidR="00760FA1">
        <w:rPr>
          <w:szCs w:val="24"/>
        </w:rPr>
        <w:t>June 28, 2016</w:t>
      </w:r>
      <w:r>
        <w:rPr>
          <w:szCs w:val="24"/>
        </w:rPr>
        <w:t>,</w:t>
      </w:r>
      <w:r w:rsidR="00565F11">
        <w:rPr>
          <w:szCs w:val="24"/>
        </w:rPr>
        <w:t xml:space="preserve"> I held an evidentiary hearing</w:t>
      </w:r>
      <w:r w:rsidR="00F00FE9">
        <w:rPr>
          <w:szCs w:val="24"/>
        </w:rPr>
        <w:t>,</w:t>
      </w:r>
      <w:r w:rsidR="00F07FA5" w:rsidRPr="00F07FA5">
        <w:rPr>
          <w:szCs w:val="24"/>
        </w:rPr>
        <w:t xml:space="preserve"> </w:t>
      </w:r>
      <w:r w:rsidR="00F07FA5" w:rsidRPr="006D4256">
        <w:rPr>
          <w:szCs w:val="24"/>
        </w:rPr>
        <w:t>which I recorded digitally.</w:t>
      </w:r>
      <w:r w:rsidR="00F07FA5">
        <w:rPr>
          <w:szCs w:val="24"/>
        </w:rPr>
        <w:t xml:space="preserve"> DPH called two witnesses: Karen </w:t>
      </w:r>
      <w:proofErr w:type="spellStart"/>
      <w:r w:rsidR="00F07FA5">
        <w:rPr>
          <w:szCs w:val="24"/>
        </w:rPr>
        <w:t>Geoghegan</w:t>
      </w:r>
      <w:proofErr w:type="spellEnd"/>
      <w:r w:rsidR="00F07FA5">
        <w:rPr>
          <w:szCs w:val="24"/>
        </w:rPr>
        <w:t>, who works for its Medical Use of Marijuana Program</w:t>
      </w:r>
      <w:r w:rsidR="00F00FE9">
        <w:rPr>
          <w:szCs w:val="24"/>
        </w:rPr>
        <w:t xml:space="preserve"> (which this decision calls the “medical marijuana program”)</w:t>
      </w:r>
      <w:r w:rsidR="00F07FA5">
        <w:rPr>
          <w:szCs w:val="24"/>
        </w:rPr>
        <w:t xml:space="preserve">; and Stephani Eastwick, the Human Resources Manager for </w:t>
      </w:r>
      <w:r w:rsidR="00691EB5">
        <w:rPr>
          <w:szCs w:val="24"/>
        </w:rPr>
        <w:t>New England Treatment Access (</w:t>
      </w:r>
      <w:r w:rsidR="00F07FA5">
        <w:rPr>
          <w:szCs w:val="24"/>
        </w:rPr>
        <w:t>NETA</w:t>
      </w:r>
      <w:r w:rsidR="00691EB5">
        <w:rPr>
          <w:szCs w:val="24"/>
        </w:rPr>
        <w:t>)</w:t>
      </w:r>
      <w:r w:rsidR="00F07FA5">
        <w:rPr>
          <w:szCs w:val="24"/>
        </w:rPr>
        <w:t xml:space="preserve">, which had employed Mr. Willis. </w:t>
      </w:r>
      <w:r w:rsidR="00F07FA5" w:rsidRPr="006D4256">
        <w:rPr>
          <w:szCs w:val="24"/>
        </w:rPr>
        <w:t xml:space="preserve">I accepted into evidence </w:t>
      </w:r>
      <w:r w:rsidR="00F07FA5">
        <w:rPr>
          <w:szCs w:val="24"/>
        </w:rPr>
        <w:t>13</w:t>
      </w:r>
      <w:r w:rsidR="00F07FA5" w:rsidRPr="006D4256">
        <w:rPr>
          <w:szCs w:val="24"/>
        </w:rPr>
        <w:t xml:space="preserve"> exhibits.</w:t>
      </w:r>
    </w:p>
    <w:p w:rsidR="00C1640A" w:rsidRDefault="00C1640A" w:rsidP="00F07FA5">
      <w:pPr>
        <w:widowControl w:val="0"/>
        <w:ind w:firstLine="720"/>
        <w:rPr>
          <w:szCs w:val="24"/>
        </w:rPr>
      </w:pPr>
      <w:r>
        <w:rPr>
          <w:szCs w:val="24"/>
        </w:rPr>
        <w:t xml:space="preserve">DPH </w:t>
      </w:r>
      <w:proofErr w:type="gramStart"/>
      <w:r>
        <w:rPr>
          <w:szCs w:val="24"/>
        </w:rPr>
        <w:t>proceeded</w:t>
      </w:r>
      <w:proofErr w:type="gramEnd"/>
      <w:r>
        <w:rPr>
          <w:szCs w:val="24"/>
        </w:rPr>
        <w:t xml:space="preserve"> against Mr. Willis under three </w:t>
      </w:r>
      <w:r w:rsidR="00565F11">
        <w:rPr>
          <w:szCs w:val="24"/>
        </w:rPr>
        <w:t>regulation</w:t>
      </w:r>
      <w:r>
        <w:rPr>
          <w:szCs w:val="24"/>
        </w:rPr>
        <w:t>s:</w:t>
      </w:r>
      <w:r w:rsidR="003A37CC">
        <w:rPr>
          <w:szCs w:val="24"/>
        </w:rPr>
        <w:t xml:space="preserve"> </w:t>
      </w:r>
    </w:p>
    <w:p w:rsidR="00C1640A" w:rsidRPr="006D4256" w:rsidRDefault="003A37CC" w:rsidP="00F07FA5">
      <w:pPr>
        <w:widowControl w:val="0"/>
        <w:rPr>
          <w:rFonts w:cs="Times New Roman"/>
          <w:color w:val="000000"/>
          <w:szCs w:val="24"/>
        </w:rPr>
      </w:pPr>
      <w:r>
        <w:rPr>
          <w:rFonts w:cs="Times New Roman"/>
          <w:szCs w:val="24"/>
        </w:rPr>
        <w:tab/>
      </w:r>
      <w:r w:rsidRPr="006D4256">
        <w:rPr>
          <w:rFonts w:cs="Times New Roman"/>
          <w:szCs w:val="24"/>
        </w:rPr>
        <w:t>•</w:t>
      </w:r>
      <w:r w:rsidRPr="006D4256">
        <w:rPr>
          <w:szCs w:val="24"/>
        </w:rPr>
        <w:t xml:space="preserve"> </w:t>
      </w:r>
      <w:r w:rsidR="00C1640A" w:rsidRPr="006D4256">
        <w:rPr>
          <w:rFonts w:cs="Times New Roman"/>
          <w:szCs w:val="24"/>
        </w:rPr>
        <w:t>105 CMR 725.</w:t>
      </w:r>
      <w:r w:rsidR="00644B86">
        <w:rPr>
          <w:rFonts w:cs="Times New Roman"/>
          <w:szCs w:val="24"/>
        </w:rPr>
        <w:t>425</w:t>
      </w:r>
      <w:r w:rsidR="00C1640A" w:rsidRPr="006D4256">
        <w:rPr>
          <w:rFonts w:cs="Times New Roman"/>
          <w:szCs w:val="24"/>
        </w:rPr>
        <w:t>(A)(1)</w:t>
      </w:r>
      <w:r>
        <w:rPr>
          <w:rFonts w:cs="Times New Roman"/>
          <w:szCs w:val="24"/>
        </w:rPr>
        <w:t xml:space="preserve"> (</w:t>
      </w:r>
      <w:r w:rsidR="00C1640A" w:rsidRPr="006D4256">
        <w:rPr>
          <w:rFonts w:cs="Times New Roman"/>
          <w:szCs w:val="24"/>
        </w:rPr>
        <w:t>authoriz</w:t>
      </w:r>
      <w:r>
        <w:rPr>
          <w:rFonts w:cs="Times New Roman"/>
          <w:szCs w:val="24"/>
        </w:rPr>
        <w:t xml:space="preserve">ing revocation of </w:t>
      </w:r>
      <w:r w:rsidR="00C1640A" w:rsidRPr="006D4256">
        <w:rPr>
          <w:rFonts w:cs="Times New Roman"/>
          <w:color w:val="000000"/>
          <w:szCs w:val="24"/>
        </w:rPr>
        <w:t>a dispensary agent</w:t>
      </w:r>
      <w:r w:rsidR="003A02FC">
        <w:rPr>
          <w:rFonts w:cs="Times New Roman"/>
          <w:color w:val="000000"/>
          <w:szCs w:val="24"/>
        </w:rPr>
        <w:t>’</w:t>
      </w:r>
      <w:r w:rsidR="00C1640A" w:rsidRPr="006D4256">
        <w:rPr>
          <w:rFonts w:cs="Times New Roman"/>
          <w:color w:val="000000"/>
          <w:szCs w:val="24"/>
        </w:rPr>
        <w:t>s registration because of</w:t>
      </w:r>
      <w:r w:rsidR="00C1640A" w:rsidRPr="006D4256">
        <w:rPr>
          <w:rFonts w:cs="Times New Roman"/>
          <w:szCs w:val="24"/>
        </w:rPr>
        <w:t xml:space="preserve"> </w:t>
      </w:r>
      <w:r w:rsidR="00F17C5B">
        <w:rPr>
          <w:rFonts w:cs="Times New Roman"/>
          <w:szCs w:val="24"/>
        </w:rPr>
        <w:t>“</w:t>
      </w:r>
      <w:r w:rsidR="00C1640A" w:rsidRPr="006D4256">
        <w:rPr>
          <w:rFonts w:cs="Times New Roman"/>
          <w:szCs w:val="24"/>
        </w:rPr>
        <w:t>[s]</w:t>
      </w:r>
      <w:proofErr w:type="spellStart"/>
      <w:r w:rsidR="00C1640A" w:rsidRPr="006D4256">
        <w:rPr>
          <w:rFonts w:cs="Times New Roman"/>
          <w:color w:val="000000"/>
          <w:szCs w:val="24"/>
        </w:rPr>
        <w:t>ubmission</w:t>
      </w:r>
      <w:proofErr w:type="spellEnd"/>
      <w:r w:rsidR="00C1640A" w:rsidRPr="006D4256">
        <w:rPr>
          <w:rFonts w:cs="Times New Roman"/>
          <w:color w:val="000000"/>
          <w:szCs w:val="24"/>
        </w:rPr>
        <w:t xml:space="preserve"> of misleading, incorrect, false, or fraudulent information in the application</w:t>
      </w:r>
      <w:r w:rsidR="00F17C5B">
        <w:rPr>
          <w:rFonts w:cs="Times New Roman"/>
          <w:color w:val="000000"/>
          <w:szCs w:val="24"/>
        </w:rPr>
        <w:t>”</w:t>
      </w:r>
      <w:r>
        <w:rPr>
          <w:rFonts w:cs="Times New Roman"/>
          <w:color w:val="000000"/>
          <w:szCs w:val="24"/>
        </w:rPr>
        <w:t>)</w:t>
      </w:r>
      <w:r w:rsidR="00C1640A" w:rsidRPr="006D4256">
        <w:rPr>
          <w:rFonts w:cs="Times New Roman"/>
          <w:color w:val="000000"/>
          <w:szCs w:val="24"/>
        </w:rPr>
        <w:t xml:space="preserve">; </w:t>
      </w:r>
    </w:p>
    <w:p w:rsidR="0091343F" w:rsidRDefault="00C1640A" w:rsidP="00C1640A">
      <w:pPr>
        <w:ind w:firstLine="720"/>
        <w:rPr>
          <w:szCs w:val="24"/>
        </w:rPr>
      </w:pPr>
      <w:r w:rsidRPr="006D4256">
        <w:rPr>
          <w:rFonts w:cs="Times New Roman"/>
          <w:szCs w:val="24"/>
        </w:rPr>
        <w:t>•</w:t>
      </w:r>
      <w:r w:rsidRPr="006D4256">
        <w:rPr>
          <w:szCs w:val="24"/>
        </w:rPr>
        <w:t xml:space="preserve"> </w:t>
      </w:r>
      <w:r w:rsidRPr="006D4256">
        <w:rPr>
          <w:rFonts w:cs="Times New Roman"/>
          <w:szCs w:val="24"/>
        </w:rPr>
        <w:t>105 CMR 725.425(A)(2)</w:t>
      </w:r>
      <w:r w:rsidR="0091343F">
        <w:rPr>
          <w:rFonts w:cs="Times New Roman"/>
          <w:szCs w:val="24"/>
        </w:rPr>
        <w:t xml:space="preserve"> (authorizing </w:t>
      </w:r>
      <w:r w:rsidR="0091343F" w:rsidRPr="006D4256">
        <w:rPr>
          <w:rFonts w:cs="Times New Roman"/>
          <w:szCs w:val="24"/>
        </w:rPr>
        <w:t xml:space="preserve">revocation for </w:t>
      </w:r>
      <w:r w:rsidR="0091343F">
        <w:rPr>
          <w:rFonts w:cs="Times New Roman"/>
          <w:szCs w:val="24"/>
        </w:rPr>
        <w:t xml:space="preserve">violating </w:t>
      </w:r>
      <w:r w:rsidR="0091343F" w:rsidRPr="006D4256">
        <w:rPr>
          <w:szCs w:val="24"/>
        </w:rPr>
        <w:t>the requirements</w:t>
      </w:r>
      <w:r w:rsidR="0091343F">
        <w:rPr>
          <w:szCs w:val="24"/>
        </w:rPr>
        <w:t xml:space="preserve"> of </w:t>
      </w:r>
      <w:r w:rsidR="0091343F" w:rsidRPr="006D4256">
        <w:rPr>
          <w:szCs w:val="24"/>
        </w:rPr>
        <w:t>the medical marijuana statute</w:t>
      </w:r>
      <w:r w:rsidR="00F07FA5">
        <w:rPr>
          <w:szCs w:val="24"/>
        </w:rPr>
        <w:t xml:space="preserve"> </w:t>
      </w:r>
      <w:r w:rsidR="0091343F" w:rsidRPr="006D4256">
        <w:rPr>
          <w:szCs w:val="24"/>
        </w:rPr>
        <w:t xml:space="preserve">or the </w:t>
      </w:r>
      <w:r w:rsidR="0091343F">
        <w:rPr>
          <w:szCs w:val="24"/>
        </w:rPr>
        <w:t xml:space="preserve">DPH regulations implementing it); and </w:t>
      </w:r>
    </w:p>
    <w:p w:rsidR="00C41180" w:rsidRDefault="00C41180" w:rsidP="00C1640A">
      <w:pPr>
        <w:ind w:firstLine="720"/>
        <w:rPr>
          <w:szCs w:val="24"/>
        </w:rPr>
      </w:pPr>
      <w:r w:rsidRPr="006D4256">
        <w:rPr>
          <w:rFonts w:cs="Times New Roman"/>
          <w:szCs w:val="24"/>
        </w:rPr>
        <w:t>•</w:t>
      </w:r>
      <w:r w:rsidRPr="006D4256">
        <w:rPr>
          <w:szCs w:val="24"/>
        </w:rPr>
        <w:t xml:space="preserve"> </w:t>
      </w:r>
      <w:r w:rsidRPr="006D4256">
        <w:rPr>
          <w:rFonts w:cs="Times New Roman"/>
          <w:szCs w:val="24"/>
        </w:rPr>
        <w:t>105 CMR 725.425(E)</w:t>
      </w:r>
      <w:r>
        <w:rPr>
          <w:rFonts w:cs="Times New Roman"/>
          <w:szCs w:val="24"/>
        </w:rPr>
        <w:t xml:space="preserve"> (authorizing revocation </w:t>
      </w:r>
      <w:r w:rsidRPr="006D4256">
        <w:rPr>
          <w:rFonts w:cs="Times New Roman"/>
          <w:szCs w:val="24"/>
        </w:rPr>
        <w:t xml:space="preserve">on </w:t>
      </w:r>
      <w:r w:rsidR="00F17C5B">
        <w:rPr>
          <w:rFonts w:cs="Times New Roman"/>
          <w:szCs w:val="24"/>
        </w:rPr>
        <w:t>“</w:t>
      </w:r>
      <w:r w:rsidRPr="006D4256">
        <w:rPr>
          <w:szCs w:val="24"/>
        </w:rPr>
        <w:t>any other ground that serves the purposes</w:t>
      </w:r>
      <w:r w:rsidR="00F17C5B">
        <w:rPr>
          <w:szCs w:val="24"/>
        </w:rPr>
        <w:t>”</w:t>
      </w:r>
      <w:r w:rsidRPr="006D4256">
        <w:rPr>
          <w:szCs w:val="24"/>
        </w:rPr>
        <w:t xml:space="preserve"> of the medical marijuana statute or the DPH regulations implementing it</w:t>
      </w:r>
      <w:r>
        <w:rPr>
          <w:szCs w:val="24"/>
        </w:rPr>
        <w:t>).</w:t>
      </w:r>
    </w:p>
    <w:p w:rsidR="00565F11" w:rsidRPr="006D4256" w:rsidRDefault="00565F11" w:rsidP="00565F11">
      <w:pPr>
        <w:rPr>
          <w:szCs w:val="24"/>
        </w:rPr>
      </w:pPr>
      <w:r w:rsidRPr="006D4256">
        <w:rPr>
          <w:szCs w:val="24"/>
        </w:rPr>
        <w:tab/>
      </w:r>
      <w:r w:rsidRPr="00F07FA5">
        <w:rPr>
          <w:szCs w:val="24"/>
        </w:rPr>
        <w:t xml:space="preserve">Both parties submitted post-hearing briefs. </w:t>
      </w:r>
    </w:p>
    <w:p w:rsidR="0056519D" w:rsidRPr="006D4256" w:rsidRDefault="0056519D" w:rsidP="0056519D">
      <w:pPr>
        <w:jc w:val="center"/>
        <w:rPr>
          <w:b/>
          <w:szCs w:val="24"/>
        </w:rPr>
      </w:pPr>
      <w:r w:rsidRPr="006D4256">
        <w:rPr>
          <w:b/>
          <w:szCs w:val="24"/>
        </w:rPr>
        <w:t>Findings of Fact</w:t>
      </w:r>
    </w:p>
    <w:p w:rsidR="00060A41" w:rsidRPr="0033580C" w:rsidRDefault="00060A41" w:rsidP="00B058A4">
      <w:pPr>
        <w:widowControl w:val="0"/>
        <w:rPr>
          <w:szCs w:val="24"/>
        </w:rPr>
      </w:pPr>
      <w:r>
        <w:rPr>
          <w:szCs w:val="24"/>
        </w:rPr>
        <w:tab/>
      </w:r>
      <w:r>
        <w:rPr>
          <w:szCs w:val="24"/>
          <w:u w:val="single"/>
        </w:rPr>
        <w:t>Statute, regu</w:t>
      </w:r>
      <w:r w:rsidR="00F17C5B">
        <w:rPr>
          <w:szCs w:val="24"/>
          <w:u w:val="single"/>
        </w:rPr>
        <w:t>lations, guidance</w:t>
      </w:r>
      <w:r w:rsidR="00B1308A">
        <w:rPr>
          <w:szCs w:val="24"/>
          <w:u w:val="single"/>
        </w:rPr>
        <w:t>, and policy</w:t>
      </w:r>
      <w:r w:rsidR="0033580C" w:rsidRPr="000C4D47">
        <w:rPr>
          <w:rStyle w:val="FootnoteReference"/>
          <w:szCs w:val="24"/>
        </w:rPr>
        <w:footnoteReference w:id="3"/>
      </w:r>
    </w:p>
    <w:p w:rsidR="00666370" w:rsidRDefault="00666370" w:rsidP="00401776">
      <w:pPr>
        <w:widowControl w:val="0"/>
        <w:rPr>
          <w:rStyle w:val="hierarchydescription2"/>
          <w:rFonts w:cs="Times New Roman"/>
          <w:szCs w:val="24"/>
          <w:lang w:val="en"/>
        </w:rPr>
      </w:pPr>
      <w:r>
        <w:rPr>
          <w:rFonts w:cs="Times New Roman"/>
          <w:szCs w:val="24"/>
          <w:lang w:val="en"/>
        </w:rPr>
        <w:tab/>
      </w:r>
      <w:r w:rsidR="0087347C">
        <w:rPr>
          <w:rFonts w:cs="Times New Roman"/>
          <w:szCs w:val="24"/>
          <w:lang w:val="en"/>
        </w:rPr>
        <w:t>1</w:t>
      </w:r>
      <w:r w:rsidRPr="0004078B">
        <w:rPr>
          <w:rFonts w:cs="Times New Roman"/>
          <w:szCs w:val="24"/>
          <w:lang w:val="en"/>
        </w:rPr>
        <w:t xml:space="preserve">. On November 6, 2012, the people of Massachusetts approved a ballot question that became </w:t>
      </w:r>
      <w:r w:rsidR="00CE66C2">
        <w:rPr>
          <w:rStyle w:val="hierarchydescription2"/>
          <w:rFonts w:cs="Times New Roman"/>
          <w:szCs w:val="24"/>
          <w:lang w:val="en"/>
          <w:specVanish w:val="0"/>
        </w:rPr>
        <w:t>the medical marijuana statute.</w:t>
      </w:r>
      <w:r w:rsidR="0004078B">
        <w:rPr>
          <w:rStyle w:val="hierarchydescription2"/>
          <w:rFonts w:cs="Times New Roman"/>
          <w:szCs w:val="24"/>
          <w:lang w:val="en"/>
          <w:specVanish w:val="0"/>
        </w:rPr>
        <w:t xml:space="preserve"> St. 2012, c. 369.</w:t>
      </w:r>
      <w:r w:rsidR="00A039C5">
        <w:rPr>
          <w:rStyle w:val="hierarchydescription2"/>
          <w:rFonts w:cs="Times New Roman"/>
          <w:szCs w:val="24"/>
          <w:lang w:val="en"/>
          <w:specVanish w:val="0"/>
        </w:rPr>
        <w:t xml:space="preserve"> It has not been codified into the Massachusetts General Laws.</w:t>
      </w:r>
    </w:p>
    <w:p w:rsidR="00A039C5" w:rsidRDefault="00A039C5" w:rsidP="00401776">
      <w:pPr>
        <w:widowControl w:val="0"/>
        <w:rPr>
          <w:rStyle w:val="hierarchydescription2"/>
          <w:rFonts w:cs="Times New Roman"/>
          <w:szCs w:val="24"/>
          <w:lang w:val="en"/>
        </w:rPr>
      </w:pPr>
      <w:r>
        <w:rPr>
          <w:rStyle w:val="hierarchydescription2"/>
          <w:rFonts w:cs="Times New Roman"/>
          <w:szCs w:val="24"/>
          <w:lang w:val="en"/>
          <w:specVanish w:val="0"/>
        </w:rPr>
        <w:lastRenderedPageBreak/>
        <w:tab/>
      </w:r>
      <w:r w:rsidR="0087347C">
        <w:rPr>
          <w:rStyle w:val="hierarchydescription2"/>
          <w:rFonts w:cs="Times New Roman"/>
          <w:szCs w:val="24"/>
          <w:lang w:val="en"/>
          <w:specVanish w:val="0"/>
        </w:rPr>
        <w:t>2</w:t>
      </w:r>
      <w:r>
        <w:rPr>
          <w:rStyle w:val="hierarchydescription2"/>
          <w:rFonts w:cs="Times New Roman"/>
          <w:szCs w:val="24"/>
          <w:lang w:val="en"/>
          <w:specVanish w:val="0"/>
        </w:rPr>
        <w:t>. The medical marijuana statute became effective on January 1, 2013. St. 2012, c. 369, § 16.</w:t>
      </w:r>
    </w:p>
    <w:p w:rsidR="00B96BD7" w:rsidRDefault="00F34B78" w:rsidP="00B96BD7">
      <w:pPr>
        <w:widowControl w:val="0"/>
        <w:rPr>
          <w:rStyle w:val="hierarchydescription2"/>
          <w:rFonts w:cs="Times New Roman"/>
          <w:szCs w:val="24"/>
          <w:lang w:val="en"/>
        </w:rPr>
      </w:pPr>
      <w:r>
        <w:rPr>
          <w:rStyle w:val="hierarchydescription2"/>
          <w:rFonts w:cs="Times New Roman"/>
          <w:szCs w:val="24"/>
          <w:lang w:val="en"/>
          <w:specVanish w:val="0"/>
        </w:rPr>
        <w:tab/>
      </w:r>
      <w:r w:rsidR="0087347C">
        <w:rPr>
          <w:rStyle w:val="hierarchydescription2"/>
          <w:rFonts w:cs="Times New Roman"/>
          <w:szCs w:val="24"/>
          <w:lang w:val="en"/>
          <w:specVanish w:val="0"/>
        </w:rPr>
        <w:t>3</w:t>
      </w:r>
      <w:r w:rsidR="00B96BD7">
        <w:rPr>
          <w:rStyle w:val="hierarchydescription2"/>
          <w:rFonts w:cs="Times New Roman"/>
          <w:szCs w:val="24"/>
          <w:lang w:val="en"/>
          <w:specVanish w:val="0"/>
        </w:rPr>
        <w:t>. The medical marijuana sta</w:t>
      </w:r>
      <w:r w:rsidR="00644B86">
        <w:rPr>
          <w:rStyle w:val="hierarchydescription2"/>
          <w:rFonts w:cs="Times New Roman"/>
          <w:szCs w:val="24"/>
          <w:lang w:val="en"/>
          <w:specVanish w:val="0"/>
        </w:rPr>
        <w:t>tu</w:t>
      </w:r>
      <w:r w:rsidR="00B96BD7">
        <w:rPr>
          <w:rStyle w:val="hierarchydescription2"/>
          <w:rFonts w:cs="Times New Roman"/>
          <w:szCs w:val="24"/>
          <w:lang w:val="en"/>
          <w:specVanish w:val="0"/>
        </w:rPr>
        <w:t xml:space="preserve">te </w:t>
      </w:r>
      <w:r w:rsidR="00B96BD7" w:rsidRPr="00B96BD7">
        <w:rPr>
          <w:rStyle w:val="hierarchydescription2"/>
          <w:rFonts w:cs="Times New Roman"/>
          <w:szCs w:val="24"/>
          <w:lang w:val="en"/>
          <w:specVanish w:val="0"/>
        </w:rPr>
        <w:t xml:space="preserve">provides: </w:t>
      </w:r>
      <w:r w:rsidR="00F17C5B">
        <w:rPr>
          <w:rStyle w:val="hierarchydescription2"/>
          <w:rFonts w:cs="Times New Roman"/>
          <w:szCs w:val="24"/>
          <w:lang w:val="en"/>
          <w:specVanish w:val="0"/>
        </w:rPr>
        <w:t>“</w:t>
      </w:r>
      <w:r w:rsidR="00B96BD7" w:rsidRPr="00B96BD7">
        <w:rPr>
          <w:rFonts w:cs="Times New Roman"/>
          <w:szCs w:val="24"/>
          <w:lang w:val="en"/>
        </w:rPr>
        <w:t>No one shall be a dispensary agent who has been convicted of a felony drug offense.</w:t>
      </w:r>
      <w:r w:rsidR="00F17C5B">
        <w:rPr>
          <w:rFonts w:cs="Times New Roman"/>
          <w:szCs w:val="24"/>
          <w:lang w:val="en"/>
        </w:rPr>
        <w:t>”</w:t>
      </w:r>
      <w:r w:rsidR="00B96BD7">
        <w:rPr>
          <w:rFonts w:cs="Times New Roman"/>
          <w:szCs w:val="24"/>
          <w:lang w:val="en"/>
        </w:rPr>
        <w:t xml:space="preserve"> </w:t>
      </w:r>
      <w:r w:rsidR="00B96BD7">
        <w:rPr>
          <w:rStyle w:val="hierarchydescription2"/>
          <w:rFonts w:cs="Times New Roman"/>
          <w:szCs w:val="24"/>
          <w:lang w:val="en"/>
          <w:specVanish w:val="0"/>
        </w:rPr>
        <w:t>St. 2012, c. 369, § 10(D).</w:t>
      </w:r>
    </w:p>
    <w:p w:rsidR="00B96BD7" w:rsidRDefault="00B96BD7" w:rsidP="002D4E16">
      <w:pPr>
        <w:widowControl w:val="0"/>
        <w:ind w:right="720"/>
        <w:rPr>
          <w:rStyle w:val="hierarchydescription2"/>
          <w:rFonts w:cs="Times New Roman"/>
          <w:szCs w:val="24"/>
          <w:lang w:val="en"/>
        </w:rPr>
      </w:pPr>
      <w:r>
        <w:rPr>
          <w:rStyle w:val="hierarchydescription2"/>
          <w:rFonts w:cs="Times New Roman"/>
          <w:szCs w:val="24"/>
          <w:lang w:val="en"/>
          <w:specVanish w:val="0"/>
        </w:rPr>
        <w:tab/>
      </w:r>
      <w:r w:rsidR="0087347C">
        <w:rPr>
          <w:rStyle w:val="hierarchydescription2"/>
          <w:rFonts w:cs="Times New Roman"/>
          <w:szCs w:val="24"/>
          <w:lang w:val="en"/>
          <w:specVanish w:val="0"/>
        </w:rPr>
        <w:t>4</w:t>
      </w:r>
      <w:r>
        <w:rPr>
          <w:rStyle w:val="hierarchydescription2"/>
          <w:rFonts w:cs="Times New Roman"/>
          <w:szCs w:val="24"/>
          <w:lang w:val="en"/>
          <w:specVanish w:val="0"/>
        </w:rPr>
        <w:t>. The statute also provides:</w:t>
      </w:r>
    </w:p>
    <w:p w:rsidR="00B96BD7" w:rsidRDefault="00B96BD7" w:rsidP="00B96BD7">
      <w:pPr>
        <w:widowControl w:val="0"/>
        <w:spacing w:line="240" w:lineRule="auto"/>
        <w:ind w:left="720" w:right="720"/>
        <w:rPr>
          <w:rFonts w:cs="Times New Roman"/>
          <w:szCs w:val="24"/>
          <w:lang w:val="en"/>
        </w:rPr>
      </w:pPr>
      <w:r w:rsidRPr="00B96BD7">
        <w:rPr>
          <w:rFonts w:cs="Times New Roman"/>
          <w:szCs w:val="24"/>
          <w:lang w:val="en"/>
        </w:rPr>
        <w:t>The department</w:t>
      </w:r>
      <w:r w:rsidR="00015EC9">
        <w:rPr>
          <w:rFonts w:cs="Times New Roman"/>
          <w:szCs w:val="24"/>
          <w:lang w:val="en"/>
        </w:rPr>
        <w:t xml:space="preserve"> [of public health]</w:t>
      </w:r>
      <w:r w:rsidRPr="00B96BD7">
        <w:rPr>
          <w:rFonts w:cs="Times New Roman"/>
          <w:szCs w:val="24"/>
          <w:lang w:val="en"/>
        </w:rPr>
        <w:t>, after a hearing, may revoke any registration card issued under this law for a willful violation of this law.</w:t>
      </w:r>
    </w:p>
    <w:p w:rsidR="00015EC9" w:rsidRDefault="00015EC9" w:rsidP="00B96BD7">
      <w:pPr>
        <w:widowControl w:val="0"/>
        <w:spacing w:line="240" w:lineRule="auto"/>
        <w:ind w:left="720" w:right="720"/>
        <w:rPr>
          <w:rFonts w:cs="Times New Roman"/>
          <w:szCs w:val="24"/>
          <w:lang w:val="en"/>
        </w:rPr>
      </w:pPr>
    </w:p>
    <w:p w:rsidR="00015EC9" w:rsidRPr="00B96BD7" w:rsidRDefault="00015EC9" w:rsidP="00015EC9">
      <w:pPr>
        <w:widowControl w:val="0"/>
        <w:ind w:right="720"/>
        <w:rPr>
          <w:rFonts w:cs="Times New Roman"/>
          <w:szCs w:val="24"/>
          <w:lang w:val="en"/>
        </w:rPr>
      </w:pPr>
      <w:r>
        <w:rPr>
          <w:rStyle w:val="hierarchydescription2"/>
          <w:rFonts w:cs="Times New Roman"/>
          <w:szCs w:val="24"/>
          <w:lang w:val="en"/>
          <w:specVanish w:val="0"/>
        </w:rPr>
        <w:t>St. 2012, c. 369, § 14(A).</w:t>
      </w:r>
    </w:p>
    <w:p w:rsidR="00401776" w:rsidRDefault="00401776" w:rsidP="00015EC9">
      <w:pPr>
        <w:widowControl w:val="0"/>
        <w:rPr>
          <w:rFonts w:cs="Times New Roman"/>
          <w:szCs w:val="24"/>
          <w:lang w:val="en"/>
        </w:rPr>
      </w:pPr>
      <w:r>
        <w:rPr>
          <w:rFonts w:cs="Times New Roman"/>
          <w:szCs w:val="24"/>
          <w:lang w:val="en"/>
        </w:rPr>
        <w:tab/>
      </w:r>
      <w:r w:rsidR="0087347C">
        <w:rPr>
          <w:rFonts w:cs="Times New Roman"/>
          <w:szCs w:val="24"/>
          <w:lang w:val="en"/>
        </w:rPr>
        <w:t>5</w:t>
      </w:r>
      <w:r>
        <w:rPr>
          <w:rFonts w:cs="Times New Roman"/>
          <w:szCs w:val="24"/>
          <w:lang w:val="en"/>
        </w:rPr>
        <w:t>. On May 24, 2013, DPH issued the regulations under the medical marijuana statute, 105 CMR 725.000.</w:t>
      </w:r>
    </w:p>
    <w:p w:rsidR="00F00FE9" w:rsidRDefault="00401776" w:rsidP="00F00FE9">
      <w:pPr>
        <w:rPr>
          <w:rFonts w:cs="Times New Roman"/>
          <w:szCs w:val="24"/>
          <w:lang w:val="en"/>
        </w:rPr>
      </w:pPr>
      <w:r>
        <w:rPr>
          <w:rFonts w:cs="Times New Roman"/>
          <w:szCs w:val="24"/>
          <w:lang w:val="en"/>
        </w:rPr>
        <w:tab/>
      </w:r>
      <w:r w:rsidR="0087347C">
        <w:rPr>
          <w:rFonts w:cs="Times New Roman"/>
          <w:szCs w:val="24"/>
          <w:lang w:val="en"/>
        </w:rPr>
        <w:t>6</w:t>
      </w:r>
      <w:r>
        <w:rPr>
          <w:rFonts w:cs="Times New Roman"/>
          <w:szCs w:val="24"/>
          <w:lang w:val="en"/>
        </w:rPr>
        <w:t xml:space="preserve">. On May 15, 2015, DPH updated its </w:t>
      </w:r>
      <w:r w:rsidR="00F17C5B">
        <w:rPr>
          <w:rFonts w:cs="Times New Roman"/>
          <w:szCs w:val="24"/>
          <w:lang w:val="en"/>
        </w:rPr>
        <w:t>“</w:t>
      </w:r>
      <w:r>
        <w:rPr>
          <w:rFonts w:cs="Times New Roman"/>
          <w:szCs w:val="24"/>
          <w:lang w:val="en"/>
        </w:rPr>
        <w:t>Guidance for Registered Marijuana Dispensaries Regarding Background Checks.</w:t>
      </w:r>
      <w:r w:rsidR="00F17C5B">
        <w:rPr>
          <w:rFonts w:cs="Times New Roman"/>
          <w:szCs w:val="24"/>
          <w:lang w:val="en"/>
        </w:rPr>
        <w:t>”</w:t>
      </w:r>
      <w:r>
        <w:rPr>
          <w:rFonts w:cs="Times New Roman"/>
          <w:szCs w:val="24"/>
          <w:lang w:val="en"/>
        </w:rPr>
        <w:t xml:space="preserve"> (Ex. 10.)</w:t>
      </w:r>
      <w:r>
        <w:rPr>
          <w:rStyle w:val="FootnoteReference"/>
          <w:rFonts w:cs="Times New Roman"/>
          <w:szCs w:val="24"/>
          <w:lang w:val="en"/>
        </w:rPr>
        <w:footnoteReference w:id="4"/>
      </w:r>
      <w:r w:rsidR="00F00FE9">
        <w:rPr>
          <w:rFonts w:cs="Times New Roman"/>
          <w:szCs w:val="24"/>
          <w:lang w:val="en"/>
        </w:rPr>
        <w:t xml:space="preserve"> (This decision calls the document “the background check guidance.”)</w:t>
      </w:r>
    </w:p>
    <w:p w:rsidR="00401776" w:rsidRDefault="00401776" w:rsidP="00401776">
      <w:pPr>
        <w:rPr>
          <w:rFonts w:cs="Times New Roman"/>
          <w:szCs w:val="24"/>
          <w:lang w:val="en"/>
        </w:rPr>
      </w:pPr>
      <w:r>
        <w:rPr>
          <w:rFonts w:cs="Times New Roman"/>
          <w:szCs w:val="24"/>
        </w:rPr>
        <w:tab/>
      </w:r>
      <w:r w:rsidR="0087347C">
        <w:rPr>
          <w:rFonts w:cs="Times New Roman"/>
          <w:szCs w:val="24"/>
        </w:rPr>
        <w:t>7</w:t>
      </w:r>
      <w:r>
        <w:rPr>
          <w:rFonts w:cs="Times New Roman"/>
          <w:szCs w:val="24"/>
        </w:rPr>
        <w:t xml:space="preserve">. </w:t>
      </w:r>
      <w:r w:rsidR="00045192">
        <w:rPr>
          <w:rFonts w:cs="Times New Roman"/>
          <w:szCs w:val="24"/>
        </w:rPr>
        <w:t xml:space="preserve">According to </w:t>
      </w:r>
      <w:r w:rsidR="00691EB5">
        <w:rPr>
          <w:rFonts w:cs="Times New Roman"/>
          <w:szCs w:val="24"/>
        </w:rPr>
        <w:t xml:space="preserve">the </w:t>
      </w:r>
      <w:r w:rsidR="00F00FE9">
        <w:rPr>
          <w:rFonts w:cs="Times New Roman"/>
          <w:szCs w:val="24"/>
        </w:rPr>
        <w:t xml:space="preserve">background check guidance </w:t>
      </w:r>
      <w:r w:rsidR="00045192">
        <w:rPr>
          <w:rFonts w:cs="Times New Roman"/>
          <w:szCs w:val="24"/>
          <w:lang w:val="en"/>
        </w:rPr>
        <w:t>itself, its pu</w:t>
      </w:r>
      <w:r w:rsidR="00A069AB">
        <w:rPr>
          <w:rFonts w:cs="Times New Roman"/>
          <w:szCs w:val="24"/>
          <w:lang w:val="en"/>
        </w:rPr>
        <w:t>r</w:t>
      </w:r>
      <w:r w:rsidR="00045192">
        <w:rPr>
          <w:rFonts w:cs="Times New Roman"/>
          <w:szCs w:val="24"/>
          <w:lang w:val="en"/>
        </w:rPr>
        <w:t xml:space="preserve">pose </w:t>
      </w:r>
      <w:r>
        <w:rPr>
          <w:rFonts w:cs="Times New Roman"/>
          <w:szCs w:val="24"/>
          <w:lang w:val="en"/>
        </w:rPr>
        <w:t xml:space="preserve">is to </w:t>
      </w:r>
      <w:r w:rsidR="00F17C5B">
        <w:rPr>
          <w:rFonts w:cs="Times New Roman"/>
          <w:szCs w:val="24"/>
          <w:lang w:val="en"/>
        </w:rPr>
        <w:t>“</w:t>
      </w:r>
      <w:r>
        <w:rPr>
          <w:rFonts w:cs="Times New Roman"/>
          <w:szCs w:val="24"/>
          <w:lang w:val="en"/>
        </w:rPr>
        <w:t>update[] policies.</w:t>
      </w:r>
      <w:r w:rsidR="00F17C5B">
        <w:rPr>
          <w:rFonts w:cs="Times New Roman"/>
          <w:szCs w:val="24"/>
          <w:lang w:val="en"/>
        </w:rPr>
        <w:t>”</w:t>
      </w:r>
      <w:r>
        <w:rPr>
          <w:rFonts w:cs="Times New Roman"/>
          <w:szCs w:val="24"/>
          <w:lang w:val="en"/>
        </w:rPr>
        <w:t xml:space="preserve"> </w:t>
      </w:r>
      <w:r w:rsidR="00F00FE9">
        <w:rPr>
          <w:rFonts w:cs="Times New Roman"/>
          <w:szCs w:val="24"/>
          <w:lang w:val="en"/>
        </w:rPr>
        <w:t>It</w:t>
      </w:r>
      <w:r>
        <w:rPr>
          <w:rFonts w:cs="Times New Roman"/>
          <w:szCs w:val="24"/>
          <w:lang w:val="en"/>
        </w:rPr>
        <w:t xml:space="preserve"> </w:t>
      </w:r>
      <w:r w:rsidR="00F00FE9">
        <w:rPr>
          <w:rFonts w:cs="Times New Roman"/>
          <w:szCs w:val="24"/>
          <w:lang w:val="en"/>
        </w:rPr>
        <w:t>“</w:t>
      </w:r>
      <w:r>
        <w:rPr>
          <w:rFonts w:cs="Times New Roman"/>
          <w:szCs w:val="24"/>
          <w:lang w:val="en"/>
        </w:rPr>
        <w:t>establishes guidelines and sets expectations for DPH to follow….</w:t>
      </w:r>
      <w:r w:rsidR="00F17C5B">
        <w:rPr>
          <w:rFonts w:cs="Times New Roman"/>
          <w:szCs w:val="24"/>
          <w:lang w:val="en"/>
        </w:rPr>
        <w:t>”</w:t>
      </w:r>
      <w:r>
        <w:rPr>
          <w:rFonts w:cs="Times New Roman"/>
          <w:szCs w:val="24"/>
          <w:lang w:val="en"/>
        </w:rPr>
        <w:t xml:space="preserve"> (Ex. 10.) Thus, </w:t>
      </w:r>
      <w:r w:rsidR="00F00FE9">
        <w:rPr>
          <w:rFonts w:cs="Times New Roman"/>
          <w:szCs w:val="24"/>
          <w:lang w:val="en"/>
        </w:rPr>
        <w:t>it</w:t>
      </w:r>
      <w:r>
        <w:rPr>
          <w:rFonts w:cs="Times New Roman"/>
          <w:szCs w:val="24"/>
          <w:lang w:val="en"/>
        </w:rPr>
        <w:t xml:space="preserve"> is both a policy and a guideline; DPH used the terms interchangeably. </w:t>
      </w:r>
    </w:p>
    <w:p w:rsidR="00A069AB" w:rsidRDefault="00A069AB" w:rsidP="00A069AB">
      <w:pPr>
        <w:rPr>
          <w:szCs w:val="24"/>
        </w:rPr>
      </w:pPr>
      <w:r>
        <w:rPr>
          <w:rFonts w:cs="Times New Roman"/>
          <w:szCs w:val="24"/>
          <w:lang w:val="en"/>
        </w:rPr>
        <w:tab/>
      </w:r>
      <w:r w:rsidR="0087347C">
        <w:rPr>
          <w:szCs w:val="24"/>
        </w:rPr>
        <w:t>8</w:t>
      </w:r>
      <w:r>
        <w:rPr>
          <w:szCs w:val="24"/>
        </w:rPr>
        <w:t xml:space="preserve">. </w:t>
      </w:r>
      <w:r w:rsidR="00201538">
        <w:rPr>
          <w:szCs w:val="24"/>
        </w:rPr>
        <w:t xml:space="preserve">DPH intended the background check </w:t>
      </w:r>
      <w:r w:rsidR="0085339E">
        <w:rPr>
          <w:szCs w:val="24"/>
        </w:rPr>
        <w:t>guidance</w:t>
      </w:r>
      <w:r w:rsidR="00201538">
        <w:rPr>
          <w:szCs w:val="24"/>
        </w:rPr>
        <w:t xml:space="preserve"> </w:t>
      </w:r>
      <w:r>
        <w:rPr>
          <w:szCs w:val="24"/>
        </w:rPr>
        <w:t xml:space="preserve">to supplement </w:t>
      </w:r>
      <w:r w:rsidR="00201538">
        <w:rPr>
          <w:szCs w:val="24"/>
        </w:rPr>
        <w:t xml:space="preserve">its </w:t>
      </w:r>
      <w:r>
        <w:rPr>
          <w:szCs w:val="24"/>
        </w:rPr>
        <w:t>reg</w:t>
      </w:r>
      <w:r w:rsidR="00201538">
        <w:rPr>
          <w:szCs w:val="24"/>
        </w:rPr>
        <w:t>ulation</w:t>
      </w:r>
      <w:r>
        <w:rPr>
          <w:szCs w:val="24"/>
        </w:rPr>
        <w:t xml:space="preserve">s </w:t>
      </w:r>
      <w:r w:rsidR="00201538">
        <w:rPr>
          <w:szCs w:val="24"/>
        </w:rPr>
        <w:t xml:space="preserve">on </w:t>
      </w:r>
      <w:r>
        <w:rPr>
          <w:szCs w:val="24"/>
        </w:rPr>
        <w:t>issues</w:t>
      </w:r>
      <w:r w:rsidR="00201538">
        <w:rPr>
          <w:szCs w:val="24"/>
        </w:rPr>
        <w:t xml:space="preserve"> that it had not considered when it </w:t>
      </w:r>
      <w:r>
        <w:rPr>
          <w:szCs w:val="24"/>
        </w:rPr>
        <w:t>promulgated</w:t>
      </w:r>
      <w:r w:rsidR="00201538">
        <w:rPr>
          <w:szCs w:val="24"/>
        </w:rPr>
        <w:t xml:space="preserve"> regulations</w:t>
      </w:r>
      <w:r>
        <w:rPr>
          <w:szCs w:val="24"/>
        </w:rPr>
        <w:t>.</w:t>
      </w:r>
      <w:r w:rsidRPr="00214343">
        <w:rPr>
          <w:szCs w:val="24"/>
        </w:rPr>
        <w:t xml:space="preserve"> </w:t>
      </w:r>
      <w:r>
        <w:rPr>
          <w:szCs w:val="24"/>
        </w:rPr>
        <w:t>(</w:t>
      </w:r>
      <w:proofErr w:type="spellStart"/>
      <w:r>
        <w:rPr>
          <w:szCs w:val="24"/>
        </w:rPr>
        <w:t>Geoghegan</w:t>
      </w:r>
      <w:proofErr w:type="spellEnd"/>
      <w:r>
        <w:rPr>
          <w:szCs w:val="24"/>
        </w:rPr>
        <w:t xml:space="preserve"> testimony.)</w:t>
      </w:r>
      <w:r w:rsidR="00F00FE9">
        <w:rPr>
          <w:rStyle w:val="FootnoteReference"/>
          <w:szCs w:val="24"/>
        </w:rPr>
        <w:footnoteReference w:id="5"/>
      </w:r>
      <w:r>
        <w:rPr>
          <w:szCs w:val="24"/>
        </w:rPr>
        <w:t xml:space="preserve"> </w:t>
      </w:r>
    </w:p>
    <w:p w:rsidR="00401776" w:rsidRDefault="00401776" w:rsidP="00401776">
      <w:pPr>
        <w:rPr>
          <w:rFonts w:cs="Times New Roman"/>
          <w:szCs w:val="24"/>
          <w:lang w:val="en"/>
        </w:rPr>
      </w:pPr>
      <w:r>
        <w:rPr>
          <w:rFonts w:cs="Times New Roman"/>
          <w:szCs w:val="24"/>
          <w:lang w:val="en"/>
        </w:rPr>
        <w:tab/>
      </w:r>
      <w:r w:rsidR="0087347C">
        <w:rPr>
          <w:rFonts w:cs="Times New Roman"/>
          <w:szCs w:val="24"/>
          <w:lang w:val="en"/>
        </w:rPr>
        <w:t>9</w:t>
      </w:r>
      <w:r>
        <w:rPr>
          <w:rFonts w:cs="Times New Roman"/>
          <w:szCs w:val="24"/>
          <w:lang w:val="en"/>
        </w:rPr>
        <w:t xml:space="preserve">. The background check </w:t>
      </w:r>
      <w:r w:rsidR="0085339E">
        <w:rPr>
          <w:rFonts w:cs="Times New Roman"/>
          <w:szCs w:val="24"/>
          <w:lang w:val="en"/>
        </w:rPr>
        <w:t>guidance</w:t>
      </w:r>
      <w:r>
        <w:rPr>
          <w:rFonts w:cs="Times New Roman"/>
          <w:szCs w:val="24"/>
          <w:lang w:val="en"/>
        </w:rPr>
        <w:t xml:space="preserve"> includes a section on </w:t>
      </w:r>
      <w:r w:rsidR="00F17C5B">
        <w:rPr>
          <w:rFonts w:cs="Times New Roman"/>
          <w:szCs w:val="24"/>
          <w:lang w:val="en"/>
        </w:rPr>
        <w:t>“</w:t>
      </w:r>
      <w:r>
        <w:rPr>
          <w:rFonts w:cs="Times New Roman"/>
          <w:szCs w:val="24"/>
          <w:lang w:val="en"/>
        </w:rPr>
        <w:t>Determination of Suitability.</w:t>
      </w:r>
      <w:r w:rsidR="00F17C5B">
        <w:rPr>
          <w:rFonts w:cs="Times New Roman"/>
          <w:szCs w:val="24"/>
          <w:lang w:val="en"/>
        </w:rPr>
        <w:t>”</w:t>
      </w:r>
      <w:r>
        <w:rPr>
          <w:rFonts w:cs="Times New Roman"/>
          <w:szCs w:val="24"/>
          <w:lang w:val="en"/>
        </w:rPr>
        <w:t xml:space="preserve"> The section discusses disqualifying a person from registering as a dispensary agent or associating with a Registered Marijuana Dispensary (RMD). The section largely consists of </w:t>
      </w:r>
      <w:r w:rsidR="00F00FE9">
        <w:rPr>
          <w:rFonts w:cs="Times New Roman"/>
          <w:szCs w:val="24"/>
          <w:lang w:val="en"/>
        </w:rPr>
        <w:t xml:space="preserve">two </w:t>
      </w:r>
      <w:r w:rsidR="00F00FE9">
        <w:rPr>
          <w:rFonts w:cs="Times New Roman"/>
          <w:szCs w:val="24"/>
          <w:lang w:val="en"/>
        </w:rPr>
        <w:lastRenderedPageBreak/>
        <w:t xml:space="preserve">components: </w:t>
      </w:r>
      <w:r>
        <w:rPr>
          <w:rFonts w:cs="Times New Roman"/>
          <w:szCs w:val="24"/>
          <w:lang w:val="en"/>
        </w:rPr>
        <w:t>Table A,</w:t>
      </w:r>
      <w:r>
        <w:rPr>
          <w:rStyle w:val="FootnoteReference"/>
          <w:rFonts w:cs="Times New Roman"/>
          <w:szCs w:val="24"/>
          <w:lang w:val="en"/>
        </w:rPr>
        <w:footnoteReference w:id="6"/>
      </w:r>
      <w:r>
        <w:rPr>
          <w:rFonts w:cs="Times New Roman"/>
          <w:szCs w:val="24"/>
          <w:lang w:val="en"/>
        </w:rPr>
        <w:t xml:space="preserve"> which lists disqualifying offenses; and lettered items, not in table form, called </w:t>
      </w:r>
      <w:r w:rsidR="00F17C5B">
        <w:rPr>
          <w:rFonts w:cs="Times New Roman"/>
          <w:szCs w:val="24"/>
          <w:lang w:val="en"/>
        </w:rPr>
        <w:t>“</w:t>
      </w:r>
      <w:r>
        <w:rPr>
          <w:rFonts w:cs="Times New Roman"/>
          <w:szCs w:val="24"/>
          <w:lang w:val="en"/>
        </w:rPr>
        <w:t>Review of Non-Disqualifying Offenses or Information.</w:t>
      </w:r>
      <w:r w:rsidR="00F17C5B">
        <w:rPr>
          <w:rFonts w:cs="Times New Roman"/>
          <w:szCs w:val="24"/>
          <w:lang w:val="en"/>
        </w:rPr>
        <w:t>”</w:t>
      </w:r>
      <w:r>
        <w:rPr>
          <w:rFonts w:cs="Times New Roman"/>
          <w:szCs w:val="24"/>
          <w:lang w:val="en"/>
        </w:rPr>
        <w:t xml:space="preserve"> (Ex. 10.)</w:t>
      </w:r>
    </w:p>
    <w:p w:rsidR="00401776" w:rsidRDefault="00401776" w:rsidP="00401776">
      <w:pPr>
        <w:rPr>
          <w:rFonts w:cs="Times New Roman"/>
          <w:szCs w:val="24"/>
          <w:lang w:val="en"/>
        </w:rPr>
      </w:pPr>
      <w:r>
        <w:rPr>
          <w:rFonts w:cs="Times New Roman"/>
          <w:szCs w:val="24"/>
          <w:lang w:val="en"/>
        </w:rPr>
        <w:tab/>
      </w:r>
      <w:r w:rsidR="0087347C">
        <w:rPr>
          <w:rFonts w:cs="Times New Roman"/>
          <w:szCs w:val="24"/>
          <w:lang w:val="en"/>
        </w:rPr>
        <w:t>10</w:t>
      </w:r>
      <w:r>
        <w:rPr>
          <w:rFonts w:cs="Times New Roman"/>
          <w:szCs w:val="24"/>
          <w:lang w:val="en"/>
        </w:rPr>
        <w:t>. Table A disqualifies a person from registering as a dispensary agent or associating with an RMD if he or she has been convicted of:</w:t>
      </w:r>
    </w:p>
    <w:p w:rsidR="00401776" w:rsidRDefault="00401776" w:rsidP="00401776">
      <w:pPr>
        <w:ind w:left="720" w:firstLine="720"/>
        <w:rPr>
          <w:rFonts w:cs="Times New Roman"/>
          <w:szCs w:val="24"/>
          <w:lang w:val="en"/>
        </w:rPr>
      </w:pPr>
      <w:r>
        <w:rPr>
          <w:rFonts w:cs="Times New Roman"/>
          <w:szCs w:val="24"/>
          <w:lang w:val="en"/>
        </w:rPr>
        <w:t xml:space="preserve">A. felonies: </w:t>
      </w:r>
    </w:p>
    <w:p w:rsidR="00401776" w:rsidRDefault="00401776" w:rsidP="00401776">
      <w:pPr>
        <w:ind w:left="1440" w:firstLine="720"/>
        <w:rPr>
          <w:rFonts w:cs="Times New Roman"/>
          <w:szCs w:val="24"/>
          <w:lang w:val="en"/>
        </w:rPr>
      </w:pPr>
      <w:proofErr w:type="spellStart"/>
      <w:r>
        <w:rPr>
          <w:rFonts w:cs="Times New Roman"/>
          <w:szCs w:val="24"/>
          <w:lang w:val="en"/>
        </w:rPr>
        <w:t>i</w:t>
      </w:r>
      <w:proofErr w:type="spellEnd"/>
      <w:r>
        <w:rPr>
          <w:rFonts w:cs="Times New Roman"/>
          <w:szCs w:val="24"/>
          <w:lang w:val="en"/>
        </w:rPr>
        <w:t xml:space="preserve">. for drugs; </w:t>
      </w:r>
    </w:p>
    <w:p w:rsidR="00401776" w:rsidRDefault="00401776" w:rsidP="00401776">
      <w:pPr>
        <w:ind w:left="1440" w:firstLine="720"/>
        <w:rPr>
          <w:rFonts w:cs="Times New Roman"/>
          <w:szCs w:val="24"/>
          <w:lang w:val="en"/>
        </w:rPr>
      </w:pPr>
      <w:r>
        <w:rPr>
          <w:rFonts w:cs="Times New Roman"/>
          <w:szCs w:val="24"/>
          <w:lang w:val="en"/>
        </w:rPr>
        <w:t xml:space="preserve">ii. for a </w:t>
      </w:r>
      <w:r w:rsidR="00F17C5B">
        <w:rPr>
          <w:rFonts w:cs="Times New Roman"/>
          <w:szCs w:val="24"/>
          <w:lang w:val="en"/>
        </w:rPr>
        <w:t>“</w:t>
      </w:r>
      <w:r>
        <w:rPr>
          <w:rFonts w:cs="Times New Roman"/>
          <w:szCs w:val="24"/>
          <w:lang w:val="en"/>
        </w:rPr>
        <w:t>weapons violation involving narcotics</w:t>
      </w:r>
      <w:r w:rsidR="00F17C5B">
        <w:rPr>
          <w:rFonts w:cs="Times New Roman"/>
          <w:szCs w:val="24"/>
          <w:lang w:val="en"/>
        </w:rPr>
        <w:t>”</w:t>
      </w:r>
      <w:r>
        <w:rPr>
          <w:rStyle w:val="FootnoteReference"/>
          <w:rFonts w:cs="Times New Roman"/>
          <w:szCs w:val="24"/>
          <w:lang w:val="en"/>
        </w:rPr>
        <w:footnoteReference w:id="7"/>
      </w:r>
      <w:r>
        <w:rPr>
          <w:rFonts w:cs="Times New Roman"/>
          <w:szCs w:val="24"/>
          <w:lang w:val="en"/>
        </w:rPr>
        <w:t xml:space="preserve">; </w:t>
      </w:r>
    </w:p>
    <w:p w:rsidR="00401776" w:rsidRDefault="00401776" w:rsidP="00401776">
      <w:pPr>
        <w:ind w:left="1440" w:firstLine="720"/>
        <w:rPr>
          <w:rFonts w:cs="Times New Roman"/>
          <w:szCs w:val="24"/>
          <w:lang w:val="en"/>
        </w:rPr>
      </w:pPr>
      <w:r>
        <w:rPr>
          <w:rFonts w:cs="Times New Roman"/>
          <w:szCs w:val="24"/>
          <w:lang w:val="en"/>
        </w:rPr>
        <w:t xml:space="preserve">iii. involving </w:t>
      </w:r>
      <w:r w:rsidR="00F17C5B">
        <w:rPr>
          <w:rFonts w:cs="Times New Roman"/>
          <w:szCs w:val="24"/>
          <w:lang w:val="en"/>
        </w:rPr>
        <w:t>“</w:t>
      </w:r>
      <w:r>
        <w:rPr>
          <w:rFonts w:cs="Times New Roman"/>
          <w:szCs w:val="24"/>
          <w:lang w:val="en"/>
        </w:rPr>
        <w:t>violence against a person</w:t>
      </w:r>
      <w:r w:rsidR="00F17C5B">
        <w:rPr>
          <w:rFonts w:cs="Times New Roman"/>
          <w:szCs w:val="24"/>
          <w:lang w:val="en"/>
        </w:rPr>
        <w:t>”</w:t>
      </w:r>
      <w:r>
        <w:rPr>
          <w:rFonts w:cs="Times New Roman"/>
          <w:szCs w:val="24"/>
          <w:lang w:val="en"/>
        </w:rPr>
        <w:t xml:space="preserve">; or </w:t>
      </w:r>
    </w:p>
    <w:p w:rsidR="00401776" w:rsidRDefault="00401776" w:rsidP="00401776">
      <w:pPr>
        <w:ind w:left="1440" w:firstLine="720"/>
        <w:rPr>
          <w:rFonts w:cs="Times New Roman"/>
          <w:szCs w:val="24"/>
          <w:lang w:val="en"/>
        </w:rPr>
      </w:pPr>
      <w:r>
        <w:rPr>
          <w:rFonts w:cs="Times New Roman"/>
          <w:szCs w:val="24"/>
          <w:lang w:val="en"/>
        </w:rPr>
        <w:t xml:space="preserve">iv. </w:t>
      </w:r>
      <w:r w:rsidR="00F17C5B">
        <w:rPr>
          <w:rFonts w:cs="Times New Roman"/>
          <w:szCs w:val="24"/>
          <w:lang w:val="en"/>
        </w:rPr>
        <w:t>“</w:t>
      </w:r>
      <w:r>
        <w:rPr>
          <w:rFonts w:cs="Times New Roman"/>
          <w:szCs w:val="24"/>
          <w:lang w:val="en"/>
        </w:rPr>
        <w:t>involving theft or fraud.</w:t>
      </w:r>
      <w:r w:rsidR="00F17C5B">
        <w:rPr>
          <w:rFonts w:cs="Times New Roman"/>
          <w:szCs w:val="24"/>
          <w:lang w:val="en"/>
        </w:rPr>
        <w:t>”</w:t>
      </w:r>
    </w:p>
    <w:p w:rsidR="00401776" w:rsidRDefault="00401776" w:rsidP="00401776">
      <w:pPr>
        <w:rPr>
          <w:rFonts w:cs="Times New Roman"/>
          <w:szCs w:val="24"/>
          <w:lang w:val="en"/>
        </w:rPr>
      </w:pPr>
      <w:r>
        <w:rPr>
          <w:rFonts w:cs="Times New Roman"/>
          <w:szCs w:val="24"/>
          <w:lang w:val="en"/>
        </w:rPr>
        <w:t xml:space="preserve"> There is no time limit on disqualification for these felonies. (Ex. 10.)</w:t>
      </w:r>
    </w:p>
    <w:p w:rsidR="00401776" w:rsidRDefault="00401776" w:rsidP="00401776">
      <w:pPr>
        <w:rPr>
          <w:rFonts w:cs="Times New Roman"/>
          <w:szCs w:val="24"/>
          <w:lang w:val="en"/>
        </w:rPr>
      </w:pPr>
      <w:r>
        <w:rPr>
          <w:rFonts w:cs="Times New Roman"/>
          <w:szCs w:val="24"/>
          <w:lang w:val="en"/>
        </w:rPr>
        <w:tab/>
      </w:r>
      <w:r>
        <w:rPr>
          <w:rFonts w:cs="Times New Roman"/>
          <w:szCs w:val="24"/>
          <w:lang w:val="en"/>
        </w:rPr>
        <w:tab/>
        <w:t xml:space="preserve"> B. narcotics non-felonies</w:t>
      </w:r>
      <w:r w:rsidR="00691EB5">
        <w:rPr>
          <w:rFonts w:cs="Times New Roman"/>
          <w:szCs w:val="24"/>
          <w:lang w:val="en"/>
        </w:rPr>
        <w:t>,</w:t>
      </w:r>
      <w:r>
        <w:rPr>
          <w:rFonts w:cs="Times New Roman"/>
          <w:szCs w:val="24"/>
          <w:lang w:val="en"/>
        </w:rPr>
        <w:t xml:space="preserve"> and it has been </w:t>
      </w:r>
    </w:p>
    <w:p w:rsidR="00401776" w:rsidRDefault="00401776" w:rsidP="00401776">
      <w:pPr>
        <w:spacing w:line="240" w:lineRule="auto"/>
        <w:ind w:left="720" w:right="720"/>
        <w:rPr>
          <w:rFonts w:cs="Times New Roman"/>
          <w:szCs w:val="24"/>
          <w:lang w:val="en"/>
        </w:rPr>
      </w:pPr>
      <w:r>
        <w:rPr>
          <w:rFonts w:cs="Times New Roman"/>
          <w:szCs w:val="24"/>
          <w:lang w:val="en"/>
        </w:rPr>
        <w:t>[l]</w:t>
      </w:r>
      <w:proofErr w:type="spellStart"/>
      <w:r>
        <w:rPr>
          <w:rFonts w:cs="Times New Roman"/>
          <w:szCs w:val="24"/>
          <w:lang w:val="en"/>
        </w:rPr>
        <w:t>ess</w:t>
      </w:r>
      <w:proofErr w:type="spellEnd"/>
      <w:r>
        <w:rPr>
          <w:rFonts w:cs="Times New Roman"/>
          <w:szCs w:val="24"/>
          <w:lang w:val="en"/>
        </w:rPr>
        <w:t xml:space="preserve"> than 5 years from disposition</w:t>
      </w:r>
      <w:r>
        <w:rPr>
          <w:rStyle w:val="FootnoteReference"/>
          <w:rFonts w:cs="Times New Roman"/>
          <w:szCs w:val="24"/>
          <w:lang w:val="en"/>
        </w:rPr>
        <w:footnoteReference w:id="8"/>
      </w:r>
      <w:r>
        <w:rPr>
          <w:rFonts w:cs="Times New Roman"/>
          <w:szCs w:val="24"/>
          <w:lang w:val="en"/>
        </w:rPr>
        <w:t xml:space="preserve"> or less than 5 years from release of supervision on a possession charge,</w:t>
      </w:r>
      <w:r>
        <w:rPr>
          <w:rStyle w:val="FootnoteReference"/>
          <w:rFonts w:cs="Times New Roman"/>
          <w:szCs w:val="24"/>
          <w:lang w:val="en"/>
        </w:rPr>
        <w:footnoteReference w:id="9"/>
      </w:r>
      <w:r>
        <w:rPr>
          <w:rFonts w:cs="Times New Roman"/>
          <w:szCs w:val="24"/>
          <w:lang w:val="en"/>
        </w:rPr>
        <w:t xml:space="preserve"> whichever is later.</w:t>
      </w:r>
    </w:p>
    <w:p w:rsidR="00401776" w:rsidRDefault="00401776" w:rsidP="00401776">
      <w:pPr>
        <w:spacing w:line="240" w:lineRule="auto"/>
        <w:ind w:left="720" w:right="720"/>
        <w:rPr>
          <w:rFonts w:cs="Times New Roman"/>
          <w:szCs w:val="24"/>
          <w:lang w:val="en"/>
        </w:rPr>
      </w:pPr>
    </w:p>
    <w:p w:rsidR="00401776" w:rsidRDefault="00401776" w:rsidP="00401776">
      <w:pPr>
        <w:rPr>
          <w:rFonts w:cs="Times New Roman"/>
          <w:szCs w:val="24"/>
          <w:lang w:val="en"/>
        </w:rPr>
      </w:pPr>
      <w:r>
        <w:rPr>
          <w:rFonts w:cs="Times New Roman"/>
          <w:szCs w:val="24"/>
          <w:lang w:val="en"/>
        </w:rPr>
        <w:t>(Ex. 10.)</w:t>
      </w:r>
    </w:p>
    <w:p w:rsidR="00401776" w:rsidRDefault="00401776" w:rsidP="00401776">
      <w:pPr>
        <w:ind w:firstLine="1440"/>
        <w:rPr>
          <w:rFonts w:cs="Times New Roman"/>
          <w:szCs w:val="24"/>
          <w:lang w:val="en"/>
        </w:rPr>
      </w:pPr>
      <w:r>
        <w:rPr>
          <w:rFonts w:cs="Times New Roman"/>
          <w:szCs w:val="24"/>
          <w:lang w:val="en"/>
        </w:rPr>
        <w:t>C. non-felony narcotics distribution offenses. There is no time limit on disqualification. (Ex. 10.)</w:t>
      </w:r>
    </w:p>
    <w:p w:rsidR="00401776" w:rsidRDefault="00401776" w:rsidP="00401776">
      <w:pPr>
        <w:rPr>
          <w:rFonts w:cs="Times New Roman"/>
          <w:szCs w:val="24"/>
          <w:lang w:val="en"/>
        </w:rPr>
      </w:pPr>
      <w:r>
        <w:rPr>
          <w:rFonts w:cs="Times New Roman"/>
          <w:szCs w:val="24"/>
          <w:lang w:val="en"/>
        </w:rPr>
        <w:tab/>
      </w:r>
      <w:r>
        <w:rPr>
          <w:rFonts w:cs="Times New Roman"/>
          <w:szCs w:val="24"/>
          <w:lang w:val="en"/>
        </w:rPr>
        <w:tab/>
        <w:t xml:space="preserve">D. non-felony </w:t>
      </w:r>
      <w:r w:rsidR="00F17C5B">
        <w:rPr>
          <w:rFonts w:cs="Times New Roman"/>
          <w:szCs w:val="24"/>
          <w:lang w:val="en"/>
        </w:rPr>
        <w:t>“</w:t>
      </w:r>
      <w:r w:rsidR="00644B86">
        <w:rPr>
          <w:rFonts w:cs="Times New Roman"/>
          <w:szCs w:val="24"/>
          <w:lang w:val="en"/>
        </w:rPr>
        <w:t>[w]</w:t>
      </w:r>
      <w:proofErr w:type="spellStart"/>
      <w:r w:rsidR="00644B86">
        <w:rPr>
          <w:rFonts w:cs="Times New Roman"/>
          <w:szCs w:val="24"/>
          <w:lang w:val="en"/>
        </w:rPr>
        <w:t>ea</w:t>
      </w:r>
      <w:r>
        <w:rPr>
          <w:rFonts w:cs="Times New Roman"/>
          <w:szCs w:val="24"/>
          <w:lang w:val="en"/>
        </w:rPr>
        <w:t>pons</w:t>
      </w:r>
      <w:proofErr w:type="spellEnd"/>
      <w:r>
        <w:rPr>
          <w:rFonts w:cs="Times New Roman"/>
          <w:szCs w:val="24"/>
          <w:lang w:val="en"/>
        </w:rPr>
        <w:t xml:space="preserve"> violation[s] involving narcotics.</w:t>
      </w:r>
      <w:r w:rsidR="00F17C5B">
        <w:rPr>
          <w:rFonts w:cs="Times New Roman"/>
          <w:szCs w:val="24"/>
          <w:lang w:val="en"/>
        </w:rPr>
        <w:t>”</w:t>
      </w:r>
      <w:r>
        <w:rPr>
          <w:rStyle w:val="FootnoteReference"/>
          <w:rFonts w:cs="Times New Roman"/>
          <w:szCs w:val="24"/>
          <w:lang w:val="en"/>
        </w:rPr>
        <w:footnoteReference w:id="10"/>
      </w:r>
    </w:p>
    <w:p w:rsidR="00401776" w:rsidRDefault="00401776" w:rsidP="00401776">
      <w:pPr>
        <w:widowControl w:val="0"/>
        <w:rPr>
          <w:rFonts w:cs="Times New Roman"/>
          <w:szCs w:val="24"/>
          <w:lang w:val="en"/>
        </w:rPr>
      </w:pPr>
      <w:r>
        <w:rPr>
          <w:rFonts w:cs="Times New Roman"/>
          <w:szCs w:val="24"/>
          <w:lang w:val="en"/>
        </w:rPr>
        <w:tab/>
      </w:r>
      <w:r w:rsidR="0087347C">
        <w:rPr>
          <w:rFonts w:cs="Times New Roman"/>
          <w:szCs w:val="24"/>
          <w:lang w:val="en"/>
        </w:rPr>
        <w:t>11</w:t>
      </w:r>
      <w:r>
        <w:rPr>
          <w:rFonts w:cs="Times New Roman"/>
          <w:szCs w:val="24"/>
          <w:lang w:val="en"/>
        </w:rPr>
        <w:t xml:space="preserve">. If a conviction does not appear in Table A, the background check </w:t>
      </w:r>
      <w:r w:rsidR="0085339E">
        <w:rPr>
          <w:rFonts w:cs="Times New Roman"/>
          <w:szCs w:val="24"/>
          <w:lang w:val="en"/>
        </w:rPr>
        <w:t>guidance</w:t>
      </w:r>
      <w:r>
        <w:rPr>
          <w:rFonts w:cs="Times New Roman"/>
          <w:szCs w:val="24"/>
          <w:lang w:val="en"/>
        </w:rPr>
        <w:t xml:space="preserve"> provides </w:t>
      </w:r>
      <w:r>
        <w:rPr>
          <w:rFonts w:cs="Times New Roman"/>
          <w:szCs w:val="24"/>
          <w:lang w:val="en"/>
        </w:rPr>
        <w:lastRenderedPageBreak/>
        <w:t xml:space="preserve">that DPH or an RMD </w:t>
      </w:r>
      <w:r w:rsidR="00F17C5B">
        <w:rPr>
          <w:rFonts w:cs="Times New Roman"/>
          <w:szCs w:val="24"/>
          <w:lang w:val="en"/>
        </w:rPr>
        <w:t>“</w:t>
      </w:r>
      <w:r>
        <w:rPr>
          <w:rFonts w:cs="Times New Roman"/>
          <w:szCs w:val="24"/>
          <w:lang w:val="en"/>
        </w:rPr>
        <w:t>shall consider whether the offense or information renders the subject unsuitable</w:t>
      </w:r>
      <w:r w:rsidR="00F17C5B">
        <w:rPr>
          <w:rFonts w:cs="Times New Roman"/>
          <w:szCs w:val="24"/>
          <w:lang w:val="en"/>
        </w:rPr>
        <w:t>”</w:t>
      </w:r>
      <w:r>
        <w:rPr>
          <w:rFonts w:cs="Times New Roman"/>
          <w:szCs w:val="24"/>
          <w:lang w:val="en"/>
        </w:rPr>
        <w:t xml:space="preserve"> from registering as a dispensary agent or associating with an RMD. That is, DPH or an RMD may disqualify a person for things that do not appear in Table A </w:t>
      </w:r>
      <w:r w:rsidR="00F17C5B">
        <w:rPr>
          <w:rFonts w:cs="Times New Roman"/>
          <w:szCs w:val="24"/>
          <w:lang w:val="en"/>
        </w:rPr>
        <w:t>“</w:t>
      </w:r>
      <w:r>
        <w:rPr>
          <w:rFonts w:cs="Times New Roman"/>
          <w:szCs w:val="24"/>
          <w:lang w:val="en"/>
        </w:rPr>
        <w:t>on the basis of the following factors:</w:t>
      </w:r>
      <w:r w:rsidR="00F17C5B">
        <w:rPr>
          <w:rFonts w:cs="Times New Roman"/>
          <w:szCs w:val="24"/>
          <w:lang w:val="en"/>
        </w:rPr>
        <w:t>”</w:t>
      </w:r>
    </w:p>
    <w:p w:rsidR="00401776" w:rsidRDefault="00401776" w:rsidP="00401776">
      <w:pPr>
        <w:widowControl w:val="0"/>
        <w:spacing w:line="240" w:lineRule="auto"/>
        <w:ind w:left="720" w:right="720"/>
        <w:rPr>
          <w:rFonts w:cs="Times New Roman"/>
          <w:szCs w:val="24"/>
          <w:lang w:val="en"/>
        </w:rPr>
      </w:pPr>
      <w:r>
        <w:rPr>
          <w:rFonts w:cs="Times New Roman"/>
          <w:szCs w:val="24"/>
          <w:lang w:val="en"/>
        </w:rPr>
        <w:t>a.</w:t>
      </w:r>
      <w:r>
        <w:rPr>
          <w:rFonts w:cs="Times New Roman"/>
          <w:szCs w:val="24"/>
          <w:lang w:val="en"/>
        </w:rPr>
        <w:tab/>
        <w:t>time since the conviction, pending offense, or incident;</w:t>
      </w:r>
      <w:r>
        <w:rPr>
          <w:rStyle w:val="FootnoteReference"/>
          <w:rFonts w:cs="Times New Roman"/>
          <w:szCs w:val="24"/>
          <w:lang w:val="en"/>
        </w:rPr>
        <w:footnoteReference w:id="11"/>
      </w:r>
    </w:p>
    <w:p w:rsidR="00401776" w:rsidRDefault="00401776" w:rsidP="00401776">
      <w:pPr>
        <w:spacing w:line="240" w:lineRule="auto"/>
        <w:ind w:left="720" w:right="720"/>
        <w:rPr>
          <w:rFonts w:cs="Times New Roman"/>
          <w:szCs w:val="24"/>
          <w:lang w:val="en"/>
        </w:rPr>
      </w:pPr>
      <w:r>
        <w:rPr>
          <w:rFonts w:cs="Times New Roman"/>
          <w:szCs w:val="24"/>
          <w:lang w:val="en"/>
        </w:rPr>
        <w:t>b.</w:t>
      </w:r>
      <w:r>
        <w:rPr>
          <w:rFonts w:cs="Times New Roman"/>
          <w:szCs w:val="24"/>
          <w:lang w:val="en"/>
        </w:rPr>
        <w:tab/>
        <w:t>age of the candidate at the time of the offense or incident;</w:t>
      </w:r>
    </w:p>
    <w:p w:rsidR="00401776" w:rsidRDefault="00401776" w:rsidP="00401776">
      <w:pPr>
        <w:spacing w:line="240" w:lineRule="auto"/>
        <w:ind w:left="720" w:right="720"/>
        <w:rPr>
          <w:rFonts w:cs="Times New Roman"/>
          <w:szCs w:val="24"/>
          <w:lang w:val="en"/>
        </w:rPr>
      </w:pPr>
      <w:r>
        <w:rPr>
          <w:rFonts w:cs="Times New Roman"/>
          <w:szCs w:val="24"/>
          <w:lang w:val="en"/>
        </w:rPr>
        <w:t>c.</w:t>
      </w:r>
      <w:r>
        <w:rPr>
          <w:rFonts w:cs="Times New Roman"/>
          <w:szCs w:val="24"/>
          <w:lang w:val="en"/>
        </w:rPr>
        <w:tab/>
        <w:t>nature and specific circumstances of the offense or incident;</w:t>
      </w:r>
    </w:p>
    <w:p w:rsidR="00401776" w:rsidRDefault="00401776" w:rsidP="00401776">
      <w:pPr>
        <w:spacing w:line="240" w:lineRule="auto"/>
        <w:ind w:left="720" w:right="720"/>
        <w:rPr>
          <w:rFonts w:cs="Times New Roman"/>
          <w:szCs w:val="24"/>
          <w:lang w:val="en"/>
        </w:rPr>
      </w:pPr>
      <w:r>
        <w:rPr>
          <w:rFonts w:cs="Times New Roman"/>
          <w:szCs w:val="24"/>
          <w:lang w:val="en"/>
        </w:rPr>
        <w:t xml:space="preserve">d. </w:t>
      </w:r>
      <w:r>
        <w:rPr>
          <w:rFonts w:cs="Times New Roman"/>
          <w:szCs w:val="24"/>
          <w:lang w:val="en"/>
        </w:rPr>
        <w:tab/>
        <w:t>sentence imposed and length of any period of incarceration, if criminal;</w:t>
      </w:r>
    </w:p>
    <w:p w:rsidR="00401776" w:rsidRDefault="00401776" w:rsidP="00401776">
      <w:pPr>
        <w:spacing w:line="240" w:lineRule="auto"/>
        <w:ind w:left="1440" w:right="720" w:hanging="720"/>
        <w:rPr>
          <w:rFonts w:cs="Times New Roman"/>
          <w:szCs w:val="24"/>
          <w:lang w:val="en"/>
        </w:rPr>
      </w:pPr>
      <w:proofErr w:type="gramStart"/>
      <w:r>
        <w:rPr>
          <w:rFonts w:cs="Times New Roman"/>
          <w:szCs w:val="24"/>
          <w:lang w:val="en"/>
        </w:rPr>
        <w:t>e</w:t>
      </w:r>
      <w:proofErr w:type="gramEnd"/>
      <w:r>
        <w:rPr>
          <w:rFonts w:cs="Times New Roman"/>
          <w:szCs w:val="24"/>
          <w:lang w:val="en"/>
        </w:rPr>
        <w:t>.</w:t>
      </w:r>
      <w:r>
        <w:rPr>
          <w:rFonts w:cs="Times New Roman"/>
          <w:szCs w:val="24"/>
          <w:lang w:val="en"/>
        </w:rPr>
        <w:tab/>
        <w:t>penalty or discipline imposed, including damages awarded, if civil or administrative;</w:t>
      </w:r>
    </w:p>
    <w:p w:rsidR="00401776" w:rsidRDefault="00401776" w:rsidP="00401776">
      <w:pPr>
        <w:spacing w:line="240" w:lineRule="auto"/>
        <w:ind w:left="1440" w:right="720" w:hanging="720"/>
        <w:rPr>
          <w:rFonts w:cs="Times New Roman"/>
          <w:szCs w:val="24"/>
          <w:lang w:val="en"/>
        </w:rPr>
      </w:pPr>
      <w:r>
        <w:rPr>
          <w:rFonts w:cs="Times New Roman"/>
          <w:szCs w:val="24"/>
          <w:lang w:val="en"/>
        </w:rPr>
        <w:t>e.</w:t>
      </w:r>
      <w:r>
        <w:rPr>
          <w:rStyle w:val="FootnoteReference"/>
          <w:rFonts w:cs="Times New Roman"/>
          <w:szCs w:val="24"/>
          <w:lang w:val="en"/>
        </w:rPr>
        <w:footnoteReference w:id="12"/>
      </w:r>
      <w:r>
        <w:rPr>
          <w:rFonts w:cs="Times New Roman"/>
          <w:szCs w:val="24"/>
          <w:lang w:val="en"/>
        </w:rPr>
        <w:t xml:space="preserve"> </w:t>
      </w:r>
      <w:r>
        <w:rPr>
          <w:rFonts w:cs="Times New Roman"/>
          <w:szCs w:val="24"/>
          <w:lang w:val="en"/>
        </w:rPr>
        <w:tab/>
        <w:t>relationship of the offense or incident to the nature of the work to be performed;</w:t>
      </w:r>
    </w:p>
    <w:p w:rsidR="00401776" w:rsidRDefault="00401776" w:rsidP="00401776">
      <w:pPr>
        <w:spacing w:line="240" w:lineRule="auto"/>
        <w:ind w:left="720" w:right="720"/>
        <w:rPr>
          <w:rFonts w:cs="Times New Roman"/>
          <w:szCs w:val="24"/>
          <w:lang w:val="en"/>
        </w:rPr>
      </w:pPr>
      <w:r>
        <w:rPr>
          <w:rFonts w:cs="Times New Roman"/>
          <w:szCs w:val="24"/>
          <w:lang w:val="en"/>
        </w:rPr>
        <w:t>f.</w:t>
      </w:r>
      <w:r>
        <w:rPr>
          <w:rFonts w:cs="Times New Roman"/>
          <w:szCs w:val="24"/>
          <w:lang w:val="en"/>
        </w:rPr>
        <w:tab/>
        <w:t>number of offenses or incidents;</w:t>
      </w:r>
    </w:p>
    <w:p w:rsidR="00401776" w:rsidRDefault="00401776" w:rsidP="00401776">
      <w:pPr>
        <w:spacing w:line="240" w:lineRule="auto"/>
        <w:ind w:left="1440" w:right="720" w:hanging="720"/>
        <w:rPr>
          <w:rFonts w:cs="Times New Roman"/>
          <w:szCs w:val="24"/>
          <w:lang w:val="en"/>
        </w:rPr>
      </w:pPr>
      <w:r>
        <w:rPr>
          <w:rFonts w:cs="Times New Roman"/>
          <w:szCs w:val="24"/>
          <w:lang w:val="en"/>
        </w:rPr>
        <w:t xml:space="preserve">g. </w:t>
      </w:r>
      <w:r>
        <w:rPr>
          <w:rFonts w:cs="Times New Roman"/>
          <w:szCs w:val="24"/>
          <w:lang w:val="en"/>
        </w:rPr>
        <w:tab/>
        <w:t>whether offenses or incidents were committed in association with a dependence on drugs or alcohol, from which the candidate has since recovered;</w:t>
      </w:r>
    </w:p>
    <w:p w:rsidR="00401776" w:rsidRDefault="00401776" w:rsidP="00401776">
      <w:pPr>
        <w:spacing w:line="240" w:lineRule="auto"/>
        <w:ind w:left="1440" w:right="720" w:hanging="720"/>
        <w:rPr>
          <w:rFonts w:cs="Times New Roman"/>
          <w:szCs w:val="24"/>
          <w:lang w:val="en"/>
        </w:rPr>
      </w:pPr>
      <w:r>
        <w:rPr>
          <w:rFonts w:cs="Times New Roman"/>
          <w:szCs w:val="24"/>
          <w:lang w:val="en"/>
        </w:rPr>
        <w:t>h.</w:t>
      </w:r>
      <w:r>
        <w:rPr>
          <w:rFonts w:cs="Times New Roman"/>
          <w:szCs w:val="24"/>
          <w:lang w:val="en"/>
        </w:rPr>
        <w:tab/>
        <w:t>if criminal, any relevant evidence of rehabilitation or lack thereof, such as information about compliance with conditions of parole or probation, including orders of no contact with victims and witnesses; and the individual</w:t>
      </w:r>
      <w:r w:rsidR="003A02FC">
        <w:rPr>
          <w:rFonts w:cs="Times New Roman"/>
          <w:szCs w:val="24"/>
          <w:lang w:val="en"/>
        </w:rPr>
        <w:t>’</w:t>
      </w:r>
      <w:r>
        <w:rPr>
          <w:rFonts w:cs="Times New Roman"/>
          <w:szCs w:val="24"/>
          <w:lang w:val="en"/>
        </w:rPr>
        <w:t xml:space="preserve">s conduct and experience since the time of the offense, including but not limited to educational or professional certifications obtained; and </w:t>
      </w:r>
    </w:p>
    <w:p w:rsidR="00401776" w:rsidRDefault="00401776" w:rsidP="00401776">
      <w:pPr>
        <w:spacing w:line="240" w:lineRule="auto"/>
        <w:ind w:left="1440" w:right="720" w:hanging="720"/>
        <w:rPr>
          <w:rFonts w:cs="Times New Roman"/>
          <w:szCs w:val="24"/>
          <w:lang w:val="en"/>
        </w:rPr>
      </w:pPr>
      <w:proofErr w:type="spellStart"/>
      <w:r>
        <w:rPr>
          <w:rFonts w:cs="Times New Roman"/>
          <w:szCs w:val="24"/>
          <w:lang w:val="en"/>
        </w:rPr>
        <w:t>i</w:t>
      </w:r>
      <w:proofErr w:type="spellEnd"/>
      <w:r>
        <w:rPr>
          <w:rFonts w:cs="Times New Roman"/>
          <w:szCs w:val="24"/>
          <w:lang w:val="en"/>
        </w:rPr>
        <w:t>.</w:t>
      </w:r>
      <w:r>
        <w:rPr>
          <w:rFonts w:cs="Times New Roman"/>
          <w:szCs w:val="24"/>
          <w:lang w:val="en"/>
        </w:rPr>
        <w:tab/>
        <w:t>any other relevant information, including information submitted by the subject, or requested by DPH.</w:t>
      </w:r>
      <w:r>
        <w:rPr>
          <w:rStyle w:val="FootnoteReference"/>
          <w:rFonts w:cs="Times New Roman"/>
          <w:szCs w:val="24"/>
          <w:lang w:val="en"/>
        </w:rPr>
        <w:footnoteReference w:id="13"/>
      </w:r>
    </w:p>
    <w:p w:rsidR="00401776" w:rsidRDefault="00401776" w:rsidP="00401776">
      <w:pPr>
        <w:spacing w:line="240" w:lineRule="auto"/>
        <w:ind w:left="1440" w:right="720" w:hanging="720"/>
        <w:rPr>
          <w:rFonts w:cs="Times New Roman"/>
          <w:szCs w:val="24"/>
          <w:lang w:val="en"/>
        </w:rPr>
      </w:pPr>
    </w:p>
    <w:p w:rsidR="0054731F" w:rsidRDefault="0087347C" w:rsidP="0054731F">
      <w:pPr>
        <w:widowControl w:val="0"/>
        <w:ind w:firstLine="720"/>
        <w:rPr>
          <w:szCs w:val="24"/>
        </w:rPr>
      </w:pPr>
      <w:r>
        <w:rPr>
          <w:szCs w:val="24"/>
        </w:rPr>
        <w:t>12</w:t>
      </w:r>
      <w:r w:rsidR="0054731F">
        <w:rPr>
          <w:szCs w:val="24"/>
        </w:rPr>
        <w:t>. In deciding whether to grant registration under the medical marijuana program, DPH views the “whole picture,” the “totality,” of deciding whether an applicant is s</w:t>
      </w:r>
      <w:r w:rsidR="00B1308A">
        <w:rPr>
          <w:szCs w:val="24"/>
        </w:rPr>
        <w:t>uitable. (</w:t>
      </w:r>
      <w:proofErr w:type="spellStart"/>
      <w:r w:rsidR="00B1308A">
        <w:rPr>
          <w:szCs w:val="24"/>
        </w:rPr>
        <w:t>Geoghegan</w:t>
      </w:r>
      <w:proofErr w:type="spellEnd"/>
      <w:r w:rsidR="00B1308A">
        <w:rPr>
          <w:szCs w:val="24"/>
        </w:rPr>
        <w:t xml:space="preserve"> testimony.)</w:t>
      </w:r>
    </w:p>
    <w:p w:rsidR="00B1308A" w:rsidRDefault="0087347C" w:rsidP="0054731F">
      <w:pPr>
        <w:widowControl w:val="0"/>
        <w:ind w:firstLine="720"/>
        <w:rPr>
          <w:szCs w:val="24"/>
        </w:rPr>
      </w:pPr>
      <w:r>
        <w:rPr>
          <w:szCs w:val="24"/>
        </w:rPr>
        <w:lastRenderedPageBreak/>
        <w:t>13</w:t>
      </w:r>
      <w:r w:rsidR="00B1308A">
        <w:rPr>
          <w:szCs w:val="24"/>
        </w:rPr>
        <w:t xml:space="preserve">. DPH has a policy that dispensary agents </w:t>
      </w:r>
      <w:r w:rsidR="00F4656F">
        <w:rPr>
          <w:szCs w:val="24"/>
        </w:rPr>
        <w:t xml:space="preserve">must </w:t>
      </w:r>
      <w:r w:rsidR="00B1308A">
        <w:rPr>
          <w:szCs w:val="24"/>
        </w:rPr>
        <w:t>be honest. (</w:t>
      </w:r>
      <w:proofErr w:type="spellStart"/>
      <w:r w:rsidR="00B1308A">
        <w:rPr>
          <w:szCs w:val="24"/>
        </w:rPr>
        <w:t>Geoghegan</w:t>
      </w:r>
      <w:proofErr w:type="spellEnd"/>
      <w:r w:rsidR="00B1308A">
        <w:rPr>
          <w:szCs w:val="24"/>
        </w:rPr>
        <w:t xml:space="preserve"> testimony.)</w:t>
      </w:r>
    </w:p>
    <w:p w:rsidR="00060A41" w:rsidRPr="00060A41" w:rsidRDefault="00060A41" w:rsidP="00B058A4">
      <w:pPr>
        <w:widowControl w:val="0"/>
        <w:rPr>
          <w:szCs w:val="24"/>
        </w:rPr>
      </w:pPr>
      <w:r>
        <w:rPr>
          <w:szCs w:val="24"/>
        </w:rPr>
        <w:tab/>
      </w:r>
      <w:r>
        <w:rPr>
          <w:szCs w:val="24"/>
          <w:u w:val="single"/>
        </w:rPr>
        <w:t>Mr. Willis and the criminal justice system</w:t>
      </w:r>
    </w:p>
    <w:p w:rsidR="00C52656" w:rsidRDefault="00C52656" w:rsidP="00B058A4">
      <w:pPr>
        <w:widowControl w:val="0"/>
        <w:rPr>
          <w:szCs w:val="24"/>
        </w:rPr>
      </w:pPr>
      <w:r>
        <w:rPr>
          <w:szCs w:val="24"/>
        </w:rPr>
        <w:tab/>
      </w:r>
      <w:r w:rsidR="0087347C">
        <w:rPr>
          <w:szCs w:val="24"/>
        </w:rPr>
        <w:t>14</w:t>
      </w:r>
      <w:r>
        <w:rPr>
          <w:szCs w:val="24"/>
        </w:rPr>
        <w:t xml:space="preserve">. On December </w:t>
      </w:r>
      <w:r w:rsidR="00073BA1">
        <w:rPr>
          <w:szCs w:val="24"/>
        </w:rPr>
        <w:t>7</w:t>
      </w:r>
      <w:r>
        <w:rPr>
          <w:szCs w:val="24"/>
        </w:rPr>
        <w:t>, 1998, police in Franklin arrested Mr. Willis for possessing marijuana and possessing it with intent to distribute it. (Ex. 7, p. 3.)</w:t>
      </w:r>
    </w:p>
    <w:p w:rsidR="005D69D0" w:rsidRDefault="00B058A4" w:rsidP="00B058A4">
      <w:pPr>
        <w:widowControl w:val="0"/>
        <w:rPr>
          <w:szCs w:val="24"/>
        </w:rPr>
      </w:pPr>
      <w:r>
        <w:rPr>
          <w:szCs w:val="24"/>
        </w:rPr>
        <w:tab/>
      </w:r>
      <w:r w:rsidR="0087347C">
        <w:rPr>
          <w:szCs w:val="24"/>
        </w:rPr>
        <w:t>15</w:t>
      </w:r>
      <w:r w:rsidR="0064514F">
        <w:rPr>
          <w:szCs w:val="24"/>
        </w:rPr>
        <w:t>. According to a Franklin Police Department report</w:t>
      </w:r>
      <w:r w:rsidR="00CE66C2">
        <w:rPr>
          <w:szCs w:val="24"/>
        </w:rPr>
        <w:t>,</w:t>
      </w:r>
      <w:r w:rsidR="00D8500B">
        <w:rPr>
          <w:szCs w:val="24"/>
        </w:rPr>
        <w:t xml:space="preserve"> dated December 8, 1998</w:t>
      </w:r>
      <w:r w:rsidR="005D69D0">
        <w:rPr>
          <w:szCs w:val="24"/>
        </w:rPr>
        <w:t>:</w:t>
      </w:r>
    </w:p>
    <w:p w:rsidR="00B058A4" w:rsidRDefault="005D69D0" w:rsidP="00B058A4">
      <w:pPr>
        <w:widowControl w:val="0"/>
        <w:rPr>
          <w:szCs w:val="24"/>
        </w:rPr>
      </w:pPr>
      <w:r>
        <w:rPr>
          <w:szCs w:val="24"/>
        </w:rPr>
        <w:tab/>
      </w:r>
      <w:r>
        <w:rPr>
          <w:szCs w:val="24"/>
        </w:rPr>
        <w:tab/>
        <w:t>A. T</w:t>
      </w:r>
      <w:r w:rsidR="0064514F">
        <w:rPr>
          <w:szCs w:val="24"/>
        </w:rPr>
        <w:t>wo Franklin police officers</w:t>
      </w:r>
      <w:r w:rsidR="00D8500B">
        <w:rPr>
          <w:szCs w:val="24"/>
        </w:rPr>
        <w:t xml:space="preserve"> had been receiving information that Mr. Willis and another person had been selling marijuana at Franklin High School and at a residence, 474 Maple Street, Franklin</w:t>
      </w:r>
      <w:r w:rsidR="00D965AB">
        <w:rPr>
          <w:szCs w:val="24"/>
        </w:rPr>
        <w:t>. A confidential source told the police that he had personally bought marijuana from Mr. Willis</w:t>
      </w:r>
      <w:r>
        <w:rPr>
          <w:szCs w:val="24"/>
        </w:rPr>
        <w:t>.</w:t>
      </w:r>
    </w:p>
    <w:p w:rsidR="005D69D0" w:rsidRDefault="005D69D0" w:rsidP="00B058A4">
      <w:pPr>
        <w:widowControl w:val="0"/>
        <w:rPr>
          <w:szCs w:val="24"/>
        </w:rPr>
      </w:pPr>
      <w:r>
        <w:rPr>
          <w:szCs w:val="24"/>
        </w:rPr>
        <w:tab/>
      </w:r>
      <w:r>
        <w:rPr>
          <w:szCs w:val="24"/>
        </w:rPr>
        <w:tab/>
        <w:t xml:space="preserve">B. On December 7, 1998, </w:t>
      </w:r>
      <w:r w:rsidR="00711315">
        <w:rPr>
          <w:szCs w:val="24"/>
        </w:rPr>
        <w:t xml:space="preserve">at 474 Maple Street, Franklin, </w:t>
      </w:r>
      <w:r>
        <w:rPr>
          <w:szCs w:val="24"/>
        </w:rPr>
        <w:t xml:space="preserve">an undercover </w:t>
      </w:r>
      <w:r w:rsidR="00E9431C">
        <w:rPr>
          <w:szCs w:val="24"/>
        </w:rPr>
        <w:t>law enforcement officer bought marijuana in a hand-to-hand transaction from a person whose description matched Mr. Willis.</w:t>
      </w:r>
      <w:r w:rsidR="00E9431C">
        <w:rPr>
          <w:rStyle w:val="FootnoteReference"/>
          <w:szCs w:val="24"/>
        </w:rPr>
        <w:footnoteReference w:id="14"/>
      </w:r>
    </w:p>
    <w:p w:rsidR="00711315" w:rsidRDefault="00711315" w:rsidP="00B058A4">
      <w:pPr>
        <w:widowControl w:val="0"/>
        <w:rPr>
          <w:szCs w:val="24"/>
        </w:rPr>
      </w:pPr>
      <w:r>
        <w:rPr>
          <w:szCs w:val="24"/>
        </w:rPr>
        <w:tab/>
      </w:r>
      <w:r>
        <w:rPr>
          <w:szCs w:val="24"/>
        </w:rPr>
        <w:tab/>
        <w:t xml:space="preserve">C. </w:t>
      </w:r>
      <w:r w:rsidR="00320FC7">
        <w:rPr>
          <w:szCs w:val="24"/>
        </w:rPr>
        <w:t>As soon as the undercover officer left</w:t>
      </w:r>
      <w:r>
        <w:rPr>
          <w:szCs w:val="24"/>
        </w:rPr>
        <w:t xml:space="preserve">, various Franklin police officers </w:t>
      </w:r>
      <w:r w:rsidR="00320FC7">
        <w:rPr>
          <w:szCs w:val="24"/>
        </w:rPr>
        <w:t xml:space="preserve">entered </w:t>
      </w:r>
      <w:r w:rsidR="00904B5E">
        <w:rPr>
          <w:szCs w:val="24"/>
        </w:rPr>
        <w:t>474 Maple Street, Franklin. On the second floor, they entered a room with approximately 10 youths present</w:t>
      </w:r>
      <w:r w:rsidR="00915813">
        <w:rPr>
          <w:szCs w:val="24"/>
        </w:rPr>
        <w:t>, at least some of whom were drinking beer from cans</w:t>
      </w:r>
      <w:r w:rsidR="00B076C6">
        <w:rPr>
          <w:szCs w:val="24"/>
        </w:rPr>
        <w:t>. The room smelled of freshly burnt marijuana. On a coffee table, the officers saw a small pile of marijuana, two boxes of sandwich baggies, miscellaneous empty baggies with the corners ripped off</w:t>
      </w:r>
      <w:r w:rsidR="00915813">
        <w:rPr>
          <w:szCs w:val="24"/>
        </w:rPr>
        <w:t xml:space="preserve">, and a large </w:t>
      </w:r>
      <w:r w:rsidR="00915813">
        <w:rPr>
          <w:szCs w:val="24"/>
        </w:rPr>
        <w:lastRenderedPageBreak/>
        <w:t>amount of money.</w:t>
      </w:r>
    </w:p>
    <w:p w:rsidR="00915813" w:rsidRDefault="00915813" w:rsidP="00B058A4">
      <w:pPr>
        <w:widowControl w:val="0"/>
        <w:rPr>
          <w:szCs w:val="24"/>
        </w:rPr>
      </w:pPr>
      <w:r>
        <w:rPr>
          <w:szCs w:val="24"/>
        </w:rPr>
        <w:tab/>
      </w:r>
      <w:r>
        <w:rPr>
          <w:szCs w:val="24"/>
        </w:rPr>
        <w:tab/>
        <w:t xml:space="preserve">D. When the youths saw the officers, some </w:t>
      </w:r>
      <w:r w:rsidR="00250526">
        <w:rPr>
          <w:szCs w:val="24"/>
        </w:rPr>
        <w:t>youths</w:t>
      </w:r>
      <w:r>
        <w:rPr>
          <w:szCs w:val="24"/>
        </w:rPr>
        <w:t xml:space="preserve"> be</w:t>
      </w:r>
      <w:r w:rsidR="00E63305">
        <w:rPr>
          <w:szCs w:val="24"/>
        </w:rPr>
        <w:t>gan hiding marijuana and money in their pockets, and knocking the marijuana off the table.</w:t>
      </w:r>
    </w:p>
    <w:p w:rsidR="0006305D" w:rsidRDefault="0006305D" w:rsidP="00B058A4">
      <w:pPr>
        <w:widowControl w:val="0"/>
        <w:rPr>
          <w:szCs w:val="24"/>
        </w:rPr>
      </w:pPr>
      <w:r>
        <w:rPr>
          <w:szCs w:val="24"/>
        </w:rPr>
        <w:tab/>
      </w:r>
      <w:r>
        <w:rPr>
          <w:szCs w:val="24"/>
        </w:rPr>
        <w:tab/>
        <w:t xml:space="preserve">E. </w:t>
      </w:r>
      <w:r w:rsidR="00320FC7">
        <w:rPr>
          <w:szCs w:val="24"/>
        </w:rPr>
        <w:t>During a search of 474 Maple Street, Franklin</w:t>
      </w:r>
      <w:r w:rsidR="00F91978">
        <w:rPr>
          <w:szCs w:val="24"/>
        </w:rPr>
        <w:t>, police officers located, among other things, two notebooks listing names, prices, money owed, and money received.</w:t>
      </w:r>
    </w:p>
    <w:p w:rsidR="00F91978" w:rsidRDefault="00F91978" w:rsidP="00B058A4">
      <w:pPr>
        <w:widowControl w:val="0"/>
        <w:rPr>
          <w:szCs w:val="24"/>
        </w:rPr>
      </w:pPr>
      <w:r>
        <w:rPr>
          <w:szCs w:val="24"/>
        </w:rPr>
        <w:t xml:space="preserve">(Ex. </w:t>
      </w:r>
      <w:r w:rsidR="00876E57">
        <w:rPr>
          <w:szCs w:val="24"/>
        </w:rPr>
        <w:t>7, p. 8</w:t>
      </w:r>
      <w:r>
        <w:rPr>
          <w:szCs w:val="24"/>
        </w:rPr>
        <w:t>.)</w:t>
      </w:r>
      <w:r w:rsidR="0089329F">
        <w:rPr>
          <w:rStyle w:val="FootnoteReference"/>
          <w:szCs w:val="24"/>
        </w:rPr>
        <w:footnoteReference w:id="15"/>
      </w:r>
    </w:p>
    <w:p w:rsidR="00C52656" w:rsidRPr="00B206A4" w:rsidRDefault="00C52656" w:rsidP="00B058A4">
      <w:pPr>
        <w:widowControl w:val="0"/>
        <w:rPr>
          <w:rFonts w:cs="Times New Roman"/>
          <w:szCs w:val="24"/>
        </w:rPr>
      </w:pPr>
      <w:r>
        <w:rPr>
          <w:szCs w:val="24"/>
        </w:rPr>
        <w:tab/>
      </w:r>
      <w:r w:rsidR="0087347C">
        <w:rPr>
          <w:szCs w:val="24"/>
        </w:rPr>
        <w:t>16</w:t>
      </w:r>
      <w:r>
        <w:rPr>
          <w:szCs w:val="24"/>
        </w:rPr>
        <w:t xml:space="preserve">. On February 15, </w:t>
      </w:r>
      <w:r w:rsidR="00B206A4">
        <w:rPr>
          <w:szCs w:val="24"/>
        </w:rPr>
        <w:t xml:space="preserve">1999, three charges against Mr. Willis were disposed of in Wrentham District Court. The charges were for possessing alcohol while younger than 21 years; possessing marijuana; and violating G.L. c. 94C, </w:t>
      </w:r>
      <w:r w:rsidR="00B206A4">
        <w:rPr>
          <w:rFonts w:cs="Times New Roman"/>
          <w:szCs w:val="24"/>
        </w:rPr>
        <w:t>§</w:t>
      </w:r>
      <w:r w:rsidR="00B206A4">
        <w:rPr>
          <w:szCs w:val="24"/>
        </w:rPr>
        <w:t xml:space="preserve"> 32C. (The first two charges are not at issue in this appeal.)</w:t>
      </w:r>
    </w:p>
    <w:p w:rsidR="00B206A4" w:rsidRDefault="00B206A4" w:rsidP="0056519D">
      <w:pPr>
        <w:rPr>
          <w:rFonts w:cs="Times New Roman"/>
          <w:szCs w:val="24"/>
          <w:lang w:val="en"/>
        </w:rPr>
      </w:pPr>
      <w:r w:rsidRPr="00B206A4">
        <w:rPr>
          <w:rFonts w:cs="Times New Roman"/>
          <w:szCs w:val="24"/>
        </w:rPr>
        <w:tab/>
      </w:r>
      <w:r w:rsidR="0087347C">
        <w:rPr>
          <w:rFonts w:cs="Times New Roman"/>
          <w:szCs w:val="24"/>
        </w:rPr>
        <w:t>17</w:t>
      </w:r>
      <w:r w:rsidRPr="00B206A4">
        <w:rPr>
          <w:rFonts w:cs="Times New Roman"/>
          <w:szCs w:val="24"/>
        </w:rPr>
        <w:t xml:space="preserve">. </w:t>
      </w:r>
      <w:r>
        <w:rPr>
          <w:szCs w:val="24"/>
        </w:rPr>
        <w:t xml:space="preserve">G.L. c. 94C, </w:t>
      </w:r>
      <w:r>
        <w:rPr>
          <w:rFonts w:cs="Times New Roman"/>
          <w:szCs w:val="24"/>
        </w:rPr>
        <w:t>§</w:t>
      </w:r>
      <w:r>
        <w:rPr>
          <w:szCs w:val="24"/>
        </w:rPr>
        <w:t xml:space="preserve"> 32C</w:t>
      </w:r>
      <w:r w:rsidRPr="00B206A4">
        <w:rPr>
          <w:rFonts w:cs="Times New Roman"/>
          <w:szCs w:val="24"/>
          <w:lang w:val="en"/>
        </w:rPr>
        <w:t xml:space="preserve"> </w:t>
      </w:r>
      <w:r>
        <w:rPr>
          <w:rFonts w:cs="Times New Roman"/>
          <w:szCs w:val="24"/>
          <w:lang w:val="en"/>
        </w:rPr>
        <w:t xml:space="preserve">makes it a crime for a person to </w:t>
      </w:r>
      <w:r w:rsidR="00F17C5B">
        <w:rPr>
          <w:rFonts w:cs="Times New Roman"/>
          <w:szCs w:val="24"/>
          <w:lang w:val="en"/>
        </w:rPr>
        <w:t>“</w:t>
      </w:r>
      <w:r w:rsidRPr="00B206A4">
        <w:rPr>
          <w:rFonts w:cs="Times New Roman"/>
          <w:szCs w:val="24"/>
          <w:lang w:val="en"/>
        </w:rPr>
        <w:t>manufacture</w:t>
      </w:r>
      <w:r>
        <w:rPr>
          <w:rFonts w:cs="Times New Roman"/>
          <w:szCs w:val="24"/>
          <w:lang w:val="en"/>
        </w:rPr>
        <w:t>[], distribute[], dispense[] or cultivate[]</w:t>
      </w:r>
      <w:r w:rsidRPr="00B206A4">
        <w:rPr>
          <w:rFonts w:cs="Times New Roman"/>
          <w:szCs w:val="24"/>
          <w:lang w:val="en"/>
        </w:rPr>
        <w:t>, or possesses with intent to manufacture, distribute, dispense or cultivate</w:t>
      </w:r>
      <w:r w:rsidR="00F17C5B">
        <w:rPr>
          <w:rFonts w:cs="Times New Roman"/>
          <w:szCs w:val="24"/>
          <w:lang w:val="en"/>
        </w:rPr>
        <w:t>”</w:t>
      </w:r>
      <w:r>
        <w:rPr>
          <w:rFonts w:cs="Times New Roman"/>
          <w:szCs w:val="24"/>
          <w:lang w:val="en"/>
        </w:rPr>
        <w:t xml:space="preserve"> marijuana.</w:t>
      </w:r>
    </w:p>
    <w:p w:rsidR="00B206A4" w:rsidRDefault="00B206A4" w:rsidP="0056519D">
      <w:pPr>
        <w:rPr>
          <w:rFonts w:cs="Times New Roman"/>
          <w:szCs w:val="24"/>
          <w:lang w:val="en"/>
        </w:rPr>
      </w:pPr>
      <w:r>
        <w:rPr>
          <w:rFonts w:cs="Times New Roman"/>
          <w:szCs w:val="24"/>
          <w:lang w:val="en"/>
        </w:rPr>
        <w:tab/>
      </w:r>
      <w:r w:rsidR="0087347C">
        <w:rPr>
          <w:rFonts w:cs="Times New Roman"/>
          <w:szCs w:val="24"/>
          <w:lang w:val="en"/>
        </w:rPr>
        <w:t>18</w:t>
      </w:r>
      <w:r>
        <w:rPr>
          <w:rFonts w:cs="Times New Roman"/>
          <w:szCs w:val="24"/>
          <w:lang w:val="en"/>
        </w:rPr>
        <w:t>. The criminal docket in Mr. Willis</w:t>
      </w:r>
      <w:r w:rsidR="003A02FC">
        <w:rPr>
          <w:rFonts w:cs="Times New Roman"/>
          <w:szCs w:val="24"/>
          <w:lang w:val="en"/>
        </w:rPr>
        <w:t>’</w:t>
      </w:r>
      <w:r>
        <w:rPr>
          <w:rFonts w:cs="Times New Roman"/>
          <w:szCs w:val="24"/>
          <w:lang w:val="en"/>
        </w:rPr>
        <w:t>s case did not specify whether Mr. Willis was charged with manufacturing, distributing, dispensing, or cultivating marijuana</w:t>
      </w:r>
      <w:r w:rsidR="008301A5">
        <w:rPr>
          <w:rFonts w:cs="Times New Roman"/>
          <w:szCs w:val="24"/>
          <w:lang w:val="en"/>
        </w:rPr>
        <w:t xml:space="preserve">; </w:t>
      </w:r>
      <w:r>
        <w:rPr>
          <w:rFonts w:cs="Times New Roman"/>
          <w:szCs w:val="24"/>
          <w:lang w:val="en"/>
        </w:rPr>
        <w:t xml:space="preserve">possessing it </w:t>
      </w:r>
      <w:r w:rsidR="008301A5">
        <w:rPr>
          <w:rFonts w:cs="Times New Roman"/>
          <w:szCs w:val="24"/>
          <w:lang w:val="en"/>
        </w:rPr>
        <w:t>with intent to do any of</w:t>
      </w:r>
      <w:r w:rsidR="00644B86">
        <w:rPr>
          <w:rFonts w:cs="Times New Roman"/>
          <w:szCs w:val="24"/>
          <w:lang w:val="en"/>
        </w:rPr>
        <w:t xml:space="preserve"> these</w:t>
      </w:r>
      <w:r w:rsidR="008301A5">
        <w:rPr>
          <w:rFonts w:cs="Times New Roman"/>
          <w:szCs w:val="24"/>
          <w:lang w:val="en"/>
        </w:rPr>
        <w:t xml:space="preserve"> things; or any combination of those crimes. The docket simply read: </w:t>
      </w:r>
      <w:r w:rsidR="00F17C5B">
        <w:rPr>
          <w:rFonts w:cs="Times New Roman"/>
          <w:szCs w:val="24"/>
          <w:lang w:val="en"/>
        </w:rPr>
        <w:t>“</w:t>
      </w:r>
      <w:r w:rsidR="008301A5">
        <w:rPr>
          <w:rFonts w:cs="Times New Roman"/>
          <w:szCs w:val="24"/>
          <w:lang w:val="en"/>
        </w:rPr>
        <w:t>Mfg./</w:t>
      </w:r>
      <w:proofErr w:type="spellStart"/>
      <w:r w:rsidR="008301A5">
        <w:rPr>
          <w:rFonts w:cs="Times New Roman"/>
          <w:szCs w:val="24"/>
          <w:lang w:val="en"/>
        </w:rPr>
        <w:t>Distrib</w:t>
      </w:r>
      <w:proofErr w:type="spellEnd"/>
      <w:r w:rsidR="008301A5">
        <w:rPr>
          <w:rFonts w:cs="Times New Roman"/>
          <w:szCs w:val="24"/>
          <w:lang w:val="en"/>
        </w:rPr>
        <w:t>./Cultivate Class D. Sub. c94C s32C.</w:t>
      </w:r>
      <w:r w:rsidR="00F17C5B">
        <w:rPr>
          <w:rFonts w:cs="Times New Roman"/>
          <w:szCs w:val="24"/>
          <w:lang w:val="en"/>
        </w:rPr>
        <w:t>”</w:t>
      </w:r>
      <w:r w:rsidR="008301A5">
        <w:rPr>
          <w:rFonts w:cs="Times New Roman"/>
          <w:szCs w:val="24"/>
          <w:lang w:val="en"/>
        </w:rPr>
        <w:t xml:space="preserve"> (Ex. 7, p. 1)(</w:t>
      </w:r>
      <w:proofErr w:type="gramStart"/>
      <w:r w:rsidR="008301A5">
        <w:rPr>
          <w:rFonts w:cs="Times New Roman"/>
          <w:szCs w:val="24"/>
          <w:lang w:val="en"/>
        </w:rPr>
        <w:t>all</w:t>
      </w:r>
      <w:proofErr w:type="gramEnd"/>
      <w:r w:rsidR="008301A5">
        <w:rPr>
          <w:rFonts w:cs="Times New Roman"/>
          <w:szCs w:val="24"/>
          <w:lang w:val="en"/>
        </w:rPr>
        <w:t xml:space="preserve"> capitals reduced to some lower case).</w:t>
      </w:r>
      <w:r w:rsidR="00B723D9">
        <w:rPr>
          <w:rFonts w:cs="Times New Roman"/>
          <w:szCs w:val="24"/>
          <w:lang w:val="en"/>
        </w:rPr>
        <w:t xml:space="preserve"> </w:t>
      </w:r>
      <w:r w:rsidR="00F4656F">
        <w:rPr>
          <w:rFonts w:cs="Times New Roman"/>
          <w:szCs w:val="24"/>
          <w:lang w:val="en"/>
        </w:rPr>
        <w:t>Nonetheless</w:t>
      </w:r>
      <w:r w:rsidR="00B723D9">
        <w:rPr>
          <w:rFonts w:cs="Times New Roman"/>
          <w:szCs w:val="24"/>
          <w:lang w:val="en"/>
        </w:rPr>
        <w:t xml:space="preserve">, Mr. Willis </w:t>
      </w:r>
      <w:r w:rsidR="00B723D9" w:rsidRPr="00F4656F">
        <w:rPr>
          <w:rFonts w:cs="Times New Roman"/>
          <w:i/>
          <w:szCs w:val="24"/>
          <w:lang w:val="en"/>
        </w:rPr>
        <w:t>was</w:t>
      </w:r>
      <w:r w:rsidR="00B723D9">
        <w:rPr>
          <w:rFonts w:cs="Times New Roman"/>
          <w:szCs w:val="24"/>
          <w:lang w:val="en"/>
        </w:rPr>
        <w:t xml:space="preserve"> charged with distribution of marijuana. (Stipulation.)</w:t>
      </w:r>
    </w:p>
    <w:p w:rsidR="008301A5" w:rsidRDefault="008301A5" w:rsidP="009F60E5">
      <w:pPr>
        <w:widowControl w:val="0"/>
        <w:rPr>
          <w:rFonts w:cs="Times New Roman"/>
          <w:szCs w:val="24"/>
          <w:lang w:val="en"/>
        </w:rPr>
      </w:pPr>
      <w:r>
        <w:rPr>
          <w:rFonts w:cs="Times New Roman"/>
          <w:szCs w:val="24"/>
          <w:lang w:val="en"/>
        </w:rPr>
        <w:tab/>
      </w:r>
      <w:r w:rsidR="0087347C">
        <w:rPr>
          <w:rFonts w:cs="Times New Roman"/>
          <w:szCs w:val="24"/>
          <w:lang w:val="en"/>
        </w:rPr>
        <w:t>19</w:t>
      </w:r>
      <w:r>
        <w:rPr>
          <w:rFonts w:cs="Times New Roman"/>
          <w:szCs w:val="24"/>
          <w:lang w:val="en"/>
        </w:rPr>
        <w:t>. The three charges against Mr. Willis were disposed of with a continuation without a finding (CWOF) for two years, until February 15, 2001. (Ex. 7, p. 1.)</w:t>
      </w:r>
    </w:p>
    <w:p w:rsidR="008301A5" w:rsidRDefault="008301A5" w:rsidP="009F60E5">
      <w:pPr>
        <w:widowControl w:val="0"/>
        <w:rPr>
          <w:rFonts w:cs="Times New Roman"/>
          <w:szCs w:val="24"/>
          <w:lang w:val="en"/>
        </w:rPr>
      </w:pPr>
      <w:r>
        <w:rPr>
          <w:rFonts w:cs="Times New Roman"/>
          <w:szCs w:val="24"/>
          <w:lang w:val="en"/>
        </w:rPr>
        <w:tab/>
      </w:r>
      <w:r w:rsidR="0087347C">
        <w:rPr>
          <w:rFonts w:cs="Times New Roman"/>
          <w:szCs w:val="24"/>
          <w:lang w:val="en"/>
        </w:rPr>
        <w:t>20</w:t>
      </w:r>
      <w:r>
        <w:rPr>
          <w:rFonts w:cs="Times New Roman"/>
          <w:szCs w:val="24"/>
          <w:lang w:val="en"/>
        </w:rPr>
        <w:t>. The c</w:t>
      </w:r>
      <w:r w:rsidR="00663980">
        <w:rPr>
          <w:rFonts w:cs="Times New Roman"/>
          <w:szCs w:val="24"/>
          <w:lang w:val="en"/>
        </w:rPr>
        <w:t>onditions for Mr. Willis</w:t>
      </w:r>
      <w:r w:rsidR="003A02FC">
        <w:rPr>
          <w:rFonts w:cs="Times New Roman"/>
          <w:szCs w:val="24"/>
          <w:lang w:val="en"/>
        </w:rPr>
        <w:t>’</w:t>
      </w:r>
      <w:r w:rsidR="00663980">
        <w:rPr>
          <w:rFonts w:cs="Times New Roman"/>
          <w:szCs w:val="24"/>
          <w:lang w:val="en"/>
        </w:rPr>
        <w:t>s CWOF –</w:t>
      </w:r>
      <w:r>
        <w:rPr>
          <w:rFonts w:cs="Times New Roman"/>
          <w:szCs w:val="24"/>
          <w:lang w:val="en"/>
        </w:rPr>
        <w:t xml:space="preserve"> in eff</w:t>
      </w:r>
      <w:r w:rsidR="00663980">
        <w:rPr>
          <w:rFonts w:cs="Times New Roman"/>
          <w:szCs w:val="24"/>
          <w:lang w:val="en"/>
        </w:rPr>
        <w:t>ect, the terms of his probation –</w:t>
      </w:r>
      <w:r>
        <w:rPr>
          <w:rFonts w:cs="Times New Roman"/>
          <w:szCs w:val="24"/>
          <w:lang w:val="en"/>
        </w:rPr>
        <w:t xml:space="preserve"> included that he not use illicit drugs and that he receive random drug testing. (Ex. 7, p. 1; Ex. </w:t>
      </w:r>
      <w:r>
        <w:rPr>
          <w:rFonts w:cs="Times New Roman"/>
          <w:szCs w:val="24"/>
          <w:lang w:val="en"/>
        </w:rPr>
        <w:lastRenderedPageBreak/>
        <w:t>11.)</w:t>
      </w:r>
    </w:p>
    <w:p w:rsidR="008301A5" w:rsidRDefault="008301A5" w:rsidP="0056519D">
      <w:pPr>
        <w:rPr>
          <w:szCs w:val="24"/>
        </w:rPr>
      </w:pPr>
      <w:r>
        <w:rPr>
          <w:rFonts w:cs="Times New Roman"/>
          <w:szCs w:val="24"/>
          <w:lang w:val="en"/>
        </w:rPr>
        <w:tab/>
      </w:r>
      <w:r w:rsidR="0087347C">
        <w:rPr>
          <w:rFonts w:cs="Times New Roman"/>
          <w:szCs w:val="24"/>
          <w:lang w:val="en"/>
        </w:rPr>
        <w:t>21</w:t>
      </w:r>
      <w:r>
        <w:rPr>
          <w:rFonts w:cs="Times New Roman"/>
          <w:szCs w:val="24"/>
          <w:lang w:val="en"/>
        </w:rPr>
        <w:t xml:space="preserve">. On </w:t>
      </w:r>
      <w:r w:rsidR="00210B95">
        <w:rPr>
          <w:rFonts w:cs="Times New Roman"/>
          <w:szCs w:val="24"/>
          <w:lang w:val="en"/>
        </w:rPr>
        <w:t xml:space="preserve">February 8, April 11, and May 3, 2000, Mr. Willis tested positive for THC, an ingredient of marijuana. (Ex. 12; </w:t>
      </w:r>
      <w:proofErr w:type="spellStart"/>
      <w:r w:rsidR="00210B95">
        <w:rPr>
          <w:szCs w:val="24"/>
        </w:rPr>
        <w:t>Geoghegan</w:t>
      </w:r>
      <w:proofErr w:type="spellEnd"/>
      <w:r w:rsidR="00210B95">
        <w:rPr>
          <w:szCs w:val="24"/>
        </w:rPr>
        <w:t xml:space="preserve"> testimony.)</w:t>
      </w:r>
    </w:p>
    <w:p w:rsidR="00210B95" w:rsidRDefault="00210B95" w:rsidP="00602263">
      <w:pPr>
        <w:widowControl w:val="0"/>
        <w:rPr>
          <w:rFonts w:cs="Times New Roman"/>
          <w:szCs w:val="24"/>
          <w:lang w:val="en"/>
        </w:rPr>
      </w:pPr>
      <w:r>
        <w:rPr>
          <w:szCs w:val="24"/>
        </w:rPr>
        <w:tab/>
      </w:r>
      <w:r w:rsidR="0087347C">
        <w:rPr>
          <w:szCs w:val="24"/>
        </w:rPr>
        <w:t>22</w:t>
      </w:r>
      <w:r>
        <w:rPr>
          <w:szCs w:val="24"/>
        </w:rPr>
        <w:t xml:space="preserve">. On April 18, 2000, </w:t>
      </w:r>
      <w:r w:rsidR="00124800">
        <w:rPr>
          <w:szCs w:val="24"/>
        </w:rPr>
        <w:t>Mr. Willis</w:t>
      </w:r>
      <w:r>
        <w:rPr>
          <w:szCs w:val="24"/>
        </w:rPr>
        <w:t xml:space="preserve"> was notified of two probation violations: failing to attend a weekly </w:t>
      </w:r>
      <w:proofErr w:type="spellStart"/>
      <w:r>
        <w:rPr>
          <w:szCs w:val="24"/>
        </w:rPr>
        <w:t>Norcap</w:t>
      </w:r>
      <w:proofErr w:type="spellEnd"/>
      <w:r>
        <w:rPr>
          <w:szCs w:val="24"/>
        </w:rPr>
        <w:t xml:space="preserve"> Group</w:t>
      </w:r>
      <w:r>
        <w:rPr>
          <w:rStyle w:val="FootnoteReference"/>
          <w:szCs w:val="24"/>
        </w:rPr>
        <w:footnoteReference w:id="16"/>
      </w:r>
      <w:r>
        <w:rPr>
          <w:szCs w:val="24"/>
        </w:rPr>
        <w:t xml:space="preserve">; and testing positive for THC on </w:t>
      </w:r>
      <w:r>
        <w:rPr>
          <w:rFonts w:cs="Times New Roman"/>
          <w:szCs w:val="24"/>
          <w:lang w:val="en"/>
        </w:rPr>
        <w:t>February 8 and April 11, 2000.</w:t>
      </w:r>
      <w:r>
        <w:rPr>
          <w:rStyle w:val="FootnoteReference"/>
          <w:rFonts w:cs="Times New Roman"/>
          <w:szCs w:val="24"/>
          <w:lang w:val="en"/>
        </w:rPr>
        <w:footnoteReference w:id="17"/>
      </w:r>
      <w:r w:rsidR="00EE5751">
        <w:rPr>
          <w:rFonts w:cs="Times New Roman"/>
          <w:szCs w:val="24"/>
          <w:lang w:val="en"/>
        </w:rPr>
        <w:t xml:space="preserve"> A hearing was scheduled for May 10, 2000. (Ex. 13.)</w:t>
      </w:r>
    </w:p>
    <w:p w:rsidR="00210B95" w:rsidRDefault="00210B95" w:rsidP="00602263">
      <w:pPr>
        <w:widowControl w:val="0"/>
        <w:rPr>
          <w:rFonts w:cs="Times New Roman"/>
          <w:szCs w:val="24"/>
          <w:lang w:val="en"/>
        </w:rPr>
      </w:pPr>
      <w:r>
        <w:rPr>
          <w:rFonts w:cs="Times New Roman"/>
          <w:szCs w:val="24"/>
          <w:lang w:val="en"/>
        </w:rPr>
        <w:tab/>
      </w:r>
      <w:r w:rsidR="0087347C">
        <w:rPr>
          <w:rFonts w:cs="Times New Roman"/>
          <w:szCs w:val="24"/>
          <w:lang w:val="en"/>
        </w:rPr>
        <w:t>23</w:t>
      </w:r>
      <w:r>
        <w:rPr>
          <w:rFonts w:cs="Times New Roman"/>
          <w:szCs w:val="24"/>
          <w:lang w:val="en"/>
        </w:rPr>
        <w:t xml:space="preserve">. On </w:t>
      </w:r>
      <w:r w:rsidR="00EE5751">
        <w:rPr>
          <w:rFonts w:cs="Times New Roman"/>
          <w:szCs w:val="24"/>
          <w:lang w:val="en"/>
        </w:rPr>
        <w:t>May 10, 2000, Mr. Willis was foun</w:t>
      </w:r>
      <w:r w:rsidR="00EE5751" w:rsidRPr="0078509E">
        <w:rPr>
          <w:rFonts w:cs="Times New Roman"/>
          <w:szCs w:val="24"/>
          <w:lang w:val="en"/>
        </w:rPr>
        <w:t>d in violation of probation</w:t>
      </w:r>
      <w:r w:rsidR="00EE5751">
        <w:rPr>
          <w:rFonts w:cs="Times New Roman"/>
          <w:szCs w:val="24"/>
          <w:lang w:val="en"/>
        </w:rPr>
        <w:t>. His CWOF was changed to a guilty finding and he was placed on probation for 18 months, until November 9, 2001. (Ex. 7, p. 11.)</w:t>
      </w:r>
      <w:r w:rsidR="00EE5751">
        <w:rPr>
          <w:rStyle w:val="FootnoteReference"/>
          <w:rFonts w:cs="Times New Roman"/>
          <w:szCs w:val="24"/>
          <w:lang w:val="en"/>
        </w:rPr>
        <w:footnoteReference w:id="18"/>
      </w:r>
    </w:p>
    <w:p w:rsidR="00F466F1" w:rsidRPr="00F466F1" w:rsidRDefault="00F466F1" w:rsidP="00602263">
      <w:pPr>
        <w:widowControl w:val="0"/>
        <w:rPr>
          <w:rFonts w:cs="Times New Roman"/>
          <w:szCs w:val="24"/>
          <w:u w:val="single"/>
          <w:lang w:val="en"/>
        </w:rPr>
      </w:pPr>
      <w:r>
        <w:rPr>
          <w:rFonts w:cs="Times New Roman"/>
          <w:szCs w:val="24"/>
          <w:lang w:val="en"/>
        </w:rPr>
        <w:tab/>
      </w:r>
      <w:r>
        <w:rPr>
          <w:rFonts w:cs="Times New Roman"/>
          <w:szCs w:val="24"/>
          <w:u w:val="single"/>
          <w:lang w:val="en"/>
        </w:rPr>
        <w:t>Mr. Willis</w:t>
      </w:r>
      <w:r w:rsidR="003A02FC">
        <w:rPr>
          <w:rFonts w:cs="Times New Roman"/>
          <w:szCs w:val="24"/>
          <w:u w:val="single"/>
          <w:lang w:val="en"/>
        </w:rPr>
        <w:t>’</w:t>
      </w:r>
      <w:r>
        <w:rPr>
          <w:rFonts w:cs="Times New Roman"/>
          <w:szCs w:val="24"/>
          <w:u w:val="single"/>
          <w:lang w:val="en"/>
        </w:rPr>
        <w:t>s application to be a dispensary agent</w:t>
      </w:r>
    </w:p>
    <w:p w:rsidR="00631F78" w:rsidRDefault="00631F78" w:rsidP="00F664A4">
      <w:pPr>
        <w:rPr>
          <w:rFonts w:cs="Times New Roman"/>
          <w:szCs w:val="24"/>
          <w:lang w:val="en"/>
        </w:rPr>
      </w:pPr>
      <w:r>
        <w:rPr>
          <w:rFonts w:cs="Times New Roman"/>
          <w:szCs w:val="24"/>
          <w:lang w:val="en"/>
        </w:rPr>
        <w:tab/>
      </w:r>
      <w:r w:rsidR="0087347C">
        <w:rPr>
          <w:rFonts w:cs="Times New Roman"/>
          <w:szCs w:val="24"/>
          <w:lang w:val="en"/>
        </w:rPr>
        <w:t>24</w:t>
      </w:r>
      <w:r>
        <w:rPr>
          <w:rFonts w:cs="Times New Roman"/>
          <w:szCs w:val="24"/>
          <w:lang w:val="en"/>
        </w:rPr>
        <w:t xml:space="preserve">. In 2015, </w:t>
      </w:r>
      <w:r w:rsidR="00B723D9">
        <w:rPr>
          <w:rFonts w:cs="Times New Roman"/>
          <w:szCs w:val="24"/>
          <w:lang w:val="en"/>
        </w:rPr>
        <w:t>Mr. Willis applied to be a dispensary agent with NETA. (Stipulation.)</w:t>
      </w:r>
    </w:p>
    <w:p w:rsidR="00226858" w:rsidRDefault="00226858" w:rsidP="00F664A4">
      <w:pPr>
        <w:rPr>
          <w:rFonts w:cs="Times New Roman"/>
          <w:szCs w:val="24"/>
          <w:lang w:val="en"/>
        </w:rPr>
      </w:pPr>
      <w:r>
        <w:rPr>
          <w:rFonts w:cs="Times New Roman"/>
          <w:szCs w:val="24"/>
          <w:lang w:val="en"/>
        </w:rPr>
        <w:tab/>
      </w:r>
      <w:r w:rsidR="0087347C">
        <w:rPr>
          <w:rFonts w:cs="Times New Roman"/>
          <w:szCs w:val="24"/>
          <w:lang w:val="en"/>
        </w:rPr>
        <w:t>25</w:t>
      </w:r>
      <w:r>
        <w:rPr>
          <w:rFonts w:cs="Times New Roman"/>
          <w:szCs w:val="24"/>
          <w:lang w:val="en"/>
        </w:rPr>
        <w:t>. On July 28, 2015, a Criminal Offender Record Information (CORI) report was conducted of Mr. Willis for NETA.</w:t>
      </w:r>
      <w:r w:rsidR="00190740">
        <w:rPr>
          <w:rFonts w:cs="Times New Roman"/>
          <w:szCs w:val="24"/>
          <w:lang w:val="en"/>
        </w:rPr>
        <w:t xml:space="preserve"> It reported his three criminal convictions, including a misdemeanor for </w:t>
      </w:r>
      <w:r w:rsidR="00F17C5B">
        <w:rPr>
          <w:rFonts w:cs="Times New Roman"/>
          <w:szCs w:val="24"/>
          <w:lang w:val="en"/>
        </w:rPr>
        <w:t>“</w:t>
      </w:r>
      <w:proofErr w:type="spellStart"/>
      <w:r w:rsidR="00190740">
        <w:rPr>
          <w:rFonts w:cs="Times New Roman"/>
          <w:szCs w:val="24"/>
          <w:lang w:val="en"/>
        </w:rPr>
        <w:t>Mfg</w:t>
      </w:r>
      <w:proofErr w:type="spellEnd"/>
      <w:r w:rsidR="00190740">
        <w:rPr>
          <w:rFonts w:cs="Times New Roman"/>
          <w:szCs w:val="24"/>
          <w:lang w:val="en"/>
        </w:rPr>
        <w:t xml:space="preserve"> Class D </w:t>
      </w:r>
      <w:proofErr w:type="spellStart"/>
      <w:r w:rsidR="00190740">
        <w:rPr>
          <w:rFonts w:cs="Times New Roman"/>
          <w:szCs w:val="24"/>
          <w:lang w:val="en"/>
        </w:rPr>
        <w:t>Cont</w:t>
      </w:r>
      <w:proofErr w:type="spellEnd"/>
      <w:r w:rsidR="00190740">
        <w:rPr>
          <w:rFonts w:cs="Times New Roman"/>
          <w:szCs w:val="24"/>
          <w:lang w:val="en"/>
        </w:rPr>
        <w:t xml:space="preserve"> Sub.</w:t>
      </w:r>
      <w:r w:rsidR="00F17C5B">
        <w:rPr>
          <w:rFonts w:cs="Times New Roman"/>
          <w:szCs w:val="24"/>
          <w:lang w:val="en"/>
        </w:rPr>
        <w:t>”</w:t>
      </w:r>
      <w:r w:rsidR="00986CA3">
        <w:rPr>
          <w:rStyle w:val="FootnoteReference"/>
          <w:rFonts w:cs="Times New Roman"/>
          <w:szCs w:val="24"/>
          <w:lang w:val="en"/>
        </w:rPr>
        <w:footnoteReference w:id="19"/>
      </w:r>
      <w:r w:rsidR="00190740">
        <w:rPr>
          <w:rFonts w:cs="Times New Roman"/>
          <w:szCs w:val="24"/>
          <w:lang w:val="en"/>
        </w:rPr>
        <w:t xml:space="preserve"> (Ex. </w:t>
      </w:r>
      <w:r w:rsidR="00876E57">
        <w:rPr>
          <w:rFonts w:cs="Times New Roman"/>
          <w:szCs w:val="24"/>
          <w:lang w:val="en"/>
        </w:rPr>
        <w:t>5, p. 4</w:t>
      </w:r>
      <w:r w:rsidR="00190740">
        <w:rPr>
          <w:rFonts w:cs="Times New Roman"/>
          <w:szCs w:val="24"/>
          <w:lang w:val="en"/>
        </w:rPr>
        <w:t>)(</w:t>
      </w:r>
      <w:proofErr w:type="gramStart"/>
      <w:r w:rsidR="00986CA3">
        <w:rPr>
          <w:rFonts w:cs="Times New Roman"/>
          <w:szCs w:val="24"/>
          <w:lang w:val="en"/>
        </w:rPr>
        <w:t>all</w:t>
      </w:r>
      <w:proofErr w:type="gramEnd"/>
      <w:r w:rsidR="00986CA3">
        <w:rPr>
          <w:rFonts w:cs="Times New Roman"/>
          <w:szCs w:val="24"/>
          <w:lang w:val="en"/>
        </w:rPr>
        <w:t xml:space="preserve"> capitals reduced to some lower case).</w:t>
      </w:r>
      <w:r w:rsidR="00631F78">
        <w:rPr>
          <w:rFonts w:cs="Times New Roman"/>
          <w:szCs w:val="24"/>
          <w:lang w:val="en"/>
        </w:rPr>
        <w:t xml:space="preserve"> </w:t>
      </w:r>
      <w:r w:rsidR="00CE66C2">
        <w:rPr>
          <w:rFonts w:cs="Times New Roman"/>
          <w:szCs w:val="24"/>
          <w:lang w:val="en"/>
        </w:rPr>
        <w:t>Thus, i</w:t>
      </w:r>
      <w:r w:rsidR="00631F78">
        <w:rPr>
          <w:rFonts w:cs="Times New Roman"/>
          <w:szCs w:val="24"/>
          <w:lang w:val="en"/>
        </w:rPr>
        <w:t>t mentioned manufacturing, but not distribution.</w:t>
      </w:r>
    </w:p>
    <w:p w:rsidR="00604F9C" w:rsidRDefault="00C443A7" w:rsidP="00F664A4">
      <w:pPr>
        <w:rPr>
          <w:rFonts w:cs="Times New Roman"/>
          <w:szCs w:val="24"/>
          <w:lang w:val="en"/>
        </w:rPr>
      </w:pPr>
      <w:r>
        <w:rPr>
          <w:rFonts w:cs="Times New Roman"/>
          <w:szCs w:val="24"/>
          <w:lang w:val="en"/>
        </w:rPr>
        <w:tab/>
      </w:r>
      <w:r w:rsidR="0087347C">
        <w:rPr>
          <w:rFonts w:cs="Times New Roman"/>
          <w:szCs w:val="24"/>
          <w:lang w:val="en"/>
        </w:rPr>
        <w:t>26</w:t>
      </w:r>
      <w:r w:rsidR="00F664A4">
        <w:rPr>
          <w:rFonts w:cs="Times New Roman"/>
          <w:szCs w:val="24"/>
          <w:lang w:val="en"/>
        </w:rPr>
        <w:t xml:space="preserve">. </w:t>
      </w:r>
      <w:r w:rsidR="009D5433">
        <w:rPr>
          <w:rFonts w:cs="Times New Roman"/>
          <w:szCs w:val="24"/>
          <w:lang w:val="en"/>
        </w:rPr>
        <w:t xml:space="preserve">On August 6, 2015, Mr. Willis emailed Ms. Eastwick, apparently in response to an inquiry from her. The subject line was </w:t>
      </w:r>
      <w:r w:rsidR="00F17C5B">
        <w:rPr>
          <w:rFonts w:cs="Times New Roman"/>
          <w:szCs w:val="24"/>
          <w:lang w:val="en"/>
        </w:rPr>
        <w:t>“</w:t>
      </w:r>
      <w:r w:rsidR="009D5433">
        <w:rPr>
          <w:rFonts w:cs="Times New Roman"/>
          <w:szCs w:val="24"/>
          <w:lang w:val="en"/>
        </w:rPr>
        <w:t>Background check.</w:t>
      </w:r>
      <w:r w:rsidR="00F17C5B">
        <w:rPr>
          <w:rFonts w:cs="Times New Roman"/>
          <w:szCs w:val="24"/>
          <w:lang w:val="en"/>
        </w:rPr>
        <w:t>”</w:t>
      </w:r>
      <w:r w:rsidR="009D5433">
        <w:rPr>
          <w:rFonts w:cs="Times New Roman"/>
          <w:szCs w:val="24"/>
          <w:lang w:val="en"/>
        </w:rPr>
        <w:t xml:space="preserve"> </w:t>
      </w:r>
      <w:r w:rsidR="002C3EC9">
        <w:rPr>
          <w:rFonts w:cs="Times New Roman"/>
          <w:szCs w:val="24"/>
          <w:lang w:val="en"/>
        </w:rPr>
        <w:t>The substantive portion of the email follows:</w:t>
      </w:r>
    </w:p>
    <w:p w:rsidR="0094178C" w:rsidRDefault="002C3EC9" w:rsidP="0094178C">
      <w:pPr>
        <w:spacing w:line="240" w:lineRule="auto"/>
        <w:ind w:left="720" w:right="720"/>
        <w:rPr>
          <w:rFonts w:cs="Times New Roman"/>
          <w:szCs w:val="24"/>
          <w:lang w:val="en"/>
        </w:rPr>
      </w:pPr>
      <w:r>
        <w:rPr>
          <w:rFonts w:cs="Times New Roman"/>
          <w:szCs w:val="24"/>
          <w:lang w:val="en"/>
        </w:rPr>
        <w:lastRenderedPageBreak/>
        <w:t>When I was 17</w:t>
      </w:r>
      <w:r w:rsidR="00FE65EE">
        <w:rPr>
          <w:rStyle w:val="FootnoteReference"/>
          <w:rFonts w:cs="Times New Roman"/>
          <w:szCs w:val="24"/>
          <w:lang w:val="en"/>
        </w:rPr>
        <w:footnoteReference w:id="20"/>
      </w:r>
      <w:r>
        <w:rPr>
          <w:rFonts w:cs="Times New Roman"/>
          <w:szCs w:val="24"/>
          <w:lang w:val="en"/>
        </w:rPr>
        <w:t xml:space="preserve"> and very much a teenager, I was at a house with some of my friends. I was young, irresponsible, and immature. I was engaging in underage drinking and was in the presence of others that were engaging in other activities as well.</w:t>
      </w:r>
      <w:r w:rsidR="005D0763">
        <w:rPr>
          <w:rStyle w:val="FootnoteReference"/>
          <w:rFonts w:cs="Times New Roman"/>
          <w:szCs w:val="24"/>
          <w:lang w:val="en"/>
        </w:rPr>
        <w:footnoteReference w:id="21"/>
      </w:r>
      <w:r w:rsidR="005D0763">
        <w:rPr>
          <w:rFonts w:cs="Times New Roman"/>
          <w:szCs w:val="24"/>
          <w:lang w:val="en"/>
        </w:rPr>
        <w:t xml:space="preserve"> I was in the </w:t>
      </w:r>
      <w:r w:rsidR="005C615F">
        <w:rPr>
          <w:rFonts w:cs="Times New Roman"/>
          <w:szCs w:val="24"/>
          <w:lang w:val="en"/>
        </w:rPr>
        <w:t>wrong place at the...wrong time,</w:t>
      </w:r>
      <w:r w:rsidR="001D2E7C">
        <w:rPr>
          <w:rStyle w:val="FootnoteReference"/>
          <w:rFonts w:cs="Times New Roman"/>
          <w:szCs w:val="24"/>
          <w:lang w:val="en"/>
        </w:rPr>
        <w:footnoteReference w:id="22"/>
      </w:r>
      <w:r w:rsidR="005C615F">
        <w:rPr>
          <w:rFonts w:cs="Times New Roman"/>
          <w:szCs w:val="24"/>
          <w:lang w:val="en"/>
        </w:rPr>
        <w:t xml:space="preserve"> yet was also not doing the right thing myself. The police arrived and noted that there were empty beer cans,</w:t>
      </w:r>
      <w:r w:rsidR="00D20FCB">
        <w:rPr>
          <w:rStyle w:val="FootnoteReference"/>
          <w:rFonts w:cs="Times New Roman"/>
          <w:szCs w:val="24"/>
          <w:lang w:val="en"/>
        </w:rPr>
        <w:footnoteReference w:id="23"/>
      </w:r>
      <w:r w:rsidR="005C615F">
        <w:rPr>
          <w:rFonts w:cs="Times New Roman"/>
          <w:szCs w:val="24"/>
          <w:lang w:val="en"/>
        </w:rPr>
        <w:t xml:space="preserve"> and marijuana in our present [sic], as well as a small plant that was found in the house.</w:t>
      </w:r>
      <w:r w:rsidR="00DE5F98">
        <w:rPr>
          <w:rStyle w:val="FootnoteReference"/>
          <w:rFonts w:cs="Times New Roman"/>
          <w:szCs w:val="24"/>
          <w:lang w:val="en"/>
        </w:rPr>
        <w:footnoteReference w:id="24"/>
      </w:r>
      <w:r w:rsidR="005C615F">
        <w:rPr>
          <w:rFonts w:cs="Times New Roman"/>
          <w:szCs w:val="24"/>
          <w:lang w:val="en"/>
        </w:rPr>
        <w:t xml:space="preserve"> I along with the others present were charged with possession of [a] class D substance, a possession manufacturing charge</w:t>
      </w:r>
      <w:r w:rsidR="00DE5F98">
        <w:rPr>
          <w:rStyle w:val="FootnoteReference"/>
          <w:rFonts w:cs="Times New Roman"/>
          <w:szCs w:val="24"/>
          <w:lang w:val="en"/>
        </w:rPr>
        <w:footnoteReference w:id="25"/>
      </w:r>
      <w:r w:rsidR="00F346A6">
        <w:rPr>
          <w:rFonts w:cs="Times New Roman"/>
          <w:szCs w:val="24"/>
          <w:lang w:val="en"/>
        </w:rPr>
        <w:t xml:space="preserve"> –due to the plant-</w:t>
      </w:r>
      <w:r w:rsidR="004B60A4">
        <w:rPr>
          <w:rStyle w:val="FootnoteReference"/>
          <w:rFonts w:cs="Times New Roman"/>
          <w:szCs w:val="24"/>
          <w:lang w:val="en"/>
        </w:rPr>
        <w:footnoteReference w:id="26"/>
      </w:r>
      <w:r w:rsidR="00F346A6">
        <w:rPr>
          <w:rFonts w:cs="Times New Roman"/>
          <w:szCs w:val="24"/>
          <w:lang w:val="en"/>
        </w:rPr>
        <w:t xml:space="preserve"> and minor in possession of alcohol. I admitted to[] my mistake and took responsibility for my actions and for the charges. I am 34 years old and haven</w:t>
      </w:r>
      <w:r w:rsidR="003A02FC">
        <w:rPr>
          <w:rFonts w:cs="Times New Roman"/>
          <w:szCs w:val="24"/>
          <w:lang w:val="en"/>
        </w:rPr>
        <w:t>’</w:t>
      </w:r>
      <w:r w:rsidR="00F346A6">
        <w:rPr>
          <w:rFonts w:cs="Times New Roman"/>
          <w:szCs w:val="24"/>
          <w:lang w:val="en"/>
        </w:rPr>
        <w:t>t been in trouble since.</w:t>
      </w:r>
      <w:r w:rsidR="00805C4E">
        <w:rPr>
          <w:rStyle w:val="FootnoteReference"/>
          <w:rFonts w:cs="Times New Roman"/>
          <w:szCs w:val="24"/>
          <w:lang w:val="en"/>
        </w:rPr>
        <w:footnoteReference w:id="27"/>
      </w:r>
      <w:r w:rsidR="00F346A6">
        <w:rPr>
          <w:rFonts w:cs="Times New Roman"/>
          <w:szCs w:val="24"/>
          <w:lang w:val="en"/>
        </w:rPr>
        <w:t xml:space="preserve"> </w:t>
      </w:r>
    </w:p>
    <w:p w:rsidR="0094178C" w:rsidRDefault="0094178C" w:rsidP="0094178C">
      <w:pPr>
        <w:spacing w:line="240" w:lineRule="auto"/>
        <w:ind w:left="720" w:right="720"/>
        <w:rPr>
          <w:rFonts w:cs="Times New Roman"/>
          <w:szCs w:val="24"/>
          <w:lang w:val="en"/>
        </w:rPr>
      </w:pPr>
    </w:p>
    <w:p w:rsidR="00604F9C" w:rsidRDefault="0094178C" w:rsidP="00F664A4">
      <w:pPr>
        <w:rPr>
          <w:rFonts w:cs="Times New Roman"/>
          <w:szCs w:val="24"/>
          <w:lang w:val="en"/>
        </w:rPr>
      </w:pPr>
      <w:r>
        <w:rPr>
          <w:rFonts w:cs="Times New Roman"/>
          <w:szCs w:val="24"/>
          <w:lang w:val="en"/>
        </w:rPr>
        <w:t xml:space="preserve">(Ex. </w:t>
      </w:r>
      <w:r w:rsidR="00876E57">
        <w:rPr>
          <w:rFonts w:cs="Times New Roman"/>
          <w:szCs w:val="24"/>
          <w:lang w:val="en"/>
        </w:rPr>
        <w:t>9</w:t>
      </w:r>
      <w:r>
        <w:rPr>
          <w:rFonts w:cs="Times New Roman"/>
          <w:szCs w:val="24"/>
          <w:lang w:val="en"/>
        </w:rPr>
        <w:t>.)</w:t>
      </w:r>
      <w:r>
        <w:rPr>
          <w:rStyle w:val="FootnoteReference"/>
          <w:rFonts w:cs="Times New Roman"/>
          <w:szCs w:val="24"/>
          <w:lang w:val="en"/>
        </w:rPr>
        <w:footnoteReference w:id="28"/>
      </w:r>
    </w:p>
    <w:p w:rsidR="00C443A7" w:rsidRDefault="00C443A7" w:rsidP="00663980">
      <w:pPr>
        <w:widowControl w:val="0"/>
        <w:rPr>
          <w:rFonts w:cs="Times New Roman"/>
          <w:szCs w:val="24"/>
          <w:lang w:val="en"/>
        </w:rPr>
      </w:pPr>
      <w:r>
        <w:rPr>
          <w:rFonts w:cs="Times New Roman"/>
          <w:szCs w:val="24"/>
          <w:lang w:val="en"/>
        </w:rPr>
        <w:tab/>
      </w:r>
      <w:r w:rsidR="0087347C">
        <w:rPr>
          <w:rFonts w:cs="Times New Roman"/>
          <w:szCs w:val="24"/>
          <w:lang w:val="en"/>
        </w:rPr>
        <w:t>27</w:t>
      </w:r>
      <w:r>
        <w:rPr>
          <w:rFonts w:cs="Times New Roman"/>
          <w:szCs w:val="24"/>
          <w:lang w:val="en"/>
        </w:rPr>
        <w:t xml:space="preserve">. Also on August 6, 2015, NETA submitted to DPH a </w:t>
      </w:r>
      <w:r w:rsidR="00F17C5B">
        <w:rPr>
          <w:rFonts w:cs="Times New Roman"/>
          <w:szCs w:val="24"/>
          <w:lang w:val="en"/>
        </w:rPr>
        <w:t>“</w:t>
      </w:r>
      <w:r>
        <w:rPr>
          <w:rFonts w:cs="Times New Roman"/>
          <w:szCs w:val="24"/>
          <w:lang w:val="en"/>
        </w:rPr>
        <w:t>Background Check Report: Review of Non-Disqualifying Offenses of Information.</w:t>
      </w:r>
      <w:r w:rsidR="00F17C5B">
        <w:rPr>
          <w:rFonts w:cs="Times New Roman"/>
          <w:szCs w:val="24"/>
          <w:lang w:val="en"/>
        </w:rPr>
        <w:t>”</w:t>
      </w:r>
      <w:r>
        <w:rPr>
          <w:rFonts w:cs="Times New Roman"/>
          <w:szCs w:val="24"/>
          <w:lang w:val="en"/>
        </w:rPr>
        <w:t xml:space="preserve"> (Ex. </w:t>
      </w:r>
      <w:r w:rsidR="00876E57">
        <w:rPr>
          <w:rFonts w:cs="Times New Roman"/>
          <w:szCs w:val="24"/>
          <w:lang w:val="en"/>
        </w:rPr>
        <w:t>6</w:t>
      </w:r>
      <w:r>
        <w:rPr>
          <w:rFonts w:cs="Times New Roman"/>
          <w:szCs w:val="24"/>
          <w:lang w:val="en"/>
        </w:rPr>
        <w:t xml:space="preserve">.) </w:t>
      </w:r>
      <w:r w:rsidR="008D4418">
        <w:rPr>
          <w:rFonts w:cs="Times New Roman"/>
          <w:szCs w:val="24"/>
          <w:lang w:val="en"/>
        </w:rPr>
        <w:t>The format of NETA</w:t>
      </w:r>
      <w:r w:rsidR="003A02FC">
        <w:rPr>
          <w:rFonts w:cs="Times New Roman"/>
          <w:szCs w:val="24"/>
          <w:lang w:val="en"/>
        </w:rPr>
        <w:t>’</w:t>
      </w:r>
      <w:r w:rsidR="008D4418">
        <w:rPr>
          <w:rFonts w:cs="Times New Roman"/>
          <w:szCs w:val="24"/>
          <w:lang w:val="en"/>
        </w:rPr>
        <w:t xml:space="preserve">s report to DPH followed that of the background check </w:t>
      </w:r>
      <w:r w:rsidR="0085339E">
        <w:rPr>
          <w:rFonts w:cs="Times New Roman"/>
          <w:szCs w:val="24"/>
          <w:lang w:val="en"/>
        </w:rPr>
        <w:t>guidance</w:t>
      </w:r>
      <w:r w:rsidR="008D4418">
        <w:rPr>
          <w:rFonts w:cs="Times New Roman"/>
          <w:szCs w:val="24"/>
          <w:lang w:val="en"/>
        </w:rPr>
        <w:t xml:space="preserve"> with its lettered factors, </w:t>
      </w:r>
      <w:r w:rsidR="00250526">
        <w:rPr>
          <w:rFonts w:cs="Times New Roman"/>
          <w:szCs w:val="24"/>
          <w:lang w:val="en"/>
        </w:rPr>
        <w:t>letters “</w:t>
      </w:r>
      <w:r w:rsidR="008D4418">
        <w:rPr>
          <w:rFonts w:cs="Times New Roman"/>
          <w:szCs w:val="24"/>
          <w:lang w:val="en"/>
        </w:rPr>
        <w:t>a</w:t>
      </w:r>
      <w:r w:rsidR="00250526">
        <w:rPr>
          <w:rFonts w:cs="Times New Roman"/>
          <w:szCs w:val="24"/>
          <w:lang w:val="en"/>
        </w:rPr>
        <w:t>”</w:t>
      </w:r>
      <w:r w:rsidR="008D4418">
        <w:rPr>
          <w:rFonts w:cs="Times New Roman"/>
          <w:szCs w:val="24"/>
          <w:lang w:val="en"/>
        </w:rPr>
        <w:t xml:space="preserve"> through </w:t>
      </w:r>
      <w:r w:rsidR="00250526">
        <w:rPr>
          <w:rFonts w:cs="Times New Roman"/>
          <w:szCs w:val="24"/>
          <w:lang w:val="en"/>
        </w:rPr>
        <w:lastRenderedPageBreak/>
        <w:t>“</w:t>
      </w:r>
      <w:proofErr w:type="spellStart"/>
      <w:r w:rsidR="008D4418">
        <w:rPr>
          <w:rFonts w:cs="Times New Roman"/>
          <w:szCs w:val="24"/>
          <w:lang w:val="en"/>
        </w:rPr>
        <w:t>i</w:t>
      </w:r>
      <w:proofErr w:type="spellEnd"/>
      <w:r w:rsidR="008D4418">
        <w:rPr>
          <w:rFonts w:cs="Times New Roman"/>
          <w:szCs w:val="24"/>
          <w:lang w:val="en"/>
        </w:rPr>
        <w:t>,</w:t>
      </w:r>
      <w:r w:rsidR="00250526">
        <w:rPr>
          <w:rFonts w:cs="Times New Roman"/>
          <w:szCs w:val="24"/>
          <w:lang w:val="en"/>
        </w:rPr>
        <w:t>”</w:t>
      </w:r>
      <w:r w:rsidR="008D4418">
        <w:rPr>
          <w:rFonts w:cs="Times New Roman"/>
          <w:szCs w:val="24"/>
          <w:lang w:val="en"/>
        </w:rPr>
        <w:t xml:space="preserve"> with two factors lettered </w:t>
      </w:r>
      <w:r w:rsidR="00F17C5B">
        <w:rPr>
          <w:rFonts w:cs="Times New Roman"/>
          <w:szCs w:val="24"/>
          <w:lang w:val="en"/>
        </w:rPr>
        <w:t>“</w:t>
      </w:r>
      <w:r w:rsidR="008D4418">
        <w:rPr>
          <w:rFonts w:cs="Times New Roman"/>
          <w:szCs w:val="24"/>
          <w:lang w:val="en"/>
        </w:rPr>
        <w:t>e.</w:t>
      </w:r>
      <w:r w:rsidR="00F17C5B">
        <w:rPr>
          <w:rFonts w:cs="Times New Roman"/>
          <w:szCs w:val="24"/>
          <w:lang w:val="en"/>
        </w:rPr>
        <w:t>”</w:t>
      </w:r>
      <w:r w:rsidR="00644B86">
        <w:rPr>
          <w:rFonts w:cs="Times New Roman"/>
          <w:szCs w:val="24"/>
          <w:lang w:val="en"/>
        </w:rPr>
        <w:t xml:space="preserve"> (Ex. 10.)</w:t>
      </w:r>
    </w:p>
    <w:p w:rsidR="00974D16" w:rsidRDefault="00974D16" w:rsidP="00663980">
      <w:pPr>
        <w:widowControl w:val="0"/>
        <w:rPr>
          <w:rFonts w:cs="Times New Roman"/>
          <w:szCs w:val="24"/>
          <w:lang w:val="en"/>
        </w:rPr>
      </w:pPr>
      <w:r>
        <w:rPr>
          <w:rFonts w:cs="Times New Roman"/>
          <w:szCs w:val="24"/>
          <w:lang w:val="en"/>
        </w:rPr>
        <w:tab/>
      </w:r>
      <w:r w:rsidR="0087347C">
        <w:rPr>
          <w:rFonts w:cs="Times New Roman"/>
          <w:szCs w:val="24"/>
          <w:lang w:val="en"/>
        </w:rPr>
        <w:t>28</w:t>
      </w:r>
      <w:r>
        <w:rPr>
          <w:rFonts w:cs="Times New Roman"/>
          <w:szCs w:val="24"/>
          <w:lang w:val="en"/>
        </w:rPr>
        <w:t>. NETA</w:t>
      </w:r>
      <w:r w:rsidR="003A02FC">
        <w:rPr>
          <w:rFonts w:cs="Times New Roman"/>
          <w:szCs w:val="24"/>
          <w:lang w:val="en"/>
        </w:rPr>
        <w:t>’</w:t>
      </w:r>
      <w:r>
        <w:rPr>
          <w:rFonts w:cs="Times New Roman"/>
          <w:szCs w:val="24"/>
          <w:lang w:val="en"/>
        </w:rPr>
        <w:t>s report revealed that it wanted to hire Mr. Willis as a cultivation team member. It re</w:t>
      </w:r>
      <w:r w:rsidR="00114256">
        <w:rPr>
          <w:rFonts w:cs="Times New Roman"/>
          <w:szCs w:val="24"/>
          <w:lang w:val="en"/>
        </w:rPr>
        <w:t>ported his misdemeanor convictions for being a minor in possession of alcohol; possessing a Class D substance; and manufacturing a Class D substance.</w:t>
      </w:r>
      <w:r w:rsidR="00F17C5B">
        <w:rPr>
          <w:rFonts w:cs="Times New Roman"/>
          <w:szCs w:val="24"/>
          <w:lang w:val="en"/>
        </w:rPr>
        <w:t>”</w:t>
      </w:r>
      <w:r w:rsidR="00114256">
        <w:rPr>
          <w:rFonts w:cs="Times New Roman"/>
          <w:szCs w:val="24"/>
          <w:lang w:val="en"/>
        </w:rPr>
        <w:t xml:space="preserve"> (Ex. </w:t>
      </w:r>
      <w:r w:rsidR="00876E57">
        <w:rPr>
          <w:rFonts w:cs="Times New Roman"/>
          <w:szCs w:val="24"/>
          <w:lang w:val="en"/>
        </w:rPr>
        <w:t>6</w:t>
      </w:r>
      <w:r w:rsidR="00114256">
        <w:rPr>
          <w:rFonts w:cs="Times New Roman"/>
          <w:szCs w:val="24"/>
          <w:lang w:val="en"/>
        </w:rPr>
        <w:t>.)</w:t>
      </w:r>
    </w:p>
    <w:p w:rsidR="00A27F2B" w:rsidRDefault="00114256" w:rsidP="00F664A4">
      <w:pPr>
        <w:rPr>
          <w:rFonts w:cs="Times New Roman"/>
          <w:szCs w:val="24"/>
          <w:lang w:val="en"/>
        </w:rPr>
      </w:pPr>
      <w:r>
        <w:rPr>
          <w:rFonts w:cs="Times New Roman"/>
          <w:szCs w:val="24"/>
          <w:lang w:val="en"/>
        </w:rPr>
        <w:tab/>
      </w:r>
      <w:r w:rsidR="0087347C">
        <w:rPr>
          <w:rFonts w:cs="Times New Roman"/>
          <w:szCs w:val="24"/>
          <w:lang w:val="en"/>
        </w:rPr>
        <w:t>29</w:t>
      </w:r>
      <w:r w:rsidR="00A27F2B">
        <w:rPr>
          <w:rFonts w:cs="Times New Roman"/>
          <w:szCs w:val="24"/>
          <w:lang w:val="en"/>
        </w:rPr>
        <w:t>. NETA</w:t>
      </w:r>
      <w:r w:rsidR="003A02FC">
        <w:rPr>
          <w:rFonts w:cs="Times New Roman"/>
          <w:szCs w:val="24"/>
          <w:lang w:val="en"/>
        </w:rPr>
        <w:t>’</w:t>
      </w:r>
      <w:r w:rsidR="00A27F2B">
        <w:rPr>
          <w:rFonts w:cs="Times New Roman"/>
          <w:szCs w:val="24"/>
          <w:lang w:val="en"/>
        </w:rPr>
        <w:t xml:space="preserve">s report stated: </w:t>
      </w:r>
      <w:r w:rsidR="00F17C5B">
        <w:rPr>
          <w:rFonts w:cs="Times New Roman"/>
          <w:szCs w:val="24"/>
          <w:lang w:val="en"/>
        </w:rPr>
        <w:t>“</w:t>
      </w:r>
      <w:r w:rsidR="00A27F2B">
        <w:rPr>
          <w:rFonts w:cs="Times New Roman"/>
          <w:szCs w:val="24"/>
          <w:lang w:val="en"/>
        </w:rPr>
        <w:t>a.</w:t>
      </w:r>
      <w:r w:rsidR="00A27F2B">
        <w:rPr>
          <w:rFonts w:cs="Times New Roman"/>
          <w:szCs w:val="24"/>
          <w:lang w:val="en"/>
        </w:rPr>
        <w:tab/>
      </w:r>
      <w:proofErr w:type="gramStart"/>
      <w:r w:rsidR="00A27F2B">
        <w:rPr>
          <w:rFonts w:cs="Times New Roman"/>
          <w:szCs w:val="24"/>
          <w:lang w:val="en"/>
        </w:rPr>
        <w:t>The</w:t>
      </w:r>
      <w:proofErr w:type="gramEnd"/>
      <w:r w:rsidR="00A27F2B">
        <w:rPr>
          <w:rFonts w:cs="Times New Roman"/>
          <w:szCs w:val="24"/>
          <w:lang w:val="en"/>
        </w:rPr>
        <w:t xml:space="preserve"> offense in question was 17 years ago.</w:t>
      </w:r>
      <w:r w:rsidR="00F17C5B">
        <w:rPr>
          <w:rFonts w:cs="Times New Roman"/>
          <w:szCs w:val="24"/>
          <w:lang w:val="en"/>
        </w:rPr>
        <w:t>”</w:t>
      </w:r>
      <w:r w:rsidR="00A27F2B">
        <w:rPr>
          <w:rFonts w:cs="Times New Roman"/>
          <w:szCs w:val="24"/>
          <w:lang w:val="en"/>
        </w:rPr>
        <w:t xml:space="preserve"> (Ex. </w:t>
      </w:r>
      <w:r w:rsidR="00876E57">
        <w:rPr>
          <w:rFonts w:cs="Times New Roman"/>
          <w:szCs w:val="24"/>
          <w:lang w:val="en"/>
        </w:rPr>
        <w:t>6</w:t>
      </w:r>
      <w:r w:rsidR="00A27F2B">
        <w:rPr>
          <w:rFonts w:cs="Times New Roman"/>
          <w:szCs w:val="24"/>
          <w:lang w:val="en"/>
        </w:rPr>
        <w:t xml:space="preserve">.) </w:t>
      </w:r>
      <w:r w:rsidR="000973F0">
        <w:rPr>
          <w:rFonts w:cs="Times New Roman"/>
          <w:szCs w:val="24"/>
          <w:lang w:val="en"/>
        </w:rPr>
        <w:t>T</w:t>
      </w:r>
      <w:r w:rsidR="00A27F2B">
        <w:rPr>
          <w:rFonts w:cs="Times New Roman"/>
          <w:szCs w:val="24"/>
          <w:lang w:val="en"/>
        </w:rPr>
        <w:t xml:space="preserve">his </w:t>
      </w:r>
      <w:r w:rsidR="00F06188">
        <w:rPr>
          <w:rFonts w:cs="Times New Roman"/>
          <w:szCs w:val="24"/>
          <w:lang w:val="en"/>
        </w:rPr>
        <w:t xml:space="preserve">statement </w:t>
      </w:r>
      <w:r w:rsidR="00A27F2B">
        <w:rPr>
          <w:rFonts w:cs="Times New Roman"/>
          <w:szCs w:val="24"/>
          <w:lang w:val="en"/>
        </w:rPr>
        <w:t xml:space="preserve">was </w:t>
      </w:r>
      <w:r w:rsidR="00F06188">
        <w:rPr>
          <w:rFonts w:cs="Times New Roman"/>
          <w:color w:val="000000"/>
          <w:szCs w:val="24"/>
        </w:rPr>
        <w:t>misleading, although NETA did not know it or intend it to be.</w:t>
      </w:r>
    </w:p>
    <w:p w:rsidR="00F06188" w:rsidRDefault="00A27F2B" w:rsidP="00F06188">
      <w:pPr>
        <w:rPr>
          <w:rFonts w:cs="Times New Roman"/>
          <w:szCs w:val="24"/>
          <w:lang w:val="en"/>
        </w:rPr>
      </w:pPr>
      <w:r>
        <w:rPr>
          <w:rFonts w:cs="Times New Roman"/>
          <w:szCs w:val="24"/>
          <w:lang w:val="en"/>
        </w:rPr>
        <w:tab/>
      </w:r>
      <w:r w:rsidR="0087347C">
        <w:rPr>
          <w:rFonts w:cs="Times New Roman"/>
          <w:szCs w:val="24"/>
          <w:lang w:val="en"/>
        </w:rPr>
        <w:t>30</w:t>
      </w:r>
      <w:r>
        <w:rPr>
          <w:rFonts w:cs="Times New Roman"/>
          <w:szCs w:val="24"/>
          <w:lang w:val="en"/>
        </w:rPr>
        <w:t xml:space="preserve">. </w:t>
      </w:r>
      <w:r w:rsidR="003E2438">
        <w:rPr>
          <w:rFonts w:cs="Times New Roman"/>
          <w:szCs w:val="24"/>
          <w:lang w:val="en"/>
        </w:rPr>
        <w:t>NETA</w:t>
      </w:r>
      <w:r w:rsidR="003A02FC">
        <w:rPr>
          <w:rFonts w:cs="Times New Roman"/>
          <w:szCs w:val="24"/>
          <w:lang w:val="en"/>
        </w:rPr>
        <w:t>’</w:t>
      </w:r>
      <w:r w:rsidR="003E2438">
        <w:rPr>
          <w:rFonts w:cs="Times New Roman"/>
          <w:szCs w:val="24"/>
          <w:lang w:val="en"/>
        </w:rPr>
        <w:t xml:space="preserve">s report stated: </w:t>
      </w:r>
      <w:r w:rsidR="00F17C5B">
        <w:rPr>
          <w:rFonts w:cs="Times New Roman"/>
          <w:szCs w:val="24"/>
          <w:lang w:val="en"/>
        </w:rPr>
        <w:t>“</w:t>
      </w:r>
      <w:r w:rsidR="003E2438">
        <w:rPr>
          <w:rFonts w:cs="Times New Roman"/>
          <w:szCs w:val="24"/>
          <w:lang w:val="en"/>
        </w:rPr>
        <w:t>b</w:t>
      </w:r>
      <w:proofErr w:type="gramStart"/>
      <w:r w:rsidR="003E2438">
        <w:rPr>
          <w:rFonts w:cs="Times New Roman"/>
          <w:szCs w:val="24"/>
          <w:lang w:val="en"/>
        </w:rPr>
        <w:t>.  The</w:t>
      </w:r>
      <w:proofErr w:type="gramEnd"/>
      <w:r w:rsidR="003E2438">
        <w:rPr>
          <w:rFonts w:cs="Times New Roman"/>
          <w:szCs w:val="24"/>
          <w:lang w:val="en"/>
        </w:rPr>
        <w:t xml:space="preserve"> candidate was 17 at the time of the offense....</w:t>
      </w:r>
      <w:r w:rsidR="00F17C5B">
        <w:rPr>
          <w:rFonts w:cs="Times New Roman"/>
          <w:szCs w:val="24"/>
          <w:lang w:val="en"/>
        </w:rPr>
        <w:t>”</w:t>
      </w:r>
      <w:r w:rsidR="003E2438">
        <w:rPr>
          <w:rFonts w:cs="Times New Roman"/>
          <w:szCs w:val="24"/>
          <w:lang w:val="en"/>
        </w:rPr>
        <w:t xml:space="preserve"> (Ex. </w:t>
      </w:r>
      <w:r w:rsidR="00876E57">
        <w:rPr>
          <w:rFonts w:cs="Times New Roman"/>
          <w:szCs w:val="24"/>
          <w:lang w:val="en"/>
        </w:rPr>
        <w:t>6</w:t>
      </w:r>
      <w:r w:rsidR="003E2438">
        <w:rPr>
          <w:rFonts w:cs="Times New Roman"/>
          <w:szCs w:val="24"/>
          <w:lang w:val="en"/>
        </w:rPr>
        <w:t>.) Strictly speaking, this was correct. The report did not mention that Mr. Willis was 18 or 19 when he tested positive for drugs and had his probation revoked.</w:t>
      </w:r>
      <w:r w:rsidR="00F06188">
        <w:rPr>
          <w:rFonts w:cs="Times New Roman"/>
          <w:szCs w:val="24"/>
          <w:lang w:val="en"/>
        </w:rPr>
        <w:t xml:space="preserve"> </w:t>
      </w:r>
      <w:r w:rsidR="000973F0">
        <w:rPr>
          <w:rFonts w:cs="Times New Roman"/>
          <w:szCs w:val="24"/>
          <w:lang w:val="en"/>
        </w:rPr>
        <w:t xml:space="preserve">This statement was </w:t>
      </w:r>
      <w:r w:rsidR="000973F0">
        <w:rPr>
          <w:rFonts w:cs="Times New Roman"/>
          <w:color w:val="000000"/>
          <w:szCs w:val="24"/>
        </w:rPr>
        <w:t xml:space="preserve">misleading, </w:t>
      </w:r>
      <w:r w:rsidR="00F06188">
        <w:rPr>
          <w:rFonts w:cs="Times New Roman"/>
          <w:color w:val="000000"/>
          <w:szCs w:val="24"/>
        </w:rPr>
        <w:t>although NETA did not know it or intend it to be.</w:t>
      </w:r>
    </w:p>
    <w:p w:rsidR="00C72CBD" w:rsidRDefault="0087347C" w:rsidP="00F664A4">
      <w:pPr>
        <w:rPr>
          <w:rFonts w:cs="Times New Roman"/>
          <w:szCs w:val="24"/>
          <w:lang w:val="en"/>
        </w:rPr>
      </w:pPr>
      <w:r>
        <w:rPr>
          <w:rFonts w:cs="Times New Roman"/>
          <w:szCs w:val="24"/>
          <w:lang w:val="en"/>
        </w:rPr>
        <w:tab/>
        <w:t>31</w:t>
      </w:r>
      <w:r w:rsidR="00C72CBD">
        <w:rPr>
          <w:rFonts w:cs="Times New Roman"/>
          <w:szCs w:val="24"/>
          <w:lang w:val="en"/>
        </w:rPr>
        <w:t>. NETA</w:t>
      </w:r>
      <w:r w:rsidR="003A02FC">
        <w:rPr>
          <w:rFonts w:cs="Times New Roman"/>
          <w:szCs w:val="24"/>
          <w:lang w:val="en"/>
        </w:rPr>
        <w:t>’</w:t>
      </w:r>
      <w:r w:rsidR="00C72CBD">
        <w:rPr>
          <w:rFonts w:cs="Times New Roman"/>
          <w:szCs w:val="24"/>
          <w:lang w:val="en"/>
        </w:rPr>
        <w:t>s report stated:</w:t>
      </w:r>
    </w:p>
    <w:p w:rsidR="00C72CBD" w:rsidRDefault="00C72CBD" w:rsidP="00E7568A">
      <w:pPr>
        <w:spacing w:line="240" w:lineRule="auto"/>
        <w:ind w:left="720" w:right="720"/>
        <w:rPr>
          <w:rFonts w:cs="Times New Roman"/>
          <w:szCs w:val="24"/>
          <w:lang w:val="en"/>
        </w:rPr>
      </w:pPr>
      <w:r>
        <w:rPr>
          <w:rFonts w:cs="Times New Roman"/>
          <w:szCs w:val="24"/>
          <w:lang w:val="en"/>
        </w:rPr>
        <w:t>c.  The nature of the incident was...a possession of alcohol as a minor and possession and manufacturing of Marijuana while the candidate was a youth and was disposed on the occurrence of his 17th birthday.</w:t>
      </w:r>
    </w:p>
    <w:p w:rsidR="00E7568A" w:rsidRDefault="00E7568A" w:rsidP="00E7568A">
      <w:pPr>
        <w:spacing w:line="240" w:lineRule="auto"/>
        <w:ind w:left="720" w:right="720"/>
        <w:rPr>
          <w:rFonts w:cs="Times New Roman"/>
          <w:szCs w:val="24"/>
          <w:lang w:val="en"/>
        </w:rPr>
      </w:pPr>
    </w:p>
    <w:p w:rsidR="00E7568A" w:rsidRDefault="00E7568A" w:rsidP="00E7568A">
      <w:pPr>
        <w:rPr>
          <w:rFonts w:cs="Times New Roman"/>
          <w:szCs w:val="24"/>
          <w:lang w:val="en"/>
        </w:rPr>
      </w:pPr>
      <w:r>
        <w:rPr>
          <w:rFonts w:cs="Times New Roman"/>
          <w:szCs w:val="24"/>
          <w:lang w:val="en"/>
        </w:rPr>
        <w:t xml:space="preserve">(Ex. </w:t>
      </w:r>
      <w:r w:rsidR="00876E57">
        <w:rPr>
          <w:rFonts w:cs="Times New Roman"/>
          <w:szCs w:val="24"/>
          <w:lang w:val="en"/>
        </w:rPr>
        <w:t>6</w:t>
      </w:r>
      <w:r>
        <w:rPr>
          <w:rFonts w:cs="Times New Roman"/>
          <w:szCs w:val="24"/>
          <w:lang w:val="en"/>
        </w:rPr>
        <w:t>.)</w:t>
      </w:r>
      <w:r w:rsidR="005123BC">
        <w:rPr>
          <w:rFonts w:cs="Times New Roman"/>
          <w:szCs w:val="24"/>
          <w:lang w:val="en"/>
        </w:rPr>
        <w:t xml:space="preserve"> This</w:t>
      </w:r>
      <w:r w:rsidR="000973F0">
        <w:rPr>
          <w:rFonts w:cs="Times New Roman"/>
          <w:szCs w:val="24"/>
          <w:lang w:val="en"/>
        </w:rPr>
        <w:t xml:space="preserve"> statement</w:t>
      </w:r>
      <w:r w:rsidR="005123BC">
        <w:rPr>
          <w:rFonts w:cs="Times New Roman"/>
          <w:szCs w:val="24"/>
          <w:lang w:val="en"/>
        </w:rPr>
        <w:t xml:space="preserve"> was </w:t>
      </w:r>
      <w:r w:rsidR="00F06188" w:rsidRPr="006D4256">
        <w:rPr>
          <w:rFonts w:cs="Times New Roman"/>
          <w:color w:val="000000"/>
          <w:szCs w:val="24"/>
        </w:rPr>
        <w:t xml:space="preserve">misleading, incorrect, </w:t>
      </w:r>
      <w:r w:rsidR="00F06188">
        <w:rPr>
          <w:rFonts w:cs="Times New Roman"/>
          <w:color w:val="000000"/>
          <w:szCs w:val="24"/>
        </w:rPr>
        <w:t xml:space="preserve">and </w:t>
      </w:r>
      <w:r w:rsidR="00F06188" w:rsidRPr="006D4256">
        <w:rPr>
          <w:rFonts w:cs="Times New Roman"/>
          <w:color w:val="000000"/>
          <w:szCs w:val="24"/>
        </w:rPr>
        <w:t>false</w:t>
      </w:r>
      <w:r w:rsidR="00F06188">
        <w:rPr>
          <w:rFonts w:cs="Times New Roman"/>
          <w:szCs w:val="24"/>
          <w:lang w:val="en"/>
        </w:rPr>
        <w:t xml:space="preserve"> </w:t>
      </w:r>
      <w:r w:rsidR="005123BC">
        <w:rPr>
          <w:rFonts w:cs="Times New Roman"/>
          <w:szCs w:val="24"/>
          <w:lang w:val="en"/>
        </w:rPr>
        <w:t>because it did not reveal that Mr. Willis</w:t>
      </w:r>
      <w:r w:rsidR="003A02FC">
        <w:rPr>
          <w:rFonts w:cs="Times New Roman"/>
          <w:szCs w:val="24"/>
          <w:lang w:val="en"/>
        </w:rPr>
        <w:t>’</w:t>
      </w:r>
      <w:r w:rsidR="005123BC">
        <w:rPr>
          <w:rFonts w:cs="Times New Roman"/>
          <w:szCs w:val="24"/>
          <w:lang w:val="en"/>
        </w:rPr>
        <w:t xml:space="preserve">s conviction was for distribution of marijuana. </w:t>
      </w:r>
      <w:r w:rsidR="00F06188">
        <w:rPr>
          <w:rFonts w:cs="Times New Roman"/>
          <w:color w:val="000000"/>
          <w:szCs w:val="24"/>
        </w:rPr>
        <w:t>NETA did not know that the</w:t>
      </w:r>
      <w:r w:rsidR="000973F0">
        <w:rPr>
          <w:rFonts w:cs="Times New Roman"/>
          <w:color w:val="000000"/>
          <w:szCs w:val="24"/>
        </w:rPr>
        <w:t xml:space="preserve"> statement</w:t>
      </w:r>
      <w:r w:rsidR="00F06188">
        <w:rPr>
          <w:rFonts w:cs="Times New Roman"/>
          <w:color w:val="000000"/>
          <w:szCs w:val="24"/>
        </w:rPr>
        <w:t xml:space="preserve"> </w:t>
      </w:r>
      <w:r w:rsidR="00F06188">
        <w:rPr>
          <w:rFonts w:cs="Times New Roman"/>
          <w:szCs w:val="24"/>
          <w:lang w:val="en"/>
        </w:rPr>
        <w:t xml:space="preserve">was </w:t>
      </w:r>
      <w:r w:rsidR="00F06188" w:rsidRPr="006D4256">
        <w:rPr>
          <w:rFonts w:cs="Times New Roman"/>
          <w:color w:val="000000"/>
          <w:szCs w:val="24"/>
        </w:rPr>
        <w:t xml:space="preserve">misleading, incorrect, </w:t>
      </w:r>
      <w:r w:rsidR="00F06188">
        <w:rPr>
          <w:rFonts w:cs="Times New Roman"/>
          <w:color w:val="000000"/>
          <w:szCs w:val="24"/>
        </w:rPr>
        <w:t xml:space="preserve">and </w:t>
      </w:r>
      <w:r w:rsidR="00F06188" w:rsidRPr="006D4256">
        <w:rPr>
          <w:rFonts w:cs="Times New Roman"/>
          <w:color w:val="000000"/>
          <w:szCs w:val="24"/>
        </w:rPr>
        <w:t>false</w:t>
      </w:r>
      <w:r w:rsidR="00F06188">
        <w:rPr>
          <w:rFonts w:cs="Times New Roman"/>
          <w:color w:val="000000"/>
          <w:szCs w:val="24"/>
        </w:rPr>
        <w:t>, or intend it to be.</w:t>
      </w:r>
      <w:r w:rsidR="00F06188">
        <w:rPr>
          <w:rFonts w:cs="Times New Roman"/>
          <w:szCs w:val="24"/>
          <w:lang w:val="en"/>
        </w:rPr>
        <w:t xml:space="preserve"> Mr. Willis</w:t>
      </w:r>
      <w:r w:rsidR="003A02FC">
        <w:rPr>
          <w:rFonts w:cs="Times New Roman"/>
          <w:szCs w:val="24"/>
          <w:lang w:val="en"/>
        </w:rPr>
        <w:t>’</w:t>
      </w:r>
      <w:r w:rsidR="00F06188">
        <w:rPr>
          <w:rFonts w:cs="Times New Roman"/>
          <w:szCs w:val="24"/>
          <w:lang w:val="en"/>
        </w:rPr>
        <w:t>s</w:t>
      </w:r>
      <w:r w:rsidR="005123BC">
        <w:rPr>
          <w:rFonts w:cs="Times New Roman"/>
          <w:szCs w:val="24"/>
          <w:lang w:val="en"/>
        </w:rPr>
        <w:t xml:space="preserve"> criminal case was not disposed of on his seventeenth birthday</w:t>
      </w:r>
      <w:r w:rsidR="00E759E1">
        <w:rPr>
          <w:rFonts w:cs="Times New Roman"/>
          <w:szCs w:val="24"/>
          <w:lang w:val="en"/>
        </w:rPr>
        <w:t>, but that is a minor inaccuracy.</w:t>
      </w:r>
    </w:p>
    <w:p w:rsidR="0054731F" w:rsidRDefault="0054731F" w:rsidP="00E7568A">
      <w:pPr>
        <w:rPr>
          <w:rFonts w:cs="Times New Roman"/>
          <w:szCs w:val="24"/>
          <w:lang w:val="en"/>
        </w:rPr>
      </w:pPr>
      <w:r>
        <w:rPr>
          <w:rFonts w:cs="Times New Roman"/>
          <w:szCs w:val="24"/>
          <w:lang w:val="en"/>
        </w:rPr>
        <w:tab/>
      </w:r>
      <w:r w:rsidR="0087347C">
        <w:rPr>
          <w:rFonts w:cs="Times New Roman"/>
          <w:szCs w:val="24"/>
          <w:lang w:val="en"/>
        </w:rPr>
        <w:t>32</w:t>
      </w:r>
      <w:r>
        <w:rPr>
          <w:rFonts w:cs="Times New Roman"/>
          <w:szCs w:val="24"/>
          <w:lang w:val="en"/>
        </w:rPr>
        <w:t>. NETA</w:t>
      </w:r>
      <w:r w:rsidR="003A02FC">
        <w:rPr>
          <w:rFonts w:cs="Times New Roman"/>
          <w:szCs w:val="24"/>
          <w:lang w:val="en"/>
        </w:rPr>
        <w:t>’</w:t>
      </w:r>
      <w:r>
        <w:rPr>
          <w:rFonts w:cs="Times New Roman"/>
          <w:szCs w:val="24"/>
          <w:lang w:val="en"/>
        </w:rPr>
        <w:t>s report to DPH did not mention Mr. Willis</w:t>
      </w:r>
      <w:r w:rsidR="003A02FC">
        <w:rPr>
          <w:rFonts w:cs="Times New Roman"/>
          <w:szCs w:val="24"/>
          <w:lang w:val="en"/>
        </w:rPr>
        <w:t>’</w:t>
      </w:r>
      <w:r>
        <w:rPr>
          <w:rFonts w:cs="Times New Roman"/>
          <w:szCs w:val="24"/>
          <w:lang w:val="en"/>
        </w:rPr>
        <w:t>s conviction for distributing marijuana because the CORI report and Mr. Willis</w:t>
      </w:r>
      <w:r w:rsidR="003A02FC">
        <w:rPr>
          <w:rFonts w:cs="Times New Roman"/>
          <w:szCs w:val="24"/>
          <w:lang w:val="en"/>
        </w:rPr>
        <w:t>’</w:t>
      </w:r>
      <w:r>
        <w:rPr>
          <w:rFonts w:cs="Times New Roman"/>
          <w:szCs w:val="24"/>
          <w:lang w:val="en"/>
        </w:rPr>
        <w:t>s email did not mention it. (Eastwick testimony.)</w:t>
      </w:r>
    </w:p>
    <w:p w:rsidR="0054731F" w:rsidRDefault="0087347C" w:rsidP="00F06188">
      <w:pPr>
        <w:widowControl w:val="0"/>
        <w:rPr>
          <w:rFonts w:cs="Times New Roman"/>
          <w:szCs w:val="24"/>
          <w:lang w:val="en"/>
        </w:rPr>
      </w:pPr>
      <w:r>
        <w:rPr>
          <w:rFonts w:cs="Times New Roman"/>
          <w:szCs w:val="24"/>
          <w:lang w:val="en"/>
        </w:rPr>
        <w:tab/>
        <w:t>33</w:t>
      </w:r>
      <w:r w:rsidR="0054731F">
        <w:rPr>
          <w:rFonts w:cs="Times New Roman"/>
          <w:szCs w:val="24"/>
          <w:lang w:val="en"/>
        </w:rPr>
        <w:t>. Had Ms. Eastwick known about Mr. Willis</w:t>
      </w:r>
      <w:r w:rsidR="003A02FC">
        <w:rPr>
          <w:rFonts w:cs="Times New Roman"/>
          <w:szCs w:val="24"/>
          <w:lang w:val="en"/>
        </w:rPr>
        <w:t>’</w:t>
      </w:r>
      <w:r w:rsidR="0054731F">
        <w:rPr>
          <w:rFonts w:cs="Times New Roman"/>
          <w:szCs w:val="24"/>
          <w:lang w:val="en"/>
        </w:rPr>
        <w:t>s conviction for distributing marijuana, she probably would have considered him disqualified from applying for registration to be a dispensary agent. (Eastwick testimony.)</w:t>
      </w:r>
    </w:p>
    <w:p w:rsidR="00A91BA2" w:rsidRDefault="00E759E1" w:rsidP="00F06188">
      <w:pPr>
        <w:widowControl w:val="0"/>
        <w:rPr>
          <w:rFonts w:cs="Times New Roman"/>
          <w:szCs w:val="24"/>
          <w:lang w:val="en"/>
        </w:rPr>
      </w:pPr>
      <w:r>
        <w:rPr>
          <w:rFonts w:cs="Times New Roman"/>
          <w:szCs w:val="24"/>
          <w:lang w:val="en"/>
        </w:rPr>
        <w:lastRenderedPageBreak/>
        <w:tab/>
      </w:r>
      <w:r w:rsidR="0087347C">
        <w:rPr>
          <w:rFonts w:cs="Times New Roman"/>
          <w:szCs w:val="24"/>
          <w:lang w:val="en"/>
        </w:rPr>
        <w:t>34</w:t>
      </w:r>
      <w:r>
        <w:rPr>
          <w:rFonts w:cs="Times New Roman"/>
          <w:szCs w:val="24"/>
          <w:lang w:val="en"/>
        </w:rPr>
        <w:t>. NETA</w:t>
      </w:r>
      <w:r w:rsidR="003A02FC">
        <w:rPr>
          <w:rFonts w:cs="Times New Roman"/>
          <w:szCs w:val="24"/>
          <w:lang w:val="en"/>
        </w:rPr>
        <w:t>’</w:t>
      </w:r>
      <w:r>
        <w:rPr>
          <w:rFonts w:cs="Times New Roman"/>
          <w:szCs w:val="24"/>
          <w:lang w:val="en"/>
        </w:rPr>
        <w:t xml:space="preserve">s report stated: </w:t>
      </w:r>
      <w:r w:rsidR="00F17C5B">
        <w:rPr>
          <w:rFonts w:cs="Times New Roman"/>
          <w:szCs w:val="24"/>
          <w:lang w:val="en"/>
        </w:rPr>
        <w:t>“</w:t>
      </w:r>
      <w:r>
        <w:rPr>
          <w:rFonts w:cs="Times New Roman"/>
          <w:szCs w:val="24"/>
          <w:lang w:val="en"/>
        </w:rPr>
        <w:t xml:space="preserve">f. </w:t>
      </w:r>
      <w:proofErr w:type="gramStart"/>
      <w:r>
        <w:rPr>
          <w:rFonts w:cs="Times New Roman"/>
          <w:szCs w:val="24"/>
          <w:lang w:val="en"/>
        </w:rPr>
        <w:t>There</w:t>
      </w:r>
      <w:proofErr w:type="gramEnd"/>
      <w:r>
        <w:rPr>
          <w:rFonts w:cs="Times New Roman"/>
          <w:szCs w:val="24"/>
          <w:lang w:val="en"/>
        </w:rPr>
        <w:t xml:space="preserve"> were no other offenses or incidents since the occurrence of this offense.</w:t>
      </w:r>
      <w:r w:rsidR="00F17C5B">
        <w:rPr>
          <w:rFonts w:cs="Times New Roman"/>
          <w:szCs w:val="24"/>
          <w:lang w:val="en"/>
        </w:rPr>
        <w:t>”</w:t>
      </w:r>
      <w:r w:rsidRPr="00E759E1">
        <w:rPr>
          <w:rFonts w:cs="Times New Roman"/>
          <w:szCs w:val="24"/>
          <w:lang w:val="en"/>
        </w:rPr>
        <w:t xml:space="preserve"> </w:t>
      </w:r>
      <w:r>
        <w:rPr>
          <w:rFonts w:cs="Times New Roman"/>
          <w:szCs w:val="24"/>
          <w:lang w:val="en"/>
        </w:rPr>
        <w:t xml:space="preserve">(Ex. </w:t>
      </w:r>
      <w:r w:rsidR="00876E57">
        <w:rPr>
          <w:rFonts w:cs="Times New Roman"/>
          <w:szCs w:val="24"/>
          <w:lang w:val="en"/>
        </w:rPr>
        <w:t>6</w:t>
      </w:r>
      <w:r>
        <w:rPr>
          <w:rFonts w:cs="Times New Roman"/>
          <w:szCs w:val="24"/>
          <w:lang w:val="en"/>
        </w:rPr>
        <w:t xml:space="preserve">.) </w:t>
      </w:r>
      <w:r w:rsidR="00F06188">
        <w:rPr>
          <w:rFonts w:cs="Times New Roman"/>
          <w:szCs w:val="24"/>
          <w:lang w:val="en"/>
        </w:rPr>
        <w:t>Th</w:t>
      </w:r>
      <w:r w:rsidR="000973F0">
        <w:rPr>
          <w:rFonts w:cs="Times New Roman"/>
          <w:szCs w:val="24"/>
          <w:lang w:val="en"/>
        </w:rPr>
        <w:t>is statement</w:t>
      </w:r>
      <w:r w:rsidR="00F06188">
        <w:rPr>
          <w:rFonts w:cs="Times New Roman"/>
          <w:szCs w:val="24"/>
          <w:lang w:val="en"/>
        </w:rPr>
        <w:t xml:space="preserve"> was </w:t>
      </w:r>
      <w:r w:rsidR="00F06188" w:rsidRPr="006D4256">
        <w:rPr>
          <w:rFonts w:cs="Times New Roman"/>
          <w:color w:val="000000"/>
          <w:szCs w:val="24"/>
        </w:rPr>
        <w:t xml:space="preserve">misleading, incorrect, </w:t>
      </w:r>
      <w:r w:rsidR="00F06188">
        <w:rPr>
          <w:rFonts w:cs="Times New Roman"/>
          <w:color w:val="000000"/>
          <w:szCs w:val="24"/>
        </w:rPr>
        <w:t xml:space="preserve">and </w:t>
      </w:r>
      <w:r w:rsidR="00F06188" w:rsidRPr="006D4256">
        <w:rPr>
          <w:rFonts w:cs="Times New Roman"/>
          <w:color w:val="000000"/>
          <w:szCs w:val="24"/>
        </w:rPr>
        <w:t>false</w:t>
      </w:r>
      <w:r w:rsidR="00F06188">
        <w:rPr>
          <w:rFonts w:cs="Times New Roman"/>
          <w:color w:val="000000"/>
          <w:szCs w:val="24"/>
        </w:rPr>
        <w:t xml:space="preserve">, </w:t>
      </w:r>
      <w:r w:rsidR="000973F0">
        <w:rPr>
          <w:rFonts w:cs="Times New Roman"/>
          <w:color w:val="000000"/>
          <w:szCs w:val="24"/>
        </w:rPr>
        <w:t xml:space="preserve">because </w:t>
      </w:r>
      <w:r w:rsidR="000973F0">
        <w:rPr>
          <w:rFonts w:cs="Times New Roman"/>
          <w:szCs w:val="24"/>
          <w:lang w:val="en"/>
        </w:rPr>
        <w:t xml:space="preserve">Mr. Willis later tested positive for drugs and had his probation revoked. </w:t>
      </w:r>
      <w:r w:rsidR="00F06188">
        <w:rPr>
          <w:rFonts w:cs="Times New Roman"/>
          <w:color w:val="000000"/>
          <w:szCs w:val="24"/>
        </w:rPr>
        <w:t xml:space="preserve">NETA did not know </w:t>
      </w:r>
      <w:r w:rsidR="000973F0">
        <w:rPr>
          <w:rFonts w:cs="Times New Roman"/>
          <w:color w:val="000000"/>
          <w:szCs w:val="24"/>
        </w:rPr>
        <w:t xml:space="preserve">that the statement was </w:t>
      </w:r>
      <w:r w:rsidR="000973F0" w:rsidRPr="006D4256">
        <w:rPr>
          <w:rFonts w:cs="Times New Roman"/>
          <w:color w:val="000000"/>
          <w:szCs w:val="24"/>
        </w:rPr>
        <w:t>misleading, incorrect,</w:t>
      </w:r>
      <w:r w:rsidR="000973F0">
        <w:rPr>
          <w:rFonts w:cs="Times New Roman"/>
          <w:color w:val="000000"/>
          <w:szCs w:val="24"/>
        </w:rPr>
        <w:t xml:space="preserve"> or </w:t>
      </w:r>
      <w:r w:rsidR="000973F0" w:rsidRPr="006D4256">
        <w:rPr>
          <w:rFonts w:cs="Times New Roman"/>
          <w:color w:val="000000"/>
          <w:szCs w:val="24"/>
        </w:rPr>
        <w:t>false</w:t>
      </w:r>
      <w:r w:rsidR="000973F0">
        <w:rPr>
          <w:rFonts w:cs="Times New Roman"/>
          <w:color w:val="000000"/>
          <w:szCs w:val="24"/>
        </w:rPr>
        <w:t>,</w:t>
      </w:r>
      <w:r w:rsidR="00F06188">
        <w:rPr>
          <w:rFonts w:cs="Times New Roman"/>
          <w:color w:val="000000"/>
          <w:szCs w:val="24"/>
        </w:rPr>
        <w:t xml:space="preserve"> or intend it to be</w:t>
      </w:r>
      <w:r w:rsidR="00A91BA2">
        <w:rPr>
          <w:rFonts w:cs="Times New Roman"/>
          <w:szCs w:val="24"/>
          <w:lang w:val="en"/>
        </w:rPr>
        <w:t>.</w:t>
      </w:r>
    </w:p>
    <w:p w:rsidR="00A91BA2" w:rsidRDefault="0087347C" w:rsidP="00A91BA2">
      <w:pPr>
        <w:rPr>
          <w:rFonts w:cs="Times New Roman"/>
          <w:szCs w:val="24"/>
          <w:lang w:val="en"/>
        </w:rPr>
      </w:pPr>
      <w:r>
        <w:rPr>
          <w:rFonts w:cs="Times New Roman"/>
          <w:szCs w:val="24"/>
          <w:lang w:val="en"/>
        </w:rPr>
        <w:tab/>
        <w:t>35</w:t>
      </w:r>
      <w:r w:rsidR="00A91BA2">
        <w:rPr>
          <w:rFonts w:cs="Times New Roman"/>
          <w:szCs w:val="24"/>
          <w:lang w:val="en"/>
        </w:rPr>
        <w:t>. NETA</w:t>
      </w:r>
      <w:r w:rsidR="003A02FC">
        <w:rPr>
          <w:rFonts w:cs="Times New Roman"/>
          <w:szCs w:val="24"/>
          <w:lang w:val="en"/>
        </w:rPr>
        <w:t>’</w:t>
      </w:r>
      <w:r w:rsidR="00A91BA2">
        <w:rPr>
          <w:rFonts w:cs="Times New Roman"/>
          <w:szCs w:val="24"/>
          <w:lang w:val="en"/>
        </w:rPr>
        <w:t xml:space="preserve">s report stated there was no evidence that Mr. Willis had not been rehabilitated. </w:t>
      </w:r>
      <w:r w:rsidR="00CD380B">
        <w:rPr>
          <w:rFonts w:cs="Times New Roman"/>
          <w:szCs w:val="24"/>
          <w:lang w:val="en"/>
        </w:rPr>
        <w:t xml:space="preserve">(Ex. </w:t>
      </w:r>
      <w:r w:rsidR="00876E57">
        <w:rPr>
          <w:rFonts w:cs="Times New Roman"/>
          <w:szCs w:val="24"/>
          <w:lang w:val="en"/>
        </w:rPr>
        <w:t>6</w:t>
      </w:r>
      <w:r w:rsidR="00CD380B">
        <w:rPr>
          <w:rFonts w:cs="Times New Roman"/>
          <w:szCs w:val="24"/>
          <w:lang w:val="en"/>
        </w:rPr>
        <w:t>.)</w:t>
      </w:r>
      <w:r w:rsidR="00A825D1">
        <w:rPr>
          <w:rStyle w:val="FootnoteReference"/>
          <w:rFonts w:cs="Times New Roman"/>
          <w:szCs w:val="24"/>
          <w:lang w:val="en"/>
        </w:rPr>
        <w:footnoteReference w:id="29"/>
      </w:r>
      <w:r w:rsidR="00A825D1">
        <w:rPr>
          <w:rFonts w:cs="Times New Roman"/>
          <w:szCs w:val="24"/>
          <w:lang w:val="en"/>
        </w:rPr>
        <w:t xml:space="preserve"> </w:t>
      </w:r>
      <w:r w:rsidR="00F06188">
        <w:rPr>
          <w:rFonts w:cs="Times New Roman"/>
          <w:szCs w:val="24"/>
          <w:lang w:val="en"/>
        </w:rPr>
        <w:t xml:space="preserve">The information was </w:t>
      </w:r>
      <w:r w:rsidR="00F06188" w:rsidRPr="006D4256">
        <w:rPr>
          <w:rFonts w:cs="Times New Roman"/>
          <w:color w:val="000000"/>
          <w:szCs w:val="24"/>
        </w:rPr>
        <w:t xml:space="preserve">misleading, incorrect, </w:t>
      </w:r>
      <w:r w:rsidR="00F06188">
        <w:rPr>
          <w:rFonts w:cs="Times New Roman"/>
          <w:color w:val="000000"/>
          <w:szCs w:val="24"/>
        </w:rPr>
        <w:t xml:space="preserve">and </w:t>
      </w:r>
      <w:r w:rsidR="00F06188" w:rsidRPr="006D4256">
        <w:rPr>
          <w:rFonts w:cs="Times New Roman"/>
          <w:color w:val="000000"/>
          <w:szCs w:val="24"/>
        </w:rPr>
        <w:t>false</w:t>
      </w:r>
      <w:r w:rsidR="00F06188">
        <w:rPr>
          <w:rFonts w:cs="Times New Roman"/>
          <w:color w:val="000000"/>
          <w:szCs w:val="24"/>
        </w:rPr>
        <w:t>,</w:t>
      </w:r>
      <w:r w:rsidR="000973F0">
        <w:rPr>
          <w:rFonts w:cs="Times New Roman"/>
          <w:color w:val="000000"/>
          <w:szCs w:val="24"/>
        </w:rPr>
        <w:t xml:space="preserve"> because </w:t>
      </w:r>
      <w:r w:rsidR="000973F0">
        <w:rPr>
          <w:rFonts w:cs="Times New Roman"/>
          <w:szCs w:val="24"/>
          <w:lang w:val="en"/>
        </w:rPr>
        <w:t xml:space="preserve">Mr. Willis later tested positive for drugs, demonstrating that he was not rehabilitated from his use of drugs or rehabilitated regarding his compliance with the </w:t>
      </w:r>
      <w:r w:rsidR="00CE66C2">
        <w:rPr>
          <w:rFonts w:cs="Times New Roman"/>
          <w:szCs w:val="24"/>
          <w:lang w:val="en"/>
        </w:rPr>
        <w:t xml:space="preserve">demands of the </w:t>
      </w:r>
      <w:r w:rsidR="000973F0">
        <w:rPr>
          <w:rFonts w:cs="Times New Roman"/>
          <w:szCs w:val="24"/>
          <w:lang w:val="en"/>
        </w:rPr>
        <w:t>criminal justice system.</w:t>
      </w:r>
      <w:r w:rsidR="00F06188">
        <w:rPr>
          <w:rFonts w:cs="Times New Roman"/>
          <w:color w:val="000000"/>
          <w:szCs w:val="24"/>
        </w:rPr>
        <w:t xml:space="preserve"> </w:t>
      </w:r>
      <w:r w:rsidR="000973F0">
        <w:rPr>
          <w:rFonts w:cs="Times New Roman"/>
          <w:color w:val="000000"/>
          <w:szCs w:val="24"/>
        </w:rPr>
        <w:t xml:space="preserve">NETA did not know that this statement </w:t>
      </w:r>
      <w:r w:rsidR="00E97F68">
        <w:rPr>
          <w:rFonts w:cs="Times New Roman"/>
          <w:color w:val="000000"/>
          <w:szCs w:val="24"/>
        </w:rPr>
        <w:t xml:space="preserve">was </w:t>
      </w:r>
      <w:r w:rsidR="000973F0" w:rsidRPr="006D4256">
        <w:rPr>
          <w:rFonts w:cs="Times New Roman"/>
          <w:color w:val="000000"/>
          <w:szCs w:val="24"/>
        </w:rPr>
        <w:t xml:space="preserve">misleading, incorrect, </w:t>
      </w:r>
      <w:r w:rsidR="000973F0">
        <w:rPr>
          <w:rFonts w:cs="Times New Roman"/>
          <w:color w:val="000000"/>
          <w:szCs w:val="24"/>
        </w:rPr>
        <w:t xml:space="preserve">and </w:t>
      </w:r>
      <w:r w:rsidR="000973F0" w:rsidRPr="006D4256">
        <w:rPr>
          <w:rFonts w:cs="Times New Roman"/>
          <w:color w:val="000000"/>
          <w:szCs w:val="24"/>
        </w:rPr>
        <w:t>false</w:t>
      </w:r>
      <w:r w:rsidR="00F06188">
        <w:rPr>
          <w:rFonts w:cs="Times New Roman"/>
          <w:color w:val="000000"/>
          <w:szCs w:val="24"/>
        </w:rPr>
        <w:t xml:space="preserve"> or intend it to be.</w:t>
      </w:r>
      <w:r w:rsidR="00F06188">
        <w:rPr>
          <w:rFonts w:cs="Times New Roman"/>
          <w:szCs w:val="24"/>
          <w:lang w:val="en"/>
        </w:rPr>
        <w:t xml:space="preserve"> </w:t>
      </w:r>
    </w:p>
    <w:p w:rsidR="00D14BE8" w:rsidRDefault="0087347C" w:rsidP="00A91BA2">
      <w:pPr>
        <w:rPr>
          <w:rFonts w:cs="Times New Roman"/>
          <w:color w:val="000000"/>
          <w:szCs w:val="24"/>
        </w:rPr>
      </w:pPr>
      <w:r>
        <w:rPr>
          <w:rFonts w:cs="Times New Roman"/>
          <w:szCs w:val="24"/>
          <w:lang w:val="en"/>
        </w:rPr>
        <w:tab/>
        <w:t>36</w:t>
      </w:r>
      <w:r w:rsidR="00D14BE8">
        <w:rPr>
          <w:rFonts w:cs="Times New Roman"/>
          <w:szCs w:val="24"/>
          <w:lang w:val="en"/>
        </w:rPr>
        <w:t xml:space="preserve">. Mr. Willis did not directly submit to DPH his email to Ms. Eastwick or any </w:t>
      </w:r>
      <w:r w:rsidR="00D14BE8" w:rsidRPr="00D14BE8">
        <w:rPr>
          <w:rFonts w:cs="Times New Roman"/>
          <w:color w:val="000000"/>
          <w:szCs w:val="24"/>
        </w:rPr>
        <w:t xml:space="preserve">misleading, incorrect, false, or fraudulent </w:t>
      </w:r>
      <w:r w:rsidR="00D14BE8">
        <w:rPr>
          <w:rFonts w:cs="Times New Roman"/>
          <w:color w:val="000000"/>
          <w:szCs w:val="24"/>
        </w:rPr>
        <w:t>information. Mr. Willis did not directly submit any information to DPH.</w:t>
      </w:r>
    </w:p>
    <w:p w:rsidR="00D14BE8" w:rsidRDefault="00D14BE8" w:rsidP="00A91BA2">
      <w:pPr>
        <w:rPr>
          <w:rFonts w:cs="Times New Roman"/>
          <w:color w:val="000000"/>
          <w:szCs w:val="24"/>
        </w:rPr>
      </w:pPr>
      <w:r>
        <w:rPr>
          <w:rFonts w:cs="Times New Roman"/>
          <w:color w:val="000000"/>
          <w:szCs w:val="24"/>
        </w:rPr>
        <w:tab/>
      </w:r>
      <w:r w:rsidR="0087347C">
        <w:rPr>
          <w:rFonts w:cs="Times New Roman"/>
          <w:color w:val="000000"/>
          <w:szCs w:val="24"/>
        </w:rPr>
        <w:t>37</w:t>
      </w:r>
      <w:r>
        <w:rPr>
          <w:rFonts w:cs="Times New Roman"/>
          <w:color w:val="000000"/>
          <w:szCs w:val="24"/>
        </w:rPr>
        <w:t>. NETA did not submit to DPH Mr. Willis</w:t>
      </w:r>
      <w:r w:rsidR="003A02FC">
        <w:rPr>
          <w:rFonts w:cs="Times New Roman"/>
          <w:color w:val="000000"/>
          <w:szCs w:val="24"/>
        </w:rPr>
        <w:t>’</w:t>
      </w:r>
      <w:r>
        <w:rPr>
          <w:rFonts w:cs="Times New Roman"/>
          <w:color w:val="000000"/>
          <w:szCs w:val="24"/>
        </w:rPr>
        <w:t>s email to Ms. Eastwick.</w:t>
      </w:r>
    </w:p>
    <w:p w:rsidR="00F06188" w:rsidRDefault="00F06188" w:rsidP="00A91BA2">
      <w:pPr>
        <w:rPr>
          <w:rFonts w:cs="Times New Roman"/>
          <w:color w:val="000000"/>
          <w:szCs w:val="24"/>
        </w:rPr>
      </w:pPr>
      <w:r>
        <w:rPr>
          <w:rFonts w:cs="Times New Roman"/>
          <w:color w:val="000000"/>
          <w:szCs w:val="24"/>
        </w:rPr>
        <w:tab/>
      </w:r>
      <w:r w:rsidR="0087347C">
        <w:rPr>
          <w:rFonts w:cs="Times New Roman"/>
          <w:color w:val="000000"/>
          <w:szCs w:val="24"/>
        </w:rPr>
        <w:t>38</w:t>
      </w:r>
      <w:r>
        <w:rPr>
          <w:rFonts w:cs="Times New Roman"/>
          <w:color w:val="000000"/>
          <w:szCs w:val="24"/>
        </w:rPr>
        <w:t>. The source of the misleading, incorrect, or false information in NETA</w:t>
      </w:r>
      <w:r w:rsidR="003A02FC">
        <w:rPr>
          <w:rFonts w:cs="Times New Roman"/>
          <w:color w:val="000000"/>
          <w:szCs w:val="24"/>
        </w:rPr>
        <w:t>’</w:t>
      </w:r>
      <w:r>
        <w:rPr>
          <w:rFonts w:cs="Times New Roman"/>
          <w:color w:val="000000"/>
          <w:szCs w:val="24"/>
        </w:rPr>
        <w:t>s report to DPH was Mr. Willis</w:t>
      </w:r>
      <w:r w:rsidR="00CE66C2">
        <w:rPr>
          <w:rFonts w:cs="Times New Roman"/>
          <w:color w:val="000000"/>
          <w:szCs w:val="24"/>
        </w:rPr>
        <w:t>’s email</w:t>
      </w:r>
      <w:r>
        <w:rPr>
          <w:rFonts w:cs="Times New Roman"/>
          <w:color w:val="000000"/>
          <w:szCs w:val="24"/>
        </w:rPr>
        <w:t xml:space="preserve">, the CORI report, or both. </w:t>
      </w:r>
    </w:p>
    <w:p w:rsidR="000973F0" w:rsidRDefault="000973F0" w:rsidP="000973F0">
      <w:pPr>
        <w:rPr>
          <w:szCs w:val="24"/>
        </w:rPr>
      </w:pPr>
      <w:r>
        <w:rPr>
          <w:rFonts w:cs="Times New Roman"/>
          <w:szCs w:val="24"/>
          <w:lang w:val="en"/>
        </w:rPr>
        <w:tab/>
      </w:r>
      <w:r w:rsidR="0087347C">
        <w:rPr>
          <w:rFonts w:cs="Times New Roman"/>
          <w:szCs w:val="24"/>
          <w:lang w:val="en"/>
        </w:rPr>
        <w:t>39</w:t>
      </w:r>
      <w:r>
        <w:rPr>
          <w:rFonts w:cs="Times New Roman"/>
          <w:szCs w:val="24"/>
          <w:lang w:val="en"/>
        </w:rPr>
        <w:t>. Had DPH known about Mr. Willis</w:t>
      </w:r>
      <w:r w:rsidR="003A02FC">
        <w:rPr>
          <w:rFonts w:cs="Times New Roman"/>
          <w:szCs w:val="24"/>
          <w:lang w:val="en"/>
        </w:rPr>
        <w:t>’</w:t>
      </w:r>
      <w:r>
        <w:rPr>
          <w:rFonts w:cs="Times New Roman"/>
          <w:szCs w:val="24"/>
          <w:lang w:val="en"/>
        </w:rPr>
        <w:t xml:space="preserve">s conviction for distributing marijuana, it would not have approved his registration. </w:t>
      </w:r>
      <w:r>
        <w:rPr>
          <w:szCs w:val="24"/>
        </w:rPr>
        <w:t>(</w:t>
      </w:r>
      <w:proofErr w:type="spellStart"/>
      <w:r>
        <w:rPr>
          <w:szCs w:val="24"/>
        </w:rPr>
        <w:t>Geoghegan</w:t>
      </w:r>
      <w:proofErr w:type="spellEnd"/>
      <w:r>
        <w:rPr>
          <w:szCs w:val="24"/>
        </w:rPr>
        <w:t xml:space="preserve"> testimony.)</w:t>
      </w:r>
    </w:p>
    <w:p w:rsidR="00E759E1" w:rsidRDefault="00B723D9" w:rsidP="00E7568A">
      <w:pPr>
        <w:rPr>
          <w:rFonts w:cs="Times New Roman"/>
          <w:szCs w:val="24"/>
          <w:lang w:val="en"/>
        </w:rPr>
      </w:pPr>
      <w:r>
        <w:rPr>
          <w:rFonts w:cs="Times New Roman"/>
          <w:szCs w:val="24"/>
          <w:lang w:val="en"/>
        </w:rPr>
        <w:tab/>
      </w:r>
      <w:r w:rsidR="0087347C">
        <w:rPr>
          <w:rFonts w:cs="Times New Roman"/>
          <w:szCs w:val="24"/>
          <w:lang w:val="en"/>
        </w:rPr>
        <w:t>40</w:t>
      </w:r>
      <w:r>
        <w:rPr>
          <w:rFonts w:cs="Times New Roman"/>
          <w:szCs w:val="24"/>
          <w:lang w:val="en"/>
        </w:rPr>
        <w:t>. In August 2015, Mr. Willis received registration as a dispensary agent, and NETA hired him as a cultivation team member. (Stipulation.)</w:t>
      </w:r>
    </w:p>
    <w:p w:rsidR="00D14BE8" w:rsidRDefault="00D14BE8" w:rsidP="00E7568A">
      <w:pPr>
        <w:rPr>
          <w:szCs w:val="24"/>
        </w:rPr>
      </w:pPr>
      <w:r>
        <w:rPr>
          <w:szCs w:val="24"/>
        </w:rPr>
        <w:tab/>
      </w:r>
      <w:r w:rsidR="0087347C">
        <w:rPr>
          <w:szCs w:val="24"/>
        </w:rPr>
        <w:t>41</w:t>
      </w:r>
      <w:r>
        <w:rPr>
          <w:szCs w:val="24"/>
        </w:rPr>
        <w:t>. On or about September 11, 2016, DPH audited back</w:t>
      </w:r>
      <w:r w:rsidR="00E97F68">
        <w:rPr>
          <w:szCs w:val="24"/>
        </w:rPr>
        <w:t xml:space="preserve">ground check documents </w:t>
      </w:r>
      <w:r>
        <w:rPr>
          <w:szCs w:val="24"/>
        </w:rPr>
        <w:t>at NETA</w:t>
      </w:r>
      <w:r w:rsidR="003A02FC">
        <w:rPr>
          <w:szCs w:val="24"/>
        </w:rPr>
        <w:t>’</w:t>
      </w:r>
      <w:r>
        <w:rPr>
          <w:szCs w:val="24"/>
        </w:rPr>
        <w:t>s facility in Franklin. (Stipulation.)</w:t>
      </w:r>
    </w:p>
    <w:p w:rsidR="00D14BE8" w:rsidRDefault="00D14BE8" w:rsidP="00B1308A">
      <w:pPr>
        <w:widowControl w:val="0"/>
        <w:rPr>
          <w:szCs w:val="24"/>
        </w:rPr>
      </w:pPr>
      <w:r>
        <w:rPr>
          <w:szCs w:val="24"/>
        </w:rPr>
        <w:lastRenderedPageBreak/>
        <w:tab/>
      </w:r>
      <w:r w:rsidR="0087347C">
        <w:rPr>
          <w:szCs w:val="24"/>
        </w:rPr>
        <w:t>42</w:t>
      </w:r>
      <w:r>
        <w:rPr>
          <w:szCs w:val="24"/>
        </w:rPr>
        <w:t>. DPH</w:t>
      </w:r>
      <w:r w:rsidR="003A02FC">
        <w:rPr>
          <w:szCs w:val="24"/>
        </w:rPr>
        <w:t>’</w:t>
      </w:r>
      <w:r>
        <w:rPr>
          <w:szCs w:val="24"/>
        </w:rPr>
        <w:t xml:space="preserve">s audit led to its </w:t>
      </w:r>
      <w:r w:rsidR="00CE66C2">
        <w:rPr>
          <w:szCs w:val="24"/>
        </w:rPr>
        <w:t>obtain</w:t>
      </w:r>
      <w:r>
        <w:rPr>
          <w:szCs w:val="24"/>
        </w:rPr>
        <w:t>ing the court docket for and police report involving Mr. Willis, which in turn led to its actions against him. (Stipulation.)</w:t>
      </w:r>
    </w:p>
    <w:p w:rsidR="0087347C" w:rsidRPr="006D4256" w:rsidRDefault="0087347C" w:rsidP="0087347C">
      <w:pPr>
        <w:widowControl w:val="0"/>
        <w:ind w:firstLine="720"/>
        <w:rPr>
          <w:szCs w:val="24"/>
        </w:rPr>
      </w:pPr>
      <w:r>
        <w:rPr>
          <w:szCs w:val="24"/>
        </w:rPr>
        <w:t xml:space="preserve">43. </w:t>
      </w:r>
      <w:r w:rsidRPr="006D4256">
        <w:rPr>
          <w:szCs w:val="24"/>
        </w:rPr>
        <w:t xml:space="preserve">On </w:t>
      </w:r>
      <w:r>
        <w:rPr>
          <w:szCs w:val="24"/>
        </w:rPr>
        <w:t>October 1, 2015,</w:t>
      </w:r>
      <w:r w:rsidRPr="006D4256">
        <w:rPr>
          <w:szCs w:val="24"/>
        </w:rPr>
        <w:t xml:space="preserve"> DPH summarily suspended Mr. Willis</w:t>
      </w:r>
      <w:r w:rsidR="003A02FC">
        <w:rPr>
          <w:szCs w:val="24"/>
        </w:rPr>
        <w:t>’</w:t>
      </w:r>
      <w:r w:rsidRPr="006D4256">
        <w:rPr>
          <w:szCs w:val="24"/>
        </w:rPr>
        <w:t>s registration as a medical marijuana dispensary agent and proposed to revoke his registration</w:t>
      </w:r>
      <w:r>
        <w:rPr>
          <w:szCs w:val="24"/>
        </w:rPr>
        <w:t>. (Ex. 1.)</w:t>
      </w:r>
    </w:p>
    <w:p w:rsidR="0087347C" w:rsidRPr="006D4256" w:rsidRDefault="0087347C" w:rsidP="0087347C">
      <w:pPr>
        <w:rPr>
          <w:szCs w:val="24"/>
        </w:rPr>
      </w:pPr>
      <w:r w:rsidRPr="006D4256">
        <w:rPr>
          <w:szCs w:val="24"/>
        </w:rPr>
        <w:tab/>
      </w:r>
      <w:r>
        <w:rPr>
          <w:szCs w:val="24"/>
        </w:rPr>
        <w:t xml:space="preserve">44. </w:t>
      </w:r>
      <w:r w:rsidRPr="006D4256">
        <w:rPr>
          <w:szCs w:val="24"/>
        </w:rPr>
        <w:t xml:space="preserve">On </w:t>
      </w:r>
      <w:r>
        <w:rPr>
          <w:szCs w:val="24"/>
        </w:rPr>
        <w:t>October 16, 2015</w:t>
      </w:r>
      <w:r w:rsidRPr="006D4256">
        <w:rPr>
          <w:szCs w:val="24"/>
        </w:rPr>
        <w:t>, Mr. Willis appealed.</w:t>
      </w:r>
      <w:r>
        <w:rPr>
          <w:szCs w:val="24"/>
        </w:rPr>
        <w:t xml:space="preserve"> (Ex. 3.)</w:t>
      </w:r>
    </w:p>
    <w:p w:rsidR="0056519D" w:rsidRPr="00524EA3" w:rsidRDefault="0056519D" w:rsidP="0087347C">
      <w:pPr>
        <w:widowControl w:val="0"/>
        <w:jc w:val="center"/>
        <w:rPr>
          <w:rFonts w:cs="Times New Roman"/>
          <w:szCs w:val="24"/>
        </w:rPr>
      </w:pPr>
      <w:r w:rsidRPr="006D4256">
        <w:rPr>
          <w:rFonts w:cs="Times New Roman"/>
          <w:b/>
          <w:szCs w:val="24"/>
        </w:rPr>
        <w:t>Discussion</w:t>
      </w:r>
      <w:r w:rsidR="00524EA3" w:rsidRPr="00B1308A">
        <w:rPr>
          <w:rStyle w:val="FootnoteReference"/>
          <w:rFonts w:cs="Times New Roman"/>
          <w:szCs w:val="24"/>
        </w:rPr>
        <w:footnoteReference w:id="30"/>
      </w:r>
    </w:p>
    <w:p w:rsidR="0013069E" w:rsidRDefault="00107FDE" w:rsidP="00B1308A">
      <w:pPr>
        <w:widowControl w:val="0"/>
        <w:ind w:firstLine="720"/>
        <w:rPr>
          <w:rFonts w:cs="Times New Roman"/>
          <w:szCs w:val="24"/>
        </w:rPr>
      </w:pPr>
      <w:r w:rsidRPr="004E3802">
        <w:rPr>
          <w:rFonts w:cs="Times New Roman"/>
          <w:szCs w:val="24"/>
        </w:rPr>
        <w:t xml:space="preserve">If cases exist explaining how to discern the will of the people in enacting legislation through </w:t>
      </w:r>
      <w:r w:rsidR="00086E57" w:rsidRPr="004E3802">
        <w:rPr>
          <w:rFonts w:cs="Times New Roman"/>
          <w:szCs w:val="24"/>
        </w:rPr>
        <w:t xml:space="preserve">initiatives and referenda, I have been unable to locate them. </w:t>
      </w:r>
      <w:r w:rsidR="0013069E" w:rsidRPr="004E3802">
        <w:rPr>
          <w:rFonts w:cs="Times New Roman"/>
          <w:szCs w:val="24"/>
        </w:rPr>
        <w:t xml:space="preserve">However, </w:t>
      </w:r>
      <w:r w:rsidR="00F17C5B">
        <w:rPr>
          <w:rFonts w:cs="Times New Roman"/>
          <w:szCs w:val="24"/>
        </w:rPr>
        <w:t>“</w:t>
      </w:r>
      <w:r w:rsidR="0013069E" w:rsidRPr="004E3802">
        <w:rPr>
          <w:rFonts w:cs="Times New Roman"/>
          <w:szCs w:val="24"/>
        </w:rPr>
        <w:t>[t]he primary source of legislative intent is the plain language of the statute.</w:t>
      </w:r>
      <w:r w:rsidR="00F17C5B">
        <w:rPr>
          <w:rFonts w:cs="Times New Roman"/>
          <w:szCs w:val="24"/>
        </w:rPr>
        <w:t>”</w:t>
      </w:r>
      <w:r w:rsidR="0013069E" w:rsidRPr="004E3802">
        <w:rPr>
          <w:rFonts w:cs="Times New Roman"/>
          <w:szCs w:val="24"/>
        </w:rPr>
        <w:t xml:space="preserve"> </w:t>
      </w:r>
      <w:r w:rsidR="00E716E2" w:rsidRPr="004E3802">
        <w:rPr>
          <w:rFonts w:cs="Times New Roman"/>
          <w:bCs/>
          <w:i/>
          <w:szCs w:val="24"/>
        </w:rPr>
        <w:t>Boston Retirement Board v. Contributory Retirement Appeal Board</w:t>
      </w:r>
      <w:r w:rsidR="00E716E2" w:rsidRPr="004E3802">
        <w:rPr>
          <w:rFonts w:cs="Times New Roman"/>
          <w:bCs/>
          <w:szCs w:val="24"/>
        </w:rPr>
        <w:t>, 441 Mass. 78, 81 (2004)</w:t>
      </w:r>
      <w:r w:rsidR="0013069E" w:rsidRPr="004E3802">
        <w:rPr>
          <w:rFonts w:cs="Times New Roman"/>
          <w:szCs w:val="24"/>
        </w:rPr>
        <w:t>(citation omitted).</w:t>
      </w:r>
      <w:r w:rsidR="00517C04" w:rsidRPr="004E3802">
        <w:rPr>
          <w:rFonts w:cs="Times New Roman"/>
          <w:szCs w:val="24"/>
        </w:rPr>
        <w:t xml:space="preserve"> Therefore, the primary source of the </w:t>
      </w:r>
      <w:r w:rsidR="004E3802" w:rsidRPr="004E3802">
        <w:rPr>
          <w:rFonts w:cs="Times New Roman"/>
          <w:szCs w:val="24"/>
        </w:rPr>
        <w:t xml:space="preserve">intent of the 1,914,747 </w:t>
      </w:r>
      <w:r w:rsidR="00517C04" w:rsidRPr="004E3802">
        <w:rPr>
          <w:rFonts w:cs="Times New Roman"/>
          <w:szCs w:val="24"/>
        </w:rPr>
        <w:t>voters who approved the medical marijuana statute</w:t>
      </w:r>
      <w:r w:rsidR="004E3802" w:rsidRPr="004E3802">
        <w:rPr>
          <w:rFonts w:cs="Times New Roman"/>
          <w:szCs w:val="24"/>
        </w:rPr>
        <w:t>, www.sec.state.ma.us/ele/elebalm/balmresults.html#year2012,</w:t>
      </w:r>
      <w:r w:rsidR="00517C04" w:rsidRPr="004E3802">
        <w:rPr>
          <w:rFonts w:cs="Times New Roman"/>
          <w:szCs w:val="24"/>
        </w:rPr>
        <w:t xml:space="preserve"> must also be the plain language of the statute.</w:t>
      </w:r>
    </w:p>
    <w:p w:rsidR="009669AE" w:rsidRPr="00F34B78" w:rsidRDefault="009669AE" w:rsidP="009669AE">
      <w:pPr>
        <w:widowControl w:val="0"/>
        <w:rPr>
          <w:rStyle w:val="hierarchydescription2"/>
          <w:rFonts w:cs="Times New Roman"/>
          <w:szCs w:val="24"/>
          <w:lang w:val="en"/>
        </w:rPr>
      </w:pPr>
      <w:r>
        <w:rPr>
          <w:rStyle w:val="hierarchydescription2"/>
          <w:rFonts w:cs="Times New Roman"/>
          <w:szCs w:val="24"/>
          <w:lang w:val="en"/>
          <w:specVanish w:val="0"/>
        </w:rPr>
        <w:tab/>
        <w:t xml:space="preserve">The </w:t>
      </w:r>
      <w:r w:rsidR="00F17C5B">
        <w:rPr>
          <w:rStyle w:val="hierarchydescription2"/>
          <w:rFonts w:cs="Times New Roman"/>
          <w:szCs w:val="24"/>
          <w:lang w:val="en"/>
          <w:specVanish w:val="0"/>
        </w:rPr>
        <w:t>“</w:t>
      </w:r>
      <w:r w:rsidR="00420D27">
        <w:rPr>
          <w:rStyle w:val="hierarchydescription2"/>
          <w:rFonts w:cs="Times New Roman"/>
          <w:szCs w:val="24"/>
          <w:lang w:val="en"/>
          <w:specVanish w:val="0"/>
        </w:rPr>
        <w:t>[</w:t>
      </w:r>
      <w:r>
        <w:rPr>
          <w:rStyle w:val="hierarchydescription2"/>
          <w:rFonts w:cs="Times New Roman"/>
          <w:szCs w:val="24"/>
          <w:lang w:val="en"/>
          <w:specVanish w:val="0"/>
        </w:rPr>
        <w:t>p</w:t>
      </w:r>
      <w:r w:rsidR="00420D27">
        <w:rPr>
          <w:rStyle w:val="hierarchydescription2"/>
          <w:rFonts w:cs="Times New Roman"/>
          <w:szCs w:val="24"/>
          <w:lang w:val="en"/>
          <w:specVanish w:val="0"/>
        </w:rPr>
        <w:t>]</w:t>
      </w:r>
      <w:proofErr w:type="spellStart"/>
      <w:r>
        <w:rPr>
          <w:rStyle w:val="hierarchydescription2"/>
          <w:rFonts w:cs="Times New Roman"/>
          <w:szCs w:val="24"/>
          <w:lang w:val="en"/>
          <w:specVanish w:val="0"/>
        </w:rPr>
        <w:t>urpose</w:t>
      </w:r>
      <w:proofErr w:type="spellEnd"/>
      <w:r>
        <w:rPr>
          <w:rStyle w:val="hierarchydescription2"/>
          <w:rFonts w:cs="Times New Roman"/>
          <w:szCs w:val="24"/>
          <w:lang w:val="en"/>
          <w:specVanish w:val="0"/>
        </w:rPr>
        <w:t xml:space="preserve"> and </w:t>
      </w:r>
      <w:r w:rsidR="00420D27">
        <w:rPr>
          <w:rStyle w:val="hierarchydescription2"/>
          <w:rFonts w:cs="Times New Roman"/>
          <w:szCs w:val="24"/>
          <w:lang w:val="en"/>
          <w:specVanish w:val="0"/>
        </w:rPr>
        <w:t>[</w:t>
      </w:r>
      <w:proofErr w:type="spellStart"/>
      <w:r>
        <w:rPr>
          <w:rStyle w:val="hierarchydescription2"/>
          <w:rFonts w:cs="Times New Roman"/>
          <w:szCs w:val="24"/>
          <w:lang w:val="en"/>
          <w:specVanish w:val="0"/>
        </w:rPr>
        <w:t>i</w:t>
      </w:r>
      <w:proofErr w:type="spellEnd"/>
      <w:r w:rsidR="00420D27">
        <w:rPr>
          <w:rStyle w:val="hierarchydescription2"/>
          <w:rFonts w:cs="Times New Roman"/>
          <w:szCs w:val="24"/>
          <w:lang w:val="en"/>
          <w:specVanish w:val="0"/>
        </w:rPr>
        <w:t>]</w:t>
      </w:r>
      <w:proofErr w:type="spellStart"/>
      <w:r>
        <w:rPr>
          <w:rStyle w:val="hierarchydescription2"/>
          <w:rFonts w:cs="Times New Roman"/>
          <w:szCs w:val="24"/>
          <w:lang w:val="en"/>
          <w:specVanish w:val="0"/>
        </w:rPr>
        <w:t>ntent</w:t>
      </w:r>
      <w:proofErr w:type="spellEnd"/>
      <w:r w:rsidR="00F17C5B">
        <w:rPr>
          <w:rStyle w:val="hierarchydescription2"/>
          <w:rFonts w:cs="Times New Roman"/>
          <w:szCs w:val="24"/>
          <w:lang w:val="en"/>
          <w:specVanish w:val="0"/>
        </w:rPr>
        <w:t>”</w:t>
      </w:r>
      <w:r>
        <w:rPr>
          <w:rStyle w:val="hierarchydescription2"/>
          <w:rFonts w:cs="Times New Roman"/>
          <w:szCs w:val="24"/>
          <w:lang w:val="en"/>
          <w:specVanish w:val="0"/>
        </w:rPr>
        <w:t xml:space="preserve"> of the medical marijuana statute was that</w:t>
      </w:r>
    </w:p>
    <w:p w:rsidR="009669AE" w:rsidRDefault="009669AE" w:rsidP="009669AE">
      <w:pPr>
        <w:widowControl w:val="0"/>
        <w:spacing w:line="240" w:lineRule="auto"/>
        <w:ind w:left="720" w:right="720"/>
        <w:rPr>
          <w:rFonts w:cs="Times New Roman"/>
          <w:szCs w:val="24"/>
          <w:lang w:val="en"/>
        </w:rPr>
      </w:pPr>
      <w:proofErr w:type="gramStart"/>
      <w:r w:rsidRPr="00F34B78">
        <w:rPr>
          <w:rFonts w:cs="Times New Roman"/>
          <w:szCs w:val="24"/>
          <w:lang w:val="en"/>
        </w:rPr>
        <w:t>there</w:t>
      </w:r>
      <w:proofErr w:type="gramEnd"/>
      <w:r w:rsidRPr="00F34B78">
        <w:rPr>
          <w:rFonts w:cs="Times New Roman"/>
          <w:szCs w:val="24"/>
          <w:lang w:val="en"/>
        </w:rPr>
        <w:t xml:space="preserve"> should be no punishment under state law for qualifying patients, physicians and health care professionals, personal caregivers for patients, or medical marijuana treatment center agents for the medical use of marijuana....</w:t>
      </w:r>
    </w:p>
    <w:p w:rsidR="009669AE" w:rsidRDefault="009669AE" w:rsidP="009669AE">
      <w:pPr>
        <w:widowControl w:val="0"/>
        <w:spacing w:line="240" w:lineRule="auto"/>
        <w:ind w:left="720" w:right="720"/>
        <w:rPr>
          <w:rFonts w:cs="Times New Roman"/>
          <w:szCs w:val="24"/>
          <w:lang w:val="en"/>
        </w:rPr>
      </w:pPr>
    </w:p>
    <w:p w:rsidR="009669AE" w:rsidRDefault="009669AE" w:rsidP="00FC71C3">
      <w:pPr>
        <w:widowControl w:val="0"/>
        <w:rPr>
          <w:rStyle w:val="hierarchydescription2"/>
          <w:rFonts w:cs="Times New Roman"/>
          <w:szCs w:val="24"/>
          <w:lang w:val="en"/>
        </w:rPr>
      </w:pPr>
      <w:r>
        <w:rPr>
          <w:rStyle w:val="hierarchydescription2"/>
          <w:rFonts w:cs="Times New Roman"/>
          <w:szCs w:val="24"/>
          <w:lang w:val="en"/>
          <w:specVanish w:val="0"/>
        </w:rPr>
        <w:t>St. 2012, c. 369, § 1.</w:t>
      </w:r>
      <w:r w:rsidR="00420D27">
        <w:rPr>
          <w:rStyle w:val="hierarchydescription2"/>
          <w:rFonts w:cs="Times New Roman"/>
          <w:szCs w:val="24"/>
          <w:lang w:val="en"/>
          <w:specVanish w:val="0"/>
        </w:rPr>
        <w:t xml:space="preserve"> Other language in the medical marijuana statute indirectly </w:t>
      </w:r>
      <w:r w:rsidR="00892DB7">
        <w:rPr>
          <w:rStyle w:val="hierarchydescription2"/>
          <w:rFonts w:cs="Times New Roman"/>
          <w:szCs w:val="24"/>
          <w:lang w:val="en"/>
          <w:specVanish w:val="0"/>
        </w:rPr>
        <w:t xml:space="preserve">and subtly </w:t>
      </w:r>
      <w:r w:rsidR="00420D27">
        <w:rPr>
          <w:rStyle w:val="hierarchydescription2"/>
          <w:rFonts w:cs="Times New Roman"/>
          <w:szCs w:val="24"/>
          <w:lang w:val="en"/>
          <w:specVanish w:val="0"/>
        </w:rPr>
        <w:t>reveals the will of</w:t>
      </w:r>
      <w:r w:rsidR="00892DB7">
        <w:rPr>
          <w:rStyle w:val="hierarchydescription2"/>
          <w:rFonts w:cs="Times New Roman"/>
          <w:szCs w:val="24"/>
          <w:lang w:val="en"/>
          <w:specVanish w:val="0"/>
        </w:rPr>
        <w:t xml:space="preserve"> the people. The statute does not explicitly assign responsibility to the Department of Public H</w:t>
      </w:r>
      <w:r w:rsidR="00AF02D5">
        <w:rPr>
          <w:rStyle w:val="hierarchydescription2"/>
          <w:rFonts w:cs="Times New Roman"/>
          <w:szCs w:val="24"/>
          <w:lang w:val="en"/>
          <w:specVanish w:val="0"/>
        </w:rPr>
        <w:t>ealth to enforce</w:t>
      </w:r>
      <w:r w:rsidR="003626AC">
        <w:rPr>
          <w:rStyle w:val="hierarchydescription2"/>
          <w:rFonts w:cs="Times New Roman"/>
          <w:szCs w:val="24"/>
          <w:lang w:val="en"/>
          <w:specVanish w:val="0"/>
        </w:rPr>
        <w:t xml:space="preserve"> it</w:t>
      </w:r>
      <w:r w:rsidR="00AF02D5">
        <w:rPr>
          <w:rStyle w:val="hierarchydescription2"/>
          <w:rFonts w:cs="Times New Roman"/>
          <w:szCs w:val="24"/>
          <w:lang w:val="en"/>
          <w:specVanish w:val="0"/>
        </w:rPr>
        <w:t>;</w:t>
      </w:r>
      <w:r w:rsidR="00DC4640">
        <w:rPr>
          <w:rStyle w:val="hierarchydescription2"/>
          <w:rFonts w:cs="Times New Roman"/>
          <w:szCs w:val="24"/>
          <w:lang w:val="en"/>
          <w:specVanish w:val="0"/>
        </w:rPr>
        <w:t xml:space="preserve"> </w:t>
      </w:r>
      <w:r w:rsidR="009D6645">
        <w:rPr>
          <w:rStyle w:val="hierarchydescription2"/>
          <w:rFonts w:cs="Times New Roman"/>
          <w:szCs w:val="24"/>
          <w:lang w:val="en"/>
          <w:specVanish w:val="0"/>
        </w:rPr>
        <w:t xml:space="preserve">however, </w:t>
      </w:r>
      <w:r w:rsidR="00DC4640">
        <w:rPr>
          <w:rStyle w:val="hierarchydescription2"/>
          <w:rFonts w:cs="Times New Roman"/>
          <w:szCs w:val="24"/>
          <w:lang w:val="en"/>
          <w:specVanish w:val="0"/>
        </w:rPr>
        <w:t>by assigning various functions to DPH, the statute</w:t>
      </w:r>
      <w:r w:rsidR="00AF02D5">
        <w:rPr>
          <w:rStyle w:val="hierarchydescription2"/>
          <w:rFonts w:cs="Times New Roman"/>
          <w:szCs w:val="24"/>
          <w:lang w:val="en"/>
          <w:specVanish w:val="0"/>
        </w:rPr>
        <w:t xml:space="preserve"> assumes that DPH will enforce it.</w:t>
      </w:r>
      <w:r w:rsidR="00CF6FA7">
        <w:rPr>
          <w:rStyle w:val="hierarchydescription2"/>
          <w:rFonts w:cs="Times New Roman"/>
          <w:szCs w:val="24"/>
          <w:lang w:val="en"/>
          <w:specVanish w:val="0"/>
        </w:rPr>
        <w:t xml:space="preserve"> And DPH is of course concerned with the public health. </w:t>
      </w:r>
      <w:r w:rsidR="00CF6FA7">
        <w:rPr>
          <w:rStyle w:val="hierarchydescription2"/>
          <w:rFonts w:cs="Times New Roman"/>
          <w:i/>
          <w:szCs w:val="24"/>
          <w:lang w:val="en"/>
          <w:specVanish w:val="0"/>
        </w:rPr>
        <w:t>See e.g.</w:t>
      </w:r>
      <w:r w:rsidR="00CF6FA7">
        <w:rPr>
          <w:rStyle w:val="hierarchydescription2"/>
          <w:rFonts w:cs="Times New Roman"/>
          <w:szCs w:val="24"/>
          <w:lang w:val="en"/>
          <w:specVanish w:val="0"/>
        </w:rPr>
        <w:t>, G.L. c. 17, § 4.</w:t>
      </w:r>
    </w:p>
    <w:p w:rsidR="00355F1B" w:rsidRDefault="00355F1B" w:rsidP="00FC71C3">
      <w:pPr>
        <w:widowControl w:val="0"/>
        <w:rPr>
          <w:rStyle w:val="hierarchydescription2"/>
          <w:rFonts w:cs="Times New Roman"/>
          <w:szCs w:val="24"/>
          <w:lang w:val="en"/>
        </w:rPr>
      </w:pPr>
      <w:r>
        <w:rPr>
          <w:rStyle w:val="hierarchydescription2"/>
          <w:rFonts w:cs="Times New Roman"/>
          <w:szCs w:val="24"/>
          <w:lang w:val="en"/>
          <w:specVanish w:val="0"/>
        </w:rPr>
        <w:lastRenderedPageBreak/>
        <w:tab/>
        <w:t xml:space="preserve">Therefore, by enacting the medical marijuana statute, the people intended, not only </w:t>
      </w:r>
      <w:r w:rsidR="003626AC">
        <w:rPr>
          <w:rStyle w:val="hierarchydescription2"/>
          <w:rFonts w:cs="Times New Roman"/>
          <w:szCs w:val="24"/>
          <w:lang w:val="en"/>
          <w:specVanish w:val="0"/>
        </w:rPr>
        <w:t xml:space="preserve">that the medical marijuana program </w:t>
      </w:r>
      <w:r>
        <w:rPr>
          <w:rStyle w:val="hierarchydescription2"/>
          <w:rFonts w:cs="Times New Roman"/>
          <w:szCs w:val="24"/>
          <w:lang w:val="en"/>
          <w:specVanish w:val="0"/>
        </w:rPr>
        <w:t xml:space="preserve">would entail </w:t>
      </w:r>
      <w:r w:rsidR="00F17C5B">
        <w:rPr>
          <w:rStyle w:val="hierarchydescription2"/>
          <w:rFonts w:cs="Times New Roman"/>
          <w:szCs w:val="24"/>
          <w:lang w:val="en"/>
          <w:specVanish w:val="0"/>
        </w:rPr>
        <w:t>“</w:t>
      </w:r>
      <w:r>
        <w:rPr>
          <w:rStyle w:val="hierarchydescription2"/>
          <w:rFonts w:cs="Times New Roman"/>
          <w:szCs w:val="24"/>
          <w:lang w:val="en"/>
          <w:specVanish w:val="0"/>
        </w:rPr>
        <w:t>no punishment under state law</w:t>
      </w:r>
      <w:r w:rsidR="00F17C5B">
        <w:rPr>
          <w:rStyle w:val="hierarchydescription2"/>
          <w:rFonts w:cs="Times New Roman"/>
          <w:szCs w:val="24"/>
          <w:lang w:val="en"/>
          <w:specVanish w:val="0"/>
        </w:rPr>
        <w:t>”</w:t>
      </w:r>
      <w:r>
        <w:rPr>
          <w:rStyle w:val="hierarchydescription2"/>
          <w:rFonts w:cs="Times New Roman"/>
          <w:szCs w:val="24"/>
          <w:lang w:val="en"/>
          <w:specVanish w:val="0"/>
        </w:rPr>
        <w:t xml:space="preserve"> for participants in </w:t>
      </w:r>
      <w:r w:rsidR="00A948C8">
        <w:rPr>
          <w:rStyle w:val="hierarchydescription2"/>
          <w:rFonts w:cs="Times New Roman"/>
          <w:szCs w:val="24"/>
          <w:lang w:val="en"/>
          <w:specVanish w:val="0"/>
        </w:rPr>
        <w:t xml:space="preserve">the medical marijuana program, </w:t>
      </w:r>
      <w:r w:rsidR="003735D2">
        <w:rPr>
          <w:rStyle w:val="hierarchydescription2"/>
          <w:rFonts w:cs="Times New Roman"/>
          <w:szCs w:val="24"/>
          <w:lang w:val="en"/>
          <w:specVanish w:val="0"/>
        </w:rPr>
        <w:t xml:space="preserve">St. 2012, c. 369, § 1, </w:t>
      </w:r>
      <w:r w:rsidR="00A948C8">
        <w:rPr>
          <w:rStyle w:val="hierarchydescription2"/>
          <w:rFonts w:cs="Times New Roman"/>
          <w:szCs w:val="24"/>
          <w:lang w:val="en"/>
          <w:specVanish w:val="0"/>
        </w:rPr>
        <w:t>but that the program be implemented in a way that protects the public health.</w:t>
      </w:r>
    </w:p>
    <w:p w:rsidR="00601957" w:rsidRDefault="005A047D" w:rsidP="00FC71C3">
      <w:pPr>
        <w:widowControl w:val="0"/>
        <w:rPr>
          <w:rStyle w:val="hierarchydescription2"/>
          <w:rFonts w:cs="Times New Roman"/>
          <w:szCs w:val="24"/>
          <w:lang w:val="en"/>
        </w:rPr>
      </w:pPr>
      <w:r>
        <w:rPr>
          <w:rStyle w:val="hierarchydescription2"/>
          <w:rFonts w:cs="Times New Roman"/>
          <w:szCs w:val="24"/>
          <w:lang w:val="en"/>
          <w:specVanish w:val="0"/>
        </w:rPr>
        <w:tab/>
        <w:t>The statute authorized DPH to issue</w:t>
      </w:r>
      <w:r w:rsidR="00424E53">
        <w:rPr>
          <w:rStyle w:val="hierarchydescription2"/>
          <w:rFonts w:cs="Times New Roman"/>
          <w:szCs w:val="24"/>
          <w:lang w:val="en"/>
          <w:specVanish w:val="0"/>
        </w:rPr>
        <w:t xml:space="preserve"> regulations in specific areas: 60-day supplies</w:t>
      </w:r>
      <w:r w:rsidR="00732123">
        <w:rPr>
          <w:rStyle w:val="hierarchydescription2"/>
          <w:rFonts w:cs="Times New Roman"/>
          <w:szCs w:val="24"/>
          <w:lang w:val="en"/>
          <w:specVanish w:val="0"/>
        </w:rPr>
        <w:t xml:space="preserve"> of marijuana for qualifying patients, St. 2012, c. 369, § </w:t>
      </w:r>
      <w:r w:rsidR="00AB4D53">
        <w:rPr>
          <w:rStyle w:val="hierarchydescription2"/>
          <w:rFonts w:cs="Times New Roman"/>
          <w:szCs w:val="24"/>
          <w:lang w:val="en"/>
          <w:specVanish w:val="0"/>
        </w:rPr>
        <w:t xml:space="preserve">8; </w:t>
      </w:r>
      <w:r w:rsidR="00424E53" w:rsidRPr="003E7DE1">
        <w:rPr>
          <w:rFonts w:cs="Times New Roman"/>
          <w:szCs w:val="24"/>
          <w:lang w:val="en"/>
        </w:rPr>
        <w:t xml:space="preserve">nonprofit medical marijuana treatment centers, </w:t>
      </w:r>
      <w:r w:rsidR="00322ECB">
        <w:rPr>
          <w:rFonts w:cs="Times New Roman"/>
          <w:szCs w:val="24"/>
          <w:lang w:val="en"/>
        </w:rPr>
        <w:t>and r</w:t>
      </w:r>
      <w:r w:rsidR="00424E53" w:rsidRPr="003E7DE1">
        <w:rPr>
          <w:rFonts w:cs="Times New Roman"/>
          <w:szCs w:val="24"/>
          <w:lang w:val="en"/>
        </w:rPr>
        <w:t>egistration of dispensary agents</w:t>
      </w:r>
      <w:r w:rsidR="00AB4D53" w:rsidRPr="003E7DE1">
        <w:rPr>
          <w:rStyle w:val="hierarchydescription2"/>
          <w:rFonts w:cs="Times New Roman"/>
          <w:szCs w:val="24"/>
          <w:lang w:val="en"/>
          <w:specVanish w:val="0"/>
        </w:rPr>
        <w:t>,</w:t>
      </w:r>
      <w:r w:rsidR="003E7DE1" w:rsidRPr="003E7DE1">
        <w:rPr>
          <w:rStyle w:val="hierarchydescription2"/>
          <w:rFonts w:cs="Times New Roman"/>
          <w:szCs w:val="24"/>
          <w:lang w:val="en"/>
          <w:specVanish w:val="0"/>
        </w:rPr>
        <w:t xml:space="preserve"> har</w:t>
      </w:r>
      <w:r w:rsidR="00322ECB">
        <w:rPr>
          <w:rStyle w:val="hierarchydescription2"/>
          <w:rFonts w:cs="Times New Roman"/>
          <w:szCs w:val="24"/>
          <w:lang w:val="en"/>
          <w:specVanish w:val="0"/>
        </w:rPr>
        <w:t>dsh</w:t>
      </w:r>
      <w:r w:rsidR="003E7DE1" w:rsidRPr="003E7DE1">
        <w:rPr>
          <w:rStyle w:val="hierarchydescription2"/>
          <w:rFonts w:cs="Times New Roman"/>
          <w:szCs w:val="24"/>
          <w:lang w:val="en"/>
          <w:specVanish w:val="0"/>
        </w:rPr>
        <w:t xml:space="preserve">ip cultivation, </w:t>
      </w:r>
      <w:r w:rsidR="00322ECB">
        <w:rPr>
          <w:rFonts w:cs="Times New Roman"/>
          <w:szCs w:val="24"/>
          <w:lang w:val="en"/>
        </w:rPr>
        <w:t xml:space="preserve">and </w:t>
      </w:r>
      <w:r w:rsidR="003E7DE1" w:rsidRPr="003E7DE1">
        <w:rPr>
          <w:rFonts w:cs="Times New Roman"/>
          <w:szCs w:val="24"/>
          <w:lang w:val="en"/>
        </w:rPr>
        <w:t>patients and caregivers.</w:t>
      </w:r>
      <w:r w:rsidR="00322ECB">
        <w:rPr>
          <w:rFonts w:cs="Times New Roman"/>
          <w:szCs w:val="24"/>
          <w:lang w:val="en"/>
        </w:rPr>
        <w:t xml:space="preserve"> </w:t>
      </w:r>
      <w:r w:rsidR="009143CE" w:rsidRPr="003E7DE1">
        <w:rPr>
          <w:rStyle w:val="hierarchydescription2"/>
          <w:rFonts w:cs="Times New Roman"/>
          <w:szCs w:val="24"/>
          <w:lang w:val="en"/>
          <w:specVanish w:val="0"/>
        </w:rPr>
        <w:t xml:space="preserve">St. 2012, c. </w:t>
      </w:r>
      <w:r w:rsidR="009143CE">
        <w:rPr>
          <w:rStyle w:val="hierarchydescription2"/>
          <w:rFonts w:cs="Times New Roman"/>
          <w:szCs w:val="24"/>
          <w:lang w:val="en"/>
          <w:specVanish w:val="0"/>
        </w:rPr>
        <w:t xml:space="preserve">369, </w:t>
      </w:r>
      <w:r w:rsidR="00AB4D53">
        <w:rPr>
          <w:rStyle w:val="hierarchydescription2"/>
          <w:rFonts w:cs="Times New Roman"/>
          <w:szCs w:val="24"/>
          <w:lang w:val="en"/>
          <w:specVanish w:val="0"/>
        </w:rPr>
        <w:t>§ 11</w:t>
      </w:r>
      <w:r w:rsidR="00731A5C">
        <w:rPr>
          <w:rStyle w:val="hierarchydescription2"/>
          <w:rFonts w:cs="Times New Roman"/>
          <w:szCs w:val="24"/>
          <w:lang w:val="en"/>
          <w:specVanish w:val="0"/>
        </w:rPr>
        <w:t xml:space="preserve">. This was not a case of </w:t>
      </w:r>
      <w:r w:rsidR="0085339E">
        <w:rPr>
          <w:rStyle w:val="hierarchydescription2"/>
          <w:rFonts w:cs="Times New Roman"/>
          <w:szCs w:val="24"/>
          <w:lang w:val="en"/>
          <w:specVanish w:val="0"/>
        </w:rPr>
        <w:t>“</w:t>
      </w:r>
      <w:proofErr w:type="spellStart"/>
      <w:r w:rsidR="0085339E" w:rsidRPr="00301935">
        <w:rPr>
          <w:rFonts w:eastAsia="Times New Roman"/>
          <w:i/>
        </w:rPr>
        <w:t>expressio</w:t>
      </w:r>
      <w:proofErr w:type="spellEnd"/>
      <w:r w:rsidR="0085339E" w:rsidRPr="00301935">
        <w:rPr>
          <w:rFonts w:eastAsia="Times New Roman"/>
          <w:i/>
        </w:rPr>
        <w:t xml:space="preserve"> </w:t>
      </w:r>
      <w:proofErr w:type="spellStart"/>
      <w:r w:rsidR="0085339E" w:rsidRPr="00301935">
        <w:rPr>
          <w:rFonts w:eastAsia="Times New Roman"/>
          <w:i/>
        </w:rPr>
        <w:t>unius</w:t>
      </w:r>
      <w:proofErr w:type="spellEnd"/>
      <w:r w:rsidR="0085339E" w:rsidRPr="00301935">
        <w:rPr>
          <w:rFonts w:eastAsia="Times New Roman"/>
          <w:i/>
        </w:rPr>
        <w:t xml:space="preserve"> </w:t>
      </w:r>
      <w:proofErr w:type="spellStart"/>
      <w:r w:rsidR="0085339E" w:rsidRPr="00301935">
        <w:rPr>
          <w:rFonts w:eastAsia="Times New Roman"/>
          <w:i/>
        </w:rPr>
        <w:t>est</w:t>
      </w:r>
      <w:proofErr w:type="spellEnd"/>
      <w:r w:rsidR="0085339E" w:rsidRPr="00301935">
        <w:rPr>
          <w:rFonts w:eastAsia="Times New Roman"/>
          <w:i/>
        </w:rPr>
        <w:t xml:space="preserve"> </w:t>
      </w:r>
      <w:proofErr w:type="spellStart"/>
      <w:r w:rsidR="0085339E" w:rsidRPr="00301935">
        <w:rPr>
          <w:rFonts w:eastAsia="Times New Roman"/>
          <w:i/>
        </w:rPr>
        <w:t>exclusio</w:t>
      </w:r>
      <w:proofErr w:type="spellEnd"/>
      <w:r w:rsidR="0085339E" w:rsidRPr="00301935">
        <w:rPr>
          <w:rFonts w:eastAsia="Times New Roman"/>
          <w:i/>
        </w:rPr>
        <w:t xml:space="preserve"> </w:t>
      </w:r>
      <w:proofErr w:type="spellStart"/>
      <w:r w:rsidR="0085339E" w:rsidRPr="00301935">
        <w:rPr>
          <w:rFonts w:eastAsia="Times New Roman"/>
          <w:i/>
        </w:rPr>
        <w:t>alterius</w:t>
      </w:r>
      <w:proofErr w:type="spellEnd"/>
      <w:r w:rsidR="0085339E" w:rsidRPr="007F0160">
        <w:rPr>
          <w:rFonts w:eastAsia="Times New Roman"/>
        </w:rPr>
        <w:t>, the expression of one thing is the exclusion of anothe</w:t>
      </w:r>
      <w:r w:rsidR="0085339E">
        <w:rPr>
          <w:rFonts w:eastAsia="Times New Roman"/>
        </w:rPr>
        <w:t xml:space="preserve">r,” </w:t>
      </w:r>
      <w:r w:rsidR="0085339E">
        <w:rPr>
          <w:rFonts w:eastAsia="Times New Roman"/>
          <w:i/>
        </w:rPr>
        <w:t>Aquino v. Civil Service Commissio</w:t>
      </w:r>
      <w:r w:rsidR="0085339E" w:rsidRPr="007F0160">
        <w:rPr>
          <w:rFonts w:eastAsia="Times New Roman"/>
          <w:i/>
        </w:rPr>
        <w:t>n</w:t>
      </w:r>
      <w:r w:rsidR="0085339E" w:rsidRPr="007F0160">
        <w:rPr>
          <w:rFonts w:eastAsia="Times New Roman"/>
        </w:rPr>
        <w:t>, 34 Mass. App. Ct. 538, 541 (1993)</w:t>
      </w:r>
      <w:r w:rsidR="0085339E">
        <w:rPr>
          <w:rFonts w:eastAsia="Times New Roman"/>
        </w:rPr>
        <w:t xml:space="preserve">(citations omitted) </w:t>
      </w:r>
      <w:r w:rsidR="00731A5C">
        <w:rPr>
          <w:rStyle w:val="hierarchydescription2"/>
          <w:rFonts w:cs="Times New Roman"/>
          <w:szCs w:val="24"/>
          <w:lang w:val="en"/>
          <w:specVanish w:val="0"/>
        </w:rPr>
        <w:t xml:space="preserve">– that the people intended to authorize DPH to issue regulations only in </w:t>
      </w:r>
      <w:r w:rsidR="00F4656F">
        <w:rPr>
          <w:rStyle w:val="hierarchydescription2"/>
          <w:rFonts w:cs="Times New Roman"/>
          <w:szCs w:val="24"/>
          <w:lang w:val="en"/>
          <w:specVanish w:val="0"/>
        </w:rPr>
        <w:t>specified</w:t>
      </w:r>
      <w:r w:rsidR="00256973">
        <w:rPr>
          <w:rStyle w:val="hierarchydescription2"/>
          <w:rFonts w:cs="Times New Roman"/>
          <w:szCs w:val="24"/>
          <w:lang w:val="en"/>
          <w:specVanish w:val="0"/>
        </w:rPr>
        <w:t xml:space="preserve"> </w:t>
      </w:r>
      <w:r w:rsidR="00731A5C">
        <w:rPr>
          <w:rStyle w:val="hierarchydescription2"/>
          <w:rFonts w:cs="Times New Roman"/>
          <w:szCs w:val="24"/>
          <w:lang w:val="en"/>
          <w:specVanish w:val="0"/>
        </w:rPr>
        <w:t>areas.</w:t>
      </w:r>
      <w:r w:rsidR="00FC7293">
        <w:rPr>
          <w:rStyle w:val="hierarchydescription2"/>
          <w:rFonts w:cs="Times New Roman"/>
          <w:szCs w:val="24"/>
          <w:lang w:val="en"/>
          <w:specVanish w:val="0"/>
        </w:rPr>
        <w:t xml:space="preserve"> </w:t>
      </w:r>
    </w:p>
    <w:p w:rsidR="000C74C3" w:rsidRDefault="00601957" w:rsidP="00FC71C3">
      <w:pPr>
        <w:widowControl w:val="0"/>
        <w:rPr>
          <w:rStyle w:val="hierarchydescription2"/>
          <w:rFonts w:cs="Times New Roman"/>
          <w:szCs w:val="24"/>
          <w:lang w:val="en"/>
        </w:rPr>
      </w:pPr>
      <w:r>
        <w:rPr>
          <w:rStyle w:val="hierarchydescription2"/>
          <w:rFonts w:cs="Times New Roman"/>
          <w:szCs w:val="24"/>
          <w:lang w:val="en"/>
          <w:specVanish w:val="0"/>
        </w:rPr>
        <w:tab/>
      </w:r>
      <w:r w:rsidR="00FC7293">
        <w:rPr>
          <w:rStyle w:val="hierarchydescription2"/>
          <w:rFonts w:cs="Times New Roman"/>
          <w:szCs w:val="24"/>
          <w:lang w:val="en"/>
          <w:specVanish w:val="0"/>
        </w:rPr>
        <w:t>The people</w:t>
      </w:r>
      <w:r w:rsidR="003A02FC">
        <w:rPr>
          <w:rStyle w:val="hierarchydescription2"/>
          <w:rFonts w:cs="Times New Roman"/>
          <w:szCs w:val="24"/>
          <w:lang w:val="en"/>
          <w:specVanish w:val="0"/>
        </w:rPr>
        <w:t>’</w:t>
      </w:r>
      <w:r w:rsidR="00FC7293">
        <w:rPr>
          <w:rStyle w:val="hierarchydescription2"/>
          <w:rFonts w:cs="Times New Roman"/>
          <w:szCs w:val="24"/>
          <w:lang w:val="en"/>
          <w:specVanish w:val="0"/>
        </w:rPr>
        <w:t xml:space="preserve">s intent to authorize DPH to issue detailed regulations </w:t>
      </w:r>
      <w:r w:rsidR="006F108A">
        <w:rPr>
          <w:rStyle w:val="hierarchydescription2"/>
          <w:rFonts w:cs="Times New Roman"/>
          <w:szCs w:val="24"/>
          <w:lang w:val="en"/>
          <w:specVanish w:val="0"/>
        </w:rPr>
        <w:t>implementing all aspects of the medical marijuana program can be discerned in three ways. One, the statute assigned DPH to implement the medical marijuana statute</w:t>
      </w:r>
      <w:r w:rsidR="0085339E">
        <w:rPr>
          <w:rStyle w:val="hierarchydescription2"/>
          <w:rFonts w:cs="Times New Roman"/>
          <w:szCs w:val="24"/>
          <w:lang w:val="en"/>
          <w:specVanish w:val="0"/>
        </w:rPr>
        <w:t>,</w:t>
      </w:r>
      <w:r w:rsidR="006F108A">
        <w:rPr>
          <w:rStyle w:val="hierarchydescription2"/>
          <w:rFonts w:cs="Times New Roman"/>
          <w:szCs w:val="24"/>
          <w:lang w:val="en"/>
          <w:specVanish w:val="0"/>
        </w:rPr>
        <w:t xml:space="preserve"> and implementation implies issuing regulations. </w:t>
      </w:r>
      <w:r w:rsidR="009D6645">
        <w:rPr>
          <w:rStyle w:val="hierarchydescription2"/>
          <w:rFonts w:cs="Times New Roman"/>
          <w:szCs w:val="24"/>
          <w:lang w:val="en"/>
          <w:specVanish w:val="0"/>
        </w:rPr>
        <w:t>(DPH</w:t>
      </w:r>
      <w:r w:rsidR="003A02FC">
        <w:rPr>
          <w:rStyle w:val="hierarchydescription2"/>
          <w:rFonts w:cs="Times New Roman"/>
          <w:szCs w:val="24"/>
          <w:lang w:val="en"/>
          <w:specVanish w:val="0"/>
        </w:rPr>
        <w:t>’</w:t>
      </w:r>
      <w:r w:rsidR="009D6645">
        <w:rPr>
          <w:rStyle w:val="hierarchydescription2"/>
          <w:rFonts w:cs="Times New Roman"/>
          <w:szCs w:val="24"/>
          <w:lang w:val="en"/>
          <w:specVanish w:val="0"/>
        </w:rPr>
        <w:t xml:space="preserve">s having </w:t>
      </w:r>
      <w:r w:rsidR="009D6645" w:rsidRPr="00A5195D">
        <w:rPr>
          <w:rStyle w:val="hierarchydescription2"/>
          <w:rFonts w:cs="Times New Roman"/>
          <w:i/>
          <w:szCs w:val="24"/>
          <w:lang w:val="en"/>
          <w:specVanish w:val="0"/>
        </w:rPr>
        <w:t>implici</w:t>
      </w:r>
      <w:r w:rsidR="009D6645">
        <w:rPr>
          <w:rStyle w:val="hierarchydescription2"/>
          <w:rFonts w:cs="Times New Roman"/>
          <w:szCs w:val="24"/>
          <w:lang w:val="en"/>
          <w:specVanish w:val="0"/>
        </w:rPr>
        <w:t xml:space="preserve">t </w:t>
      </w:r>
      <w:r w:rsidR="009D6645" w:rsidRPr="00B20643">
        <w:rPr>
          <w:rStyle w:val="hierarchydescription2"/>
          <w:rFonts w:cs="Times New Roman"/>
          <w:szCs w:val="24"/>
          <w:lang w:val="en"/>
          <w:specVanish w:val="0"/>
        </w:rPr>
        <w:t xml:space="preserve">authority to issue regulations is not the same thing as having </w:t>
      </w:r>
      <w:r w:rsidR="009D6645" w:rsidRPr="00A5195D">
        <w:rPr>
          <w:rStyle w:val="hierarchydescription2"/>
          <w:rFonts w:cs="Times New Roman"/>
          <w:i/>
          <w:szCs w:val="24"/>
          <w:lang w:val="en"/>
          <w:specVanish w:val="0"/>
        </w:rPr>
        <w:t>inherent</w:t>
      </w:r>
      <w:r w:rsidR="009D6645" w:rsidRPr="00B20643">
        <w:rPr>
          <w:rStyle w:val="hierarchydescription2"/>
          <w:rFonts w:cs="Times New Roman"/>
          <w:szCs w:val="24"/>
          <w:lang w:val="en"/>
          <w:specVanish w:val="0"/>
        </w:rPr>
        <w:t xml:space="preserve"> authority, which </w:t>
      </w:r>
      <w:r w:rsidR="00E97F68" w:rsidRPr="00B20643">
        <w:rPr>
          <w:rStyle w:val="hierarchydescription2"/>
          <w:rFonts w:cs="Times New Roman"/>
          <w:szCs w:val="24"/>
          <w:lang w:val="en"/>
          <w:specVanish w:val="0"/>
        </w:rPr>
        <w:t>DPH does not have</w:t>
      </w:r>
      <w:r w:rsidR="00B20643" w:rsidRPr="00B20643">
        <w:rPr>
          <w:rStyle w:val="hierarchydescription2"/>
          <w:rFonts w:cs="Times New Roman"/>
          <w:szCs w:val="24"/>
          <w:lang w:val="en"/>
          <w:specVanish w:val="0"/>
        </w:rPr>
        <w:t xml:space="preserve"> and no administrative body has. </w:t>
      </w:r>
      <w:proofErr w:type="spellStart"/>
      <w:r w:rsidR="00B20643" w:rsidRPr="00B20643">
        <w:rPr>
          <w:rFonts w:cs="Times New Roman"/>
          <w:bCs/>
          <w:i/>
          <w:szCs w:val="24"/>
        </w:rPr>
        <w:t>Telles</w:t>
      </w:r>
      <w:proofErr w:type="spellEnd"/>
      <w:r w:rsidR="00B20643" w:rsidRPr="00B20643">
        <w:rPr>
          <w:rFonts w:cs="Times New Roman"/>
          <w:bCs/>
          <w:i/>
          <w:szCs w:val="24"/>
        </w:rPr>
        <w:t xml:space="preserve"> v. Commissioner of Insurance</w:t>
      </w:r>
      <w:r w:rsidR="00B20643" w:rsidRPr="00B20643">
        <w:rPr>
          <w:rFonts w:cs="Times New Roman"/>
          <w:bCs/>
          <w:szCs w:val="24"/>
        </w:rPr>
        <w:t>, 410 Mass. 560, 565 (1991)</w:t>
      </w:r>
      <w:r w:rsidR="009D6645" w:rsidRPr="00B20643">
        <w:rPr>
          <w:rStyle w:val="hierarchydescription2"/>
          <w:rFonts w:cs="Times New Roman"/>
          <w:szCs w:val="24"/>
          <w:lang w:val="en"/>
          <w:specVanish w:val="0"/>
        </w:rPr>
        <w:t xml:space="preserve">.) </w:t>
      </w:r>
      <w:r w:rsidR="006F108A" w:rsidRPr="00B20643">
        <w:rPr>
          <w:rStyle w:val="hierarchydescription2"/>
          <w:rFonts w:cs="Times New Roman"/>
          <w:szCs w:val="24"/>
          <w:lang w:val="en"/>
          <w:specVanish w:val="0"/>
        </w:rPr>
        <w:t xml:space="preserve">Two, </w:t>
      </w:r>
      <w:r w:rsidR="00C93ADA" w:rsidRPr="00B20643">
        <w:rPr>
          <w:rStyle w:val="hierarchydescription2"/>
          <w:rFonts w:cs="Times New Roman"/>
          <w:szCs w:val="24"/>
          <w:lang w:val="en"/>
          <w:specVanish w:val="0"/>
        </w:rPr>
        <w:t xml:space="preserve">some language in the statute implied that DPH would issue regulations, and practically required it. For example, the </w:t>
      </w:r>
      <w:r w:rsidR="00C93ADA">
        <w:rPr>
          <w:rStyle w:val="hierarchydescription2"/>
          <w:rFonts w:cs="Times New Roman"/>
          <w:szCs w:val="24"/>
          <w:lang w:val="en"/>
          <w:specVanish w:val="0"/>
        </w:rPr>
        <w:t>statute reads in part:</w:t>
      </w:r>
    </w:p>
    <w:p w:rsidR="00C93ADA" w:rsidRDefault="00C93ADA" w:rsidP="00FC71C3">
      <w:pPr>
        <w:widowControl w:val="0"/>
        <w:spacing w:line="240" w:lineRule="auto"/>
        <w:ind w:left="720" w:right="720"/>
        <w:rPr>
          <w:rFonts w:cs="Times New Roman"/>
          <w:szCs w:val="24"/>
          <w:lang w:val="en"/>
        </w:rPr>
      </w:pPr>
      <w:r w:rsidRPr="00FC71C3">
        <w:rPr>
          <w:rFonts w:cs="Times New Roman"/>
          <w:szCs w:val="24"/>
          <w:lang w:val="en"/>
        </w:rPr>
        <w:t>Section 14. Penalties for Fraudulent Acts.</w:t>
      </w:r>
      <w:r w:rsidRPr="00FC71C3">
        <w:rPr>
          <w:rFonts w:cs="Times New Roman"/>
          <w:szCs w:val="24"/>
          <w:lang w:val="en"/>
        </w:rPr>
        <w:br/>
        <w:t>(A) The department, after a hearing, may revoke any registration card issued under this law for a</w:t>
      </w:r>
      <w:r w:rsidR="00FC71C3" w:rsidRPr="00FC71C3">
        <w:rPr>
          <w:rFonts w:cs="Times New Roman"/>
          <w:szCs w:val="24"/>
          <w:lang w:val="en"/>
        </w:rPr>
        <w:t xml:space="preserve"> willful violation of this law....</w:t>
      </w:r>
    </w:p>
    <w:p w:rsidR="00601957" w:rsidRPr="00FC71C3" w:rsidRDefault="00601957" w:rsidP="00FC71C3">
      <w:pPr>
        <w:widowControl w:val="0"/>
        <w:spacing w:line="240" w:lineRule="auto"/>
        <w:ind w:left="720" w:right="720"/>
        <w:rPr>
          <w:rStyle w:val="hierarchydescription2"/>
          <w:rFonts w:cs="Times New Roman"/>
          <w:szCs w:val="24"/>
          <w:lang w:val="en"/>
        </w:rPr>
      </w:pPr>
    </w:p>
    <w:p w:rsidR="000520A8" w:rsidRDefault="00601957" w:rsidP="00AF690B">
      <w:pPr>
        <w:widowControl w:val="0"/>
        <w:rPr>
          <w:rStyle w:val="hierarchydescription2"/>
          <w:rFonts w:cs="Times New Roman"/>
          <w:szCs w:val="24"/>
          <w:lang w:val="en"/>
        </w:rPr>
      </w:pPr>
      <w:r w:rsidRPr="003E7DE1">
        <w:rPr>
          <w:rStyle w:val="hierarchydescription2"/>
          <w:rFonts w:cs="Times New Roman"/>
          <w:szCs w:val="24"/>
          <w:lang w:val="en"/>
          <w:specVanish w:val="0"/>
        </w:rPr>
        <w:t xml:space="preserve">St. 2012, c. </w:t>
      </w:r>
      <w:r>
        <w:rPr>
          <w:rStyle w:val="hierarchydescription2"/>
          <w:rFonts w:cs="Times New Roman"/>
          <w:szCs w:val="24"/>
          <w:lang w:val="en"/>
          <w:specVanish w:val="0"/>
        </w:rPr>
        <w:t>369, § 14.</w:t>
      </w:r>
      <w:r w:rsidR="00DF63E6">
        <w:rPr>
          <w:rStyle w:val="hierarchydescription2"/>
          <w:rFonts w:cs="Times New Roman"/>
          <w:szCs w:val="24"/>
          <w:lang w:val="en"/>
          <w:specVanish w:val="0"/>
        </w:rPr>
        <w:t xml:space="preserve"> The absence of a definition of </w:t>
      </w:r>
      <w:r w:rsidR="00F17C5B">
        <w:rPr>
          <w:rStyle w:val="hierarchydescription2"/>
          <w:rFonts w:cs="Times New Roman"/>
          <w:szCs w:val="24"/>
          <w:lang w:val="en"/>
          <w:specVanish w:val="0"/>
        </w:rPr>
        <w:t>“</w:t>
      </w:r>
      <w:r w:rsidR="00DF63E6">
        <w:rPr>
          <w:rStyle w:val="hierarchydescription2"/>
          <w:rFonts w:cs="Times New Roman"/>
          <w:szCs w:val="24"/>
          <w:lang w:val="en"/>
          <w:specVanish w:val="0"/>
        </w:rPr>
        <w:t>[f]</w:t>
      </w:r>
      <w:proofErr w:type="spellStart"/>
      <w:r w:rsidR="00DF63E6">
        <w:rPr>
          <w:rStyle w:val="hierarchydescription2"/>
          <w:rFonts w:cs="Times New Roman"/>
          <w:szCs w:val="24"/>
          <w:lang w:val="en"/>
          <w:specVanish w:val="0"/>
        </w:rPr>
        <w:t>raudulent</w:t>
      </w:r>
      <w:proofErr w:type="spellEnd"/>
      <w:r w:rsidR="00DF63E6">
        <w:rPr>
          <w:rStyle w:val="hierarchydescription2"/>
          <w:rFonts w:cs="Times New Roman"/>
          <w:szCs w:val="24"/>
          <w:lang w:val="en"/>
          <w:specVanish w:val="0"/>
        </w:rPr>
        <w:t xml:space="preserve"> [a]</w:t>
      </w:r>
      <w:proofErr w:type="spellStart"/>
      <w:r w:rsidR="00DF63E6">
        <w:rPr>
          <w:rStyle w:val="hierarchydescription2"/>
          <w:rFonts w:cs="Times New Roman"/>
          <w:szCs w:val="24"/>
          <w:lang w:val="en"/>
          <w:specVanish w:val="0"/>
        </w:rPr>
        <w:t>cts</w:t>
      </w:r>
      <w:proofErr w:type="spellEnd"/>
      <w:r w:rsidR="00F17C5B">
        <w:rPr>
          <w:rStyle w:val="hierarchydescription2"/>
          <w:rFonts w:cs="Times New Roman"/>
          <w:szCs w:val="24"/>
          <w:lang w:val="en"/>
          <w:specVanish w:val="0"/>
        </w:rPr>
        <w:t>”</w:t>
      </w:r>
      <w:r w:rsidR="00DF63E6">
        <w:rPr>
          <w:rStyle w:val="hierarchydescription2"/>
          <w:rFonts w:cs="Times New Roman"/>
          <w:szCs w:val="24"/>
          <w:lang w:val="en"/>
          <w:specVanish w:val="0"/>
        </w:rPr>
        <w:t xml:space="preserve"> – the definition section contains no such definition, </w:t>
      </w:r>
      <w:r w:rsidR="00DF63E6" w:rsidRPr="003E7DE1">
        <w:rPr>
          <w:rStyle w:val="hierarchydescription2"/>
          <w:rFonts w:cs="Times New Roman"/>
          <w:szCs w:val="24"/>
          <w:lang w:val="en"/>
          <w:specVanish w:val="0"/>
        </w:rPr>
        <w:t xml:space="preserve">St. 2012, c. </w:t>
      </w:r>
      <w:r w:rsidR="00DF63E6">
        <w:rPr>
          <w:rStyle w:val="hierarchydescription2"/>
          <w:rFonts w:cs="Times New Roman"/>
          <w:szCs w:val="24"/>
          <w:lang w:val="en"/>
          <w:specVanish w:val="0"/>
        </w:rPr>
        <w:t xml:space="preserve">369, § 2 </w:t>
      </w:r>
      <w:r w:rsidR="008915AE">
        <w:rPr>
          <w:rStyle w:val="hierarchydescription2"/>
          <w:rFonts w:cs="Times New Roman"/>
          <w:szCs w:val="24"/>
          <w:lang w:val="en"/>
          <w:specVanish w:val="0"/>
        </w:rPr>
        <w:t>–</w:t>
      </w:r>
      <w:r w:rsidR="00B20643">
        <w:rPr>
          <w:rStyle w:val="hierarchydescription2"/>
          <w:rFonts w:cs="Times New Roman"/>
          <w:szCs w:val="24"/>
          <w:lang w:val="en"/>
          <w:specVanish w:val="0"/>
        </w:rPr>
        <w:t xml:space="preserve"> </w:t>
      </w:r>
      <w:r w:rsidR="0043513B">
        <w:rPr>
          <w:rStyle w:val="hierarchydescription2"/>
          <w:rFonts w:cs="Times New Roman"/>
          <w:szCs w:val="24"/>
          <w:lang w:val="en"/>
          <w:specVanish w:val="0"/>
        </w:rPr>
        <w:t>implicitly call</w:t>
      </w:r>
      <w:r w:rsidR="002E1CE2">
        <w:rPr>
          <w:rStyle w:val="hierarchydescription2"/>
          <w:rFonts w:cs="Times New Roman"/>
          <w:szCs w:val="24"/>
          <w:lang w:val="en"/>
          <w:specVanish w:val="0"/>
        </w:rPr>
        <w:t>ed on DPH to issue regulations.</w:t>
      </w:r>
      <w:r w:rsidR="0054311D">
        <w:rPr>
          <w:rStyle w:val="hierarchydescription2"/>
          <w:rFonts w:cs="Times New Roman"/>
          <w:szCs w:val="24"/>
          <w:lang w:val="en"/>
          <w:specVanish w:val="0"/>
        </w:rPr>
        <w:t xml:space="preserve"> </w:t>
      </w:r>
      <w:r w:rsidR="0054311D">
        <w:rPr>
          <w:rStyle w:val="hierarchydescription2"/>
          <w:rFonts w:cs="Times New Roman"/>
          <w:szCs w:val="24"/>
          <w:lang w:val="en"/>
          <w:specVanish w:val="0"/>
        </w:rPr>
        <w:lastRenderedPageBreak/>
        <w:t xml:space="preserve">And it did so. </w:t>
      </w:r>
      <w:r w:rsidR="0054311D" w:rsidRPr="0054311D">
        <w:rPr>
          <w:rStyle w:val="hierarchydescription2"/>
          <w:rFonts w:cs="Times New Roman"/>
          <w:i/>
          <w:szCs w:val="24"/>
          <w:lang w:val="en"/>
          <w:specVanish w:val="0"/>
        </w:rPr>
        <w:t>E.g.</w:t>
      </w:r>
      <w:r w:rsidR="0054311D">
        <w:rPr>
          <w:rStyle w:val="hierarchydescription2"/>
          <w:rFonts w:cs="Times New Roman"/>
          <w:szCs w:val="24"/>
          <w:lang w:val="en"/>
          <w:specVanish w:val="0"/>
        </w:rPr>
        <w:t>, 105 C</w:t>
      </w:r>
      <w:r w:rsidR="0054311D" w:rsidRPr="0054311D">
        <w:rPr>
          <w:rStyle w:val="hierarchydescription2"/>
          <w:rFonts w:cs="Times New Roman"/>
          <w:szCs w:val="24"/>
          <w:lang w:val="en"/>
          <w:specVanish w:val="0"/>
        </w:rPr>
        <w:t xml:space="preserve">MR </w:t>
      </w:r>
      <w:r w:rsidR="0054311D" w:rsidRPr="0054311D">
        <w:rPr>
          <w:color w:val="000000"/>
          <w:szCs w:val="24"/>
        </w:rPr>
        <w:t>725.425</w:t>
      </w:r>
      <w:r w:rsidR="0054311D">
        <w:rPr>
          <w:color w:val="000000"/>
          <w:szCs w:val="24"/>
        </w:rPr>
        <w:t>.</w:t>
      </w:r>
    </w:p>
    <w:p w:rsidR="00241F98" w:rsidRDefault="00241F98" w:rsidP="00AF690B">
      <w:pPr>
        <w:widowControl w:val="0"/>
        <w:rPr>
          <w:rFonts w:cs="Times New Roman"/>
          <w:szCs w:val="24"/>
        </w:rPr>
      </w:pPr>
      <w:r>
        <w:rPr>
          <w:rStyle w:val="hierarchydescription2"/>
          <w:rFonts w:cs="Times New Roman"/>
          <w:szCs w:val="24"/>
          <w:lang w:val="en"/>
          <w:specVanish w:val="0"/>
        </w:rPr>
        <w:tab/>
        <w:t xml:space="preserve">And three, the medical marijuana statute </w:t>
      </w:r>
      <w:r w:rsidR="00AF690B">
        <w:rPr>
          <w:rStyle w:val="hierarchydescription2"/>
          <w:rFonts w:cs="Times New Roman"/>
          <w:szCs w:val="24"/>
          <w:lang w:val="en"/>
          <w:specVanish w:val="0"/>
        </w:rPr>
        <w:t>consists of broad brush strokes. That too implies that DPH was going to fill in the gaps</w:t>
      </w:r>
      <w:r w:rsidR="00DB783B">
        <w:rPr>
          <w:rStyle w:val="hierarchydescription2"/>
          <w:rFonts w:cs="Times New Roman"/>
          <w:szCs w:val="24"/>
          <w:lang w:val="en"/>
          <w:specVanish w:val="0"/>
        </w:rPr>
        <w:t>, major and minor,</w:t>
      </w:r>
      <w:r w:rsidR="00B74F27">
        <w:rPr>
          <w:rStyle w:val="hierarchydescription2"/>
          <w:rFonts w:cs="Times New Roman"/>
          <w:szCs w:val="24"/>
          <w:lang w:val="en"/>
          <w:specVanish w:val="0"/>
        </w:rPr>
        <w:t xml:space="preserve"> with regulations. And it did so.</w:t>
      </w:r>
      <w:r w:rsidR="0033134D">
        <w:rPr>
          <w:rStyle w:val="hierarchydescription2"/>
          <w:rFonts w:cs="Times New Roman"/>
          <w:szCs w:val="24"/>
          <w:lang w:val="en"/>
          <w:specVanish w:val="0"/>
        </w:rPr>
        <w:t xml:space="preserve"> The s</w:t>
      </w:r>
      <w:proofErr w:type="spellStart"/>
      <w:r w:rsidR="0033134D">
        <w:rPr>
          <w:rFonts w:cs="Times New Roman"/>
          <w:szCs w:val="24"/>
        </w:rPr>
        <w:t>tatute</w:t>
      </w:r>
      <w:proofErr w:type="spellEnd"/>
      <w:r w:rsidR="0033134D">
        <w:rPr>
          <w:rFonts w:cs="Times New Roman"/>
          <w:szCs w:val="24"/>
        </w:rPr>
        <w:t xml:space="preserve"> is silent about sanitary conditions and security of marijuana dispensaries, but DPH has added extensive requirements about these and other operational issues for marijuana dispensaries. </w:t>
      </w:r>
      <w:r w:rsidR="0033134D" w:rsidRPr="00BF04B6">
        <w:rPr>
          <w:rFonts w:cs="Times New Roman"/>
          <w:i/>
          <w:szCs w:val="24"/>
        </w:rPr>
        <w:t>E.g.</w:t>
      </w:r>
      <w:r w:rsidR="0033134D">
        <w:rPr>
          <w:rFonts w:cs="Times New Roman"/>
          <w:szCs w:val="24"/>
        </w:rPr>
        <w:t>, 105 CMR 725.105 and 110 (</w:t>
      </w:r>
      <w:r w:rsidR="0033134D" w:rsidRPr="00363564">
        <w:rPr>
          <w:rFonts w:cs="Times New Roman"/>
          <w:i/>
          <w:szCs w:val="24"/>
        </w:rPr>
        <w:t>12 pages</w:t>
      </w:r>
      <w:r w:rsidR="0033134D">
        <w:rPr>
          <w:rFonts w:cs="Times New Roman"/>
          <w:szCs w:val="24"/>
        </w:rPr>
        <w:t xml:space="preserve"> of regulation).</w:t>
      </w:r>
    </w:p>
    <w:p w:rsidR="00854EB6" w:rsidRDefault="00854EB6" w:rsidP="00AF690B">
      <w:pPr>
        <w:widowControl w:val="0"/>
        <w:rPr>
          <w:rFonts w:cs="Times New Roman"/>
          <w:szCs w:val="24"/>
        </w:rPr>
      </w:pPr>
      <w:r>
        <w:rPr>
          <w:rFonts w:cs="Times New Roman"/>
          <w:szCs w:val="24"/>
        </w:rPr>
        <w:tab/>
        <w:t xml:space="preserve">As the Supreme Judicial Court has </w:t>
      </w:r>
      <w:r w:rsidR="00B1308A">
        <w:rPr>
          <w:rFonts w:cs="Times New Roman"/>
          <w:szCs w:val="24"/>
        </w:rPr>
        <w:t>rul</w:t>
      </w:r>
      <w:r>
        <w:rPr>
          <w:rFonts w:cs="Times New Roman"/>
          <w:szCs w:val="24"/>
        </w:rPr>
        <w:t>ed:</w:t>
      </w:r>
    </w:p>
    <w:p w:rsidR="00854EB6" w:rsidRDefault="00854EB6" w:rsidP="00E736DA">
      <w:pPr>
        <w:widowControl w:val="0"/>
        <w:spacing w:line="240" w:lineRule="auto"/>
        <w:ind w:left="720" w:right="720"/>
        <w:rPr>
          <w:rFonts w:cs="Times New Roman"/>
          <w:color w:val="222222"/>
          <w:szCs w:val="24"/>
        </w:rPr>
      </w:pPr>
      <w:r w:rsidRPr="0056571D">
        <w:rPr>
          <w:rFonts w:cs="Times New Roman"/>
          <w:color w:val="222222"/>
          <w:szCs w:val="24"/>
        </w:rPr>
        <w:t xml:space="preserve">Frequently, administrative agencies are charged, implicitly or explicitly, with the task of crafting regulations that are more detailed than statutes and tailored to more situations than the legislation specifies. [Citation omitted.] In examining the regulatory response to statutory silence or ambiguity, it is unimportant whether we would have come to the same interpretation of the statute as the agency. </w:t>
      </w:r>
      <w:r w:rsidR="0056571D" w:rsidRPr="0056571D">
        <w:rPr>
          <w:rFonts w:cs="Times New Roman"/>
          <w:color w:val="222222"/>
          <w:szCs w:val="24"/>
        </w:rPr>
        <w:t>[Citation omitted.]....</w:t>
      </w:r>
      <w:r w:rsidRPr="0056571D">
        <w:rPr>
          <w:rFonts w:cs="Times New Roman"/>
          <w:color w:val="222222"/>
          <w:szCs w:val="24"/>
        </w:rPr>
        <w:t xml:space="preserve">Statutory silence, like statutory ambiguity, often requires that an agency give clarity to an issue necessarily implicated by the statute but either not addressed by the Legislature or delegated to the superior expertise of agency administrators. </w:t>
      </w:r>
      <w:r w:rsidR="0056571D" w:rsidRPr="0056571D">
        <w:rPr>
          <w:rFonts w:cs="Times New Roman"/>
          <w:color w:val="222222"/>
          <w:szCs w:val="24"/>
        </w:rPr>
        <w:t xml:space="preserve">[Citation omitted.] </w:t>
      </w:r>
      <w:r w:rsidRPr="0056571D">
        <w:rPr>
          <w:rFonts w:cs="Times New Roman"/>
          <w:color w:val="222222"/>
          <w:szCs w:val="24"/>
        </w:rPr>
        <w:t>Our deference is especially appropriate where, as here, the statutes in question involve an explicit, broad grant of rule-making authority.</w:t>
      </w:r>
    </w:p>
    <w:p w:rsidR="00E736DA" w:rsidRDefault="00E736DA" w:rsidP="00E736DA">
      <w:pPr>
        <w:widowControl w:val="0"/>
        <w:spacing w:line="240" w:lineRule="auto"/>
        <w:ind w:left="720" w:right="720"/>
        <w:rPr>
          <w:rFonts w:cs="Times New Roman"/>
          <w:szCs w:val="24"/>
        </w:rPr>
      </w:pPr>
    </w:p>
    <w:p w:rsidR="00372880" w:rsidRDefault="0056571D" w:rsidP="00AF690B">
      <w:pPr>
        <w:widowControl w:val="0"/>
        <w:rPr>
          <w:rFonts w:cs="Times New Roman"/>
          <w:bCs/>
          <w:color w:val="222222"/>
          <w:szCs w:val="24"/>
        </w:rPr>
      </w:pPr>
      <w:r w:rsidRPr="0056571D">
        <w:rPr>
          <w:rFonts w:cs="Times New Roman"/>
          <w:bCs/>
          <w:i/>
          <w:color w:val="222222"/>
          <w:szCs w:val="24"/>
        </w:rPr>
        <w:t>Goldberg v. Board of Health of Granby</w:t>
      </w:r>
      <w:r w:rsidRPr="0056571D">
        <w:rPr>
          <w:rFonts w:cs="Times New Roman"/>
          <w:bCs/>
          <w:color w:val="222222"/>
          <w:szCs w:val="24"/>
        </w:rPr>
        <w:t>, 444 Mass. 627</w:t>
      </w:r>
      <w:r>
        <w:rPr>
          <w:rFonts w:cs="Times New Roman"/>
          <w:bCs/>
          <w:color w:val="222222"/>
          <w:szCs w:val="24"/>
        </w:rPr>
        <w:t xml:space="preserve">, </w:t>
      </w:r>
      <w:r w:rsidR="00E736DA">
        <w:rPr>
          <w:rFonts w:cs="Times New Roman"/>
          <w:bCs/>
          <w:color w:val="222222"/>
          <w:szCs w:val="24"/>
        </w:rPr>
        <w:t xml:space="preserve">633-34 </w:t>
      </w:r>
      <w:r>
        <w:rPr>
          <w:rFonts w:cs="Times New Roman"/>
          <w:bCs/>
          <w:color w:val="222222"/>
          <w:szCs w:val="24"/>
        </w:rPr>
        <w:t>(</w:t>
      </w:r>
      <w:r w:rsidRPr="0056571D">
        <w:rPr>
          <w:rFonts w:cs="Times New Roman"/>
          <w:bCs/>
          <w:color w:val="222222"/>
          <w:szCs w:val="24"/>
        </w:rPr>
        <w:t>2005</w:t>
      </w:r>
      <w:r>
        <w:rPr>
          <w:rFonts w:cs="Times New Roman"/>
          <w:bCs/>
          <w:color w:val="222222"/>
          <w:szCs w:val="24"/>
        </w:rPr>
        <w:t>).</w:t>
      </w:r>
      <w:r w:rsidR="00E736DA">
        <w:rPr>
          <w:rFonts w:cs="Times New Roman"/>
          <w:bCs/>
          <w:color w:val="222222"/>
          <w:szCs w:val="24"/>
        </w:rPr>
        <w:t xml:space="preserve"> The </w:t>
      </w:r>
      <w:r w:rsidR="00F17C5B">
        <w:rPr>
          <w:rFonts w:cs="Times New Roman"/>
          <w:bCs/>
          <w:color w:val="222222"/>
          <w:szCs w:val="24"/>
        </w:rPr>
        <w:t>“</w:t>
      </w:r>
      <w:r w:rsidR="00E736DA">
        <w:rPr>
          <w:rFonts w:cs="Times New Roman"/>
          <w:bCs/>
          <w:color w:val="222222"/>
          <w:szCs w:val="24"/>
        </w:rPr>
        <w:t>broad grant of rule-making authority,</w:t>
      </w:r>
      <w:r w:rsidR="00F17C5B">
        <w:rPr>
          <w:rFonts w:cs="Times New Roman"/>
          <w:bCs/>
          <w:color w:val="222222"/>
          <w:szCs w:val="24"/>
        </w:rPr>
        <w:t>”</w:t>
      </w:r>
      <w:r w:rsidR="00E736DA">
        <w:rPr>
          <w:rFonts w:cs="Times New Roman"/>
          <w:bCs/>
          <w:color w:val="222222"/>
          <w:szCs w:val="24"/>
        </w:rPr>
        <w:t xml:space="preserve"> </w:t>
      </w:r>
      <w:r w:rsidR="00E736DA" w:rsidRPr="00E736DA">
        <w:rPr>
          <w:rFonts w:cs="Times New Roman"/>
          <w:bCs/>
          <w:i/>
          <w:color w:val="222222"/>
          <w:szCs w:val="24"/>
        </w:rPr>
        <w:t>id.</w:t>
      </w:r>
      <w:r w:rsidR="00E736DA">
        <w:rPr>
          <w:rFonts w:cs="Times New Roman"/>
          <w:bCs/>
          <w:color w:val="222222"/>
          <w:szCs w:val="24"/>
        </w:rPr>
        <w:t xml:space="preserve"> at 634, is implicit here, </w:t>
      </w:r>
      <w:r w:rsidR="00A5195D">
        <w:rPr>
          <w:rFonts w:cs="Times New Roman"/>
          <w:bCs/>
          <w:color w:val="222222"/>
          <w:szCs w:val="24"/>
        </w:rPr>
        <w:t xml:space="preserve">whereas it was explicit in </w:t>
      </w:r>
      <w:r w:rsidR="00A5195D" w:rsidRPr="00A5195D">
        <w:rPr>
          <w:rFonts w:cs="Times New Roman"/>
          <w:bCs/>
          <w:i/>
          <w:color w:val="222222"/>
          <w:szCs w:val="24"/>
        </w:rPr>
        <w:t>Goldberg</w:t>
      </w:r>
      <w:r w:rsidR="00A5195D">
        <w:rPr>
          <w:rFonts w:cs="Times New Roman"/>
          <w:bCs/>
          <w:color w:val="222222"/>
          <w:szCs w:val="24"/>
        </w:rPr>
        <w:t xml:space="preserve">, </w:t>
      </w:r>
      <w:r w:rsidR="00E736DA" w:rsidRPr="00A5195D">
        <w:rPr>
          <w:rFonts w:cs="Times New Roman"/>
          <w:bCs/>
          <w:color w:val="222222"/>
          <w:szCs w:val="24"/>
        </w:rPr>
        <w:t>but</w:t>
      </w:r>
      <w:r w:rsidR="00E736DA">
        <w:rPr>
          <w:rFonts w:cs="Times New Roman"/>
          <w:bCs/>
          <w:color w:val="222222"/>
          <w:szCs w:val="24"/>
        </w:rPr>
        <w:t xml:space="preserve"> the point remains valid.</w:t>
      </w:r>
    </w:p>
    <w:p w:rsidR="00372880" w:rsidRDefault="00372880" w:rsidP="00372880">
      <w:pPr>
        <w:widowControl w:val="0"/>
        <w:spacing w:line="240" w:lineRule="auto"/>
        <w:ind w:left="720" w:right="720"/>
        <w:rPr>
          <w:rFonts w:cs="Times New Roman"/>
          <w:color w:val="222222"/>
          <w:szCs w:val="24"/>
        </w:rPr>
      </w:pPr>
      <w:r w:rsidRPr="00372880">
        <w:rPr>
          <w:rFonts w:cs="Times New Roman"/>
          <w:bCs/>
          <w:color w:val="222222"/>
          <w:szCs w:val="24"/>
        </w:rPr>
        <w:t>[T]</w:t>
      </w:r>
      <w:r w:rsidRPr="00372880">
        <w:rPr>
          <w:rFonts w:cs="Times New Roman"/>
          <w:color w:val="222222"/>
          <w:szCs w:val="24"/>
        </w:rPr>
        <w:t>the deference given to the board</w:t>
      </w:r>
      <w:r w:rsidR="003A02FC">
        <w:rPr>
          <w:rFonts w:cs="Times New Roman"/>
          <w:color w:val="222222"/>
          <w:szCs w:val="24"/>
        </w:rPr>
        <w:t>’</w:t>
      </w:r>
      <w:r w:rsidRPr="00372880">
        <w:rPr>
          <w:rFonts w:cs="Times New Roman"/>
          <w:color w:val="222222"/>
          <w:szCs w:val="24"/>
        </w:rPr>
        <w:t>s interpretation of its enabling statute is never greater than where, as here, the board must interpret a legislative policy which is only broadly set out in the governing statute.</w:t>
      </w:r>
    </w:p>
    <w:p w:rsidR="00372880" w:rsidRDefault="00372880" w:rsidP="00372880">
      <w:pPr>
        <w:widowControl w:val="0"/>
        <w:spacing w:line="240" w:lineRule="auto"/>
        <w:ind w:left="720" w:right="720"/>
        <w:rPr>
          <w:rFonts w:cs="Times New Roman"/>
          <w:color w:val="222222"/>
          <w:szCs w:val="24"/>
        </w:rPr>
      </w:pPr>
    </w:p>
    <w:p w:rsidR="001379EE" w:rsidRDefault="0047409F" w:rsidP="00372880">
      <w:pPr>
        <w:widowControl w:val="0"/>
        <w:rPr>
          <w:rFonts w:cs="Times New Roman"/>
          <w:bCs/>
          <w:szCs w:val="24"/>
        </w:rPr>
      </w:pPr>
      <w:r w:rsidRPr="0047409F">
        <w:rPr>
          <w:rFonts w:cs="Times New Roman"/>
          <w:bCs/>
          <w:i/>
          <w:szCs w:val="24"/>
        </w:rPr>
        <w:t>Worcester Sand and</w:t>
      </w:r>
      <w:r w:rsidR="00372880" w:rsidRPr="0047409F">
        <w:rPr>
          <w:rFonts w:cs="Times New Roman"/>
          <w:bCs/>
          <w:i/>
          <w:szCs w:val="24"/>
        </w:rPr>
        <w:t xml:space="preserve"> Gravel </w:t>
      </w:r>
      <w:r w:rsidRPr="0047409F">
        <w:rPr>
          <w:rFonts w:cs="Times New Roman"/>
          <w:bCs/>
          <w:i/>
          <w:szCs w:val="24"/>
        </w:rPr>
        <w:t>Co. v</w:t>
      </w:r>
      <w:r w:rsidR="00372880" w:rsidRPr="0047409F">
        <w:rPr>
          <w:rFonts w:cs="Times New Roman"/>
          <w:bCs/>
          <w:i/>
          <w:szCs w:val="24"/>
        </w:rPr>
        <w:t>. B</w:t>
      </w:r>
      <w:r w:rsidRPr="0047409F">
        <w:rPr>
          <w:rFonts w:cs="Times New Roman"/>
          <w:bCs/>
          <w:i/>
          <w:szCs w:val="24"/>
        </w:rPr>
        <w:t>oar</w:t>
      </w:r>
      <w:r w:rsidR="00372880" w:rsidRPr="0047409F">
        <w:rPr>
          <w:rFonts w:cs="Times New Roman"/>
          <w:bCs/>
          <w:i/>
          <w:szCs w:val="24"/>
        </w:rPr>
        <w:t>d</w:t>
      </w:r>
      <w:r w:rsidRPr="0047409F">
        <w:rPr>
          <w:rFonts w:cs="Times New Roman"/>
          <w:bCs/>
          <w:i/>
          <w:szCs w:val="24"/>
        </w:rPr>
        <w:t xml:space="preserve"> o</w:t>
      </w:r>
      <w:r w:rsidR="00372880" w:rsidRPr="0047409F">
        <w:rPr>
          <w:rFonts w:cs="Times New Roman"/>
          <w:bCs/>
          <w:i/>
          <w:szCs w:val="24"/>
        </w:rPr>
        <w:t>f Fire Prevention Reg</w:t>
      </w:r>
      <w:r w:rsidRPr="0047409F">
        <w:rPr>
          <w:rFonts w:cs="Times New Roman"/>
          <w:bCs/>
          <w:i/>
          <w:szCs w:val="24"/>
        </w:rPr>
        <w:t>ulations</w:t>
      </w:r>
      <w:r>
        <w:rPr>
          <w:rFonts w:cs="Times New Roman"/>
          <w:bCs/>
          <w:szCs w:val="24"/>
        </w:rPr>
        <w:t>,</w:t>
      </w:r>
      <w:r w:rsidR="001379EE">
        <w:rPr>
          <w:rFonts w:cs="Times New Roman"/>
          <w:bCs/>
          <w:szCs w:val="24"/>
        </w:rPr>
        <w:t xml:space="preserve"> 400 Mass. 464, 466 (1987)(citation omitted).</w:t>
      </w:r>
    </w:p>
    <w:p w:rsidR="007F56CC" w:rsidRDefault="00C05178" w:rsidP="009F60E5">
      <w:pPr>
        <w:rPr>
          <w:rFonts w:cs="Times New Roman"/>
          <w:szCs w:val="24"/>
        </w:rPr>
      </w:pPr>
      <w:r w:rsidRPr="00372880">
        <w:rPr>
          <w:rFonts w:cs="Times New Roman"/>
          <w:bCs/>
          <w:szCs w:val="24"/>
        </w:rPr>
        <w:tab/>
      </w:r>
      <w:r w:rsidR="006E7190" w:rsidRPr="00372880">
        <w:rPr>
          <w:rFonts w:cs="Times New Roman"/>
          <w:bCs/>
          <w:szCs w:val="24"/>
        </w:rPr>
        <w:t xml:space="preserve">In general, </w:t>
      </w:r>
      <w:r w:rsidR="00F17C5B">
        <w:rPr>
          <w:rFonts w:cs="Times New Roman"/>
          <w:szCs w:val="24"/>
        </w:rPr>
        <w:t>“</w:t>
      </w:r>
      <w:r w:rsidR="007F56CC" w:rsidRPr="00372880">
        <w:rPr>
          <w:rFonts w:cs="Times New Roman"/>
          <w:szCs w:val="24"/>
        </w:rPr>
        <w:t xml:space="preserve">a properly promulgated regulation has the force of law, [citation omitted,] and </w:t>
      </w:r>
      <w:r w:rsidR="007F56CC" w:rsidRPr="00C17200">
        <w:rPr>
          <w:rFonts w:cs="Times New Roman"/>
          <w:szCs w:val="24"/>
        </w:rPr>
        <w:t>must be accorded all the deference due to a statute.</w:t>
      </w:r>
      <w:r w:rsidR="00F17C5B">
        <w:rPr>
          <w:rFonts w:cs="Times New Roman"/>
          <w:szCs w:val="24"/>
        </w:rPr>
        <w:t>”</w:t>
      </w:r>
      <w:r w:rsidR="007F56CC" w:rsidRPr="00C17200">
        <w:rPr>
          <w:rFonts w:cs="Times New Roman"/>
          <w:szCs w:val="24"/>
        </w:rPr>
        <w:t xml:space="preserve"> </w:t>
      </w:r>
      <w:r w:rsidR="00207EFD" w:rsidRPr="00C17200">
        <w:rPr>
          <w:rFonts w:cs="Times New Roman"/>
          <w:bCs/>
          <w:i/>
          <w:szCs w:val="24"/>
        </w:rPr>
        <w:t>Borden, Inc. v. Commissioner of Public Health</w:t>
      </w:r>
      <w:r w:rsidR="00207EFD" w:rsidRPr="00C17200">
        <w:rPr>
          <w:rFonts w:cs="Times New Roman"/>
          <w:bCs/>
          <w:szCs w:val="24"/>
        </w:rPr>
        <w:t>, 388 Mass. 707, 723 (1983)</w:t>
      </w:r>
      <w:r w:rsidR="006E7190" w:rsidRPr="00C17200">
        <w:rPr>
          <w:rFonts w:cs="Times New Roman"/>
          <w:szCs w:val="24"/>
        </w:rPr>
        <w:t>(citation omitted)</w:t>
      </w:r>
      <w:r w:rsidR="007B2279">
        <w:rPr>
          <w:rFonts w:cs="Times New Roman"/>
          <w:szCs w:val="24"/>
        </w:rPr>
        <w:t xml:space="preserve">, </w:t>
      </w:r>
      <w:r w:rsidR="007B2279">
        <w:rPr>
          <w:rFonts w:cs="Times New Roman"/>
          <w:i/>
          <w:szCs w:val="24"/>
        </w:rPr>
        <w:t>cert. denied</w:t>
      </w:r>
      <w:r w:rsidR="007B2279">
        <w:rPr>
          <w:rFonts w:cs="Times New Roman"/>
          <w:szCs w:val="24"/>
        </w:rPr>
        <w:t>,</w:t>
      </w:r>
      <w:r w:rsidR="007B2279" w:rsidRPr="007B2279">
        <w:t xml:space="preserve"> </w:t>
      </w:r>
      <w:r w:rsidR="007B2279" w:rsidRPr="007B2279">
        <w:rPr>
          <w:rFonts w:eastAsia="Times New Roman" w:cs="Times New Roman"/>
          <w:szCs w:val="24"/>
        </w:rPr>
        <w:t>464 U.S. 936</w:t>
      </w:r>
      <w:r w:rsidR="007B2279">
        <w:rPr>
          <w:rFonts w:eastAsia="Times New Roman" w:cs="Times New Roman"/>
          <w:szCs w:val="24"/>
        </w:rPr>
        <w:t xml:space="preserve"> </w:t>
      </w:r>
      <w:r w:rsidR="007B2279" w:rsidRPr="007B2279">
        <w:rPr>
          <w:rFonts w:eastAsia="Times New Roman" w:cs="Times New Roman"/>
          <w:szCs w:val="24"/>
        </w:rPr>
        <w:t>(1983)</w:t>
      </w:r>
      <w:r w:rsidR="003E757A" w:rsidRPr="00C17200">
        <w:rPr>
          <w:rFonts w:cs="Times New Roman"/>
          <w:szCs w:val="24"/>
        </w:rPr>
        <w:t xml:space="preserve">. </w:t>
      </w:r>
      <w:r w:rsidR="00453629" w:rsidRPr="00C17200">
        <w:rPr>
          <w:rFonts w:cs="Times New Roman"/>
          <w:szCs w:val="24"/>
        </w:rPr>
        <w:t xml:space="preserve">A </w:t>
      </w:r>
      <w:r w:rsidR="00453629" w:rsidRPr="00C17200">
        <w:rPr>
          <w:rFonts w:cs="Times New Roman"/>
          <w:szCs w:val="24"/>
        </w:rPr>
        <w:lastRenderedPageBreak/>
        <w:t xml:space="preserve">person </w:t>
      </w:r>
      <w:r w:rsidR="00C17200" w:rsidRPr="00C17200">
        <w:rPr>
          <w:rFonts w:cs="Times New Roman"/>
          <w:szCs w:val="24"/>
        </w:rPr>
        <w:t>against whom a rule is enforced</w:t>
      </w:r>
      <w:r w:rsidR="00453629" w:rsidRPr="00C17200">
        <w:rPr>
          <w:rFonts w:cs="Times New Roman"/>
          <w:szCs w:val="24"/>
        </w:rPr>
        <w:t xml:space="preserve"> may try to prove </w:t>
      </w:r>
      <w:r w:rsidR="00F17C5B">
        <w:rPr>
          <w:rFonts w:cs="Times New Roman"/>
          <w:szCs w:val="24"/>
        </w:rPr>
        <w:t>“</w:t>
      </w:r>
      <w:r w:rsidR="003E757A" w:rsidRPr="00C17200">
        <w:rPr>
          <w:rFonts w:cs="Times New Roman"/>
          <w:szCs w:val="24"/>
        </w:rPr>
        <w:t xml:space="preserve">the absence of any conceivable ground upon </w:t>
      </w:r>
      <w:r w:rsidR="00480D2E">
        <w:rPr>
          <w:rFonts w:cs="Times New Roman"/>
          <w:szCs w:val="24"/>
        </w:rPr>
        <w:t>which [the rule] may be upheld.</w:t>
      </w:r>
      <w:r w:rsidR="00F17C5B">
        <w:rPr>
          <w:rFonts w:cs="Times New Roman"/>
          <w:szCs w:val="24"/>
        </w:rPr>
        <w:t>”</w:t>
      </w:r>
      <w:r w:rsidR="00453629" w:rsidRPr="00C17200">
        <w:rPr>
          <w:rFonts w:cs="Times New Roman"/>
          <w:szCs w:val="24"/>
        </w:rPr>
        <w:t xml:space="preserve"> </w:t>
      </w:r>
      <w:r w:rsidR="00480D2E">
        <w:rPr>
          <w:rFonts w:cs="Times New Roman"/>
          <w:i/>
          <w:szCs w:val="24"/>
        </w:rPr>
        <w:t>I</w:t>
      </w:r>
      <w:r w:rsidR="00453629" w:rsidRPr="00C17200">
        <w:rPr>
          <w:rFonts w:cs="Times New Roman"/>
          <w:i/>
          <w:szCs w:val="24"/>
        </w:rPr>
        <w:t>d.</w:t>
      </w:r>
      <w:r w:rsidR="00453629" w:rsidRPr="00C17200">
        <w:rPr>
          <w:rFonts w:cs="Times New Roman"/>
          <w:szCs w:val="24"/>
        </w:rPr>
        <w:t xml:space="preserve"> at 722 (citation</w:t>
      </w:r>
      <w:r w:rsidR="00480D2E">
        <w:rPr>
          <w:rFonts w:cs="Times New Roman"/>
          <w:szCs w:val="24"/>
        </w:rPr>
        <w:t xml:space="preserve"> and internal quotation marks</w:t>
      </w:r>
      <w:r w:rsidR="00453629" w:rsidRPr="00C17200">
        <w:rPr>
          <w:rFonts w:cs="Times New Roman"/>
          <w:szCs w:val="24"/>
        </w:rPr>
        <w:t xml:space="preserve"> omitted; bracket in the original)</w:t>
      </w:r>
      <w:r w:rsidR="00706E01" w:rsidRPr="00F421A6">
        <w:rPr>
          <w:rFonts w:cs="Times New Roman"/>
          <w:szCs w:val="24"/>
        </w:rPr>
        <w:t>. S</w:t>
      </w:r>
      <w:r w:rsidR="007C56F7" w:rsidRPr="00F421A6">
        <w:rPr>
          <w:rFonts w:cs="Times New Roman"/>
          <w:szCs w:val="24"/>
        </w:rPr>
        <w:t xml:space="preserve">ee also </w:t>
      </w:r>
      <w:r w:rsidR="00706E01">
        <w:rPr>
          <w:rFonts w:cs="Times New Roman"/>
          <w:i/>
          <w:szCs w:val="24"/>
        </w:rPr>
        <w:t>Garry</w:t>
      </w:r>
      <w:r w:rsidR="00F421A6">
        <w:rPr>
          <w:rFonts w:cs="Times New Roman"/>
          <w:i/>
          <w:szCs w:val="24"/>
        </w:rPr>
        <w:t xml:space="preserve"> v. Board of Public Accountancy</w:t>
      </w:r>
      <w:r w:rsidR="00F421A6">
        <w:rPr>
          <w:rFonts w:cs="Times New Roman"/>
          <w:szCs w:val="24"/>
        </w:rPr>
        <w:t xml:space="preserve">, 394 Mass. 118, 126 (1985) in light of </w:t>
      </w:r>
      <w:r w:rsidR="007C56F7" w:rsidRPr="00C17200">
        <w:rPr>
          <w:rFonts w:cs="Times New Roman"/>
          <w:szCs w:val="24"/>
        </w:rPr>
        <w:t xml:space="preserve">G.L. c. 30A, § </w:t>
      </w:r>
      <w:r w:rsidR="009D69D3" w:rsidRPr="00C17200">
        <w:rPr>
          <w:rFonts w:cs="Times New Roman"/>
          <w:szCs w:val="24"/>
        </w:rPr>
        <w:t>14(7)(b)</w:t>
      </w:r>
      <w:r w:rsidR="00480D2E">
        <w:rPr>
          <w:rFonts w:cs="Times New Roman"/>
          <w:szCs w:val="24"/>
        </w:rPr>
        <w:t xml:space="preserve">. However, </w:t>
      </w:r>
      <w:r w:rsidR="009D6645">
        <w:rPr>
          <w:rFonts w:cs="Times New Roman"/>
          <w:szCs w:val="24"/>
        </w:rPr>
        <w:t>I need not explore the</w:t>
      </w:r>
      <w:r w:rsidR="00C17200">
        <w:rPr>
          <w:rFonts w:cs="Times New Roman"/>
          <w:szCs w:val="24"/>
        </w:rPr>
        <w:t xml:space="preserve"> slight possibility</w:t>
      </w:r>
      <w:r w:rsidR="005F6100">
        <w:rPr>
          <w:rFonts w:cs="Times New Roman"/>
          <w:szCs w:val="24"/>
        </w:rPr>
        <w:t xml:space="preserve"> left open in </w:t>
      </w:r>
      <w:r w:rsidR="005F6100">
        <w:rPr>
          <w:rFonts w:cs="Times New Roman"/>
          <w:i/>
          <w:szCs w:val="24"/>
        </w:rPr>
        <w:t>Borden</w:t>
      </w:r>
      <w:r w:rsidR="00C17200">
        <w:rPr>
          <w:rFonts w:cs="Times New Roman"/>
          <w:szCs w:val="24"/>
        </w:rPr>
        <w:t xml:space="preserve"> because </w:t>
      </w:r>
      <w:r w:rsidR="000A500B">
        <w:rPr>
          <w:rFonts w:cs="Times New Roman"/>
          <w:szCs w:val="24"/>
        </w:rPr>
        <w:t>the medical marijuana statute authorized DPH to issue the regulations at issue in this appeal, and there is no allegation that DPH promulgated them improperly.</w:t>
      </w:r>
    </w:p>
    <w:p w:rsidR="007B2279" w:rsidRPr="007B2279" w:rsidRDefault="00F17C5B" w:rsidP="009F60E5">
      <w:pPr>
        <w:widowControl w:val="0"/>
        <w:rPr>
          <w:rFonts w:cs="Times New Roman"/>
          <w:szCs w:val="24"/>
        </w:rPr>
      </w:pPr>
      <w:r w:rsidRPr="00F17C5B">
        <w:rPr>
          <w:rFonts w:cs="Times New Roman"/>
          <w:szCs w:val="24"/>
        </w:rPr>
        <w:tab/>
        <w:t xml:space="preserve">Another related way to view the regulations as proper is that they are </w:t>
      </w:r>
      <w:r>
        <w:rPr>
          <w:rFonts w:cs="Times New Roman"/>
          <w:szCs w:val="24"/>
        </w:rPr>
        <w:t>“</w:t>
      </w:r>
      <w:r w:rsidRPr="00F17C5B">
        <w:rPr>
          <w:rFonts w:cs="Times New Roman"/>
          <w:color w:val="222222"/>
          <w:szCs w:val="24"/>
        </w:rPr>
        <w:t>rationally related to…statutory goals.</w:t>
      </w:r>
      <w:r>
        <w:rPr>
          <w:rFonts w:cs="Times New Roman"/>
          <w:color w:val="222222"/>
          <w:szCs w:val="24"/>
        </w:rPr>
        <w:t>”</w:t>
      </w:r>
      <w:r w:rsidRPr="00F17C5B">
        <w:rPr>
          <w:rFonts w:cs="Times New Roman"/>
          <w:color w:val="222222"/>
          <w:szCs w:val="24"/>
        </w:rPr>
        <w:t xml:space="preserve"> </w:t>
      </w:r>
      <w:r w:rsidRPr="00F17C5B">
        <w:rPr>
          <w:rFonts w:cs="Times New Roman"/>
          <w:bCs/>
          <w:i/>
          <w:color w:val="222222"/>
          <w:szCs w:val="24"/>
        </w:rPr>
        <w:t>American Family Life Assurance Co. v. Commissioner of Insurance</w:t>
      </w:r>
      <w:r w:rsidRPr="00F17C5B">
        <w:rPr>
          <w:rFonts w:cs="Times New Roman"/>
          <w:bCs/>
          <w:color w:val="222222"/>
          <w:szCs w:val="24"/>
        </w:rPr>
        <w:t>, 38</w:t>
      </w:r>
      <w:r w:rsidR="007B2279">
        <w:rPr>
          <w:rFonts w:cs="Times New Roman"/>
          <w:bCs/>
          <w:color w:val="222222"/>
          <w:szCs w:val="24"/>
        </w:rPr>
        <w:t xml:space="preserve">8 Mass. 468, 477 (twice) (1983), </w:t>
      </w:r>
      <w:r w:rsidR="007B2279">
        <w:rPr>
          <w:rFonts w:cs="Times New Roman"/>
          <w:bCs/>
          <w:i/>
          <w:color w:val="222222"/>
          <w:szCs w:val="24"/>
        </w:rPr>
        <w:t>cert. denied</w:t>
      </w:r>
      <w:r w:rsidR="007B2279">
        <w:rPr>
          <w:rFonts w:cs="Times New Roman"/>
          <w:bCs/>
          <w:color w:val="222222"/>
          <w:szCs w:val="24"/>
        </w:rPr>
        <w:t xml:space="preserve">, </w:t>
      </w:r>
      <w:r w:rsidR="007B2279" w:rsidRPr="007B2279">
        <w:rPr>
          <w:rFonts w:eastAsia="Times New Roman" w:cs="Times New Roman"/>
          <w:szCs w:val="24"/>
        </w:rPr>
        <w:t>464 U.S. 850 (1983)</w:t>
      </w:r>
      <w:r w:rsidR="007B2279">
        <w:rPr>
          <w:rFonts w:eastAsia="Times New Roman" w:cs="Times New Roman"/>
          <w:szCs w:val="24"/>
        </w:rPr>
        <w:t>.</w:t>
      </w:r>
    </w:p>
    <w:p w:rsidR="007F56CC" w:rsidRPr="00A12596" w:rsidRDefault="00212447" w:rsidP="00AF690B">
      <w:pPr>
        <w:widowControl w:val="0"/>
        <w:rPr>
          <w:rStyle w:val="hierarchydescription2"/>
          <w:rFonts w:cs="Times New Roman"/>
          <w:szCs w:val="24"/>
          <w:lang w:val="en"/>
        </w:rPr>
      </w:pPr>
      <w:r w:rsidRPr="006E1417">
        <w:rPr>
          <w:rFonts w:cs="Times New Roman"/>
          <w:bCs/>
          <w:szCs w:val="24"/>
        </w:rPr>
        <w:tab/>
        <w:t>As I</w:t>
      </w:r>
      <w:r w:rsidR="003A02FC">
        <w:rPr>
          <w:rFonts w:cs="Times New Roman"/>
          <w:bCs/>
          <w:szCs w:val="24"/>
        </w:rPr>
        <w:t>’</w:t>
      </w:r>
      <w:r w:rsidRPr="006E1417">
        <w:rPr>
          <w:rFonts w:cs="Times New Roman"/>
          <w:bCs/>
          <w:szCs w:val="24"/>
        </w:rPr>
        <w:t xml:space="preserve">ve </w:t>
      </w:r>
      <w:r w:rsidR="00E97F68">
        <w:rPr>
          <w:rFonts w:cs="Times New Roman"/>
          <w:bCs/>
          <w:szCs w:val="24"/>
        </w:rPr>
        <w:t>di</w:t>
      </w:r>
      <w:r w:rsidR="00A12596">
        <w:rPr>
          <w:rFonts w:cs="Times New Roman"/>
          <w:bCs/>
          <w:szCs w:val="24"/>
        </w:rPr>
        <w:t>scussed</w:t>
      </w:r>
      <w:r w:rsidRPr="006E1417">
        <w:rPr>
          <w:rFonts w:cs="Times New Roman"/>
          <w:bCs/>
          <w:szCs w:val="24"/>
        </w:rPr>
        <w:t xml:space="preserve">, sometimes </w:t>
      </w:r>
      <w:r w:rsidR="00A12596">
        <w:rPr>
          <w:rFonts w:cs="Times New Roman"/>
          <w:bCs/>
          <w:szCs w:val="24"/>
        </w:rPr>
        <w:t>“</w:t>
      </w:r>
      <w:r w:rsidR="00A12596" w:rsidRPr="007F0160">
        <w:rPr>
          <w:rFonts w:eastAsia="Times New Roman"/>
        </w:rPr>
        <w:t>the expression of one thing is the exclusion of anothe</w:t>
      </w:r>
      <w:r w:rsidR="00A12596">
        <w:rPr>
          <w:rFonts w:eastAsia="Times New Roman"/>
        </w:rPr>
        <w:t xml:space="preserve">r,” </w:t>
      </w:r>
      <w:r w:rsidR="00A12596">
        <w:rPr>
          <w:rFonts w:eastAsia="Times New Roman"/>
          <w:i/>
        </w:rPr>
        <w:t>Aquino</w:t>
      </w:r>
      <w:r w:rsidR="00A12596" w:rsidRPr="007F0160">
        <w:rPr>
          <w:rFonts w:eastAsia="Times New Roman"/>
        </w:rPr>
        <w:t xml:space="preserve">, 34 Mass. App. </w:t>
      </w:r>
      <w:r w:rsidR="00A12596">
        <w:rPr>
          <w:rFonts w:eastAsia="Times New Roman"/>
        </w:rPr>
        <w:t>at</w:t>
      </w:r>
      <w:r w:rsidR="00A12596" w:rsidRPr="007F0160">
        <w:rPr>
          <w:rFonts w:eastAsia="Times New Roman"/>
        </w:rPr>
        <w:t xml:space="preserve"> 541</w:t>
      </w:r>
      <w:r w:rsidR="00A12596">
        <w:rPr>
          <w:rFonts w:eastAsia="Times New Roman"/>
        </w:rPr>
        <w:t>.</w:t>
      </w:r>
      <w:r w:rsidRPr="006E1417">
        <w:rPr>
          <w:rFonts w:cs="Times New Roman"/>
          <w:bCs/>
          <w:szCs w:val="24"/>
        </w:rPr>
        <w:t xml:space="preserve"> </w:t>
      </w:r>
      <w:r w:rsidR="008644B5" w:rsidRPr="006E1417">
        <w:rPr>
          <w:rFonts w:cs="Times New Roman"/>
          <w:bCs/>
          <w:szCs w:val="24"/>
        </w:rPr>
        <w:t>One must do one</w:t>
      </w:r>
      <w:r w:rsidR="003A02FC">
        <w:rPr>
          <w:rFonts w:cs="Times New Roman"/>
          <w:bCs/>
          <w:szCs w:val="24"/>
        </w:rPr>
        <w:t>’</w:t>
      </w:r>
      <w:r w:rsidR="008644B5" w:rsidRPr="006E1417">
        <w:rPr>
          <w:rFonts w:cs="Times New Roman"/>
          <w:bCs/>
          <w:szCs w:val="24"/>
        </w:rPr>
        <w:t xml:space="preserve">s best in deciding whether that is so in a particular circumstance. My sense is that the medical marijuana statute consists of broad brush strokes, </w:t>
      </w:r>
      <w:r w:rsidR="00E97F68">
        <w:rPr>
          <w:rFonts w:cs="Times New Roman"/>
          <w:bCs/>
          <w:szCs w:val="24"/>
        </w:rPr>
        <w:t>as I</w:t>
      </w:r>
      <w:r w:rsidR="003A02FC">
        <w:rPr>
          <w:rFonts w:cs="Times New Roman"/>
          <w:bCs/>
          <w:szCs w:val="24"/>
        </w:rPr>
        <w:t>’</w:t>
      </w:r>
      <w:r w:rsidR="00E97F68">
        <w:rPr>
          <w:rFonts w:cs="Times New Roman"/>
          <w:bCs/>
          <w:szCs w:val="24"/>
        </w:rPr>
        <w:t xml:space="preserve">ve said, </w:t>
      </w:r>
      <w:r w:rsidR="00E84648" w:rsidRPr="006E1417">
        <w:rPr>
          <w:rFonts w:cs="Times New Roman"/>
          <w:bCs/>
          <w:szCs w:val="24"/>
        </w:rPr>
        <w:t xml:space="preserve">and that the disqualification of a </w:t>
      </w:r>
      <w:r w:rsidR="00B25077" w:rsidRPr="006E1417">
        <w:rPr>
          <w:rFonts w:cs="Times New Roman"/>
          <w:bCs/>
          <w:szCs w:val="24"/>
        </w:rPr>
        <w:t xml:space="preserve">person </w:t>
      </w:r>
      <w:r w:rsidR="00F17C5B">
        <w:rPr>
          <w:rFonts w:cs="Times New Roman"/>
          <w:bCs/>
          <w:szCs w:val="24"/>
        </w:rPr>
        <w:t>“</w:t>
      </w:r>
      <w:r w:rsidR="00B25077" w:rsidRPr="006E1417">
        <w:rPr>
          <w:rFonts w:cs="Times New Roman"/>
          <w:szCs w:val="24"/>
          <w:lang w:val="en"/>
        </w:rPr>
        <w:t>who has been convicted of a felony drug offense</w:t>
      </w:r>
      <w:r w:rsidR="00F17C5B">
        <w:rPr>
          <w:rFonts w:cs="Times New Roman"/>
          <w:szCs w:val="24"/>
          <w:lang w:val="en"/>
        </w:rPr>
        <w:t>”</w:t>
      </w:r>
      <w:r w:rsidR="00B25077" w:rsidRPr="006E1417">
        <w:rPr>
          <w:rFonts w:cs="Times New Roman"/>
          <w:szCs w:val="24"/>
          <w:lang w:val="en"/>
        </w:rPr>
        <w:t xml:space="preserve"> from being a </w:t>
      </w:r>
      <w:r w:rsidR="00B25077" w:rsidRPr="006E1417">
        <w:rPr>
          <w:rFonts w:cs="Times New Roman"/>
          <w:bCs/>
          <w:szCs w:val="24"/>
        </w:rPr>
        <w:t xml:space="preserve">dispensary agent, </w:t>
      </w:r>
      <w:r w:rsidR="00B25077" w:rsidRPr="006E1417">
        <w:rPr>
          <w:rStyle w:val="hierarchydescription2"/>
          <w:rFonts w:cs="Times New Roman"/>
          <w:szCs w:val="24"/>
          <w:lang w:val="en"/>
          <w:specVanish w:val="0"/>
        </w:rPr>
        <w:t>St. 2012, c. 369, §</w:t>
      </w:r>
      <w:r w:rsidR="006E1417">
        <w:rPr>
          <w:rStyle w:val="hierarchydescription2"/>
          <w:rFonts w:cs="Times New Roman"/>
          <w:szCs w:val="24"/>
          <w:lang w:val="en"/>
          <w:specVanish w:val="0"/>
        </w:rPr>
        <w:t xml:space="preserve"> 12(D), is a floor, not a ceiling. </w:t>
      </w:r>
      <w:r w:rsidR="00A1560E">
        <w:rPr>
          <w:rStyle w:val="hierarchydescription2"/>
          <w:rFonts w:cs="Times New Roman"/>
          <w:szCs w:val="24"/>
          <w:lang w:val="en"/>
          <w:specVanish w:val="0"/>
        </w:rPr>
        <w:t>I surmise, and that</w:t>
      </w:r>
      <w:r w:rsidR="003A02FC">
        <w:rPr>
          <w:rStyle w:val="hierarchydescription2"/>
          <w:rFonts w:cs="Times New Roman"/>
          <w:szCs w:val="24"/>
          <w:lang w:val="en"/>
          <w:specVanish w:val="0"/>
        </w:rPr>
        <w:t>’</w:t>
      </w:r>
      <w:r w:rsidR="00A1560E">
        <w:rPr>
          <w:rStyle w:val="hierarchydescription2"/>
          <w:rFonts w:cs="Times New Roman"/>
          <w:szCs w:val="24"/>
          <w:lang w:val="en"/>
          <w:specVanish w:val="0"/>
        </w:rPr>
        <w:t>s the best I can do, that th</w:t>
      </w:r>
      <w:r w:rsidR="006E1417">
        <w:rPr>
          <w:rStyle w:val="hierarchydescription2"/>
          <w:rFonts w:cs="Times New Roman"/>
          <w:szCs w:val="24"/>
          <w:lang w:val="en"/>
          <w:specVanish w:val="0"/>
        </w:rPr>
        <w:t>e people of Massachuse</w:t>
      </w:r>
      <w:r w:rsidR="00A1560E">
        <w:rPr>
          <w:rStyle w:val="hierarchydescription2"/>
          <w:rFonts w:cs="Times New Roman"/>
          <w:szCs w:val="24"/>
          <w:lang w:val="en"/>
          <w:specVanish w:val="0"/>
        </w:rPr>
        <w:t xml:space="preserve">tts did not intend a felony </w:t>
      </w:r>
      <w:r w:rsidR="00196A48">
        <w:rPr>
          <w:rStyle w:val="hierarchydescription2"/>
          <w:rFonts w:cs="Times New Roman"/>
          <w:szCs w:val="24"/>
          <w:lang w:val="en"/>
          <w:specVanish w:val="0"/>
        </w:rPr>
        <w:t xml:space="preserve">conviction for a </w:t>
      </w:r>
      <w:r w:rsidR="00A1560E">
        <w:rPr>
          <w:rStyle w:val="hierarchydescription2"/>
          <w:rFonts w:cs="Times New Roman"/>
          <w:szCs w:val="24"/>
          <w:lang w:val="en"/>
          <w:specVanish w:val="0"/>
        </w:rPr>
        <w:t xml:space="preserve">drug offense to be </w:t>
      </w:r>
      <w:r w:rsidR="00A1560E" w:rsidRPr="00A12596">
        <w:rPr>
          <w:rStyle w:val="hierarchydescription2"/>
          <w:rFonts w:cs="Times New Roman"/>
          <w:szCs w:val="24"/>
          <w:lang w:val="en"/>
          <w:specVanish w:val="0"/>
        </w:rPr>
        <w:t xml:space="preserve">the only </w:t>
      </w:r>
      <w:r w:rsidR="00196A48" w:rsidRPr="00A12596">
        <w:rPr>
          <w:rStyle w:val="hierarchydescription2"/>
          <w:rFonts w:cs="Times New Roman"/>
          <w:szCs w:val="24"/>
          <w:lang w:val="en"/>
          <w:specVanish w:val="0"/>
        </w:rPr>
        <w:t>disqualifying factor for a dispensary agent.</w:t>
      </w:r>
    </w:p>
    <w:p w:rsidR="00A12596" w:rsidRDefault="00A12596" w:rsidP="00A12596">
      <w:pPr>
        <w:widowControl w:val="0"/>
        <w:spacing w:line="240" w:lineRule="auto"/>
        <w:ind w:left="720" w:right="720"/>
        <w:rPr>
          <w:rFonts w:cs="Times New Roman"/>
          <w:szCs w:val="24"/>
        </w:rPr>
      </w:pPr>
      <w:r w:rsidRPr="00A12596">
        <w:rPr>
          <w:rFonts w:cs="Times New Roman"/>
          <w:szCs w:val="24"/>
        </w:rPr>
        <w:t>[A] regulation...need not necessarily find support in a particular section of [the enabling statute]; it is enough if it carries out the scheme or design of the chapter and is thus consistent with it.</w:t>
      </w:r>
    </w:p>
    <w:p w:rsidR="00A12596" w:rsidRPr="00A12596" w:rsidRDefault="00A12596" w:rsidP="00A12596">
      <w:pPr>
        <w:widowControl w:val="0"/>
        <w:spacing w:line="240" w:lineRule="auto"/>
        <w:ind w:left="720" w:right="720"/>
        <w:rPr>
          <w:rFonts w:cs="Times New Roman"/>
          <w:szCs w:val="24"/>
        </w:rPr>
      </w:pPr>
    </w:p>
    <w:p w:rsidR="00A12596" w:rsidRPr="00A12596" w:rsidRDefault="00A12596" w:rsidP="00A12596">
      <w:pPr>
        <w:widowControl w:val="0"/>
        <w:rPr>
          <w:rStyle w:val="hierarchydescription2"/>
          <w:rFonts w:cs="Times New Roman"/>
          <w:szCs w:val="24"/>
          <w:lang w:val="en"/>
        </w:rPr>
      </w:pPr>
      <w:r w:rsidRPr="00A12596">
        <w:rPr>
          <w:rFonts w:cs="Times New Roman"/>
          <w:bCs/>
          <w:i/>
          <w:color w:val="222222"/>
          <w:szCs w:val="24"/>
        </w:rPr>
        <w:t>Entergy Nuclear Generation Company v. Department of Environmental Protection</w:t>
      </w:r>
      <w:r w:rsidRPr="00A12596">
        <w:rPr>
          <w:rFonts w:cs="Times New Roman"/>
          <w:bCs/>
          <w:color w:val="222222"/>
          <w:szCs w:val="24"/>
        </w:rPr>
        <w:t>, 459 Mass. 319, 331</w:t>
      </w:r>
      <w:r w:rsidR="009D6645">
        <w:rPr>
          <w:rFonts w:cs="Times New Roman"/>
          <w:bCs/>
          <w:color w:val="222222"/>
          <w:szCs w:val="24"/>
        </w:rPr>
        <w:t xml:space="preserve"> (2011)</w:t>
      </w:r>
      <w:r w:rsidRPr="00A12596">
        <w:rPr>
          <w:rFonts w:cs="Times New Roman"/>
          <w:szCs w:val="24"/>
        </w:rPr>
        <w:t>(citation and quotation marks omitted; brackets in the original). A</w:t>
      </w:r>
      <w:r>
        <w:rPr>
          <w:rFonts w:cs="Times New Roman"/>
          <w:szCs w:val="24"/>
        </w:rPr>
        <w:t>n</w:t>
      </w:r>
      <w:r w:rsidRPr="00A12596">
        <w:rPr>
          <w:rFonts w:cs="Times New Roman"/>
          <w:szCs w:val="24"/>
        </w:rPr>
        <w:t xml:space="preserve"> enabling statute “need not mention” topics “explicitly…to encompass them within the department</w:t>
      </w:r>
      <w:r w:rsidR="003A02FC">
        <w:rPr>
          <w:rFonts w:cs="Times New Roman"/>
          <w:szCs w:val="24"/>
        </w:rPr>
        <w:t>’</w:t>
      </w:r>
      <w:r w:rsidRPr="00A12596">
        <w:rPr>
          <w:rFonts w:cs="Times New Roman"/>
          <w:szCs w:val="24"/>
        </w:rPr>
        <w:t xml:space="preserve">s broad regulatory mandate.” </w:t>
      </w:r>
      <w:r w:rsidRPr="00A12596">
        <w:rPr>
          <w:rFonts w:cs="Times New Roman"/>
          <w:i/>
          <w:szCs w:val="24"/>
        </w:rPr>
        <w:t>Id.</w:t>
      </w:r>
    </w:p>
    <w:p w:rsidR="002E789D" w:rsidRPr="002E789D" w:rsidRDefault="00FE6760" w:rsidP="00AF690B">
      <w:pPr>
        <w:widowControl w:val="0"/>
        <w:rPr>
          <w:rFonts w:cs="Times New Roman"/>
          <w:bCs/>
          <w:szCs w:val="24"/>
        </w:rPr>
      </w:pPr>
      <w:r>
        <w:rPr>
          <w:rStyle w:val="hierarchydescription2"/>
          <w:rFonts w:cs="Times New Roman"/>
          <w:szCs w:val="24"/>
          <w:lang w:val="en"/>
          <w:specVanish w:val="0"/>
        </w:rPr>
        <w:tab/>
        <w:t xml:space="preserve">When DPH issued its regulations, it added another factor: A dispensary agent must be </w:t>
      </w:r>
      <w:r>
        <w:rPr>
          <w:rStyle w:val="hierarchydescription2"/>
          <w:rFonts w:cs="Times New Roman"/>
          <w:szCs w:val="24"/>
          <w:lang w:val="en"/>
          <w:specVanish w:val="0"/>
        </w:rPr>
        <w:lastRenderedPageBreak/>
        <w:t xml:space="preserve">older than 21. </w:t>
      </w:r>
      <w:r w:rsidR="00C074AE">
        <w:rPr>
          <w:rStyle w:val="hierarchydescription2"/>
          <w:rFonts w:cs="Times New Roman"/>
          <w:szCs w:val="24"/>
          <w:lang w:val="en"/>
          <w:specVanish w:val="0"/>
        </w:rPr>
        <w:t xml:space="preserve">105 CMR 725.030(A)(1). </w:t>
      </w:r>
      <w:r w:rsidR="00FB0F6F">
        <w:rPr>
          <w:rStyle w:val="hierarchydescription2"/>
          <w:rFonts w:cs="Times New Roman"/>
          <w:szCs w:val="24"/>
          <w:lang w:val="en"/>
          <w:specVanish w:val="0"/>
        </w:rPr>
        <w:t>I doubt that anyone would challenge DPH</w:t>
      </w:r>
      <w:r w:rsidR="003A02FC">
        <w:rPr>
          <w:rStyle w:val="hierarchydescription2"/>
          <w:rFonts w:cs="Times New Roman"/>
          <w:szCs w:val="24"/>
          <w:lang w:val="en"/>
          <w:specVanish w:val="0"/>
        </w:rPr>
        <w:t>’</w:t>
      </w:r>
      <w:r w:rsidR="00FB0F6F">
        <w:rPr>
          <w:rStyle w:val="hierarchydescription2"/>
          <w:rFonts w:cs="Times New Roman"/>
          <w:szCs w:val="24"/>
          <w:lang w:val="en"/>
          <w:specVanish w:val="0"/>
        </w:rPr>
        <w:t>s authority to add that requirement</w:t>
      </w:r>
      <w:r w:rsidR="00B349F3">
        <w:rPr>
          <w:rStyle w:val="hierarchydescription2"/>
          <w:rFonts w:cs="Times New Roman"/>
          <w:szCs w:val="24"/>
          <w:lang w:val="en"/>
          <w:specVanish w:val="0"/>
        </w:rPr>
        <w:t xml:space="preserve">. </w:t>
      </w:r>
      <w:r w:rsidR="002E789D">
        <w:rPr>
          <w:rStyle w:val="hierarchydescription2"/>
          <w:rFonts w:cs="Times New Roman"/>
          <w:szCs w:val="24"/>
          <w:lang w:val="en"/>
          <w:specVanish w:val="0"/>
        </w:rPr>
        <w:t xml:space="preserve">When DPH issued its regulations, it added requirements for dispensary agents to </w:t>
      </w:r>
      <w:r w:rsidR="003D1301">
        <w:rPr>
          <w:rStyle w:val="hierarchydescription2"/>
          <w:rFonts w:cs="Times New Roman"/>
          <w:szCs w:val="24"/>
          <w:lang w:val="en"/>
          <w:specVanish w:val="0"/>
        </w:rPr>
        <w:t xml:space="preserve">obtain and </w:t>
      </w:r>
      <w:r w:rsidR="002E789D">
        <w:rPr>
          <w:rStyle w:val="hierarchydescription2"/>
          <w:rFonts w:cs="Times New Roman"/>
          <w:szCs w:val="24"/>
          <w:lang w:val="en"/>
          <w:specVanish w:val="0"/>
        </w:rPr>
        <w:t>maintain their registration. The medical marijuana statute does not explicitly authorize any of the provisions in 1</w:t>
      </w:r>
      <w:r w:rsidR="002E789D" w:rsidRPr="002E789D">
        <w:rPr>
          <w:rStyle w:val="hierarchydescription2"/>
          <w:rFonts w:cs="Times New Roman"/>
          <w:szCs w:val="24"/>
          <w:lang w:val="en"/>
          <w:specVanish w:val="0"/>
        </w:rPr>
        <w:t>0</w:t>
      </w:r>
      <w:r w:rsidR="002E789D">
        <w:rPr>
          <w:rStyle w:val="hierarchydescription2"/>
          <w:rFonts w:cs="Times New Roman"/>
          <w:szCs w:val="24"/>
          <w:lang w:val="en"/>
          <w:specVanish w:val="0"/>
        </w:rPr>
        <w:t>5</w:t>
      </w:r>
      <w:r w:rsidR="002E789D" w:rsidRPr="002E789D">
        <w:rPr>
          <w:rStyle w:val="hierarchydescription2"/>
          <w:rFonts w:cs="Times New Roman"/>
          <w:szCs w:val="24"/>
          <w:lang w:val="en"/>
          <w:specVanish w:val="0"/>
        </w:rPr>
        <w:t xml:space="preserve"> CMR </w:t>
      </w:r>
      <w:r w:rsidR="002E789D" w:rsidRPr="002E789D">
        <w:rPr>
          <w:szCs w:val="24"/>
        </w:rPr>
        <w:t>725.425</w:t>
      </w:r>
      <w:r w:rsidR="002E789D">
        <w:rPr>
          <w:szCs w:val="24"/>
        </w:rPr>
        <w:t>, but DPH was authorized to issue them nonetheless.</w:t>
      </w:r>
    </w:p>
    <w:p w:rsidR="00FE2925" w:rsidRDefault="00C50CAD" w:rsidP="00AA0F94">
      <w:pPr>
        <w:widowControl w:val="0"/>
        <w:rPr>
          <w:rFonts w:cs="Times New Roman"/>
          <w:bCs/>
          <w:szCs w:val="24"/>
        </w:rPr>
      </w:pPr>
      <w:r>
        <w:rPr>
          <w:rStyle w:val="hierarchydescription2"/>
          <w:rFonts w:cs="Times New Roman"/>
          <w:szCs w:val="24"/>
          <w:lang w:val="en"/>
          <w:specVanish w:val="0"/>
        </w:rPr>
        <w:tab/>
        <w:t>When DPH issued its background check guidance, it added many more disqualifying factors. DPH could have added those factors to the regulation</w:t>
      </w:r>
      <w:r w:rsidR="00FE2925">
        <w:rPr>
          <w:rStyle w:val="hierarchydescription2"/>
          <w:rFonts w:cs="Times New Roman"/>
          <w:szCs w:val="24"/>
          <w:lang w:val="en"/>
          <w:specVanish w:val="0"/>
        </w:rPr>
        <w:t>s</w:t>
      </w:r>
      <w:r>
        <w:rPr>
          <w:rStyle w:val="hierarchydescription2"/>
          <w:rFonts w:cs="Times New Roman"/>
          <w:szCs w:val="24"/>
          <w:lang w:val="en"/>
          <w:specVanish w:val="0"/>
        </w:rPr>
        <w:t>, but did not.</w:t>
      </w:r>
      <w:r w:rsidR="00FE2925">
        <w:rPr>
          <w:rStyle w:val="hierarchydescription2"/>
          <w:rFonts w:cs="Times New Roman"/>
          <w:szCs w:val="24"/>
          <w:lang w:val="en"/>
          <w:specVanish w:val="0"/>
        </w:rPr>
        <w:t xml:space="preserve"> That does not </w:t>
      </w:r>
      <w:r w:rsidR="00124800">
        <w:rPr>
          <w:rStyle w:val="hierarchydescription2"/>
          <w:rFonts w:cs="Times New Roman"/>
          <w:szCs w:val="24"/>
          <w:lang w:val="en"/>
          <w:specVanish w:val="0"/>
        </w:rPr>
        <w:t>mean</w:t>
      </w:r>
      <w:r w:rsidR="009D6645">
        <w:rPr>
          <w:rStyle w:val="hierarchydescription2"/>
          <w:rFonts w:cs="Times New Roman"/>
          <w:szCs w:val="24"/>
          <w:lang w:val="en"/>
          <w:specVanish w:val="0"/>
        </w:rPr>
        <w:t xml:space="preserve"> that DPH cannot enforce</w:t>
      </w:r>
      <w:r w:rsidR="00FE2925">
        <w:rPr>
          <w:rStyle w:val="hierarchydescription2"/>
          <w:rFonts w:cs="Times New Roman"/>
          <w:szCs w:val="24"/>
          <w:lang w:val="en"/>
          <w:specVanish w:val="0"/>
        </w:rPr>
        <w:t xml:space="preserve"> the guidance.</w:t>
      </w:r>
      <w:r w:rsidR="00AA0F94">
        <w:rPr>
          <w:rStyle w:val="hierarchydescription2"/>
          <w:rFonts w:cs="Times New Roman"/>
          <w:szCs w:val="24"/>
          <w:lang w:val="en"/>
          <w:specVanish w:val="0"/>
        </w:rPr>
        <w:t xml:space="preserve"> </w:t>
      </w:r>
      <w:r w:rsidR="00FE2925" w:rsidRPr="00FE6D4D">
        <w:rPr>
          <w:rFonts w:cs="Times New Roman"/>
          <w:bCs/>
          <w:szCs w:val="24"/>
        </w:rPr>
        <w:t xml:space="preserve">In </w:t>
      </w:r>
      <w:r w:rsidR="00FE2925" w:rsidRPr="00FE6D4D">
        <w:rPr>
          <w:rFonts w:cs="Times New Roman"/>
          <w:bCs/>
          <w:i/>
          <w:szCs w:val="24"/>
        </w:rPr>
        <w:t>Boston Retirement Board v. Contributory Retirement Appeal Board</w:t>
      </w:r>
      <w:r w:rsidR="00FE2925" w:rsidRPr="00FE6D4D">
        <w:rPr>
          <w:rFonts w:cs="Times New Roman"/>
          <w:bCs/>
          <w:szCs w:val="24"/>
        </w:rPr>
        <w:t xml:space="preserve">, the Public Employees Retirement </w:t>
      </w:r>
      <w:r w:rsidR="00FE2925" w:rsidRPr="00C03047">
        <w:rPr>
          <w:rFonts w:cs="Times New Roman"/>
          <w:bCs/>
          <w:szCs w:val="24"/>
        </w:rPr>
        <w:t>Administration Commission issued a memorandum – that is, not a regulation – interpreting a statute. The Supreme Judicial Court upheld the memorandum</w:t>
      </w:r>
      <w:r w:rsidR="003A02FC">
        <w:rPr>
          <w:rFonts w:cs="Times New Roman"/>
          <w:bCs/>
          <w:szCs w:val="24"/>
        </w:rPr>
        <w:t>’</w:t>
      </w:r>
      <w:r w:rsidR="00FE2925" w:rsidRPr="00C03047">
        <w:rPr>
          <w:rFonts w:cs="Times New Roman"/>
          <w:bCs/>
          <w:szCs w:val="24"/>
        </w:rPr>
        <w:t xml:space="preserve">s interpretation as reasonable. </w:t>
      </w:r>
      <w:r w:rsidR="007B2279" w:rsidRPr="007B2279">
        <w:rPr>
          <w:rFonts w:cs="Times New Roman"/>
          <w:bCs/>
          <w:szCs w:val="24"/>
        </w:rPr>
        <w:t>441 Mass.</w:t>
      </w:r>
      <w:r w:rsidR="00FE2925" w:rsidRPr="00C03047">
        <w:rPr>
          <w:rFonts w:cs="Times New Roman"/>
          <w:bCs/>
          <w:i/>
          <w:szCs w:val="24"/>
        </w:rPr>
        <w:t xml:space="preserve"> </w:t>
      </w:r>
      <w:r w:rsidR="00AA0F94" w:rsidRPr="00C03047">
        <w:rPr>
          <w:rFonts w:cs="Times New Roman"/>
          <w:bCs/>
          <w:szCs w:val="24"/>
        </w:rPr>
        <w:t>at 80, 82.</w:t>
      </w:r>
      <w:r w:rsidR="00FE2925" w:rsidRPr="00C03047">
        <w:rPr>
          <w:rFonts w:cs="Times New Roman"/>
          <w:bCs/>
          <w:szCs w:val="24"/>
        </w:rPr>
        <w:t xml:space="preserve"> </w:t>
      </w:r>
      <w:r w:rsidR="0085339E" w:rsidRPr="00C03047">
        <w:rPr>
          <w:rFonts w:cs="Times New Roman"/>
          <w:bCs/>
          <w:szCs w:val="24"/>
        </w:rPr>
        <w:t>The guidance does “</w:t>
      </w:r>
      <w:r w:rsidR="0085339E" w:rsidRPr="00C03047">
        <w:rPr>
          <w:rFonts w:cs="Times New Roman"/>
          <w:szCs w:val="24"/>
        </w:rPr>
        <w:t xml:space="preserve">not carry the force of law” but is still </w:t>
      </w:r>
      <w:r w:rsidR="00C03047" w:rsidRPr="00C03047">
        <w:rPr>
          <w:rFonts w:cs="Times New Roman"/>
          <w:szCs w:val="24"/>
        </w:rPr>
        <w:t xml:space="preserve">“entitled to substantial deference.” </w:t>
      </w:r>
      <w:r w:rsidR="00C03047" w:rsidRPr="00C03047">
        <w:rPr>
          <w:rFonts w:cs="Times New Roman"/>
          <w:bCs/>
          <w:i/>
          <w:szCs w:val="24"/>
        </w:rPr>
        <w:t xml:space="preserve">Global NAPs, Inc. v. </w:t>
      </w:r>
      <w:proofErr w:type="spellStart"/>
      <w:r w:rsidR="00C03047" w:rsidRPr="00C03047">
        <w:rPr>
          <w:rFonts w:cs="Times New Roman"/>
          <w:bCs/>
          <w:i/>
          <w:szCs w:val="24"/>
        </w:rPr>
        <w:t>Awiszus</w:t>
      </w:r>
      <w:proofErr w:type="spellEnd"/>
      <w:r w:rsidR="00C03047" w:rsidRPr="00C03047">
        <w:rPr>
          <w:rFonts w:cs="Times New Roman"/>
          <w:bCs/>
          <w:szCs w:val="24"/>
        </w:rPr>
        <w:t>, 457 Mass. 489, 497 (2010).</w:t>
      </w:r>
    </w:p>
    <w:p w:rsidR="00C50CAD" w:rsidRDefault="0085339E" w:rsidP="00AF690B">
      <w:pPr>
        <w:widowControl w:val="0"/>
        <w:rPr>
          <w:rStyle w:val="hierarchydescription2"/>
          <w:rFonts w:cs="Times New Roman"/>
          <w:szCs w:val="24"/>
          <w:lang w:val="en"/>
        </w:rPr>
      </w:pPr>
      <w:r>
        <w:rPr>
          <w:rFonts w:cs="Times New Roman"/>
          <w:bCs/>
          <w:szCs w:val="24"/>
        </w:rPr>
        <w:tab/>
      </w:r>
      <w:r w:rsidR="00B574FB">
        <w:rPr>
          <w:rStyle w:val="hierarchydescription2"/>
          <w:rFonts w:cs="Times New Roman"/>
          <w:szCs w:val="24"/>
          <w:lang w:val="en"/>
          <w:specVanish w:val="0"/>
        </w:rPr>
        <w:t>The circumstances here are not of a new agency interpreting a new statute or its own new regulations</w:t>
      </w:r>
      <w:r w:rsidR="007079CC">
        <w:rPr>
          <w:rStyle w:val="hierarchydescription2"/>
          <w:rFonts w:cs="Times New Roman"/>
          <w:szCs w:val="24"/>
          <w:lang w:val="en"/>
          <w:specVanish w:val="0"/>
        </w:rPr>
        <w:t>. The circumstances here are of an experienced agency interpreting a new statute and drawing on its vast experience in protecting the public health in numerous areas to protecting the public health in a new area.</w:t>
      </w:r>
      <w:r w:rsidR="00E14C1A">
        <w:rPr>
          <w:rStyle w:val="hierarchydescription2"/>
          <w:rFonts w:cs="Times New Roman"/>
          <w:szCs w:val="24"/>
          <w:lang w:val="en"/>
          <w:specVanish w:val="0"/>
        </w:rPr>
        <w:t xml:space="preserve"> DPH deserves deference for its </w:t>
      </w:r>
      <w:r w:rsidR="00F17C5B">
        <w:rPr>
          <w:rStyle w:val="hierarchydescription2"/>
          <w:rFonts w:cs="Times New Roman"/>
          <w:szCs w:val="24"/>
          <w:lang w:val="en"/>
          <w:specVanish w:val="0"/>
        </w:rPr>
        <w:t>“</w:t>
      </w:r>
      <w:r w:rsidR="00F100D4" w:rsidRPr="00F100D4">
        <w:rPr>
          <w:rFonts w:eastAsia="Times New Roman" w:cs="Times New Roman"/>
          <w:szCs w:val="24"/>
        </w:rPr>
        <w:t>expertise and experience</w:t>
      </w:r>
      <w:r w:rsidR="00F100D4">
        <w:rPr>
          <w:rFonts w:eastAsia="Times New Roman" w:cs="Times New Roman"/>
          <w:szCs w:val="24"/>
        </w:rPr>
        <w:t>,</w:t>
      </w:r>
      <w:r w:rsidR="00F17C5B">
        <w:rPr>
          <w:rFonts w:eastAsia="Times New Roman" w:cs="Times New Roman"/>
          <w:szCs w:val="24"/>
        </w:rPr>
        <w:t>”</w:t>
      </w:r>
      <w:r w:rsidR="00F100D4" w:rsidRPr="00F100D4">
        <w:rPr>
          <w:rFonts w:eastAsia="Times New Roman" w:cs="Times New Roman"/>
          <w:szCs w:val="24"/>
        </w:rPr>
        <w:t xml:space="preserve"> </w:t>
      </w:r>
      <w:r w:rsidR="00F100D4" w:rsidRPr="00F100D4">
        <w:rPr>
          <w:rFonts w:eastAsia="Times New Roman" w:cs="Times New Roman"/>
          <w:i/>
          <w:szCs w:val="24"/>
        </w:rPr>
        <w:t>MCI T</w:t>
      </w:r>
      <w:r w:rsidR="00F100D4">
        <w:rPr>
          <w:rFonts w:eastAsia="Times New Roman" w:cs="Times New Roman"/>
          <w:i/>
          <w:szCs w:val="24"/>
        </w:rPr>
        <w:t>elecommunications Corp. v. Department</w:t>
      </w:r>
      <w:r w:rsidR="00F100D4" w:rsidRPr="00F100D4">
        <w:rPr>
          <w:rFonts w:eastAsia="Times New Roman" w:cs="Times New Roman"/>
          <w:i/>
          <w:szCs w:val="24"/>
        </w:rPr>
        <w:t xml:space="preserve"> of Telecommunications </w:t>
      </w:r>
      <w:r w:rsidR="00F100D4">
        <w:rPr>
          <w:rFonts w:eastAsia="Times New Roman" w:cs="Times New Roman"/>
          <w:i/>
          <w:szCs w:val="24"/>
        </w:rPr>
        <w:t xml:space="preserve">and </w:t>
      </w:r>
      <w:r w:rsidR="00F100D4" w:rsidRPr="00F100D4">
        <w:rPr>
          <w:rFonts w:eastAsia="Times New Roman" w:cs="Times New Roman"/>
          <w:i/>
          <w:szCs w:val="24"/>
        </w:rPr>
        <w:t>Energy</w:t>
      </w:r>
      <w:r w:rsidR="00F100D4">
        <w:rPr>
          <w:rFonts w:eastAsia="Times New Roman" w:cs="Times New Roman"/>
          <w:szCs w:val="24"/>
        </w:rPr>
        <w:t>, 435 Mass. 144, 150</w:t>
      </w:r>
      <w:r w:rsidR="00F100D4" w:rsidRPr="00F100D4">
        <w:rPr>
          <w:rFonts w:eastAsia="Times New Roman" w:cs="Times New Roman"/>
          <w:szCs w:val="24"/>
        </w:rPr>
        <w:t xml:space="preserve"> (2001)</w:t>
      </w:r>
      <w:r w:rsidR="00F100D4">
        <w:rPr>
          <w:rFonts w:eastAsia="Times New Roman" w:cs="Times New Roman"/>
          <w:szCs w:val="24"/>
        </w:rPr>
        <w:t>.</w:t>
      </w:r>
      <w:r w:rsidR="00A306C5">
        <w:rPr>
          <w:rFonts w:eastAsia="Times New Roman" w:cs="Times New Roman"/>
          <w:szCs w:val="24"/>
        </w:rPr>
        <w:t xml:space="preserve"> </w:t>
      </w:r>
    </w:p>
    <w:p w:rsidR="00651CEE" w:rsidRDefault="00346784" w:rsidP="00D259A6">
      <w:pPr>
        <w:widowControl w:val="0"/>
        <w:spacing w:line="240" w:lineRule="auto"/>
        <w:ind w:left="720"/>
        <w:rPr>
          <w:rFonts w:cs="Times New Roman"/>
          <w:color w:val="000000"/>
          <w:szCs w:val="24"/>
          <w:u w:val="single"/>
        </w:rPr>
      </w:pPr>
      <w:r>
        <w:rPr>
          <w:rFonts w:cs="Times New Roman"/>
          <w:szCs w:val="24"/>
          <w:u w:val="single"/>
        </w:rPr>
        <w:t xml:space="preserve">Proceeding under </w:t>
      </w:r>
      <w:r w:rsidR="00651CEE" w:rsidRPr="00651CEE">
        <w:rPr>
          <w:rFonts w:cs="Times New Roman"/>
          <w:szCs w:val="24"/>
          <w:u w:val="single"/>
        </w:rPr>
        <w:t>105 CMR 725.</w:t>
      </w:r>
      <w:r w:rsidR="00644B86">
        <w:rPr>
          <w:rFonts w:cs="Times New Roman"/>
          <w:szCs w:val="24"/>
          <w:u w:val="single"/>
        </w:rPr>
        <w:t>425</w:t>
      </w:r>
      <w:r w:rsidR="00651CEE" w:rsidRPr="00651CEE">
        <w:rPr>
          <w:rFonts w:cs="Times New Roman"/>
          <w:szCs w:val="24"/>
          <w:u w:val="single"/>
        </w:rPr>
        <w:t xml:space="preserve">(A)(1) (authorizing revocation of </w:t>
      </w:r>
      <w:r w:rsidR="00651CEE" w:rsidRPr="00651CEE">
        <w:rPr>
          <w:rFonts w:cs="Times New Roman"/>
          <w:color w:val="000000"/>
          <w:szCs w:val="24"/>
          <w:u w:val="single"/>
        </w:rPr>
        <w:t>a dispensary agent</w:t>
      </w:r>
      <w:r w:rsidR="003A02FC">
        <w:rPr>
          <w:rFonts w:cs="Times New Roman"/>
          <w:color w:val="000000"/>
          <w:szCs w:val="24"/>
          <w:u w:val="single"/>
        </w:rPr>
        <w:t>’</w:t>
      </w:r>
      <w:r w:rsidR="00651CEE" w:rsidRPr="00651CEE">
        <w:rPr>
          <w:rFonts w:cs="Times New Roman"/>
          <w:color w:val="000000"/>
          <w:szCs w:val="24"/>
          <w:u w:val="single"/>
        </w:rPr>
        <w:t>s registration because of</w:t>
      </w:r>
      <w:r w:rsidR="00651CEE" w:rsidRPr="00651CEE">
        <w:rPr>
          <w:rFonts w:cs="Times New Roman"/>
          <w:szCs w:val="24"/>
          <w:u w:val="single"/>
        </w:rPr>
        <w:t xml:space="preserve"> </w:t>
      </w:r>
      <w:r w:rsidR="00F17C5B">
        <w:rPr>
          <w:rFonts w:cs="Times New Roman"/>
          <w:szCs w:val="24"/>
          <w:u w:val="single"/>
        </w:rPr>
        <w:t>“</w:t>
      </w:r>
      <w:r w:rsidR="00651CEE" w:rsidRPr="00651CEE">
        <w:rPr>
          <w:rFonts w:cs="Times New Roman"/>
          <w:szCs w:val="24"/>
          <w:u w:val="single"/>
        </w:rPr>
        <w:t>[s]</w:t>
      </w:r>
      <w:proofErr w:type="spellStart"/>
      <w:r w:rsidR="00651CEE" w:rsidRPr="00651CEE">
        <w:rPr>
          <w:rFonts w:cs="Times New Roman"/>
          <w:color w:val="000000"/>
          <w:szCs w:val="24"/>
          <w:u w:val="single"/>
        </w:rPr>
        <w:t>ubmission</w:t>
      </w:r>
      <w:proofErr w:type="spellEnd"/>
      <w:r w:rsidR="00651CEE" w:rsidRPr="00651CEE">
        <w:rPr>
          <w:rFonts w:cs="Times New Roman"/>
          <w:color w:val="000000"/>
          <w:szCs w:val="24"/>
          <w:u w:val="single"/>
        </w:rPr>
        <w:t xml:space="preserve"> of misleading, incorrect, false, or fraudulent information in the application</w:t>
      </w:r>
      <w:r w:rsidR="00F17C5B">
        <w:rPr>
          <w:rFonts w:cs="Times New Roman"/>
          <w:color w:val="000000"/>
          <w:szCs w:val="24"/>
          <w:u w:val="single"/>
        </w:rPr>
        <w:t>”</w:t>
      </w:r>
      <w:r w:rsidR="00651CEE" w:rsidRPr="00651CEE">
        <w:rPr>
          <w:rFonts w:cs="Times New Roman"/>
          <w:color w:val="000000"/>
          <w:szCs w:val="24"/>
          <w:u w:val="single"/>
        </w:rPr>
        <w:t xml:space="preserve">) </w:t>
      </w:r>
    </w:p>
    <w:p w:rsidR="00D259A6" w:rsidRDefault="00D259A6" w:rsidP="00D259A6">
      <w:pPr>
        <w:widowControl w:val="0"/>
        <w:spacing w:line="240" w:lineRule="auto"/>
        <w:ind w:left="720"/>
        <w:rPr>
          <w:rFonts w:cs="Times New Roman"/>
          <w:color w:val="000000"/>
          <w:szCs w:val="24"/>
        </w:rPr>
      </w:pPr>
    </w:p>
    <w:p w:rsidR="001526BF" w:rsidRPr="00DE708F" w:rsidRDefault="00E97F68" w:rsidP="00D259A6">
      <w:pPr>
        <w:widowControl w:val="0"/>
        <w:rPr>
          <w:rFonts w:cs="Times New Roman"/>
          <w:color w:val="000000"/>
          <w:szCs w:val="24"/>
        </w:rPr>
      </w:pPr>
      <w:r>
        <w:rPr>
          <w:rFonts w:cs="Times New Roman"/>
          <w:color w:val="000000"/>
          <w:szCs w:val="24"/>
        </w:rPr>
        <w:tab/>
        <w:t xml:space="preserve">DPH may </w:t>
      </w:r>
      <w:r w:rsidR="00651CEE">
        <w:rPr>
          <w:rFonts w:cs="Times New Roman"/>
          <w:color w:val="000000"/>
          <w:szCs w:val="24"/>
        </w:rPr>
        <w:t>temporarily suspend and may revoke Mr. Willis</w:t>
      </w:r>
      <w:r w:rsidR="003A02FC">
        <w:rPr>
          <w:rFonts w:cs="Times New Roman"/>
          <w:color w:val="000000"/>
          <w:szCs w:val="24"/>
        </w:rPr>
        <w:t>’</w:t>
      </w:r>
      <w:r w:rsidR="00651CEE">
        <w:rPr>
          <w:rFonts w:cs="Times New Roman"/>
          <w:color w:val="000000"/>
          <w:szCs w:val="24"/>
        </w:rPr>
        <w:t xml:space="preserve">s </w:t>
      </w:r>
      <w:r w:rsidR="00250163">
        <w:rPr>
          <w:rFonts w:cs="Times New Roman"/>
          <w:color w:val="000000"/>
          <w:szCs w:val="24"/>
        </w:rPr>
        <w:t>registration under this regulation.</w:t>
      </w:r>
      <w:r w:rsidR="001526BF" w:rsidRPr="00DE708F">
        <w:rPr>
          <w:rFonts w:cs="Times New Roman"/>
          <w:color w:val="000000"/>
          <w:szCs w:val="24"/>
        </w:rPr>
        <w:t xml:space="preserve"> The regulation does not identify </w:t>
      </w:r>
      <w:r w:rsidR="001526BF" w:rsidRPr="007744B7">
        <w:rPr>
          <w:rFonts w:cs="Times New Roman"/>
          <w:i/>
          <w:color w:val="000000"/>
          <w:szCs w:val="24"/>
        </w:rPr>
        <w:t xml:space="preserve">whose </w:t>
      </w:r>
      <w:r w:rsidR="001526BF">
        <w:rPr>
          <w:rFonts w:cs="Times New Roman"/>
          <w:color w:val="000000"/>
          <w:szCs w:val="24"/>
        </w:rPr>
        <w:t>submission</w:t>
      </w:r>
      <w:r w:rsidR="001526BF" w:rsidRPr="00DE708F">
        <w:rPr>
          <w:rFonts w:cs="Times New Roman"/>
          <w:color w:val="000000"/>
          <w:szCs w:val="24"/>
        </w:rPr>
        <w:t xml:space="preserve"> </w:t>
      </w:r>
      <w:r w:rsidR="001526BF">
        <w:rPr>
          <w:rFonts w:cs="Times New Roman"/>
          <w:color w:val="000000"/>
          <w:szCs w:val="24"/>
        </w:rPr>
        <w:t>might be “</w:t>
      </w:r>
      <w:r w:rsidR="001526BF" w:rsidRPr="004C6D4E">
        <w:rPr>
          <w:rFonts w:cs="Times New Roman"/>
          <w:color w:val="000000"/>
          <w:szCs w:val="24"/>
        </w:rPr>
        <w:t xml:space="preserve">misleading, incorrect, </w:t>
      </w:r>
      <w:r w:rsidR="001526BF" w:rsidRPr="004C6D4E">
        <w:rPr>
          <w:rFonts w:cs="Times New Roman"/>
          <w:color w:val="000000"/>
          <w:szCs w:val="24"/>
        </w:rPr>
        <w:lastRenderedPageBreak/>
        <w:t>false, or fraudulent information</w:t>
      </w:r>
      <w:r w:rsidR="001526BF">
        <w:rPr>
          <w:rFonts w:cs="Times New Roman"/>
          <w:color w:val="000000"/>
          <w:szCs w:val="24"/>
        </w:rPr>
        <w:t>” for the regulation to apply.</w:t>
      </w:r>
      <w:r w:rsidR="001526BF" w:rsidRPr="00DE708F">
        <w:rPr>
          <w:rFonts w:cs="Times New Roman"/>
          <w:color w:val="000000"/>
          <w:szCs w:val="24"/>
        </w:rPr>
        <w:t xml:space="preserve"> In the case of </w:t>
      </w:r>
      <w:r w:rsidR="001526BF">
        <w:rPr>
          <w:rFonts w:cs="Times New Roman"/>
          <w:color w:val="000000"/>
          <w:szCs w:val="24"/>
        </w:rPr>
        <w:t>applications</w:t>
      </w:r>
      <w:r w:rsidR="001526BF" w:rsidRPr="00DE708F">
        <w:rPr>
          <w:rFonts w:cs="Times New Roman"/>
          <w:color w:val="000000"/>
          <w:szCs w:val="24"/>
        </w:rPr>
        <w:t xml:space="preserve"> to be</w:t>
      </w:r>
      <w:r w:rsidR="001526BF">
        <w:rPr>
          <w:rFonts w:cs="Times New Roman"/>
          <w:color w:val="000000"/>
          <w:szCs w:val="24"/>
        </w:rPr>
        <w:t>come</w:t>
      </w:r>
      <w:r w:rsidR="001526BF" w:rsidRPr="00DE708F">
        <w:rPr>
          <w:rFonts w:cs="Times New Roman"/>
          <w:color w:val="000000"/>
          <w:szCs w:val="24"/>
        </w:rPr>
        <w:t xml:space="preserve"> dispensary agents, individual people do not apply; dispensaries apply for them. </w:t>
      </w:r>
      <w:r w:rsidR="001526BF" w:rsidRPr="00DE708F">
        <w:rPr>
          <w:szCs w:val="24"/>
        </w:rPr>
        <w:t xml:space="preserve">105 CMR 725.030(A). Thus, if Mr. Willis submitted </w:t>
      </w:r>
      <w:r w:rsidR="001526BF" w:rsidRPr="004C6D4E">
        <w:rPr>
          <w:rFonts w:cs="Times New Roman"/>
          <w:color w:val="000000"/>
          <w:szCs w:val="24"/>
        </w:rPr>
        <w:t>misleading, incorrect, false, or fraudulent information</w:t>
      </w:r>
      <w:r w:rsidR="001526BF" w:rsidRPr="00DE708F">
        <w:rPr>
          <w:rFonts w:cs="Times New Roman"/>
          <w:color w:val="000000"/>
          <w:szCs w:val="24"/>
        </w:rPr>
        <w:t xml:space="preserve"> to NETA, and NETA submitted it in the application for Mr. Willis</w:t>
      </w:r>
      <w:r w:rsidR="003A02FC">
        <w:rPr>
          <w:rFonts w:cs="Times New Roman"/>
          <w:color w:val="000000"/>
          <w:szCs w:val="24"/>
        </w:rPr>
        <w:t>’</w:t>
      </w:r>
      <w:r w:rsidR="001526BF" w:rsidRPr="00DE708F">
        <w:rPr>
          <w:rFonts w:cs="Times New Roman"/>
          <w:color w:val="000000"/>
          <w:szCs w:val="24"/>
        </w:rPr>
        <w:t>s registration, DPH could revoke his registration</w:t>
      </w:r>
      <w:r w:rsidR="001526BF">
        <w:rPr>
          <w:rFonts w:cs="Times New Roman"/>
          <w:color w:val="000000"/>
          <w:szCs w:val="24"/>
        </w:rPr>
        <w:t xml:space="preserve"> on the basis of NETA</w:t>
      </w:r>
      <w:r w:rsidR="003A02FC">
        <w:rPr>
          <w:rFonts w:cs="Times New Roman"/>
          <w:color w:val="000000"/>
          <w:szCs w:val="24"/>
        </w:rPr>
        <w:t>’</w:t>
      </w:r>
      <w:r w:rsidR="001526BF">
        <w:rPr>
          <w:rFonts w:cs="Times New Roman"/>
          <w:color w:val="000000"/>
          <w:szCs w:val="24"/>
        </w:rPr>
        <w:t>s act, not his</w:t>
      </w:r>
      <w:r w:rsidR="001526BF" w:rsidRPr="00DE708F">
        <w:rPr>
          <w:rFonts w:cs="Times New Roman"/>
          <w:color w:val="000000"/>
          <w:szCs w:val="24"/>
        </w:rPr>
        <w:t xml:space="preserve">. If NETA submitted </w:t>
      </w:r>
      <w:r w:rsidR="001526BF" w:rsidRPr="004C6D4E">
        <w:rPr>
          <w:rFonts w:cs="Times New Roman"/>
          <w:color w:val="000000"/>
          <w:szCs w:val="24"/>
        </w:rPr>
        <w:t>misleading, incorrect, false, or fraudulent information</w:t>
      </w:r>
      <w:r w:rsidR="001526BF" w:rsidRPr="00DE708F">
        <w:rPr>
          <w:rFonts w:cs="Times New Roman"/>
          <w:color w:val="000000"/>
          <w:szCs w:val="24"/>
        </w:rPr>
        <w:t xml:space="preserve"> to DPH for Mr. Willis</w:t>
      </w:r>
      <w:r w:rsidR="003A02FC">
        <w:rPr>
          <w:rFonts w:cs="Times New Roman"/>
          <w:color w:val="000000"/>
          <w:szCs w:val="24"/>
        </w:rPr>
        <w:t>’</w:t>
      </w:r>
      <w:r w:rsidR="001526BF" w:rsidRPr="00DE708F">
        <w:rPr>
          <w:rFonts w:cs="Times New Roman"/>
          <w:color w:val="000000"/>
          <w:szCs w:val="24"/>
        </w:rPr>
        <w:t xml:space="preserve">s registration, even if Mr. Willis were not responsible for </w:t>
      </w:r>
      <w:r w:rsidR="001526BF">
        <w:rPr>
          <w:rFonts w:cs="Times New Roman"/>
          <w:color w:val="000000"/>
          <w:szCs w:val="24"/>
        </w:rPr>
        <w:t xml:space="preserve">or aware of </w:t>
      </w:r>
      <w:r w:rsidR="001526BF" w:rsidRPr="00DE708F">
        <w:rPr>
          <w:rFonts w:cs="Times New Roman"/>
          <w:color w:val="000000"/>
          <w:szCs w:val="24"/>
        </w:rPr>
        <w:t>the information, DPH could revoke his registration.</w:t>
      </w:r>
    </w:p>
    <w:p w:rsidR="001526BF" w:rsidRDefault="001526BF" w:rsidP="00651CEE">
      <w:pPr>
        <w:widowControl w:val="0"/>
        <w:rPr>
          <w:rFonts w:cs="Times New Roman"/>
          <w:color w:val="000000"/>
          <w:szCs w:val="24"/>
        </w:rPr>
      </w:pPr>
      <w:r>
        <w:rPr>
          <w:rFonts w:cs="Times New Roman"/>
          <w:color w:val="000000"/>
          <w:szCs w:val="24"/>
        </w:rPr>
        <w:tab/>
        <w:t>NETA</w:t>
      </w:r>
      <w:r w:rsidR="003A02FC">
        <w:rPr>
          <w:rFonts w:cs="Times New Roman"/>
          <w:color w:val="000000"/>
          <w:szCs w:val="24"/>
        </w:rPr>
        <w:t>’</w:t>
      </w:r>
      <w:r>
        <w:rPr>
          <w:rFonts w:cs="Times New Roman"/>
          <w:color w:val="000000"/>
          <w:szCs w:val="24"/>
        </w:rPr>
        <w:t xml:space="preserve">s background report </w:t>
      </w:r>
      <w:r w:rsidR="00D259A6">
        <w:rPr>
          <w:rFonts w:cs="Times New Roman"/>
          <w:color w:val="000000"/>
          <w:szCs w:val="24"/>
        </w:rPr>
        <w:t xml:space="preserve">contained </w:t>
      </w:r>
      <w:r w:rsidRPr="004C6D4E">
        <w:rPr>
          <w:rFonts w:cs="Times New Roman"/>
          <w:color w:val="000000"/>
          <w:szCs w:val="24"/>
        </w:rPr>
        <w:t xml:space="preserve">misleading, incorrect, </w:t>
      </w:r>
      <w:r w:rsidR="00D259A6">
        <w:rPr>
          <w:rFonts w:cs="Times New Roman"/>
          <w:color w:val="000000"/>
          <w:szCs w:val="24"/>
        </w:rPr>
        <w:t xml:space="preserve">and </w:t>
      </w:r>
      <w:r w:rsidRPr="004C6D4E">
        <w:rPr>
          <w:rFonts w:cs="Times New Roman"/>
          <w:color w:val="000000"/>
          <w:szCs w:val="24"/>
        </w:rPr>
        <w:t>false information</w:t>
      </w:r>
      <w:r>
        <w:rPr>
          <w:rFonts w:cs="Times New Roman"/>
          <w:color w:val="000000"/>
          <w:szCs w:val="24"/>
        </w:rPr>
        <w:t xml:space="preserve">. </w:t>
      </w:r>
      <w:r w:rsidR="00D259A6">
        <w:rPr>
          <w:rFonts w:cs="Times New Roman"/>
          <w:color w:val="000000"/>
          <w:szCs w:val="24"/>
        </w:rPr>
        <w:t xml:space="preserve">Because NETA did not know that the information was misleading, incorrect, or false, or </w:t>
      </w:r>
      <w:proofErr w:type="gramStart"/>
      <w:r w:rsidR="00D259A6">
        <w:rPr>
          <w:rFonts w:cs="Times New Roman"/>
          <w:color w:val="000000"/>
          <w:szCs w:val="24"/>
        </w:rPr>
        <w:t>intend</w:t>
      </w:r>
      <w:proofErr w:type="gramEnd"/>
      <w:r w:rsidR="00D259A6">
        <w:rPr>
          <w:rFonts w:cs="Times New Roman"/>
          <w:color w:val="000000"/>
          <w:szCs w:val="24"/>
        </w:rPr>
        <w:t xml:space="preserve"> it to be, the information was not fraudulent.</w:t>
      </w:r>
    </w:p>
    <w:p w:rsidR="003A02FC" w:rsidRDefault="00BA2DB4" w:rsidP="00651CEE">
      <w:pPr>
        <w:widowControl w:val="0"/>
        <w:rPr>
          <w:rFonts w:cs="Times New Roman"/>
          <w:szCs w:val="24"/>
        </w:rPr>
      </w:pPr>
      <w:r>
        <w:rPr>
          <w:rFonts w:cs="Times New Roman"/>
          <w:color w:val="000000"/>
          <w:szCs w:val="24"/>
        </w:rPr>
        <w:tab/>
      </w:r>
      <w:r w:rsidRPr="00FE7321">
        <w:rPr>
          <w:rFonts w:cs="Times New Roman"/>
          <w:color w:val="000000"/>
          <w:szCs w:val="24"/>
        </w:rPr>
        <w:t xml:space="preserve">DPH may not proceed against </w:t>
      </w:r>
      <w:r w:rsidR="00124800" w:rsidRPr="00FE7321">
        <w:rPr>
          <w:rFonts w:cs="Times New Roman"/>
          <w:color w:val="000000"/>
          <w:szCs w:val="24"/>
        </w:rPr>
        <w:t>Mr. Willis</w:t>
      </w:r>
      <w:r w:rsidRPr="00FE7321">
        <w:rPr>
          <w:rFonts w:cs="Times New Roman"/>
          <w:color w:val="000000"/>
          <w:szCs w:val="24"/>
        </w:rPr>
        <w:t xml:space="preserve"> under </w:t>
      </w:r>
      <w:r w:rsidR="00434D6F" w:rsidRPr="00FE7321">
        <w:rPr>
          <w:rFonts w:cs="Times New Roman"/>
          <w:szCs w:val="24"/>
        </w:rPr>
        <w:t>105 CMR 725.</w:t>
      </w:r>
      <w:r w:rsidR="00644B86">
        <w:rPr>
          <w:rFonts w:cs="Times New Roman"/>
          <w:szCs w:val="24"/>
        </w:rPr>
        <w:t>425</w:t>
      </w:r>
      <w:r w:rsidR="00434D6F" w:rsidRPr="00FE7321">
        <w:rPr>
          <w:rFonts w:cs="Times New Roman"/>
          <w:szCs w:val="24"/>
        </w:rPr>
        <w:t>(A</w:t>
      </w:r>
      <w:proofErr w:type="gramStart"/>
      <w:r w:rsidR="00434D6F" w:rsidRPr="00FE7321">
        <w:rPr>
          <w:rFonts w:cs="Times New Roman"/>
          <w:szCs w:val="24"/>
        </w:rPr>
        <w:t>)(</w:t>
      </w:r>
      <w:proofErr w:type="gramEnd"/>
      <w:r w:rsidR="00434D6F" w:rsidRPr="00FE7321">
        <w:rPr>
          <w:rFonts w:cs="Times New Roman"/>
          <w:szCs w:val="24"/>
        </w:rPr>
        <w:t xml:space="preserve">1) for the email </w:t>
      </w:r>
      <w:r w:rsidR="00FE7321">
        <w:rPr>
          <w:rFonts w:cs="Times New Roman"/>
          <w:szCs w:val="24"/>
        </w:rPr>
        <w:t xml:space="preserve">that </w:t>
      </w:r>
      <w:r w:rsidR="00434D6F" w:rsidRPr="00FE7321">
        <w:rPr>
          <w:rFonts w:cs="Times New Roman"/>
          <w:szCs w:val="24"/>
        </w:rPr>
        <w:t xml:space="preserve">he </w:t>
      </w:r>
      <w:r w:rsidR="00FE7321" w:rsidRPr="00FE7321">
        <w:rPr>
          <w:rFonts w:cs="Times New Roman"/>
          <w:szCs w:val="24"/>
        </w:rPr>
        <w:t>sent to Ms. Eastwick</w:t>
      </w:r>
      <w:r w:rsidR="00434D6F" w:rsidRPr="00FE7321">
        <w:rPr>
          <w:rFonts w:cs="Times New Roman"/>
          <w:szCs w:val="24"/>
        </w:rPr>
        <w:t xml:space="preserve">. During the hearing and in its </w:t>
      </w:r>
      <w:r w:rsidR="003A02FC">
        <w:rPr>
          <w:rFonts w:cs="Times New Roman"/>
          <w:szCs w:val="24"/>
        </w:rPr>
        <w:t>post-hearing brief, DPH suggested</w:t>
      </w:r>
      <w:r w:rsidR="00434D6F" w:rsidRPr="00FE7321">
        <w:rPr>
          <w:rFonts w:cs="Times New Roman"/>
          <w:szCs w:val="24"/>
        </w:rPr>
        <w:t xml:space="preserve"> that because the email was in </w:t>
      </w:r>
      <w:r w:rsidR="00214BA3" w:rsidRPr="00FE7321">
        <w:rPr>
          <w:rFonts w:cs="Times New Roman"/>
          <w:szCs w:val="24"/>
        </w:rPr>
        <w:t>NETA</w:t>
      </w:r>
      <w:r w:rsidR="003A02FC">
        <w:rPr>
          <w:rFonts w:cs="Times New Roman"/>
          <w:szCs w:val="24"/>
        </w:rPr>
        <w:t>’</w:t>
      </w:r>
      <w:r w:rsidR="00214BA3" w:rsidRPr="00FE7321">
        <w:rPr>
          <w:rFonts w:cs="Times New Roman"/>
          <w:szCs w:val="24"/>
        </w:rPr>
        <w:t>s files and because DPH audited NETA</w:t>
      </w:r>
      <w:r w:rsidR="003A02FC">
        <w:rPr>
          <w:rFonts w:cs="Times New Roman"/>
          <w:szCs w:val="24"/>
        </w:rPr>
        <w:t>’</w:t>
      </w:r>
      <w:r w:rsidR="00214BA3" w:rsidRPr="00FE7321">
        <w:rPr>
          <w:rFonts w:cs="Times New Roman"/>
          <w:szCs w:val="24"/>
        </w:rPr>
        <w:t>s files</w:t>
      </w:r>
      <w:r w:rsidR="00FE7321" w:rsidRPr="00FE7321">
        <w:rPr>
          <w:rFonts w:cs="Times New Roman"/>
          <w:szCs w:val="24"/>
        </w:rPr>
        <w:t>, Mr. Willis violated 105 CMR 725.</w:t>
      </w:r>
      <w:r w:rsidR="00644B86">
        <w:rPr>
          <w:rFonts w:cs="Times New Roman"/>
          <w:szCs w:val="24"/>
        </w:rPr>
        <w:t>425</w:t>
      </w:r>
      <w:r w:rsidR="00FE7321" w:rsidRPr="00FE7321">
        <w:rPr>
          <w:rFonts w:cs="Times New Roman"/>
          <w:szCs w:val="24"/>
        </w:rPr>
        <w:t>(A)(1)</w:t>
      </w:r>
      <w:r w:rsidR="00FE7321">
        <w:rPr>
          <w:rFonts w:cs="Times New Roman"/>
          <w:szCs w:val="24"/>
        </w:rPr>
        <w:t>.</w:t>
      </w:r>
      <w:r w:rsidR="00FE7321" w:rsidRPr="00FE7321">
        <w:rPr>
          <w:rFonts w:cs="Times New Roman"/>
          <w:szCs w:val="24"/>
        </w:rPr>
        <w:t xml:space="preserve"> </w:t>
      </w:r>
      <w:r w:rsidR="00214BA3" w:rsidRPr="00FE7321">
        <w:rPr>
          <w:rFonts w:cs="Times New Roman"/>
          <w:szCs w:val="24"/>
        </w:rPr>
        <w:t>That is not what the regulation</w:t>
      </w:r>
      <w:r w:rsidR="003A02FC">
        <w:rPr>
          <w:rFonts w:cs="Times New Roman"/>
          <w:szCs w:val="24"/>
        </w:rPr>
        <w:t xml:space="preserve"> provides.</w:t>
      </w:r>
    </w:p>
    <w:p w:rsidR="003A02FC" w:rsidRDefault="003A02FC" w:rsidP="00651CEE">
      <w:pPr>
        <w:widowControl w:val="0"/>
        <w:rPr>
          <w:rFonts w:cs="Times New Roman"/>
          <w:szCs w:val="24"/>
        </w:rPr>
      </w:pPr>
      <w:r>
        <w:rPr>
          <w:rFonts w:cs="Times New Roman"/>
          <w:szCs w:val="24"/>
        </w:rPr>
        <w:tab/>
        <w:t>As the Appeals Court has held:</w:t>
      </w:r>
    </w:p>
    <w:p w:rsidR="003A02FC" w:rsidRPr="003A02FC" w:rsidRDefault="003A02FC" w:rsidP="003A02FC">
      <w:pPr>
        <w:spacing w:after="240" w:line="240" w:lineRule="auto"/>
        <w:ind w:left="720" w:right="720"/>
        <w:rPr>
          <w:rFonts w:eastAsia="Times New Roman" w:cs="Times New Roman"/>
          <w:szCs w:val="24"/>
        </w:rPr>
      </w:pPr>
      <w:r w:rsidRPr="003A02FC">
        <w:rPr>
          <w:rFonts w:eastAsia="Times New Roman" w:cs="Times New Roman"/>
          <w:szCs w:val="24"/>
        </w:rPr>
        <w:t>In reviewing an agency</w:t>
      </w:r>
      <w:r>
        <w:rPr>
          <w:rFonts w:eastAsia="Times New Roman" w:cs="Times New Roman"/>
          <w:szCs w:val="24"/>
        </w:rPr>
        <w:t>’</w:t>
      </w:r>
      <w:r w:rsidRPr="003A02FC">
        <w:rPr>
          <w:rFonts w:eastAsia="Times New Roman" w:cs="Times New Roman"/>
          <w:szCs w:val="24"/>
        </w:rPr>
        <w:t xml:space="preserve">s interpretation of applicable regulations, “[w]e </w:t>
      </w:r>
      <w:proofErr w:type="gramStart"/>
      <w:r w:rsidRPr="003A02FC">
        <w:rPr>
          <w:rFonts w:eastAsia="Times New Roman" w:cs="Times New Roman"/>
          <w:szCs w:val="24"/>
        </w:rPr>
        <w:t>interpret</w:t>
      </w:r>
      <w:proofErr w:type="gramEnd"/>
      <w:r w:rsidRPr="003A02FC">
        <w:rPr>
          <w:rFonts w:eastAsia="Times New Roman" w:cs="Times New Roman"/>
          <w:szCs w:val="24"/>
        </w:rPr>
        <w:t xml:space="preserve"> a regulation in the same manner as a statute, and according to traditional rules of construction. Thus, we accord the words of a regulation their usual and ordinary meaning. We ordinarily accord an agency</w:t>
      </w:r>
      <w:r>
        <w:rPr>
          <w:rFonts w:eastAsia="Times New Roman" w:cs="Times New Roman"/>
          <w:szCs w:val="24"/>
        </w:rPr>
        <w:t>’</w:t>
      </w:r>
      <w:r w:rsidRPr="003A02FC">
        <w:rPr>
          <w:rFonts w:eastAsia="Times New Roman" w:cs="Times New Roman"/>
          <w:szCs w:val="24"/>
        </w:rPr>
        <w:t xml:space="preserve">s interpretation of its own regulation considerable deference. However, this principle is deference, not abdication, and courts will not hesitate to overrule agency interpretations when those interpretations are arbitrary, unreasonable, or inconsistent with the plain terms of the regulation itself.” </w:t>
      </w:r>
      <w:proofErr w:type="spellStart"/>
      <w:r w:rsidRPr="003A02FC">
        <w:rPr>
          <w:rFonts w:eastAsia="Times New Roman" w:cs="Times New Roman"/>
          <w:i/>
          <w:iCs/>
          <w:szCs w:val="24"/>
        </w:rPr>
        <w:t>Warcewicz</w:t>
      </w:r>
      <w:proofErr w:type="spellEnd"/>
      <w:r w:rsidRPr="003A02FC">
        <w:rPr>
          <w:rFonts w:eastAsia="Times New Roman" w:cs="Times New Roman"/>
          <w:i/>
          <w:iCs/>
          <w:szCs w:val="24"/>
        </w:rPr>
        <w:t xml:space="preserve"> v. Department of </w:t>
      </w:r>
      <w:proofErr w:type="spellStart"/>
      <w:r w:rsidRPr="003A02FC">
        <w:rPr>
          <w:rFonts w:eastAsia="Times New Roman" w:cs="Times New Roman"/>
          <w:i/>
          <w:iCs/>
          <w:szCs w:val="24"/>
        </w:rPr>
        <w:t>Envtl</w:t>
      </w:r>
      <w:proofErr w:type="spellEnd"/>
      <w:r w:rsidRPr="003A02FC">
        <w:rPr>
          <w:rFonts w:eastAsia="Times New Roman" w:cs="Times New Roman"/>
          <w:i/>
          <w:iCs/>
          <w:szCs w:val="24"/>
        </w:rPr>
        <w:t>. Protection,</w:t>
      </w:r>
      <w:r w:rsidRPr="003A02FC">
        <w:rPr>
          <w:rFonts w:eastAsia="Times New Roman" w:cs="Times New Roman"/>
          <w:szCs w:val="24"/>
        </w:rPr>
        <w:t xml:space="preserve"> 410 Mass. 548, 550, 574 N.E.2d 364 (1991) (citations omitted). Moreover, our judicial deference “may be tempered” when (as in the present case) the agency interpretation at issue is not one of long-standing or consistent application. </w:t>
      </w:r>
      <w:r w:rsidRPr="003A02FC">
        <w:rPr>
          <w:rFonts w:eastAsia="Times New Roman" w:cs="Times New Roman"/>
          <w:i/>
          <w:iCs/>
          <w:szCs w:val="24"/>
        </w:rPr>
        <w:t>United States Gypsum Co.</w:t>
      </w:r>
      <w:r w:rsidRPr="003A02FC">
        <w:rPr>
          <w:rFonts w:eastAsia="Times New Roman" w:cs="Times New Roman"/>
          <w:szCs w:val="24"/>
        </w:rPr>
        <w:t xml:space="preserve"> v. </w:t>
      </w:r>
      <w:r w:rsidRPr="003A02FC">
        <w:rPr>
          <w:rFonts w:eastAsia="Times New Roman" w:cs="Times New Roman"/>
          <w:i/>
          <w:iCs/>
          <w:szCs w:val="24"/>
        </w:rPr>
        <w:t xml:space="preserve">Executive Office of </w:t>
      </w:r>
      <w:proofErr w:type="spellStart"/>
      <w:r w:rsidRPr="003A02FC">
        <w:rPr>
          <w:rFonts w:eastAsia="Times New Roman" w:cs="Times New Roman"/>
          <w:i/>
          <w:iCs/>
          <w:szCs w:val="24"/>
        </w:rPr>
        <w:t>Envtl</w:t>
      </w:r>
      <w:proofErr w:type="spellEnd"/>
      <w:r w:rsidRPr="003A02FC">
        <w:rPr>
          <w:rFonts w:eastAsia="Times New Roman" w:cs="Times New Roman"/>
          <w:i/>
          <w:iCs/>
          <w:szCs w:val="24"/>
        </w:rPr>
        <w:t>. Affairs,</w:t>
      </w:r>
      <w:r w:rsidRPr="003A02FC">
        <w:rPr>
          <w:rFonts w:eastAsia="Times New Roman" w:cs="Times New Roman"/>
          <w:szCs w:val="24"/>
        </w:rPr>
        <w:t xml:space="preserve"> </w:t>
      </w:r>
      <w:proofErr w:type="gramStart"/>
      <w:r w:rsidRPr="003A02FC">
        <w:rPr>
          <w:rFonts w:eastAsia="Times New Roman" w:cs="Times New Roman"/>
          <w:szCs w:val="24"/>
        </w:rPr>
        <w:t xml:space="preserve">69 </w:t>
      </w:r>
      <w:proofErr w:type="spellStart"/>
      <w:r w:rsidRPr="003A02FC">
        <w:rPr>
          <w:rFonts w:eastAsia="Times New Roman" w:cs="Times New Roman"/>
          <w:szCs w:val="24"/>
        </w:rPr>
        <w:t>Mass.App.Ct</w:t>
      </w:r>
      <w:proofErr w:type="spellEnd"/>
      <w:proofErr w:type="gramEnd"/>
      <w:r w:rsidRPr="003A02FC">
        <w:rPr>
          <w:rFonts w:eastAsia="Times New Roman" w:cs="Times New Roman"/>
          <w:szCs w:val="24"/>
        </w:rPr>
        <w:t>. 243, 249 n. 16, 867 N.E.2d 764 (2007).</w:t>
      </w:r>
    </w:p>
    <w:p w:rsidR="003A02FC" w:rsidRDefault="003A02FC" w:rsidP="003A02FC">
      <w:pPr>
        <w:rPr>
          <w:rFonts w:eastAsia="Times New Roman" w:cs="Times New Roman"/>
          <w:szCs w:val="24"/>
        </w:rPr>
      </w:pPr>
      <w:r w:rsidRPr="003A02FC">
        <w:rPr>
          <w:rFonts w:eastAsia="Times New Roman" w:cs="Times New Roman"/>
          <w:i/>
          <w:szCs w:val="24"/>
        </w:rPr>
        <w:lastRenderedPageBreak/>
        <w:t>Beverly Port Marina, Inc. v. Commissioner of Department of Environmental Protection</w:t>
      </w:r>
      <w:r w:rsidRPr="003A02FC">
        <w:rPr>
          <w:rFonts w:eastAsia="Times New Roman" w:cs="Times New Roman"/>
          <w:szCs w:val="24"/>
        </w:rPr>
        <w:t>, 84 Mass. App. Ct. 612, 620–21 (2013)</w:t>
      </w:r>
      <w:r>
        <w:rPr>
          <w:rFonts w:eastAsia="Times New Roman" w:cs="Times New Roman"/>
          <w:szCs w:val="24"/>
        </w:rPr>
        <w:t>(footnote omitted).</w:t>
      </w:r>
    </w:p>
    <w:p w:rsidR="003A02FC" w:rsidRDefault="003A02FC" w:rsidP="00124800">
      <w:pPr>
        <w:rPr>
          <w:rFonts w:cs="Times New Roman"/>
          <w:szCs w:val="24"/>
        </w:rPr>
      </w:pPr>
      <w:r>
        <w:rPr>
          <w:rFonts w:eastAsia="Times New Roman" w:cs="Times New Roman"/>
          <w:szCs w:val="24"/>
        </w:rPr>
        <w:tab/>
        <w:t xml:space="preserve">DPH’s interpretation does not deserve deference for two reasons. Its interpretation is inconsistent with the plain terms of the regulation itself. And its interpretation is not long-standing. This case may be the first time that DPH has interpreted </w:t>
      </w:r>
      <w:r w:rsidRPr="003A02FC">
        <w:rPr>
          <w:rFonts w:cs="Times New Roman"/>
          <w:szCs w:val="24"/>
        </w:rPr>
        <w:t>“[s]</w:t>
      </w:r>
      <w:proofErr w:type="spellStart"/>
      <w:r>
        <w:rPr>
          <w:rFonts w:cs="Times New Roman"/>
          <w:color w:val="000000"/>
          <w:szCs w:val="24"/>
        </w:rPr>
        <w:t>ubmission</w:t>
      </w:r>
      <w:proofErr w:type="spellEnd"/>
      <w:r>
        <w:rPr>
          <w:rFonts w:cs="Times New Roman"/>
          <w:color w:val="000000"/>
          <w:szCs w:val="24"/>
        </w:rPr>
        <w:t xml:space="preserve"> of…i</w:t>
      </w:r>
      <w:r w:rsidRPr="003A02FC">
        <w:rPr>
          <w:rFonts w:cs="Times New Roman"/>
          <w:color w:val="000000"/>
          <w:szCs w:val="24"/>
        </w:rPr>
        <w:t>nformation in the application”</w:t>
      </w:r>
      <w:r>
        <w:rPr>
          <w:rFonts w:cs="Times New Roman"/>
          <w:color w:val="000000"/>
          <w:szCs w:val="24"/>
        </w:rPr>
        <w:t xml:space="preserve"> to DPH under </w:t>
      </w:r>
      <w:r w:rsidRPr="003A02FC">
        <w:rPr>
          <w:rFonts w:cs="Times New Roman"/>
          <w:szCs w:val="24"/>
        </w:rPr>
        <w:t>105 CMR 725.</w:t>
      </w:r>
      <w:r w:rsidR="00644B86">
        <w:rPr>
          <w:rFonts w:cs="Times New Roman"/>
          <w:szCs w:val="24"/>
        </w:rPr>
        <w:t>425</w:t>
      </w:r>
      <w:r w:rsidRPr="003A02FC">
        <w:rPr>
          <w:rFonts w:cs="Times New Roman"/>
          <w:szCs w:val="24"/>
        </w:rPr>
        <w:t>(A</w:t>
      </w:r>
      <w:proofErr w:type="gramStart"/>
      <w:r w:rsidRPr="003A02FC">
        <w:rPr>
          <w:rFonts w:cs="Times New Roman"/>
          <w:szCs w:val="24"/>
        </w:rPr>
        <w:t>)(</w:t>
      </w:r>
      <w:proofErr w:type="gramEnd"/>
      <w:r w:rsidRPr="003A02FC">
        <w:rPr>
          <w:rFonts w:cs="Times New Roman"/>
          <w:szCs w:val="24"/>
        </w:rPr>
        <w:t>1)</w:t>
      </w:r>
      <w:r>
        <w:rPr>
          <w:rFonts w:cs="Times New Roman"/>
          <w:szCs w:val="24"/>
        </w:rPr>
        <w:t xml:space="preserve"> – and </w:t>
      </w:r>
      <w:r w:rsidR="00124800">
        <w:rPr>
          <w:rFonts w:cs="Times New Roman"/>
          <w:szCs w:val="24"/>
        </w:rPr>
        <w:t>repeated use of the word “submission” in 105 CMR 725.000 demonstrates that it means “submission to DPH” –</w:t>
      </w:r>
      <w:r w:rsidRPr="003A02FC">
        <w:rPr>
          <w:rFonts w:cs="Times New Roman"/>
          <w:szCs w:val="24"/>
        </w:rPr>
        <w:t xml:space="preserve"> to mean</w:t>
      </w:r>
      <w:r>
        <w:rPr>
          <w:rFonts w:cs="Times New Roman"/>
          <w:szCs w:val="24"/>
        </w:rPr>
        <w:t xml:space="preserve"> submission of information to </w:t>
      </w:r>
      <w:r w:rsidR="00124800" w:rsidRPr="00A5195D">
        <w:rPr>
          <w:rFonts w:cs="Times New Roman"/>
          <w:i/>
          <w:szCs w:val="24"/>
        </w:rPr>
        <w:t>other</w:t>
      </w:r>
      <w:r w:rsidR="00124800">
        <w:rPr>
          <w:rFonts w:cs="Times New Roman"/>
          <w:szCs w:val="24"/>
        </w:rPr>
        <w:t xml:space="preserve"> than DPH</w:t>
      </w:r>
      <w:r>
        <w:rPr>
          <w:rFonts w:cs="Times New Roman"/>
          <w:szCs w:val="24"/>
        </w:rPr>
        <w:t xml:space="preserve"> </w:t>
      </w:r>
      <w:r w:rsidR="00124800">
        <w:rPr>
          <w:rFonts w:cs="Times New Roman"/>
          <w:szCs w:val="24"/>
        </w:rPr>
        <w:t xml:space="preserve">or to a place </w:t>
      </w:r>
      <w:r>
        <w:rPr>
          <w:rFonts w:cs="Times New Roman"/>
          <w:szCs w:val="24"/>
        </w:rPr>
        <w:t>where DPH is authorized to find it.</w:t>
      </w:r>
      <w:r w:rsidR="00124800">
        <w:rPr>
          <w:rFonts w:cs="Times New Roman"/>
          <w:szCs w:val="24"/>
        </w:rPr>
        <w:t xml:space="preserve"> If DPH has previously interpreted </w:t>
      </w:r>
      <w:r w:rsidR="00124800" w:rsidRPr="003A02FC">
        <w:rPr>
          <w:rFonts w:cs="Times New Roman"/>
          <w:szCs w:val="24"/>
        </w:rPr>
        <w:t>105 CMR 725.</w:t>
      </w:r>
      <w:r w:rsidR="00644B86">
        <w:rPr>
          <w:rFonts w:cs="Times New Roman"/>
          <w:szCs w:val="24"/>
        </w:rPr>
        <w:t>425</w:t>
      </w:r>
      <w:r w:rsidR="00124800" w:rsidRPr="003A02FC">
        <w:rPr>
          <w:rFonts w:cs="Times New Roman"/>
          <w:szCs w:val="24"/>
        </w:rPr>
        <w:t>(A)(1)</w:t>
      </w:r>
      <w:r w:rsidR="00124800">
        <w:rPr>
          <w:rFonts w:cs="Times New Roman"/>
          <w:szCs w:val="24"/>
        </w:rPr>
        <w:t xml:space="preserve"> to govern submission of information other than to DPH, it is not in the record.</w:t>
      </w:r>
      <w:r w:rsidR="00214BA3" w:rsidRPr="00FE7321">
        <w:rPr>
          <w:rFonts w:cs="Times New Roman"/>
          <w:szCs w:val="24"/>
        </w:rPr>
        <w:t xml:space="preserve"> </w:t>
      </w:r>
    </w:p>
    <w:p w:rsidR="00250163" w:rsidRDefault="00346784" w:rsidP="00D259A6">
      <w:pPr>
        <w:spacing w:line="240" w:lineRule="auto"/>
        <w:ind w:left="720"/>
        <w:rPr>
          <w:szCs w:val="24"/>
        </w:rPr>
      </w:pPr>
      <w:r>
        <w:rPr>
          <w:rFonts w:cs="Times New Roman"/>
          <w:szCs w:val="24"/>
          <w:u w:val="single"/>
        </w:rPr>
        <w:t xml:space="preserve">Proceeding under </w:t>
      </w:r>
      <w:r w:rsidR="00651CEE" w:rsidRPr="00250163">
        <w:rPr>
          <w:rFonts w:cs="Times New Roman"/>
          <w:szCs w:val="24"/>
          <w:u w:val="single"/>
        </w:rPr>
        <w:t xml:space="preserve">105 CMR 725.425(A)(2) (authorizing revocation for violating </w:t>
      </w:r>
      <w:r w:rsidR="00651CEE" w:rsidRPr="00250163">
        <w:rPr>
          <w:szCs w:val="24"/>
          <w:u w:val="single"/>
        </w:rPr>
        <w:t>the requirements of the medical marijuana statute or the DPH regulations implementing it</w:t>
      </w:r>
      <w:r w:rsidR="00250163">
        <w:rPr>
          <w:szCs w:val="24"/>
        </w:rPr>
        <w:t>)</w:t>
      </w:r>
    </w:p>
    <w:p w:rsidR="00D259A6" w:rsidRDefault="00D259A6" w:rsidP="00D259A6">
      <w:pPr>
        <w:spacing w:line="240" w:lineRule="auto"/>
        <w:ind w:left="720"/>
        <w:rPr>
          <w:szCs w:val="24"/>
        </w:rPr>
      </w:pPr>
    </w:p>
    <w:p w:rsidR="00D259A6" w:rsidRDefault="00250163" w:rsidP="00651CEE">
      <w:pPr>
        <w:ind w:firstLine="720"/>
        <w:rPr>
          <w:rFonts w:cs="Times New Roman"/>
          <w:szCs w:val="24"/>
        </w:rPr>
      </w:pPr>
      <w:r w:rsidRPr="00250163">
        <w:rPr>
          <w:rFonts w:cs="Times New Roman"/>
          <w:szCs w:val="24"/>
        </w:rPr>
        <w:t>105 CMR 725.</w:t>
      </w:r>
      <w:r w:rsidR="00644B86">
        <w:rPr>
          <w:rFonts w:cs="Times New Roman"/>
          <w:szCs w:val="24"/>
        </w:rPr>
        <w:t>425</w:t>
      </w:r>
      <w:r w:rsidRPr="00250163">
        <w:rPr>
          <w:rFonts w:cs="Times New Roman"/>
          <w:szCs w:val="24"/>
        </w:rPr>
        <w:t>(A)(1)</w:t>
      </w:r>
      <w:r w:rsidR="00D1419D">
        <w:rPr>
          <w:rFonts w:cs="Times New Roman"/>
          <w:szCs w:val="24"/>
        </w:rPr>
        <w:t xml:space="preserve"> was violated</w:t>
      </w:r>
      <w:r w:rsidR="00D259A6">
        <w:rPr>
          <w:rFonts w:cs="Times New Roman"/>
          <w:szCs w:val="24"/>
        </w:rPr>
        <w:t>, as discussed above</w:t>
      </w:r>
      <w:r>
        <w:rPr>
          <w:rFonts w:cs="Times New Roman"/>
          <w:szCs w:val="24"/>
        </w:rPr>
        <w:t>. If DPH</w:t>
      </w:r>
      <w:r w:rsidR="003F4A9F">
        <w:rPr>
          <w:rFonts w:cs="Times New Roman"/>
          <w:szCs w:val="24"/>
        </w:rPr>
        <w:t xml:space="preserve"> </w:t>
      </w:r>
      <w:r>
        <w:rPr>
          <w:rFonts w:cs="Times New Roman"/>
          <w:szCs w:val="24"/>
        </w:rPr>
        <w:t xml:space="preserve">wishes to </w:t>
      </w:r>
      <w:r w:rsidR="00D259A6">
        <w:rPr>
          <w:rFonts w:cs="Times New Roman"/>
          <w:color w:val="000000"/>
          <w:szCs w:val="24"/>
        </w:rPr>
        <w:t>temporarily suspend and to revoke Mr. Willis</w:t>
      </w:r>
      <w:r w:rsidR="003A02FC">
        <w:rPr>
          <w:rFonts w:cs="Times New Roman"/>
          <w:color w:val="000000"/>
          <w:szCs w:val="24"/>
        </w:rPr>
        <w:t>’</w:t>
      </w:r>
      <w:r w:rsidR="00D259A6">
        <w:rPr>
          <w:rFonts w:cs="Times New Roman"/>
          <w:color w:val="000000"/>
          <w:szCs w:val="24"/>
        </w:rPr>
        <w:t xml:space="preserve">s registration </w:t>
      </w:r>
      <w:r w:rsidR="006656C9">
        <w:rPr>
          <w:rFonts w:cs="Times New Roman"/>
          <w:szCs w:val="24"/>
        </w:rPr>
        <w:t xml:space="preserve">under </w:t>
      </w:r>
      <w:r w:rsidR="006656C9" w:rsidRPr="006656C9">
        <w:rPr>
          <w:rFonts w:cs="Times New Roman"/>
          <w:szCs w:val="24"/>
        </w:rPr>
        <w:t>105 CMR 725.425(A</w:t>
      </w:r>
      <w:proofErr w:type="gramStart"/>
      <w:r w:rsidR="006656C9" w:rsidRPr="006656C9">
        <w:rPr>
          <w:rFonts w:cs="Times New Roman"/>
          <w:szCs w:val="24"/>
        </w:rPr>
        <w:t>)(</w:t>
      </w:r>
      <w:proofErr w:type="gramEnd"/>
      <w:r w:rsidR="006656C9" w:rsidRPr="006656C9">
        <w:rPr>
          <w:rFonts w:cs="Times New Roman"/>
          <w:szCs w:val="24"/>
        </w:rPr>
        <w:t>2)</w:t>
      </w:r>
      <w:r w:rsidR="006656C9">
        <w:rPr>
          <w:rFonts w:cs="Times New Roman"/>
          <w:szCs w:val="24"/>
        </w:rPr>
        <w:t xml:space="preserve"> </w:t>
      </w:r>
      <w:r w:rsidR="00FE30BF">
        <w:rPr>
          <w:rFonts w:cs="Times New Roman"/>
          <w:szCs w:val="24"/>
        </w:rPr>
        <w:t>because</w:t>
      </w:r>
      <w:r w:rsidR="00D259A6">
        <w:rPr>
          <w:rFonts w:cs="Times New Roman"/>
          <w:szCs w:val="24"/>
        </w:rPr>
        <w:t>, in turn,</w:t>
      </w:r>
      <w:r w:rsidR="00FE30BF">
        <w:rPr>
          <w:rFonts w:cs="Times New Roman"/>
          <w:szCs w:val="24"/>
        </w:rPr>
        <w:t xml:space="preserve"> </w:t>
      </w:r>
      <w:r w:rsidR="006656C9" w:rsidRPr="00250163">
        <w:rPr>
          <w:rFonts w:cs="Times New Roman"/>
          <w:szCs w:val="24"/>
        </w:rPr>
        <w:t>105 CMR 725.</w:t>
      </w:r>
      <w:r w:rsidR="00644B86">
        <w:rPr>
          <w:rFonts w:cs="Times New Roman"/>
          <w:szCs w:val="24"/>
        </w:rPr>
        <w:t>425</w:t>
      </w:r>
      <w:r w:rsidR="006656C9" w:rsidRPr="00250163">
        <w:rPr>
          <w:rFonts w:cs="Times New Roman"/>
          <w:szCs w:val="24"/>
        </w:rPr>
        <w:t>(A)(1)</w:t>
      </w:r>
      <w:r w:rsidR="00FE30BF">
        <w:rPr>
          <w:rFonts w:cs="Times New Roman"/>
          <w:szCs w:val="24"/>
        </w:rPr>
        <w:t xml:space="preserve"> was violated</w:t>
      </w:r>
      <w:r w:rsidR="006656C9">
        <w:rPr>
          <w:rFonts w:cs="Times New Roman"/>
          <w:szCs w:val="24"/>
        </w:rPr>
        <w:t xml:space="preserve">, it may do so. </w:t>
      </w:r>
    </w:p>
    <w:p w:rsidR="00651CEE" w:rsidRDefault="00346784" w:rsidP="00D259A6">
      <w:pPr>
        <w:spacing w:line="240" w:lineRule="auto"/>
        <w:ind w:left="720"/>
        <w:rPr>
          <w:szCs w:val="24"/>
          <w:u w:val="single"/>
        </w:rPr>
      </w:pPr>
      <w:r>
        <w:rPr>
          <w:rFonts w:cs="Times New Roman"/>
          <w:szCs w:val="24"/>
          <w:u w:val="single"/>
        </w:rPr>
        <w:t xml:space="preserve">Proceeding under </w:t>
      </w:r>
      <w:r w:rsidR="00651CEE" w:rsidRPr="00364C55">
        <w:rPr>
          <w:rFonts w:cs="Times New Roman"/>
          <w:szCs w:val="24"/>
          <w:u w:val="single"/>
        </w:rPr>
        <w:t xml:space="preserve">105 CMR 725.425(E) (authorizing revocation on </w:t>
      </w:r>
      <w:r w:rsidR="00F17C5B">
        <w:rPr>
          <w:rFonts w:cs="Times New Roman"/>
          <w:szCs w:val="24"/>
          <w:u w:val="single"/>
        </w:rPr>
        <w:t>“</w:t>
      </w:r>
      <w:r w:rsidR="00651CEE" w:rsidRPr="00364C55">
        <w:rPr>
          <w:szCs w:val="24"/>
          <w:u w:val="single"/>
        </w:rPr>
        <w:t>any other ground that serves the purposes</w:t>
      </w:r>
      <w:r w:rsidR="00F17C5B">
        <w:rPr>
          <w:szCs w:val="24"/>
          <w:u w:val="single"/>
        </w:rPr>
        <w:t>”</w:t>
      </w:r>
      <w:r w:rsidR="00651CEE" w:rsidRPr="00364C55">
        <w:rPr>
          <w:szCs w:val="24"/>
          <w:u w:val="single"/>
        </w:rPr>
        <w:t xml:space="preserve"> of the medical marijuana statute or the DPH regulations implementing it).</w:t>
      </w:r>
    </w:p>
    <w:p w:rsidR="00D259A6" w:rsidRPr="00364C55" w:rsidRDefault="00D259A6" w:rsidP="00D259A6">
      <w:pPr>
        <w:spacing w:line="240" w:lineRule="auto"/>
        <w:ind w:left="720"/>
        <w:rPr>
          <w:szCs w:val="24"/>
          <w:u w:val="single"/>
        </w:rPr>
      </w:pPr>
    </w:p>
    <w:p w:rsidR="00364C55" w:rsidRDefault="00FE30BF" w:rsidP="00AF690B">
      <w:pPr>
        <w:widowControl w:val="0"/>
        <w:rPr>
          <w:rFonts w:cs="Times New Roman"/>
          <w:szCs w:val="24"/>
        </w:rPr>
      </w:pPr>
      <w:r>
        <w:rPr>
          <w:rStyle w:val="hierarchydescription2"/>
          <w:rFonts w:cs="Times New Roman"/>
          <w:szCs w:val="24"/>
          <w:lang w:val="en"/>
          <w:specVanish w:val="0"/>
        </w:rPr>
        <w:tab/>
        <w:t>As I</w:t>
      </w:r>
      <w:r w:rsidR="003A02FC">
        <w:rPr>
          <w:rStyle w:val="hierarchydescription2"/>
          <w:rFonts w:cs="Times New Roman"/>
          <w:szCs w:val="24"/>
          <w:lang w:val="en"/>
          <w:specVanish w:val="0"/>
        </w:rPr>
        <w:t>’</w:t>
      </w:r>
      <w:r>
        <w:rPr>
          <w:rStyle w:val="hierarchydescription2"/>
          <w:rFonts w:cs="Times New Roman"/>
          <w:szCs w:val="24"/>
          <w:lang w:val="en"/>
          <w:specVanish w:val="0"/>
        </w:rPr>
        <w:t>ve discussed, one purpose of the medical marijuana statute is to protect the public</w:t>
      </w:r>
      <w:r w:rsidR="009213F4">
        <w:rPr>
          <w:rStyle w:val="hierarchydescription2"/>
          <w:rFonts w:cs="Times New Roman"/>
          <w:szCs w:val="24"/>
          <w:lang w:val="en"/>
          <w:specVanish w:val="0"/>
        </w:rPr>
        <w:t xml:space="preserve"> health.</w:t>
      </w:r>
      <w:r>
        <w:rPr>
          <w:rStyle w:val="hierarchydescription2"/>
          <w:rFonts w:cs="Times New Roman"/>
          <w:szCs w:val="24"/>
          <w:lang w:val="en"/>
          <w:specVanish w:val="0"/>
        </w:rPr>
        <w:t xml:space="preserve"> DPH issued </w:t>
      </w:r>
      <w:r w:rsidR="001179B0" w:rsidRPr="00250163">
        <w:rPr>
          <w:rFonts w:cs="Times New Roman"/>
          <w:szCs w:val="24"/>
        </w:rPr>
        <w:t>105 CMR 725.</w:t>
      </w:r>
      <w:r w:rsidR="00644B86">
        <w:rPr>
          <w:rFonts w:cs="Times New Roman"/>
          <w:szCs w:val="24"/>
        </w:rPr>
        <w:t>425</w:t>
      </w:r>
      <w:r w:rsidR="001179B0" w:rsidRPr="00250163">
        <w:rPr>
          <w:rFonts w:cs="Times New Roman"/>
          <w:szCs w:val="24"/>
        </w:rPr>
        <w:t>(A)(1)</w:t>
      </w:r>
      <w:r w:rsidR="001179B0">
        <w:rPr>
          <w:rFonts w:cs="Times New Roman"/>
          <w:szCs w:val="24"/>
        </w:rPr>
        <w:t xml:space="preserve"> to protect the public</w:t>
      </w:r>
      <w:r w:rsidR="009213F4">
        <w:rPr>
          <w:rFonts w:cs="Times New Roman"/>
          <w:szCs w:val="24"/>
        </w:rPr>
        <w:t xml:space="preserve"> health</w:t>
      </w:r>
      <w:r w:rsidR="001179B0">
        <w:rPr>
          <w:rFonts w:cs="Times New Roman"/>
          <w:szCs w:val="24"/>
        </w:rPr>
        <w:t xml:space="preserve">. Therefore, enforcing </w:t>
      </w:r>
      <w:r w:rsidR="001179B0" w:rsidRPr="00250163">
        <w:rPr>
          <w:rFonts w:cs="Times New Roman"/>
          <w:szCs w:val="24"/>
        </w:rPr>
        <w:t>105 CMR 725.</w:t>
      </w:r>
      <w:r w:rsidR="00644B86">
        <w:rPr>
          <w:rFonts w:cs="Times New Roman"/>
          <w:szCs w:val="24"/>
        </w:rPr>
        <w:t>425</w:t>
      </w:r>
      <w:r w:rsidR="001179B0" w:rsidRPr="00250163">
        <w:rPr>
          <w:rFonts w:cs="Times New Roman"/>
          <w:szCs w:val="24"/>
        </w:rPr>
        <w:t>(A)(1)</w:t>
      </w:r>
      <w:r w:rsidR="001179B0">
        <w:rPr>
          <w:rFonts w:cs="Times New Roman"/>
          <w:szCs w:val="24"/>
        </w:rPr>
        <w:t xml:space="preserve"> serves a purpose of the medical marijuana statute</w:t>
      </w:r>
      <w:r w:rsidR="000410CE">
        <w:rPr>
          <w:rFonts w:cs="Times New Roman"/>
          <w:szCs w:val="24"/>
        </w:rPr>
        <w:t xml:space="preserve">. If DPH wishes </w:t>
      </w:r>
      <w:r w:rsidR="00D259A6">
        <w:rPr>
          <w:rFonts w:cs="Times New Roman"/>
          <w:szCs w:val="24"/>
        </w:rPr>
        <w:t xml:space="preserve">to </w:t>
      </w:r>
      <w:r w:rsidR="00D259A6">
        <w:rPr>
          <w:rFonts w:cs="Times New Roman"/>
          <w:color w:val="000000"/>
          <w:szCs w:val="24"/>
        </w:rPr>
        <w:t>temporarily suspend and to revoke Mr. Willis</w:t>
      </w:r>
      <w:r w:rsidR="003A02FC">
        <w:rPr>
          <w:rFonts w:cs="Times New Roman"/>
          <w:color w:val="000000"/>
          <w:szCs w:val="24"/>
        </w:rPr>
        <w:t>’</w:t>
      </w:r>
      <w:r w:rsidR="00D259A6">
        <w:rPr>
          <w:rFonts w:cs="Times New Roman"/>
          <w:color w:val="000000"/>
          <w:szCs w:val="24"/>
        </w:rPr>
        <w:t>s registration</w:t>
      </w:r>
      <w:r w:rsidR="00D259A6">
        <w:rPr>
          <w:rFonts w:cs="Times New Roman"/>
          <w:szCs w:val="24"/>
        </w:rPr>
        <w:t xml:space="preserve"> under </w:t>
      </w:r>
      <w:r w:rsidR="000410CE">
        <w:rPr>
          <w:rFonts w:cs="Times New Roman"/>
          <w:szCs w:val="24"/>
        </w:rPr>
        <w:t>105 CMR 725.425(E</w:t>
      </w:r>
      <w:r w:rsidR="000410CE" w:rsidRPr="006656C9">
        <w:rPr>
          <w:rFonts w:cs="Times New Roman"/>
          <w:szCs w:val="24"/>
        </w:rPr>
        <w:t>)</w:t>
      </w:r>
      <w:r w:rsidR="000410CE">
        <w:rPr>
          <w:rFonts w:cs="Times New Roman"/>
          <w:szCs w:val="24"/>
        </w:rPr>
        <w:t xml:space="preserve"> because</w:t>
      </w:r>
      <w:r w:rsidR="00D259A6">
        <w:rPr>
          <w:rFonts w:cs="Times New Roman"/>
          <w:szCs w:val="24"/>
        </w:rPr>
        <w:t>, in turn,</w:t>
      </w:r>
      <w:r w:rsidR="000410CE">
        <w:rPr>
          <w:rFonts w:cs="Times New Roman"/>
          <w:szCs w:val="24"/>
        </w:rPr>
        <w:t xml:space="preserve"> </w:t>
      </w:r>
      <w:r w:rsidR="000410CE" w:rsidRPr="00250163">
        <w:rPr>
          <w:rFonts w:cs="Times New Roman"/>
          <w:szCs w:val="24"/>
        </w:rPr>
        <w:t>105 CMR 725.</w:t>
      </w:r>
      <w:r w:rsidR="00644B86">
        <w:rPr>
          <w:rFonts w:cs="Times New Roman"/>
          <w:szCs w:val="24"/>
        </w:rPr>
        <w:t>425</w:t>
      </w:r>
      <w:r w:rsidR="000410CE" w:rsidRPr="00250163">
        <w:rPr>
          <w:rFonts w:cs="Times New Roman"/>
          <w:szCs w:val="24"/>
        </w:rPr>
        <w:t>(A</w:t>
      </w:r>
      <w:proofErr w:type="gramStart"/>
      <w:r w:rsidR="000410CE" w:rsidRPr="00250163">
        <w:rPr>
          <w:rFonts w:cs="Times New Roman"/>
          <w:szCs w:val="24"/>
        </w:rPr>
        <w:t>)(</w:t>
      </w:r>
      <w:proofErr w:type="gramEnd"/>
      <w:r w:rsidR="000410CE" w:rsidRPr="00250163">
        <w:rPr>
          <w:rFonts w:cs="Times New Roman"/>
          <w:szCs w:val="24"/>
        </w:rPr>
        <w:t>1)</w:t>
      </w:r>
      <w:r w:rsidR="000410CE">
        <w:rPr>
          <w:rFonts w:cs="Times New Roman"/>
          <w:szCs w:val="24"/>
        </w:rPr>
        <w:t xml:space="preserve"> was violated, it may do so. </w:t>
      </w:r>
    </w:p>
    <w:p w:rsidR="00FD6BFE" w:rsidRDefault="00645093" w:rsidP="00AF690B">
      <w:pPr>
        <w:widowControl w:val="0"/>
        <w:rPr>
          <w:rFonts w:cs="Times New Roman"/>
          <w:szCs w:val="24"/>
        </w:rPr>
      </w:pPr>
      <w:r>
        <w:rPr>
          <w:rFonts w:cs="Times New Roman"/>
          <w:szCs w:val="24"/>
        </w:rPr>
        <w:tab/>
        <w:t>DPH also issued the background check guidance to protect the public health.</w:t>
      </w:r>
      <w:r w:rsidRPr="00645093">
        <w:rPr>
          <w:rFonts w:cs="Times New Roman"/>
          <w:szCs w:val="24"/>
        </w:rPr>
        <w:t xml:space="preserve"> </w:t>
      </w:r>
      <w:r>
        <w:rPr>
          <w:rFonts w:cs="Times New Roman"/>
          <w:szCs w:val="24"/>
        </w:rPr>
        <w:t xml:space="preserve">Therefore, enforcing </w:t>
      </w:r>
      <w:r w:rsidR="009C1C59">
        <w:rPr>
          <w:rFonts w:cs="Times New Roman"/>
          <w:szCs w:val="24"/>
        </w:rPr>
        <w:t>the background check guidance</w:t>
      </w:r>
      <w:r>
        <w:rPr>
          <w:rFonts w:cs="Times New Roman"/>
          <w:szCs w:val="24"/>
        </w:rPr>
        <w:t xml:space="preserve"> serves a purpose of the medical marijuana statute.</w:t>
      </w:r>
      <w:r w:rsidR="009C1C59">
        <w:rPr>
          <w:rFonts w:cs="Times New Roman"/>
          <w:szCs w:val="24"/>
        </w:rPr>
        <w:t xml:space="preserve"> If </w:t>
      </w:r>
      <w:r w:rsidR="00FD6BFE">
        <w:rPr>
          <w:rFonts w:cs="Times New Roman"/>
          <w:szCs w:val="24"/>
        </w:rPr>
        <w:lastRenderedPageBreak/>
        <w:t xml:space="preserve">DPH wishes to </w:t>
      </w:r>
      <w:r w:rsidR="00FD6BFE">
        <w:rPr>
          <w:rFonts w:cs="Times New Roman"/>
          <w:color w:val="000000"/>
          <w:szCs w:val="24"/>
        </w:rPr>
        <w:t>temporarily suspend and to revoke Mr. Willis</w:t>
      </w:r>
      <w:r w:rsidR="003A02FC">
        <w:rPr>
          <w:rFonts w:cs="Times New Roman"/>
          <w:color w:val="000000"/>
          <w:szCs w:val="24"/>
        </w:rPr>
        <w:t>’</w:t>
      </w:r>
      <w:r w:rsidR="00FD6BFE">
        <w:rPr>
          <w:rFonts w:cs="Times New Roman"/>
          <w:color w:val="000000"/>
          <w:szCs w:val="24"/>
        </w:rPr>
        <w:t>s registration</w:t>
      </w:r>
      <w:r w:rsidR="00FD6BFE">
        <w:rPr>
          <w:rFonts w:cs="Times New Roman"/>
          <w:szCs w:val="24"/>
        </w:rPr>
        <w:t xml:space="preserve"> </w:t>
      </w:r>
      <w:r w:rsidR="009C1C59">
        <w:rPr>
          <w:rFonts w:cs="Times New Roman"/>
          <w:szCs w:val="24"/>
        </w:rPr>
        <w:t>under 105 CMR 725.425(E</w:t>
      </w:r>
      <w:r w:rsidR="009C1C59" w:rsidRPr="006656C9">
        <w:rPr>
          <w:rFonts w:cs="Times New Roman"/>
          <w:szCs w:val="24"/>
        </w:rPr>
        <w:t>)</w:t>
      </w:r>
      <w:r w:rsidR="009C1C59">
        <w:rPr>
          <w:rFonts w:cs="Times New Roman"/>
          <w:szCs w:val="24"/>
        </w:rPr>
        <w:t xml:space="preserve"> because the background check guidance disqualifies Mr. Willis, it may do so.</w:t>
      </w:r>
    </w:p>
    <w:p w:rsidR="00FD6BFE" w:rsidRDefault="00FD6BFE" w:rsidP="00FD6BFE">
      <w:pPr>
        <w:widowControl w:val="0"/>
        <w:rPr>
          <w:rStyle w:val="hierarchydescription2"/>
          <w:rFonts w:cs="Times New Roman"/>
          <w:szCs w:val="24"/>
          <w:lang w:val="en"/>
        </w:rPr>
      </w:pPr>
      <w:r>
        <w:rPr>
          <w:rStyle w:val="hierarchydescription2"/>
          <w:rFonts w:cs="Times New Roman"/>
          <w:szCs w:val="24"/>
          <w:lang w:val="en"/>
          <w:specVanish w:val="0"/>
        </w:rPr>
        <w:tab/>
      </w:r>
      <w:r w:rsidR="00B1308A">
        <w:rPr>
          <w:rStyle w:val="hierarchydescription2"/>
          <w:rFonts w:cs="Times New Roman"/>
          <w:szCs w:val="24"/>
          <w:lang w:val="en"/>
          <w:specVanish w:val="0"/>
        </w:rPr>
        <w:t>For DPH t</w:t>
      </w:r>
      <w:r>
        <w:rPr>
          <w:rStyle w:val="hierarchydescription2"/>
          <w:rFonts w:cs="Times New Roman"/>
          <w:szCs w:val="24"/>
          <w:lang w:val="en"/>
          <w:specVanish w:val="0"/>
        </w:rPr>
        <w:t xml:space="preserve">o bar someone from the medical marijuana program because </w:t>
      </w:r>
      <w:r w:rsidR="00B1308A">
        <w:rPr>
          <w:rStyle w:val="hierarchydescription2"/>
          <w:rFonts w:cs="Times New Roman"/>
          <w:szCs w:val="24"/>
          <w:lang w:val="en"/>
          <w:specVanish w:val="0"/>
        </w:rPr>
        <w:t>doing so</w:t>
      </w:r>
      <w:r>
        <w:rPr>
          <w:rStyle w:val="hierarchydescription2"/>
          <w:rFonts w:cs="Times New Roman"/>
          <w:szCs w:val="24"/>
          <w:lang w:val="en"/>
          <w:specVanish w:val="0"/>
        </w:rPr>
        <w:t xml:space="preserve"> serves the purposes of the medical marijuana statute or DPH</w:t>
      </w:r>
      <w:r w:rsidR="003A02FC">
        <w:rPr>
          <w:rStyle w:val="hierarchydescription2"/>
          <w:rFonts w:cs="Times New Roman"/>
          <w:szCs w:val="24"/>
          <w:lang w:val="en"/>
          <w:specVanish w:val="0"/>
        </w:rPr>
        <w:t>’</w:t>
      </w:r>
      <w:r>
        <w:rPr>
          <w:rStyle w:val="hierarchydescription2"/>
          <w:rFonts w:cs="Times New Roman"/>
          <w:szCs w:val="24"/>
          <w:lang w:val="en"/>
          <w:specVanish w:val="0"/>
        </w:rPr>
        <w:t>s regulations is potentially overbroad, but I do not reach that possibility in this decision.</w:t>
      </w:r>
    </w:p>
    <w:p w:rsidR="00FD6BFE" w:rsidRDefault="00FD6BFE" w:rsidP="00AF690B">
      <w:pPr>
        <w:widowControl w:val="0"/>
        <w:rPr>
          <w:rFonts w:cs="Times New Roman"/>
          <w:szCs w:val="24"/>
        </w:rPr>
      </w:pPr>
      <w:r>
        <w:rPr>
          <w:rFonts w:cs="Times New Roman"/>
          <w:szCs w:val="24"/>
        </w:rPr>
        <w:tab/>
      </w:r>
      <w:r>
        <w:rPr>
          <w:rFonts w:cs="Times New Roman"/>
          <w:szCs w:val="24"/>
          <w:u w:val="single"/>
        </w:rPr>
        <w:t>Proceeding under the background check guidance</w:t>
      </w:r>
      <w:r w:rsidR="00B91704">
        <w:rPr>
          <w:rFonts w:cs="Times New Roman"/>
          <w:szCs w:val="24"/>
        </w:rPr>
        <w:t xml:space="preserve"> </w:t>
      </w:r>
    </w:p>
    <w:p w:rsidR="00645093" w:rsidRDefault="00B91704" w:rsidP="00FD6BFE">
      <w:pPr>
        <w:widowControl w:val="0"/>
        <w:ind w:firstLine="720"/>
        <w:rPr>
          <w:rFonts w:cs="Times New Roman"/>
          <w:szCs w:val="24"/>
        </w:rPr>
      </w:pPr>
      <w:r>
        <w:rPr>
          <w:rFonts w:cs="Times New Roman"/>
          <w:color w:val="000000"/>
          <w:szCs w:val="24"/>
        </w:rPr>
        <w:t>DPH may temporarily suspend and may revoke Mr. Willis</w:t>
      </w:r>
      <w:r w:rsidR="003A02FC">
        <w:rPr>
          <w:rFonts w:cs="Times New Roman"/>
          <w:color w:val="000000"/>
          <w:szCs w:val="24"/>
        </w:rPr>
        <w:t>’</w:t>
      </w:r>
      <w:r>
        <w:rPr>
          <w:rFonts w:cs="Times New Roman"/>
          <w:color w:val="000000"/>
          <w:szCs w:val="24"/>
        </w:rPr>
        <w:t>s</w:t>
      </w:r>
      <w:r w:rsidR="00FD6BFE">
        <w:rPr>
          <w:rFonts w:cs="Times New Roman"/>
          <w:color w:val="000000"/>
          <w:szCs w:val="24"/>
        </w:rPr>
        <w:t xml:space="preserve"> registration</w:t>
      </w:r>
      <w:r>
        <w:rPr>
          <w:rFonts w:cs="Times New Roman"/>
          <w:szCs w:val="24"/>
        </w:rPr>
        <w:t>, but not directly under the background check guidance.</w:t>
      </w:r>
    </w:p>
    <w:p w:rsidR="00B91704" w:rsidRDefault="00B91704" w:rsidP="00AF690B">
      <w:pPr>
        <w:widowControl w:val="0"/>
        <w:rPr>
          <w:rFonts w:cs="Times New Roman"/>
          <w:szCs w:val="24"/>
        </w:rPr>
      </w:pPr>
      <w:r>
        <w:rPr>
          <w:rFonts w:cs="Times New Roman"/>
          <w:szCs w:val="24"/>
        </w:rPr>
        <w:tab/>
        <w:t xml:space="preserve">Although I do not doubt that DPH could have </w:t>
      </w:r>
      <w:r w:rsidR="00D16C1E">
        <w:rPr>
          <w:rFonts w:cs="Times New Roman"/>
          <w:szCs w:val="24"/>
        </w:rPr>
        <w:t>proceeded against Mr. Willis</w:t>
      </w:r>
      <w:r w:rsidR="00FD6BFE">
        <w:rPr>
          <w:rFonts w:cs="Times New Roman"/>
          <w:szCs w:val="24"/>
        </w:rPr>
        <w:t xml:space="preserve"> – and may </w:t>
      </w:r>
      <w:proofErr w:type="gramStart"/>
      <w:r w:rsidR="00FD6BFE">
        <w:rPr>
          <w:rFonts w:cs="Times New Roman"/>
          <w:szCs w:val="24"/>
        </w:rPr>
        <w:t>proceed</w:t>
      </w:r>
      <w:proofErr w:type="gramEnd"/>
      <w:r w:rsidR="00FD6BFE">
        <w:rPr>
          <w:rFonts w:cs="Times New Roman"/>
          <w:szCs w:val="24"/>
        </w:rPr>
        <w:t xml:space="preserve"> against other </w:t>
      </w:r>
      <w:r w:rsidR="00615E3B">
        <w:rPr>
          <w:rFonts w:cs="Times New Roman"/>
          <w:szCs w:val="24"/>
        </w:rPr>
        <w:t xml:space="preserve">dispensary agents </w:t>
      </w:r>
      <w:r w:rsidR="00FD6BFE">
        <w:rPr>
          <w:rFonts w:cs="Times New Roman"/>
          <w:szCs w:val="24"/>
        </w:rPr>
        <w:t xml:space="preserve">and applicants </w:t>
      </w:r>
      <w:r w:rsidR="00615E3B">
        <w:rPr>
          <w:rFonts w:cs="Times New Roman"/>
          <w:szCs w:val="24"/>
        </w:rPr>
        <w:t xml:space="preserve">to be dispensary agents </w:t>
      </w:r>
      <w:r w:rsidR="00FD6BFE">
        <w:rPr>
          <w:rFonts w:cs="Times New Roman"/>
          <w:szCs w:val="24"/>
        </w:rPr>
        <w:t>–</w:t>
      </w:r>
      <w:r w:rsidR="00D16C1E">
        <w:rPr>
          <w:rFonts w:cs="Times New Roman"/>
          <w:szCs w:val="24"/>
        </w:rPr>
        <w:t xml:space="preserve"> directly under the background check guidance, it did not do so in its notices of agency action. </w:t>
      </w:r>
      <w:r w:rsidR="006E4471">
        <w:rPr>
          <w:rFonts w:cs="Times New Roman"/>
          <w:szCs w:val="24"/>
        </w:rPr>
        <w:t>(</w:t>
      </w:r>
      <w:proofErr w:type="spellStart"/>
      <w:r w:rsidR="006E4471">
        <w:rPr>
          <w:rFonts w:cs="Times New Roman"/>
          <w:szCs w:val="24"/>
        </w:rPr>
        <w:t>Exs</w:t>
      </w:r>
      <w:proofErr w:type="spellEnd"/>
      <w:r w:rsidR="006E4471">
        <w:rPr>
          <w:rFonts w:cs="Times New Roman"/>
          <w:szCs w:val="24"/>
        </w:rPr>
        <w:t xml:space="preserve">. </w:t>
      </w:r>
      <w:r w:rsidR="001526BF">
        <w:rPr>
          <w:rFonts w:cs="Times New Roman"/>
          <w:szCs w:val="24"/>
        </w:rPr>
        <w:t>1</w:t>
      </w:r>
      <w:r w:rsidR="006E4471" w:rsidRPr="001526BF">
        <w:rPr>
          <w:rFonts w:cs="Times New Roman"/>
          <w:szCs w:val="24"/>
        </w:rPr>
        <w:t xml:space="preserve"> and</w:t>
      </w:r>
      <w:r w:rsidR="001526BF">
        <w:rPr>
          <w:rFonts w:cs="Times New Roman"/>
          <w:szCs w:val="24"/>
        </w:rPr>
        <w:t xml:space="preserve"> 2</w:t>
      </w:r>
      <w:r w:rsidR="006E4471">
        <w:rPr>
          <w:rFonts w:cs="Times New Roman"/>
          <w:szCs w:val="24"/>
        </w:rPr>
        <w:t xml:space="preserve">.) </w:t>
      </w:r>
      <w:r w:rsidR="00D16C1E">
        <w:rPr>
          <w:rFonts w:cs="Times New Roman"/>
          <w:szCs w:val="24"/>
        </w:rPr>
        <w:t>DPH knew that I was concerned that</w:t>
      </w:r>
      <w:r w:rsidR="00FD6BFE">
        <w:rPr>
          <w:rFonts w:cs="Times New Roman"/>
          <w:szCs w:val="24"/>
        </w:rPr>
        <w:t xml:space="preserve"> Mr. Willis </w:t>
      </w:r>
      <w:proofErr w:type="gramStart"/>
      <w:r w:rsidR="00FD6BFE">
        <w:rPr>
          <w:rFonts w:cs="Times New Roman"/>
          <w:szCs w:val="24"/>
        </w:rPr>
        <w:t>know</w:t>
      </w:r>
      <w:proofErr w:type="gramEnd"/>
      <w:r w:rsidR="00FD6BFE">
        <w:rPr>
          <w:rFonts w:cs="Times New Roman"/>
          <w:szCs w:val="24"/>
        </w:rPr>
        <w:t xml:space="preserve"> under what authority DPH</w:t>
      </w:r>
      <w:r w:rsidR="00D16C1E">
        <w:rPr>
          <w:rFonts w:cs="Times New Roman"/>
          <w:szCs w:val="24"/>
        </w:rPr>
        <w:t xml:space="preserve"> was proceeding </w:t>
      </w:r>
      <w:r w:rsidR="00FD6BFE">
        <w:rPr>
          <w:rFonts w:cs="Times New Roman"/>
          <w:szCs w:val="24"/>
        </w:rPr>
        <w:t>against him. I</w:t>
      </w:r>
      <w:r w:rsidR="001526BF">
        <w:rPr>
          <w:rFonts w:cs="Times New Roman"/>
          <w:szCs w:val="24"/>
        </w:rPr>
        <w:t xml:space="preserve">n other words, I </w:t>
      </w:r>
      <w:r w:rsidR="00FD6BFE">
        <w:rPr>
          <w:rFonts w:cs="Times New Roman"/>
          <w:szCs w:val="24"/>
        </w:rPr>
        <w:t xml:space="preserve">had </w:t>
      </w:r>
      <w:r w:rsidR="001526BF">
        <w:rPr>
          <w:rFonts w:cs="Times New Roman"/>
          <w:szCs w:val="24"/>
        </w:rPr>
        <w:t xml:space="preserve">put </w:t>
      </w:r>
      <w:r w:rsidR="00FD6BFE">
        <w:rPr>
          <w:rFonts w:cs="Times New Roman"/>
          <w:szCs w:val="24"/>
        </w:rPr>
        <w:t>DPH on notice that it must put Mr. Willis on notice. It did not do so with the background check guidance.</w:t>
      </w:r>
    </w:p>
    <w:p w:rsidR="007A7DEE" w:rsidRPr="001526BF" w:rsidRDefault="004B489A" w:rsidP="009971C5">
      <w:pPr>
        <w:ind w:firstLine="720"/>
        <w:rPr>
          <w:rFonts w:cs="Times New Roman"/>
          <w:color w:val="000000"/>
          <w:szCs w:val="24"/>
        </w:rPr>
      </w:pPr>
      <w:r>
        <w:rPr>
          <w:rFonts w:cs="Times New Roman"/>
          <w:color w:val="000000"/>
          <w:szCs w:val="24"/>
          <w:u w:val="single"/>
        </w:rPr>
        <w:t xml:space="preserve">Proceeding under </w:t>
      </w:r>
      <w:r w:rsidR="00950060">
        <w:rPr>
          <w:rFonts w:cs="Times New Roman"/>
          <w:color w:val="000000"/>
          <w:szCs w:val="24"/>
          <w:u w:val="single"/>
        </w:rPr>
        <w:t xml:space="preserve">DPH </w:t>
      </w:r>
      <w:r>
        <w:rPr>
          <w:rFonts w:cs="Times New Roman"/>
          <w:color w:val="000000"/>
          <w:szCs w:val="24"/>
          <w:u w:val="single"/>
        </w:rPr>
        <w:t xml:space="preserve">policy or </w:t>
      </w:r>
      <w:r w:rsidR="001526BF">
        <w:rPr>
          <w:rFonts w:cs="Times New Roman"/>
          <w:color w:val="000000"/>
          <w:szCs w:val="24"/>
          <w:u w:val="single"/>
        </w:rPr>
        <w:t>policies</w:t>
      </w:r>
    </w:p>
    <w:p w:rsidR="004B489A" w:rsidRDefault="004B489A" w:rsidP="0056519D">
      <w:pPr>
        <w:rPr>
          <w:rFonts w:cs="Times New Roman"/>
          <w:szCs w:val="24"/>
        </w:rPr>
      </w:pPr>
      <w:r>
        <w:rPr>
          <w:rFonts w:cs="Times New Roman"/>
          <w:szCs w:val="24"/>
        </w:rPr>
        <w:tab/>
        <w:t>“</w:t>
      </w:r>
      <w:r w:rsidRPr="00236793">
        <w:rPr>
          <w:rFonts w:eastAsia="Times New Roman" w:cs="Times New Roman"/>
          <w:szCs w:val="24"/>
        </w:rPr>
        <w:t>Like any administrative agency,</w:t>
      </w:r>
      <w:r>
        <w:rPr>
          <w:rFonts w:eastAsia="Times New Roman" w:cs="Times New Roman"/>
          <w:szCs w:val="24"/>
        </w:rPr>
        <w:t>”</w:t>
      </w:r>
      <w:r w:rsidRPr="00236793">
        <w:rPr>
          <w:rFonts w:eastAsia="Times New Roman" w:cs="Times New Roman"/>
          <w:szCs w:val="24"/>
        </w:rPr>
        <w:t xml:space="preserve"> </w:t>
      </w:r>
      <w:r>
        <w:rPr>
          <w:rFonts w:eastAsia="Times New Roman" w:cs="Times New Roman"/>
          <w:szCs w:val="24"/>
        </w:rPr>
        <w:t>DPH “</w:t>
      </w:r>
      <w:r w:rsidRPr="00236793">
        <w:rPr>
          <w:rFonts w:eastAsia="Times New Roman" w:cs="Times New Roman"/>
          <w:szCs w:val="24"/>
        </w:rPr>
        <w:t>may, at its discretion, announce and apply new rules and standards in an adjudicatory proceeding.</w:t>
      </w:r>
      <w:r>
        <w:rPr>
          <w:rFonts w:eastAsia="Times New Roman" w:cs="Times New Roman"/>
          <w:szCs w:val="24"/>
        </w:rPr>
        <w:t>”</w:t>
      </w:r>
      <w:r w:rsidRPr="00236793">
        <w:rPr>
          <w:rFonts w:eastAsia="Times New Roman" w:cs="Times New Roman"/>
          <w:szCs w:val="24"/>
        </w:rPr>
        <w:t xml:space="preserve"> </w:t>
      </w:r>
      <w:r>
        <w:rPr>
          <w:rFonts w:eastAsia="Times New Roman" w:cs="Times New Roman"/>
          <w:i/>
          <w:szCs w:val="24"/>
        </w:rPr>
        <w:t>Town of Brookline v. Commissioner</w:t>
      </w:r>
      <w:r w:rsidRPr="004B489A">
        <w:rPr>
          <w:rFonts w:eastAsia="Times New Roman" w:cs="Times New Roman"/>
          <w:i/>
          <w:szCs w:val="24"/>
        </w:rPr>
        <w:t xml:space="preserve"> of Dep</w:t>
      </w:r>
      <w:r>
        <w:rPr>
          <w:rFonts w:eastAsia="Times New Roman" w:cs="Times New Roman"/>
          <w:i/>
          <w:szCs w:val="24"/>
        </w:rPr>
        <w:t>artment of Environmenta</w:t>
      </w:r>
      <w:r w:rsidRPr="004B489A">
        <w:rPr>
          <w:rFonts w:eastAsia="Times New Roman" w:cs="Times New Roman"/>
          <w:i/>
          <w:szCs w:val="24"/>
        </w:rPr>
        <w:t>l Quality Eng</w:t>
      </w:r>
      <w:r>
        <w:rPr>
          <w:rFonts w:eastAsia="Times New Roman" w:cs="Times New Roman"/>
          <w:i/>
          <w:szCs w:val="24"/>
        </w:rPr>
        <w:t>ineerin</w:t>
      </w:r>
      <w:r w:rsidRPr="004B489A">
        <w:rPr>
          <w:rFonts w:eastAsia="Times New Roman" w:cs="Times New Roman"/>
          <w:i/>
          <w:szCs w:val="24"/>
        </w:rPr>
        <w:t>g</w:t>
      </w:r>
      <w:r w:rsidRPr="00236793">
        <w:rPr>
          <w:rFonts w:eastAsia="Times New Roman" w:cs="Times New Roman"/>
          <w:szCs w:val="24"/>
        </w:rPr>
        <w:t>, 387 Mass. 372, 379, (1982)</w:t>
      </w:r>
      <w:r>
        <w:rPr>
          <w:rFonts w:eastAsia="Times New Roman" w:cs="Times New Roman"/>
          <w:szCs w:val="24"/>
        </w:rPr>
        <w:t xml:space="preserve">(citing </w:t>
      </w:r>
      <w:r w:rsidRPr="00236793">
        <w:rPr>
          <w:rFonts w:eastAsia="Times New Roman" w:cs="Times New Roman"/>
          <w:i/>
          <w:iCs/>
          <w:szCs w:val="24"/>
        </w:rPr>
        <w:t xml:space="preserve">SEC v. </w:t>
      </w:r>
      <w:proofErr w:type="spellStart"/>
      <w:r w:rsidRPr="00236793">
        <w:rPr>
          <w:rFonts w:eastAsia="Times New Roman" w:cs="Times New Roman"/>
          <w:i/>
          <w:iCs/>
          <w:szCs w:val="24"/>
        </w:rPr>
        <w:t>Chenery</w:t>
      </w:r>
      <w:proofErr w:type="spellEnd"/>
      <w:r w:rsidRPr="00236793">
        <w:rPr>
          <w:rFonts w:eastAsia="Times New Roman" w:cs="Times New Roman"/>
          <w:i/>
          <w:iCs/>
          <w:szCs w:val="24"/>
        </w:rPr>
        <w:t xml:space="preserve"> Corp.,</w:t>
      </w:r>
      <w:r w:rsidRPr="00236793">
        <w:rPr>
          <w:rFonts w:eastAsia="Times New Roman" w:cs="Times New Roman"/>
          <w:szCs w:val="24"/>
        </w:rPr>
        <w:t xml:space="preserve"> 332 U.S. 194, 202–204 (1947).</w:t>
      </w:r>
      <w:r>
        <w:rPr>
          <w:rFonts w:eastAsia="Times New Roman" w:cs="Times New Roman"/>
          <w:szCs w:val="24"/>
        </w:rPr>
        <w:t>)</w:t>
      </w:r>
    </w:p>
    <w:p w:rsidR="00C9122E" w:rsidRPr="00C9122E" w:rsidRDefault="004B489A" w:rsidP="00B1308A">
      <w:pPr>
        <w:widowControl w:val="0"/>
        <w:rPr>
          <w:rFonts w:cs="Times New Roman"/>
          <w:bCs/>
          <w:szCs w:val="24"/>
        </w:rPr>
      </w:pPr>
      <w:r>
        <w:rPr>
          <w:rFonts w:cs="Times New Roman"/>
          <w:szCs w:val="24"/>
        </w:rPr>
        <w:tab/>
      </w:r>
      <w:r w:rsidR="00C9122E" w:rsidRPr="00C9122E">
        <w:rPr>
          <w:rFonts w:cs="Times New Roman"/>
          <w:szCs w:val="24"/>
        </w:rPr>
        <w:t xml:space="preserve">“Policies announced in adjudicatory proceedings may serve as precedents for future cases.” </w:t>
      </w:r>
      <w:r w:rsidR="00C9122E" w:rsidRPr="00C9122E">
        <w:rPr>
          <w:rFonts w:cs="Times New Roman"/>
          <w:bCs/>
          <w:i/>
          <w:szCs w:val="24"/>
        </w:rPr>
        <w:t>Arthurs v. Board of Registration in Medicine</w:t>
      </w:r>
      <w:r w:rsidR="00C9122E" w:rsidRPr="00C9122E">
        <w:rPr>
          <w:rFonts w:cs="Times New Roman"/>
          <w:bCs/>
          <w:szCs w:val="24"/>
        </w:rPr>
        <w:t>, 383 M</w:t>
      </w:r>
      <w:r>
        <w:rPr>
          <w:rFonts w:cs="Times New Roman"/>
          <w:bCs/>
          <w:szCs w:val="24"/>
        </w:rPr>
        <w:t>ass. 299, 313(1981)(citations o</w:t>
      </w:r>
      <w:r w:rsidR="00C9122E" w:rsidRPr="00C9122E">
        <w:rPr>
          <w:rFonts w:cs="Times New Roman"/>
          <w:bCs/>
          <w:szCs w:val="24"/>
        </w:rPr>
        <w:t>mitted)</w:t>
      </w:r>
      <w:r>
        <w:rPr>
          <w:rFonts w:cs="Times New Roman"/>
          <w:bCs/>
          <w:szCs w:val="24"/>
        </w:rPr>
        <w:t xml:space="preserve">. I do not read too much into the word “future.” A policy announced in one adjudicatory proceeding may </w:t>
      </w:r>
      <w:r w:rsidR="00CE66C2">
        <w:rPr>
          <w:rFonts w:cs="Times New Roman"/>
          <w:bCs/>
          <w:szCs w:val="24"/>
        </w:rPr>
        <w:t xml:space="preserve">generally </w:t>
      </w:r>
      <w:r>
        <w:rPr>
          <w:rFonts w:cs="Times New Roman"/>
          <w:bCs/>
          <w:szCs w:val="24"/>
        </w:rPr>
        <w:t xml:space="preserve">serve as authority to rule in that proceeding, not only in future </w:t>
      </w:r>
      <w:r>
        <w:rPr>
          <w:rFonts w:cs="Times New Roman"/>
          <w:bCs/>
          <w:szCs w:val="24"/>
        </w:rPr>
        <w:lastRenderedPageBreak/>
        <w:t>proceedings.</w:t>
      </w:r>
    </w:p>
    <w:p w:rsidR="004B489A" w:rsidRDefault="00C9122E" w:rsidP="00B1308A">
      <w:pPr>
        <w:widowControl w:val="0"/>
        <w:spacing w:line="240" w:lineRule="auto"/>
        <w:ind w:left="720" w:right="720"/>
        <w:rPr>
          <w:rFonts w:cs="Times New Roman"/>
          <w:szCs w:val="24"/>
        </w:rPr>
      </w:pPr>
      <w:r w:rsidRPr="00C9122E">
        <w:rPr>
          <w:rFonts w:cs="Times New Roman"/>
          <w:szCs w:val="24"/>
        </w:rPr>
        <w:t xml:space="preserve">[T]he choice made between proceeding by general rule or by individual, </w:t>
      </w:r>
      <w:r w:rsidRPr="00C9122E">
        <w:rPr>
          <w:rFonts w:cs="Times New Roman"/>
          <w:i/>
          <w:iCs/>
          <w:szCs w:val="24"/>
        </w:rPr>
        <w:t>ad hoc</w:t>
      </w:r>
      <w:r w:rsidRPr="00C9122E">
        <w:rPr>
          <w:rFonts w:cs="Times New Roman"/>
          <w:szCs w:val="24"/>
        </w:rPr>
        <w:t xml:space="preserve"> litigation is one that lies primarily in the informed discretio</w:t>
      </w:r>
      <w:r w:rsidR="004B489A">
        <w:rPr>
          <w:rFonts w:cs="Times New Roman"/>
          <w:szCs w:val="24"/>
        </w:rPr>
        <w:t>n of the administrative agency.</w:t>
      </w:r>
      <w:r w:rsidRPr="00C9122E">
        <w:rPr>
          <w:rFonts w:cs="Times New Roman"/>
          <w:szCs w:val="24"/>
        </w:rPr>
        <w:t xml:space="preserve"> </w:t>
      </w:r>
    </w:p>
    <w:p w:rsidR="004B489A" w:rsidRDefault="004B489A" w:rsidP="004B489A">
      <w:pPr>
        <w:spacing w:line="240" w:lineRule="auto"/>
        <w:ind w:left="720" w:right="720"/>
        <w:rPr>
          <w:rFonts w:cs="Times New Roman"/>
          <w:szCs w:val="24"/>
        </w:rPr>
      </w:pPr>
    </w:p>
    <w:p w:rsidR="00A513ED" w:rsidRDefault="004B489A" w:rsidP="004B489A">
      <w:pPr>
        <w:rPr>
          <w:rFonts w:cs="Times New Roman"/>
          <w:bCs/>
          <w:szCs w:val="24"/>
        </w:rPr>
      </w:pPr>
      <w:r w:rsidRPr="004B489A">
        <w:rPr>
          <w:rFonts w:cs="Times New Roman"/>
          <w:bCs/>
          <w:i/>
          <w:szCs w:val="24"/>
        </w:rPr>
        <w:t>Id.</w:t>
      </w:r>
      <w:r w:rsidR="00C9122E" w:rsidRPr="00C9122E">
        <w:rPr>
          <w:rFonts w:cs="Times New Roman"/>
          <w:bCs/>
          <w:szCs w:val="24"/>
        </w:rPr>
        <w:t xml:space="preserve"> (citations and internal quotation marks omitted)</w:t>
      </w:r>
      <w:r>
        <w:rPr>
          <w:rFonts w:cs="Times New Roman"/>
          <w:bCs/>
          <w:szCs w:val="24"/>
        </w:rPr>
        <w:t xml:space="preserve">. </w:t>
      </w:r>
    </w:p>
    <w:p w:rsidR="008F3630" w:rsidRDefault="008F3630" w:rsidP="008F3630">
      <w:pPr>
        <w:widowControl w:val="0"/>
        <w:rPr>
          <w:rFonts w:eastAsia="Times New Roman" w:cs="Times New Roman"/>
          <w:szCs w:val="24"/>
        </w:rPr>
      </w:pPr>
      <w:r>
        <w:rPr>
          <w:rFonts w:cs="Times New Roman"/>
          <w:bCs/>
          <w:szCs w:val="24"/>
        </w:rPr>
        <w:tab/>
        <w:t xml:space="preserve">An </w:t>
      </w:r>
      <w:r>
        <w:rPr>
          <w:rFonts w:eastAsia="Times New Roman" w:cs="Times New Roman"/>
          <w:szCs w:val="24"/>
        </w:rPr>
        <w:t>agency</w:t>
      </w:r>
      <w:r w:rsidR="003A02FC">
        <w:rPr>
          <w:rFonts w:eastAsia="Times New Roman" w:cs="Times New Roman"/>
          <w:szCs w:val="24"/>
        </w:rPr>
        <w:t>’</w:t>
      </w:r>
      <w:r>
        <w:rPr>
          <w:rFonts w:eastAsia="Times New Roman" w:cs="Times New Roman"/>
          <w:szCs w:val="24"/>
        </w:rPr>
        <w:t>s decisions through adjudication “</w:t>
      </w:r>
      <w:r w:rsidRPr="00B015F7">
        <w:rPr>
          <w:rFonts w:eastAsia="Times New Roman" w:cs="Times New Roman"/>
          <w:szCs w:val="24"/>
        </w:rPr>
        <w:t>are entitled to deferential review</w:t>
      </w:r>
      <w:r>
        <w:rPr>
          <w:rFonts w:eastAsia="Times New Roman" w:cs="Times New Roman"/>
          <w:szCs w:val="24"/>
        </w:rPr>
        <w:t xml:space="preserve">.” </w:t>
      </w:r>
      <w:r>
        <w:rPr>
          <w:rFonts w:eastAsia="Times New Roman" w:cs="Times New Roman"/>
          <w:i/>
          <w:szCs w:val="24"/>
        </w:rPr>
        <w:t>Board</w:t>
      </w:r>
      <w:r w:rsidRPr="008F3630">
        <w:rPr>
          <w:rFonts w:eastAsia="Times New Roman" w:cs="Times New Roman"/>
          <w:i/>
          <w:szCs w:val="24"/>
        </w:rPr>
        <w:t xml:space="preserve"> of Appeals of Woburn v. Hous</w:t>
      </w:r>
      <w:r>
        <w:rPr>
          <w:rFonts w:eastAsia="Times New Roman" w:cs="Times New Roman"/>
          <w:i/>
          <w:szCs w:val="24"/>
        </w:rPr>
        <w:t>ing</w:t>
      </w:r>
      <w:r w:rsidRPr="008F3630">
        <w:rPr>
          <w:rFonts w:eastAsia="Times New Roman" w:cs="Times New Roman"/>
          <w:i/>
          <w:szCs w:val="24"/>
        </w:rPr>
        <w:t xml:space="preserve"> Appeals Comm</w:t>
      </w:r>
      <w:r>
        <w:rPr>
          <w:rFonts w:eastAsia="Times New Roman" w:cs="Times New Roman"/>
          <w:i/>
          <w:szCs w:val="24"/>
        </w:rPr>
        <w:t>ittee</w:t>
      </w:r>
      <w:r>
        <w:rPr>
          <w:rFonts w:eastAsia="Times New Roman" w:cs="Times New Roman"/>
          <w:szCs w:val="24"/>
        </w:rPr>
        <w:t xml:space="preserve">, 451 Mass. 581, 593 </w:t>
      </w:r>
      <w:r w:rsidRPr="00B015F7">
        <w:rPr>
          <w:rFonts w:eastAsia="Times New Roman" w:cs="Times New Roman"/>
          <w:szCs w:val="24"/>
        </w:rPr>
        <w:t>(2008)</w:t>
      </w:r>
      <w:r>
        <w:rPr>
          <w:rFonts w:eastAsia="Times New Roman" w:cs="Times New Roman"/>
          <w:szCs w:val="24"/>
        </w:rPr>
        <w:t xml:space="preserve">. </w:t>
      </w:r>
      <w:r w:rsidR="004B489A">
        <w:rPr>
          <w:rFonts w:cs="Times New Roman"/>
          <w:bCs/>
          <w:szCs w:val="24"/>
        </w:rPr>
        <w:t>However, “</w:t>
      </w:r>
      <w:r w:rsidR="00236793" w:rsidRPr="00236793">
        <w:rPr>
          <w:rFonts w:eastAsia="Times New Roman" w:cs="Times New Roman"/>
          <w:szCs w:val="24"/>
        </w:rPr>
        <w:t>the application of new principles or standards announced in a decision may be so unfair as to amount to an abuse of discretion.</w:t>
      </w:r>
      <w:r w:rsidR="004B489A">
        <w:rPr>
          <w:rFonts w:eastAsia="Times New Roman" w:cs="Times New Roman"/>
          <w:szCs w:val="24"/>
        </w:rPr>
        <w:t xml:space="preserve">” </w:t>
      </w:r>
      <w:r w:rsidR="004B489A">
        <w:rPr>
          <w:rFonts w:eastAsia="Times New Roman" w:cs="Times New Roman"/>
          <w:i/>
          <w:szCs w:val="24"/>
        </w:rPr>
        <w:t>Town of Brookline</w:t>
      </w:r>
      <w:r w:rsidR="004B489A">
        <w:rPr>
          <w:rFonts w:eastAsia="Times New Roman" w:cs="Times New Roman"/>
          <w:szCs w:val="24"/>
        </w:rPr>
        <w:t>, 387 Mass. at 379 (citation omitted)</w:t>
      </w:r>
      <w:r w:rsidR="00236793">
        <w:rPr>
          <w:rFonts w:eastAsia="Times New Roman" w:cs="Times New Roman"/>
          <w:szCs w:val="24"/>
        </w:rPr>
        <w:t xml:space="preserve">. </w:t>
      </w:r>
      <w:r w:rsidR="004B489A">
        <w:rPr>
          <w:rFonts w:eastAsia="Times New Roman" w:cs="Times New Roman"/>
          <w:szCs w:val="24"/>
        </w:rPr>
        <w:t>There was no abuse of discretion in that case</w:t>
      </w:r>
      <w:r w:rsidR="00B1308A">
        <w:rPr>
          <w:rFonts w:eastAsia="Times New Roman" w:cs="Times New Roman"/>
          <w:szCs w:val="24"/>
        </w:rPr>
        <w:t>.</w:t>
      </w:r>
      <w:r w:rsidR="004B489A">
        <w:rPr>
          <w:rFonts w:eastAsia="Times New Roman" w:cs="Times New Roman"/>
          <w:szCs w:val="24"/>
        </w:rPr>
        <w:t xml:space="preserve"> </w:t>
      </w:r>
      <w:r w:rsidR="00B1308A">
        <w:rPr>
          <w:rFonts w:eastAsia="Times New Roman" w:cs="Times New Roman"/>
          <w:i/>
          <w:szCs w:val="24"/>
        </w:rPr>
        <w:t>I</w:t>
      </w:r>
      <w:r w:rsidR="004B489A">
        <w:rPr>
          <w:rFonts w:eastAsia="Times New Roman" w:cs="Times New Roman"/>
          <w:i/>
          <w:szCs w:val="24"/>
        </w:rPr>
        <w:t>d.</w:t>
      </w:r>
    </w:p>
    <w:p w:rsidR="004B489A" w:rsidRDefault="00AA2198" w:rsidP="008F3630">
      <w:pPr>
        <w:widowControl w:val="0"/>
        <w:rPr>
          <w:rFonts w:eastAsia="Times New Roman" w:cs="Times New Roman"/>
          <w:szCs w:val="24"/>
        </w:rPr>
      </w:pPr>
      <w:r>
        <w:rPr>
          <w:rFonts w:eastAsia="Times New Roman" w:cs="Times New Roman"/>
          <w:szCs w:val="24"/>
        </w:rPr>
        <w:tab/>
        <w:t>DPH made it clear during the hearing that it</w:t>
      </w:r>
      <w:r w:rsidR="00A513ED">
        <w:rPr>
          <w:rFonts w:eastAsia="Times New Roman" w:cs="Times New Roman"/>
          <w:szCs w:val="24"/>
        </w:rPr>
        <w:t xml:space="preserve"> ha</w:t>
      </w:r>
      <w:r>
        <w:rPr>
          <w:rFonts w:eastAsia="Times New Roman" w:cs="Times New Roman"/>
          <w:szCs w:val="24"/>
        </w:rPr>
        <w:t xml:space="preserve">s </w:t>
      </w:r>
      <w:r w:rsidR="00A513ED">
        <w:rPr>
          <w:rFonts w:eastAsia="Times New Roman" w:cs="Times New Roman"/>
          <w:szCs w:val="24"/>
        </w:rPr>
        <w:t xml:space="preserve">a </w:t>
      </w:r>
      <w:r>
        <w:rPr>
          <w:rFonts w:eastAsia="Times New Roman" w:cs="Times New Roman"/>
          <w:szCs w:val="24"/>
        </w:rPr>
        <w:t xml:space="preserve">policy that dispensary agents and applicants to be dispensary agents </w:t>
      </w:r>
      <w:r w:rsidR="00F4656F">
        <w:rPr>
          <w:rFonts w:eastAsia="Times New Roman" w:cs="Times New Roman"/>
          <w:szCs w:val="24"/>
        </w:rPr>
        <w:t xml:space="preserve">must </w:t>
      </w:r>
      <w:r>
        <w:rPr>
          <w:rFonts w:eastAsia="Times New Roman" w:cs="Times New Roman"/>
          <w:szCs w:val="24"/>
        </w:rPr>
        <w:t>be honest. It</w:t>
      </w:r>
      <w:r w:rsidR="00A513ED">
        <w:rPr>
          <w:rFonts w:eastAsia="Times New Roman" w:cs="Times New Roman"/>
          <w:szCs w:val="24"/>
        </w:rPr>
        <w:t xml:space="preserve"> generally</w:t>
      </w:r>
      <w:r>
        <w:rPr>
          <w:rFonts w:eastAsia="Times New Roman" w:cs="Times New Roman"/>
          <w:szCs w:val="24"/>
        </w:rPr>
        <w:t xml:space="preserve"> may enforce this policy. It considered Mr. Willis</w:t>
      </w:r>
      <w:r w:rsidR="003A02FC">
        <w:rPr>
          <w:rFonts w:eastAsia="Times New Roman" w:cs="Times New Roman"/>
          <w:szCs w:val="24"/>
        </w:rPr>
        <w:t>’</w:t>
      </w:r>
      <w:r>
        <w:rPr>
          <w:rFonts w:eastAsia="Times New Roman" w:cs="Times New Roman"/>
          <w:szCs w:val="24"/>
        </w:rPr>
        <w:t>s email to NETA to demonstrate his dishonesty, and I agree. However, DPH may not enforce this policy against Mr. Willis.</w:t>
      </w:r>
    </w:p>
    <w:p w:rsidR="00AA2198" w:rsidRDefault="00AA2198" w:rsidP="008F3630">
      <w:pPr>
        <w:widowControl w:val="0"/>
        <w:rPr>
          <w:rFonts w:eastAsia="Times New Roman" w:cs="Times New Roman"/>
          <w:szCs w:val="24"/>
        </w:rPr>
      </w:pPr>
      <w:r>
        <w:rPr>
          <w:rFonts w:eastAsia="Times New Roman" w:cs="Times New Roman"/>
          <w:szCs w:val="24"/>
        </w:rPr>
        <w:tab/>
        <w:t xml:space="preserve">The record does not reveal when or how DPH adopted or enunciated this policy. Ms. </w:t>
      </w:r>
      <w:proofErr w:type="spellStart"/>
      <w:r>
        <w:rPr>
          <w:szCs w:val="24"/>
        </w:rPr>
        <w:t>Geoghegan</w:t>
      </w:r>
      <w:r w:rsidR="003A02FC">
        <w:rPr>
          <w:szCs w:val="24"/>
        </w:rPr>
        <w:t>’</w:t>
      </w:r>
      <w:r>
        <w:rPr>
          <w:szCs w:val="24"/>
        </w:rPr>
        <w:t>s</w:t>
      </w:r>
      <w:proofErr w:type="spellEnd"/>
      <w:r>
        <w:rPr>
          <w:szCs w:val="24"/>
        </w:rPr>
        <w:t xml:space="preserve"> testimony may or may not have been the first time that DPH has enunciated it in public. In any event, as far as I know, DPH did not notify Mr. Willis before the hearing that it would be proceeding against him under this policy. I</w:t>
      </w:r>
      <w:r>
        <w:rPr>
          <w:rFonts w:cs="Times New Roman"/>
          <w:szCs w:val="24"/>
        </w:rPr>
        <w:t>t did not do so in its notices of agency action. (</w:t>
      </w:r>
      <w:proofErr w:type="spellStart"/>
      <w:r>
        <w:rPr>
          <w:rFonts w:cs="Times New Roman"/>
          <w:szCs w:val="24"/>
        </w:rPr>
        <w:t>Exs</w:t>
      </w:r>
      <w:proofErr w:type="spellEnd"/>
      <w:r>
        <w:rPr>
          <w:rFonts w:cs="Times New Roman"/>
          <w:szCs w:val="24"/>
        </w:rPr>
        <w:t>. 1</w:t>
      </w:r>
      <w:r w:rsidRPr="001526BF">
        <w:rPr>
          <w:rFonts w:cs="Times New Roman"/>
          <w:szCs w:val="24"/>
        </w:rPr>
        <w:t xml:space="preserve"> and</w:t>
      </w:r>
      <w:r>
        <w:rPr>
          <w:rFonts w:cs="Times New Roman"/>
          <w:szCs w:val="24"/>
        </w:rPr>
        <w:t xml:space="preserve"> 2.)</w:t>
      </w:r>
      <w:r w:rsidR="00F35CFD">
        <w:rPr>
          <w:rFonts w:cs="Times New Roman"/>
          <w:szCs w:val="24"/>
        </w:rPr>
        <w:t xml:space="preserve"> </w:t>
      </w:r>
      <w:r w:rsidR="00B1308A">
        <w:rPr>
          <w:rFonts w:cs="Times New Roman"/>
          <w:szCs w:val="24"/>
        </w:rPr>
        <w:t xml:space="preserve">To proceed against Mr. Willis under this policy would be unfair. </w:t>
      </w:r>
      <w:r w:rsidR="00B1308A">
        <w:rPr>
          <w:rFonts w:eastAsia="Times New Roman" w:cs="Times New Roman"/>
          <w:i/>
          <w:szCs w:val="24"/>
        </w:rPr>
        <w:t>Town of Brookline</w:t>
      </w:r>
      <w:r w:rsidR="00B1308A">
        <w:rPr>
          <w:rFonts w:eastAsia="Times New Roman" w:cs="Times New Roman"/>
          <w:szCs w:val="24"/>
        </w:rPr>
        <w:t>, 387 Mass. at 379.</w:t>
      </w:r>
    </w:p>
    <w:p w:rsidR="00B1308A" w:rsidRDefault="00B1308A" w:rsidP="00B1308A">
      <w:pPr>
        <w:widowControl w:val="0"/>
        <w:ind w:firstLine="720"/>
        <w:rPr>
          <w:rFonts w:eastAsia="Times New Roman" w:cs="Times New Roman"/>
          <w:szCs w:val="24"/>
        </w:rPr>
      </w:pPr>
      <w:r>
        <w:rPr>
          <w:rFonts w:cs="Times New Roman"/>
          <w:szCs w:val="24"/>
        </w:rPr>
        <w:t>(My preference for how much notice an agency must give to a party</w:t>
      </w:r>
      <w:r w:rsidR="00D736FA">
        <w:rPr>
          <w:rFonts w:cs="Times New Roman"/>
          <w:szCs w:val="24"/>
        </w:rPr>
        <w:t xml:space="preserve"> about                                                                                                                                                                                                                                                                                                                                                                                                                                                                                                                                                                what authority it is proceeding under</w:t>
      </w:r>
      <w:r>
        <w:rPr>
          <w:rFonts w:cs="Times New Roman"/>
          <w:szCs w:val="24"/>
        </w:rPr>
        <w:t xml:space="preserve"> may or may not be higher than what the U.S. and Massachusetts Constitutions require.</w:t>
      </w:r>
      <w:r w:rsidR="00C423F7">
        <w:rPr>
          <w:rFonts w:cs="Times New Roman"/>
          <w:szCs w:val="24"/>
        </w:rPr>
        <w:t xml:space="preserve"> U.S. Const., </w:t>
      </w:r>
      <w:proofErr w:type="gramStart"/>
      <w:r w:rsidR="00C423F7">
        <w:rPr>
          <w:rFonts w:cs="Times New Roman"/>
          <w:szCs w:val="24"/>
        </w:rPr>
        <w:t>amend</w:t>
      </w:r>
      <w:proofErr w:type="gramEnd"/>
      <w:r w:rsidR="00C423F7">
        <w:rPr>
          <w:rFonts w:cs="Times New Roman"/>
          <w:szCs w:val="24"/>
        </w:rPr>
        <w:t>. XIV; Mass. Const., Pt. I, art. XII.</w:t>
      </w:r>
      <w:r>
        <w:rPr>
          <w:rFonts w:cs="Times New Roman"/>
          <w:szCs w:val="24"/>
        </w:rPr>
        <w:t xml:space="preserve"> Thus, it is possible that this decision is not authority or precedent in future cases on the issue of </w:t>
      </w:r>
      <w:r>
        <w:rPr>
          <w:rFonts w:cs="Times New Roman"/>
          <w:szCs w:val="24"/>
        </w:rPr>
        <w:lastRenderedPageBreak/>
        <w:t>notice. In any event, I</w:t>
      </w:r>
      <w:r w:rsidR="003A02FC">
        <w:rPr>
          <w:rFonts w:cs="Times New Roman"/>
          <w:szCs w:val="24"/>
        </w:rPr>
        <w:t>’</w:t>
      </w:r>
      <w:r>
        <w:rPr>
          <w:rFonts w:cs="Times New Roman"/>
          <w:szCs w:val="24"/>
        </w:rPr>
        <w:t>m not going to lower, during this case, the amount of notice that DPH must give Mr. Willis</w:t>
      </w:r>
      <w:r w:rsidR="003D1301">
        <w:rPr>
          <w:rFonts w:cs="Times New Roman"/>
          <w:szCs w:val="24"/>
        </w:rPr>
        <w:t>,</w:t>
      </w:r>
      <w:r>
        <w:rPr>
          <w:rFonts w:cs="Times New Roman"/>
          <w:szCs w:val="24"/>
        </w:rPr>
        <w:t xml:space="preserve"> whether about a regulation, guidance, or policy.)</w:t>
      </w:r>
    </w:p>
    <w:p w:rsidR="00AA2198" w:rsidRDefault="00AA2198" w:rsidP="0087347C">
      <w:pPr>
        <w:widowControl w:val="0"/>
        <w:rPr>
          <w:rFonts w:cs="Times New Roman"/>
          <w:color w:val="000000"/>
          <w:szCs w:val="24"/>
        </w:rPr>
      </w:pPr>
      <w:r>
        <w:rPr>
          <w:rFonts w:eastAsia="Times New Roman" w:cs="Times New Roman"/>
          <w:szCs w:val="24"/>
        </w:rPr>
        <w:tab/>
      </w:r>
      <w:r w:rsidR="00A513ED">
        <w:rPr>
          <w:rFonts w:cs="Times New Roman"/>
          <w:color w:val="000000"/>
          <w:szCs w:val="24"/>
        </w:rPr>
        <w:t>DPH may temporarily suspend and may revoke Mr. Willis</w:t>
      </w:r>
      <w:r w:rsidR="003A02FC">
        <w:rPr>
          <w:rFonts w:cs="Times New Roman"/>
          <w:color w:val="000000"/>
          <w:szCs w:val="24"/>
        </w:rPr>
        <w:t>’</w:t>
      </w:r>
      <w:r w:rsidR="00A513ED">
        <w:rPr>
          <w:rFonts w:cs="Times New Roman"/>
          <w:color w:val="000000"/>
          <w:szCs w:val="24"/>
        </w:rPr>
        <w:t>s registration, but not under this policy.</w:t>
      </w:r>
    </w:p>
    <w:p w:rsidR="00A513ED" w:rsidRDefault="00A513ED" w:rsidP="00615E3B">
      <w:pPr>
        <w:widowControl w:val="0"/>
        <w:rPr>
          <w:rFonts w:cs="Times New Roman"/>
          <w:color w:val="000000"/>
          <w:szCs w:val="24"/>
        </w:rPr>
      </w:pPr>
      <w:r>
        <w:rPr>
          <w:rFonts w:cs="Times New Roman"/>
          <w:color w:val="000000"/>
          <w:szCs w:val="24"/>
        </w:rPr>
        <w:tab/>
        <w:t xml:space="preserve">DPH did not make it clear during the hearing that it was trying to proceed against Mr. Willis under other policies, as opposed to its interpretations of existing regulations, such as that submitting </w:t>
      </w:r>
      <w:r w:rsidRPr="006D4256">
        <w:rPr>
          <w:rFonts w:cs="Times New Roman"/>
          <w:color w:val="000000"/>
          <w:szCs w:val="24"/>
        </w:rPr>
        <w:t xml:space="preserve">misleading, incorrect, false, or fraudulent information </w:t>
      </w:r>
      <w:r>
        <w:rPr>
          <w:rFonts w:cs="Times New Roman"/>
          <w:color w:val="000000"/>
          <w:szCs w:val="24"/>
        </w:rPr>
        <w:t>to an RMD constitutes submitting it to DPH if DPH may audit the RMD</w:t>
      </w:r>
      <w:r w:rsidR="003A02FC">
        <w:rPr>
          <w:rFonts w:cs="Times New Roman"/>
          <w:color w:val="000000"/>
          <w:szCs w:val="24"/>
        </w:rPr>
        <w:t>’</w:t>
      </w:r>
      <w:r>
        <w:rPr>
          <w:rFonts w:cs="Times New Roman"/>
          <w:color w:val="000000"/>
          <w:szCs w:val="24"/>
        </w:rPr>
        <w:t>s files.</w:t>
      </w:r>
    </w:p>
    <w:p w:rsidR="0056519D" w:rsidRPr="006D4256" w:rsidRDefault="0056519D" w:rsidP="0056519D">
      <w:pPr>
        <w:pStyle w:val="Default"/>
        <w:spacing w:line="480" w:lineRule="auto"/>
        <w:jc w:val="center"/>
        <w:rPr>
          <w:b/>
          <w:color w:val="auto"/>
        </w:rPr>
      </w:pPr>
      <w:r w:rsidRPr="006D4256">
        <w:rPr>
          <w:b/>
          <w:color w:val="auto"/>
        </w:rPr>
        <w:t>Conclusion and Order</w:t>
      </w:r>
    </w:p>
    <w:p w:rsidR="00215041" w:rsidRPr="006D4256" w:rsidRDefault="00215041" w:rsidP="00F87485">
      <w:pPr>
        <w:ind w:firstLine="720"/>
        <w:rPr>
          <w:szCs w:val="24"/>
        </w:rPr>
      </w:pPr>
      <w:r w:rsidRPr="006D4256">
        <w:rPr>
          <w:szCs w:val="24"/>
        </w:rPr>
        <w:t xml:space="preserve"> </w:t>
      </w:r>
      <w:r w:rsidR="00A11B0C">
        <w:rPr>
          <w:szCs w:val="24"/>
        </w:rPr>
        <w:t>DPH may temporarily suspend and may revoke Mr. Willis</w:t>
      </w:r>
      <w:r w:rsidR="003A02FC">
        <w:rPr>
          <w:szCs w:val="24"/>
        </w:rPr>
        <w:t>’</w:t>
      </w:r>
      <w:r w:rsidR="00A11B0C">
        <w:rPr>
          <w:szCs w:val="24"/>
        </w:rPr>
        <w:t xml:space="preserve">s registration as a dispensary agent </w:t>
      </w:r>
      <w:r w:rsidR="00950060">
        <w:rPr>
          <w:szCs w:val="24"/>
        </w:rPr>
        <w:t xml:space="preserve">under </w:t>
      </w:r>
      <w:r w:rsidR="00950060" w:rsidRPr="006D4256">
        <w:rPr>
          <w:rFonts w:cs="Times New Roman"/>
          <w:szCs w:val="24"/>
        </w:rPr>
        <w:t>105 CMR 725.425(A)(1)</w:t>
      </w:r>
      <w:r w:rsidR="00950060">
        <w:rPr>
          <w:rFonts w:cs="Times New Roman"/>
          <w:szCs w:val="24"/>
        </w:rPr>
        <w:t xml:space="preserve">, </w:t>
      </w:r>
      <w:r w:rsidR="00950060" w:rsidRPr="006D4256">
        <w:rPr>
          <w:rFonts w:cs="Times New Roman"/>
          <w:szCs w:val="24"/>
        </w:rPr>
        <w:t>(A)(2)</w:t>
      </w:r>
      <w:r w:rsidR="00950060">
        <w:rPr>
          <w:rFonts w:cs="Times New Roman"/>
          <w:szCs w:val="24"/>
        </w:rPr>
        <w:t xml:space="preserve">, </w:t>
      </w:r>
      <w:r w:rsidR="00950060">
        <w:rPr>
          <w:szCs w:val="24"/>
        </w:rPr>
        <w:t xml:space="preserve">and </w:t>
      </w:r>
      <w:r w:rsidR="00950060" w:rsidRPr="006D4256">
        <w:rPr>
          <w:rFonts w:cs="Times New Roman"/>
          <w:szCs w:val="24"/>
        </w:rPr>
        <w:t>(E)</w:t>
      </w:r>
      <w:r w:rsidR="00950060">
        <w:rPr>
          <w:rFonts w:cs="Times New Roman"/>
          <w:szCs w:val="24"/>
        </w:rPr>
        <w:t xml:space="preserve"> </w:t>
      </w:r>
      <w:r w:rsidR="00A11B0C">
        <w:rPr>
          <w:szCs w:val="24"/>
        </w:rPr>
        <w:t xml:space="preserve">because the application submitted on his behalf contained </w:t>
      </w:r>
      <w:r w:rsidR="00A11B0C" w:rsidRPr="006D4256">
        <w:rPr>
          <w:rFonts w:cs="Times New Roman"/>
          <w:color w:val="000000"/>
          <w:szCs w:val="24"/>
        </w:rPr>
        <w:t xml:space="preserve">misleading, incorrect, </w:t>
      </w:r>
      <w:r w:rsidR="00A11B0C">
        <w:rPr>
          <w:rFonts w:cs="Times New Roman"/>
          <w:color w:val="000000"/>
          <w:szCs w:val="24"/>
        </w:rPr>
        <w:t xml:space="preserve">and </w:t>
      </w:r>
      <w:r w:rsidR="00A11B0C" w:rsidRPr="006D4256">
        <w:rPr>
          <w:rFonts w:cs="Times New Roman"/>
          <w:color w:val="000000"/>
          <w:szCs w:val="24"/>
        </w:rPr>
        <w:t>false</w:t>
      </w:r>
      <w:r w:rsidR="002770E5">
        <w:rPr>
          <w:szCs w:val="24"/>
        </w:rPr>
        <w:t xml:space="preserve"> information.</w:t>
      </w:r>
      <w:r w:rsidRPr="006D4256">
        <w:rPr>
          <w:szCs w:val="24"/>
        </w:rPr>
        <w:t xml:space="preserve">                            </w:t>
      </w:r>
    </w:p>
    <w:p w:rsidR="009E4B46" w:rsidRPr="006D4256" w:rsidRDefault="009E4B46" w:rsidP="009E4B46">
      <w:pPr>
        <w:spacing w:line="240" w:lineRule="auto"/>
        <w:rPr>
          <w:szCs w:val="24"/>
        </w:rPr>
      </w:pPr>
    </w:p>
    <w:p w:rsidR="00DB6139" w:rsidRPr="006D4256" w:rsidRDefault="00DB6139" w:rsidP="00337E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6D4256">
        <w:rPr>
          <w:szCs w:val="24"/>
        </w:rPr>
        <w:tab/>
      </w:r>
      <w:r w:rsidR="00117980" w:rsidRPr="006D4256">
        <w:rPr>
          <w:szCs w:val="24"/>
        </w:rPr>
        <w:t xml:space="preserve"> </w:t>
      </w:r>
    </w:p>
    <w:p w:rsidR="00863995" w:rsidRPr="006D4256" w:rsidRDefault="00863995" w:rsidP="00C1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ab/>
      </w:r>
      <w:r w:rsidRPr="006D4256">
        <w:rPr>
          <w:szCs w:val="24"/>
        </w:rPr>
        <w:tab/>
      </w:r>
      <w:r w:rsidRPr="006D4256">
        <w:rPr>
          <w:szCs w:val="24"/>
        </w:rPr>
        <w:tab/>
      </w:r>
      <w:r w:rsidRPr="006D4256">
        <w:rPr>
          <w:szCs w:val="24"/>
        </w:rPr>
        <w:tab/>
      </w:r>
      <w:r w:rsidRPr="006D4256">
        <w:rPr>
          <w:szCs w:val="24"/>
        </w:rPr>
        <w:tab/>
        <w:t>DIVISION OF ADMINISTRATIVE LAW APPEALS</w:t>
      </w: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ab/>
      </w:r>
      <w:r w:rsidRPr="006D4256">
        <w:rPr>
          <w:szCs w:val="24"/>
        </w:rPr>
        <w:tab/>
      </w:r>
      <w:r w:rsidRPr="006D4256">
        <w:rPr>
          <w:szCs w:val="24"/>
        </w:rPr>
        <w:tab/>
      </w:r>
      <w:r w:rsidRPr="006D4256">
        <w:rPr>
          <w:szCs w:val="24"/>
        </w:rPr>
        <w:tab/>
      </w:r>
      <w:r w:rsidRPr="006D4256">
        <w:rPr>
          <w:szCs w:val="24"/>
        </w:rPr>
        <w:tab/>
        <w:t>__________________________________</w:t>
      </w: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ab/>
      </w:r>
      <w:r w:rsidRPr="006D4256">
        <w:rPr>
          <w:szCs w:val="24"/>
        </w:rPr>
        <w:tab/>
      </w:r>
      <w:r w:rsidRPr="006D4256">
        <w:rPr>
          <w:szCs w:val="24"/>
        </w:rPr>
        <w:tab/>
      </w:r>
      <w:r w:rsidRPr="006D4256">
        <w:rPr>
          <w:szCs w:val="24"/>
        </w:rPr>
        <w:tab/>
      </w:r>
      <w:r w:rsidRPr="006D4256">
        <w:rPr>
          <w:szCs w:val="24"/>
        </w:rPr>
        <w:tab/>
      </w:r>
      <w:r w:rsidR="001D086C" w:rsidRPr="006D4256">
        <w:rPr>
          <w:szCs w:val="24"/>
        </w:rPr>
        <w:t>Kenneth Bresler</w:t>
      </w: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ab/>
      </w:r>
      <w:r w:rsidRPr="006D4256">
        <w:rPr>
          <w:szCs w:val="24"/>
        </w:rPr>
        <w:tab/>
      </w:r>
      <w:r w:rsidRPr="006D4256">
        <w:rPr>
          <w:szCs w:val="24"/>
        </w:rPr>
        <w:tab/>
      </w:r>
      <w:r w:rsidRPr="006D4256">
        <w:rPr>
          <w:szCs w:val="24"/>
        </w:rPr>
        <w:tab/>
      </w:r>
      <w:r w:rsidRPr="006D4256">
        <w:rPr>
          <w:szCs w:val="24"/>
        </w:rPr>
        <w:tab/>
        <w:t>Administrative Magistrate</w:t>
      </w: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 xml:space="preserve">Dated: </w:t>
      </w:r>
      <w:r w:rsidR="002D19CF">
        <w:rPr>
          <w:szCs w:val="24"/>
        </w:rPr>
        <w:t>September 19, 2016</w:t>
      </w:r>
    </w:p>
    <w:p w:rsidR="00863995" w:rsidRPr="006D4256"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szCs w:val="24"/>
        </w:rPr>
      </w:pPr>
      <w:r w:rsidRPr="006D4256">
        <w:rPr>
          <w:szCs w:val="24"/>
        </w:rPr>
        <w:tab/>
      </w:r>
      <w:r w:rsidRPr="006D4256">
        <w:rPr>
          <w:szCs w:val="24"/>
        </w:rPr>
        <w:tab/>
      </w:r>
      <w:r w:rsidRPr="006D4256">
        <w:rPr>
          <w:szCs w:val="24"/>
        </w:rPr>
        <w:tab/>
      </w:r>
      <w:r w:rsidRPr="006D4256">
        <w:rPr>
          <w:szCs w:val="24"/>
        </w:rPr>
        <w:tab/>
      </w:r>
    </w:p>
    <w:sectPr w:rsidR="00863995" w:rsidRPr="006D4256"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894" w:rsidRDefault="00120894" w:rsidP="001D086C">
      <w:pPr>
        <w:spacing w:line="240" w:lineRule="auto"/>
      </w:pPr>
      <w:r>
        <w:separator/>
      </w:r>
    </w:p>
  </w:endnote>
  <w:endnote w:type="continuationSeparator" w:id="0">
    <w:p w:rsidR="00120894" w:rsidRDefault="00120894"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770E5" w:rsidRDefault="002770E5">
        <w:pPr>
          <w:pStyle w:val="Footer"/>
          <w:jc w:val="center"/>
        </w:pPr>
        <w:r>
          <w:fldChar w:fldCharType="begin"/>
        </w:r>
        <w:r>
          <w:instrText xml:space="preserve"> PAGE   \* MERGEFORMAT </w:instrText>
        </w:r>
        <w:r>
          <w:fldChar w:fldCharType="separate"/>
        </w:r>
        <w:r w:rsidR="005A338D">
          <w:rPr>
            <w:noProof/>
          </w:rPr>
          <w:t>23</w:t>
        </w:r>
        <w:r>
          <w:rPr>
            <w:noProof/>
          </w:rPr>
          <w:fldChar w:fldCharType="end"/>
        </w:r>
      </w:p>
    </w:sdtContent>
  </w:sdt>
  <w:p w:rsidR="002770E5" w:rsidRDefault="002770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E5" w:rsidRDefault="002770E5">
    <w:pPr>
      <w:pStyle w:val="Footer"/>
      <w:jc w:val="center"/>
    </w:pPr>
  </w:p>
  <w:p w:rsidR="002770E5" w:rsidRDefault="002770E5"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894" w:rsidRDefault="00120894" w:rsidP="001D086C">
      <w:pPr>
        <w:spacing w:line="240" w:lineRule="auto"/>
      </w:pPr>
      <w:r>
        <w:separator/>
      </w:r>
    </w:p>
  </w:footnote>
  <w:footnote w:type="continuationSeparator" w:id="0">
    <w:p w:rsidR="00120894" w:rsidRDefault="00120894" w:rsidP="001D086C">
      <w:pPr>
        <w:spacing w:line="240" w:lineRule="auto"/>
      </w:pPr>
      <w:r>
        <w:continuationSeparator/>
      </w:r>
    </w:p>
  </w:footnote>
  <w:footnote w:id="1">
    <w:p w:rsidR="002770E5" w:rsidRPr="00403C92" w:rsidRDefault="002770E5" w:rsidP="00403C92">
      <w:pPr>
        <w:pStyle w:val="FootnoteText"/>
        <w:spacing w:after="120"/>
        <w:rPr>
          <w:sz w:val="24"/>
          <w:szCs w:val="24"/>
        </w:rPr>
      </w:pPr>
      <w:r w:rsidRPr="00403C92">
        <w:rPr>
          <w:rStyle w:val="FootnoteReference"/>
          <w:sz w:val="24"/>
          <w:szCs w:val="24"/>
        </w:rPr>
        <w:footnoteRef/>
      </w:r>
      <w:r w:rsidRPr="00403C92">
        <w:rPr>
          <w:sz w:val="24"/>
          <w:szCs w:val="24"/>
        </w:rPr>
        <w:t xml:space="preserve"> </w:t>
      </w:r>
      <w:r w:rsidRPr="00403C92">
        <w:rPr>
          <w:rFonts w:cs="Times New Roman"/>
          <w:sz w:val="24"/>
          <w:szCs w:val="24"/>
        </w:rPr>
        <w:t>At the hearing on June 28, 2016, DPH attempted to reopen this issue by presenting testimony about DPH’s interpretation of 105 CMR 725.425(A)(4).</w:t>
      </w:r>
      <w:r>
        <w:rPr>
          <w:rFonts w:cs="Times New Roman"/>
          <w:sz w:val="24"/>
          <w:szCs w:val="24"/>
        </w:rPr>
        <w:t xml:space="preserve"> In its post-hearing brief, DPH continued to argue this issue.</w:t>
      </w:r>
    </w:p>
  </w:footnote>
  <w:footnote w:id="2">
    <w:p w:rsidR="002770E5" w:rsidRPr="00CC0C4F" w:rsidRDefault="002770E5" w:rsidP="00CC0C4F">
      <w:pPr>
        <w:pStyle w:val="FootnoteText"/>
        <w:spacing w:after="120"/>
        <w:rPr>
          <w:sz w:val="24"/>
          <w:szCs w:val="24"/>
        </w:rPr>
      </w:pPr>
      <w:r w:rsidRPr="00CC0C4F">
        <w:rPr>
          <w:rStyle w:val="FootnoteReference"/>
          <w:sz w:val="24"/>
          <w:szCs w:val="24"/>
        </w:rPr>
        <w:footnoteRef/>
      </w:r>
      <w:r w:rsidRPr="00CC0C4F">
        <w:rPr>
          <w:sz w:val="24"/>
          <w:szCs w:val="24"/>
        </w:rPr>
        <w:t xml:space="preserve"> DPH later moved for reconsideration, which I denied. In its brief, DPH stated:</w:t>
      </w:r>
    </w:p>
    <w:p w:rsidR="002770E5" w:rsidRPr="00CC0C4F" w:rsidRDefault="002770E5" w:rsidP="00CC0C4F">
      <w:pPr>
        <w:pStyle w:val="FootnoteText"/>
        <w:spacing w:after="120"/>
        <w:ind w:left="720" w:right="720"/>
        <w:rPr>
          <w:sz w:val="24"/>
          <w:szCs w:val="24"/>
        </w:rPr>
      </w:pPr>
      <w:r w:rsidRPr="00CC0C4F">
        <w:rPr>
          <w:sz w:val="24"/>
          <w:szCs w:val="24"/>
        </w:rPr>
        <w:t>In accordance with...801 CMR 1.01(11)(c)(1), the Department objected to the Magistrate’s Order and Denial. The respondent did not respond to the Department’s objection.</w:t>
      </w:r>
    </w:p>
    <w:p w:rsidR="002770E5" w:rsidRPr="00CC0C4F" w:rsidRDefault="002770E5" w:rsidP="00CC0C4F">
      <w:pPr>
        <w:pStyle w:val="FootnoteText"/>
        <w:spacing w:after="120"/>
        <w:rPr>
          <w:sz w:val="24"/>
          <w:szCs w:val="24"/>
        </w:rPr>
      </w:pPr>
      <w:r>
        <w:rPr>
          <w:sz w:val="24"/>
          <w:szCs w:val="24"/>
        </w:rPr>
        <w:t>T</w:t>
      </w:r>
      <w:r w:rsidRPr="00CC0C4F">
        <w:rPr>
          <w:sz w:val="24"/>
          <w:szCs w:val="24"/>
        </w:rPr>
        <w:t>he significance of this paragraph</w:t>
      </w:r>
      <w:r>
        <w:rPr>
          <w:sz w:val="24"/>
          <w:szCs w:val="24"/>
        </w:rPr>
        <w:t>, including Mr. Willis’s failure to respond, is unclear</w:t>
      </w:r>
      <w:r w:rsidRPr="00CC0C4F">
        <w:rPr>
          <w:sz w:val="24"/>
          <w:szCs w:val="24"/>
        </w:rPr>
        <w:t>.</w:t>
      </w:r>
      <w:r>
        <w:rPr>
          <w:sz w:val="24"/>
          <w:szCs w:val="24"/>
        </w:rPr>
        <w:t xml:space="preserve"> </w:t>
      </w:r>
      <w:r w:rsidRPr="00CC0C4F">
        <w:rPr>
          <w:sz w:val="24"/>
          <w:szCs w:val="24"/>
        </w:rPr>
        <w:t>801 CMR 1.01(11)(c)(1)</w:t>
      </w:r>
      <w:r>
        <w:rPr>
          <w:sz w:val="24"/>
          <w:szCs w:val="24"/>
        </w:rPr>
        <w:t xml:space="preserve"> covers tentative decisions, not rulings on motions.</w:t>
      </w:r>
    </w:p>
  </w:footnote>
  <w:footnote w:id="3">
    <w:p w:rsidR="002770E5" w:rsidRPr="0033580C" w:rsidRDefault="002770E5" w:rsidP="0033580C">
      <w:pPr>
        <w:pStyle w:val="FootnoteText"/>
        <w:widowControl w:val="0"/>
        <w:spacing w:after="120"/>
        <w:rPr>
          <w:sz w:val="24"/>
          <w:szCs w:val="24"/>
        </w:rPr>
      </w:pPr>
      <w:r w:rsidRPr="0033580C">
        <w:rPr>
          <w:rStyle w:val="FootnoteReference"/>
          <w:sz w:val="24"/>
          <w:szCs w:val="24"/>
        </w:rPr>
        <w:footnoteRef/>
      </w:r>
      <w:r w:rsidRPr="0033580C">
        <w:rPr>
          <w:sz w:val="24"/>
          <w:szCs w:val="24"/>
        </w:rPr>
        <w:t xml:space="preserve"> The statute, regulations, and guid</w:t>
      </w:r>
      <w:r>
        <w:rPr>
          <w:sz w:val="24"/>
          <w:szCs w:val="24"/>
        </w:rPr>
        <w:t>ance</w:t>
      </w:r>
      <w:r w:rsidRPr="0033580C">
        <w:rPr>
          <w:sz w:val="24"/>
          <w:szCs w:val="24"/>
        </w:rPr>
        <w:t xml:space="preserve"> for the medical marijuana program </w:t>
      </w:r>
      <w:r>
        <w:rPr>
          <w:sz w:val="24"/>
          <w:szCs w:val="24"/>
        </w:rPr>
        <w:t>provide</w:t>
      </w:r>
      <w:r w:rsidRPr="0033580C">
        <w:rPr>
          <w:sz w:val="24"/>
          <w:szCs w:val="24"/>
        </w:rPr>
        <w:t xml:space="preserve"> background for the </w:t>
      </w:r>
      <w:r>
        <w:rPr>
          <w:sz w:val="24"/>
          <w:szCs w:val="24"/>
        </w:rPr>
        <w:t>other</w:t>
      </w:r>
      <w:r w:rsidRPr="0033580C">
        <w:rPr>
          <w:sz w:val="24"/>
          <w:szCs w:val="24"/>
        </w:rPr>
        <w:t xml:space="preserve"> facts of this decision.</w:t>
      </w:r>
    </w:p>
  </w:footnote>
  <w:footnote w:id="4">
    <w:p w:rsidR="002770E5" w:rsidRPr="00C23AF0" w:rsidRDefault="002770E5" w:rsidP="00401776">
      <w:pPr>
        <w:pStyle w:val="FootnoteText"/>
        <w:spacing w:after="120"/>
        <w:rPr>
          <w:sz w:val="24"/>
          <w:szCs w:val="24"/>
        </w:rPr>
      </w:pPr>
      <w:r w:rsidRPr="00C23AF0">
        <w:rPr>
          <w:rStyle w:val="FootnoteReference"/>
          <w:sz w:val="24"/>
          <w:szCs w:val="24"/>
        </w:rPr>
        <w:footnoteRef/>
      </w:r>
      <w:r w:rsidRPr="00C23AF0">
        <w:rPr>
          <w:sz w:val="24"/>
          <w:szCs w:val="24"/>
        </w:rPr>
        <w:t xml:space="preserve"> When DPH first issued this document is not in evidence.</w:t>
      </w:r>
    </w:p>
  </w:footnote>
  <w:footnote w:id="5">
    <w:p w:rsidR="002770E5" w:rsidRPr="00F00FE9" w:rsidRDefault="002770E5" w:rsidP="00F00FE9">
      <w:pPr>
        <w:pStyle w:val="FootnoteText"/>
        <w:spacing w:after="120"/>
        <w:rPr>
          <w:sz w:val="24"/>
          <w:szCs w:val="24"/>
        </w:rPr>
      </w:pPr>
      <w:r w:rsidRPr="00F00FE9">
        <w:rPr>
          <w:rStyle w:val="FootnoteReference"/>
          <w:sz w:val="24"/>
          <w:szCs w:val="24"/>
        </w:rPr>
        <w:footnoteRef/>
      </w:r>
      <w:r w:rsidRPr="00F00FE9">
        <w:rPr>
          <w:sz w:val="24"/>
          <w:szCs w:val="24"/>
        </w:rPr>
        <w:t xml:space="preserve"> </w:t>
      </w:r>
      <w:r>
        <w:rPr>
          <w:sz w:val="24"/>
          <w:szCs w:val="24"/>
        </w:rPr>
        <w:t xml:space="preserve">Ms. </w:t>
      </w:r>
      <w:proofErr w:type="spellStart"/>
      <w:r w:rsidRPr="00F00FE9">
        <w:rPr>
          <w:sz w:val="24"/>
          <w:szCs w:val="24"/>
        </w:rPr>
        <w:t>Geoghegan</w:t>
      </w:r>
      <w:proofErr w:type="spellEnd"/>
      <w:r w:rsidRPr="00F00FE9">
        <w:rPr>
          <w:sz w:val="24"/>
          <w:szCs w:val="24"/>
        </w:rPr>
        <w:t xml:space="preserve"> did not know why DPH had not updated its regulations instead of issuing the guidance.</w:t>
      </w:r>
    </w:p>
  </w:footnote>
  <w:footnote w:id="6">
    <w:p w:rsidR="002770E5" w:rsidRPr="00705963" w:rsidRDefault="002770E5" w:rsidP="00401776">
      <w:pPr>
        <w:pStyle w:val="FootnoteText"/>
        <w:spacing w:after="120"/>
        <w:rPr>
          <w:sz w:val="24"/>
          <w:szCs w:val="24"/>
        </w:rPr>
      </w:pPr>
      <w:r w:rsidRPr="00705963">
        <w:rPr>
          <w:rStyle w:val="FootnoteReference"/>
          <w:sz w:val="24"/>
          <w:szCs w:val="24"/>
        </w:rPr>
        <w:footnoteRef/>
      </w:r>
      <w:r w:rsidRPr="00705963">
        <w:rPr>
          <w:sz w:val="24"/>
          <w:szCs w:val="24"/>
        </w:rPr>
        <w:t xml:space="preserve"> There is no Table B, and so on.</w:t>
      </w:r>
    </w:p>
  </w:footnote>
  <w:footnote w:id="7">
    <w:p w:rsidR="002770E5" w:rsidRPr="00134FD0" w:rsidRDefault="002770E5" w:rsidP="00401776">
      <w:pPr>
        <w:pStyle w:val="FootnoteText"/>
        <w:spacing w:after="120"/>
        <w:rPr>
          <w:sz w:val="24"/>
          <w:szCs w:val="24"/>
        </w:rPr>
      </w:pPr>
      <w:r w:rsidRPr="00134FD0">
        <w:rPr>
          <w:rStyle w:val="FootnoteReference"/>
          <w:sz w:val="24"/>
          <w:szCs w:val="24"/>
        </w:rPr>
        <w:footnoteRef/>
      </w:r>
      <w:r w:rsidRPr="00134FD0">
        <w:rPr>
          <w:sz w:val="24"/>
          <w:szCs w:val="24"/>
        </w:rPr>
        <w:t xml:space="preserve"> Presumably, Table A does not intend to distinguish between drugs and narcotics.</w:t>
      </w:r>
    </w:p>
  </w:footnote>
  <w:footnote w:id="8">
    <w:p w:rsidR="002770E5" w:rsidRPr="00EE1570" w:rsidRDefault="002770E5" w:rsidP="00401776">
      <w:pPr>
        <w:pStyle w:val="FootnoteText"/>
        <w:spacing w:after="120"/>
        <w:rPr>
          <w:sz w:val="24"/>
          <w:szCs w:val="24"/>
        </w:rPr>
      </w:pPr>
      <w:r w:rsidRPr="00EE1570">
        <w:rPr>
          <w:rStyle w:val="FootnoteReference"/>
          <w:sz w:val="24"/>
          <w:szCs w:val="24"/>
        </w:rPr>
        <w:footnoteRef/>
      </w:r>
      <w:r w:rsidRPr="00EE1570">
        <w:rPr>
          <w:sz w:val="24"/>
          <w:szCs w:val="24"/>
        </w:rPr>
        <w:t xml:space="preserve"> Presumably, this means </w:t>
      </w:r>
      <w:r>
        <w:rPr>
          <w:sz w:val="24"/>
          <w:szCs w:val="24"/>
        </w:rPr>
        <w:t>“</w:t>
      </w:r>
      <w:r w:rsidRPr="00EE1570">
        <w:rPr>
          <w:sz w:val="24"/>
          <w:szCs w:val="24"/>
        </w:rPr>
        <w:t>disposition of the case,</w:t>
      </w:r>
      <w:r>
        <w:rPr>
          <w:sz w:val="24"/>
          <w:szCs w:val="24"/>
        </w:rPr>
        <w:t>”</w:t>
      </w:r>
      <w:r w:rsidRPr="00EE1570">
        <w:rPr>
          <w:sz w:val="24"/>
          <w:szCs w:val="24"/>
        </w:rPr>
        <w:t xml:space="preserve"> </w:t>
      </w:r>
      <w:r>
        <w:rPr>
          <w:sz w:val="24"/>
          <w:szCs w:val="24"/>
        </w:rPr>
        <w:t>and presumably conviction.</w:t>
      </w:r>
    </w:p>
  </w:footnote>
  <w:footnote w:id="9">
    <w:p w:rsidR="002770E5" w:rsidRPr="00EE1570" w:rsidRDefault="002770E5" w:rsidP="00401776">
      <w:pPr>
        <w:pStyle w:val="FootnoteText"/>
        <w:spacing w:after="120"/>
        <w:rPr>
          <w:sz w:val="24"/>
          <w:szCs w:val="24"/>
        </w:rPr>
      </w:pPr>
      <w:r w:rsidRPr="00EE1570">
        <w:rPr>
          <w:rStyle w:val="FootnoteReference"/>
          <w:sz w:val="24"/>
          <w:szCs w:val="24"/>
        </w:rPr>
        <w:footnoteRef/>
      </w:r>
      <w:r w:rsidRPr="00EE1570">
        <w:rPr>
          <w:sz w:val="24"/>
          <w:szCs w:val="24"/>
        </w:rPr>
        <w:t xml:space="preserve"> This provision apparently does not apply to </w:t>
      </w:r>
      <w:r w:rsidRPr="00EE1570">
        <w:rPr>
          <w:i/>
          <w:sz w:val="24"/>
          <w:szCs w:val="24"/>
        </w:rPr>
        <w:t>non</w:t>
      </w:r>
      <w:r w:rsidRPr="00EE1570">
        <w:rPr>
          <w:sz w:val="24"/>
          <w:szCs w:val="24"/>
        </w:rPr>
        <w:t>-possession non-felonies.</w:t>
      </w:r>
    </w:p>
  </w:footnote>
  <w:footnote w:id="10">
    <w:p w:rsidR="002770E5" w:rsidRPr="00EE1570" w:rsidRDefault="002770E5" w:rsidP="00401776">
      <w:pPr>
        <w:pStyle w:val="FootnoteText"/>
        <w:spacing w:after="120"/>
        <w:rPr>
          <w:sz w:val="24"/>
          <w:szCs w:val="24"/>
        </w:rPr>
      </w:pPr>
      <w:r w:rsidRPr="00EE1570">
        <w:rPr>
          <w:rStyle w:val="FootnoteReference"/>
          <w:sz w:val="24"/>
          <w:szCs w:val="24"/>
        </w:rPr>
        <w:footnoteRef/>
      </w:r>
      <w:r w:rsidRPr="00EE1570">
        <w:rPr>
          <w:sz w:val="24"/>
          <w:szCs w:val="24"/>
        </w:rPr>
        <w:t xml:space="preserve"> Another column of Table A indicates that </w:t>
      </w:r>
      <w:r>
        <w:rPr>
          <w:sz w:val="24"/>
          <w:szCs w:val="24"/>
        </w:rPr>
        <w:t>“</w:t>
      </w:r>
      <w:r w:rsidRPr="00EE1570">
        <w:rPr>
          <w:sz w:val="24"/>
          <w:szCs w:val="24"/>
        </w:rPr>
        <w:t>[w]</w:t>
      </w:r>
      <w:proofErr w:type="spellStart"/>
      <w:r w:rsidRPr="00EE1570">
        <w:rPr>
          <w:sz w:val="24"/>
          <w:szCs w:val="24"/>
        </w:rPr>
        <w:t>eapo</w:t>
      </w:r>
      <w:r>
        <w:rPr>
          <w:sz w:val="24"/>
          <w:szCs w:val="24"/>
        </w:rPr>
        <w:t>n</w:t>
      </w:r>
      <w:r w:rsidRPr="00EE1570">
        <w:rPr>
          <w:sz w:val="24"/>
          <w:szCs w:val="24"/>
        </w:rPr>
        <w:t>s</w:t>
      </w:r>
      <w:proofErr w:type="spellEnd"/>
      <w:r>
        <w:rPr>
          <w:sz w:val="24"/>
          <w:szCs w:val="24"/>
        </w:rPr>
        <w:t>”</w:t>
      </w:r>
      <w:r w:rsidRPr="00EE1570">
        <w:rPr>
          <w:sz w:val="24"/>
          <w:szCs w:val="24"/>
        </w:rPr>
        <w:t xml:space="preserve"> are </w:t>
      </w:r>
      <w:r>
        <w:rPr>
          <w:sz w:val="24"/>
          <w:szCs w:val="24"/>
        </w:rPr>
        <w:t>“</w:t>
      </w:r>
      <w:r w:rsidRPr="00EE1570">
        <w:rPr>
          <w:sz w:val="24"/>
          <w:szCs w:val="24"/>
        </w:rPr>
        <w:t>[f]</w:t>
      </w:r>
      <w:proofErr w:type="spellStart"/>
      <w:r w:rsidRPr="00EE1570">
        <w:rPr>
          <w:sz w:val="24"/>
          <w:szCs w:val="24"/>
        </w:rPr>
        <w:t>irearms</w:t>
      </w:r>
      <w:proofErr w:type="spellEnd"/>
      <w:r w:rsidRPr="00EE1570">
        <w:rPr>
          <w:sz w:val="24"/>
          <w:szCs w:val="24"/>
        </w:rPr>
        <w:t>.</w:t>
      </w:r>
      <w:r>
        <w:rPr>
          <w:sz w:val="24"/>
          <w:szCs w:val="24"/>
        </w:rPr>
        <w:t>” It is unclear what a weapons violation involving narcotics means. That a person was convicted of a weapons offense and narcotics offense for the same transaction? Presumably, there is no time limit on disqualification.</w:t>
      </w:r>
    </w:p>
  </w:footnote>
  <w:footnote w:id="11">
    <w:p w:rsidR="002770E5" w:rsidRPr="00B5239D" w:rsidRDefault="002770E5" w:rsidP="00401776">
      <w:pPr>
        <w:pStyle w:val="FootnoteText"/>
        <w:spacing w:after="120"/>
        <w:rPr>
          <w:sz w:val="24"/>
          <w:szCs w:val="24"/>
        </w:rPr>
      </w:pPr>
      <w:r w:rsidRPr="00B5239D">
        <w:rPr>
          <w:rStyle w:val="FootnoteReference"/>
          <w:sz w:val="24"/>
          <w:szCs w:val="24"/>
        </w:rPr>
        <w:footnoteRef/>
      </w:r>
      <w:r w:rsidRPr="00B5239D">
        <w:rPr>
          <w:sz w:val="24"/>
          <w:szCs w:val="24"/>
        </w:rPr>
        <w:t xml:space="preserve"> </w:t>
      </w:r>
      <w:r>
        <w:rPr>
          <w:sz w:val="24"/>
          <w:szCs w:val="24"/>
        </w:rPr>
        <w:t>“</w:t>
      </w:r>
      <w:r w:rsidRPr="00B5239D">
        <w:rPr>
          <w:sz w:val="24"/>
          <w:szCs w:val="24"/>
        </w:rPr>
        <w:t>Pending offense</w:t>
      </w:r>
      <w:r>
        <w:rPr>
          <w:sz w:val="24"/>
          <w:szCs w:val="24"/>
        </w:rPr>
        <w:t>”</w:t>
      </w:r>
      <w:r w:rsidRPr="00B5239D">
        <w:rPr>
          <w:sz w:val="24"/>
          <w:szCs w:val="24"/>
        </w:rPr>
        <w:t xml:space="preserve"> presumably means an alleged offense that is still pending in court. </w:t>
      </w:r>
      <w:r>
        <w:rPr>
          <w:sz w:val="24"/>
          <w:szCs w:val="24"/>
        </w:rPr>
        <w:t>The background check guidanc</w:t>
      </w:r>
      <w:r w:rsidRPr="00B5239D">
        <w:rPr>
          <w:sz w:val="24"/>
          <w:szCs w:val="24"/>
        </w:rPr>
        <w:t xml:space="preserve">e provides for disqualifying a person </w:t>
      </w:r>
      <w:r>
        <w:rPr>
          <w:sz w:val="24"/>
          <w:szCs w:val="24"/>
        </w:rPr>
        <w:t>for base</w:t>
      </w:r>
      <w:r w:rsidRPr="00B5239D">
        <w:rPr>
          <w:sz w:val="24"/>
          <w:szCs w:val="24"/>
        </w:rPr>
        <w:t xml:space="preserve">s other than convictions: pending offenses and incidents. </w:t>
      </w:r>
      <w:r>
        <w:rPr>
          <w:sz w:val="24"/>
          <w:szCs w:val="24"/>
        </w:rPr>
        <w:t>As “d” and the first “e” in this list of factors indicate, an incident can refer to a non-criminal incident.</w:t>
      </w:r>
    </w:p>
  </w:footnote>
  <w:footnote w:id="12">
    <w:p w:rsidR="002770E5" w:rsidRPr="00941F18" w:rsidRDefault="002770E5" w:rsidP="00401776">
      <w:pPr>
        <w:pStyle w:val="FootnoteText"/>
        <w:spacing w:after="120"/>
        <w:rPr>
          <w:sz w:val="24"/>
          <w:szCs w:val="24"/>
        </w:rPr>
      </w:pPr>
      <w:r w:rsidRPr="00B5239D">
        <w:rPr>
          <w:rStyle w:val="FootnoteReference"/>
          <w:sz w:val="24"/>
          <w:szCs w:val="24"/>
        </w:rPr>
        <w:footnoteRef/>
      </w:r>
      <w:r w:rsidRPr="00B5239D">
        <w:rPr>
          <w:sz w:val="24"/>
          <w:szCs w:val="24"/>
        </w:rPr>
        <w:t xml:space="preserve"> The list of factors has two </w:t>
      </w:r>
      <w:r w:rsidR="00CE66C2">
        <w:rPr>
          <w:sz w:val="24"/>
          <w:szCs w:val="24"/>
        </w:rPr>
        <w:t>“</w:t>
      </w:r>
      <w:proofErr w:type="spellStart"/>
      <w:r w:rsidRPr="00B5239D">
        <w:rPr>
          <w:sz w:val="24"/>
          <w:szCs w:val="24"/>
        </w:rPr>
        <w:t>e</w:t>
      </w:r>
      <w:r w:rsidR="00CE66C2">
        <w:rPr>
          <w:sz w:val="24"/>
          <w:szCs w:val="24"/>
        </w:rPr>
        <w:t>”</w:t>
      </w:r>
      <w:r w:rsidRPr="00B5239D">
        <w:rPr>
          <w:sz w:val="24"/>
          <w:szCs w:val="24"/>
        </w:rPr>
        <w:t>s</w:t>
      </w:r>
      <w:proofErr w:type="spellEnd"/>
      <w:r w:rsidRPr="00B5239D">
        <w:rPr>
          <w:sz w:val="24"/>
          <w:szCs w:val="24"/>
        </w:rPr>
        <w:t>.</w:t>
      </w:r>
    </w:p>
  </w:footnote>
  <w:footnote w:id="13">
    <w:p w:rsidR="002770E5" w:rsidRPr="00D90F66" w:rsidRDefault="002770E5" w:rsidP="00401776">
      <w:pPr>
        <w:pStyle w:val="FootnoteText"/>
        <w:widowControl w:val="0"/>
        <w:spacing w:after="120"/>
        <w:rPr>
          <w:sz w:val="24"/>
          <w:szCs w:val="24"/>
        </w:rPr>
      </w:pPr>
      <w:r w:rsidRPr="00D90F66">
        <w:rPr>
          <w:rStyle w:val="FootnoteReference"/>
          <w:sz w:val="24"/>
          <w:szCs w:val="24"/>
        </w:rPr>
        <w:footnoteRef/>
      </w:r>
      <w:r w:rsidRPr="00D90F66">
        <w:rPr>
          <w:sz w:val="24"/>
          <w:szCs w:val="24"/>
        </w:rPr>
        <w:t xml:space="preserve"> Notice how vague this factor is. </w:t>
      </w:r>
      <w:r>
        <w:rPr>
          <w:rFonts w:cs="Times New Roman"/>
          <w:sz w:val="24"/>
          <w:szCs w:val="24"/>
          <w:lang w:val="en"/>
        </w:rPr>
        <w:t>The background check guidanc</w:t>
      </w:r>
      <w:r w:rsidRPr="00D90F66">
        <w:rPr>
          <w:rFonts w:cs="Times New Roman"/>
          <w:sz w:val="24"/>
          <w:szCs w:val="24"/>
          <w:lang w:val="en"/>
        </w:rPr>
        <w:t xml:space="preserve">e provides that DPH may disqualify a person from registering as a dispensary agent or associating with an RMD on the basis of </w:t>
      </w:r>
      <w:r>
        <w:rPr>
          <w:rFonts w:cs="Times New Roman"/>
          <w:sz w:val="24"/>
          <w:szCs w:val="24"/>
          <w:lang w:val="en"/>
        </w:rPr>
        <w:t>“</w:t>
      </w:r>
      <w:r w:rsidRPr="00D90F66">
        <w:rPr>
          <w:rFonts w:cs="Times New Roman"/>
          <w:sz w:val="24"/>
          <w:szCs w:val="24"/>
          <w:lang w:val="en"/>
        </w:rPr>
        <w:t>relevant information.</w:t>
      </w:r>
      <w:r>
        <w:rPr>
          <w:rFonts w:cs="Times New Roman"/>
          <w:sz w:val="24"/>
          <w:szCs w:val="24"/>
          <w:lang w:val="en"/>
        </w:rPr>
        <w:t>”</w:t>
      </w:r>
      <w:r w:rsidRPr="00D90F66">
        <w:rPr>
          <w:rFonts w:cs="Times New Roman"/>
          <w:sz w:val="24"/>
          <w:szCs w:val="24"/>
          <w:lang w:val="en"/>
        </w:rPr>
        <w:t xml:space="preserve"> It is not that DPH has </w:t>
      </w:r>
      <w:r w:rsidRPr="00D90F66">
        <w:rPr>
          <w:rFonts w:cs="Times New Roman"/>
          <w:i/>
          <w:sz w:val="24"/>
          <w:szCs w:val="24"/>
          <w:lang w:val="en"/>
        </w:rPr>
        <w:t>discretion</w:t>
      </w:r>
      <w:r w:rsidRPr="00D90F66">
        <w:rPr>
          <w:rFonts w:cs="Times New Roman"/>
          <w:sz w:val="24"/>
          <w:szCs w:val="24"/>
          <w:lang w:val="en"/>
        </w:rPr>
        <w:t xml:space="preserve"> to </w:t>
      </w:r>
      <w:r w:rsidRPr="00D90F66">
        <w:rPr>
          <w:rFonts w:cs="Times New Roman"/>
          <w:i/>
          <w:sz w:val="24"/>
          <w:szCs w:val="24"/>
          <w:lang w:val="en"/>
        </w:rPr>
        <w:t>waive</w:t>
      </w:r>
      <w:r w:rsidRPr="00D90F66">
        <w:rPr>
          <w:rFonts w:cs="Times New Roman"/>
          <w:sz w:val="24"/>
          <w:szCs w:val="24"/>
          <w:lang w:val="en"/>
        </w:rPr>
        <w:t xml:space="preserve"> disqualifying offenses or incidents based on relevant information. It is that DPH can decide that an offense or incident that is not categorically disqualifying should disqualify a person, based on relevant information.</w:t>
      </w:r>
    </w:p>
  </w:footnote>
  <w:footnote w:id="14">
    <w:p w:rsidR="002770E5" w:rsidRPr="006873B7" w:rsidRDefault="002770E5" w:rsidP="0024009F">
      <w:pPr>
        <w:pStyle w:val="FootnoteText"/>
        <w:widowControl w:val="0"/>
        <w:spacing w:after="120"/>
        <w:rPr>
          <w:sz w:val="24"/>
          <w:szCs w:val="24"/>
        </w:rPr>
      </w:pPr>
      <w:r w:rsidRPr="006873B7">
        <w:rPr>
          <w:rStyle w:val="FootnoteReference"/>
          <w:sz w:val="24"/>
          <w:szCs w:val="24"/>
        </w:rPr>
        <w:footnoteRef/>
      </w:r>
      <w:r w:rsidRPr="006873B7">
        <w:rPr>
          <w:sz w:val="24"/>
          <w:szCs w:val="24"/>
        </w:rPr>
        <w:t xml:space="preserve"> Mr. Willis was never identified as the seller. Although DPH has asserted that Mr. </w:t>
      </w:r>
      <w:r w:rsidR="00124800" w:rsidRPr="006873B7">
        <w:rPr>
          <w:sz w:val="24"/>
          <w:szCs w:val="24"/>
        </w:rPr>
        <w:t>Willis</w:t>
      </w:r>
      <w:r w:rsidRPr="006873B7">
        <w:rPr>
          <w:sz w:val="24"/>
          <w:szCs w:val="24"/>
        </w:rPr>
        <w:t xml:space="preserve"> was involved in a hand-to-hand marijuana</w:t>
      </w:r>
      <w:r>
        <w:rPr>
          <w:sz w:val="24"/>
          <w:szCs w:val="24"/>
        </w:rPr>
        <w:t xml:space="preserve"> sale</w:t>
      </w:r>
      <w:r w:rsidRPr="006873B7">
        <w:rPr>
          <w:sz w:val="24"/>
          <w:szCs w:val="24"/>
        </w:rPr>
        <w:t xml:space="preserve"> (</w:t>
      </w:r>
      <w:proofErr w:type="spellStart"/>
      <w:r w:rsidRPr="006873B7">
        <w:rPr>
          <w:sz w:val="24"/>
          <w:szCs w:val="24"/>
        </w:rPr>
        <w:t>Geoghegan</w:t>
      </w:r>
      <w:proofErr w:type="spellEnd"/>
      <w:r w:rsidRPr="006873B7">
        <w:rPr>
          <w:sz w:val="24"/>
          <w:szCs w:val="24"/>
        </w:rPr>
        <w:t xml:space="preserve"> testimony, DPH brief)</w:t>
      </w:r>
      <w:r>
        <w:rPr>
          <w:sz w:val="24"/>
          <w:szCs w:val="24"/>
        </w:rPr>
        <w:t xml:space="preserve">, that is double hearsay. A Trooper </w:t>
      </w:r>
      <w:proofErr w:type="spellStart"/>
      <w:r>
        <w:rPr>
          <w:sz w:val="24"/>
          <w:szCs w:val="24"/>
        </w:rPr>
        <w:t>Dziadosz</w:t>
      </w:r>
      <w:proofErr w:type="spellEnd"/>
      <w:r>
        <w:rPr>
          <w:sz w:val="24"/>
          <w:szCs w:val="24"/>
        </w:rPr>
        <w:t xml:space="preserve">, who did not testify at the hearing, reported the hand-to-hand transaction to Sergeant Scott L. </w:t>
      </w:r>
      <w:proofErr w:type="spellStart"/>
      <w:r>
        <w:rPr>
          <w:sz w:val="24"/>
          <w:szCs w:val="24"/>
        </w:rPr>
        <w:t>Heagney</w:t>
      </w:r>
      <w:proofErr w:type="spellEnd"/>
      <w:r>
        <w:rPr>
          <w:sz w:val="24"/>
          <w:szCs w:val="24"/>
        </w:rPr>
        <w:t xml:space="preserve">, who wrote the report and also did not testify. In addition, Trooper </w:t>
      </w:r>
      <w:proofErr w:type="spellStart"/>
      <w:r>
        <w:rPr>
          <w:sz w:val="24"/>
          <w:szCs w:val="24"/>
        </w:rPr>
        <w:t>Dziadosz</w:t>
      </w:r>
      <w:proofErr w:type="spellEnd"/>
      <w:r>
        <w:rPr>
          <w:sz w:val="24"/>
          <w:szCs w:val="24"/>
        </w:rPr>
        <w:t xml:space="preserve"> did not say that he bought marijuana from Mr. Willis. He described the seller, and Sergeant </w:t>
      </w:r>
      <w:proofErr w:type="spellStart"/>
      <w:r>
        <w:rPr>
          <w:sz w:val="24"/>
          <w:szCs w:val="24"/>
        </w:rPr>
        <w:t>Heagney</w:t>
      </w:r>
      <w:proofErr w:type="spellEnd"/>
      <w:r>
        <w:rPr>
          <w:sz w:val="24"/>
          <w:szCs w:val="24"/>
        </w:rPr>
        <w:t xml:space="preserve"> said that the description of the seller matched Mr. Willis. Thus, this is hedged double hearsay. DPH also states without qualification that the distribution charge was related to the hand-to-hand sale. That is a reasonable assumption, but because Mr. Willis did not go to trial, it is unknown whether Mr. Willis was charged because of the hand-to-hand sale and/or because of the accoutrements of distribution: the logs of n</w:t>
      </w:r>
      <w:r w:rsidR="00CE66C2">
        <w:rPr>
          <w:sz w:val="24"/>
          <w:szCs w:val="24"/>
        </w:rPr>
        <w:t>ames and money, and the baggies, which I discuss below.</w:t>
      </w:r>
    </w:p>
  </w:footnote>
  <w:footnote w:id="15">
    <w:p w:rsidR="002770E5" w:rsidRDefault="002770E5" w:rsidP="0024009F">
      <w:pPr>
        <w:pStyle w:val="FootnoteText"/>
        <w:widowControl w:val="0"/>
        <w:spacing w:after="120"/>
      </w:pPr>
      <w:r w:rsidRPr="0024009F">
        <w:rPr>
          <w:rStyle w:val="FootnoteReference"/>
          <w:sz w:val="24"/>
          <w:szCs w:val="24"/>
        </w:rPr>
        <w:footnoteRef/>
      </w:r>
      <w:r w:rsidRPr="0024009F">
        <w:rPr>
          <w:sz w:val="24"/>
          <w:szCs w:val="24"/>
        </w:rPr>
        <w:t xml:space="preserve"> This entire police report is hearsay. I do not find as facts the contents of the report. However, it is useful background</w:t>
      </w:r>
      <w:r>
        <w:rPr>
          <w:sz w:val="24"/>
          <w:szCs w:val="24"/>
        </w:rPr>
        <w:t xml:space="preserve"> to discuss the position of DPH, which relies on the report.</w:t>
      </w:r>
    </w:p>
  </w:footnote>
  <w:footnote w:id="16">
    <w:p w:rsidR="002770E5" w:rsidRPr="00210B95" w:rsidRDefault="002770E5" w:rsidP="00210B95">
      <w:pPr>
        <w:pStyle w:val="FootnoteText"/>
        <w:widowControl w:val="0"/>
        <w:spacing w:after="120"/>
        <w:rPr>
          <w:sz w:val="24"/>
          <w:szCs w:val="24"/>
        </w:rPr>
      </w:pPr>
      <w:r w:rsidRPr="00210B95">
        <w:rPr>
          <w:rStyle w:val="FootnoteReference"/>
          <w:sz w:val="24"/>
          <w:szCs w:val="24"/>
        </w:rPr>
        <w:footnoteRef/>
      </w:r>
      <w:r w:rsidRPr="00210B95">
        <w:rPr>
          <w:sz w:val="24"/>
          <w:szCs w:val="24"/>
        </w:rPr>
        <w:t xml:space="preserve"> The following is not in evidence: what </w:t>
      </w:r>
      <w:proofErr w:type="spellStart"/>
      <w:r w:rsidRPr="00210B95">
        <w:rPr>
          <w:sz w:val="24"/>
          <w:szCs w:val="24"/>
        </w:rPr>
        <w:t>Norcap</w:t>
      </w:r>
      <w:proofErr w:type="spellEnd"/>
      <w:r w:rsidRPr="00210B95">
        <w:rPr>
          <w:sz w:val="24"/>
          <w:szCs w:val="24"/>
        </w:rPr>
        <w:t xml:space="preserve"> stands for; that Mr. Willis was ever ordered to attend a group; and what constituted his alleged failure to attend.</w:t>
      </w:r>
    </w:p>
  </w:footnote>
  <w:footnote w:id="17">
    <w:p w:rsidR="002770E5" w:rsidRPr="00EE5751" w:rsidRDefault="002770E5" w:rsidP="00EE5751">
      <w:pPr>
        <w:pStyle w:val="FootnoteText"/>
        <w:spacing w:after="120"/>
        <w:rPr>
          <w:sz w:val="24"/>
          <w:szCs w:val="24"/>
        </w:rPr>
      </w:pPr>
      <w:r w:rsidRPr="00210B95">
        <w:rPr>
          <w:rStyle w:val="FootnoteReference"/>
          <w:sz w:val="24"/>
          <w:szCs w:val="24"/>
        </w:rPr>
        <w:footnoteRef/>
      </w:r>
      <w:r w:rsidRPr="00210B95">
        <w:rPr>
          <w:sz w:val="24"/>
          <w:szCs w:val="24"/>
        </w:rPr>
        <w:t xml:space="preserve"> </w:t>
      </w:r>
      <w:r w:rsidRPr="00EE5751">
        <w:rPr>
          <w:sz w:val="24"/>
          <w:szCs w:val="24"/>
        </w:rPr>
        <w:t>The third positive test result for THC was on May 3, 2000, after the notice of probation violations was issued. It is unclear from the record if the third positive test for THC was</w:t>
      </w:r>
      <w:r>
        <w:rPr>
          <w:sz w:val="24"/>
          <w:szCs w:val="24"/>
        </w:rPr>
        <w:t xml:space="preserve"> ever</w:t>
      </w:r>
      <w:r w:rsidRPr="00EE5751">
        <w:rPr>
          <w:sz w:val="24"/>
          <w:szCs w:val="24"/>
        </w:rPr>
        <w:t xml:space="preserve"> the subject of adjudication.</w:t>
      </w:r>
    </w:p>
  </w:footnote>
  <w:footnote w:id="18">
    <w:p w:rsidR="002770E5" w:rsidRDefault="002770E5" w:rsidP="00250526">
      <w:pPr>
        <w:pStyle w:val="FootnoteText"/>
        <w:spacing w:after="120"/>
      </w:pPr>
      <w:r w:rsidRPr="00EE5751">
        <w:rPr>
          <w:rStyle w:val="FootnoteReference"/>
          <w:sz w:val="24"/>
          <w:szCs w:val="24"/>
        </w:rPr>
        <w:footnoteRef/>
      </w:r>
      <w:r w:rsidRPr="00EE5751">
        <w:rPr>
          <w:sz w:val="24"/>
          <w:szCs w:val="24"/>
        </w:rPr>
        <w:t xml:space="preserve"> </w:t>
      </w:r>
      <w:r w:rsidRPr="00EE5751">
        <w:rPr>
          <w:rFonts w:cs="Times New Roman"/>
          <w:sz w:val="24"/>
          <w:szCs w:val="24"/>
          <w:lang w:val="en"/>
        </w:rPr>
        <w:t>Much of the docket, which is handwritten and contains abbreviations that went unexplained in the record, is hard to decipher.</w:t>
      </w:r>
    </w:p>
  </w:footnote>
  <w:footnote w:id="19">
    <w:p w:rsidR="002770E5" w:rsidRPr="00986CA3" w:rsidRDefault="002770E5" w:rsidP="00250526">
      <w:pPr>
        <w:pStyle w:val="FootnoteText"/>
        <w:widowControl w:val="0"/>
        <w:spacing w:after="120"/>
        <w:rPr>
          <w:sz w:val="24"/>
          <w:szCs w:val="24"/>
        </w:rPr>
      </w:pPr>
      <w:r w:rsidRPr="00986CA3">
        <w:rPr>
          <w:rStyle w:val="FootnoteReference"/>
          <w:sz w:val="24"/>
          <w:szCs w:val="24"/>
        </w:rPr>
        <w:footnoteRef/>
      </w:r>
      <w:r w:rsidRPr="00986CA3">
        <w:rPr>
          <w:sz w:val="24"/>
          <w:szCs w:val="24"/>
        </w:rPr>
        <w:t xml:space="preserve"> Presumably </w:t>
      </w:r>
      <w:r>
        <w:rPr>
          <w:sz w:val="24"/>
          <w:szCs w:val="24"/>
        </w:rPr>
        <w:t>“</w:t>
      </w:r>
      <w:proofErr w:type="spellStart"/>
      <w:r w:rsidRPr="00986CA3">
        <w:rPr>
          <w:sz w:val="24"/>
          <w:szCs w:val="24"/>
        </w:rPr>
        <w:t>Cont</w:t>
      </w:r>
      <w:proofErr w:type="spellEnd"/>
      <w:r w:rsidRPr="00986CA3">
        <w:rPr>
          <w:sz w:val="24"/>
          <w:szCs w:val="24"/>
        </w:rPr>
        <w:t xml:space="preserve"> Sub</w:t>
      </w:r>
      <w:r>
        <w:rPr>
          <w:sz w:val="24"/>
          <w:szCs w:val="24"/>
        </w:rPr>
        <w:t>”</w:t>
      </w:r>
      <w:r w:rsidRPr="00986CA3">
        <w:rPr>
          <w:sz w:val="24"/>
          <w:szCs w:val="24"/>
        </w:rPr>
        <w:t xml:space="preserve"> is </w:t>
      </w:r>
      <w:r>
        <w:rPr>
          <w:sz w:val="24"/>
          <w:szCs w:val="24"/>
        </w:rPr>
        <w:t>“</w:t>
      </w:r>
      <w:r w:rsidRPr="00986CA3">
        <w:rPr>
          <w:sz w:val="24"/>
          <w:szCs w:val="24"/>
        </w:rPr>
        <w:t>controlled substance.</w:t>
      </w:r>
      <w:r w:rsidR="00644B86">
        <w:rPr>
          <w:sz w:val="24"/>
          <w:szCs w:val="24"/>
        </w:rPr>
        <w:t>”</w:t>
      </w:r>
    </w:p>
  </w:footnote>
  <w:footnote w:id="20">
    <w:p w:rsidR="002770E5" w:rsidRDefault="002770E5" w:rsidP="00250526">
      <w:pPr>
        <w:pStyle w:val="FootnoteText"/>
        <w:widowControl w:val="0"/>
        <w:spacing w:after="120"/>
      </w:pPr>
      <w:r w:rsidRPr="00D90F66">
        <w:rPr>
          <w:rStyle w:val="FootnoteReference"/>
          <w:sz w:val="24"/>
          <w:szCs w:val="24"/>
        </w:rPr>
        <w:footnoteRef/>
      </w:r>
      <w:r w:rsidRPr="00D90F66">
        <w:rPr>
          <w:sz w:val="24"/>
          <w:szCs w:val="24"/>
        </w:rPr>
        <w:t xml:space="preserve"> </w:t>
      </w:r>
      <w:r>
        <w:rPr>
          <w:sz w:val="24"/>
          <w:szCs w:val="24"/>
        </w:rPr>
        <w:t xml:space="preserve">This is strictly </w:t>
      </w:r>
      <w:r w:rsidRPr="00D90F66">
        <w:rPr>
          <w:sz w:val="24"/>
          <w:szCs w:val="24"/>
        </w:rPr>
        <w:t>accurate</w:t>
      </w:r>
      <w:r>
        <w:rPr>
          <w:sz w:val="24"/>
          <w:szCs w:val="24"/>
        </w:rPr>
        <w:t xml:space="preserve"> but misleading</w:t>
      </w:r>
      <w:r w:rsidRPr="00D90F66">
        <w:rPr>
          <w:sz w:val="24"/>
          <w:szCs w:val="24"/>
        </w:rPr>
        <w:t>. Mr. Willis was arrested when he was 17. He was found in violation of probation one year and five months later, when he was 18 or 19.</w:t>
      </w:r>
    </w:p>
  </w:footnote>
  <w:footnote w:id="21">
    <w:p w:rsidR="002770E5" w:rsidRPr="005D0763" w:rsidRDefault="002770E5" w:rsidP="00250526">
      <w:pPr>
        <w:pStyle w:val="FootnoteText"/>
        <w:widowControl w:val="0"/>
        <w:spacing w:after="120"/>
        <w:rPr>
          <w:sz w:val="24"/>
          <w:szCs w:val="24"/>
        </w:rPr>
      </w:pPr>
      <w:r w:rsidRPr="005D0763">
        <w:rPr>
          <w:rStyle w:val="FootnoteReference"/>
          <w:sz w:val="24"/>
          <w:szCs w:val="24"/>
        </w:rPr>
        <w:footnoteRef/>
      </w:r>
      <w:r w:rsidRPr="005D0763">
        <w:rPr>
          <w:sz w:val="24"/>
          <w:szCs w:val="24"/>
        </w:rPr>
        <w:t xml:space="preserve"> Mr. Willis did not specify what these </w:t>
      </w:r>
      <w:r>
        <w:rPr>
          <w:sz w:val="24"/>
          <w:szCs w:val="24"/>
        </w:rPr>
        <w:t>“</w:t>
      </w:r>
      <w:r w:rsidRPr="005D0763">
        <w:rPr>
          <w:sz w:val="24"/>
          <w:szCs w:val="24"/>
        </w:rPr>
        <w:t>other activities</w:t>
      </w:r>
      <w:r>
        <w:rPr>
          <w:sz w:val="24"/>
          <w:szCs w:val="24"/>
        </w:rPr>
        <w:t>”</w:t>
      </w:r>
      <w:r w:rsidRPr="005D0763">
        <w:rPr>
          <w:sz w:val="24"/>
          <w:szCs w:val="24"/>
        </w:rPr>
        <w:t xml:space="preserve"> were.</w:t>
      </w:r>
      <w:r>
        <w:rPr>
          <w:sz w:val="24"/>
          <w:szCs w:val="24"/>
        </w:rPr>
        <w:t xml:space="preserve"> If the Franklin Police Department report was accurate, and I did not make factual findings about its accuracy, the other activities included smoking, possessing, and distributing marijuana. If the report was accurate, Mr. Willis distributed marijuana.</w:t>
      </w:r>
    </w:p>
  </w:footnote>
  <w:footnote w:id="22">
    <w:p w:rsidR="002770E5" w:rsidRPr="00D20FCB" w:rsidRDefault="002770E5" w:rsidP="00250526">
      <w:pPr>
        <w:pStyle w:val="FootnoteText"/>
        <w:spacing w:after="120"/>
        <w:rPr>
          <w:sz w:val="24"/>
          <w:szCs w:val="24"/>
        </w:rPr>
      </w:pPr>
      <w:r w:rsidRPr="00D20FCB">
        <w:rPr>
          <w:rStyle w:val="FootnoteReference"/>
          <w:sz w:val="24"/>
          <w:szCs w:val="24"/>
        </w:rPr>
        <w:footnoteRef/>
      </w:r>
      <w:r w:rsidRPr="00D20FCB">
        <w:rPr>
          <w:sz w:val="24"/>
          <w:szCs w:val="24"/>
        </w:rPr>
        <w:t xml:space="preserve"> If the Franklin Police Department report was accurate, then this was </w:t>
      </w:r>
      <w:r>
        <w:rPr>
          <w:sz w:val="24"/>
          <w:szCs w:val="24"/>
        </w:rPr>
        <w:t>misleading</w:t>
      </w:r>
      <w:r w:rsidRPr="00D20FCB">
        <w:rPr>
          <w:sz w:val="24"/>
          <w:szCs w:val="24"/>
        </w:rPr>
        <w:t xml:space="preserve"> because Mr. Willis had been selling marijuana at this address.</w:t>
      </w:r>
    </w:p>
  </w:footnote>
  <w:footnote w:id="23">
    <w:p w:rsidR="002770E5" w:rsidRPr="0075538F" w:rsidRDefault="002770E5" w:rsidP="00250526">
      <w:pPr>
        <w:pStyle w:val="FootnoteText"/>
        <w:spacing w:after="120"/>
        <w:rPr>
          <w:sz w:val="24"/>
          <w:szCs w:val="24"/>
        </w:rPr>
      </w:pPr>
      <w:r w:rsidRPr="0075538F">
        <w:rPr>
          <w:rStyle w:val="FootnoteReference"/>
          <w:sz w:val="24"/>
          <w:szCs w:val="24"/>
        </w:rPr>
        <w:footnoteRef/>
      </w:r>
      <w:r w:rsidRPr="0075538F">
        <w:rPr>
          <w:sz w:val="24"/>
          <w:szCs w:val="24"/>
        </w:rPr>
        <w:t xml:space="preserve"> If the po</w:t>
      </w:r>
      <w:r>
        <w:rPr>
          <w:sz w:val="24"/>
          <w:szCs w:val="24"/>
        </w:rPr>
        <w:t>lice report was accurate, this was in</w:t>
      </w:r>
      <w:r w:rsidRPr="0075538F">
        <w:rPr>
          <w:sz w:val="24"/>
          <w:szCs w:val="24"/>
        </w:rPr>
        <w:t>correct. The police saw open and unopened cans  containing beer.</w:t>
      </w:r>
    </w:p>
  </w:footnote>
  <w:footnote w:id="24">
    <w:p w:rsidR="002770E5" w:rsidRPr="0075538F" w:rsidRDefault="002770E5" w:rsidP="00250526">
      <w:pPr>
        <w:pStyle w:val="FootnoteText"/>
        <w:spacing w:after="120"/>
        <w:rPr>
          <w:sz w:val="24"/>
          <w:szCs w:val="24"/>
        </w:rPr>
      </w:pPr>
      <w:r w:rsidRPr="0075538F">
        <w:rPr>
          <w:rStyle w:val="FootnoteReference"/>
          <w:sz w:val="24"/>
          <w:szCs w:val="24"/>
        </w:rPr>
        <w:footnoteRef/>
      </w:r>
      <w:r w:rsidRPr="0075538F">
        <w:rPr>
          <w:sz w:val="24"/>
          <w:szCs w:val="24"/>
        </w:rPr>
        <w:t xml:space="preserve"> The police report does not mention a plant.</w:t>
      </w:r>
    </w:p>
  </w:footnote>
  <w:footnote w:id="25">
    <w:p w:rsidR="002770E5" w:rsidRPr="0075538F" w:rsidRDefault="002770E5" w:rsidP="0075538F">
      <w:pPr>
        <w:pStyle w:val="FootnoteText"/>
        <w:spacing w:after="120"/>
        <w:rPr>
          <w:sz w:val="24"/>
          <w:szCs w:val="24"/>
        </w:rPr>
      </w:pPr>
      <w:r w:rsidRPr="0075538F">
        <w:rPr>
          <w:rStyle w:val="FootnoteReference"/>
          <w:sz w:val="24"/>
          <w:szCs w:val="24"/>
        </w:rPr>
        <w:footnoteRef/>
      </w:r>
      <w:r w:rsidRPr="0075538F">
        <w:rPr>
          <w:sz w:val="24"/>
          <w:szCs w:val="24"/>
        </w:rPr>
        <w:t xml:space="preserve"> This was not precisely the charge against Mr. Willis.</w:t>
      </w:r>
      <w:r>
        <w:rPr>
          <w:sz w:val="24"/>
          <w:szCs w:val="24"/>
        </w:rPr>
        <w:t xml:space="preserve"> And only one other person was charged with this offense. (Ex. 7, p. 3.)</w:t>
      </w:r>
    </w:p>
  </w:footnote>
  <w:footnote w:id="26">
    <w:p w:rsidR="002770E5" w:rsidRPr="0075538F" w:rsidRDefault="002770E5" w:rsidP="0075538F">
      <w:pPr>
        <w:pStyle w:val="FootnoteText"/>
        <w:spacing w:after="120"/>
        <w:rPr>
          <w:sz w:val="24"/>
          <w:szCs w:val="24"/>
        </w:rPr>
      </w:pPr>
      <w:r w:rsidRPr="0075538F">
        <w:rPr>
          <w:rStyle w:val="FootnoteReference"/>
          <w:sz w:val="24"/>
          <w:szCs w:val="24"/>
        </w:rPr>
        <w:footnoteRef/>
      </w:r>
      <w:r w:rsidRPr="0075538F">
        <w:rPr>
          <w:sz w:val="24"/>
          <w:szCs w:val="24"/>
        </w:rPr>
        <w:t xml:space="preserve"> Since the police report does not mention a plant, I assume that Mr. Willis was charged with distribution </w:t>
      </w:r>
      <w:r>
        <w:rPr>
          <w:i/>
          <w:sz w:val="24"/>
          <w:szCs w:val="24"/>
        </w:rPr>
        <w:t xml:space="preserve">not </w:t>
      </w:r>
      <w:r w:rsidRPr="0075538F">
        <w:rPr>
          <w:sz w:val="24"/>
          <w:szCs w:val="24"/>
        </w:rPr>
        <w:t>because of a plant.</w:t>
      </w:r>
    </w:p>
  </w:footnote>
  <w:footnote w:id="27">
    <w:p w:rsidR="002770E5" w:rsidRDefault="002770E5" w:rsidP="0075538F">
      <w:pPr>
        <w:pStyle w:val="FootnoteText"/>
        <w:spacing w:after="120"/>
      </w:pPr>
      <w:r w:rsidRPr="0075538F">
        <w:rPr>
          <w:rStyle w:val="FootnoteReference"/>
          <w:sz w:val="24"/>
          <w:szCs w:val="24"/>
        </w:rPr>
        <w:footnoteRef/>
      </w:r>
      <w:r>
        <w:rPr>
          <w:sz w:val="24"/>
          <w:szCs w:val="24"/>
        </w:rPr>
        <w:t xml:space="preserve"> This was in</w:t>
      </w:r>
      <w:r w:rsidRPr="0075538F">
        <w:rPr>
          <w:sz w:val="24"/>
          <w:szCs w:val="24"/>
        </w:rPr>
        <w:t xml:space="preserve">correct, because Mr. Willis failed three drug tests, </w:t>
      </w:r>
      <w:r>
        <w:rPr>
          <w:sz w:val="24"/>
          <w:szCs w:val="24"/>
        </w:rPr>
        <w:t>and one year and five months</w:t>
      </w:r>
      <w:r w:rsidR="00CE66C2">
        <w:rPr>
          <w:sz w:val="24"/>
          <w:szCs w:val="24"/>
        </w:rPr>
        <w:t xml:space="preserve"> after the CWOF,</w:t>
      </w:r>
      <w:r>
        <w:rPr>
          <w:sz w:val="24"/>
          <w:szCs w:val="24"/>
        </w:rPr>
        <w:t xml:space="preserve"> </w:t>
      </w:r>
      <w:r w:rsidRPr="0075538F">
        <w:rPr>
          <w:sz w:val="24"/>
          <w:szCs w:val="24"/>
        </w:rPr>
        <w:t xml:space="preserve">was found to have violated </w:t>
      </w:r>
      <w:r w:rsidR="00CE66C2">
        <w:rPr>
          <w:sz w:val="24"/>
          <w:szCs w:val="24"/>
        </w:rPr>
        <w:t xml:space="preserve">its </w:t>
      </w:r>
      <w:r w:rsidRPr="0075538F">
        <w:rPr>
          <w:sz w:val="24"/>
          <w:szCs w:val="24"/>
        </w:rPr>
        <w:t>terms, and had his CWOF changed to a conviction.</w:t>
      </w:r>
      <w:r>
        <w:rPr>
          <w:sz w:val="24"/>
          <w:szCs w:val="24"/>
        </w:rPr>
        <w:t xml:space="preserve"> Failing drugs tests, violating the terms of a CWOF, and having a CWOF changed to a conviction constitute being in trouble.</w:t>
      </w:r>
    </w:p>
  </w:footnote>
  <w:footnote w:id="28">
    <w:p w:rsidR="002770E5" w:rsidRPr="00813CD4" w:rsidRDefault="002770E5" w:rsidP="00813CD4">
      <w:pPr>
        <w:pStyle w:val="FootnoteText"/>
        <w:widowControl w:val="0"/>
        <w:spacing w:after="120"/>
        <w:rPr>
          <w:sz w:val="24"/>
          <w:szCs w:val="24"/>
        </w:rPr>
      </w:pPr>
      <w:r w:rsidRPr="00813CD4">
        <w:rPr>
          <w:rStyle w:val="FootnoteReference"/>
          <w:sz w:val="24"/>
          <w:szCs w:val="24"/>
        </w:rPr>
        <w:footnoteRef/>
      </w:r>
      <w:r w:rsidRPr="00813CD4">
        <w:rPr>
          <w:sz w:val="24"/>
          <w:szCs w:val="24"/>
        </w:rPr>
        <w:t xml:space="preserve"> The inaccuracies in this email ultimate</w:t>
      </w:r>
      <w:r>
        <w:rPr>
          <w:sz w:val="24"/>
          <w:szCs w:val="24"/>
        </w:rPr>
        <w:t>ly do not matter in this decision</w:t>
      </w:r>
      <w:r w:rsidRPr="00813CD4">
        <w:rPr>
          <w:sz w:val="24"/>
          <w:szCs w:val="24"/>
        </w:rPr>
        <w:t>.</w:t>
      </w:r>
      <w:r w:rsidR="00CE66C2">
        <w:rPr>
          <w:sz w:val="24"/>
          <w:szCs w:val="24"/>
        </w:rPr>
        <w:t xml:space="preserve"> I discuss them because</w:t>
      </w:r>
      <w:r w:rsidRPr="00813CD4">
        <w:rPr>
          <w:sz w:val="24"/>
          <w:szCs w:val="24"/>
        </w:rPr>
        <w:t xml:space="preserve"> </w:t>
      </w:r>
      <w:r>
        <w:rPr>
          <w:sz w:val="24"/>
          <w:szCs w:val="24"/>
        </w:rPr>
        <w:t>DPH’s position is that they matter</w:t>
      </w:r>
      <w:r w:rsidRPr="00813CD4">
        <w:rPr>
          <w:sz w:val="24"/>
          <w:szCs w:val="24"/>
        </w:rPr>
        <w:t>.</w:t>
      </w:r>
    </w:p>
    <w:p w:rsidR="002770E5" w:rsidRPr="00813CD4" w:rsidRDefault="002770E5">
      <w:pPr>
        <w:pStyle w:val="FootnoteText"/>
        <w:rPr>
          <w:sz w:val="24"/>
          <w:szCs w:val="24"/>
        </w:rPr>
      </w:pPr>
    </w:p>
  </w:footnote>
  <w:footnote w:id="29">
    <w:p w:rsidR="00A825D1" w:rsidRPr="00A825D1" w:rsidRDefault="00A825D1" w:rsidP="00A825D1">
      <w:pPr>
        <w:pStyle w:val="FootnoteText"/>
        <w:widowControl w:val="0"/>
        <w:spacing w:after="120"/>
        <w:rPr>
          <w:sz w:val="24"/>
          <w:szCs w:val="24"/>
        </w:rPr>
      </w:pPr>
      <w:r w:rsidRPr="00A825D1">
        <w:rPr>
          <w:rStyle w:val="FootnoteReference"/>
          <w:sz w:val="24"/>
          <w:szCs w:val="24"/>
        </w:rPr>
        <w:footnoteRef/>
      </w:r>
      <w:r w:rsidRPr="00A825D1">
        <w:rPr>
          <w:sz w:val="24"/>
          <w:szCs w:val="24"/>
        </w:rPr>
        <w:t xml:space="preserve"> </w:t>
      </w:r>
      <w:r w:rsidRPr="00A825D1">
        <w:rPr>
          <w:rFonts w:cs="Times New Roman"/>
          <w:sz w:val="24"/>
          <w:szCs w:val="24"/>
          <w:lang w:val="en"/>
        </w:rPr>
        <w:t>The corresponding part of the background check guidance, disqualifying factor “h,” refers to “compliance with conditions of…probation” as evidence of rehabilitation.</w:t>
      </w:r>
      <w:r>
        <w:rPr>
          <w:rFonts w:cs="Times New Roman"/>
          <w:sz w:val="24"/>
          <w:szCs w:val="24"/>
          <w:lang w:val="en"/>
        </w:rPr>
        <w:t xml:space="preserve"> See Factual Finding 11.</w:t>
      </w:r>
    </w:p>
  </w:footnote>
  <w:footnote w:id="30">
    <w:p w:rsidR="002770E5" w:rsidRPr="009D07FF" w:rsidRDefault="002770E5" w:rsidP="009D07FF">
      <w:pPr>
        <w:pStyle w:val="FootnoteText"/>
        <w:spacing w:after="120"/>
        <w:rPr>
          <w:sz w:val="24"/>
          <w:szCs w:val="24"/>
        </w:rPr>
      </w:pPr>
      <w:r w:rsidRPr="009D07FF">
        <w:rPr>
          <w:rStyle w:val="FootnoteReference"/>
          <w:sz w:val="24"/>
          <w:szCs w:val="24"/>
        </w:rPr>
        <w:footnoteRef/>
      </w:r>
      <w:r w:rsidRPr="009D07FF">
        <w:rPr>
          <w:sz w:val="24"/>
          <w:szCs w:val="24"/>
        </w:rPr>
        <w:t xml:space="preserve"> I asked the parties to brief various issues. I read their briefs on these issues, more than once, and the cases they cited. Ultimately, I</w:t>
      </w:r>
      <w:r>
        <w:rPr>
          <w:sz w:val="24"/>
          <w:szCs w:val="24"/>
        </w:rPr>
        <w:t xml:space="preserve"> do not discuss all of the issues because I</w:t>
      </w:r>
      <w:r w:rsidRPr="009D07FF">
        <w:rPr>
          <w:sz w:val="24"/>
          <w:szCs w:val="24"/>
        </w:rPr>
        <w:t xml:space="preserve"> have decided that some issues were not as pertinent as I had </w:t>
      </w:r>
      <w:r>
        <w:rPr>
          <w:sz w:val="24"/>
          <w:szCs w:val="24"/>
        </w:rPr>
        <w:t xml:space="preserve">initially </w:t>
      </w:r>
      <w:r w:rsidRPr="009D07FF">
        <w:rPr>
          <w:sz w:val="24"/>
          <w:szCs w:val="24"/>
        </w:rPr>
        <w:t>suspected</w:t>
      </w:r>
      <w:r>
        <w:rPr>
          <w:sz w:val="24"/>
          <w:szCs w:val="24"/>
        </w:rPr>
        <w:t xml:space="preserve"> they would be, possibly because one party or another persuaded me as much.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491"/>
    <w:rsid w:val="0000275A"/>
    <w:rsid w:val="00011099"/>
    <w:rsid w:val="000113FD"/>
    <w:rsid w:val="00011C88"/>
    <w:rsid w:val="00011D65"/>
    <w:rsid w:val="00012F49"/>
    <w:rsid w:val="00015EC9"/>
    <w:rsid w:val="00023AD2"/>
    <w:rsid w:val="00025E0A"/>
    <w:rsid w:val="00026716"/>
    <w:rsid w:val="0002785E"/>
    <w:rsid w:val="0003597D"/>
    <w:rsid w:val="00036FBC"/>
    <w:rsid w:val="0004078B"/>
    <w:rsid w:val="000410CE"/>
    <w:rsid w:val="0004159E"/>
    <w:rsid w:val="000449E3"/>
    <w:rsid w:val="00045192"/>
    <w:rsid w:val="00046B40"/>
    <w:rsid w:val="00046CFF"/>
    <w:rsid w:val="000520A8"/>
    <w:rsid w:val="00054DDB"/>
    <w:rsid w:val="00055AEF"/>
    <w:rsid w:val="00055FB6"/>
    <w:rsid w:val="00060A41"/>
    <w:rsid w:val="000613F0"/>
    <w:rsid w:val="0006305D"/>
    <w:rsid w:val="00063FC9"/>
    <w:rsid w:val="00064FAE"/>
    <w:rsid w:val="00070706"/>
    <w:rsid w:val="00070880"/>
    <w:rsid w:val="0007286E"/>
    <w:rsid w:val="00073A4B"/>
    <w:rsid w:val="00073BA1"/>
    <w:rsid w:val="000761C8"/>
    <w:rsid w:val="0007717E"/>
    <w:rsid w:val="00080E8C"/>
    <w:rsid w:val="0008174A"/>
    <w:rsid w:val="00083391"/>
    <w:rsid w:val="00086E57"/>
    <w:rsid w:val="00086EA7"/>
    <w:rsid w:val="000874C5"/>
    <w:rsid w:val="00090B39"/>
    <w:rsid w:val="000917C0"/>
    <w:rsid w:val="00091DC4"/>
    <w:rsid w:val="00093F01"/>
    <w:rsid w:val="00095CBC"/>
    <w:rsid w:val="000973F0"/>
    <w:rsid w:val="000A0ABD"/>
    <w:rsid w:val="000A12A6"/>
    <w:rsid w:val="000A170B"/>
    <w:rsid w:val="000A1D47"/>
    <w:rsid w:val="000A349B"/>
    <w:rsid w:val="000A3C19"/>
    <w:rsid w:val="000A4A3A"/>
    <w:rsid w:val="000A500B"/>
    <w:rsid w:val="000A5B84"/>
    <w:rsid w:val="000B02E4"/>
    <w:rsid w:val="000C4D47"/>
    <w:rsid w:val="000C74C3"/>
    <w:rsid w:val="000C76AE"/>
    <w:rsid w:val="000D0E04"/>
    <w:rsid w:val="000D1126"/>
    <w:rsid w:val="000D3824"/>
    <w:rsid w:val="000D40F0"/>
    <w:rsid w:val="000D4459"/>
    <w:rsid w:val="000D620E"/>
    <w:rsid w:val="000D75BF"/>
    <w:rsid w:val="000E2496"/>
    <w:rsid w:val="000E368C"/>
    <w:rsid w:val="000F3DB0"/>
    <w:rsid w:val="000F5806"/>
    <w:rsid w:val="000F581D"/>
    <w:rsid w:val="00103C9C"/>
    <w:rsid w:val="00104873"/>
    <w:rsid w:val="001056D3"/>
    <w:rsid w:val="00106E7B"/>
    <w:rsid w:val="00107FDE"/>
    <w:rsid w:val="0011034D"/>
    <w:rsid w:val="0011235C"/>
    <w:rsid w:val="00114256"/>
    <w:rsid w:val="001146B6"/>
    <w:rsid w:val="00114723"/>
    <w:rsid w:val="001178FC"/>
    <w:rsid w:val="00117980"/>
    <w:rsid w:val="001179B0"/>
    <w:rsid w:val="00120894"/>
    <w:rsid w:val="001221D9"/>
    <w:rsid w:val="001227DF"/>
    <w:rsid w:val="0012343E"/>
    <w:rsid w:val="0012473C"/>
    <w:rsid w:val="00124800"/>
    <w:rsid w:val="00124C41"/>
    <w:rsid w:val="00125B20"/>
    <w:rsid w:val="00126D17"/>
    <w:rsid w:val="00126E53"/>
    <w:rsid w:val="001302E8"/>
    <w:rsid w:val="0013069E"/>
    <w:rsid w:val="00134DFF"/>
    <w:rsid w:val="00134E1E"/>
    <w:rsid w:val="00134FD0"/>
    <w:rsid w:val="001379EE"/>
    <w:rsid w:val="0014623F"/>
    <w:rsid w:val="001526BF"/>
    <w:rsid w:val="00155690"/>
    <w:rsid w:val="00155F03"/>
    <w:rsid w:val="00157998"/>
    <w:rsid w:val="001600C1"/>
    <w:rsid w:val="00160B7C"/>
    <w:rsid w:val="00160B7E"/>
    <w:rsid w:val="00166327"/>
    <w:rsid w:val="00167479"/>
    <w:rsid w:val="00170FC4"/>
    <w:rsid w:val="0017126B"/>
    <w:rsid w:val="00173678"/>
    <w:rsid w:val="00176FD8"/>
    <w:rsid w:val="0018209E"/>
    <w:rsid w:val="00190703"/>
    <w:rsid w:val="00190740"/>
    <w:rsid w:val="00190980"/>
    <w:rsid w:val="00190E8A"/>
    <w:rsid w:val="00194E13"/>
    <w:rsid w:val="00196A48"/>
    <w:rsid w:val="001A0B3F"/>
    <w:rsid w:val="001A23D9"/>
    <w:rsid w:val="001A2688"/>
    <w:rsid w:val="001A30CE"/>
    <w:rsid w:val="001A3EA5"/>
    <w:rsid w:val="001A4C53"/>
    <w:rsid w:val="001A555B"/>
    <w:rsid w:val="001A6DAF"/>
    <w:rsid w:val="001B7CB5"/>
    <w:rsid w:val="001C1E13"/>
    <w:rsid w:val="001D086C"/>
    <w:rsid w:val="001D0B90"/>
    <w:rsid w:val="001D1D27"/>
    <w:rsid w:val="001D2E7C"/>
    <w:rsid w:val="001D61D6"/>
    <w:rsid w:val="001E13BE"/>
    <w:rsid w:val="001F0848"/>
    <w:rsid w:val="001F1138"/>
    <w:rsid w:val="00200CEA"/>
    <w:rsid w:val="00201538"/>
    <w:rsid w:val="00202951"/>
    <w:rsid w:val="00202EF9"/>
    <w:rsid w:val="0020406A"/>
    <w:rsid w:val="00205E71"/>
    <w:rsid w:val="00206315"/>
    <w:rsid w:val="00207109"/>
    <w:rsid w:val="00207EFD"/>
    <w:rsid w:val="00210337"/>
    <w:rsid w:val="00210B95"/>
    <w:rsid w:val="00212447"/>
    <w:rsid w:val="00214343"/>
    <w:rsid w:val="00214BA3"/>
    <w:rsid w:val="00215041"/>
    <w:rsid w:val="002154FF"/>
    <w:rsid w:val="00215AD5"/>
    <w:rsid w:val="00217C6B"/>
    <w:rsid w:val="002232D8"/>
    <w:rsid w:val="002239B6"/>
    <w:rsid w:val="002240E8"/>
    <w:rsid w:val="00226858"/>
    <w:rsid w:val="00230255"/>
    <w:rsid w:val="00230281"/>
    <w:rsid w:val="00231641"/>
    <w:rsid w:val="00232EB1"/>
    <w:rsid w:val="00236793"/>
    <w:rsid w:val="0024009F"/>
    <w:rsid w:val="00240657"/>
    <w:rsid w:val="00241F98"/>
    <w:rsid w:val="0024640F"/>
    <w:rsid w:val="00246B22"/>
    <w:rsid w:val="00250163"/>
    <w:rsid w:val="00250526"/>
    <w:rsid w:val="00256109"/>
    <w:rsid w:val="00256973"/>
    <w:rsid w:val="00266DB0"/>
    <w:rsid w:val="00266E3B"/>
    <w:rsid w:val="00271595"/>
    <w:rsid w:val="00271F15"/>
    <w:rsid w:val="00273B94"/>
    <w:rsid w:val="00273C63"/>
    <w:rsid w:val="002770E5"/>
    <w:rsid w:val="0028064D"/>
    <w:rsid w:val="002845B3"/>
    <w:rsid w:val="002871CC"/>
    <w:rsid w:val="00292449"/>
    <w:rsid w:val="002945C6"/>
    <w:rsid w:val="00294B53"/>
    <w:rsid w:val="00294CF2"/>
    <w:rsid w:val="00295396"/>
    <w:rsid w:val="00297427"/>
    <w:rsid w:val="002A1DB8"/>
    <w:rsid w:val="002A3286"/>
    <w:rsid w:val="002A4049"/>
    <w:rsid w:val="002A7059"/>
    <w:rsid w:val="002B2907"/>
    <w:rsid w:val="002B60B0"/>
    <w:rsid w:val="002C0EE7"/>
    <w:rsid w:val="002C1478"/>
    <w:rsid w:val="002C1B67"/>
    <w:rsid w:val="002C1E99"/>
    <w:rsid w:val="002C3EC9"/>
    <w:rsid w:val="002C4AB6"/>
    <w:rsid w:val="002C6CE5"/>
    <w:rsid w:val="002C711D"/>
    <w:rsid w:val="002D06F3"/>
    <w:rsid w:val="002D19CF"/>
    <w:rsid w:val="002D1C2D"/>
    <w:rsid w:val="002D406B"/>
    <w:rsid w:val="002D4E16"/>
    <w:rsid w:val="002D5E18"/>
    <w:rsid w:val="002D7F9E"/>
    <w:rsid w:val="002E1CE2"/>
    <w:rsid w:val="002E25DC"/>
    <w:rsid w:val="002E3017"/>
    <w:rsid w:val="002E3CF5"/>
    <w:rsid w:val="002E6ECA"/>
    <w:rsid w:val="002E789D"/>
    <w:rsid w:val="002E7D6D"/>
    <w:rsid w:val="002F0D00"/>
    <w:rsid w:val="002F0ED3"/>
    <w:rsid w:val="002F1FC1"/>
    <w:rsid w:val="002F272C"/>
    <w:rsid w:val="002F55B2"/>
    <w:rsid w:val="002F65DE"/>
    <w:rsid w:val="002F77DD"/>
    <w:rsid w:val="003003DE"/>
    <w:rsid w:val="003034C8"/>
    <w:rsid w:val="00305CC0"/>
    <w:rsid w:val="00306B6A"/>
    <w:rsid w:val="00307ECC"/>
    <w:rsid w:val="00311AA4"/>
    <w:rsid w:val="00311ACE"/>
    <w:rsid w:val="003162C8"/>
    <w:rsid w:val="003203F7"/>
    <w:rsid w:val="00320FC7"/>
    <w:rsid w:val="00322ECB"/>
    <w:rsid w:val="00323292"/>
    <w:rsid w:val="00325E7D"/>
    <w:rsid w:val="00327206"/>
    <w:rsid w:val="003300EB"/>
    <w:rsid w:val="0033134D"/>
    <w:rsid w:val="0033204B"/>
    <w:rsid w:val="00332996"/>
    <w:rsid w:val="00332B86"/>
    <w:rsid w:val="0033580C"/>
    <w:rsid w:val="00337DF6"/>
    <w:rsid w:val="00337E7A"/>
    <w:rsid w:val="00340BBC"/>
    <w:rsid w:val="003437C0"/>
    <w:rsid w:val="00343FC3"/>
    <w:rsid w:val="003453EF"/>
    <w:rsid w:val="003464B1"/>
    <w:rsid w:val="00346784"/>
    <w:rsid w:val="003467C6"/>
    <w:rsid w:val="00346B56"/>
    <w:rsid w:val="00350423"/>
    <w:rsid w:val="003546BC"/>
    <w:rsid w:val="00354B7E"/>
    <w:rsid w:val="00355E24"/>
    <w:rsid w:val="00355F1B"/>
    <w:rsid w:val="003620EF"/>
    <w:rsid w:val="003626AC"/>
    <w:rsid w:val="00363564"/>
    <w:rsid w:val="00364C55"/>
    <w:rsid w:val="003657C0"/>
    <w:rsid w:val="00366EFB"/>
    <w:rsid w:val="00370270"/>
    <w:rsid w:val="00372880"/>
    <w:rsid w:val="00373426"/>
    <w:rsid w:val="003735D2"/>
    <w:rsid w:val="003768F5"/>
    <w:rsid w:val="00377299"/>
    <w:rsid w:val="00377438"/>
    <w:rsid w:val="0038516C"/>
    <w:rsid w:val="003900A2"/>
    <w:rsid w:val="00391980"/>
    <w:rsid w:val="003936EB"/>
    <w:rsid w:val="00393A3C"/>
    <w:rsid w:val="00393EF4"/>
    <w:rsid w:val="0039507D"/>
    <w:rsid w:val="003A02FC"/>
    <w:rsid w:val="003A0B6C"/>
    <w:rsid w:val="003A2020"/>
    <w:rsid w:val="003A369A"/>
    <w:rsid w:val="003A37CC"/>
    <w:rsid w:val="003A42A5"/>
    <w:rsid w:val="003B1807"/>
    <w:rsid w:val="003B3551"/>
    <w:rsid w:val="003B5413"/>
    <w:rsid w:val="003B740D"/>
    <w:rsid w:val="003C0CFB"/>
    <w:rsid w:val="003C10C7"/>
    <w:rsid w:val="003C3C7E"/>
    <w:rsid w:val="003C521F"/>
    <w:rsid w:val="003C6853"/>
    <w:rsid w:val="003C7A84"/>
    <w:rsid w:val="003D1301"/>
    <w:rsid w:val="003E2438"/>
    <w:rsid w:val="003E69FB"/>
    <w:rsid w:val="003E756F"/>
    <w:rsid w:val="003E757A"/>
    <w:rsid w:val="003E7DE1"/>
    <w:rsid w:val="003F07BC"/>
    <w:rsid w:val="003F0B55"/>
    <w:rsid w:val="003F1C83"/>
    <w:rsid w:val="003F4A9F"/>
    <w:rsid w:val="003F6256"/>
    <w:rsid w:val="003F6B1F"/>
    <w:rsid w:val="003F72CC"/>
    <w:rsid w:val="00400E24"/>
    <w:rsid w:val="00401776"/>
    <w:rsid w:val="00401856"/>
    <w:rsid w:val="00403ADD"/>
    <w:rsid w:val="00403C92"/>
    <w:rsid w:val="00404636"/>
    <w:rsid w:val="00404919"/>
    <w:rsid w:val="00404B65"/>
    <w:rsid w:val="00405232"/>
    <w:rsid w:val="00407DC6"/>
    <w:rsid w:val="0041078E"/>
    <w:rsid w:val="00412EED"/>
    <w:rsid w:val="004134E1"/>
    <w:rsid w:val="004136E8"/>
    <w:rsid w:val="00413907"/>
    <w:rsid w:val="00414C8D"/>
    <w:rsid w:val="00415ED3"/>
    <w:rsid w:val="00417286"/>
    <w:rsid w:val="00420D27"/>
    <w:rsid w:val="00420D3F"/>
    <w:rsid w:val="00424E53"/>
    <w:rsid w:val="00430AD0"/>
    <w:rsid w:val="004334A6"/>
    <w:rsid w:val="00433F3A"/>
    <w:rsid w:val="00434D53"/>
    <w:rsid w:val="00434D6F"/>
    <w:rsid w:val="0043513B"/>
    <w:rsid w:val="004405F9"/>
    <w:rsid w:val="00453629"/>
    <w:rsid w:val="004536D0"/>
    <w:rsid w:val="004542F6"/>
    <w:rsid w:val="00455071"/>
    <w:rsid w:val="00461BB5"/>
    <w:rsid w:val="004627EB"/>
    <w:rsid w:val="004636C1"/>
    <w:rsid w:val="004653C6"/>
    <w:rsid w:val="00467C9F"/>
    <w:rsid w:val="00471198"/>
    <w:rsid w:val="00471C92"/>
    <w:rsid w:val="004721C1"/>
    <w:rsid w:val="004724C7"/>
    <w:rsid w:val="0047409F"/>
    <w:rsid w:val="00475659"/>
    <w:rsid w:val="00480475"/>
    <w:rsid w:val="00480D2E"/>
    <w:rsid w:val="00484AB9"/>
    <w:rsid w:val="00491362"/>
    <w:rsid w:val="00491A09"/>
    <w:rsid w:val="0049792C"/>
    <w:rsid w:val="004A49AC"/>
    <w:rsid w:val="004A4DBB"/>
    <w:rsid w:val="004B035A"/>
    <w:rsid w:val="004B384C"/>
    <w:rsid w:val="004B489A"/>
    <w:rsid w:val="004B60A4"/>
    <w:rsid w:val="004B6767"/>
    <w:rsid w:val="004B745E"/>
    <w:rsid w:val="004B7FE9"/>
    <w:rsid w:val="004C088E"/>
    <w:rsid w:val="004C6D4E"/>
    <w:rsid w:val="004C71FE"/>
    <w:rsid w:val="004D059E"/>
    <w:rsid w:val="004D07E8"/>
    <w:rsid w:val="004D095C"/>
    <w:rsid w:val="004D0C96"/>
    <w:rsid w:val="004D1103"/>
    <w:rsid w:val="004D3CF1"/>
    <w:rsid w:val="004E14ED"/>
    <w:rsid w:val="004E1D81"/>
    <w:rsid w:val="004E2A06"/>
    <w:rsid w:val="004E3802"/>
    <w:rsid w:val="004E5CD9"/>
    <w:rsid w:val="004F16A1"/>
    <w:rsid w:val="004F1AA3"/>
    <w:rsid w:val="004F44A8"/>
    <w:rsid w:val="004F5CF9"/>
    <w:rsid w:val="0050303E"/>
    <w:rsid w:val="00503BDD"/>
    <w:rsid w:val="00504B67"/>
    <w:rsid w:val="0050557B"/>
    <w:rsid w:val="00506E47"/>
    <w:rsid w:val="005075AD"/>
    <w:rsid w:val="005102B0"/>
    <w:rsid w:val="00511385"/>
    <w:rsid w:val="005123BC"/>
    <w:rsid w:val="00512C68"/>
    <w:rsid w:val="00517C04"/>
    <w:rsid w:val="005221C2"/>
    <w:rsid w:val="00523399"/>
    <w:rsid w:val="00524EA3"/>
    <w:rsid w:val="00524F84"/>
    <w:rsid w:val="00525994"/>
    <w:rsid w:val="00531891"/>
    <w:rsid w:val="0053374D"/>
    <w:rsid w:val="00536172"/>
    <w:rsid w:val="0053642C"/>
    <w:rsid w:val="00537161"/>
    <w:rsid w:val="00541051"/>
    <w:rsid w:val="00541FA9"/>
    <w:rsid w:val="00542D40"/>
    <w:rsid w:val="0054311D"/>
    <w:rsid w:val="00543426"/>
    <w:rsid w:val="005457BA"/>
    <w:rsid w:val="00545CC5"/>
    <w:rsid w:val="0054731F"/>
    <w:rsid w:val="005545AE"/>
    <w:rsid w:val="00562412"/>
    <w:rsid w:val="00562F29"/>
    <w:rsid w:val="005639E7"/>
    <w:rsid w:val="00563E88"/>
    <w:rsid w:val="0056519D"/>
    <w:rsid w:val="0056571D"/>
    <w:rsid w:val="00565F11"/>
    <w:rsid w:val="0056622D"/>
    <w:rsid w:val="00573F6A"/>
    <w:rsid w:val="00574055"/>
    <w:rsid w:val="005742DB"/>
    <w:rsid w:val="005813D0"/>
    <w:rsid w:val="00585486"/>
    <w:rsid w:val="00585ADC"/>
    <w:rsid w:val="00595634"/>
    <w:rsid w:val="00595916"/>
    <w:rsid w:val="00595ECA"/>
    <w:rsid w:val="00596E82"/>
    <w:rsid w:val="00597CCA"/>
    <w:rsid w:val="005A047D"/>
    <w:rsid w:val="005A0ADC"/>
    <w:rsid w:val="005A24A1"/>
    <w:rsid w:val="005A338D"/>
    <w:rsid w:val="005A3DBE"/>
    <w:rsid w:val="005B0838"/>
    <w:rsid w:val="005B24B6"/>
    <w:rsid w:val="005B4ABB"/>
    <w:rsid w:val="005B6F8D"/>
    <w:rsid w:val="005B730B"/>
    <w:rsid w:val="005B7797"/>
    <w:rsid w:val="005C3956"/>
    <w:rsid w:val="005C40D7"/>
    <w:rsid w:val="005C4AAB"/>
    <w:rsid w:val="005C4DFB"/>
    <w:rsid w:val="005C615F"/>
    <w:rsid w:val="005C7737"/>
    <w:rsid w:val="005D0763"/>
    <w:rsid w:val="005D165B"/>
    <w:rsid w:val="005D1B5D"/>
    <w:rsid w:val="005D20A0"/>
    <w:rsid w:val="005D51C9"/>
    <w:rsid w:val="005D5E6B"/>
    <w:rsid w:val="005D69D0"/>
    <w:rsid w:val="005E292C"/>
    <w:rsid w:val="005E6AEA"/>
    <w:rsid w:val="005F6100"/>
    <w:rsid w:val="005F65B8"/>
    <w:rsid w:val="005F668A"/>
    <w:rsid w:val="00600014"/>
    <w:rsid w:val="00600C45"/>
    <w:rsid w:val="006010CE"/>
    <w:rsid w:val="00601957"/>
    <w:rsid w:val="00602263"/>
    <w:rsid w:val="00602728"/>
    <w:rsid w:val="00602EAD"/>
    <w:rsid w:val="00602EEE"/>
    <w:rsid w:val="00603B33"/>
    <w:rsid w:val="00604C36"/>
    <w:rsid w:val="00604F9C"/>
    <w:rsid w:val="0060733E"/>
    <w:rsid w:val="0061399E"/>
    <w:rsid w:val="006140A1"/>
    <w:rsid w:val="00614AB8"/>
    <w:rsid w:val="00615CDF"/>
    <w:rsid w:val="00615E3B"/>
    <w:rsid w:val="00616291"/>
    <w:rsid w:val="00622D09"/>
    <w:rsid w:val="0062541B"/>
    <w:rsid w:val="00625C4E"/>
    <w:rsid w:val="00626104"/>
    <w:rsid w:val="00626BC1"/>
    <w:rsid w:val="00631064"/>
    <w:rsid w:val="00631776"/>
    <w:rsid w:val="00631F78"/>
    <w:rsid w:val="00632249"/>
    <w:rsid w:val="00633320"/>
    <w:rsid w:val="00636550"/>
    <w:rsid w:val="006366E9"/>
    <w:rsid w:val="006378B6"/>
    <w:rsid w:val="00637E95"/>
    <w:rsid w:val="0064097B"/>
    <w:rsid w:val="00640DFB"/>
    <w:rsid w:val="006420A0"/>
    <w:rsid w:val="00643078"/>
    <w:rsid w:val="00643E22"/>
    <w:rsid w:val="00644B86"/>
    <w:rsid w:val="00645093"/>
    <w:rsid w:val="0064514F"/>
    <w:rsid w:val="00651CEE"/>
    <w:rsid w:val="006524A9"/>
    <w:rsid w:val="00652C46"/>
    <w:rsid w:val="00656A1A"/>
    <w:rsid w:val="006578A8"/>
    <w:rsid w:val="00660EE0"/>
    <w:rsid w:val="00663980"/>
    <w:rsid w:val="00664382"/>
    <w:rsid w:val="0066561E"/>
    <w:rsid w:val="006656C9"/>
    <w:rsid w:val="00666370"/>
    <w:rsid w:val="00671D4F"/>
    <w:rsid w:val="00672A7D"/>
    <w:rsid w:val="00675262"/>
    <w:rsid w:val="00680385"/>
    <w:rsid w:val="006815FB"/>
    <w:rsid w:val="00683197"/>
    <w:rsid w:val="006837DD"/>
    <w:rsid w:val="006865A2"/>
    <w:rsid w:val="006873B7"/>
    <w:rsid w:val="00690A10"/>
    <w:rsid w:val="00691D08"/>
    <w:rsid w:val="00691EB5"/>
    <w:rsid w:val="0069266E"/>
    <w:rsid w:val="0069287C"/>
    <w:rsid w:val="00695516"/>
    <w:rsid w:val="00695AC6"/>
    <w:rsid w:val="00697938"/>
    <w:rsid w:val="006A3031"/>
    <w:rsid w:val="006A47D3"/>
    <w:rsid w:val="006A7234"/>
    <w:rsid w:val="006B06C4"/>
    <w:rsid w:val="006B191A"/>
    <w:rsid w:val="006B261C"/>
    <w:rsid w:val="006B38EC"/>
    <w:rsid w:val="006B7741"/>
    <w:rsid w:val="006B7AAC"/>
    <w:rsid w:val="006C1047"/>
    <w:rsid w:val="006C3192"/>
    <w:rsid w:val="006C529D"/>
    <w:rsid w:val="006C5A48"/>
    <w:rsid w:val="006C5E65"/>
    <w:rsid w:val="006C6E78"/>
    <w:rsid w:val="006C75FA"/>
    <w:rsid w:val="006D2FB2"/>
    <w:rsid w:val="006D3342"/>
    <w:rsid w:val="006D4256"/>
    <w:rsid w:val="006D4E7E"/>
    <w:rsid w:val="006D4FEE"/>
    <w:rsid w:val="006D50A7"/>
    <w:rsid w:val="006D7B32"/>
    <w:rsid w:val="006E133E"/>
    <w:rsid w:val="006E1417"/>
    <w:rsid w:val="006E4471"/>
    <w:rsid w:val="006E4750"/>
    <w:rsid w:val="006E7190"/>
    <w:rsid w:val="006F108A"/>
    <w:rsid w:val="006F36F5"/>
    <w:rsid w:val="006F3E1F"/>
    <w:rsid w:val="006F5A5D"/>
    <w:rsid w:val="006F6774"/>
    <w:rsid w:val="00705963"/>
    <w:rsid w:val="00706B29"/>
    <w:rsid w:val="00706E01"/>
    <w:rsid w:val="007079CC"/>
    <w:rsid w:val="00711315"/>
    <w:rsid w:val="00711917"/>
    <w:rsid w:val="00712CB2"/>
    <w:rsid w:val="00713A5B"/>
    <w:rsid w:val="007148D0"/>
    <w:rsid w:val="0071615B"/>
    <w:rsid w:val="00717B36"/>
    <w:rsid w:val="007233B6"/>
    <w:rsid w:val="0072395F"/>
    <w:rsid w:val="00727075"/>
    <w:rsid w:val="0073173D"/>
    <w:rsid w:val="00731A5C"/>
    <w:rsid w:val="00732123"/>
    <w:rsid w:val="00733854"/>
    <w:rsid w:val="00733BA2"/>
    <w:rsid w:val="00736C2A"/>
    <w:rsid w:val="00737BF8"/>
    <w:rsid w:val="00741BE5"/>
    <w:rsid w:val="00743E38"/>
    <w:rsid w:val="00746A42"/>
    <w:rsid w:val="00747CD1"/>
    <w:rsid w:val="00751309"/>
    <w:rsid w:val="0075538F"/>
    <w:rsid w:val="00757324"/>
    <w:rsid w:val="007603A1"/>
    <w:rsid w:val="007609C7"/>
    <w:rsid w:val="00760FA1"/>
    <w:rsid w:val="007616BC"/>
    <w:rsid w:val="00761CB3"/>
    <w:rsid w:val="00766A11"/>
    <w:rsid w:val="00770292"/>
    <w:rsid w:val="00773B3E"/>
    <w:rsid w:val="007744B7"/>
    <w:rsid w:val="00775044"/>
    <w:rsid w:val="007821BC"/>
    <w:rsid w:val="00784306"/>
    <w:rsid w:val="007847F6"/>
    <w:rsid w:val="0078509E"/>
    <w:rsid w:val="00791E93"/>
    <w:rsid w:val="00792020"/>
    <w:rsid w:val="007937E0"/>
    <w:rsid w:val="00796A88"/>
    <w:rsid w:val="007A0A51"/>
    <w:rsid w:val="007A7DEE"/>
    <w:rsid w:val="007A7DFA"/>
    <w:rsid w:val="007B167C"/>
    <w:rsid w:val="007B2279"/>
    <w:rsid w:val="007B59E9"/>
    <w:rsid w:val="007B5EFA"/>
    <w:rsid w:val="007B74E5"/>
    <w:rsid w:val="007C17E1"/>
    <w:rsid w:val="007C357F"/>
    <w:rsid w:val="007C56F7"/>
    <w:rsid w:val="007C6208"/>
    <w:rsid w:val="007C7358"/>
    <w:rsid w:val="007D131D"/>
    <w:rsid w:val="007D3399"/>
    <w:rsid w:val="007D6317"/>
    <w:rsid w:val="007D7C26"/>
    <w:rsid w:val="007D7C7F"/>
    <w:rsid w:val="007E0760"/>
    <w:rsid w:val="007E3BD8"/>
    <w:rsid w:val="007E3FA8"/>
    <w:rsid w:val="007E60FC"/>
    <w:rsid w:val="007E6556"/>
    <w:rsid w:val="007F0110"/>
    <w:rsid w:val="007F4EBD"/>
    <w:rsid w:val="007F56CC"/>
    <w:rsid w:val="00801F94"/>
    <w:rsid w:val="00805C4E"/>
    <w:rsid w:val="00807B3E"/>
    <w:rsid w:val="00813AEB"/>
    <w:rsid w:val="00813CD4"/>
    <w:rsid w:val="00820C08"/>
    <w:rsid w:val="0082171C"/>
    <w:rsid w:val="0082223F"/>
    <w:rsid w:val="008259B5"/>
    <w:rsid w:val="008301A5"/>
    <w:rsid w:val="00833633"/>
    <w:rsid w:val="00835F49"/>
    <w:rsid w:val="008370C2"/>
    <w:rsid w:val="008449AE"/>
    <w:rsid w:val="008463C7"/>
    <w:rsid w:val="00851567"/>
    <w:rsid w:val="00851C3A"/>
    <w:rsid w:val="00851E7F"/>
    <w:rsid w:val="00851EDF"/>
    <w:rsid w:val="00852121"/>
    <w:rsid w:val="00852881"/>
    <w:rsid w:val="0085339E"/>
    <w:rsid w:val="00853605"/>
    <w:rsid w:val="00854EB6"/>
    <w:rsid w:val="008557B3"/>
    <w:rsid w:val="0085684A"/>
    <w:rsid w:val="0085722D"/>
    <w:rsid w:val="008600D5"/>
    <w:rsid w:val="00862084"/>
    <w:rsid w:val="008625E9"/>
    <w:rsid w:val="00863995"/>
    <w:rsid w:val="008644B5"/>
    <w:rsid w:val="00866621"/>
    <w:rsid w:val="00866683"/>
    <w:rsid w:val="0087347C"/>
    <w:rsid w:val="00873E86"/>
    <w:rsid w:val="00875174"/>
    <w:rsid w:val="00876E57"/>
    <w:rsid w:val="008803E2"/>
    <w:rsid w:val="00881B75"/>
    <w:rsid w:val="0088390C"/>
    <w:rsid w:val="00885008"/>
    <w:rsid w:val="00887E24"/>
    <w:rsid w:val="008915AE"/>
    <w:rsid w:val="00892DB7"/>
    <w:rsid w:val="0089329F"/>
    <w:rsid w:val="00893F59"/>
    <w:rsid w:val="008A2CC1"/>
    <w:rsid w:val="008A3FC6"/>
    <w:rsid w:val="008A47E7"/>
    <w:rsid w:val="008A6785"/>
    <w:rsid w:val="008A7DA5"/>
    <w:rsid w:val="008B1A56"/>
    <w:rsid w:val="008B4125"/>
    <w:rsid w:val="008C36B1"/>
    <w:rsid w:val="008C49E3"/>
    <w:rsid w:val="008C5BFD"/>
    <w:rsid w:val="008C6867"/>
    <w:rsid w:val="008C7CA6"/>
    <w:rsid w:val="008D032C"/>
    <w:rsid w:val="008D2024"/>
    <w:rsid w:val="008D2DC3"/>
    <w:rsid w:val="008D4418"/>
    <w:rsid w:val="008D4DB0"/>
    <w:rsid w:val="008D55E1"/>
    <w:rsid w:val="008F0E0E"/>
    <w:rsid w:val="008F2A27"/>
    <w:rsid w:val="008F3368"/>
    <w:rsid w:val="008F3630"/>
    <w:rsid w:val="008F39A3"/>
    <w:rsid w:val="00902E11"/>
    <w:rsid w:val="00903491"/>
    <w:rsid w:val="00904B5E"/>
    <w:rsid w:val="00905C2D"/>
    <w:rsid w:val="00905D0A"/>
    <w:rsid w:val="00905DF3"/>
    <w:rsid w:val="0091343F"/>
    <w:rsid w:val="009143CE"/>
    <w:rsid w:val="00915813"/>
    <w:rsid w:val="00915835"/>
    <w:rsid w:val="009177C3"/>
    <w:rsid w:val="00921073"/>
    <w:rsid w:val="009213F4"/>
    <w:rsid w:val="00922CD9"/>
    <w:rsid w:val="009230C6"/>
    <w:rsid w:val="00923717"/>
    <w:rsid w:val="00926E86"/>
    <w:rsid w:val="0092763D"/>
    <w:rsid w:val="009306C3"/>
    <w:rsid w:val="00930FED"/>
    <w:rsid w:val="00931512"/>
    <w:rsid w:val="009376EB"/>
    <w:rsid w:val="0094178C"/>
    <w:rsid w:val="00941F18"/>
    <w:rsid w:val="009432BD"/>
    <w:rsid w:val="00947869"/>
    <w:rsid w:val="00950060"/>
    <w:rsid w:val="00950769"/>
    <w:rsid w:val="00951F7C"/>
    <w:rsid w:val="0095225D"/>
    <w:rsid w:val="00954E88"/>
    <w:rsid w:val="0096195A"/>
    <w:rsid w:val="00962545"/>
    <w:rsid w:val="00962B40"/>
    <w:rsid w:val="009669AE"/>
    <w:rsid w:val="00974D16"/>
    <w:rsid w:val="00976277"/>
    <w:rsid w:val="009763B2"/>
    <w:rsid w:val="00976D69"/>
    <w:rsid w:val="009779BD"/>
    <w:rsid w:val="00977BC9"/>
    <w:rsid w:val="00986CA3"/>
    <w:rsid w:val="00990B39"/>
    <w:rsid w:val="009945AA"/>
    <w:rsid w:val="00994D48"/>
    <w:rsid w:val="009971C5"/>
    <w:rsid w:val="00997E32"/>
    <w:rsid w:val="009A1D45"/>
    <w:rsid w:val="009A43A3"/>
    <w:rsid w:val="009B27CA"/>
    <w:rsid w:val="009B749F"/>
    <w:rsid w:val="009C0BCC"/>
    <w:rsid w:val="009C1C59"/>
    <w:rsid w:val="009C5140"/>
    <w:rsid w:val="009D0408"/>
    <w:rsid w:val="009D07FF"/>
    <w:rsid w:val="009D3D72"/>
    <w:rsid w:val="009D41AA"/>
    <w:rsid w:val="009D4935"/>
    <w:rsid w:val="009D5433"/>
    <w:rsid w:val="009D6645"/>
    <w:rsid w:val="009D69D3"/>
    <w:rsid w:val="009E0B7F"/>
    <w:rsid w:val="009E2675"/>
    <w:rsid w:val="009E3B60"/>
    <w:rsid w:val="009E4B46"/>
    <w:rsid w:val="009E4BDC"/>
    <w:rsid w:val="009E5091"/>
    <w:rsid w:val="009E67ED"/>
    <w:rsid w:val="009E6A34"/>
    <w:rsid w:val="009E7BC0"/>
    <w:rsid w:val="009F0429"/>
    <w:rsid w:val="009F3BBC"/>
    <w:rsid w:val="009F3DD1"/>
    <w:rsid w:val="009F60E5"/>
    <w:rsid w:val="009F64E6"/>
    <w:rsid w:val="00A00BD7"/>
    <w:rsid w:val="00A02C79"/>
    <w:rsid w:val="00A039C5"/>
    <w:rsid w:val="00A069AB"/>
    <w:rsid w:val="00A06C3C"/>
    <w:rsid w:val="00A1032C"/>
    <w:rsid w:val="00A11B0C"/>
    <w:rsid w:val="00A12596"/>
    <w:rsid w:val="00A1560E"/>
    <w:rsid w:val="00A15E63"/>
    <w:rsid w:val="00A203FF"/>
    <w:rsid w:val="00A23313"/>
    <w:rsid w:val="00A241FD"/>
    <w:rsid w:val="00A27F2B"/>
    <w:rsid w:val="00A30106"/>
    <w:rsid w:val="00A3033B"/>
    <w:rsid w:val="00A306C5"/>
    <w:rsid w:val="00A3157A"/>
    <w:rsid w:val="00A31B56"/>
    <w:rsid w:val="00A34A38"/>
    <w:rsid w:val="00A34D9E"/>
    <w:rsid w:val="00A43F50"/>
    <w:rsid w:val="00A44427"/>
    <w:rsid w:val="00A448C5"/>
    <w:rsid w:val="00A513ED"/>
    <w:rsid w:val="00A5195D"/>
    <w:rsid w:val="00A51B81"/>
    <w:rsid w:val="00A533B8"/>
    <w:rsid w:val="00A54D04"/>
    <w:rsid w:val="00A57C99"/>
    <w:rsid w:val="00A605B2"/>
    <w:rsid w:val="00A606BE"/>
    <w:rsid w:val="00A65434"/>
    <w:rsid w:val="00A6702F"/>
    <w:rsid w:val="00A72267"/>
    <w:rsid w:val="00A77BA8"/>
    <w:rsid w:val="00A800C4"/>
    <w:rsid w:val="00A80CD9"/>
    <w:rsid w:val="00A825D1"/>
    <w:rsid w:val="00A84291"/>
    <w:rsid w:val="00A85119"/>
    <w:rsid w:val="00A85CDA"/>
    <w:rsid w:val="00A85E75"/>
    <w:rsid w:val="00A864B3"/>
    <w:rsid w:val="00A91BA2"/>
    <w:rsid w:val="00A948C8"/>
    <w:rsid w:val="00AA0F94"/>
    <w:rsid w:val="00AA14BB"/>
    <w:rsid w:val="00AA2198"/>
    <w:rsid w:val="00AA5BA0"/>
    <w:rsid w:val="00AB1298"/>
    <w:rsid w:val="00AB4D53"/>
    <w:rsid w:val="00AB5B97"/>
    <w:rsid w:val="00AB6BEF"/>
    <w:rsid w:val="00AC29F9"/>
    <w:rsid w:val="00AC7E49"/>
    <w:rsid w:val="00AD2C5F"/>
    <w:rsid w:val="00AD3226"/>
    <w:rsid w:val="00AD41DA"/>
    <w:rsid w:val="00AD457D"/>
    <w:rsid w:val="00AE1FE7"/>
    <w:rsid w:val="00AE284C"/>
    <w:rsid w:val="00AE62B9"/>
    <w:rsid w:val="00AE6706"/>
    <w:rsid w:val="00AE67C9"/>
    <w:rsid w:val="00AF02B2"/>
    <w:rsid w:val="00AF02D5"/>
    <w:rsid w:val="00AF2DD1"/>
    <w:rsid w:val="00AF44E0"/>
    <w:rsid w:val="00AF690B"/>
    <w:rsid w:val="00AF6E03"/>
    <w:rsid w:val="00AF7334"/>
    <w:rsid w:val="00AF764E"/>
    <w:rsid w:val="00B0111D"/>
    <w:rsid w:val="00B015E6"/>
    <w:rsid w:val="00B015F7"/>
    <w:rsid w:val="00B029A4"/>
    <w:rsid w:val="00B0484C"/>
    <w:rsid w:val="00B058A4"/>
    <w:rsid w:val="00B05B01"/>
    <w:rsid w:val="00B06CF8"/>
    <w:rsid w:val="00B076C6"/>
    <w:rsid w:val="00B07FB4"/>
    <w:rsid w:val="00B1308A"/>
    <w:rsid w:val="00B137B4"/>
    <w:rsid w:val="00B145F6"/>
    <w:rsid w:val="00B15880"/>
    <w:rsid w:val="00B16603"/>
    <w:rsid w:val="00B16BFC"/>
    <w:rsid w:val="00B16C72"/>
    <w:rsid w:val="00B17CEC"/>
    <w:rsid w:val="00B17FC0"/>
    <w:rsid w:val="00B20643"/>
    <w:rsid w:val="00B206A4"/>
    <w:rsid w:val="00B20F05"/>
    <w:rsid w:val="00B210ED"/>
    <w:rsid w:val="00B22172"/>
    <w:rsid w:val="00B222AC"/>
    <w:rsid w:val="00B23D4E"/>
    <w:rsid w:val="00B25077"/>
    <w:rsid w:val="00B254AE"/>
    <w:rsid w:val="00B25D19"/>
    <w:rsid w:val="00B27167"/>
    <w:rsid w:val="00B314F3"/>
    <w:rsid w:val="00B349F3"/>
    <w:rsid w:val="00B35B44"/>
    <w:rsid w:val="00B4216F"/>
    <w:rsid w:val="00B45570"/>
    <w:rsid w:val="00B473BB"/>
    <w:rsid w:val="00B51F04"/>
    <w:rsid w:val="00B5239D"/>
    <w:rsid w:val="00B5588C"/>
    <w:rsid w:val="00B574FB"/>
    <w:rsid w:val="00B640F9"/>
    <w:rsid w:val="00B64868"/>
    <w:rsid w:val="00B663A9"/>
    <w:rsid w:val="00B723D9"/>
    <w:rsid w:val="00B74F27"/>
    <w:rsid w:val="00B758FA"/>
    <w:rsid w:val="00B75CD4"/>
    <w:rsid w:val="00B8021E"/>
    <w:rsid w:val="00B819AE"/>
    <w:rsid w:val="00B82377"/>
    <w:rsid w:val="00B82476"/>
    <w:rsid w:val="00B83856"/>
    <w:rsid w:val="00B838B6"/>
    <w:rsid w:val="00B91704"/>
    <w:rsid w:val="00B9390A"/>
    <w:rsid w:val="00B93CFE"/>
    <w:rsid w:val="00B94D77"/>
    <w:rsid w:val="00B96BD7"/>
    <w:rsid w:val="00B973D2"/>
    <w:rsid w:val="00BA207C"/>
    <w:rsid w:val="00BA2DB4"/>
    <w:rsid w:val="00BA354D"/>
    <w:rsid w:val="00BB0C2C"/>
    <w:rsid w:val="00BB2DC9"/>
    <w:rsid w:val="00BB4C91"/>
    <w:rsid w:val="00BB4E81"/>
    <w:rsid w:val="00BC086A"/>
    <w:rsid w:val="00BC42A7"/>
    <w:rsid w:val="00BC6F24"/>
    <w:rsid w:val="00BD307B"/>
    <w:rsid w:val="00BD69BC"/>
    <w:rsid w:val="00BE156F"/>
    <w:rsid w:val="00BE4317"/>
    <w:rsid w:val="00BE4485"/>
    <w:rsid w:val="00BE540E"/>
    <w:rsid w:val="00BE5C66"/>
    <w:rsid w:val="00BE75B5"/>
    <w:rsid w:val="00BF04B6"/>
    <w:rsid w:val="00BF47F2"/>
    <w:rsid w:val="00BF6227"/>
    <w:rsid w:val="00BF7391"/>
    <w:rsid w:val="00C016BD"/>
    <w:rsid w:val="00C03047"/>
    <w:rsid w:val="00C05178"/>
    <w:rsid w:val="00C051A0"/>
    <w:rsid w:val="00C05DE5"/>
    <w:rsid w:val="00C074AE"/>
    <w:rsid w:val="00C102BE"/>
    <w:rsid w:val="00C11824"/>
    <w:rsid w:val="00C1225A"/>
    <w:rsid w:val="00C124A7"/>
    <w:rsid w:val="00C12696"/>
    <w:rsid w:val="00C14796"/>
    <w:rsid w:val="00C155AA"/>
    <w:rsid w:val="00C1640A"/>
    <w:rsid w:val="00C16E6F"/>
    <w:rsid w:val="00C17200"/>
    <w:rsid w:val="00C2027D"/>
    <w:rsid w:val="00C238E6"/>
    <w:rsid w:val="00C23AF0"/>
    <w:rsid w:val="00C24A46"/>
    <w:rsid w:val="00C259AB"/>
    <w:rsid w:val="00C272AD"/>
    <w:rsid w:val="00C30770"/>
    <w:rsid w:val="00C31F0F"/>
    <w:rsid w:val="00C348E4"/>
    <w:rsid w:val="00C34EAA"/>
    <w:rsid w:val="00C40C7C"/>
    <w:rsid w:val="00C41180"/>
    <w:rsid w:val="00C423F7"/>
    <w:rsid w:val="00C42FC1"/>
    <w:rsid w:val="00C443A7"/>
    <w:rsid w:val="00C44A86"/>
    <w:rsid w:val="00C45266"/>
    <w:rsid w:val="00C46FBD"/>
    <w:rsid w:val="00C47A06"/>
    <w:rsid w:val="00C50CAD"/>
    <w:rsid w:val="00C51925"/>
    <w:rsid w:val="00C52656"/>
    <w:rsid w:val="00C52DEA"/>
    <w:rsid w:val="00C548AE"/>
    <w:rsid w:val="00C60D9F"/>
    <w:rsid w:val="00C634A1"/>
    <w:rsid w:val="00C679E3"/>
    <w:rsid w:val="00C71065"/>
    <w:rsid w:val="00C71E48"/>
    <w:rsid w:val="00C72246"/>
    <w:rsid w:val="00C72CBD"/>
    <w:rsid w:val="00C7573E"/>
    <w:rsid w:val="00C757DD"/>
    <w:rsid w:val="00C7708E"/>
    <w:rsid w:val="00C77543"/>
    <w:rsid w:val="00C77C29"/>
    <w:rsid w:val="00C840BB"/>
    <w:rsid w:val="00C868B7"/>
    <w:rsid w:val="00C8732E"/>
    <w:rsid w:val="00C875B6"/>
    <w:rsid w:val="00C9122E"/>
    <w:rsid w:val="00C93ADA"/>
    <w:rsid w:val="00C96F89"/>
    <w:rsid w:val="00C97416"/>
    <w:rsid w:val="00CA0B9C"/>
    <w:rsid w:val="00CA0BE2"/>
    <w:rsid w:val="00CA2DB4"/>
    <w:rsid w:val="00CA36D0"/>
    <w:rsid w:val="00CA4CB1"/>
    <w:rsid w:val="00CA5DDD"/>
    <w:rsid w:val="00CA61DF"/>
    <w:rsid w:val="00CA66FC"/>
    <w:rsid w:val="00CB15FF"/>
    <w:rsid w:val="00CB4E13"/>
    <w:rsid w:val="00CC03FF"/>
    <w:rsid w:val="00CC0C4F"/>
    <w:rsid w:val="00CC13D2"/>
    <w:rsid w:val="00CC45CB"/>
    <w:rsid w:val="00CC57DB"/>
    <w:rsid w:val="00CC5B4F"/>
    <w:rsid w:val="00CC5C50"/>
    <w:rsid w:val="00CC73F3"/>
    <w:rsid w:val="00CD1518"/>
    <w:rsid w:val="00CD1FCC"/>
    <w:rsid w:val="00CD29D6"/>
    <w:rsid w:val="00CD380B"/>
    <w:rsid w:val="00CD5C37"/>
    <w:rsid w:val="00CD7969"/>
    <w:rsid w:val="00CE4199"/>
    <w:rsid w:val="00CE4A8D"/>
    <w:rsid w:val="00CE6205"/>
    <w:rsid w:val="00CE65E9"/>
    <w:rsid w:val="00CE66C2"/>
    <w:rsid w:val="00CF06CA"/>
    <w:rsid w:val="00CF0DDB"/>
    <w:rsid w:val="00CF1015"/>
    <w:rsid w:val="00CF1379"/>
    <w:rsid w:val="00CF1407"/>
    <w:rsid w:val="00CF1A7D"/>
    <w:rsid w:val="00CF23F6"/>
    <w:rsid w:val="00CF267B"/>
    <w:rsid w:val="00CF2A85"/>
    <w:rsid w:val="00CF6FA7"/>
    <w:rsid w:val="00D0546F"/>
    <w:rsid w:val="00D13209"/>
    <w:rsid w:val="00D14176"/>
    <w:rsid w:val="00D1419D"/>
    <w:rsid w:val="00D14BE8"/>
    <w:rsid w:val="00D1520A"/>
    <w:rsid w:val="00D15C11"/>
    <w:rsid w:val="00D16C1E"/>
    <w:rsid w:val="00D20FAE"/>
    <w:rsid w:val="00D20FCB"/>
    <w:rsid w:val="00D22129"/>
    <w:rsid w:val="00D23555"/>
    <w:rsid w:val="00D248A4"/>
    <w:rsid w:val="00D259A6"/>
    <w:rsid w:val="00D27FD0"/>
    <w:rsid w:val="00D330B0"/>
    <w:rsid w:val="00D34986"/>
    <w:rsid w:val="00D4131F"/>
    <w:rsid w:val="00D413F7"/>
    <w:rsid w:val="00D44F05"/>
    <w:rsid w:val="00D45828"/>
    <w:rsid w:val="00D4730D"/>
    <w:rsid w:val="00D5097F"/>
    <w:rsid w:val="00D5183E"/>
    <w:rsid w:val="00D51C9A"/>
    <w:rsid w:val="00D5362C"/>
    <w:rsid w:val="00D53B41"/>
    <w:rsid w:val="00D55406"/>
    <w:rsid w:val="00D61A00"/>
    <w:rsid w:val="00D656B7"/>
    <w:rsid w:val="00D65C5B"/>
    <w:rsid w:val="00D66658"/>
    <w:rsid w:val="00D67A2E"/>
    <w:rsid w:val="00D71621"/>
    <w:rsid w:val="00D736FA"/>
    <w:rsid w:val="00D7609C"/>
    <w:rsid w:val="00D76940"/>
    <w:rsid w:val="00D833B7"/>
    <w:rsid w:val="00D8500B"/>
    <w:rsid w:val="00D86DA8"/>
    <w:rsid w:val="00D90F66"/>
    <w:rsid w:val="00D9232A"/>
    <w:rsid w:val="00D92F43"/>
    <w:rsid w:val="00D93D93"/>
    <w:rsid w:val="00D965AB"/>
    <w:rsid w:val="00DA0704"/>
    <w:rsid w:val="00DA1BE3"/>
    <w:rsid w:val="00DA2074"/>
    <w:rsid w:val="00DA337B"/>
    <w:rsid w:val="00DA492C"/>
    <w:rsid w:val="00DB3D36"/>
    <w:rsid w:val="00DB4196"/>
    <w:rsid w:val="00DB5B63"/>
    <w:rsid w:val="00DB6139"/>
    <w:rsid w:val="00DB660D"/>
    <w:rsid w:val="00DB783B"/>
    <w:rsid w:val="00DC08A8"/>
    <w:rsid w:val="00DC28ED"/>
    <w:rsid w:val="00DC4640"/>
    <w:rsid w:val="00DD0A5C"/>
    <w:rsid w:val="00DD0E6E"/>
    <w:rsid w:val="00DD1EB1"/>
    <w:rsid w:val="00DD295C"/>
    <w:rsid w:val="00DD2E9B"/>
    <w:rsid w:val="00DD4341"/>
    <w:rsid w:val="00DD6E09"/>
    <w:rsid w:val="00DD7280"/>
    <w:rsid w:val="00DD7B33"/>
    <w:rsid w:val="00DE0FED"/>
    <w:rsid w:val="00DE3659"/>
    <w:rsid w:val="00DE5F98"/>
    <w:rsid w:val="00DE638D"/>
    <w:rsid w:val="00DE708F"/>
    <w:rsid w:val="00DE7710"/>
    <w:rsid w:val="00DF10AE"/>
    <w:rsid w:val="00DF10B0"/>
    <w:rsid w:val="00DF19F3"/>
    <w:rsid w:val="00DF39EF"/>
    <w:rsid w:val="00DF3A92"/>
    <w:rsid w:val="00DF5E2A"/>
    <w:rsid w:val="00DF63E6"/>
    <w:rsid w:val="00DF75EF"/>
    <w:rsid w:val="00E004B9"/>
    <w:rsid w:val="00E05AF9"/>
    <w:rsid w:val="00E14C1A"/>
    <w:rsid w:val="00E15449"/>
    <w:rsid w:val="00E23801"/>
    <w:rsid w:val="00E27F5E"/>
    <w:rsid w:val="00E30724"/>
    <w:rsid w:val="00E30ECB"/>
    <w:rsid w:val="00E36A8D"/>
    <w:rsid w:val="00E430C7"/>
    <w:rsid w:val="00E43547"/>
    <w:rsid w:val="00E44175"/>
    <w:rsid w:val="00E51320"/>
    <w:rsid w:val="00E51D42"/>
    <w:rsid w:val="00E56E92"/>
    <w:rsid w:val="00E63305"/>
    <w:rsid w:val="00E663CE"/>
    <w:rsid w:val="00E716E2"/>
    <w:rsid w:val="00E736DA"/>
    <w:rsid w:val="00E74ACF"/>
    <w:rsid w:val="00E75367"/>
    <w:rsid w:val="00E7568A"/>
    <w:rsid w:val="00E759E1"/>
    <w:rsid w:val="00E77AA0"/>
    <w:rsid w:val="00E806FC"/>
    <w:rsid w:val="00E8138D"/>
    <w:rsid w:val="00E84648"/>
    <w:rsid w:val="00E93820"/>
    <w:rsid w:val="00E9431C"/>
    <w:rsid w:val="00E97E23"/>
    <w:rsid w:val="00E97F68"/>
    <w:rsid w:val="00EA0FCA"/>
    <w:rsid w:val="00EA18DF"/>
    <w:rsid w:val="00EA3A76"/>
    <w:rsid w:val="00EA597E"/>
    <w:rsid w:val="00EA6762"/>
    <w:rsid w:val="00EB000A"/>
    <w:rsid w:val="00EB39E3"/>
    <w:rsid w:val="00EC279D"/>
    <w:rsid w:val="00EC2E5A"/>
    <w:rsid w:val="00EC44A5"/>
    <w:rsid w:val="00EC4990"/>
    <w:rsid w:val="00EC56C0"/>
    <w:rsid w:val="00EC5710"/>
    <w:rsid w:val="00EC5F24"/>
    <w:rsid w:val="00ED0DC0"/>
    <w:rsid w:val="00ED1AE5"/>
    <w:rsid w:val="00ED1D14"/>
    <w:rsid w:val="00ED2AD1"/>
    <w:rsid w:val="00ED4959"/>
    <w:rsid w:val="00ED5828"/>
    <w:rsid w:val="00ED6EE0"/>
    <w:rsid w:val="00EE09D0"/>
    <w:rsid w:val="00EE1512"/>
    <w:rsid w:val="00EE1570"/>
    <w:rsid w:val="00EE5354"/>
    <w:rsid w:val="00EE5751"/>
    <w:rsid w:val="00EE72DD"/>
    <w:rsid w:val="00EE7A48"/>
    <w:rsid w:val="00EF3ACA"/>
    <w:rsid w:val="00F00FE9"/>
    <w:rsid w:val="00F06188"/>
    <w:rsid w:val="00F06DD5"/>
    <w:rsid w:val="00F07670"/>
    <w:rsid w:val="00F07AD1"/>
    <w:rsid w:val="00F07FA5"/>
    <w:rsid w:val="00F100D4"/>
    <w:rsid w:val="00F10210"/>
    <w:rsid w:val="00F115FF"/>
    <w:rsid w:val="00F121E7"/>
    <w:rsid w:val="00F12586"/>
    <w:rsid w:val="00F1628E"/>
    <w:rsid w:val="00F17B86"/>
    <w:rsid w:val="00F17C5B"/>
    <w:rsid w:val="00F24BF4"/>
    <w:rsid w:val="00F27059"/>
    <w:rsid w:val="00F276E0"/>
    <w:rsid w:val="00F330CF"/>
    <w:rsid w:val="00F346A6"/>
    <w:rsid w:val="00F34B78"/>
    <w:rsid w:val="00F34EC6"/>
    <w:rsid w:val="00F35CFD"/>
    <w:rsid w:val="00F368BE"/>
    <w:rsid w:val="00F36AD0"/>
    <w:rsid w:val="00F37B8C"/>
    <w:rsid w:val="00F421A6"/>
    <w:rsid w:val="00F44663"/>
    <w:rsid w:val="00F464AA"/>
    <w:rsid w:val="00F4656F"/>
    <w:rsid w:val="00F466F1"/>
    <w:rsid w:val="00F467B7"/>
    <w:rsid w:val="00F47B8D"/>
    <w:rsid w:val="00F511F5"/>
    <w:rsid w:val="00F664A4"/>
    <w:rsid w:val="00F67008"/>
    <w:rsid w:val="00F67F8A"/>
    <w:rsid w:val="00F70C88"/>
    <w:rsid w:val="00F725E1"/>
    <w:rsid w:val="00F72D45"/>
    <w:rsid w:val="00F8385F"/>
    <w:rsid w:val="00F87485"/>
    <w:rsid w:val="00F87911"/>
    <w:rsid w:val="00F90200"/>
    <w:rsid w:val="00F90329"/>
    <w:rsid w:val="00F90F21"/>
    <w:rsid w:val="00F91978"/>
    <w:rsid w:val="00F92CB0"/>
    <w:rsid w:val="00F942AA"/>
    <w:rsid w:val="00F95C7D"/>
    <w:rsid w:val="00F96327"/>
    <w:rsid w:val="00FA59E2"/>
    <w:rsid w:val="00FA5EFE"/>
    <w:rsid w:val="00FA75E8"/>
    <w:rsid w:val="00FB0030"/>
    <w:rsid w:val="00FB0F6F"/>
    <w:rsid w:val="00FB18F8"/>
    <w:rsid w:val="00FB3CDD"/>
    <w:rsid w:val="00FB43D3"/>
    <w:rsid w:val="00FB559C"/>
    <w:rsid w:val="00FB6E07"/>
    <w:rsid w:val="00FC1611"/>
    <w:rsid w:val="00FC71C3"/>
    <w:rsid w:val="00FC7293"/>
    <w:rsid w:val="00FD2A32"/>
    <w:rsid w:val="00FD3CDE"/>
    <w:rsid w:val="00FD635C"/>
    <w:rsid w:val="00FD638C"/>
    <w:rsid w:val="00FD6BFE"/>
    <w:rsid w:val="00FD6F2E"/>
    <w:rsid w:val="00FE1EFA"/>
    <w:rsid w:val="00FE2925"/>
    <w:rsid w:val="00FE30BF"/>
    <w:rsid w:val="00FE592A"/>
    <w:rsid w:val="00FE65EE"/>
    <w:rsid w:val="00FE6760"/>
    <w:rsid w:val="00FE6D4D"/>
    <w:rsid w:val="00FE7321"/>
    <w:rsid w:val="00FF053C"/>
    <w:rsid w:val="00FF4A99"/>
    <w:rsid w:val="00FF5720"/>
    <w:rsid w:val="00FF69E5"/>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paragraph" w:customStyle="1" w:styleId="CM1">
    <w:name w:val="CM1"/>
    <w:basedOn w:val="Default"/>
    <w:next w:val="Default"/>
    <w:uiPriority w:val="99"/>
    <w:rsid w:val="00A65434"/>
    <w:rPr>
      <w:color w:val="auto"/>
    </w:rPr>
  </w:style>
  <w:style w:type="character" w:customStyle="1" w:styleId="hierarchydescription2">
    <w:name w:val="hierarchydescription2"/>
    <w:basedOn w:val="DefaultParagraphFont"/>
    <w:rsid w:val="0004078B"/>
    <w:rPr>
      <w:vanish w:val="0"/>
      <w:webHidden w:val="0"/>
      <w:specVanish w:val="0"/>
    </w:rPr>
  </w:style>
  <w:style w:type="character" w:customStyle="1" w:styleId="cosearchterm">
    <w:name w:val="co_searchterm"/>
    <w:basedOn w:val="DefaultParagraphFont"/>
    <w:rsid w:val="00F100D4"/>
  </w:style>
  <w:style w:type="paragraph" w:customStyle="1" w:styleId="CM28">
    <w:name w:val="CM28"/>
    <w:basedOn w:val="Default"/>
    <w:next w:val="Default"/>
    <w:uiPriority w:val="99"/>
    <w:rsid w:val="00EA18DF"/>
    <w:rPr>
      <w:color w:val="auto"/>
    </w:rPr>
  </w:style>
  <w:style w:type="character" w:styleId="Emphasis">
    <w:name w:val="Emphasis"/>
    <w:basedOn w:val="DefaultParagraphFont"/>
    <w:uiPriority w:val="20"/>
    <w:qFormat/>
    <w:rsid w:val="00236793"/>
    <w:rPr>
      <w:i/>
      <w:iCs/>
    </w:rPr>
  </w:style>
  <w:style w:type="character" w:customStyle="1" w:styleId="costarpage">
    <w:name w:val="co_starpage"/>
    <w:basedOn w:val="DefaultParagraphFont"/>
    <w:rsid w:val="003A0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paragraph" w:customStyle="1" w:styleId="CM1">
    <w:name w:val="CM1"/>
    <w:basedOn w:val="Default"/>
    <w:next w:val="Default"/>
    <w:uiPriority w:val="99"/>
    <w:rsid w:val="00A65434"/>
    <w:rPr>
      <w:color w:val="auto"/>
    </w:rPr>
  </w:style>
  <w:style w:type="character" w:customStyle="1" w:styleId="hierarchydescription2">
    <w:name w:val="hierarchydescription2"/>
    <w:basedOn w:val="DefaultParagraphFont"/>
    <w:rsid w:val="0004078B"/>
    <w:rPr>
      <w:vanish w:val="0"/>
      <w:webHidden w:val="0"/>
      <w:specVanish w:val="0"/>
    </w:rPr>
  </w:style>
  <w:style w:type="character" w:customStyle="1" w:styleId="cosearchterm">
    <w:name w:val="co_searchterm"/>
    <w:basedOn w:val="DefaultParagraphFont"/>
    <w:rsid w:val="00F100D4"/>
  </w:style>
  <w:style w:type="paragraph" w:customStyle="1" w:styleId="CM28">
    <w:name w:val="CM28"/>
    <w:basedOn w:val="Default"/>
    <w:next w:val="Default"/>
    <w:uiPriority w:val="99"/>
    <w:rsid w:val="00EA18DF"/>
    <w:rPr>
      <w:color w:val="auto"/>
    </w:rPr>
  </w:style>
  <w:style w:type="character" w:styleId="Emphasis">
    <w:name w:val="Emphasis"/>
    <w:basedOn w:val="DefaultParagraphFont"/>
    <w:uiPriority w:val="20"/>
    <w:qFormat/>
    <w:rsid w:val="00236793"/>
    <w:rPr>
      <w:i/>
      <w:iCs/>
    </w:rPr>
  </w:style>
  <w:style w:type="character" w:customStyle="1" w:styleId="costarpage">
    <w:name w:val="co_starpage"/>
    <w:basedOn w:val="DefaultParagraphFont"/>
    <w:rsid w:val="003A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1894">
      <w:bodyDiv w:val="1"/>
      <w:marLeft w:val="0"/>
      <w:marRight w:val="0"/>
      <w:marTop w:val="0"/>
      <w:marBottom w:val="0"/>
      <w:divBdr>
        <w:top w:val="none" w:sz="0" w:space="0" w:color="auto"/>
        <w:left w:val="none" w:sz="0" w:space="0" w:color="auto"/>
        <w:bottom w:val="none" w:sz="0" w:space="0" w:color="auto"/>
        <w:right w:val="none" w:sz="0" w:space="0" w:color="auto"/>
      </w:divBdr>
      <w:divsChild>
        <w:div w:id="2020156862">
          <w:marLeft w:val="0"/>
          <w:marRight w:val="0"/>
          <w:marTop w:val="0"/>
          <w:marBottom w:val="0"/>
          <w:divBdr>
            <w:top w:val="none" w:sz="0" w:space="0" w:color="auto"/>
            <w:left w:val="none" w:sz="0" w:space="0" w:color="auto"/>
            <w:bottom w:val="none" w:sz="0" w:space="0" w:color="auto"/>
            <w:right w:val="none" w:sz="0" w:space="0" w:color="auto"/>
          </w:divBdr>
          <w:divsChild>
            <w:div w:id="6637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1742">
      <w:bodyDiv w:val="1"/>
      <w:marLeft w:val="0"/>
      <w:marRight w:val="0"/>
      <w:marTop w:val="0"/>
      <w:marBottom w:val="0"/>
      <w:divBdr>
        <w:top w:val="none" w:sz="0" w:space="0" w:color="auto"/>
        <w:left w:val="none" w:sz="0" w:space="0" w:color="auto"/>
        <w:bottom w:val="none" w:sz="0" w:space="0" w:color="auto"/>
        <w:right w:val="none" w:sz="0" w:space="0" w:color="auto"/>
      </w:divBdr>
      <w:divsChild>
        <w:div w:id="659386579">
          <w:marLeft w:val="0"/>
          <w:marRight w:val="0"/>
          <w:marTop w:val="0"/>
          <w:marBottom w:val="0"/>
          <w:divBdr>
            <w:top w:val="none" w:sz="0" w:space="0" w:color="auto"/>
            <w:left w:val="none" w:sz="0" w:space="0" w:color="auto"/>
            <w:bottom w:val="none" w:sz="0" w:space="0" w:color="auto"/>
            <w:right w:val="none" w:sz="0" w:space="0" w:color="auto"/>
          </w:divBdr>
          <w:divsChild>
            <w:div w:id="2791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269">
      <w:bodyDiv w:val="1"/>
      <w:marLeft w:val="0"/>
      <w:marRight w:val="0"/>
      <w:marTop w:val="0"/>
      <w:marBottom w:val="0"/>
      <w:divBdr>
        <w:top w:val="none" w:sz="0" w:space="0" w:color="auto"/>
        <w:left w:val="none" w:sz="0" w:space="0" w:color="auto"/>
        <w:bottom w:val="none" w:sz="0" w:space="0" w:color="auto"/>
        <w:right w:val="none" w:sz="0" w:space="0" w:color="auto"/>
      </w:divBdr>
      <w:divsChild>
        <w:div w:id="1039159809">
          <w:marLeft w:val="0"/>
          <w:marRight w:val="0"/>
          <w:marTop w:val="0"/>
          <w:marBottom w:val="0"/>
          <w:divBdr>
            <w:top w:val="none" w:sz="0" w:space="0" w:color="auto"/>
            <w:left w:val="none" w:sz="0" w:space="0" w:color="auto"/>
            <w:bottom w:val="none" w:sz="0" w:space="0" w:color="auto"/>
            <w:right w:val="none" w:sz="0" w:space="0" w:color="auto"/>
          </w:divBdr>
          <w:divsChild>
            <w:div w:id="1461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4602">
      <w:bodyDiv w:val="1"/>
      <w:marLeft w:val="0"/>
      <w:marRight w:val="0"/>
      <w:marTop w:val="0"/>
      <w:marBottom w:val="0"/>
      <w:divBdr>
        <w:top w:val="none" w:sz="0" w:space="0" w:color="auto"/>
        <w:left w:val="none" w:sz="0" w:space="0" w:color="auto"/>
        <w:bottom w:val="none" w:sz="0" w:space="0" w:color="auto"/>
        <w:right w:val="none" w:sz="0" w:space="0" w:color="auto"/>
      </w:divBdr>
      <w:divsChild>
        <w:div w:id="151338770">
          <w:marLeft w:val="0"/>
          <w:marRight w:val="0"/>
          <w:marTop w:val="0"/>
          <w:marBottom w:val="0"/>
          <w:divBdr>
            <w:top w:val="none" w:sz="0" w:space="0" w:color="auto"/>
            <w:left w:val="none" w:sz="0" w:space="0" w:color="auto"/>
            <w:bottom w:val="none" w:sz="0" w:space="0" w:color="auto"/>
            <w:right w:val="none" w:sz="0" w:space="0" w:color="auto"/>
          </w:divBdr>
          <w:divsChild>
            <w:div w:id="642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956521">
      <w:bodyDiv w:val="1"/>
      <w:marLeft w:val="0"/>
      <w:marRight w:val="0"/>
      <w:marTop w:val="0"/>
      <w:marBottom w:val="0"/>
      <w:divBdr>
        <w:top w:val="none" w:sz="0" w:space="0" w:color="auto"/>
        <w:left w:val="none" w:sz="0" w:space="0" w:color="auto"/>
        <w:bottom w:val="none" w:sz="0" w:space="0" w:color="auto"/>
        <w:right w:val="none" w:sz="0" w:space="0" w:color="auto"/>
      </w:divBdr>
      <w:divsChild>
        <w:div w:id="210308319">
          <w:marLeft w:val="0"/>
          <w:marRight w:val="0"/>
          <w:marTop w:val="0"/>
          <w:marBottom w:val="0"/>
          <w:divBdr>
            <w:top w:val="none" w:sz="0" w:space="0" w:color="auto"/>
            <w:left w:val="none" w:sz="0" w:space="0" w:color="auto"/>
            <w:bottom w:val="none" w:sz="0" w:space="0" w:color="auto"/>
            <w:right w:val="none" w:sz="0" w:space="0" w:color="auto"/>
          </w:divBdr>
          <w:divsChild>
            <w:div w:id="16793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 w:id="2139763113">
      <w:bodyDiv w:val="1"/>
      <w:marLeft w:val="0"/>
      <w:marRight w:val="0"/>
      <w:marTop w:val="0"/>
      <w:marBottom w:val="0"/>
      <w:divBdr>
        <w:top w:val="none" w:sz="0" w:space="0" w:color="auto"/>
        <w:left w:val="none" w:sz="0" w:space="0" w:color="auto"/>
        <w:bottom w:val="none" w:sz="0" w:space="0" w:color="auto"/>
        <w:right w:val="none" w:sz="0" w:space="0" w:color="auto"/>
      </w:divBdr>
      <w:divsChild>
        <w:div w:id="1051228759">
          <w:marLeft w:val="0"/>
          <w:marRight w:val="0"/>
          <w:marTop w:val="0"/>
          <w:marBottom w:val="0"/>
          <w:divBdr>
            <w:top w:val="none" w:sz="0" w:space="0" w:color="auto"/>
            <w:left w:val="none" w:sz="0" w:space="0" w:color="auto"/>
            <w:bottom w:val="none" w:sz="0" w:space="0" w:color="auto"/>
            <w:right w:val="none" w:sz="0" w:space="0" w:color="auto"/>
          </w:divBdr>
          <w:divsChild>
            <w:div w:id="18457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28AC-694F-45A9-A806-E3AB95F8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5642</Words>
  <Characters>32161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37728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2016-10-19T18:38:00Z</dcterms:created>
  <dc:creator>Bresler, Kenneth (ALA)</dc:creator>
  <lastModifiedBy>ANF</lastModifiedBy>
  <lastPrinted>2016-09-19T13:24:00Z</lastPrinted>
  <dcterms:modified xsi:type="dcterms:W3CDTF">2016-10-19T18:38:00Z</dcterms:modified>
  <revision>2</revision>
</coreProperties>
</file>