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956E61"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046026" w:rsidP="00DB51C0">
                            <w:pPr>
                              <w:jc w:val="center"/>
                              <w:rPr>
                                <w:b/>
                                <w:sz w:val="28"/>
                                <w:szCs w:val="28"/>
                              </w:rPr>
                            </w:pPr>
                            <w:r>
                              <w:rPr>
                                <w:b/>
                                <w:sz w:val="28"/>
                                <w:szCs w:val="28"/>
                              </w:rPr>
                              <w:t xml:space="preserve">Department of </w:t>
                            </w:r>
                            <w:r w:rsidR="002004B8">
                              <w:rPr>
                                <w:b/>
                                <w:sz w:val="28"/>
                                <w:szCs w:val="28"/>
                              </w:rPr>
                              <w:t>Revenue</w:t>
                            </w:r>
                          </w:p>
                          <w:p w:rsidR="000862E4" w:rsidRDefault="00046026" w:rsidP="00DB51C0">
                            <w:pPr>
                              <w:jc w:val="center"/>
                              <w:rPr>
                                <w:b/>
                                <w:sz w:val="28"/>
                                <w:szCs w:val="28"/>
                              </w:rPr>
                            </w:pPr>
                            <w:r>
                              <w:rPr>
                                <w:b/>
                                <w:sz w:val="28"/>
                                <w:szCs w:val="28"/>
                              </w:rPr>
                              <w:t>1 Federal Street</w:t>
                            </w:r>
                          </w:p>
                          <w:p w:rsidR="00DB51C0" w:rsidRPr="00861072" w:rsidRDefault="00046026" w:rsidP="000862E4">
                            <w:pPr>
                              <w:jc w:val="center"/>
                              <w:rPr>
                                <w:i/>
                                <w:szCs w:val="24"/>
                              </w:rPr>
                            </w:pPr>
                            <w:r>
                              <w:rPr>
                                <w:b/>
                                <w:sz w:val="28"/>
                                <w:szCs w:val="28"/>
                              </w:rPr>
                              <w:t>Springfield,</w:t>
                            </w:r>
                            <w:r w:rsidR="000862E4">
                              <w:rPr>
                                <w:b/>
                                <w:sz w:val="28"/>
                                <w:szCs w:val="28"/>
                              </w:rPr>
                              <w:t xml:space="preserve"> 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2004B8" w:rsidRDefault="00956E61" w:rsidP="00DB51C0">
                            <w:pPr>
                              <w:jc w:val="center"/>
                            </w:pPr>
                            <w:bookmarkStart w:id="0" w:name="_GoBack"/>
                            <w:r>
                              <w:rPr>
                                <w:noProof/>
                              </w:rPr>
                              <w:drawing>
                                <wp:inline distT="0" distB="0" distL="0" distR="0">
                                  <wp:extent cx="3476625" cy="3295650"/>
                                  <wp:effectExtent l="0" t="0" r="0" b="0"/>
                                  <wp:docPr id="2" name="Picture 2" descr="Front entrance of DOR Offices 1 Federal Street, Spring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entrance of DOR Offices 1 Federal Street, Springfield MA"/>
                                          <pic:cNvPicPr>
                                            <a:picLocks noChangeAspect="1" noChangeArrowheads="1"/>
                                          </pic:cNvPicPr>
                                        </pic:nvPicPr>
                                        <pic:blipFill>
                                          <a:blip r:embed="rId8" cstate="screen">
                                            <a:lum bright="14000"/>
                                            <a:extLst>
                                              <a:ext uri="{28A0092B-C50C-407E-A947-70E740481C1C}">
                                                <a14:useLocalDpi xmlns:a14="http://schemas.microsoft.com/office/drawing/2010/main"/>
                                              </a:ext>
                                            </a:extLst>
                                          </a:blip>
                                          <a:srcRect/>
                                          <a:stretch>
                                            <a:fillRect/>
                                          </a:stretch>
                                        </pic:blipFill>
                                        <pic:spPr bwMode="auto">
                                          <a:xfrm>
                                            <a:off x="0" y="0"/>
                                            <a:ext cx="3476625" cy="3295650"/>
                                          </a:xfrm>
                                          <a:prstGeom prst="rect">
                                            <a:avLst/>
                                          </a:prstGeom>
                                          <a:noFill/>
                                          <a:ln>
                                            <a:noFill/>
                                          </a:ln>
                                        </pic:spPr>
                                      </pic:pic>
                                    </a:graphicData>
                                  </a:graphic>
                                </wp:inline>
                              </w:drawing>
                            </w:r>
                            <w:bookmarkEnd w:id="0"/>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EB3803" w:rsidP="00DB51C0">
                            <w:pPr>
                              <w:jc w:val="center"/>
                            </w:pPr>
                            <w:r>
                              <w:t>July</w:t>
                            </w:r>
                            <w:r w:rsidR="00287079">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046026" w:rsidP="00DB51C0">
                      <w:pPr>
                        <w:jc w:val="center"/>
                        <w:rPr>
                          <w:b/>
                          <w:sz w:val="28"/>
                          <w:szCs w:val="28"/>
                        </w:rPr>
                      </w:pPr>
                      <w:r>
                        <w:rPr>
                          <w:b/>
                          <w:sz w:val="28"/>
                          <w:szCs w:val="28"/>
                        </w:rPr>
                        <w:t xml:space="preserve">Department of </w:t>
                      </w:r>
                      <w:r w:rsidR="002004B8">
                        <w:rPr>
                          <w:b/>
                          <w:sz w:val="28"/>
                          <w:szCs w:val="28"/>
                        </w:rPr>
                        <w:t>Revenue</w:t>
                      </w:r>
                    </w:p>
                    <w:p w:rsidR="000862E4" w:rsidRDefault="00046026" w:rsidP="00DB51C0">
                      <w:pPr>
                        <w:jc w:val="center"/>
                        <w:rPr>
                          <w:b/>
                          <w:sz w:val="28"/>
                          <w:szCs w:val="28"/>
                        </w:rPr>
                      </w:pPr>
                      <w:r>
                        <w:rPr>
                          <w:b/>
                          <w:sz w:val="28"/>
                          <w:szCs w:val="28"/>
                        </w:rPr>
                        <w:t>1 Federal Street</w:t>
                      </w:r>
                    </w:p>
                    <w:p w:rsidR="00DB51C0" w:rsidRPr="00861072" w:rsidRDefault="00046026" w:rsidP="000862E4">
                      <w:pPr>
                        <w:jc w:val="center"/>
                        <w:rPr>
                          <w:i/>
                          <w:szCs w:val="24"/>
                        </w:rPr>
                      </w:pPr>
                      <w:r>
                        <w:rPr>
                          <w:b/>
                          <w:sz w:val="28"/>
                          <w:szCs w:val="28"/>
                        </w:rPr>
                        <w:t>Springfield,</w:t>
                      </w:r>
                      <w:r w:rsidR="000862E4">
                        <w:rPr>
                          <w:b/>
                          <w:sz w:val="28"/>
                          <w:szCs w:val="28"/>
                        </w:rPr>
                        <w:t xml:space="preserve"> 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2004B8" w:rsidRDefault="00956E61" w:rsidP="00DB51C0">
                      <w:pPr>
                        <w:jc w:val="center"/>
                      </w:pPr>
                      <w:bookmarkStart w:id="1" w:name="_GoBack"/>
                      <w:r>
                        <w:rPr>
                          <w:noProof/>
                        </w:rPr>
                        <w:drawing>
                          <wp:inline distT="0" distB="0" distL="0" distR="0">
                            <wp:extent cx="3476625" cy="3295650"/>
                            <wp:effectExtent l="0" t="0" r="0" b="0"/>
                            <wp:docPr id="2" name="Picture 2" descr="Front entrance of DOR Offices 1 Federal Street, Spring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entrance of DOR Offices 1 Federal Street, Springfield MA"/>
                                    <pic:cNvPicPr>
                                      <a:picLocks noChangeAspect="1" noChangeArrowheads="1"/>
                                    </pic:cNvPicPr>
                                  </pic:nvPicPr>
                                  <pic:blipFill>
                                    <a:blip r:embed="rId8" cstate="screen">
                                      <a:lum bright="14000"/>
                                      <a:extLst>
                                        <a:ext uri="{28A0092B-C50C-407E-A947-70E740481C1C}">
                                          <a14:useLocalDpi xmlns:a14="http://schemas.microsoft.com/office/drawing/2010/main"/>
                                        </a:ext>
                                      </a:extLst>
                                    </a:blip>
                                    <a:srcRect/>
                                    <a:stretch>
                                      <a:fillRect/>
                                    </a:stretch>
                                  </pic:blipFill>
                                  <pic:spPr bwMode="auto">
                                    <a:xfrm>
                                      <a:off x="0" y="0"/>
                                      <a:ext cx="3476625" cy="3295650"/>
                                    </a:xfrm>
                                    <a:prstGeom prst="rect">
                                      <a:avLst/>
                                    </a:prstGeom>
                                    <a:noFill/>
                                    <a:ln>
                                      <a:noFill/>
                                    </a:ln>
                                  </pic:spPr>
                                </pic:pic>
                              </a:graphicData>
                            </a:graphic>
                          </wp:inline>
                        </w:drawing>
                      </w:r>
                      <w:bookmarkEnd w:id="1"/>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EB3803" w:rsidP="00DB51C0">
                      <w:pPr>
                        <w:jc w:val="center"/>
                      </w:pPr>
                      <w:r>
                        <w:t>July</w:t>
                      </w:r>
                      <w:r w:rsidR="00287079">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046026" w:rsidP="00E3031E">
            <w:pPr>
              <w:tabs>
                <w:tab w:val="left" w:pos="1485"/>
              </w:tabs>
              <w:rPr>
                <w:bCs/>
              </w:rPr>
            </w:pPr>
            <w:r>
              <w:rPr>
                <w:bCs/>
              </w:rPr>
              <w:t>Springfield Department of Revenue</w:t>
            </w:r>
            <w:r w:rsidR="00093FD1">
              <w:rPr>
                <w:bCs/>
              </w:rPr>
              <w:t xml:space="preserve"> </w:t>
            </w:r>
            <w:r>
              <w:rPr>
                <w:bCs/>
              </w:rPr>
              <w:t>(DOR)</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046026" w:rsidP="00046026">
            <w:pPr>
              <w:tabs>
                <w:tab w:val="left" w:pos="1485"/>
              </w:tabs>
              <w:rPr>
                <w:bCs/>
              </w:rPr>
            </w:pPr>
            <w:r>
              <w:rPr>
                <w:bCs/>
              </w:rPr>
              <w:t>1 Federal Street, West Entrance, 3</w:t>
            </w:r>
            <w:r w:rsidRPr="00046026">
              <w:rPr>
                <w:bCs/>
                <w:vertAlign w:val="superscript"/>
              </w:rPr>
              <w:t>rd</w:t>
            </w:r>
            <w:r>
              <w:rPr>
                <w:bCs/>
              </w:rPr>
              <w:t xml:space="preserve"> Floor, Springfield,</w:t>
            </w:r>
            <w:r w:rsidR="00093FD1">
              <w:rPr>
                <w:bCs/>
              </w:rPr>
              <w:t xml:space="preserve"> MA</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966B98" w:rsidRPr="00891A2F" w:rsidRDefault="00080961" w:rsidP="00080961">
            <w:pPr>
              <w:rPr>
                <w:bCs/>
              </w:rPr>
            </w:pPr>
            <w:r>
              <w:t>Joshua Martin, Deputy Director, Office of Facilities Management</w:t>
            </w:r>
            <w:r w:rsidRPr="00080961">
              <w:t>,</w:t>
            </w:r>
            <w:r w:rsidR="00046026" w:rsidRPr="00080961">
              <w:rPr>
                <w:bCs/>
              </w:rPr>
              <w:t xml:space="preserve"> DOR</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046026" w:rsidP="00046026">
            <w:pPr>
              <w:tabs>
                <w:tab w:val="left" w:pos="1485"/>
              </w:tabs>
              <w:rPr>
                <w:bCs/>
              </w:rPr>
            </w:pPr>
            <w:r>
              <w:rPr>
                <w:bCs/>
              </w:rPr>
              <w:t>G</w:t>
            </w:r>
            <w:r w:rsidR="00093FD1">
              <w:rPr>
                <w:bCs/>
              </w:rPr>
              <w:t xml:space="preserve">eneral </w:t>
            </w:r>
            <w:r w:rsidR="00E3031E">
              <w:rPr>
                <w:bCs/>
              </w:rPr>
              <w:t>indoor air quality (</w:t>
            </w:r>
            <w:r w:rsidR="00093FD1">
              <w:rPr>
                <w:bCs/>
              </w:rPr>
              <w:t>IAQ</w:t>
            </w:r>
            <w:r w:rsidR="00E3031E">
              <w:rPr>
                <w:bCs/>
              </w:rPr>
              <w:t>)</w:t>
            </w:r>
            <w:r w:rsidR="006D10BE">
              <w:rPr>
                <w:bCs/>
              </w:rPr>
              <w:t xml:space="preserve"> following renovations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EB3803" w:rsidP="00EB3803">
            <w:pPr>
              <w:tabs>
                <w:tab w:val="left" w:pos="1485"/>
              </w:tabs>
              <w:rPr>
                <w:bCs/>
              </w:rPr>
            </w:pPr>
            <w:r>
              <w:rPr>
                <w:bCs/>
              </w:rPr>
              <w:t>July 11</w:t>
            </w:r>
            <w:r w:rsidR="00093FD1">
              <w:rPr>
                <w:bCs/>
              </w:rPr>
              <w:t>, 201</w:t>
            </w:r>
            <w:r w:rsidR="006D10BE">
              <w:rPr>
                <w:bCs/>
              </w:rPr>
              <w:t>9</w:t>
            </w:r>
          </w:p>
        </w:tc>
      </w:tr>
      <w:tr w:rsidR="00966B98" w:rsidRPr="005E458D" w:rsidTr="00DA569D">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703886" w:rsidRDefault="00E3031E" w:rsidP="00DA569D">
            <w:pPr>
              <w:tabs>
                <w:tab w:val="left" w:pos="1485"/>
              </w:tabs>
              <w:rPr>
                <w:bCs/>
              </w:rPr>
            </w:pPr>
            <w:r>
              <w:rPr>
                <w:bCs/>
              </w:rPr>
              <w:t xml:space="preserve">Ruth Alfasso, Environmental </w:t>
            </w:r>
            <w:r w:rsidRPr="00CB591D">
              <w:rPr>
                <w:bCs/>
              </w:rPr>
              <w:t>Engineer</w:t>
            </w:r>
            <w:r>
              <w:rPr>
                <w:bCs/>
              </w:rPr>
              <w:t>/Inspector, IAQ Program</w:t>
            </w:r>
          </w:p>
          <w:p w:rsidR="00966B98" w:rsidRPr="008F0C39" w:rsidRDefault="00966B98" w:rsidP="006D10BE">
            <w:pPr>
              <w:tabs>
                <w:tab w:val="left" w:pos="1485"/>
              </w:tabs>
            </w:pP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046026" w:rsidP="00046026">
            <w:pPr>
              <w:tabs>
                <w:tab w:val="left" w:pos="1485"/>
              </w:tabs>
              <w:rPr>
                <w:bCs/>
              </w:rPr>
            </w:pPr>
            <w:r>
              <w:rPr>
                <w:bCs/>
              </w:rPr>
              <w:t>Former armory building in a complex</w:t>
            </w:r>
            <w:r w:rsidR="00D80600">
              <w:rPr>
                <w:bCs/>
              </w:rPr>
              <w:t xml:space="preserve"> now called Springfield Technology Park</w:t>
            </w:r>
            <w:r>
              <w:rPr>
                <w:bCs/>
              </w:rPr>
              <w:t>. The building has brick construction with a complex roof. The DOR space is on the third floor next to the west entrance. Other office tenants are above, adjacent to</w:t>
            </w:r>
            <w:r w:rsidR="002004B8">
              <w:rPr>
                <w:bCs/>
              </w:rPr>
              <w:t>,</w:t>
            </w:r>
            <w:r>
              <w:rPr>
                <w:bCs/>
              </w:rPr>
              <w:t xml:space="preserve"> and below this office.</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E23ED1" w:rsidP="00287079">
            <w:pPr>
              <w:tabs>
                <w:tab w:val="left" w:pos="1485"/>
              </w:tabs>
              <w:rPr>
                <w:bCs/>
                <w:highlight w:val="yellow"/>
              </w:rPr>
            </w:pPr>
            <w:r>
              <w:rPr>
                <w:bCs/>
              </w:rPr>
              <w:t xml:space="preserve">Approximately </w:t>
            </w:r>
            <w:r w:rsidR="00287079">
              <w:rPr>
                <w:bCs/>
              </w:rPr>
              <w:t>75</w:t>
            </w:r>
            <w:r>
              <w:rPr>
                <w:bCs/>
              </w:rPr>
              <w:t xml:space="preserve"> staff</w:t>
            </w:r>
            <w:r w:rsidR="00093FD1">
              <w:rPr>
                <w:bCs/>
              </w:rPr>
              <w:t xml:space="preserve"> and </w:t>
            </w:r>
            <w:r w:rsidR="00D80600">
              <w:rPr>
                <w:bCs/>
              </w:rPr>
              <w:t xml:space="preserve">approximately 20 </w:t>
            </w:r>
            <w:r w:rsidR="00093FD1">
              <w:rPr>
                <w:bCs/>
              </w:rPr>
              <w:t>members of the public visiting daily</w:t>
            </w:r>
          </w:p>
        </w:tc>
      </w:tr>
      <w:tr w:rsidR="00966B98" w:rsidRPr="005E458D" w:rsidTr="00966B98">
        <w:trPr>
          <w:jc w:val="center"/>
        </w:trPr>
        <w:tc>
          <w:tcPr>
            <w:tcW w:w="4298" w:type="dxa"/>
            <w:shd w:val="clear" w:color="auto" w:fill="auto"/>
          </w:tcPr>
          <w:p w:rsidR="006D10BE"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6D10BE" w:rsidP="009222D2">
            <w:pPr>
              <w:tabs>
                <w:tab w:val="left" w:pos="1485"/>
              </w:tabs>
              <w:rPr>
                <w:bCs/>
              </w:rPr>
            </w:pPr>
            <w:r>
              <w:rPr>
                <w:bCs/>
              </w:rPr>
              <w:t>Designed as openable but sealed</w:t>
            </w:r>
          </w:p>
        </w:tc>
      </w:tr>
      <w:tr w:rsidR="006D10BE" w:rsidRPr="005E458D" w:rsidTr="00966B98">
        <w:trPr>
          <w:jc w:val="center"/>
        </w:trPr>
        <w:tc>
          <w:tcPr>
            <w:tcW w:w="4298" w:type="dxa"/>
            <w:shd w:val="clear" w:color="auto" w:fill="auto"/>
          </w:tcPr>
          <w:p w:rsidR="006D10BE" w:rsidRPr="00986263" w:rsidRDefault="006D10BE" w:rsidP="00486557">
            <w:pPr>
              <w:tabs>
                <w:tab w:val="left" w:pos="1485"/>
              </w:tabs>
              <w:rPr>
                <w:rStyle w:val="BackgroundBoldedDescriptors"/>
              </w:rPr>
            </w:pPr>
          </w:p>
        </w:tc>
        <w:tc>
          <w:tcPr>
            <w:tcW w:w="4799" w:type="dxa"/>
            <w:shd w:val="clear" w:color="auto" w:fill="auto"/>
          </w:tcPr>
          <w:p w:rsidR="006D10BE" w:rsidRDefault="006D10BE" w:rsidP="009222D2">
            <w:pPr>
              <w:tabs>
                <w:tab w:val="left" w:pos="1485"/>
              </w:tabs>
              <w:rPr>
                <w:bCs/>
              </w:rPr>
            </w:pPr>
          </w:p>
        </w:tc>
      </w:tr>
    </w:tbl>
    <w:p w:rsidR="006D10BE" w:rsidRPr="006D10BE" w:rsidRDefault="00EB3803" w:rsidP="006D10BE">
      <w:pPr>
        <w:pStyle w:val="BodyText1"/>
      </w:pPr>
      <w:r>
        <w:t>This is a follow-up to a visit that was made earlier in 2019</w:t>
      </w:r>
      <w:r w:rsidR="006D10BE">
        <w:t>. A report from that visit is available on request.</w:t>
      </w:r>
    </w:p>
    <w:p w:rsidR="00F93352" w:rsidRDefault="00F9335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r w:rsidR="00B239A6">
        <w:t xml:space="preserve"> Note that only a small number of areas were tested during this visit.</w:t>
      </w:r>
    </w:p>
    <w:p w:rsidR="00665B76" w:rsidRPr="00665B76" w:rsidRDefault="009F6242" w:rsidP="002E5125">
      <w:pPr>
        <w:pStyle w:val="BodyText"/>
        <w:numPr>
          <w:ilvl w:val="0"/>
          <w:numId w:val="5"/>
        </w:numPr>
        <w:rPr>
          <w:b/>
          <w:bCs/>
        </w:rPr>
      </w:pPr>
      <w:r w:rsidRPr="00665B76">
        <w:rPr>
          <w:b/>
          <w:i/>
        </w:rPr>
        <w:lastRenderedPageBreak/>
        <w:t>C</w:t>
      </w:r>
      <w:r w:rsidR="0085418C" w:rsidRPr="00665B76">
        <w:rPr>
          <w:b/>
          <w:i/>
        </w:rPr>
        <w:t>arbon dioxide levels</w:t>
      </w:r>
      <w:r w:rsidR="0085418C">
        <w:t xml:space="preserve"> </w:t>
      </w:r>
      <w:r w:rsidR="00E23ED1">
        <w:t>were below</w:t>
      </w:r>
      <w:r w:rsidR="0085418C" w:rsidRPr="00C4264C">
        <w:t xml:space="preserve"> </w:t>
      </w:r>
      <w:r w:rsidR="00E236E9">
        <w:t xml:space="preserve">the MDPH guideline of </w:t>
      </w:r>
      <w:r w:rsidR="0085418C" w:rsidRPr="00C4264C">
        <w:t xml:space="preserve">800 parts per million (ppm) </w:t>
      </w:r>
      <w:r w:rsidR="00AC753D">
        <w:t xml:space="preserve">in </w:t>
      </w:r>
      <w:proofErr w:type="gramStart"/>
      <w:r w:rsidR="00EA09D6">
        <w:t xml:space="preserve">all </w:t>
      </w:r>
      <w:r w:rsidR="000D7AB4">
        <w:t>of</w:t>
      </w:r>
      <w:proofErr w:type="gramEnd"/>
      <w:r w:rsidR="000D7AB4">
        <w:t xml:space="preserve"> the areas tested</w:t>
      </w:r>
      <w:r w:rsidR="00B25BED">
        <w:t>,</w:t>
      </w:r>
      <w:r w:rsidR="00FF4228">
        <w:t xml:space="preserve"> indicating </w:t>
      </w:r>
      <w:r w:rsidR="003A5A0D">
        <w:t>a</w:t>
      </w:r>
      <w:r w:rsidR="00E23ED1">
        <w:t>dequate fresh air supply for the space</w:t>
      </w:r>
      <w:r>
        <w:t>.</w:t>
      </w:r>
    </w:p>
    <w:p w:rsidR="009F6242" w:rsidRPr="00665B76" w:rsidRDefault="009F6242" w:rsidP="002E5125">
      <w:pPr>
        <w:pStyle w:val="BodyText"/>
        <w:numPr>
          <w:ilvl w:val="0"/>
          <w:numId w:val="5"/>
        </w:numPr>
        <w:rPr>
          <w:b/>
          <w:bCs/>
        </w:rPr>
      </w:pPr>
      <w:r w:rsidRPr="00665B76">
        <w:rPr>
          <w:b/>
          <w:i/>
        </w:rPr>
        <w:t>Temperature</w:t>
      </w:r>
      <w:r>
        <w:t xml:space="preserve"> was </w:t>
      </w:r>
      <w:r w:rsidR="00F04D19">
        <w:t>within</w:t>
      </w:r>
      <w:r w:rsidR="007F1840">
        <w:t xml:space="preserve"> </w:t>
      </w:r>
      <w:r w:rsidR="00991847">
        <w:t xml:space="preserve">the </w:t>
      </w:r>
      <w:r w:rsidR="00E236E9">
        <w:t xml:space="preserve">MDPH </w:t>
      </w:r>
      <w:r w:rsidR="00991847">
        <w:t xml:space="preserve">recommended </w:t>
      </w:r>
      <w:r w:rsidRPr="009F6242">
        <w:t>range of 70°F to 78°F</w:t>
      </w:r>
      <w:r>
        <w:t xml:space="preserve"> in </w:t>
      </w:r>
      <w:r w:rsidR="00F04D19">
        <w:t>all</w:t>
      </w:r>
      <w:r w:rsidR="005D2230">
        <w:t xml:space="preserve"> areas tested.</w:t>
      </w:r>
    </w:p>
    <w:p w:rsidR="00991847" w:rsidRPr="00DB51C0" w:rsidRDefault="00DB51C0" w:rsidP="002E5125">
      <w:pPr>
        <w:pStyle w:val="BodyText"/>
        <w:numPr>
          <w:ilvl w:val="0"/>
          <w:numId w:val="5"/>
        </w:numPr>
        <w:rPr>
          <w:b/>
          <w:bCs/>
        </w:rPr>
      </w:pPr>
      <w:r>
        <w:rPr>
          <w:b/>
          <w:i/>
        </w:rPr>
        <w:t>Relative h</w:t>
      </w:r>
      <w:r w:rsidR="00991847" w:rsidRPr="00DB51C0">
        <w:rPr>
          <w:b/>
          <w:i/>
        </w:rPr>
        <w:t>umidity</w:t>
      </w:r>
      <w:r w:rsidR="00991847">
        <w:t xml:space="preserve"> was </w:t>
      </w:r>
      <w:r w:rsidR="000D7AB4">
        <w:t xml:space="preserve">within the </w:t>
      </w:r>
      <w:r w:rsidR="00E236E9">
        <w:t>MDPH</w:t>
      </w:r>
      <w:r w:rsidR="008261E3">
        <w:t xml:space="preserve"> recommended range of 40 to 60</w:t>
      </w:r>
      <w:r w:rsidR="000D7AB4">
        <w:t>%</w:t>
      </w:r>
      <w:r w:rsidR="005D2230">
        <w:t>.</w:t>
      </w:r>
    </w:p>
    <w:p w:rsidR="00991847" w:rsidRPr="00ED5D2F" w:rsidRDefault="00991847" w:rsidP="002E5125">
      <w:pPr>
        <w:pStyle w:val="BodyText"/>
        <w:numPr>
          <w:ilvl w:val="0"/>
          <w:numId w:val="5"/>
        </w:numPr>
        <w:rPr>
          <w:b/>
          <w:bCs/>
        </w:rPr>
      </w:pPr>
      <w:r w:rsidRPr="00ED5D2F">
        <w:rPr>
          <w:b/>
          <w:i/>
        </w:rPr>
        <w:t>Carbon monoxide</w:t>
      </w:r>
      <w:r w:rsidRPr="00ED5D2F">
        <w:t xml:space="preserve"> levels were </w:t>
      </w:r>
      <w:r w:rsidRPr="006D4763">
        <w:t>non-detectable</w:t>
      </w:r>
      <w:r w:rsidR="00AD0AF1">
        <w:t xml:space="preserve"> (ND)</w:t>
      </w:r>
      <w:r w:rsidRPr="006D4763">
        <w:t xml:space="preserve"> in a</w:t>
      </w:r>
      <w:r w:rsidRPr="00ED5D2F">
        <w:t xml:space="preserve">ll </w:t>
      </w:r>
      <w:r w:rsidR="00476C2E" w:rsidRPr="00ED5D2F">
        <w:t xml:space="preserve">indoor </w:t>
      </w:r>
      <w:r w:rsidRPr="00ED5D2F">
        <w:t>areas tested</w:t>
      </w:r>
      <w:r w:rsidR="00C4264C">
        <w:t>.</w:t>
      </w:r>
    </w:p>
    <w:p w:rsidR="00665B76" w:rsidRPr="000D7AB4" w:rsidRDefault="00DB51C0" w:rsidP="002E5125">
      <w:pPr>
        <w:pStyle w:val="BodyText"/>
        <w:numPr>
          <w:ilvl w:val="0"/>
          <w:numId w:val="5"/>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all </w:t>
      </w:r>
      <w:r w:rsidR="00EA09D6">
        <w:t xml:space="preserve">indoor </w:t>
      </w:r>
      <w:r w:rsidR="00991847">
        <w:t>areas tested.</w:t>
      </w:r>
    </w:p>
    <w:p w:rsidR="00F85E13" w:rsidRPr="00676A91" w:rsidRDefault="009F6242" w:rsidP="006E6262">
      <w:pPr>
        <w:pStyle w:val="Heading2"/>
      </w:pPr>
      <w:r w:rsidRPr="00676A91">
        <w:t>Ventilation</w:t>
      </w:r>
    </w:p>
    <w:p w:rsidR="006E6262" w:rsidRDefault="006E6262" w:rsidP="00DB51C0">
      <w:pPr>
        <w:pStyle w:val="BodyText"/>
      </w:pPr>
      <w:r w:rsidRPr="005E2E28">
        <w:t>A heating, ventilating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w:t>
      </w:r>
      <w:r w:rsidR="00DA569D">
        <w:t>ants</w:t>
      </w:r>
      <w:r w:rsidRPr="005E2E28">
        <w:t xml:space="preserve"> may exist and cause symptoms in sensitive individuals.</w:t>
      </w:r>
      <w:r w:rsidR="007D2C35">
        <w:t xml:space="preserve"> </w:t>
      </w:r>
      <w:r w:rsidRPr="005E2E28">
        <w:t>The following analysis examines and identifies components of the HVAC system and likely sources of respiratory irritant/allergen exposure due to water damage, aerosolized dust and/or chemicals found in the indoor environment.</w:t>
      </w:r>
    </w:p>
    <w:p w:rsidR="000D7AB4" w:rsidRDefault="005E59EE" w:rsidP="00E64209">
      <w:pPr>
        <w:pStyle w:val="BodyText"/>
      </w:pPr>
      <w:r>
        <w:t xml:space="preserve">Fresh air for the space is provided by </w:t>
      </w:r>
      <w:r w:rsidR="00E64209">
        <w:t>air handling units (</w:t>
      </w:r>
      <w:r>
        <w:t>AHU</w:t>
      </w:r>
      <w:r w:rsidR="00E64209">
        <w:t>)</w:t>
      </w:r>
      <w:r>
        <w:t xml:space="preserve"> via </w:t>
      </w:r>
      <w:r w:rsidR="00F953CB">
        <w:t xml:space="preserve">ducts to supply vents. </w:t>
      </w:r>
      <w:r>
        <w:t xml:space="preserve">Ducted </w:t>
      </w:r>
      <w:r w:rsidR="00D42070">
        <w:t xml:space="preserve">wall-mounted or ceiling-mounted </w:t>
      </w:r>
      <w:r>
        <w:t>exhaust v</w:t>
      </w:r>
      <w:r w:rsidR="006D10BE">
        <w:t>ents remove stale air</w:t>
      </w:r>
      <w:r>
        <w:t xml:space="preserve">. </w:t>
      </w:r>
      <w:r w:rsidR="000D7AB4">
        <w:t>The HVAC system is controlled using thermostats located around the office. The HVAC system was reportedly balanced as a part of recent renovations</w:t>
      </w:r>
      <w:r w:rsidR="00F953CB">
        <w:t xml:space="preserve"> prior to the previous visit</w:t>
      </w:r>
      <w:r w:rsidR="000D7AB4">
        <w:t xml:space="preserve">. </w:t>
      </w:r>
      <w:r w:rsidR="000D7AB4" w:rsidRPr="000D7AB4">
        <w:t>It is recommended that HVAC systems be re-balanced every five years to ensure adequate air systems function (SMACNA, 1994).</w:t>
      </w:r>
    </w:p>
    <w:p w:rsidR="00F953CB" w:rsidRDefault="00F953CB" w:rsidP="00E64209">
      <w:pPr>
        <w:pStyle w:val="BodyText"/>
      </w:pPr>
      <w:r>
        <w:t>The main reason for this return visit was to reevaluate a few areas in the front of the office that had levels above the MDPH recommended carbon dioxide level or 800 ppm during the visit earlier in 2019. These areas also had a slight musty or stale odor at that time. During this visit, all carbon dioxide levels measured were below the MDPH recommendation, and no musty or stale odors</w:t>
      </w:r>
      <w:r w:rsidR="00006660">
        <w:t xml:space="preserve"> were present</w:t>
      </w:r>
      <w:r>
        <w:t xml:space="preserve"> in the areas examined. </w:t>
      </w:r>
      <w:r w:rsidR="00006660">
        <w:t>F</w:t>
      </w:r>
      <w:r>
        <w:t>acility staff</w:t>
      </w:r>
      <w:r w:rsidR="00006660">
        <w:t xml:space="preserve"> reported</w:t>
      </w:r>
      <w:r>
        <w:t xml:space="preserve"> that adjustments had been made to the HVAC system in the areas examined</w:t>
      </w:r>
      <w:r w:rsidR="00006660">
        <w:t>,</w:t>
      </w:r>
      <w:r>
        <w:t xml:space="preserve"> including </w:t>
      </w:r>
      <w:r w:rsidR="00006660">
        <w:t xml:space="preserve">changing of </w:t>
      </w:r>
      <w:r>
        <w:t>filter</w:t>
      </w:r>
      <w:r w:rsidR="00006660">
        <w:t>s</w:t>
      </w:r>
      <w:r>
        <w:t>.</w:t>
      </w:r>
    </w:p>
    <w:p w:rsidR="00436E4C" w:rsidRDefault="00436E4C" w:rsidP="00E64209">
      <w:pPr>
        <w:pStyle w:val="Heading2"/>
      </w:pPr>
      <w:r w:rsidRPr="007D2C35">
        <w:lastRenderedPageBreak/>
        <w:t>Microbial/Moisture Concerns</w:t>
      </w:r>
    </w:p>
    <w:p w:rsidR="00F953CB" w:rsidRPr="00F953CB" w:rsidRDefault="00F953CB" w:rsidP="00F953CB">
      <w:pPr>
        <w:pStyle w:val="BodyText"/>
      </w:pPr>
      <w:r>
        <w:t>No water-damaged materials, stains or leaks were noted during this visit. It was raining outside with a high relative humidity,</w:t>
      </w:r>
      <w:r w:rsidR="00254CBD">
        <w:t xml:space="preserve"> </w:t>
      </w:r>
      <w:r>
        <w:t>and relative humidity in the office space was within MDPH comfort guidelines</w:t>
      </w:r>
      <w:r w:rsidR="00EA09D6">
        <w:t xml:space="preserve"> (Table 1)</w:t>
      </w:r>
      <w:r>
        <w:t xml:space="preserve">, indicating that the </w:t>
      </w:r>
      <w:r w:rsidR="00006660">
        <w:t>HVAC system</w:t>
      </w:r>
      <w:r>
        <w:t xml:space="preserve"> was doing an adequate job of humidity removal.</w:t>
      </w:r>
    </w:p>
    <w:p w:rsidR="001801F0" w:rsidRDefault="00436E4C" w:rsidP="006E6262">
      <w:pPr>
        <w:pStyle w:val="Heading2"/>
      </w:pPr>
      <w:r w:rsidRPr="006E6262">
        <w:t>Other IAQ Evaluations</w:t>
      </w:r>
    </w:p>
    <w:p w:rsidR="00F953CB" w:rsidRPr="00F953CB" w:rsidRDefault="00F953CB" w:rsidP="00F953CB">
      <w:pPr>
        <w:pStyle w:val="BodyText"/>
      </w:pPr>
      <w:r>
        <w:t xml:space="preserve">The PM2.5 measurements outside were above the NAAQS levels of </w:t>
      </w:r>
      <w:r w:rsidRPr="00991847">
        <w:t xml:space="preserve">35 </w:t>
      </w:r>
      <w:proofErr w:type="spellStart"/>
      <w:r w:rsidRPr="00991847">
        <w:t>μg</w:t>
      </w:r>
      <w:proofErr w:type="spellEnd"/>
      <w:r w:rsidRPr="00991847">
        <w:t>/m</w:t>
      </w:r>
      <w:r w:rsidRPr="00665B76">
        <w:rPr>
          <w:vertAlign w:val="superscript"/>
        </w:rPr>
        <w:t>3</w:t>
      </w:r>
      <w:r w:rsidR="00985A9B">
        <w:rPr>
          <w:vertAlign w:val="superscript"/>
        </w:rPr>
        <w:t xml:space="preserve"> </w:t>
      </w:r>
      <w:r w:rsidR="00985A9B" w:rsidRPr="00985A9B">
        <w:t>(Table</w:t>
      </w:r>
      <w:r w:rsidR="00EA09D6">
        <w:t xml:space="preserve"> </w:t>
      </w:r>
      <w:r w:rsidR="004D66F5">
        <w:t xml:space="preserve">1). </w:t>
      </w:r>
      <w:r w:rsidR="00985A9B">
        <w:t xml:space="preserve">Levels inside the office, however, were well below the NAAQS levels (Table 1), indicating that filters on the HVAC system are performing adequately. If outdoor air quality is frequently poor (e.g., pollution, pollen), filters may need to be changed more </w:t>
      </w:r>
      <w:r w:rsidR="001759C0">
        <w:t>often</w:t>
      </w:r>
      <w:r w:rsidR="00985A9B">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 xml:space="preserve">The following recommendations are made to assist in </w:t>
      </w:r>
      <w:r w:rsidR="00F73BE6">
        <w:t>maintaining</w:t>
      </w:r>
      <w:r w:rsidRPr="005E2E28">
        <w:t xml:space="preserve"> IAQ:</w:t>
      </w:r>
    </w:p>
    <w:p w:rsidR="00985A9B" w:rsidRDefault="00985A9B" w:rsidP="002E5125">
      <w:pPr>
        <w:pStyle w:val="BodyText"/>
        <w:numPr>
          <w:ilvl w:val="0"/>
          <w:numId w:val="7"/>
        </w:numPr>
        <w:ind w:left="748" w:hanging="748"/>
      </w:pPr>
      <w:r>
        <w:t>Continue to follow recommendations in the May 2019 report.</w:t>
      </w:r>
    </w:p>
    <w:p w:rsidR="00985A9B" w:rsidRDefault="00985A9B" w:rsidP="002E5125">
      <w:pPr>
        <w:pStyle w:val="BodyText"/>
        <w:numPr>
          <w:ilvl w:val="0"/>
          <w:numId w:val="7"/>
        </w:numPr>
        <w:ind w:left="748" w:hanging="748"/>
      </w:pPr>
      <w:r>
        <w:t>If filters on the HVAC system are highly soiled during changes, or if outdoor air frequently has high levels of pollen or pollution, consider changing filters more frequently.</w:t>
      </w:r>
    </w:p>
    <w:p w:rsidR="007B5977" w:rsidRPr="00DB51C0" w:rsidRDefault="007B5977" w:rsidP="002E5125">
      <w:pPr>
        <w:pStyle w:val="BodyText"/>
        <w:numPr>
          <w:ilvl w:val="0"/>
          <w:numId w:val="7"/>
        </w:numPr>
        <w:ind w:left="748" w:hanging="748"/>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9" w:history="1">
        <w:r w:rsidRPr="00B7439C">
          <w:rPr>
            <w:rStyle w:val="Hyperlink"/>
          </w:rPr>
          <w:t>http://ma</w:t>
        </w:r>
        <w:r w:rsidRPr="00B7439C">
          <w:rPr>
            <w:rStyle w:val="Hyperlink"/>
          </w:rPr>
          <w:t>s</w:t>
        </w:r>
        <w:r w:rsidRPr="00B7439C">
          <w:rPr>
            <w:rStyle w:val="Hyperlink"/>
          </w:rPr>
          <w:t>s.gov/dph/iaq</w:t>
        </w:r>
      </w:hyperlink>
      <w:r>
        <w:t>.</w:t>
      </w:r>
    </w:p>
    <w:p w:rsidR="004D05AC" w:rsidRPr="003D4DE1" w:rsidRDefault="007B5977" w:rsidP="0093560B">
      <w:pPr>
        <w:pStyle w:val="Heading1"/>
      </w:pPr>
      <w:r>
        <w:br w:type="page"/>
      </w:r>
      <w:r w:rsidR="004A28CB">
        <w:lastRenderedPageBreak/>
        <w:t>R</w:t>
      </w:r>
      <w:r w:rsidR="004D05AC" w:rsidRPr="003D4DE1">
        <w:t>eferences</w:t>
      </w:r>
    </w:p>
    <w:p w:rsidR="008A4F35" w:rsidRPr="006E0B58" w:rsidRDefault="008A4F35" w:rsidP="005A752D">
      <w:pPr>
        <w:pStyle w:val="References"/>
      </w:pPr>
      <w:r w:rsidRPr="006E0B58">
        <w:t>MDPH.</w:t>
      </w:r>
      <w:r w:rsidR="007D2C35" w:rsidRPr="006E0B58">
        <w:t xml:space="preserve"> </w:t>
      </w:r>
      <w:r w:rsidRPr="006E0B58">
        <w:t>2015.</w:t>
      </w:r>
      <w:r w:rsidR="007D2C35" w:rsidRPr="006E0B58">
        <w:t xml:space="preserve"> </w:t>
      </w:r>
      <w:r w:rsidR="003D084D" w:rsidRPr="006E0B58">
        <w:t>Massachusetts Department of Public Health.</w:t>
      </w:r>
      <w:r w:rsidR="007D2C35" w:rsidRPr="006E0B58">
        <w:t xml:space="preserve"> </w:t>
      </w:r>
      <w:r w:rsidRPr="006E0B58">
        <w:t>Indoor Air Quality Manual: Chapters I-III.</w:t>
      </w:r>
      <w:r w:rsidR="007D2C35" w:rsidRPr="006E0B58">
        <w:t xml:space="preserve"> </w:t>
      </w:r>
      <w:r w:rsidRPr="006E0B58">
        <w:t xml:space="preserve">Available at: </w:t>
      </w:r>
      <w:hyperlink r:id="rId10" w:history="1">
        <w:r w:rsidRPr="006E0B58">
          <w:rPr>
            <w:rStyle w:val="Hyperlink"/>
          </w:rPr>
          <w:t>http://www.mass.gov/eohhs/gov/departments/dph/programs/environmental-health/exposure-topics/iaq/iaq-manual/</w:t>
        </w:r>
      </w:hyperlink>
      <w:r w:rsidRPr="006E0B58">
        <w:t>.</w:t>
      </w:r>
    </w:p>
    <w:p w:rsidR="00EA3DA4" w:rsidRDefault="00FA3444" w:rsidP="00C73967">
      <w:pPr>
        <w:pStyle w:val="BodyText2"/>
        <w:rPr>
          <w:szCs w:val="24"/>
        </w:rPr>
        <w:sectPr w:rsidR="00EA3DA4" w:rsidSect="00B0444B">
          <w:footerReference w:type="even" r:id="rId11"/>
          <w:footerReference w:type="default" r:id="rId12"/>
          <w:pgSz w:w="12240" w:h="15840" w:code="1"/>
          <w:pgMar w:top="1440" w:right="1440" w:bottom="1440" w:left="1440" w:header="720" w:footer="720" w:gutter="0"/>
          <w:cols w:space="720"/>
          <w:noEndnote/>
          <w:titlePg/>
          <w:docGrid w:linePitch="254"/>
        </w:sectPr>
      </w:pPr>
      <w:r w:rsidRPr="006E0B58">
        <w:rPr>
          <w:szCs w:val="24"/>
        </w:rPr>
        <w:t>SMACNA.</w:t>
      </w:r>
      <w:r w:rsidR="007D2C35" w:rsidRPr="006E0B58">
        <w:rPr>
          <w:szCs w:val="24"/>
        </w:rPr>
        <w:t xml:space="preserve"> </w:t>
      </w:r>
      <w:r w:rsidRPr="006E0B58">
        <w:rPr>
          <w:szCs w:val="24"/>
        </w:rPr>
        <w:t>1994.</w:t>
      </w:r>
      <w:r w:rsidR="007D2C35" w:rsidRPr="006E0B58">
        <w:rPr>
          <w:szCs w:val="24"/>
        </w:rPr>
        <w:t xml:space="preserve"> </w:t>
      </w:r>
      <w:r w:rsidRPr="006E0B58">
        <w:rPr>
          <w:szCs w:val="24"/>
        </w:rPr>
        <w:t>HVAC Systems Commissioning Manual.</w:t>
      </w:r>
      <w:r w:rsidR="007D2C35" w:rsidRPr="006E0B58">
        <w:rPr>
          <w:szCs w:val="24"/>
        </w:rPr>
        <w:t xml:space="preserve"> </w:t>
      </w:r>
      <w:r w:rsidRPr="006E0B58">
        <w:rPr>
          <w:szCs w:val="24"/>
        </w:rPr>
        <w:t>1</w:t>
      </w:r>
      <w:r w:rsidRPr="006E0B58">
        <w:rPr>
          <w:szCs w:val="24"/>
          <w:vertAlign w:val="superscript"/>
        </w:rPr>
        <w:t>st</w:t>
      </w:r>
      <w:r w:rsidRPr="006E0B58">
        <w:rPr>
          <w:szCs w:val="24"/>
        </w:rPr>
        <w:t xml:space="preserve"> ed.</w:t>
      </w:r>
      <w:r w:rsidR="007D2C35" w:rsidRPr="006E0B58">
        <w:rPr>
          <w:szCs w:val="24"/>
        </w:rPr>
        <w:t xml:space="preserve"> </w:t>
      </w:r>
      <w:r w:rsidRPr="006E0B58">
        <w:rPr>
          <w:szCs w:val="24"/>
        </w:rPr>
        <w:t xml:space="preserve">Sheet Metal and Air Conditioning Contractors’ National Association, Inc., </w:t>
      </w:r>
      <w:smartTag w:uri="urn:schemas-microsoft-com:office:smarttags" w:element="City">
        <w:r w:rsidRPr="006E0B58">
          <w:rPr>
            <w:szCs w:val="24"/>
          </w:rPr>
          <w:t>Chantilly</w:t>
        </w:r>
      </w:smartTag>
      <w:r w:rsidRPr="006E0B58">
        <w:rPr>
          <w:szCs w:val="24"/>
        </w:rPr>
        <w:t>, VA.</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EA3DA4" w:rsidRPr="00EA3DA4" w:rsidTr="00A0242B">
        <w:trPr>
          <w:cantSplit/>
          <w:trHeight w:val="350"/>
          <w:tblHeader/>
          <w:jc w:val="center"/>
        </w:trPr>
        <w:tc>
          <w:tcPr>
            <w:tcW w:w="1909" w:type="dxa"/>
            <w:vMerge w:val="restart"/>
            <w:tcBorders>
              <w:top w:val="single" w:sz="12" w:space="0" w:color="000000"/>
            </w:tcBorders>
            <w:vAlign w:val="bottom"/>
          </w:tcPr>
          <w:p w:rsidR="00EA3DA4" w:rsidRPr="00EA3DA4" w:rsidRDefault="00EA3DA4" w:rsidP="00EA3DA4">
            <w:pPr>
              <w:keepNext/>
              <w:jc w:val="center"/>
              <w:outlineLvl w:val="0"/>
              <w:rPr>
                <w:sz w:val="20"/>
              </w:rPr>
            </w:pPr>
            <w:r w:rsidRPr="00EA3DA4">
              <w:rPr>
                <w:sz w:val="20"/>
              </w:rPr>
              <w:lastRenderedPageBreak/>
              <w:t>Location</w:t>
            </w:r>
          </w:p>
        </w:tc>
        <w:tc>
          <w:tcPr>
            <w:tcW w:w="920"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Carbon</w:t>
            </w:r>
          </w:p>
          <w:p w:rsidR="00EA3DA4" w:rsidRPr="00EA3DA4" w:rsidRDefault="00EA3DA4" w:rsidP="00EA3DA4">
            <w:pPr>
              <w:jc w:val="center"/>
              <w:rPr>
                <w:sz w:val="20"/>
              </w:rPr>
            </w:pPr>
            <w:r w:rsidRPr="00EA3DA4">
              <w:rPr>
                <w:sz w:val="20"/>
              </w:rPr>
              <w:t>Dioxide</w:t>
            </w:r>
          </w:p>
          <w:p w:rsidR="00EA3DA4" w:rsidRPr="00EA3DA4" w:rsidRDefault="00EA3DA4" w:rsidP="00EA3DA4">
            <w:pPr>
              <w:jc w:val="center"/>
              <w:rPr>
                <w:sz w:val="20"/>
              </w:rPr>
            </w:pPr>
            <w:r w:rsidRPr="00EA3DA4">
              <w:rPr>
                <w:sz w:val="20"/>
              </w:rPr>
              <w:t>(ppm)</w:t>
            </w:r>
          </w:p>
        </w:tc>
        <w:tc>
          <w:tcPr>
            <w:tcW w:w="1136"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Carbon Monoxide</w:t>
            </w:r>
          </w:p>
          <w:p w:rsidR="00EA3DA4" w:rsidRPr="00EA3DA4" w:rsidRDefault="00EA3DA4" w:rsidP="00EA3DA4">
            <w:pPr>
              <w:jc w:val="center"/>
              <w:rPr>
                <w:sz w:val="20"/>
              </w:rPr>
            </w:pPr>
            <w:r w:rsidRPr="00EA3DA4">
              <w:rPr>
                <w:sz w:val="20"/>
              </w:rPr>
              <w:t>(ppm)</w:t>
            </w:r>
          </w:p>
        </w:tc>
        <w:tc>
          <w:tcPr>
            <w:tcW w:w="810"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Temp</w:t>
            </w:r>
          </w:p>
          <w:p w:rsidR="00EA3DA4" w:rsidRPr="00EA3DA4" w:rsidRDefault="00EA3DA4" w:rsidP="00EA3DA4">
            <w:pPr>
              <w:jc w:val="center"/>
              <w:rPr>
                <w:sz w:val="20"/>
              </w:rPr>
            </w:pPr>
            <w:r w:rsidRPr="00EA3DA4">
              <w:rPr>
                <w:sz w:val="20"/>
              </w:rPr>
              <w:t>(°F)</w:t>
            </w:r>
          </w:p>
        </w:tc>
        <w:tc>
          <w:tcPr>
            <w:tcW w:w="1080"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Relative</w:t>
            </w:r>
          </w:p>
          <w:p w:rsidR="00EA3DA4" w:rsidRPr="00EA3DA4" w:rsidRDefault="00EA3DA4" w:rsidP="00EA3DA4">
            <w:pPr>
              <w:jc w:val="center"/>
              <w:rPr>
                <w:sz w:val="20"/>
              </w:rPr>
            </w:pPr>
            <w:r w:rsidRPr="00EA3DA4">
              <w:rPr>
                <w:sz w:val="20"/>
              </w:rPr>
              <w:t>Humidity</w:t>
            </w:r>
          </w:p>
          <w:p w:rsidR="00EA3DA4" w:rsidRPr="00EA3DA4" w:rsidRDefault="00EA3DA4" w:rsidP="00EA3DA4">
            <w:pPr>
              <w:jc w:val="center"/>
              <w:rPr>
                <w:sz w:val="20"/>
              </w:rPr>
            </w:pPr>
            <w:r w:rsidRPr="00EA3DA4">
              <w:rPr>
                <w:sz w:val="20"/>
              </w:rPr>
              <w:t>(%)</w:t>
            </w:r>
          </w:p>
        </w:tc>
        <w:tc>
          <w:tcPr>
            <w:tcW w:w="954"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PM2.5</w:t>
            </w:r>
          </w:p>
          <w:p w:rsidR="00EA3DA4" w:rsidRPr="00EA3DA4" w:rsidRDefault="00EA3DA4" w:rsidP="00EA3DA4">
            <w:pPr>
              <w:jc w:val="center"/>
              <w:rPr>
                <w:sz w:val="20"/>
              </w:rPr>
            </w:pPr>
            <w:r w:rsidRPr="00EA3DA4">
              <w:rPr>
                <w:sz w:val="20"/>
              </w:rPr>
              <w:t>(µg/m</w:t>
            </w:r>
            <w:r w:rsidRPr="00EA3DA4">
              <w:rPr>
                <w:sz w:val="20"/>
                <w:vertAlign w:val="superscript"/>
              </w:rPr>
              <w:t>3</w:t>
            </w:r>
            <w:r w:rsidRPr="00EA3DA4">
              <w:rPr>
                <w:sz w:val="20"/>
              </w:rPr>
              <w:t>)</w:t>
            </w:r>
          </w:p>
        </w:tc>
        <w:tc>
          <w:tcPr>
            <w:tcW w:w="1116"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Occupants</w:t>
            </w:r>
          </w:p>
          <w:p w:rsidR="00EA3DA4" w:rsidRPr="00EA3DA4" w:rsidRDefault="00EA3DA4" w:rsidP="00EA3DA4">
            <w:pPr>
              <w:jc w:val="center"/>
              <w:rPr>
                <w:sz w:val="20"/>
              </w:rPr>
            </w:pPr>
            <w:r w:rsidRPr="00EA3DA4">
              <w:rPr>
                <w:sz w:val="20"/>
              </w:rPr>
              <w:t>in Room</w:t>
            </w:r>
          </w:p>
        </w:tc>
        <w:tc>
          <w:tcPr>
            <w:tcW w:w="1260"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Windows</w:t>
            </w:r>
          </w:p>
          <w:p w:rsidR="00EA3DA4" w:rsidRPr="00EA3DA4" w:rsidRDefault="00EA3DA4" w:rsidP="00EA3DA4">
            <w:pPr>
              <w:jc w:val="center"/>
              <w:rPr>
                <w:sz w:val="20"/>
              </w:rPr>
            </w:pPr>
            <w:r w:rsidRPr="00EA3DA4">
              <w:rPr>
                <w:sz w:val="20"/>
              </w:rPr>
              <w:t>Openable</w:t>
            </w:r>
          </w:p>
        </w:tc>
        <w:tc>
          <w:tcPr>
            <w:tcW w:w="1890" w:type="dxa"/>
            <w:gridSpan w:val="2"/>
            <w:tcBorders>
              <w:top w:val="single" w:sz="12" w:space="0" w:color="000000"/>
              <w:left w:val="nil"/>
              <w:bottom w:val="nil"/>
            </w:tcBorders>
            <w:vAlign w:val="bottom"/>
          </w:tcPr>
          <w:p w:rsidR="00EA3DA4" w:rsidRPr="00EA3DA4" w:rsidRDefault="00EA3DA4" w:rsidP="00EA3DA4">
            <w:pPr>
              <w:ind w:left="-105"/>
              <w:jc w:val="center"/>
              <w:rPr>
                <w:sz w:val="20"/>
              </w:rPr>
            </w:pPr>
            <w:r w:rsidRPr="00EA3DA4">
              <w:rPr>
                <w:sz w:val="20"/>
              </w:rPr>
              <w:t>Ventilation</w:t>
            </w:r>
          </w:p>
        </w:tc>
        <w:tc>
          <w:tcPr>
            <w:tcW w:w="2615" w:type="dxa"/>
            <w:vMerge w:val="restart"/>
            <w:tcBorders>
              <w:top w:val="single" w:sz="12" w:space="0" w:color="000000"/>
            </w:tcBorders>
            <w:vAlign w:val="bottom"/>
          </w:tcPr>
          <w:p w:rsidR="00EA3DA4" w:rsidRPr="00EA3DA4" w:rsidRDefault="00EA3DA4" w:rsidP="00EA3DA4">
            <w:pPr>
              <w:jc w:val="center"/>
              <w:rPr>
                <w:sz w:val="20"/>
              </w:rPr>
            </w:pPr>
            <w:r w:rsidRPr="00EA3DA4">
              <w:rPr>
                <w:sz w:val="20"/>
              </w:rPr>
              <w:t>Remarks</w:t>
            </w:r>
          </w:p>
        </w:tc>
      </w:tr>
      <w:tr w:rsidR="00EA3DA4" w:rsidRPr="00EA3DA4" w:rsidTr="00A0242B">
        <w:trPr>
          <w:cantSplit/>
          <w:trHeight w:val="350"/>
          <w:tblHeader/>
          <w:jc w:val="center"/>
        </w:trPr>
        <w:tc>
          <w:tcPr>
            <w:tcW w:w="1909" w:type="dxa"/>
            <w:vMerge/>
            <w:tcBorders>
              <w:bottom w:val="single" w:sz="6" w:space="0" w:color="000000"/>
            </w:tcBorders>
            <w:vAlign w:val="bottom"/>
          </w:tcPr>
          <w:p w:rsidR="00EA3DA4" w:rsidRPr="00EA3DA4" w:rsidRDefault="00EA3DA4" w:rsidP="00EA3DA4">
            <w:pPr>
              <w:keepNext/>
              <w:jc w:val="center"/>
              <w:outlineLvl w:val="0"/>
              <w:rPr>
                <w:sz w:val="20"/>
              </w:rPr>
            </w:pPr>
          </w:p>
        </w:tc>
        <w:tc>
          <w:tcPr>
            <w:tcW w:w="920" w:type="dxa"/>
            <w:vMerge/>
            <w:tcBorders>
              <w:bottom w:val="single" w:sz="6" w:space="0" w:color="000000"/>
            </w:tcBorders>
            <w:vAlign w:val="bottom"/>
          </w:tcPr>
          <w:p w:rsidR="00EA3DA4" w:rsidRPr="00EA3DA4" w:rsidRDefault="00EA3DA4" w:rsidP="00EA3DA4">
            <w:pPr>
              <w:jc w:val="center"/>
              <w:rPr>
                <w:sz w:val="20"/>
              </w:rPr>
            </w:pPr>
          </w:p>
        </w:tc>
        <w:tc>
          <w:tcPr>
            <w:tcW w:w="1136" w:type="dxa"/>
            <w:vMerge/>
            <w:tcBorders>
              <w:bottom w:val="single" w:sz="6" w:space="0" w:color="000000"/>
            </w:tcBorders>
          </w:tcPr>
          <w:p w:rsidR="00EA3DA4" w:rsidRPr="00EA3DA4" w:rsidRDefault="00EA3DA4" w:rsidP="00EA3DA4">
            <w:pPr>
              <w:jc w:val="center"/>
              <w:rPr>
                <w:sz w:val="20"/>
              </w:rPr>
            </w:pPr>
          </w:p>
        </w:tc>
        <w:tc>
          <w:tcPr>
            <w:tcW w:w="810" w:type="dxa"/>
            <w:vMerge/>
            <w:tcBorders>
              <w:bottom w:val="single" w:sz="6" w:space="0" w:color="000000"/>
            </w:tcBorders>
            <w:vAlign w:val="bottom"/>
          </w:tcPr>
          <w:p w:rsidR="00EA3DA4" w:rsidRPr="00EA3DA4" w:rsidRDefault="00EA3DA4" w:rsidP="00EA3DA4">
            <w:pPr>
              <w:jc w:val="center"/>
              <w:rPr>
                <w:sz w:val="20"/>
              </w:rPr>
            </w:pPr>
          </w:p>
        </w:tc>
        <w:tc>
          <w:tcPr>
            <w:tcW w:w="1080" w:type="dxa"/>
            <w:vMerge/>
            <w:tcBorders>
              <w:bottom w:val="single" w:sz="6" w:space="0" w:color="000000"/>
            </w:tcBorders>
            <w:vAlign w:val="bottom"/>
          </w:tcPr>
          <w:p w:rsidR="00EA3DA4" w:rsidRPr="00EA3DA4" w:rsidRDefault="00EA3DA4" w:rsidP="00EA3DA4">
            <w:pPr>
              <w:jc w:val="center"/>
              <w:rPr>
                <w:sz w:val="20"/>
              </w:rPr>
            </w:pPr>
          </w:p>
        </w:tc>
        <w:tc>
          <w:tcPr>
            <w:tcW w:w="954" w:type="dxa"/>
            <w:vMerge/>
            <w:tcBorders>
              <w:bottom w:val="single" w:sz="6" w:space="0" w:color="000000"/>
            </w:tcBorders>
          </w:tcPr>
          <w:p w:rsidR="00EA3DA4" w:rsidRPr="00EA3DA4" w:rsidRDefault="00EA3DA4" w:rsidP="00EA3DA4">
            <w:pPr>
              <w:jc w:val="center"/>
              <w:rPr>
                <w:sz w:val="20"/>
              </w:rPr>
            </w:pPr>
          </w:p>
        </w:tc>
        <w:tc>
          <w:tcPr>
            <w:tcW w:w="1116" w:type="dxa"/>
            <w:vMerge/>
            <w:tcBorders>
              <w:bottom w:val="single" w:sz="6" w:space="0" w:color="000000"/>
            </w:tcBorders>
            <w:vAlign w:val="bottom"/>
          </w:tcPr>
          <w:p w:rsidR="00EA3DA4" w:rsidRPr="00EA3DA4" w:rsidRDefault="00EA3DA4" w:rsidP="00EA3DA4">
            <w:pPr>
              <w:jc w:val="center"/>
              <w:rPr>
                <w:sz w:val="20"/>
              </w:rPr>
            </w:pPr>
          </w:p>
        </w:tc>
        <w:tc>
          <w:tcPr>
            <w:tcW w:w="1260" w:type="dxa"/>
            <w:vMerge/>
            <w:tcBorders>
              <w:bottom w:val="single" w:sz="6" w:space="0" w:color="000000"/>
            </w:tcBorders>
            <w:vAlign w:val="bottom"/>
          </w:tcPr>
          <w:p w:rsidR="00EA3DA4" w:rsidRPr="00EA3DA4" w:rsidRDefault="00EA3DA4" w:rsidP="00EA3DA4">
            <w:pPr>
              <w:jc w:val="center"/>
              <w:rPr>
                <w:sz w:val="20"/>
              </w:rPr>
            </w:pPr>
          </w:p>
        </w:tc>
        <w:tc>
          <w:tcPr>
            <w:tcW w:w="900" w:type="dxa"/>
            <w:tcBorders>
              <w:left w:val="nil"/>
              <w:bottom w:val="single" w:sz="6" w:space="0" w:color="000000"/>
            </w:tcBorders>
            <w:vAlign w:val="bottom"/>
          </w:tcPr>
          <w:p w:rsidR="00EA3DA4" w:rsidRPr="00EA3DA4" w:rsidRDefault="00EA3DA4" w:rsidP="00EA3DA4">
            <w:pPr>
              <w:ind w:left="-105"/>
              <w:jc w:val="center"/>
              <w:rPr>
                <w:sz w:val="20"/>
              </w:rPr>
            </w:pPr>
            <w:r w:rsidRPr="00EA3DA4">
              <w:rPr>
                <w:sz w:val="20"/>
              </w:rPr>
              <w:t>Supply</w:t>
            </w:r>
          </w:p>
        </w:tc>
        <w:tc>
          <w:tcPr>
            <w:tcW w:w="990" w:type="dxa"/>
            <w:tcBorders>
              <w:left w:val="nil"/>
              <w:bottom w:val="single" w:sz="6" w:space="0" w:color="000000"/>
            </w:tcBorders>
            <w:vAlign w:val="bottom"/>
          </w:tcPr>
          <w:p w:rsidR="00EA3DA4" w:rsidRPr="00EA3DA4" w:rsidRDefault="00EA3DA4" w:rsidP="00EA3DA4">
            <w:pPr>
              <w:ind w:left="-105"/>
              <w:jc w:val="center"/>
              <w:rPr>
                <w:sz w:val="20"/>
              </w:rPr>
            </w:pPr>
            <w:r w:rsidRPr="00EA3DA4">
              <w:rPr>
                <w:sz w:val="20"/>
              </w:rPr>
              <w:t>Exhaust</w:t>
            </w:r>
          </w:p>
        </w:tc>
        <w:tc>
          <w:tcPr>
            <w:tcW w:w="2615" w:type="dxa"/>
            <w:vMerge/>
            <w:tcBorders>
              <w:bottom w:val="single" w:sz="6" w:space="0" w:color="000000"/>
            </w:tcBorders>
            <w:vAlign w:val="bottom"/>
          </w:tcPr>
          <w:p w:rsidR="00EA3DA4" w:rsidRPr="00EA3DA4" w:rsidRDefault="00EA3DA4" w:rsidP="00EA3DA4">
            <w:pPr>
              <w:jc w:val="center"/>
              <w:rPr>
                <w:sz w:val="20"/>
              </w:rPr>
            </w:pP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Background</w:t>
            </w:r>
          </w:p>
        </w:tc>
        <w:tc>
          <w:tcPr>
            <w:tcW w:w="920" w:type="dxa"/>
            <w:vAlign w:val="center"/>
          </w:tcPr>
          <w:p w:rsidR="00EA3DA4" w:rsidRPr="00EA3DA4" w:rsidRDefault="00EA3DA4" w:rsidP="00EA3DA4">
            <w:pPr>
              <w:jc w:val="center"/>
              <w:rPr>
                <w:sz w:val="22"/>
                <w:szCs w:val="22"/>
              </w:rPr>
            </w:pPr>
            <w:r w:rsidRPr="00EA3DA4">
              <w:rPr>
                <w:sz w:val="22"/>
                <w:szCs w:val="22"/>
              </w:rPr>
              <w:t>517</w:t>
            </w:r>
          </w:p>
        </w:tc>
        <w:tc>
          <w:tcPr>
            <w:tcW w:w="1136" w:type="dxa"/>
            <w:vAlign w:val="center"/>
          </w:tcPr>
          <w:p w:rsidR="00EA3DA4" w:rsidRPr="00EA3DA4" w:rsidRDefault="00EA3DA4" w:rsidP="00EA3DA4">
            <w:pPr>
              <w:jc w:val="center"/>
              <w:rPr>
                <w:sz w:val="22"/>
                <w:szCs w:val="22"/>
              </w:rPr>
            </w:pPr>
            <w:r w:rsidRPr="00EA3DA4">
              <w:rPr>
                <w:sz w:val="22"/>
                <w:szCs w:val="22"/>
              </w:rPr>
              <w:t>0.7</w:t>
            </w:r>
          </w:p>
        </w:tc>
        <w:tc>
          <w:tcPr>
            <w:tcW w:w="810" w:type="dxa"/>
            <w:vAlign w:val="center"/>
          </w:tcPr>
          <w:p w:rsidR="00EA3DA4" w:rsidRPr="00EA3DA4" w:rsidRDefault="00EA3DA4" w:rsidP="00EA3DA4">
            <w:pPr>
              <w:jc w:val="center"/>
              <w:rPr>
                <w:sz w:val="22"/>
                <w:szCs w:val="22"/>
              </w:rPr>
            </w:pPr>
            <w:r w:rsidRPr="00EA3DA4">
              <w:rPr>
                <w:sz w:val="22"/>
                <w:szCs w:val="22"/>
              </w:rPr>
              <w:t>77</w:t>
            </w:r>
          </w:p>
        </w:tc>
        <w:tc>
          <w:tcPr>
            <w:tcW w:w="1080" w:type="dxa"/>
            <w:vAlign w:val="center"/>
          </w:tcPr>
          <w:p w:rsidR="00EA3DA4" w:rsidRPr="00EA3DA4" w:rsidRDefault="00EA3DA4" w:rsidP="00EA3DA4">
            <w:pPr>
              <w:jc w:val="center"/>
              <w:rPr>
                <w:sz w:val="22"/>
                <w:szCs w:val="22"/>
              </w:rPr>
            </w:pPr>
            <w:r w:rsidRPr="00EA3DA4">
              <w:rPr>
                <w:sz w:val="22"/>
                <w:szCs w:val="22"/>
              </w:rPr>
              <w:t>75</w:t>
            </w:r>
          </w:p>
        </w:tc>
        <w:tc>
          <w:tcPr>
            <w:tcW w:w="954" w:type="dxa"/>
            <w:vAlign w:val="center"/>
          </w:tcPr>
          <w:p w:rsidR="00EA3DA4" w:rsidRPr="00EA3DA4" w:rsidRDefault="00EA3DA4" w:rsidP="00EA3DA4">
            <w:pPr>
              <w:jc w:val="center"/>
              <w:rPr>
                <w:sz w:val="22"/>
                <w:szCs w:val="22"/>
              </w:rPr>
            </w:pPr>
            <w:r w:rsidRPr="00EA3DA4">
              <w:rPr>
                <w:sz w:val="22"/>
                <w:szCs w:val="22"/>
              </w:rPr>
              <w:t>57</w:t>
            </w:r>
          </w:p>
        </w:tc>
        <w:tc>
          <w:tcPr>
            <w:tcW w:w="1116" w:type="dxa"/>
            <w:vAlign w:val="center"/>
          </w:tcPr>
          <w:p w:rsidR="00EA3DA4" w:rsidRPr="00EA3DA4" w:rsidRDefault="00EA3DA4" w:rsidP="00EA3DA4">
            <w:pPr>
              <w:jc w:val="center"/>
              <w:rPr>
                <w:sz w:val="22"/>
                <w:szCs w:val="22"/>
              </w:rPr>
            </w:pPr>
            <w:r w:rsidRPr="00EA3DA4">
              <w:rPr>
                <w:sz w:val="22"/>
                <w:szCs w:val="22"/>
              </w:rPr>
              <w:t>0</w:t>
            </w:r>
          </w:p>
        </w:tc>
        <w:tc>
          <w:tcPr>
            <w:tcW w:w="1260" w:type="dxa"/>
            <w:vAlign w:val="center"/>
          </w:tcPr>
          <w:p w:rsidR="00EA3DA4" w:rsidRPr="00EA3DA4" w:rsidRDefault="00EA3DA4" w:rsidP="00EA3DA4">
            <w:pPr>
              <w:jc w:val="center"/>
              <w:rPr>
                <w:sz w:val="22"/>
                <w:szCs w:val="22"/>
              </w:rPr>
            </w:pPr>
          </w:p>
        </w:tc>
        <w:tc>
          <w:tcPr>
            <w:tcW w:w="900" w:type="dxa"/>
            <w:vAlign w:val="center"/>
          </w:tcPr>
          <w:p w:rsidR="00EA3DA4" w:rsidRPr="00EA3DA4" w:rsidRDefault="00EA3DA4" w:rsidP="00EA3DA4">
            <w:pPr>
              <w:jc w:val="center"/>
              <w:rPr>
                <w:sz w:val="22"/>
                <w:szCs w:val="22"/>
              </w:rPr>
            </w:pPr>
          </w:p>
        </w:tc>
        <w:tc>
          <w:tcPr>
            <w:tcW w:w="990" w:type="dxa"/>
            <w:vAlign w:val="center"/>
          </w:tcPr>
          <w:p w:rsidR="00EA3DA4" w:rsidRPr="00EA3DA4" w:rsidRDefault="00EA3DA4" w:rsidP="00EA3DA4">
            <w:pPr>
              <w:jc w:val="center"/>
              <w:rPr>
                <w:sz w:val="22"/>
                <w:szCs w:val="22"/>
              </w:rPr>
            </w:pPr>
          </w:p>
        </w:tc>
        <w:tc>
          <w:tcPr>
            <w:tcW w:w="2615" w:type="dxa"/>
            <w:tcBorders>
              <w:left w:val="nil"/>
            </w:tcBorders>
            <w:vAlign w:val="center"/>
          </w:tcPr>
          <w:p w:rsidR="00EA3DA4" w:rsidRPr="00EA3DA4" w:rsidRDefault="00EA3DA4" w:rsidP="00EA3DA4">
            <w:pPr>
              <w:rPr>
                <w:sz w:val="22"/>
                <w:szCs w:val="22"/>
              </w:rPr>
            </w:pPr>
            <w:r w:rsidRPr="00EA3DA4">
              <w:rPr>
                <w:sz w:val="22"/>
                <w:szCs w:val="22"/>
              </w:rPr>
              <w:t>Periodic showers</w:t>
            </w: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Waiting room</w:t>
            </w:r>
          </w:p>
        </w:tc>
        <w:tc>
          <w:tcPr>
            <w:tcW w:w="920" w:type="dxa"/>
            <w:vAlign w:val="center"/>
          </w:tcPr>
          <w:p w:rsidR="00EA3DA4" w:rsidRPr="00EA3DA4" w:rsidRDefault="00EA3DA4" w:rsidP="00EA3DA4">
            <w:pPr>
              <w:jc w:val="center"/>
              <w:rPr>
                <w:sz w:val="22"/>
                <w:szCs w:val="22"/>
              </w:rPr>
            </w:pPr>
            <w:r w:rsidRPr="00EA3DA4">
              <w:rPr>
                <w:sz w:val="22"/>
                <w:szCs w:val="22"/>
              </w:rPr>
              <w:t>701</w:t>
            </w:r>
          </w:p>
        </w:tc>
        <w:tc>
          <w:tcPr>
            <w:tcW w:w="1136" w:type="dxa"/>
            <w:vAlign w:val="center"/>
          </w:tcPr>
          <w:p w:rsidR="00EA3DA4" w:rsidRPr="00EA3DA4" w:rsidRDefault="00EA3DA4" w:rsidP="00EA3DA4">
            <w:pPr>
              <w:jc w:val="center"/>
              <w:rPr>
                <w:sz w:val="22"/>
                <w:szCs w:val="22"/>
              </w:rPr>
            </w:pPr>
            <w:r w:rsidRPr="00EA3DA4">
              <w:rPr>
                <w:sz w:val="22"/>
                <w:szCs w:val="22"/>
              </w:rPr>
              <w:t>ND</w:t>
            </w:r>
          </w:p>
        </w:tc>
        <w:tc>
          <w:tcPr>
            <w:tcW w:w="810" w:type="dxa"/>
            <w:vAlign w:val="center"/>
          </w:tcPr>
          <w:p w:rsidR="00EA3DA4" w:rsidRPr="00EA3DA4" w:rsidRDefault="00EA3DA4" w:rsidP="00EA3DA4">
            <w:pPr>
              <w:jc w:val="center"/>
              <w:rPr>
                <w:sz w:val="22"/>
                <w:szCs w:val="22"/>
              </w:rPr>
            </w:pPr>
            <w:r w:rsidRPr="00EA3DA4">
              <w:rPr>
                <w:sz w:val="22"/>
                <w:szCs w:val="22"/>
              </w:rPr>
              <w:t>74</w:t>
            </w:r>
          </w:p>
        </w:tc>
        <w:tc>
          <w:tcPr>
            <w:tcW w:w="1080" w:type="dxa"/>
            <w:vAlign w:val="center"/>
          </w:tcPr>
          <w:p w:rsidR="00EA3DA4" w:rsidRPr="00EA3DA4" w:rsidRDefault="00EA3DA4" w:rsidP="00EA3DA4">
            <w:pPr>
              <w:jc w:val="center"/>
              <w:rPr>
                <w:sz w:val="22"/>
                <w:szCs w:val="22"/>
              </w:rPr>
            </w:pPr>
            <w:r w:rsidRPr="00EA3DA4">
              <w:rPr>
                <w:sz w:val="22"/>
                <w:szCs w:val="22"/>
              </w:rPr>
              <w:t>47</w:t>
            </w:r>
          </w:p>
        </w:tc>
        <w:tc>
          <w:tcPr>
            <w:tcW w:w="954" w:type="dxa"/>
            <w:vAlign w:val="center"/>
          </w:tcPr>
          <w:p w:rsidR="00EA3DA4" w:rsidRPr="00EA3DA4" w:rsidRDefault="00EA3DA4" w:rsidP="00EA3DA4">
            <w:pPr>
              <w:jc w:val="center"/>
              <w:rPr>
                <w:sz w:val="22"/>
                <w:szCs w:val="22"/>
              </w:rPr>
            </w:pPr>
            <w:r w:rsidRPr="00EA3DA4">
              <w:rPr>
                <w:sz w:val="22"/>
                <w:szCs w:val="22"/>
              </w:rPr>
              <w:t>19</w:t>
            </w:r>
          </w:p>
        </w:tc>
        <w:tc>
          <w:tcPr>
            <w:tcW w:w="1116" w:type="dxa"/>
            <w:vAlign w:val="center"/>
          </w:tcPr>
          <w:p w:rsidR="00EA3DA4" w:rsidRPr="00EA3DA4" w:rsidRDefault="00EA3DA4" w:rsidP="00EA3DA4">
            <w:pPr>
              <w:jc w:val="center"/>
              <w:rPr>
                <w:sz w:val="22"/>
                <w:szCs w:val="22"/>
              </w:rPr>
            </w:pPr>
            <w:r w:rsidRPr="00EA3DA4">
              <w:rPr>
                <w:sz w:val="22"/>
                <w:szCs w:val="22"/>
              </w:rPr>
              <w:t>4</w:t>
            </w:r>
          </w:p>
        </w:tc>
        <w:tc>
          <w:tcPr>
            <w:tcW w:w="1260" w:type="dxa"/>
            <w:vAlign w:val="center"/>
          </w:tcPr>
          <w:p w:rsidR="00EA3DA4" w:rsidRPr="00EA3DA4" w:rsidRDefault="00EA3DA4" w:rsidP="00EA3DA4">
            <w:pPr>
              <w:jc w:val="center"/>
              <w:rPr>
                <w:sz w:val="22"/>
                <w:szCs w:val="22"/>
              </w:rPr>
            </w:pPr>
            <w:r w:rsidRPr="00EA3DA4">
              <w:rPr>
                <w:sz w:val="22"/>
                <w:szCs w:val="22"/>
              </w:rPr>
              <w:t>N</w:t>
            </w:r>
          </w:p>
        </w:tc>
        <w:tc>
          <w:tcPr>
            <w:tcW w:w="900" w:type="dxa"/>
            <w:vAlign w:val="center"/>
          </w:tcPr>
          <w:p w:rsidR="00EA3DA4" w:rsidRPr="00EA3DA4" w:rsidRDefault="00EA3DA4" w:rsidP="00EA3DA4">
            <w:pPr>
              <w:jc w:val="center"/>
              <w:rPr>
                <w:sz w:val="22"/>
                <w:szCs w:val="22"/>
              </w:rPr>
            </w:pPr>
            <w:r w:rsidRPr="00EA3DA4">
              <w:rPr>
                <w:sz w:val="22"/>
                <w:szCs w:val="22"/>
              </w:rPr>
              <w:t>Y</w:t>
            </w:r>
          </w:p>
        </w:tc>
        <w:tc>
          <w:tcPr>
            <w:tcW w:w="990" w:type="dxa"/>
            <w:vAlign w:val="center"/>
          </w:tcPr>
          <w:p w:rsidR="00EA3DA4" w:rsidRPr="00EA3DA4" w:rsidRDefault="00EA3DA4" w:rsidP="00EA3DA4">
            <w:pPr>
              <w:jc w:val="center"/>
              <w:rPr>
                <w:sz w:val="22"/>
                <w:szCs w:val="22"/>
              </w:rPr>
            </w:pPr>
            <w:r w:rsidRPr="00EA3DA4">
              <w:rPr>
                <w:sz w:val="22"/>
                <w:szCs w:val="22"/>
              </w:rPr>
              <w:t>Y</w:t>
            </w:r>
          </w:p>
        </w:tc>
        <w:tc>
          <w:tcPr>
            <w:tcW w:w="2615" w:type="dxa"/>
            <w:tcBorders>
              <w:left w:val="nil"/>
            </w:tcBorders>
            <w:vAlign w:val="center"/>
          </w:tcPr>
          <w:p w:rsidR="00EA3DA4" w:rsidRPr="00EA3DA4" w:rsidRDefault="00EA3DA4" w:rsidP="00EA3DA4">
            <w:pPr>
              <w:rPr>
                <w:sz w:val="22"/>
                <w:szCs w:val="22"/>
              </w:rPr>
            </w:pP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Area in front of reception</w:t>
            </w:r>
          </w:p>
        </w:tc>
        <w:tc>
          <w:tcPr>
            <w:tcW w:w="920" w:type="dxa"/>
            <w:vAlign w:val="center"/>
          </w:tcPr>
          <w:p w:rsidR="00EA3DA4" w:rsidRPr="00EA3DA4" w:rsidRDefault="00EA3DA4" w:rsidP="00EA3DA4">
            <w:pPr>
              <w:jc w:val="center"/>
              <w:rPr>
                <w:sz w:val="22"/>
                <w:szCs w:val="22"/>
              </w:rPr>
            </w:pPr>
            <w:r w:rsidRPr="00EA3DA4">
              <w:rPr>
                <w:sz w:val="22"/>
                <w:szCs w:val="22"/>
              </w:rPr>
              <w:t>650</w:t>
            </w:r>
          </w:p>
        </w:tc>
        <w:tc>
          <w:tcPr>
            <w:tcW w:w="1136" w:type="dxa"/>
            <w:vAlign w:val="center"/>
          </w:tcPr>
          <w:p w:rsidR="00EA3DA4" w:rsidRPr="00EA3DA4" w:rsidRDefault="00EA3DA4" w:rsidP="00EA3DA4">
            <w:pPr>
              <w:jc w:val="center"/>
              <w:rPr>
                <w:sz w:val="22"/>
                <w:szCs w:val="22"/>
              </w:rPr>
            </w:pPr>
            <w:r w:rsidRPr="00EA3DA4">
              <w:rPr>
                <w:sz w:val="22"/>
                <w:szCs w:val="22"/>
              </w:rPr>
              <w:t>ND</w:t>
            </w:r>
          </w:p>
        </w:tc>
        <w:tc>
          <w:tcPr>
            <w:tcW w:w="810" w:type="dxa"/>
            <w:vAlign w:val="center"/>
          </w:tcPr>
          <w:p w:rsidR="00EA3DA4" w:rsidRPr="00EA3DA4" w:rsidRDefault="00EA3DA4" w:rsidP="00EA3DA4">
            <w:pPr>
              <w:jc w:val="center"/>
              <w:rPr>
                <w:sz w:val="22"/>
                <w:szCs w:val="22"/>
              </w:rPr>
            </w:pPr>
            <w:r w:rsidRPr="00EA3DA4">
              <w:rPr>
                <w:sz w:val="22"/>
                <w:szCs w:val="22"/>
              </w:rPr>
              <w:t>72</w:t>
            </w:r>
          </w:p>
        </w:tc>
        <w:tc>
          <w:tcPr>
            <w:tcW w:w="1080" w:type="dxa"/>
            <w:vAlign w:val="center"/>
          </w:tcPr>
          <w:p w:rsidR="00EA3DA4" w:rsidRPr="00EA3DA4" w:rsidRDefault="00EA3DA4" w:rsidP="00EA3DA4">
            <w:pPr>
              <w:jc w:val="center"/>
              <w:rPr>
                <w:sz w:val="22"/>
                <w:szCs w:val="22"/>
              </w:rPr>
            </w:pPr>
            <w:r w:rsidRPr="00EA3DA4">
              <w:rPr>
                <w:sz w:val="22"/>
                <w:szCs w:val="22"/>
              </w:rPr>
              <w:t>49</w:t>
            </w:r>
          </w:p>
        </w:tc>
        <w:tc>
          <w:tcPr>
            <w:tcW w:w="954" w:type="dxa"/>
            <w:vAlign w:val="center"/>
          </w:tcPr>
          <w:p w:rsidR="00EA3DA4" w:rsidRPr="00EA3DA4" w:rsidRDefault="00EA3DA4" w:rsidP="00EA3DA4">
            <w:pPr>
              <w:jc w:val="center"/>
              <w:rPr>
                <w:sz w:val="22"/>
                <w:szCs w:val="22"/>
              </w:rPr>
            </w:pPr>
            <w:r w:rsidRPr="00EA3DA4">
              <w:rPr>
                <w:sz w:val="22"/>
                <w:szCs w:val="22"/>
              </w:rPr>
              <w:t>13</w:t>
            </w:r>
          </w:p>
        </w:tc>
        <w:tc>
          <w:tcPr>
            <w:tcW w:w="1116" w:type="dxa"/>
            <w:vAlign w:val="center"/>
          </w:tcPr>
          <w:p w:rsidR="00EA3DA4" w:rsidRPr="00EA3DA4" w:rsidRDefault="00EA3DA4" w:rsidP="00EA3DA4">
            <w:pPr>
              <w:jc w:val="center"/>
              <w:rPr>
                <w:sz w:val="22"/>
                <w:szCs w:val="22"/>
              </w:rPr>
            </w:pPr>
            <w:r w:rsidRPr="00EA3DA4">
              <w:rPr>
                <w:sz w:val="22"/>
                <w:szCs w:val="22"/>
              </w:rPr>
              <w:t>0</w:t>
            </w:r>
          </w:p>
        </w:tc>
        <w:tc>
          <w:tcPr>
            <w:tcW w:w="1260" w:type="dxa"/>
            <w:vAlign w:val="center"/>
          </w:tcPr>
          <w:p w:rsidR="00EA3DA4" w:rsidRPr="00EA3DA4" w:rsidRDefault="00EA3DA4" w:rsidP="00EA3DA4">
            <w:pPr>
              <w:jc w:val="center"/>
              <w:rPr>
                <w:sz w:val="22"/>
                <w:szCs w:val="22"/>
              </w:rPr>
            </w:pPr>
            <w:r w:rsidRPr="00EA3DA4">
              <w:rPr>
                <w:sz w:val="22"/>
                <w:szCs w:val="22"/>
              </w:rPr>
              <w:t>N</w:t>
            </w:r>
          </w:p>
        </w:tc>
        <w:tc>
          <w:tcPr>
            <w:tcW w:w="900" w:type="dxa"/>
            <w:vAlign w:val="center"/>
          </w:tcPr>
          <w:p w:rsidR="00EA3DA4" w:rsidRPr="00EA3DA4" w:rsidRDefault="00EA3DA4" w:rsidP="00EA3DA4">
            <w:pPr>
              <w:jc w:val="center"/>
              <w:rPr>
                <w:sz w:val="22"/>
                <w:szCs w:val="22"/>
              </w:rPr>
            </w:pPr>
            <w:r w:rsidRPr="00EA3DA4">
              <w:rPr>
                <w:sz w:val="22"/>
                <w:szCs w:val="22"/>
              </w:rPr>
              <w:t>Y</w:t>
            </w:r>
          </w:p>
        </w:tc>
        <w:tc>
          <w:tcPr>
            <w:tcW w:w="990" w:type="dxa"/>
            <w:vAlign w:val="center"/>
          </w:tcPr>
          <w:p w:rsidR="00EA3DA4" w:rsidRPr="00EA3DA4" w:rsidRDefault="00EA3DA4" w:rsidP="00EA3DA4">
            <w:pPr>
              <w:jc w:val="center"/>
              <w:rPr>
                <w:sz w:val="22"/>
                <w:szCs w:val="22"/>
              </w:rPr>
            </w:pPr>
            <w:r w:rsidRPr="00EA3DA4">
              <w:rPr>
                <w:sz w:val="22"/>
                <w:szCs w:val="22"/>
              </w:rPr>
              <w:t>Y</w:t>
            </w:r>
          </w:p>
        </w:tc>
        <w:tc>
          <w:tcPr>
            <w:tcW w:w="2615" w:type="dxa"/>
            <w:tcBorders>
              <w:left w:val="nil"/>
            </w:tcBorders>
            <w:vAlign w:val="center"/>
          </w:tcPr>
          <w:p w:rsidR="00EA3DA4" w:rsidRPr="00EA3DA4" w:rsidRDefault="00EA3DA4" w:rsidP="00EA3DA4">
            <w:pPr>
              <w:rPr>
                <w:sz w:val="22"/>
                <w:szCs w:val="22"/>
              </w:rPr>
            </w:pP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Interview 3, public side</w:t>
            </w:r>
          </w:p>
        </w:tc>
        <w:tc>
          <w:tcPr>
            <w:tcW w:w="920" w:type="dxa"/>
            <w:vAlign w:val="center"/>
          </w:tcPr>
          <w:p w:rsidR="00EA3DA4" w:rsidRPr="00EA3DA4" w:rsidRDefault="00EA3DA4" w:rsidP="00EA3DA4">
            <w:pPr>
              <w:jc w:val="center"/>
              <w:rPr>
                <w:sz w:val="22"/>
                <w:szCs w:val="22"/>
              </w:rPr>
            </w:pPr>
            <w:r w:rsidRPr="00EA3DA4">
              <w:rPr>
                <w:sz w:val="22"/>
                <w:szCs w:val="22"/>
              </w:rPr>
              <w:t>628</w:t>
            </w:r>
          </w:p>
        </w:tc>
        <w:tc>
          <w:tcPr>
            <w:tcW w:w="1136" w:type="dxa"/>
            <w:vAlign w:val="center"/>
          </w:tcPr>
          <w:p w:rsidR="00EA3DA4" w:rsidRPr="00EA3DA4" w:rsidRDefault="00EA3DA4" w:rsidP="00EA3DA4">
            <w:pPr>
              <w:jc w:val="center"/>
              <w:rPr>
                <w:sz w:val="22"/>
                <w:szCs w:val="22"/>
              </w:rPr>
            </w:pPr>
            <w:r w:rsidRPr="00EA3DA4">
              <w:rPr>
                <w:sz w:val="22"/>
                <w:szCs w:val="22"/>
              </w:rPr>
              <w:t>ND</w:t>
            </w:r>
          </w:p>
        </w:tc>
        <w:tc>
          <w:tcPr>
            <w:tcW w:w="810" w:type="dxa"/>
            <w:vAlign w:val="center"/>
          </w:tcPr>
          <w:p w:rsidR="00EA3DA4" w:rsidRPr="00EA3DA4" w:rsidRDefault="00EA3DA4" w:rsidP="00EA3DA4">
            <w:pPr>
              <w:jc w:val="center"/>
              <w:rPr>
                <w:sz w:val="22"/>
                <w:szCs w:val="22"/>
              </w:rPr>
            </w:pPr>
            <w:r w:rsidRPr="00EA3DA4">
              <w:rPr>
                <w:sz w:val="22"/>
                <w:szCs w:val="22"/>
              </w:rPr>
              <w:t>72</w:t>
            </w:r>
          </w:p>
        </w:tc>
        <w:tc>
          <w:tcPr>
            <w:tcW w:w="1080" w:type="dxa"/>
            <w:vAlign w:val="center"/>
          </w:tcPr>
          <w:p w:rsidR="00EA3DA4" w:rsidRPr="00EA3DA4" w:rsidRDefault="00EA3DA4" w:rsidP="00EA3DA4">
            <w:pPr>
              <w:jc w:val="center"/>
              <w:rPr>
                <w:sz w:val="22"/>
                <w:szCs w:val="22"/>
              </w:rPr>
            </w:pPr>
            <w:r w:rsidRPr="00EA3DA4">
              <w:rPr>
                <w:sz w:val="22"/>
                <w:szCs w:val="22"/>
              </w:rPr>
              <w:t>50</w:t>
            </w:r>
          </w:p>
        </w:tc>
        <w:tc>
          <w:tcPr>
            <w:tcW w:w="954" w:type="dxa"/>
            <w:vAlign w:val="center"/>
          </w:tcPr>
          <w:p w:rsidR="00EA3DA4" w:rsidRPr="00EA3DA4" w:rsidRDefault="00EA3DA4" w:rsidP="00EA3DA4">
            <w:pPr>
              <w:jc w:val="center"/>
              <w:rPr>
                <w:sz w:val="22"/>
                <w:szCs w:val="22"/>
              </w:rPr>
            </w:pPr>
            <w:r w:rsidRPr="00EA3DA4">
              <w:rPr>
                <w:sz w:val="22"/>
                <w:szCs w:val="22"/>
              </w:rPr>
              <w:t>13</w:t>
            </w:r>
          </w:p>
        </w:tc>
        <w:tc>
          <w:tcPr>
            <w:tcW w:w="1116" w:type="dxa"/>
            <w:vAlign w:val="center"/>
          </w:tcPr>
          <w:p w:rsidR="00EA3DA4" w:rsidRPr="00EA3DA4" w:rsidRDefault="00EA3DA4" w:rsidP="00EA3DA4">
            <w:pPr>
              <w:jc w:val="center"/>
              <w:rPr>
                <w:sz w:val="22"/>
                <w:szCs w:val="22"/>
              </w:rPr>
            </w:pPr>
            <w:r w:rsidRPr="00EA3DA4">
              <w:rPr>
                <w:sz w:val="22"/>
                <w:szCs w:val="22"/>
              </w:rPr>
              <w:t>0</w:t>
            </w:r>
          </w:p>
        </w:tc>
        <w:tc>
          <w:tcPr>
            <w:tcW w:w="1260" w:type="dxa"/>
            <w:vAlign w:val="center"/>
          </w:tcPr>
          <w:p w:rsidR="00EA3DA4" w:rsidRPr="00EA3DA4" w:rsidRDefault="00EA3DA4" w:rsidP="00EA3DA4">
            <w:pPr>
              <w:jc w:val="center"/>
              <w:rPr>
                <w:sz w:val="22"/>
                <w:szCs w:val="22"/>
              </w:rPr>
            </w:pPr>
            <w:r w:rsidRPr="00EA3DA4">
              <w:rPr>
                <w:sz w:val="22"/>
                <w:szCs w:val="22"/>
              </w:rPr>
              <w:t>N</w:t>
            </w:r>
          </w:p>
        </w:tc>
        <w:tc>
          <w:tcPr>
            <w:tcW w:w="900" w:type="dxa"/>
            <w:vAlign w:val="center"/>
          </w:tcPr>
          <w:p w:rsidR="00EA3DA4" w:rsidRPr="00EA3DA4" w:rsidRDefault="00EA3DA4" w:rsidP="00EA3DA4">
            <w:pPr>
              <w:jc w:val="center"/>
              <w:rPr>
                <w:sz w:val="22"/>
                <w:szCs w:val="22"/>
              </w:rPr>
            </w:pPr>
            <w:r w:rsidRPr="00EA3DA4">
              <w:rPr>
                <w:sz w:val="22"/>
                <w:szCs w:val="22"/>
              </w:rPr>
              <w:t>Y</w:t>
            </w:r>
          </w:p>
        </w:tc>
        <w:tc>
          <w:tcPr>
            <w:tcW w:w="990" w:type="dxa"/>
            <w:vAlign w:val="center"/>
          </w:tcPr>
          <w:p w:rsidR="00EA3DA4" w:rsidRPr="00EA3DA4" w:rsidRDefault="00EA3DA4" w:rsidP="00EA3DA4">
            <w:pPr>
              <w:jc w:val="center"/>
              <w:rPr>
                <w:sz w:val="22"/>
                <w:szCs w:val="22"/>
              </w:rPr>
            </w:pPr>
            <w:r w:rsidRPr="00EA3DA4">
              <w:rPr>
                <w:sz w:val="22"/>
                <w:szCs w:val="22"/>
              </w:rPr>
              <w:t>Y</w:t>
            </w:r>
          </w:p>
        </w:tc>
        <w:tc>
          <w:tcPr>
            <w:tcW w:w="2615" w:type="dxa"/>
            <w:tcBorders>
              <w:left w:val="nil"/>
            </w:tcBorders>
            <w:vAlign w:val="center"/>
          </w:tcPr>
          <w:p w:rsidR="00EA3DA4" w:rsidRPr="00EA3DA4" w:rsidRDefault="00EA3DA4" w:rsidP="00EA3DA4">
            <w:pPr>
              <w:rPr>
                <w:sz w:val="22"/>
                <w:szCs w:val="22"/>
              </w:rPr>
            </w:pP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Interview 3, inside</w:t>
            </w:r>
          </w:p>
        </w:tc>
        <w:tc>
          <w:tcPr>
            <w:tcW w:w="920" w:type="dxa"/>
            <w:vAlign w:val="center"/>
          </w:tcPr>
          <w:p w:rsidR="00EA3DA4" w:rsidRPr="00EA3DA4" w:rsidRDefault="00EA3DA4" w:rsidP="00EA3DA4">
            <w:pPr>
              <w:jc w:val="center"/>
              <w:rPr>
                <w:sz w:val="22"/>
                <w:szCs w:val="22"/>
              </w:rPr>
            </w:pPr>
            <w:r w:rsidRPr="00EA3DA4">
              <w:rPr>
                <w:sz w:val="22"/>
                <w:szCs w:val="22"/>
              </w:rPr>
              <w:t>693</w:t>
            </w:r>
          </w:p>
        </w:tc>
        <w:tc>
          <w:tcPr>
            <w:tcW w:w="1136" w:type="dxa"/>
            <w:vAlign w:val="center"/>
          </w:tcPr>
          <w:p w:rsidR="00EA3DA4" w:rsidRPr="00EA3DA4" w:rsidRDefault="00EA3DA4" w:rsidP="00EA3DA4">
            <w:pPr>
              <w:jc w:val="center"/>
              <w:rPr>
                <w:sz w:val="22"/>
                <w:szCs w:val="22"/>
              </w:rPr>
            </w:pPr>
            <w:r w:rsidRPr="00EA3DA4">
              <w:rPr>
                <w:sz w:val="22"/>
                <w:szCs w:val="22"/>
              </w:rPr>
              <w:t>ND</w:t>
            </w:r>
          </w:p>
        </w:tc>
        <w:tc>
          <w:tcPr>
            <w:tcW w:w="810" w:type="dxa"/>
            <w:vAlign w:val="center"/>
          </w:tcPr>
          <w:p w:rsidR="00EA3DA4" w:rsidRPr="00EA3DA4" w:rsidRDefault="00EA3DA4" w:rsidP="00EA3DA4">
            <w:pPr>
              <w:jc w:val="center"/>
              <w:rPr>
                <w:sz w:val="22"/>
                <w:szCs w:val="22"/>
              </w:rPr>
            </w:pPr>
            <w:r w:rsidRPr="00EA3DA4">
              <w:rPr>
                <w:sz w:val="22"/>
                <w:szCs w:val="22"/>
              </w:rPr>
              <w:t>73</w:t>
            </w:r>
          </w:p>
        </w:tc>
        <w:tc>
          <w:tcPr>
            <w:tcW w:w="1080" w:type="dxa"/>
            <w:vAlign w:val="center"/>
          </w:tcPr>
          <w:p w:rsidR="00EA3DA4" w:rsidRPr="00EA3DA4" w:rsidRDefault="00EA3DA4" w:rsidP="00EA3DA4">
            <w:pPr>
              <w:jc w:val="center"/>
              <w:rPr>
                <w:sz w:val="22"/>
                <w:szCs w:val="22"/>
              </w:rPr>
            </w:pPr>
            <w:r w:rsidRPr="00EA3DA4">
              <w:rPr>
                <w:sz w:val="22"/>
                <w:szCs w:val="22"/>
              </w:rPr>
              <w:t>52</w:t>
            </w:r>
          </w:p>
        </w:tc>
        <w:tc>
          <w:tcPr>
            <w:tcW w:w="954" w:type="dxa"/>
            <w:vAlign w:val="center"/>
          </w:tcPr>
          <w:p w:rsidR="00EA3DA4" w:rsidRPr="00EA3DA4" w:rsidRDefault="00EA3DA4" w:rsidP="00EA3DA4">
            <w:pPr>
              <w:jc w:val="center"/>
              <w:rPr>
                <w:sz w:val="22"/>
                <w:szCs w:val="22"/>
              </w:rPr>
            </w:pPr>
            <w:r w:rsidRPr="00EA3DA4">
              <w:rPr>
                <w:sz w:val="22"/>
                <w:szCs w:val="22"/>
              </w:rPr>
              <w:t>12</w:t>
            </w:r>
          </w:p>
        </w:tc>
        <w:tc>
          <w:tcPr>
            <w:tcW w:w="1116" w:type="dxa"/>
            <w:vAlign w:val="center"/>
          </w:tcPr>
          <w:p w:rsidR="00EA3DA4" w:rsidRPr="00EA3DA4" w:rsidRDefault="00EA3DA4" w:rsidP="00EA3DA4">
            <w:pPr>
              <w:jc w:val="center"/>
              <w:rPr>
                <w:sz w:val="22"/>
                <w:szCs w:val="22"/>
              </w:rPr>
            </w:pPr>
            <w:r w:rsidRPr="00EA3DA4">
              <w:rPr>
                <w:sz w:val="22"/>
                <w:szCs w:val="22"/>
              </w:rPr>
              <w:t>0</w:t>
            </w:r>
          </w:p>
        </w:tc>
        <w:tc>
          <w:tcPr>
            <w:tcW w:w="1260" w:type="dxa"/>
            <w:vAlign w:val="center"/>
          </w:tcPr>
          <w:p w:rsidR="00EA3DA4" w:rsidRPr="00EA3DA4" w:rsidRDefault="00EA3DA4" w:rsidP="00EA3DA4">
            <w:pPr>
              <w:jc w:val="center"/>
              <w:rPr>
                <w:sz w:val="22"/>
                <w:szCs w:val="22"/>
              </w:rPr>
            </w:pPr>
            <w:r w:rsidRPr="00EA3DA4">
              <w:rPr>
                <w:sz w:val="22"/>
                <w:szCs w:val="22"/>
              </w:rPr>
              <w:t>N</w:t>
            </w:r>
          </w:p>
        </w:tc>
        <w:tc>
          <w:tcPr>
            <w:tcW w:w="900" w:type="dxa"/>
            <w:vAlign w:val="center"/>
          </w:tcPr>
          <w:p w:rsidR="00EA3DA4" w:rsidRPr="00EA3DA4" w:rsidRDefault="00EA3DA4" w:rsidP="00EA3DA4">
            <w:pPr>
              <w:jc w:val="center"/>
              <w:rPr>
                <w:sz w:val="22"/>
                <w:szCs w:val="22"/>
              </w:rPr>
            </w:pPr>
            <w:r w:rsidRPr="00EA3DA4">
              <w:rPr>
                <w:sz w:val="22"/>
                <w:szCs w:val="22"/>
              </w:rPr>
              <w:t>Y</w:t>
            </w:r>
          </w:p>
        </w:tc>
        <w:tc>
          <w:tcPr>
            <w:tcW w:w="990" w:type="dxa"/>
            <w:vAlign w:val="center"/>
          </w:tcPr>
          <w:p w:rsidR="00EA3DA4" w:rsidRPr="00EA3DA4" w:rsidRDefault="00EA3DA4" w:rsidP="00EA3DA4">
            <w:pPr>
              <w:jc w:val="center"/>
              <w:rPr>
                <w:sz w:val="22"/>
                <w:szCs w:val="22"/>
              </w:rPr>
            </w:pPr>
            <w:r w:rsidRPr="00EA3DA4">
              <w:rPr>
                <w:sz w:val="22"/>
                <w:szCs w:val="22"/>
              </w:rPr>
              <w:t>Y</w:t>
            </w:r>
          </w:p>
        </w:tc>
        <w:tc>
          <w:tcPr>
            <w:tcW w:w="2615" w:type="dxa"/>
            <w:tcBorders>
              <w:left w:val="nil"/>
            </w:tcBorders>
            <w:vAlign w:val="center"/>
          </w:tcPr>
          <w:p w:rsidR="00EA3DA4" w:rsidRPr="00EA3DA4" w:rsidRDefault="00EA3DA4" w:rsidP="00EA3DA4">
            <w:pPr>
              <w:rPr>
                <w:sz w:val="22"/>
                <w:szCs w:val="22"/>
              </w:rPr>
            </w:pPr>
          </w:p>
        </w:tc>
      </w:tr>
      <w:tr w:rsidR="00EA3DA4" w:rsidRPr="00EA3DA4" w:rsidTr="00A0242B">
        <w:trPr>
          <w:cantSplit/>
          <w:trHeight w:val="648"/>
          <w:jc w:val="center"/>
        </w:trPr>
        <w:tc>
          <w:tcPr>
            <w:tcW w:w="1909" w:type="dxa"/>
            <w:vAlign w:val="center"/>
          </w:tcPr>
          <w:p w:rsidR="00EA3DA4" w:rsidRPr="00EA3DA4" w:rsidRDefault="00EA3DA4" w:rsidP="00EA3DA4">
            <w:pPr>
              <w:rPr>
                <w:sz w:val="22"/>
                <w:szCs w:val="22"/>
              </w:rPr>
            </w:pPr>
            <w:r w:rsidRPr="00EA3DA4">
              <w:rPr>
                <w:sz w:val="22"/>
                <w:szCs w:val="22"/>
              </w:rPr>
              <w:t>Interview rooms across from reception</w:t>
            </w:r>
          </w:p>
        </w:tc>
        <w:tc>
          <w:tcPr>
            <w:tcW w:w="920" w:type="dxa"/>
            <w:vAlign w:val="center"/>
          </w:tcPr>
          <w:p w:rsidR="00EA3DA4" w:rsidRPr="00EA3DA4" w:rsidRDefault="00EA3DA4" w:rsidP="00EA3DA4">
            <w:pPr>
              <w:jc w:val="center"/>
              <w:rPr>
                <w:sz w:val="22"/>
                <w:szCs w:val="22"/>
              </w:rPr>
            </w:pPr>
            <w:r w:rsidRPr="00EA3DA4">
              <w:rPr>
                <w:sz w:val="22"/>
                <w:szCs w:val="22"/>
              </w:rPr>
              <w:t>620</w:t>
            </w:r>
          </w:p>
        </w:tc>
        <w:tc>
          <w:tcPr>
            <w:tcW w:w="1136" w:type="dxa"/>
            <w:vAlign w:val="center"/>
          </w:tcPr>
          <w:p w:rsidR="00EA3DA4" w:rsidRPr="00EA3DA4" w:rsidRDefault="00EA3DA4" w:rsidP="00EA3DA4">
            <w:pPr>
              <w:jc w:val="center"/>
              <w:rPr>
                <w:sz w:val="22"/>
                <w:szCs w:val="22"/>
              </w:rPr>
            </w:pPr>
            <w:r w:rsidRPr="00EA3DA4">
              <w:rPr>
                <w:sz w:val="22"/>
                <w:szCs w:val="22"/>
              </w:rPr>
              <w:t>ND</w:t>
            </w:r>
          </w:p>
        </w:tc>
        <w:tc>
          <w:tcPr>
            <w:tcW w:w="810" w:type="dxa"/>
            <w:vAlign w:val="center"/>
          </w:tcPr>
          <w:p w:rsidR="00EA3DA4" w:rsidRPr="00EA3DA4" w:rsidRDefault="00EA3DA4" w:rsidP="00EA3DA4">
            <w:pPr>
              <w:jc w:val="center"/>
              <w:rPr>
                <w:sz w:val="22"/>
                <w:szCs w:val="22"/>
              </w:rPr>
            </w:pPr>
            <w:r w:rsidRPr="00EA3DA4">
              <w:rPr>
                <w:sz w:val="22"/>
                <w:szCs w:val="22"/>
              </w:rPr>
              <w:t>71</w:t>
            </w:r>
          </w:p>
        </w:tc>
        <w:tc>
          <w:tcPr>
            <w:tcW w:w="1080" w:type="dxa"/>
            <w:vAlign w:val="center"/>
          </w:tcPr>
          <w:p w:rsidR="00EA3DA4" w:rsidRPr="00EA3DA4" w:rsidRDefault="00EA3DA4" w:rsidP="00EA3DA4">
            <w:pPr>
              <w:jc w:val="center"/>
              <w:rPr>
                <w:sz w:val="22"/>
                <w:szCs w:val="22"/>
              </w:rPr>
            </w:pPr>
            <w:r w:rsidRPr="00EA3DA4">
              <w:rPr>
                <w:sz w:val="22"/>
                <w:szCs w:val="22"/>
              </w:rPr>
              <w:t>52</w:t>
            </w:r>
          </w:p>
        </w:tc>
        <w:tc>
          <w:tcPr>
            <w:tcW w:w="954" w:type="dxa"/>
            <w:vAlign w:val="center"/>
          </w:tcPr>
          <w:p w:rsidR="00EA3DA4" w:rsidRPr="00EA3DA4" w:rsidRDefault="00EA3DA4" w:rsidP="00EA3DA4">
            <w:pPr>
              <w:jc w:val="center"/>
              <w:rPr>
                <w:sz w:val="22"/>
                <w:szCs w:val="22"/>
              </w:rPr>
            </w:pPr>
            <w:r w:rsidRPr="00EA3DA4">
              <w:rPr>
                <w:sz w:val="22"/>
                <w:szCs w:val="22"/>
              </w:rPr>
              <w:t>13</w:t>
            </w:r>
          </w:p>
        </w:tc>
        <w:tc>
          <w:tcPr>
            <w:tcW w:w="1116" w:type="dxa"/>
            <w:vAlign w:val="center"/>
          </w:tcPr>
          <w:p w:rsidR="00EA3DA4" w:rsidRPr="00EA3DA4" w:rsidRDefault="00EA3DA4" w:rsidP="00EA3DA4">
            <w:pPr>
              <w:jc w:val="center"/>
              <w:rPr>
                <w:sz w:val="22"/>
                <w:szCs w:val="22"/>
              </w:rPr>
            </w:pPr>
            <w:r w:rsidRPr="00EA3DA4">
              <w:rPr>
                <w:sz w:val="22"/>
                <w:szCs w:val="22"/>
              </w:rPr>
              <w:t>0</w:t>
            </w:r>
          </w:p>
        </w:tc>
        <w:tc>
          <w:tcPr>
            <w:tcW w:w="1260" w:type="dxa"/>
            <w:vAlign w:val="center"/>
          </w:tcPr>
          <w:p w:rsidR="00EA3DA4" w:rsidRPr="00EA3DA4" w:rsidRDefault="00EA3DA4" w:rsidP="00EA3DA4">
            <w:pPr>
              <w:jc w:val="center"/>
              <w:rPr>
                <w:sz w:val="22"/>
                <w:szCs w:val="22"/>
              </w:rPr>
            </w:pPr>
            <w:r w:rsidRPr="00EA3DA4">
              <w:rPr>
                <w:sz w:val="22"/>
                <w:szCs w:val="22"/>
              </w:rPr>
              <w:t>N</w:t>
            </w:r>
          </w:p>
        </w:tc>
        <w:tc>
          <w:tcPr>
            <w:tcW w:w="900" w:type="dxa"/>
            <w:vAlign w:val="center"/>
          </w:tcPr>
          <w:p w:rsidR="00EA3DA4" w:rsidRPr="00EA3DA4" w:rsidRDefault="00EA3DA4" w:rsidP="00EA3DA4">
            <w:pPr>
              <w:jc w:val="center"/>
              <w:rPr>
                <w:sz w:val="22"/>
                <w:szCs w:val="22"/>
              </w:rPr>
            </w:pPr>
            <w:r w:rsidRPr="00EA3DA4">
              <w:rPr>
                <w:sz w:val="22"/>
                <w:szCs w:val="22"/>
              </w:rPr>
              <w:t>Y</w:t>
            </w:r>
          </w:p>
        </w:tc>
        <w:tc>
          <w:tcPr>
            <w:tcW w:w="990" w:type="dxa"/>
            <w:vAlign w:val="center"/>
          </w:tcPr>
          <w:p w:rsidR="00EA3DA4" w:rsidRPr="00EA3DA4" w:rsidRDefault="00EA3DA4" w:rsidP="00EA3DA4">
            <w:pPr>
              <w:jc w:val="center"/>
              <w:rPr>
                <w:sz w:val="22"/>
                <w:szCs w:val="22"/>
              </w:rPr>
            </w:pPr>
            <w:r w:rsidRPr="00EA3DA4">
              <w:rPr>
                <w:sz w:val="22"/>
                <w:szCs w:val="22"/>
              </w:rPr>
              <w:t>Y</w:t>
            </w:r>
          </w:p>
        </w:tc>
        <w:tc>
          <w:tcPr>
            <w:tcW w:w="2615" w:type="dxa"/>
            <w:tcBorders>
              <w:left w:val="nil"/>
            </w:tcBorders>
            <w:vAlign w:val="center"/>
          </w:tcPr>
          <w:p w:rsidR="00EA3DA4" w:rsidRPr="00EA3DA4" w:rsidRDefault="00EA3DA4" w:rsidP="00EA3DA4">
            <w:pPr>
              <w:rPr>
                <w:sz w:val="22"/>
                <w:szCs w:val="22"/>
              </w:rPr>
            </w:pPr>
          </w:p>
        </w:tc>
      </w:tr>
    </w:tbl>
    <w:p w:rsidR="00EA3DA4" w:rsidRPr="00EA3DA4" w:rsidRDefault="00EA3DA4" w:rsidP="00EA3DA4"/>
    <w:p w:rsidR="00125769" w:rsidRPr="005A1D50" w:rsidRDefault="00125769" w:rsidP="00C73967">
      <w:pPr>
        <w:pStyle w:val="BodyText2"/>
        <w:rPr>
          <w:szCs w:val="24"/>
        </w:rPr>
      </w:pPr>
    </w:p>
    <w:sectPr w:rsidR="00125769" w:rsidRPr="005A1D50" w:rsidSect="00EA3DA4">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2B" w:rsidRDefault="00A0242B">
      <w:r>
        <w:separator/>
      </w:r>
    </w:p>
  </w:endnote>
  <w:endnote w:type="continuationSeparator" w:id="0">
    <w:p w:rsidR="00A0242B" w:rsidRDefault="00A0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E61">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2B" w:rsidRDefault="00A024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8" w:type="dxa"/>
      <w:jc w:val="center"/>
      <w:tblLayout w:type="fixed"/>
      <w:tblLook w:val="0000" w:firstRow="0" w:lastRow="0" w:firstColumn="0" w:lastColumn="0" w:noHBand="0" w:noVBand="0"/>
    </w:tblPr>
    <w:tblGrid>
      <w:gridCol w:w="3285"/>
      <w:gridCol w:w="2768"/>
      <w:gridCol w:w="3895"/>
    </w:tblGrid>
    <w:tr w:rsidR="00A0242B" w:rsidRPr="00F374D5" w:rsidTr="00A0242B">
      <w:trPr>
        <w:trHeight w:val="300"/>
        <w:jc w:val="center"/>
      </w:trPr>
      <w:tc>
        <w:tcPr>
          <w:tcW w:w="3285"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sidRPr="00F374D5">
            <w:rPr>
              <w:rFonts w:ascii="Times" w:hAnsi="Times" w:cs="Times"/>
              <w:sz w:val="20"/>
            </w:rPr>
            <w:t>ppm = parts per million</w:t>
          </w:r>
        </w:p>
      </w:tc>
      <w:tc>
        <w:tcPr>
          <w:tcW w:w="2768"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Pr>
              <w:rFonts w:ascii="Times" w:hAnsi="Times" w:cs="Times"/>
              <w:sz w:val="20"/>
            </w:rPr>
            <w:t>CT = ceiling tile</w:t>
          </w:r>
        </w:p>
      </w:tc>
      <w:tc>
        <w:tcPr>
          <w:tcW w:w="3895" w:type="dxa"/>
          <w:tcBorders>
            <w:top w:val="nil"/>
            <w:left w:val="nil"/>
            <w:bottom w:val="nil"/>
            <w:right w:val="nil"/>
          </w:tcBorders>
          <w:vAlign w:val="center"/>
        </w:tcPr>
        <w:p w:rsidR="00A0242B" w:rsidRDefault="00A0242B" w:rsidP="00A0242B">
          <w:pPr>
            <w:rPr>
              <w:rFonts w:ascii="Times" w:hAnsi="Times" w:cs="Times"/>
              <w:sz w:val="20"/>
            </w:rPr>
          </w:pPr>
          <w:r>
            <w:rPr>
              <w:rFonts w:ascii="Times" w:hAnsi="Times" w:cs="Times"/>
              <w:sz w:val="20"/>
            </w:rPr>
            <w:t>TVOC = total volatile organic compounds</w:t>
          </w:r>
        </w:p>
      </w:tc>
    </w:tr>
    <w:tr w:rsidR="00A0242B" w:rsidRPr="00F374D5" w:rsidTr="00A0242B">
      <w:trPr>
        <w:trHeight w:val="300"/>
        <w:jc w:val="center"/>
      </w:trPr>
      <w:tc>
        <w:tcPr>
          <w:tcW w:w="3285"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768"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895" w:type="dxa"/>
          <w:tcBorders>
            <w:top w:val="nil"/>
            <w:left w:val="nil"/>
            <w:bottom w:val="nil"/>
            <w:right w:val="nil"/>
          </w:tcBorders>
          <w:vAlign w:val="center"/>
        </w:tcPr>
        <w:p w:rsidR="00A0242B" w:rsidRDefault="00A0242B" w:rsidP="00A0242B">
          <w:pPr>
            <w:rPr>
              <w:rFonts w:ascii="Times" w:hAnsi="Times" w:cs="Times"/>
              <w:sz w:val="20"/>
            </w:rPr>
          </w:pPr>
          <w:r>
            <w:rPr>
              <w:rFonts w:ascii="Times" w:hAnsi="Times" w:cs="Times"/>
              <w:sz w:val="20"/>
            </w:rPr>
            <w:t>WD = water-damaged</w:t>
          </w:r>
        </w:p>
      </w:tc>
    </w:tr>
  </w:tbl>
  <w:p w:rsidR="00A0242B" w:rsidRDefault="00A0242B" w:rsidP="00A0242B">
    <w:pPr>
      <w:tabs>
        <w:tab w:val="left" w:pos="9180"/>
      </w:tabs>
      <w:rPr>
        <w:b/>
        <w:sz w:val="20"/>
      </w:rPr>
    </w:pPr>
  </w:p>
  <w:p w:rsidR="00A0242B" w:rsidRDefault="00A0242B" w:rsidP="00A0242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0242B" w:rsidTr="00A0242B">
      <w:tc>
        <w:tcPr>
          <w:tcW w:w="2718" w:type="dxa"/>
          <w:tcBorders>
            <w:top w:val="single" w:sz="18" w:space="0" w:color="auto"/>
          </w:tcBorders>
        </w:tcPr>
        <w:p w:rsidR="00A0242B" w:rsidRDefault="00A0242B" w:rsidP="00A0242B">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A0242B" w:rsidRDefault="00A0242B" w:rsidP="00A0242B">
          <w:pPr>
            <w:rPr>
              <w:sz w:val="20"/>
            </w:rPr>
          </w:pPr>
          <w:r>
            <w:rPr>
              <w:sz w:val="20"/>
            </w:rPr>
            <w:t>&lt; 800 ppm = preferred</w:t>
          </w:r>
        </w:p>
      </w:tc>
      <w:tc>
        <w:tcPr>
          <w:tcW w:w="3600" w:type="dxa"/>
          <w:tcBorders>
            <w:top w:val="single" w:sz="18" w:space="0" w:color="auto"/>
          </w:tcBorders>
        </w:tcPr>
        <w:p w:rsidR="00A0242B" w:rsidRDefault="00A0242B" w:rsidP="00A0242B">
          <w:pPr>
            <w:jc w:val="right"/>
            <w:rPr>
              <w:sz w:val="20"/>
            </w:rPr>
          </w:pPr>
          <w:r>
            <w:rPr>
              <w:sz w:val="20"/>
            </w:rPr>
            <w:t>Temperature:</w:t>
          </w:r>
        </w:p>
      </w:tc>
      <w:tc>
        <w:tcPr>
          <w:tcW w:w="3420" w:type="dxa"/>
          <w:tcBorders>
            <w:top w:val="single" w:sz="18" w:space="0" w:color="auto"/>
          </w:tcBorders>
        </w:tcPr>
        <w:p w:rsidR="00A0242B" w:rsidRDefault="00A0242B" w:rsidP="00A0242B">
          <w:pPr>
            <w:rPr>
              <w:sz w:val="20"/>
            </w:rPr>
          </w:pPr>
          <w:r>
            <w:rPr>
              <w:sz w:val="20"/>
            </w:rPr>
            <w:t>70 - 78 °F</w:t>
          </w:r>
        </w:p>
      </w:tc>
    </w:tr>
    <w:tr w:rsidR="00A0242B" w:rsidTr="00A0242B">
      <w:tc>
        <w:tcPr>
          <w:tcW w:w="2718" w:type="dxa"/>
        </w:tcPr>
        <w:p w:rsidR="00A0242B" w:rsidRDefault="00A0242B" w:rsidP="00A0242B">
          <w:pPr>
            <w:jc w:val="right"/>
            <w:rPr>
              <w:sz w:val="20"/>
            </w:rPr>
          </w:pPr>
        </w:p>
      </w:tc>
      <w:tc>
        <w:tcPr>
          <w:tcW w:w="4860" w:type="dxa"/>
        </w:tcPr>
        <w:p w:rsidR="00A0242B" w:rsidRDefault="00A0242B" w:rsidP="00A0242B">
          <w:pPr>
            <w:rPr>
              <w:sz w:val="20"/>
            </w:rPr>
          </w:pPr>
          <w:r>
            <w:rPr>
              <w:sz w:val="20"/>
            </w:rPr>
            <w:t>&gt; 800 ppm = indicative of ventilation problems</w:t>
          </w:r>
        </w:p>
      </w:tc>
      <w:tc>
        <w:tcPr>
          <w:tcW w:w="3600" w:type="dxa"/>
        </w:tcPr>
        <w:p w:rsidR="00A0242B" w:rsidRDefault="00A0242B" w:rsidP="00A0242B">
          <w:pPr>
            <w:jc w:val="right"/>
            <w:rPr>
              <w:sz w:val="20"/>
            </w:rPr>
          </w:pPr>
          <w:r>
            <w:rPr>
              <w:sz w:val="20"/>
            </w:rPr>
            <w:t>Relative Humidity:</w:t>
          </w:r>
        </w:p>
      </w:tc>
      <w:tc>
        <w:tcPr>
          <w:tcW w:w="3420" w:type="dxa"/>
        </w:tcPr>
        <w:p w:rsidR="00A0242B" w:rsidRDefault="00A0242B" w:rsidP="00A0242B">
          <w:pPr>
            <w:rPr>
              <w:sz w:val="20"/>
            </w:rPr>
          </w:pPr>
          <w:r>
            <w:rPr>
              <w:sz w:val="20"/>
            </w:rPr>
            <w:t>40 - 60%</w:t>
          </w:r>
        </w:p>
      </w:tc>
    </w:tr>
  </w:tbl>
  <w:p w:rsidR="00A0242B" w:rsidRDefault="00A0242B" w:rsidP="00A0242B">
    <w:pPr>
      <w:pStyle w:val="Footer"/>
      <w:jc w:val="center"/>
    </w:pPr>
  </w:p>
  <w:p w:rsidR="00A0242B" w:rsidRPr="00B22C39" w:rsidRDefault="00A0242B" w:rsidP="00A0242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5" w:type="dxa"/>
      <w:jc w:val="center"/>
      <w:tblLayout w:type="fixed"/>
      <w:tblLook w:val="0000" w:firstRow="0" w:lastRow="0" w:firstColumn="0" w:lastColumn="0" w:noHBand="0" w:noVBand="0"/>
    </w:tblPr>
    <w:tblGrid>
      <w:gridCol w:w="2885"/>
      <w:gridCol w:w="3670"/>
      <w:gridCol w:w="2270"/>
    </w:tblGrid>
    <w:tr w:rsidR="00A0242B" w:rsidRPr="00F374D5" w:rsidTr="00A0242B">
      <w:trPr>
        <w:trHeight w:val="300"/>
        <w:jc w:val="center"/>
      </w:trPr>
      <w:tc>
        <w:tcPr>
          <w:tcW w:w="2885"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sidRPr="00F374D5">
            <w:rPr>
              <w:rFonts w:ascii="Times" w:hAnsi="Times" w:cs="Times"/>
              <w:sz w:val="20"/>
            </w:rPr>
            <w:t>ppm = parts per million</w:t>
          </w:r>
        </w:p>
      </w:tc>
      <w:tc>
        <w:tcPr>
          <w:tcW w:w="3670" w:type="dxa"/>
          <w:tcBorders>
            <w:top w:val="nil"/>
            <w:left w:val="nil"/>
            <w:bottom w:val="nil"/>
            <w:right w:val="nil"/>
          </w:tcBorders>
          <w:shd w:val="clear" w:color="auto" w:fill="auto"/>
          <w:noWrap/>
          <w:vAlign w:val="center"/>
        </w:tcPr>
        <w:p w:rsidR="00A0242B" w:rsidRPr="00F374D5" w:rsidRDefault="00A0242B" w:rsidP="00A0242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270" w:type="dxa"/>
          <w:tcBorders>
            <w:top w:val="nil"/>
            <w:left w:val="nil"/>
            <w:bottom w:val="nil"/>
            <w:right w:val="nil"/>
          </w:tcBorders>
          <w:vAlign w:val="center"/>
        </w:tcPr>
        <w:p w:rsidR="00A0242B" w:rsidRDefault="00A0242B" w:rsidP="00A0242B">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r>
  </w:tbl>
  <w:p w:rsidR="00A0242B" w:rsidRDefault="00A0242B" w:rsidP="00A0242B">
    <w:pPr>
      <w:tabs>
        <w:tab w:val="left" w:pos="9180"/>
      </w:tabs>
      <w:rPr>
        <w:b/>
        <w:sz w:val="20"/>
      </w:rPr>
    </w:pPr>
  </w:p>
  <w:p w:rsidR="00A0242B" w:rsidRDefault="00A0242B" w:rsidP="00A0242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0242B" w:rsidTr="00A0242B">
      <w:tc>
        <w:tcPr>
          <w:tcW w:w="2718" w:type="dxa"/>
          <w:tcBorders>
            <w:top w:val="single" w:sz="18" w:space="0" w:color="auto"/>
          </w:tcBorders>
        </w:tcPr>
        <w:p w:rsidR="00A0242B" w:rsidRDefault="00A0242B" w:rsidP="00A0242B">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A0242B" w:rsidRDefault="00A0242B" w:rsidP="00A0242B">
          <w:pPr>
            <w:rPr>
              <w:sz w:val="20"/>
            </w:rPr>
          </w:pPr>
          <w:r>
            <w:rPr>
              <w:sz w:val="20"/>
            </w:rPr>
            <w:t>&lt; 800 ppm = preferred</w:t>
          </w:r>
        </w:p>
      </w:tc>
      <w:tc>
        <w:tcPr>
          <w:tcW w:w="3600" w:type="dxa"/>
          <w:tcBorders>
            <w:top w:val="single" w:sz="18" w:space="0" w:color="auto"/>
          </w:tcBorders>
        </w:tcPr>
        <w:p w:rsidR="00A0242B" w:rsidRDefault="00A0242B" w:rsidP="00A0242B">
          <w:pPr>
            <w:jc w:val="right"/>
            <w:rPr>
              <w:sz w:val="20"/>
            </w:rPr>
          </w:pPr>
          <w:r>
            <w:rPr>
              <w:sz w:val="20"/>
            </w:rPr>
            <w:t>Temperature:</w:t>
          </w:r>
        </w:p>
      </w:tc>
      <w:tc>
        <w:tcPr>
          <w:tcW w:w="3420" w:type="dxa"/>
          <w:tcBorders>
            <w:top w:val="single" w:sz="18" w:space="0" w:color="auto"/>
          </w:tcBorders>
        </w:tcPr>
        <w:p w:rsidR="00A0242B" w:rsidRDefault="00A0242B" w:rsidP="00A0242B">
          <w:pPr>
            <w:rPr>
              <w:sz w:val="20"/>
            </w:rPr>
          </w:pPr>
          <w:r>
            <w:rPr>
              <w:sz w:val="20"/>
            </w:rPr>
            <w:t>70 - 78 °F</w:t>
          </w:r>
        </w:p>
      </w:tc>
    </w:tr>
    <w:tr w:rsidR="00A0242B" w:rsidTr="00A0242B">
      <w:tc>
        <w:tcPr>
          <w:tcW w:w="2718" w:type="dxa"/>
        </w:tcPr>
        <w:p w:rsidR="00A0242B" w:rsidRDefault="00A0242B" w:rsidP="00A0242B">
          <w:pPr>
            <w:jc w:val="right"/>
            <w:rPr>
              <w:sz w:val="20"/>
            </w:rPr>
          </w:pPr>
        </w:p>
      </w:tc>
      <w:tc>
        <w:tcPr>
          <w:tcW w:w="4860" w:type="dxa"/>
        </w:tcPr>
        <w:p w:rsidR="00A0242B" w:rsidRDefault="00A0242B" w:rsidP="00A0242B">
          <w:pPr>
            <w:rPr>
              <w:sz w:val="20"/>
            </w:rPr>
          </w:pPr>
          <w:r>
            <w:rPr>
              <w:sz w:val="20"/>
            </w:rPr>
            <w:t>&gt; 800 ppm = indicative of ventilation problems</w:t>
          </w:r>
        </w:p>
      </w:tc>
      <w:tc>
        <w:tcPr>
          <w:tcW w:w="3600" w:type="dxa"/>
        </w:tcPr>
        <w:p w:rsidR="00A0242B" w:rsidRDefault="00A0242B" w:rsidP="00A0242B">
          <w:pPr>
            <w:jc w:val="right"/>
            <w:rPr>
              <w:sz w:val="20"/>
            </w:rPr>
          </w:pPr>
          <w:r>
            <w:rPr>
              <w:sz w:val="20"/>
            </w:rPr>
            <w:t>Relative Humidity:</w:t>
          </w:r>
        </w:p>
      </w:tc>
      <w:tc>
        <w:tcPr>
          <w:tcW w:w="3420" w:type="dxa"/>
        </w:tcPr>
        <w:p w:rsidR="00A0242B" w:rsidRDefault="00A0242B" w:rsidP="00A0242B">
          <w:pPr>
            <w:rPr>
              <w:sz w:val="20"/>
            </w:rPr>
          </w:pPr>
          <w:r>
            <w:rPr>
              <w:sz w:val="20"/>
            </w:rPr>
            <w:t>40 - 60%</w:t>
          </w:r>
        </w:p>
      </w:tc>
    </w:tr>
  </w:tbl>
  <w:p w:rsidR="00A0242B" w:rsidRDefault="00A0242B" w:rsidP="00A0242B">
    <w:pPr>
      <w:pStyle w:val="Footer"/>
      <w:jc w:val="center"/>
    </w:pPr>
  </w:p>
  <w:p w:rsidR="00A0242B" w:rsidRPr="002C53A9" w:rsidRDefault="00A0242B" w:rsidP="00A0242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56E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2B" w:rsidRDefault="00A0242B">
      <w:r>
        <w:separator/>
      </w:r>
    </w:p>
  </w:footnote>
  <w:footnote w:type="continuationSeparator" w:id="0">
    <w:p w:rsidR="00A0242B" w:rsidRDefault="00A0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2B" w:rsidRDefault="00A02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228"/>
      <w:gridCol w:w="3516"/>
      <w:gridCol w:w="2514"/>
      <w:gridCol w:w="2358"/>
    </w:tblGrid>
    <w:tr w:rsidR="00A0242B" w:rsidTr="00A0242B">
      <w:trPr>
        <w:cantSplit/>
      </w:trPr>
      <w:tc>
        <w:tcPr>
          <w:tcW w:w="12258" w:type="dxa"/>
          <w:gridSpan w:val="3"/>
        </w:tcPr>
        <w:p w:rsidR="00A0242B" w:rsidRPr="00677AC6" w:rsidRDefault="00A0242B" w:rsidP="00A0242B">
          <w:pPr>
            <w:pStyle w:val="Header"/>
            <w:spacing w:before="60" w:after="60"/>
            <w:rPr>
              <w:b/>
            </w:rPr>
          </w:pPr>
          <w:r>
            <w:rPr>
              <w:b/>
            </w:rPr>
            <w:t>Location: Department of Children and Families Legal Office</w:t>
          </w:r>
        </w:p>
      </w:tc>
      <w:tc>
        <w:tcPr>
          <w:tcW w:w="2358" w:type="dxa"/>
        </w:tcPr>
        <w:p w:rsidR="00A0242B" w:rsidRDefault="00A0242B" w:rsidP="00A0242B">
          <w:pPr>
            <w:pStyle w:val="Header"/>
            <w:tabs>
              <w:tab w:val="clear" w:pos="4320"/>
              <w:tab w:val="clear" w:pos="8640"/>
            </w:tabs>
            <w:spacing w:before="60" w:after="60"/>
            <w:rPr>
              <w:b/>
            </w:rPr>
          </w:pPr>
          <w:r>
            <w:rPr>
              <w:b/>
            </w:rPr>
            <w:t>Indoor Air Results</w:t>
          </w:r>
        </w:p>
      </w:tc>
    </w:tr>
    <w:tr w:rsidR="00A0242B" w:rsidTr="00A0242B">
      <w:trPr>
        <w:cantSplit/>
      </w:trPr>
      <w:tc>
        <w:tcPr>
          <w:tcW w:w="6228" w:type="dxa"/>
        </w:tcPr>
        <w:p w:rsidR="00A0242B" w:rsidRDefault="00A0242B" w:rsidP="00A0242B">
          <w:pPr>
            <w:pStyle w:val="Header"/>
            <w:spacing w:before="60" w:after="60"/>
            <w:rPr>
              <w:b/>
            </w:rPr>
          </w:pPr>
          <w:r w:rsidRPr="006C52FF">
            <w:rPr>
              <w:b/>
            </w:rPr>
            <w:t>Address: 140 High Street, 5th floor, Springfield, MA</w:t>
          </w:r>
        </w:p>
      </w:tc>
      <w:tc>
        <w:tcPr>
          <w:tcW w:w="3516" w:type="dxa"/>
        </w:tcPr>
        <w:p w:rsidR="00A0242B" w:rsidRDefault="00A0242B" w:rsidP="00A0242B">
          <w:pPr>
            <w:pStyle w:val="Header"/>
            <w:tabs>
              <w:tab w:val="clear" w:pos="4320"/>
              <w:tab w:val="clear" w:pos="8640"/>
            </w:tabs>
            <w:spacing w:before="60" w:after="60"/>
            <w:jc w:val="center"/>
            <w:rPr>
              <w:b/>
              <w:sz w:val="28"/>
            </w:rPr>
          </w:pPr>
          <w:r>
            <w:rPr>
              <w:b/>
              <w:sz w:val="28"/>
            </w:rPr>
            <w:t>Table 1 (continued)</w:t>
          </w:r>
        </w:p>
      </w:tc>
      <w:tc>
        <w:tcPr>
          <w:tcW w:w="2514" w:type="dxa"/>
        </w:tcPr>
        <w:p w:rsidR="00A0242B" w:rsidRDefault="00A0242B" w:rsidP="00A0242B">
          <w:pPr>
            <w:pStyle w:val="Header"/>
            <w:tabs>
              <w:tab w:val="clear" w:pos="4320"/>
              <w:tab w:val="clear" w:pos="8640"/>
            </w:tabs>
            <w:spacing w:before="60" w:after="60"/>
            <w:rPr>
              <w:b/>
            </w:rPr>
          </w:pPr>
        </w:p>
      </w:tc>
      <w:tc>
        <w:tcPr>
          <w:tcW w:w="2358" w:type="dxa"/>
        </w:tcPr>
        <w:p w:rsidR="00A0242B" w:rsidRDefault="00A0242B" w:rsidP="00A0242B">
          <w:pPr>
            <w:pStyle w:val="Header"/>
            <w:tabs>
              <w:tab w:val="clear" w:pos="4320"/>
              <w:tab w:val="clear" w:pos="8640"/>
            </w:tabs>
            <w:spacing w:before="60" w:after="60"/>
            <w:rPr>
              <w:b/>
            </w:rPr>
          </w:pPr>
          <w:r w:rsidRPr="00677AC6">
            <w:rPr>
              <w:b/>
            </w:rPr>
            <w:t>Date:</w:t>
          </w:r>
          <w:r>
            <w:rPr>
              <w:b/>
            </w:rPr>
            <w:t xml:space="preserve"> 4/26/2019</w:t>
          </w:r>
        </w:p>
      </w:tc>
    </w:tr>
  </w:tbl>
  <w:p w:rsidR="00A0242B" w:rsidRPr="00FB37EB" w:rsidRDefault="00A0242B" w:rsidP="00A02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3"/>
      <w:gridCol w:w="3464"/>
      <w:gridCol w:w="2468"/>
      <w:gridCol w:w="2335"/>
    </w:tblGrid>
    <w:tr w:rsidR="00A0242B" w:rsidTr="00A0242B">
      <w:trPr>
        <w:cantSplit/>
      </w:trPr>
      <w:tc>
        <w:tcPr>
          <w:tcW w:w="12258" w:type="dxa"/>
          <w:gridSpan w:val="3"/>
        </w:tcPr>
        <w:p w:rsidR="00A0242B" w:rsidRPr="00677AC6" w:rsidRDefault="00A0242B" w:rsidP="00A0242B">
          <w:pPr>
            <w:pStyle w:val="Header"/>
            <w:spacing w:before="60" w:after="60"/>
            <w:rPr>
              <w:b/>
            </w:rPr>
          </w:pPr>
          <w:r>
            <w:rPr>
              <w:b/>
            </w:rPr>
            <w:t>Location: Department of Revenue Office</w:t>
          </w:r>
        </w:p>
      </w:tc>
      <w:tc>
        <w:tcPr>
          <w:tcW w:w="2358" w:type="dxa"/>
        </w:tcPr>
        <w:p w:rsidR="00A0242B" w:rsidRDefault="00A0242B" w:rsidP="00A0242B">
          <w:pPr>
            <w:pStyle w:val="Header"/>
            <w:tabs>
              <w:tab w:val="clear" w:pos="4320"/>
              <w:tab w:val="clear" w:pos="8640"/>
            </w:tabs>
            <w:spacing w:before="60" w:after="60"/>
            <w:rPr>
              <w:b/>
            </w:rPr>
          </w:pPr>
          <w:r>
            <w:rPr>
              <w:b/>
            </w:rPr>
            <w:t>Indoor Air Results</w:t>
          </w:r>
        </w:p>
      </w:tc>
    </w:tr>
    <w:tr w:rsidR="00A0242B" w:rsidTr="00A0242B">
      <w:trPr>
        <w:cantSplit/>
      </w:trPr>
      <w:tc>
        <w:tcPr>
          <w:tcW w:w="6228" w:type="dxa"/>
        </w:tcPr>
        <w:p w:rsidR="00A0242B" w:rsidRDefault="00A0242B" w:rsidP="00A0242B">
          <w:pPr>
            <w:pStyle w:val="Header"/>
            <w:spacing w:before="60" w:after="60"/>
            <w:rPr>
              <w:b/>
            </w:rPr>
          </w:pPr>
          <w:r w:rsidRPr="006C52FF">
            <w:rPr>
              <w:b/>
            </w:rPr>
            <w:t>Address: 1</w:t>
          </w:r>
          <w:r>
            <w:rPr>
              <w:b/>
            </w:rPr>
            <w:t xml:space="preserve"> Federal Street, </w:t>
          </w:r>
          <w:r w:rsidRPr="006C52FF">
            <w:rPr>
              <w:b/>
            </w:rPr>
            <w:t>Springfield, MA</w:t>
          </w:r>
        </w:p>
      </w:tc>
      <w:tc>
        <w:tcPr>
          <w:tcW w:w="3516" w:type="dxa"/>
        </w:tcPr>
        <w:p w:rsidR="00A0242B" w:rsidRDefault="00A0242B" w:rsidP="00A0242B">
          <w:pPr>
            <w:pStyle w:val="Header"/>
            <w:tabs>
              <w:tab w:val="clear" w:pos="4320"/>
              <w:tab w:val="clear" w:pos="8640"/>
            </w:tabs>
            <w:spacing w:before="60" w:after="60"/>
            <w:jc w:val="center"/>
            <w:rPr>
              <w:b/>
              <w:sz w:val="28"/>
            </w:rPr>
          </w:pPr>
          <w:r>
            <w:rPr>
              <w:b/>
              <w:sz w:val="28"/>
            </w:rPr>
            <w:t>Table 1</w:t>
          </w:r>
        </w:p>
      </w:tc>
      <w:tc>
        <w:tcPr>
          <w:tcW w:w="2514" w:type="dxa"/>
        </w:tcPr>
        <w:p w:rsidR="00A0242B" w:rsidRDefault="00A0242B" w:rsidP="00A0242B">
          <w:pPr>
            <w:pStyle w:val="Header"/>
            <w:tabs>
              <w:tab w:val="clear" w:pos="4320"/>
              <w:tab w:val="clear" w:pos="8640"/>
            </w:tabs>
            <w:spacing w:before="60" w:after="60"/>
            <w:rPr>
              <w:b/>
            </w:rPr>
          </w:pPr>
        </w:p>
      </w:tc>
      <w:tc>
        <w:tcPr>
          <w:tcW w:w="2358" w:type="dxa"/>
        </w:tcPr>
        <w:p w:rsidR="00A0242B" w:rsidRDefault="00A0242B" w:rsidP="00A0242B">
          <w:pPr>
            <w:pStyle w:val="Header"/>
            <w:tabs>
              <w:tab w:val="clear" w:pos="4320"/>
              <w:tab w:val="clear" w:pos="8640"/>
            </w:tabs>
            <w:spacing w:before="60" w:after="60"/>
            <w:rPr>
              <w:b/>
            </w:rPr>
          </w:pPr>
          <w:r w:rsidRPr="00677AC6">
            <w:rPr>
              <w:b/>
            </w:rPr>
            <w:t>Date:</w:t>
          </w:r>
          <w:r>
            <w:rPr>
              <w:b/>
            </w:rPr>
            <w:t xml:space="preserve"> 7/11/2019</w:t>
          </w:r>
        </w:p>
      </w:tc>
    </w:tr>
  </w:tbl>
  <w:p w:rsidR="00A0242B" w:rsidRDefault="00A0242B" w:rsidP="00A0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3"/>
  </w:num>
  <w:num w:numId="2">
    <w:abstractNumId w:val="0"/>
  </w:num>
  <w:num w:numId="3">
    <w:abstractNumId w:val="2"/>
  </w:num>
  <w:num w:numId="4">
    <w:abstractNumId w:val="4"/>
  </w:num>
  <w:num w:numId="5">
    <w:abstractNumId w:val="5"/>
  </w:num>
  <w:num w:numId="6">
    <w:abstractNumId w:val="9"/>
  </w:num>
  <w:num w:numId="7">
    <w:abstractNumId w:val="8"/>
  </w:num>
  <w:num w:numId="8">
    <w:abstractNumId w:val="1"/>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C47"/>
    <w:rsid w:val="00002DC6"/>
    <w:rsid w:val="00003CDA"/>
    <w:rsid w:val="00003E0B"/>
    <w:rsid w:val="00005661"/>
    <w:rsid w:val="00006660"/>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22E"/>
    <w:rsid w:val="000359F8"/>
    <w:rsid w:val="00036831"/>
    <w:rsid w:val="00036AC8"/>
    <w:rsid w:val="00036DFE"/>
    <w:rsid w:val="000371AB"/>
    <w:rsid w:val="00040134"/>
    <w:rsid w:val="0004147F"/>
    <w:rsid w:val="00042E30"/>
    <w:rsid w:val="00045144"/>
    <w:rsid w:val="0004591A"/>
    <w:rsid w:val="00045DAC"/>
    <w:rsid w:val="00046026"/>
    <w:rsid w:val="000479ED"/>
    <w:rsid w:val="000506A6"/>
    <w:rsid w:val="00050A04"/>
    <w:rsid w:val="00051245"/>
    <w:rsid w:val="00051291"/>
    <w:rsid w:val="00051D6A"/>
    <w:rsid w:val="00053D15"/>
    <w:rsid w:val="00054FB7"/>
    <w:rsid w:val="0005561F"/>
    <w:rsid w:val="0005565A"/>
    <w:rsid w:val="00056AED"/>
    <w:rsid w:val="0005754A"/>
    <w:rsid w:val="00057A3E"/>
    <w:rsid w:val="00057C6A"/>
    <w:rsid w:val="00060C25"/>
    <w:rsid w:val="00061C5B"/>
    <w:rsid w:val="000622DC"/>
    <w:rsid w:val="0006393D"/>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71D8"/>
    <w:rsid w:val="00080961"/>
    <w:rsid w:val="000824E4"/>
    <w:rsid w:val="000835D9"/>
    <w:rsid w:val="00084CDC"/>
    <w:rsid w:val="000858A8"/>
    <w:rsid w:val="00085C64"/>
    <w:rsid w:val="00085FDB"/>
    <w:rsid w:val="00085FFB"/>
    <w:rsid w:val="000862E4"/>
    <w:rsid w:val="00086A56"/>
    <w:rsid w:val="000875E3"/>
    <w:rsid w:val="0009163D"/>
    <w:rsid w:val="0009271D"/>
    <w:rsid w:val="00092A24"/>
    <w:rsid w:val="00093FD1"/>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D7AB4"/>
    <w:rsid w:val="000E149D"/>
    <w:rsid w:val="000E3262"/>
    <w:rsid w:val="000E3EA9"/>
    <w:rsid w:val="000F247D"/>
    <w:rsid w:val="000F2B46"/>
    <w:rsid w:val="000F2DD2"/>
    <w:rsid w:val="000F3574"/>
    <w:rsid w:val="000F3AD6"/>
    <w:rsid w:val="000F5F97"/>
    <w:rsid w:val="000F694B"/>
    <w:rsid w:val="0010091C"/>
    <w:rsid w:val="00100E75"/>
    <w:rsid w:val="00101E4B"/>
    <w:rsid w:val="00102288"/>
    <w:rsid w:val="001022AC"/>
    <w:rsid w:val="00104BB6"/>
    <w:rsid w:val="00104C3D"/>
    <w:rsid w:val="001062F9"/>
    <w:rsid w:val="00107443"/>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5769"/>
    <w:rsid w:val="00126A13"/>
    <w:rsid w:val="00126D99"/>
    <w:rsid w:val="001274EF"/>
    <w:rsid w:val="001276F0"/>
    <w:rsid w:val="00131C3C"/>
    <w:rsid w:val="00132BC1"/>
    <w:rsid w:val="00132EF8"/>
    <w:rsid w:val="001341F9"/>
    <w:rsid w:val="001355AE"/>
    <w:rsid w:val="00136653"/>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6A33"/>
    <w:rsid w:val="00167F86"/>
    <w:rsid w:val="00170ABD"/>
    <w:rsid w:val="001726A9"/>
    <w:rsid w:val="0017429F"/>
    <w:rsid w:val="00175559"/>
    <w:rsid w:val="0017560B"/>
    <w:rsid w:val="001759C0"/>
    <w:rsid w:val="00175AD9"/>
    <w:rsid w:val="00176DF7"/>
    <w:rsid w:val="00176F95"/>
    <w:rsid w:val="001774B5"/>
    <w:rsid w:val="001779B4"/>
    <w:rsid w:val="00177BC7"/>
    <w:rsid w:val="00177FB7"/>
    <w:rsid w:val="001801F0"/>
    <w:rsid w:val="00180830"/>
    <w:rsid w:val="0018157B"/>
    <w:rsid w:val="00181B60"/>
    <w:rsid w:val="00181D06"/>
    <w:rsid w:val="00182066"/>
    <w:rsid w:val="00182708"/>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7C6C"/>
    <w:rsid w:val="002004B8"/>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428C"/>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CFE"/>
    <w:rsid w:val="00236F45"/>
    <w:rsid w:val="00236F68"/>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4CBD"/>
    <w:rsid w:val="00255808"/>
    <w:rsid w:val="00255988"/>
    <w:rsid w:val="00257350"/>
    <w:rsid w:val="00257D56"/>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079"/>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1C3F"/>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100"/>
    <w:rsid w:val="00370275"/>
    <w:rsid w:val="00370784"/>
    <w:rsid w:val="00371434"/>
    <w:rsid w:val="00372350"/>
    <w:rsid w:val="00373943"/>
    <w:rsid w:val="00373B4E"/>
    <w:rsid w:val="003754B2"/>
    <w:rsid w:val="0037757C"/>
    <w:rsid w:val="0037757D"/>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97531"/>
    <w:rsid w:val="003A082B"/>
    <w:rsid w:val="003A16E2"/>
    <w:rsid w:val="003A1721"/>
    <w:rsid w:val="003A2889"/>
    <w:rsid w:val="003A3149"/>
    <w:rsid w:val="003A3B7B"/>
    <w:rsid w:val="003A449E"/>
    <w:rsid w:val="003A4902"/>
    <w:rsid w:val="003A5A0D"/>
    <w:rsid w:val="003A5A15"/>
    <w:rsid w:val="003A672F"/>
    <w:rsid w:val="003A72BB"/>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668"/>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DE6"/>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6E4C"/>
    <w:rsid w:val="00437F04"/>
    <w:rsid w:val="004409C4"/>
    <w:rsid w:val="004411D8"/>
    <w:rsid w:val="00441201"/>
    <w:rsid w:val="004424F9"/>
    <w:rsid w:val="0044477F"/>
    <w:rsid w:val="00445006"/>
    <w:rsid w:val="0044643A"/>
    <w:rsid w:val="0045416E"/>
    <w:rsid w:val="004543CC"/>
    <w:rsid w:val="004545E3"/>
    <w:rsid w:val="00454B4A"/>
    <w:rsid w:val="00455543"/>
    <w:rsid w:val="00455AA5"/>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2BE4"/>
    <w:rsid w:val="004A40B5"/>
    <w:rsid w:val="004A4AE7"/>
    <w:rsid w:val="004A515F"/>
    <w:rsid w:val="004A6811"/>
    <w:rsid w:val="004A70D1"/>
    <w:rsid w:val="004A79DD"/>
    <w:rsid w:val="004B006E"/>
    <w:rsid w:val="004B0951"/>
    <w:rsid w:val="004B1323"/>
    <w:rsid w:val="004B13C2"/>
    <w:rsid w:val="004B16D4"/>
    <w:rsid w:val="004B30D7"/>
    <w:rsid w:val="004B4E23"/>
    <w:rsid w:val="004B5409"/>
    <w:rsid w:val="004B58CF"/>
    <w:rsid w:val="004B5AEC"/>
    <w:rsid w:val="004B62FC"/>
    <w:rsid w:val="004B647D"/>
    <w:rsid w:val="004B6DBA"/>
    <w:rsid w:val="004B700C"/>
    <w:rsid w:val="004B71A0"/>
    <w:rsid w:val="004C0A6F"/>
    <w:rsid w:val="004C0BCE"/>
    <w:rsid w:val="004C0C5F"/>
    <w:rsid w:val="004C2549"/>
    <w:rsid w:val="004C285A"/>
    <w:rsid w:val="004C37B9"/>
    <w:rsid w:val="004C429B"/>
    <w:rsid w:val="004C47EC"/>
    <w:rsid w:val="004C5162"/>
    <w:rsid w:val="004C5340"/>
    <w:rsid w:val="004C5E02"/>
    <w:rsid w:val="004C5E82"/>
    <w:rsid w:val="004C5ED1"/>
    <w:rsid w:val="004C676E"/>
    <w:rsid w:val="004C7434"/>
    <w:rsid w:val="004D05AC"/>
    <w:rsid w:val="004D096C"/>
    <w:rsid w:val="004D1416"/>
    <w:rsid w:val="004D1E43"/>
    <w:rsid w:val="004D20A9"/>
    <w:rsid w:val="004D3418"/>
    <w:rsid w:val="004D3506"/>
    <w:rsid w:val="004D3C11"/>
    <w:rsid w:val="004D4309"/>
    <w:rsid w:val="004D46C4"/>
    <w:rsid w:val="004D57A4"/>
    <w:rsid w:val="004D6546"/>
    <w:rsid w:val="004D66F5"/>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5C43"/>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605BB"/>
    <w:rsid w:val="0056063D"/>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2D89"/>
    <w:rsid w:val="005730B6"/>
    <w:rsid w:val="00583227"/>
    <w:rsid w:val="005835A3"/>
    <w:rsid w:val="0058447C"/>
    <w:rsid w:val="00584656"/>
    <w:rsid w:val="0058472B"/>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0D83"/>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59EE"/>
    <w:rsid w:val="005E65BB"/>
    <w:rsid w:val="005E6668"/>
    <w:rsid w:val="005F0CE4"/>
    <w:rsid w:val="005F0F3C"/>
    <w:rsid w:val="005F3246"/>
    <w:rsid w:val="005F4329"/>
    <w:rsid w:val="005F44CA"/>
    <w:rsid w:val="005F49FE"/>
    <w:rsid w:val="005F4C46"/>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0074"/>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49A"/>
    <w:rsid w:val="00682E02"/>
    <w:rsid w:val="00684977"/>
    <w:rsid w:val="00684E5D"/>
    <w:rsid w:val="0068520B"/>
    <w:rsid w:val="006859E5"/>
    <w:rsid w:val="00686059"/>
    <w:rsid w:val="00687A3E"/>
    <w:rsid w:val="00690032"/>
    <w:rsid w:val="006905B5"/>
    <w:rsid w:val="0069155F"/>
    <w:rsid w:val="00691F29"/>
    <w:rsid w:val="00691F89"/>
    <w:rsid w:val="00692948"/>
    <w:rsid w:val="00693971"/>
    <w:rsid w:val="00695C98"/>
    <w:rsid w:val="006962BD"/>
    <w:rsid w:val="0069635A"/>
    <w:rsid w:val="0069675D"/>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74AD"/>
    <w:rsid w:val="006C78E6"/>
    <w:rsid w:val="006D0FE5"/>
    <w:rsid w:val="006D10BE"/>
    <w:rsid w:val="006D1CEC"/>
    <w:rsid w:val="006D2455"/>
    <w:rsid w:val="006D2919"/>
    <w:rsid w:val="006D2DAF"/>
    <w:rsid w:val="006D35C2"/>
    <w:rsid w:val="006D4763"/>
    <w:rsid w:val="006D512D"/>
    <w:rsid w:val="006D61B0"/>
    <w:rsid w:val="006D7C06"/>
    <w:rsid w:val="006E0188"/>
    <w:rsid w:val="006E0B58"/>
    <w:rsid w:val="006E18AB"/>
    <w:rsid w:val="006E1E58"/>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886"/>
    <w:rsid w:val="00703A75"/>
    <w:rsid w:val="007046AA"/>
    <w:rsid w:val="007048D1"/>
    <w:rsid w:val="0070714C"/>
    <w:rsid w:val="00710C80"/>
    <w:rsid w:val="00711AA6"/>
    <w:rsid w:val="00712503"/>
    <w:rsid w:val="00712562"/>
    <w:rsid w:val="00712A07"/>
    <w:rsid w:val="007135AB"/>
    <w:rsid w:val="00713970"/>
    <w:rsid w:val="007145C1"/>
    <w:rsid w:val="00714F6A"/>
    <w:rsid w:val="00715648"/>
    <w:rsid w:val="0071643E"/>
    <w:rsid w:val="00716851"/>
    <w:rsid w:val="00717AE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445F"/>
    <w:rsid w:val="00734A65"/>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0CC0"/>
    <w:rsid w:val="0075126F"/>
    <w:rsid w:val="00751572"/>
    <w:rsid w:val="007515A3"/>
    <w:rsid w:val="0075353C"/>
    <w:rsid w:val="00757A0B"/>
    <w:rsid w:val="00757D0A"/>
    <w:rsid w:val="0076164D"/>
    <w:rsid w:val="00763F34"/>
    <w:rsid w:val="007659D3"/>
    <w:rsid w:val="00765A98"/>
    <w:rsid w:val="00766B6A"/>
    <w:rsid w:val="00766EE5"/>
    <w:rsid w:val="007746D5"/>
    <w:rsid w:val="00774BD5"/>
    <w:rsid w:val="00774E53"/>
    <w:rsid w:val="007759CE"/>
    <w:rsid w:val="007759E8"/>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2FFC"/>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840"/>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6C63"/>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1856"/>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95C"/>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4D0D"/>
    <w:rsid w:val="008F609A"/>
    <w:rsid w:val="008F6B0B"/>
    <w:rsid w:val="008F77D9"/>
    <w:rsid w:val="008F7D64"/>
    <w:rsid w:val="009002F3"/>
    <w:rsid w:val="00901114"/>
    <w:rsid w:val="0090147E"/>
    <w:rsid w:val="009016E8"/>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54C"/>
    <w:rsid w:val="00915B11"/>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4CB"/>
    <w:rsid w:val="00953574"/>
    <w:rsid w:val="0095385C"/>
    <w:rsid w:val="00953E88"/>
    <w:rsid w:val="00954A9F"/>
    <w:rsid w:val="00956E61"/>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29C4"/>
    <w:rsid w:val="00982A82"/>
    <w:rsid w:val="00985935"/>
    <w:rsid w:val="00985A9B"/>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0E4C"/>
    <w:rsid w:val="009B1B6F"/>
    <w:rsid w:val="009B2F59"/>
    <w:rsid w:val="009B4592"/>
    <w:rsid w:val="009B4C62"/>
    <w:rsid w:val="009B6D22"/>
    <w:rsid w:val="009B7477"/>
    <w:rsid w:val="009B7EB0"/>
    <w:rsid w:val="009C0CF7"/>
    <w:rsid w:val="009C229C"/>
    <w:rsid w:val="009C2BDD"/>
    <w:rsid w:val="009C3562"/>
    <w:rsid w:val="009C44BD"/>
    <w:rsid w:val="009C4F02"/>
    <w:rsid w:val="009C6546"/>
    <w:rsid w:val="009C7C1A"/>
    <w:rsid w:val="009D26CE"/>
    <w:rsid w:val="009D2AB1"/>
    <w:rsid w:val="009D4525"/>
    <w:rsid w:val="009E061D"/>
    <w:rsid w:val="009E278E"/>
    <w:rsid w:val="009E286D"/>
    <w:rsid w:val="009E39FE"/>
    <w:rsid w:val="009E3D17"/>
    <w:rsid w:val="009E41D8"/>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242B"/>
    <w:rsid w:val="00A038DD"/>
    <w:rsid w:val="00A0397C"/>
    <w:rsid w:val="00A054C9"/>
    <w:rsid w:val="00A07063"/>
    <w:rsid w:val="00A07E2D"/>
    <w:rsid w:val="00A11BC9"/>
    <w:rsid w:val="00A12601"/>
    <w:rsid w:val="00A130BE"/>
    <w:rsid w:val="00A1412B"/>
    <w:rsid w:val="00A148E5"/>
    <w:rsid w:val="00A14CA6"/>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358A"/>
    <w:rsid w:val="00AB432B"/>
    <w:rsid w:val="00AB5879"/>
    <w:rsid w:val="00AB764B"/>
    <w:rsid w:val="00AB7B30"/>
    <w:rsid w:val="00AC1F0F"/>
    <w:rsid w:val="00AC2595"/>
    <w:rsid w:val="00AC44C1"/>
    <w:rsid w:val="00AC4AAF"/>
    <w:rsid w:val="00AC50B6"/>
    <w:rsid w:val="00AC6023"/>
    <w:rsid w:val="00AC753D"/>
    <w:rsid w:val="00AC7A9C"/>
    <w:rsid w:val="00AD0093"/>
    <w:rsid w:val="00AD0A1D"/>
    <w:rsid w:val="00AD0AF1"/>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8C4"/>
    <w:rsid w:val="00AF5F99"/>
    <w:rsid w:val="00AF635E"/>
    <w:rsid w:val="00AF6498"/>
    <w:rsid w:val="00AF76F9"/>
    <w:rsid w:val="00B00370"/>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39A6"/>
    <w:rsid w:val="00B25BED"/>
    <w:rsid w:val="00B26C60"/>
    <w:rsid w:val="00B30A25"/>
    <w:rsid w:val="00B31230"/>
    <w:rsid w:val="00B313B3"/>
    <w:rsid w:val="00B319B8"/>
    <w:rsid w:val="00B31C05"/>
    <w:rsid w:val="00B32BEC"/>
    <w:rsid w:val="00B3340A"/>
    <w:rsid w:val="00B34BD6"/>
    <w:rsid w:val="00B34E40"/>
    <w:rsid w:val="00B358D6"/>
    <w:rsid w:val="00B379BD"/>
    <w:rsid w:val="00B37E6E"/>
    <w:rsid w:val="00B41F11"/>
    <w:rsid w:val="00B42252"/>
    <w:rsid w:val="00B422D8"/>
    <w:rsid w:val="00B423E0"/>
    <w:rsid w:val="00B43919"/>
    <w:rsid w:val="00B45A5F"/>
    <w:rsid w:val="00B46863"/>
    <w:rsid w:val="00B46925"/>
    <w:rsid w:val="00B46A3D"/>
    <w:rsid w:val="00B52436"/>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06F"/>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3F9"/>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1E7D"/>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75FD"/>
    <w:rsid w:val="00C701C2"/>
    <w:rsid w:val="00C704F9"/>
    <w:rsid w:val="00C7282E"/>
    <w:rsid w:val="00C7359D"/>
    <w:rsid w:val="00C7385F"/>
    <w:rsid w:val="00C73967"/>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706"/>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070"/>
    <w:rsid w:val="00D42DE4"/>
    <w:rsid w:val="00D44D43"/>
    <w:rsid w:val="00D4551C"/>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67FC8"/>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0272"/>
    <w:rsid w:val="00D80600"/>
    <w:rsid w:val="00D81735"/>
    <w:rsid w:val="00D81E04"/>
    <w:rsid w:val="00D81F0F"/>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DFB"/>
    <w:rsid w:val="00D94EDD"/>
    <w:rsid w:val="00D96194"/>
    <w:rsid w:val="00D9675A"/>
    <w:rsid w:val="00D978F0"/>
    <w:rsid w:val="00D97BB8"/>
    <w:rsid w:val="00DA077B"/>
    <w:rsid w:val="00DA0995"/>
    <w:rsid w:val="00DA2240"/>
    <w:rsid w:val="00DA236C"/>
    <w:rsid w:val="00DA26B5"/>
    <w:rsid w:val="00DA2C6B"/>
    <w:rsid w:val="00DA569D"/>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429"/>
    <w:rsid w:val="00DE7850"/>
    <w:rsid w:val="00DE7DA0"/>
    <w:rsid w:val="00DF03B7"/>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28B"/>
    <w:rsid w:val="00E023EE"/>
    <w:rsid w:val="00E02EAB"/>
    <w:rsid w:val="00E03657"/>
    <w:rsid w:val="00E04110"/>
    <w:rsid w:val="00E04DC2"/>
    <w:rsid w:val="00E06A7B"/>
    <w:rsid w:val="00E07992"/>
    <w:rsid w:val="00E10416"/>
    <w:rsid w:val="00E11055"/>
    <w:rsid w:val="00E115C8"/>
    <w:rsid w:val="00E125FF"/>
    <w:rsid w:val="00E133E4"/>
    <w:rsid w:val="00E17A04"/>
    <w:rsid w:val="00E20275"/>
    <w:rsid w:val="00E2097B"/>
    <w:rsid w:val="00E20A0F"/>
    <w:rsid w:val="00E21719"/>
    <w:rsid w:val="00E22051"/>
    <w:rsid w:val="00E226C4"/>
    <w:rsid w:val="00E236E9"/>
    <w:rsid w:val="00E23ED1"/>
    <w:rsid w:val="00E23FAA"/>
    <w:rsid w:val="00E247FC"/>
    <w:rsid w:val="00E24C16"/>
    <w:rsid w:val="00E24E8E"/>
    <w:rsid w:val="00E24E9E"/>
    <w:rsid w:val="00E25580"/>
    <w:rsid w:val="00E25D0C"/>
    <w:rsid w:val="00E27A96"/>
    <w:rsid w:val="00E27F01"/>
    <w:rsid w:val="00E3031E"/>
    <w:rsid w:val="00E3165B"/>
    <w:rsid w:val="00E31CD0"/>
    <w:rsid w:val="00E31E6D"/>
    <w:rsid w:val="00E33F1B"/>
    <w:rsid w:val="00E35884"/>
    <w:rsid w:val="00E3648A"/>
    <w:rsid w:val="00E36752"/>
    <w:rsid w:val="00E368B6"/>
    <w:rsid w:val="00E37AB4"/>
    <w:rsid w:val="00E37EAA"/>
    <w:rsid w:val="00E405BC"/>
    <w:rsid w:val="00E406D4"/>
    <w:rsid w:val="00E42A00"/>
    <w:rsid w:val="00E4396A"/>
    <w:rsid w:val="00E4438E"/>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4209"/>
    <w:rsid w:val="00E6607A"/>
    <w:rsid w:val="00E66248"/>
    <w:rsid w:val="00E66BEA"/>
    <w:rsid w:val="00E66D0A"/>
    <w:rsid w:val="00E67EE4"/>
    <w:rsid w:val="00E70410"/>
    <w:rsid w:val="00E706A0"/>
    <w:rsid w:val="00E728B4"/>
    <w:rsid w:val="00E72FF5"/>
    <w:rsid w:val="00E74B8A"/>
    <w:rsid w:val="00E761FD"/>
    <w:rsid w:val="00E76D00"/>
    <w:rsid w:val="00E77116"/>
    <w:rsid w:val="00E77483"/>
    <w:rsid w:val="00E77729"/>
    <w:rsid w:val="00E82B15"/>
    <w:rsid w:val="00E8444B"/>
    <w:rsid w:val="00E84CA2"/>
    <w:rsid w:val="00E85D88"/>
    <w:rsid w:val="00E863F6"/>
    <w:rsid w:val="00E87E98"/>
    <w:rsid w:val="00E935B0"/>
    <w:rsid w:val="00E9402A"/>
    <w:rsid w:val="00E9425E"/>
    <w:rsid w:val="00E94309"/>
    <w:rsid w:val="00E95544"/>
    <w:rsid w:val="00E959CC"/>
    <w:rsid w:val="00E960D1"/>
    <w:rsid w:val="00E97C76"/>
    <w:rsid w:val="00EA09D6"/>
    <w:rsid w:val="00EA0EBE"/>
    <w:rsid w:val="00EA1D65"/>
    <w:rsid w:val="00EA2482"/>
    <w:rsid w:val="00EA31D4"/>
    <w:rsid w:val="00EA3DA4"/>
    <w:rsid w:val="00EA4484"/>
    <w:rsid w:val="00EA6068"/>
    <w:rsid w:val="00EA6102"/>
    <w:rsid w:val="00EA61A2"/>
    <w:rsid w:val="00EB06CB"/>
    <w:rsid w:val="00EB203C"/>
    <w:rsid w:val="00EB212A"/>
    <w:rsid w:val="00EB2200"/>
    <w:rsid w:val="00EB2C50"/>
    <w:rsid w:val="00EB3803"/>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71D5"/>
    <w:rsid w:val="00F27438"/>
    <w:rsid w:val="00F2757F"/>
    <w:rsid w:val="00F27A96"/>
    <w:rsid w:val="00F30C5F"/>
    <w:rsid w:val="00F31C2D"/>
    <w:rsid w:val="00F33BCC"/>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32D3"/>
    <w:rsid w:val="00F73BE6"/>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352"/>
    <w:rsid w:val="00F93486"/>
    <w:rsid w:val="00F93D5E"/>
    <w:rsid w:val="00F953CB"/>
    <w:rsid w:val="00F9712B"/>
    <w:rsid w:val="00F9766E"/>
    <w:rsid w:val="00F979B3"/>
    <w:rsid w:val="00FA210A"/>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769"/>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5:chartTrackingRefBased/>
  <w15:docId w15:val="{B45A0BB5-EB2C-4768-96A8-84E97474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character" w:customStyle="1" w:styleId="HeaderChar">
    <w:name w:val="Header Char"/>
    <w:link w:val="Header"/>
    <w:rsid w:val="00EA3DA4"/>
    <w:rPr>
      <w:sz w:val="24"/>
    </w:rPr>
  </w:style>
  <w:style w:type="character" w:customStyle="1" w:styleId="FooterChar">
    <w:name w:val="Footer Char"/>
    <w:link w:val="Footer"/>
    <w:uiPriority w:val="99"/>
    <w:rsid w:val="00EA3D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132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EFAA-0E4F-43D5-8E9A-381E1FAE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5953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Springfield DOR Offices Reassessment</dc:subject>
  <dc:creator>Indoor Air Quality Program</dc:creator>
  <cp:keywords/>
  <cp:lastModifiedBy>Woo, Karl (EHS)</cp:lastModifiedBy>
  <cp:revision>2</cp:revision>
  <cp:lastPrinted>2019-07-30T16:50:00Z</cp:lastPrinted>
  <dcterms:created xsi:type="dcterms:W3CDTF">2019-08-07T15:09:00Z</dcterms:created>
  <dcterms:modified xsi:type="dcterms:W3CDTF">2019-08-07T15:09:00Z</dcterms:modified>
</cp:coreProperties>
</file>