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F73CA" w14:textId="77777777" w:rsidR="0054379C" w:rsidRDefault="0054379C" w:rsidP="0054379C">
      <w:pPr>
        <w:spacing w:after="0" w:line="240" w:lineRule="auto"/>
        <w:rPr>
          <w:rFonts w:ascii="Segoe UI" w:eastAsia="Times New Roman" w:hAnsi="Segoe UI" w:cs="Segoe UI"/>
          <w:color w:val="222222"/>
          <w:sz w:val="24"/>
          <w:szCs w:val="24"/>
        </w:rPr>
      </w:pPr>
      <w:r w:rsidRPr="0054379C">
        <w:rPr>
          <w:rFonts w:ascii="Segoe UI" w:eastAsia="Times New Roman" w:hAnsi="Segoe UI" w:cs="Segoe UI"/>
          <w:noProof/>
          <w:color w:val="0060C7"/>
          <w:sz w:val="24"/>
          <w:szCs w:val="24"/>
          <w:shd w:val="clear" w:color="auto" w:fill="FFFFFF"/>
        </w:rPr>
        <w:drawing>
          <wp:inline distT="0" distB="0" distL="0" distR="0" wp14:anchorId="5C3170FC" wp14:editId="2E8D7465">
            <wp:extent cx="6435725" cy="1161510"/>
            <wp:effectExtent l="0" t="0" r="0" b="0"/>
            <wp:docPr id="2" name="Picture 2" descr="College, Career and Technical Education e-Newsletter">
              <a:hlinkClick xmlns:a="http://schemas.openxmlformats.org/drawingml/2006/main" r:id="rId5" tgtFrame="&quot;_blank&quot;" tooltip="&quot;External Link, Opens in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ege, Career and Technical Education e-Newsletter">
                      <a:hlinkClick r:id="rId5" tgtFrame="&quot;_blank&quot;" tooltip="&quot;External Link, Opens in New Window&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29140" cy="1178369"/>
                    </a:xfrm>
                    <a:prstGeom prst="rect">
                      <a:avLst/>
                    </a:prstGeom>
                    <a:noFill/>
                    <a:ln>
                      <a:noFill/>
                    </a:ln>
                  </pic:spPr>
                </pic:pic>
              </a:graphicData>
            </a:graphic>
          </wp:inline>
        </w:drawing>
      </w:r>
    </w:p>
    <w:p w14:paraId="4192EF58" w14:textId="2B4A9193" w:rsidR="0054379C" w:rsidRPr="0054379C" w:rsidRDefault="0054379C" w:rsidP="0054379C">
      <w:pPr>
        <w:spacing w:after="0" w:line="240" w:lineRule="auto"/>
        <w:rPr>
          <w:rFonts w:ascii="Arial" w:eastAsia="Times New Roman" w:hAnsi="Arial" w:cs="Arial"/>
          <w:sz w:val="24"/>
          <w:szCs w:val="24"/>
        </w:rPr>
      </w:pPr>
      <w:r w:rsidRPr="0054379C">
        <w:rPr>
          <w:rFonts w:ascii="Arial" w:eastAsia="Times New Roman" w:hAnsi="Arial" w:cs="Arial"/>
          <w:color w:val="222222"/>
          <w:sz w:val="24"/>
          <w:szCs w:val="24"/>
        </w:rPr>
        <w:t>T</w:t>
      </w:r>
      <w:r w:rsidRPr="0054379C">
        <w:rPr>
          <w:rFonts w:ascii="Arial" w:eastAsia="Times New Roman" w:hAnsi="Arial" w:cs="Arial"/>
          <w:color w:val="222222"/>
          <w:sz w:val="24"/>
          <w:szCs w:val="24"/>
        </w:rPr>
        <w:t>he Office of College, Career, and Technical Education (OCCTE) provides oversight, technical assistance/ professional development, grants, resources, policy development, and data analysis/reporting for policies and programs that ensure students graduate </w:t>
      </w:r>
      <w:hyperlink r:id="rId7" w:history="1">
        <w:r w:rsidRPr="0054379C">
          <w:rPr>
            <w:rFonts w:ascii="Arial" w:eastAsia="Times New Roman" w:hAnsi="Arial" w:cs="Arial"/>
            <w:color w:val="0060C7"/>
            <w:sz w:val="24"/>
            <w:szCs w:val="24"/>
            <w:u w:val="single"/>
          </w:rPr>
          <w:t>college and career ready </w:t>
        </w:r>
      </w:hyperlink>
      <w:r w:rsidRPr="0054379C">
        <w:rPr>
          <w:rFonts w:ascii="Arial" w:eastAsia="Times New Roman" w:hAnsi="Arial" w:cs="Arial"/>
          <w:color w:val="222222"/>
          <w:sz w:val="24"/>
          <w:szCs w:val="24"/>
        </w:rPr>
        <w:t>.</w:t>
      </w:r>
    </w:p>
    <w:p w14:paraId="3CF4C8E1" w14:textId="77777777" w:rsidR="0054379C" w:rsidRPr="0054379C" w:rsidRDefault="0054379C" w:rsidP="0054379C">
      <w:pPr>
        <w:shd w:val="clear" w:color="auto" w:fill="FFFFFF"/>
        <w:spacing w:after="100" w:afterAutospacing="1" w:line="240" w:lineRule="auto"/>
        <w:rPr>
          <w:rFonts w:ascii="Arial" w:eastAsia="Times New Roman" w:hAnsi="Arial" w:cs="Arial"/>
          <w:color w:val="222222"/>
          <w:sz w:val="24"/>
          <w:szCs w:val="24"/>
        </w:rPr>
      </w:pPr>
      <w:r w:rsidRPr="0054379C">
        <w:rPr>
          <w:rFonts w:ascii="Arial" w:eastAsia="Times New Roman" w:hAnsi="Arial" w:cs="Arial"/>
          <w:color w:val="222222"/>
          <w:sz w:val="24"/>
          <w:szCs w:val="24"/>
        </w:rPr>
        <w:t>To better prepare all students for successful futures, our efforts are anchored in the following goals:</w:t>
      </w:r>
    </w:p>
    <w:p w14:paraId="15CB2546" w14:textId="77777777" w:rsidR="0054379C" w:rsidRPr="0054379C" w:rsidRDefault="0054379C" w:rsidP="0054379C">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hyperlink r:id="rId8" w:history="1">
        <w:r w:rsidRPr="0054379C">
          <w:rPr>
            <w:rFonts w:ascii="Arial" w:eastAsia="Times New Roman" w:hAnsi="Arial" w:cs="Arial"/>
            <w:color w:val="0060C7"/>
            <w:sz w:val="24"/>
            <w:szCs w:val="24"/>
            <w:u w:val="single"/>
          </w:rPr>
          <w:t xml:space="preserve">Increasing the </w:t>
        </w:r>
        <w:proofErr w:type="gramStart"/>
        <w:r w:rsidRPr="0054379C">
          <w:rPr>
            <w:rFonts w:ascii="Arial" w:eastAsia="Times New Roman" w:hAnsi="Arial" w:cs="Arial"/>
            <w:color w:val="0060C7"/>
            <w:sz w:val="24"/>
            <w:szCs w:val="24"/>
            <w:u w:val="single"/>
          </w:rPr>
          <w:t>five year</w:t>
        </w:r>
        <w:proofErr w:type="gramEnd"/>
        <w:r w:rsidRPr="0054379C">
          <w:rPr>
            <w:rFonts w:ascii="Arial" w:eastAsia="Times New Roman" w:hAnsi="Arial" w:cs="Arial"/>
            <w:color w:val="0060C7"/>
            <w:sz w:val="24"/>
            <w:szCs w:val="24"/>
            <w:u w:val="single"/>
          </w:rPr>
          <w:t xml:space="preserve"> graduation rate</w:t>
        </w:r>
      </w:hyperlink>
    </w:p>
    <w:p w14:paraId="2D61B77C" w14:textId="77777777" w:rsidR="0054379C" w:rsidRPr="0054379C" w:rsidRDefault="0054379C" w:rsidP="0054379C">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hyperlink r:id="rId9" w:history="1">
        <w:r w:rsidRPr="0054379C">
          <w:rPr>
            <w:rFonts w:ascii="Arial" w:eastAsia="Times New Roman" w:hAnsi="Arial" w:cs="Arial"/>
            <w:color w:val="0060C7"/>
            <w:sz w:val="24"/>
            <w:szCs w:val="24"/>
            <w:u w:val="single"/>
          </w:rPr>
          <w:t xml:space="preserve">Increasing the </w:t>
        </w:r>
        <w:proofErr w:type="spellStart"/>
        <w:r w:rsidRPr="0054379C">
          <w:rPr>
            <w:rFonts w:ascii="Arial" w:eastAsia="Times New Roman" w:hAnsi="Arial" w:cs="Arial"/>
            <w:color w:val="0060C7"/>
            <w:sz w:val="24"/>
            <w:szCs w:val="24"/>
            <w:u w:val="single"/>
          </w:rPr>
          <w:t>MassCore</w:t>
        </w:r>
        <w:proofErr w:type="spellEnd"/>
        <w:r w:rsidRPr="0054379C">
          <w:rPr>
            <w:rFonts w:ascii="Arial" w:eastAsia="Times New Roman" w:hAnsi="Arial" w:cs="Arial"/>
            <w:color w:val="0060C7"/>
            <w:sz w:val="24"/>
            <w:szCs w:val="24"/>
            <w:u w:val="single"/>
          </w:rPr>
          <w:t xml:space="preserve"> completion rate</w:t>
        </w:r>
      </w:hyperlink>
    </w:p>
    <w:p w14:paraId="18C8EDB6" w14:textId="3A4BB007" w:rsidR="0054379C" w:rsidRPr="0054379C" w:rsidRDefault="0054379C" w:rsidP="0054379C">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54379C">
        <w:rPr>
          <w:rFonts w:ascii="Arial" w:eastAsia="Times New Roman" w:hAnsi="Arial" w:cs="Arial"/>
          <w:color w:val="212529"/>
          <w:sz w:val="24"/>
          <w:szCs w:val="24"/>
        </w:rPr>
        <w:t>Increasing number of students engaging in personal, academic, and career planning (</w:t>
      </w:r>
      <w:proofErr w:type="spellStart"/>
      <w:r w:rsidRPr="0054379C">
        <w:rPr>
          <w:rFonts w:ascii="Arial" w:eastAsia="Times New Roman" w:hAnsi="Arial" w:cs="Arial"/>
          <w:color w:val="212529"/>
          <w:sz w:val="24"/>
          <w:szCs w:val="24"/>
        </w:rPr>
        <w:t>MyCAP</w:t>
      </w:r>
      <w:proofErr w:type="spellEnd"/>
      <w:r w:rsidRPr="0054379C">
        <w:rPr>
          <w:rFonts w:ascii="Arial" w:eastAsia="Times New Roman" w:hAnsi="Arial" w:cs="Arial"/>
          <w:color w:val="212529"/>
          <w:sz w:val="24"/>
          <w:szCs w:val="24"/>
        </w:rPr>
        <w:t>)</w:t>
      </w:r>
    </w:p>
    <w:p w14:paraId="6F54148A" w14:textId="6C0AAF98" w:rsidR="0054379C" w:rsidRPr="0054379C" w:rsidRDefault="0054379C" w:rsidP="0054379C">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54379C">
        <w:rPr>
          <w:rFonts w:ascii="Arial" w:eastAsia="Times New Roman" w:hAnsi="Arial" w:cs="Arial"/>
          <w:color w:val="212529"/>
          <w:sz w:val="24"/>
          <w:szCs w:val="24"/>
        </w:rPr>
        <w:t>Increasing number of students successfully completing high quality college</w:t>
      </w:r>
      <w:r w:rsidRPr="0054379C">
        <w:rPr>
          <w:rFonts w:ascii="Arial" w:eastAsia="Times New Roman" w:hAnsi="Arial" w:cs="Arial"/>
          <w:color w:val="212529"/>
          <w:sz w:val="24"/>
          <w:szCs w:val="24"/>
        </w:rPr>
        <w:t>/</w:t>
      </w:r>
      <w:r w:rsidRPr="0054379C">
        <w:rPr>
          <w:rFonts w:ascii="Arial" w:eastAsia="Times New Roman" w:hAnsi="Arial" w:cs="Arial"/>
          <w:color w:val="212529"/>
          <w:sz w:val="24"/>
          <w:szCs w:val="24"/>
        </w:rPr>
        <w:t>career pathways</w:t>
      </w:r>
    </w:p>
    <w:p w14:paraId="07A4DF88" w14:textId="517BDA3E" w:rsidR="0054379C" w:rsidRPr="0054379C" w:rsidRDefault="0054379C" w:rsidP="0054379C">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54379C">
        <w:rPr>
          <w:rFonts w:ascii="Arial" w:eastAsia="Times New Roman" w:hAnsi="Arial" w:cs="Arial"/>
          <w:color w:val="212529"/>
          <w:sz w:val="24"/>
          <w:szCs w:val="24"/>
        </w:rPr>
        <w:t>Increasing number of students that enroll in postsecondary education</w:t>
      </w:r>
    </w:p>
    <w:p w14:paraId="5B201F60" w14:textId="77777777" w:rsidR="0054379C" w:rsidRPr="0054379C" w:rsidRDefault="0054379C" w:rsidP="0054379C">
      <w:pPr>
        <w:shd w:val="clear" w:color="auto" w:fill="FFFFFF"/>
        <w:spacing w:before="100" w:beforeAutospacing="1" w:after="100" w:afterAutospacing="1" w:line="240" w:lineRule="auto"/>
        <w:outlineLvl w:val="1"/>
        <w:rPr>
          <w:rFonts w:ascii="Arial" w:eastAsia="Times New Roman" w:hAnsi="Arial" w:cs="Arial"/>
          <w:color w:val="0070C0"/>
          <w:spacing w:val="12"/>
          <w:sz w:val="24"/>
          <w:szCs w:val="24"/>
        </w:rPr>
      </w:pPr>
      <w:r w:rsidRPr="0054379C">
        <w:rPr>
          <w:rFonts w:ascii="Arial" w:eastAsia="Times New Roman" w:hAnsi="Arial" w:cs="Arial"/>
          <w:color w:val="0070C0"/>
          <w:spacing w:val="12"/>
          <w:sz w:val="24"/>
          <w:szCs w:val="24"/>
        </w:rPr>
        <w:t>Programs/Initiatives Include:</w:t>
      </w:r>
    </w:p>
    <w:p w14:paraId="7A607DD6" w14:textId="77777777" w:rsidR="0054379C" w:rsidRPr="0054379C" w:rsidRDefault="0054379C" w:rsidP="0054379C">
      <w:pPr>
        <w:shd w:val="clear" w:color="auto" w:fill="FFFFFF"/>
        <w:spacing w:before="100" w:beforeAutospacing="1" w:after="100" w:afterAutospacing="1" w:line="240" w:lineRule="auto"/>
        <w:outlineLvl w:val="2"/>
        <w:rPr>
          <w:rFonts w:ascii="Arial" w:eastAsia="Times New Roman" w:hAnsi="Arial" w:cs="Arial"/>
          <w:color w:val="444444"/>
          <w:sz w:val="24"/>
          <w:szCs w:val="24"/>
        </w:rPr>
      </w:pPr>
      <w:r w:rsidRPr="0054379C">
        <w:rPr>
          <w:rFonts w:ascii="Arial" w:eastAsia="Times New Roman" w:hAnsi="Arial" w:cs="Arial"/>
          <w:color w:val="444444"/>
          <w:sz w:val="24"/>
          <w:szCs w:val="24"/>
        </w:rPr>
        <w:t>High School College and Career Pathways</w:t>
      </w:r>
    </w:p>
    <w:p w14:paraId="62C88462" w14:textId="77777777" w:rsidR="0054379C" w:rsidRPr="0054379C" w:rsidRDefault="0054379C" w:rsidP="0054379C">
      <w:pPr>
        <w:shd w:val="clear" w:color="auto" w:fill="FFFFFF"/>
        <w:spacing w:after="100" w:afterAutospacing="1" w:line="240" w:lineRule="auto"/>
        <w:rPr>
          <w:rFonts w:ascii="Arial" w:eastAsia="Times New Roman" w:hAnsi="Arial" w:cs="Arial"/>
          <w:color w:val="222222"/>
          <w:sz w:val="24"/>
          <w:szCs w:val="24"/>
        </w:rPr>
      </w:pPr>
      <w:hyperlink r:id="rId10" w:history="1">
        <w:r w:rsidRPr="0054379C">
          <w:rPr>
            <w:rFonts w:ascii="Arial" w:eastAsia="Times New Roman" w:hAnsi="Arial" w:cs="Arial"/>
            <w:b/>
            <w:bCs/>
            <w:color w:val="0060C7"/>
            <w:sz w:val="24"/>
            <w:szCs w:val="24"/>
            <w:u w:val="single"/>
          </w:rPr>
          <w:t>Career &amp; Technical Education (Chapter 74)</w:t>
        </w:r>
      </w:hyperlink>
      <w:r w:rsidRPr="0054379C">
        <w:rPr>
          <w:rFonts w:ascii="Arial" w:eastAsia="Times New Roman" w:hAnsi="Arial" w:cs="Arial"/>
          <w:b/>
          <w:bCs/>
          <w:color w:val="222222"/>
          <w:sz w:val="24"/>
          <w:szCs w:val="24"/>
        </w:rPr>
        <w:t>.</w:t>
      </w:r>
      <w:r w:rsidRPr="0054379C">
        <w:rPr>
          <w:rFonts w:ascii="Arial" w:eastAsia="Times New Roman" w:hAnsi="Arial" w:cs="Arial"/>
          <w:color w:val="222222"/>
          <w:sz w:val="24"/>
          <w:szCs w:val="24"/>
        </w:rPr>
        <w:t> CCTE approves, provides technical assistance, oversight, funding, and other resources to programs at local and regional schools that prepare students with the technical skills to be able to enter the workforce in High Wage/ High Demand occupations immediately following high school.</w:t>
      </w:r>
    </w:p>
    <w:p w14:paraId="418B975E" w14:textId="734BD327" w:rsidR="0054379C" w:rsidRPr="0054379C" w:rsidRDefault="0054379C" w:rsidP="0054379C">
      <w:pPr>
        <w:shd w:val="clear" w:color="auto" w:fill="FFFFFF"/>
        <w:spacing w:after="100" w:afterAutospacing="1" w:line="240" w:lineRule="auto"/>
        <w:rPr>
          <w:rFonts w:ascii="Arial" w:eastAsia="Times New Roman" w:hAnsi="Arial" w:cs="Arial"/>
          <w:color w:val="222222"/>
          <w:sz w:val="24"/>
          <w:szCs w:val="24"/>
        </w:rPr>
      </w:pPr>
      <w:hyperlink r:id="rId11" w:history="1">
        <w:r w:rsidRPr="0054379C">
          <w:rPr>
            <w:rFonts w:ascii="Arial" w:eastAsia="Times New Roman" w:hAnsi="Arial" w:cs="Arial"/>
            <w:b/>
            <w:bCs/>
            <w:color w:val="0060C7"/>
            <w:sz w:val="24"/>
            <w:szCs w:val="24"/>
            <w:u w:val="single"/>
          </w:rPr>
          <w:t>Federal Perkins Funding</w:t>
        </w:r>
      </w:hyperlink>
      <w:r w:rsidRPr="0054379C">
        <w:rPr>
          <w:rFonts w:ascii="Arial" w:eastAsia="Times New Roman" w:hAnsi="Arial" w:cs="Arial"/>
          <w:b/>
          <w:bCs/>
          <w:color w:val="222222"/>
          <w:sz w:val="24"/>
          <w:szCs w:val="24"/>
        </w:rPr>
        <w:t>.</w:t>
      </w:r>
      <w:r w:rsidRPr="0054379C">
        <w:rPr>
          <w:rFonts w:ascii="Arial" w:eastAsia="Times New Roman" w:hAnsi="Arial" w:cs="Arial"/>
          <w:color w:val="222222"/>
          <w:sz w:val="24"/>
          <w:szCs w:val="24"/>
        </w:rPr>
        <w:t xml:space="preserve"> CCTE is responsible for the state agency oversight of the development, </w:t>
      </w:r>
      <w:r w:rsidRPr="0054379C">
        <w:rPr>
          <w:rFonts w:ascii="Arial" w:eastAsia="Times New Roman" w:hAnsi="Arial" w:cs="Arial"/>
          <w:color w:val="222222"/>
          <w:sz w:val="24"/>
          <w:szCs w:val="24"/>
        </w:rPr>
        <w:t>implementation,</w:t>
      </w:r>
      <w:r w:rsidRPr="0054379C">
        <w:rPr>
          <w:rFonts w:ascii="Arial" w:eastAsia="Times New Roman" w:hAnsi="Arial" w:cs="Arial"/>
          <w:color w:val="222222"/>
          <w:sz w:val="24"/>
          <w:szCs w:val="24"/>
        </w:rPr>
        <w:t xml:space="preserve"> and accountability with the US Department of Education's Perkins state plan.</w:t>
      </w:r>
    </w:p>
    <w:p w14:paraId="233ABCFA" w14:textId="77777777" w:rsidR="0054379C" w:rsidRPr="0054379C" w:rsidRDefault="0054379C" w:rsidP="0054379C">
      <w:pPr>
        <w:shd w:val="clear" w:color="auto" w:fill="FFFFFF"/>
        <w:spacing w:after="100" w:afterAutospacing="1" w:line="240" w:lineRule="auto"/>
        <w:rPr>
          <w:rFonts w:ascii="Arial" w:eastAsia="Times New Roman" w:hAnsi="Arial" w:cs="Arial"/>
          <w:color w:val="222222"/>
          <w:sz w:val="24"/>
          <w:szCs w:val="24"/>
        </w:rPr>
      </w:pPr>
      <w:hyperlink r:id="rId12" w:history="1">
        <w:r w:rsidRPr="0054379C">
          <w:rPr>
            <w:rFonts w:ascii="Arial" w:eastAsia="Times New Roman" w:hAnsi="Arial" w:cs="Arial"/>
            <w:b/>
            <w:bCs/>
            <w:color w:val="0060C7"/>
            <w:sz w:val="24"/>
            <w:szCs w:val="24"/>
            <w:u w:val="single"/>
          </w:rPr>
          <w:t>Innovation Pathways</w:t>
        </w:r>
      </w:hyperlink>
      <w:r w:rsidRPr="0054379C">
        <w:rPr>
          <w:rFonts w:ascii="Arial" w:eastAsia="Times New Roman" w:hAnsi="Arial" w:cs="Arial"/>
          <w:b/>
          <w:bCs/>
          <w:color w:val="222222"/>
          <w:sz w:val="24"/>
          <w:szCs w:val="24"/>
        </w:rPr>
        <w:t>.</w:t>
      </w:r>
      <w:r w:rsidRPr="0054379C">
        <w:rPr>
          <w:rFonts w:ascii="Arial" w:eastAsia="Times New Roman" w:hAnsi="Arial" w:cs="Arial"/>
          <w:color w:val="222222"/>
          <w:sz w:val="24"/>
          <w:szCs w:val="24"/>
        </w:rPr>
        <w:t> Innovation Pathways are designed to give students coursework and experience in a specific high-demand industry, such as information technology, engineering, healthcare, life sciences and advanced manufacturing.</w:t>
      </w:r>
    </w:p>
    <w:p w14:paraId="1F7095C5" w14:textId="77777777" w:rsidR="0054379C" w:rsidRPr="0054379C" w:rsidRDefault="0054379C" w:rsidP="0054379C">
      <w:pPr>
        <w:shd w:val="clear" w:color="auto" w:fill="FFFFFF"/>
        <w:spacing w:after="100" w:afterAutospacing="1" w:line="240" w:lineRule="auto"/>
        <w:rPr>
          <w:rFonts w:ascii="Arial" w:eastAsia="Times New Roman" w:hAnsi="Arial" w:cs="Arial"/>
          <w:color w:val="222222"/>
          <w:sz w:val="24"/>
          <w:szCs w:val="24"/>
        </w:rPr>
      </w:pPr>
      <w:hyperlink r:id="rId13" w:history="1">
        <w:r w:rsidRPr="0054379C">
          <w:rPr>
            <w:rFonts w:ascii="Arial" w:eastAsia="Times New Roman" w:hAnsi="Arial" w:cs="Arial"/>
            <w:b/>
            <w:bCs/>
            <w:color w:val="0060C7"/>
            <w:sz w:val="24"/>
            <w:szCs w:val="24"/>
            <w:u w:val="single"/>
          </w:rPr>
          <w:t>Early College</w:t>
        </w:r>
      </w:hyperlink>
      <w:r w:rsidRPr="0054379C">
        <w:rPr>
          <w:rFonts w:ascii="Arial" w:eastAsia="Times New Roman" w:hAnsi="Arial" w:cs="Arial"/>
          <w:b/>
          <w:bCs/>
          <w:color w:val="222222"/>
          <w:sz w:val="24"/>
          <w:szCs w:val="24"/>
        </w:rPr>
        <w:t>.</w:t>
      </w:r>
      <w:r w:rsidRPr="0054379C">
        <w:rPr>
          <w:rFonts w:ascii="Arial" w:eastAsia="Times New Roman" w:hAnsi="Arial" w:cs="Arial"/>
          <w:color w:val="222222"/>
          <w:sz w:val="24"/>
          <w:szCs w:val="24"/>
        </w:rPr>
        <w:t> In partnership with the Early College Office, programs are intentionally designed to empower students traditionally underrepresented in higher education. MA Early College Designated Programs work to blend elements of high school and college to provide students with the opportunity to experience and complete college level academic coursework on a clearly articulated pathway and simultaneously gain exposure to a variety of career opportunities. Early college programs also reduce the time and expense of earning a college credential while increasing the likelihood of completion.</w:t>
      </w:r>
    </w:p>
    <w:p w14:paraId="3D2E5CF7" w14:textId="77777777" w:rsidR="0054379C" w:rsidRPr="0054379C" w:rsidRDefault="0054379C" w:rsidP="0054379C">
      <w:pPr>
        <w:shd w:val="clear" w:color="auto" w:fill="FFFFFF"/>
        <w:spacing w:before="100" w:beforeAutospacing="1" w:after="100" w:afterAutospacing="1" w:line="240" w:lineRule="auto"/>
        <w:outlineLvl w:val="2"/>
        <w:rPr>
          <w:rFonts w:ascii="Arial" w:eastAsia="Times New Roman" w:hAnsi="Arial" w:cs="Arial"/>
          <w:color w:val="444444"/>
          <w:sz w:val="24"/>
          <w:szCs w:val="24"/>
        </w:rPr>
      </w:pPr>
      <w:r w:rsidRPr="0054379C">
        <w:rPr>
          <w:rFonts w:ascii="Arial" w:eastAsia="Times New Roman" w:hAnsi="Arial" w:cs="Arial"/>
          <w:color w:val="444444"/>
          <w:sz w:val="24"/>
          <w:szCs w:val="24"/>
        </w:rPr>
        <w:t xml:space="preserve">School Counseling &amp; </w:t>
      </w:r>
      <w:proofErr w:type="spellStart"/>
      <w:r w:rsidRPr="0054379C">
        <w:rPr>
          <w:rFonts w:ascii="Arial" w:eastAsia="Times New Roman" w:hAnsi="Arial" w:cs="Arial"/>
          <w:color w:val="444444"/>
          <w:sz w:val="24"/>
          <w:szCs w:val="24"/>
        </w:rPr>
        <w:t>MyCAP</w:t>
      </w:r>
      <w:proofErr w:type="spellEnd"/>
    </w:p>
    <w:p w14:paraId="36B144A0" w14:textId="77777777" w:rsidR="0054379C" w:rsidRPr="0054379C" w:rsidRDefault="0054379C" w:rsidP="0054379C">
      <w:pPr>
        <w:shd w:val="clear" w:color="auto" w:fill="FFFFFF"/>
        <w:spacing w:after="100" w:afterAutospacing="1" w:line="240" w:lineRule="auto"/>
        <w:rPr>
          <w:rFonts w:ascii="Arial" w:eastAsia="Times New Roman" w:hAnsi="Arial" w:cs="Arial"/>
          <w:color w:val="222222"/>
          <w:sz w:val="24"/>
          <w:szCs w:val="24"/>
        </w:rPr>
      </w:pPr>
      <w:r w:rsidRPr="0054379C">
        <w:rPr>
          <w:rFonts w:ascii="Arial" w:eastAsia="Times New Roman" w:hAnsi="Arial" w:cs="Arial"/>
          <w:color w:val="222222"/>
          <w:sz w:val="24"/>
          <w:szCs w:val="24"/>
        </w:rPr>
        <w:t xml:space="preserve">CCTE supports districts/school counselors to prepare students for college, </w:t>
      </w:r>
      <w:proofErr w:type="gramStart"/>
      <w:r w:rsidRPr="0054379C">
        <w:rPr>
          <w:rFonts w:ascii="Arial" w:eastAsia="Times New Roman" w:hAnsi="Arial" w:cs="Arial"/>
          <w:color w:val="222222"/>
          <w:sz w:val="24"/>
          <w:szCs w:val="24"/>
        </w:rPr>
        <w:t>career</w:t>
      </w:r>
      <w:proofErr w:type="gramEnd"/>
      <w:r w:rsidRPr="0054379C">
        <w:rPr>
          <w:rFonts w:ascii="Arial" w:eastAsia="Times New Roman" w:hAnsi="Arial" w:cs="Arial"/>
          <w:color w:val="222222"/>
          <w:sz w:val="24"/>
          <w:szCs w:val="24"/>
        </w:rPr>
        <w:t xml:space="preserve"> and civic readiness. The </w:t>
      </w:r>
      <w:proofErr w:type="spellStart"/>
      <w:r w:rsidRPr="0054379C">
        <w:rPr>
          <w:rFonts w:ascii="Arial" w:eastAsia="Times New Roman" w:hAnsi="Arial" w:cs="Arial"/>
          <w:color w:val="222222"/>
          <w:sz w:val="24"/>
          <w:szCs w:val="24"/>
        </w:rPr>
        <w:fldChar w:fldCharType="begin"/>
      </w:r>
      <w:r w:rsidRPr="0054379C">
        <w:rPr>
          <w:rFonts w:ascii="Arial" w:eastAsia="Times New Roman" w:hAnsi="Arial" w:cs="Arial"/>
          <w:color w:val="222222"/>
          <w:sz w:val="24"/>
          <w:szCs w:val="24"/>
        </w:rPr>
        <w:instrText xml:space="preserve"> HYPERLINK "https://www.doe.mass.edu/ccte/ccr/mycap/default.html" </w:instrText>
      </w:r>
      <w:r w:rsidRPr="0054379C">
        <w:rPr>
          <w:rFonts w:ascii="Arial" w:eastAsia="Times New Roman" w:hAnsi="Arial" w:cs="Arial"/>
          <w:color w:val="222222"/>
          <w:sz w:val="24"/>
          <w:szCs w:val="24"/>
        </w:rPr>
        <w:fldChar w:fldCharType="separate"/>
      </w:r>
      <w:r w:rsidRPr="0054379C">
        <w:rPr>
          <w:rFonts w:ascii="Arial" w:eastAsia="Times New Roman" w:hAnsi="Arial" w:cs="Arial"/>
          <w:color w:val="0060C7"/>
          <w:sz w:val="24"/>
          <w:szCs w:val="24"/>
          <w:u w:val="single"/>
        </w:rPr>
        <w:t>MyCAP</w:t>
      </w:r>
      <w:proofErr w:type="spellEnd"/>
      <w:r w:rsidRPr="0054379C">
        <w:rPr>
          <w:rFonts w:ascii="Arial" w:eastAsia="Times New Roman" w:hAnsi="Arial" w:cs="Arial"/>
          <w:color w:val="222222"/>
          <w:sz w:val="24"/>
          <w:szCs w:val="24"/>
        </w:rPr>
        <w:fldChar w:fldCharType="end"/>
      </w:r>
      <w:r w:rsidRPr="0054379C">
        <w:rPr>
          <w:rFonts w:ascii="Arial" w:eastAsia="Times New Roman" w:hAnsi="Arial" w:cs="Arial"/>
          <w:color w:val="222222"/>
          <w:sz w:val="24"/>
          <w:szCs w:val="24"/>
        </w:rPr>
        <w:t xml:space="preserve"> process engages grades 6–12 students in authentic postsecondary planning through a continuum of learning focused on the individual student's interests, </w:t>
      </w:r>
      <w:proofErr w:type="gramStart"/>
      <w:r w:rsidRPr="0054379C">
        <w:rPr>
          <w:rFonts w:ascii="Arial" w:eastAsia="Times New Roman" w:hAnsi="Arial" w:cs="Arial"/>
          <w:color w:val="222222"/>
          <w:sz w:val="24"/>
          <w:szCs w:val="24"/>
        </w:rPr>
        <w:t>skills</w:t>
      </w:r>
      <w:proofErr w:type="gramEnd"/>
      <w:r w:rsidRPr="0054379C">
        <w:rPr>
          <w:rFonts w:ascii="Arial" w:eastAsia="Times New Roman" w:hAnsi="Arial" w:cs="Arial"/>
          <w:color w:val="222222"/>
          <w:sz w:val="24"/>
          <w:szCs w:val="24"/>
        </w:rPr>
        <w:t xml:space="preserve"> and talents. DESE partners with the Massachusetts School Counselors Association (MASCA) on </w:t>
      </w:r>
      <w:hyperlink r:id="rId14" w:history="1">
        <w:r w:rsidRPr="0054379C">
          <w:rPr>
            <w:rFonts w:ascii="Arial" w:eastAsia="Times New Roman" w:hAnsi="Arial" w:cs="Arial"/>
            <w:color w:val="0060C7"/>
            <w:sz w:val="24"/>
            <w:szCs w:val="24"/>
            <w:u w:val="single"/>
          </w:rPr>
          <w:t>School Counseling</w:t>
        </w:r>
      </w:hyperlink>
      <w:r w:rsidRPr="0054379C">
        <w:rPr>
          <w:rFonts w:ascii="Arial" w:eastAsia="Times New Roman" w:hAnsi="Arial" w:cs="Arial"/>
          <w:color w:val="222222"/>
          <w:sz w:val="24"/>
          <w:szCs w:val="24"/>
        </w:rPr>
        <w:t>.</w:t>
      </w:r>
    </w:p>
    <w:p w14:paraId="49A2803F" w14:textId="77777777" w:rsidR="0054379C" w:rsidRPr="0054379C" w:rsidRDefault="0054379C" w:rsidP="0054379C">
      <w:pPr>
        <w:shd w:val="clear" w:color="auto" w:fill="FFFFFF"/>
        <w:spacing w:before="100" w:beforeAutospacing="1" w:after="100" w:afterAutospacing="1" w:line="240" w:lineRule="auto"/>
        <w:outlineLvl w:val="2"/>
        <w:rPr>
          <w:rFonts w:ascii="Arial" w:eastAsia="Times New Roman" w:hAnsi="Arial" w:cs="Arial"/>
          <w:color w:val="444444"/>
          <w:sz w:val="24"/>
          <w:szCs w:val="24"/>
        </w:rPr>
      </w:pPr>
      <w:r w:rsidRPr="0054379C">
        <w:rPr>
          <w:rFonts w:ascii="Arial" w:eastAsia="Times New Roman" w:hAnsi="Arial" w:cs="Arial"/>
          <w:color w:val="444444"/>
          <w:sz w:val="24"/>
          <w:szCs w:val="24"/>
        </w:rPr>
        <w:lastRenderedPageBreak/>
        <w:t>Coursework</w:t>
      </w:r>
    </w:p>
    <w:p w14:paraId="7A1ECDB8" w14:textId="77777777" w:rsidR="0054379C" w:rsidRPr="0054379C" w:rsidRDefault="0054379C" w:rsidP="0054379C">
      <w:pPr>
        <w:shd w:val="clear" w:color="auto" w:fill="FFFFFF"/>
        <w:spacing w:after="100" w:afterAutospacing="1" w:line="240" w:lineRule="auto"/>
        <w:rPr>
          <w:rFonts w:ascii="Arial" w:eastAsia="Times New Roman" w:hAnsi="Arial" w:cs="Arial"/>
          <w:color w:val="222222"/>
          <w:sz w:val="24"/>
          <w:szCs w:val="24"/>
        </w:rPr>
      </w:pPr>
      <w:hyperlink r:id="rId15" w:history="1">
        <w:proofErr w:type="spellStart"/>
        <w:r w:rsidRPr="0054379C">
          <w:rPr>
            <w:rFonts w:ascii="Arial" w:eastAsia="Times New Roman" w:hAnsi="Arial" w:cs="Arial"/>
            <w:b/>
            <w:bCs/>
            <w:color w:val="0060C7"/>
            <w:sz w:val="24"/>
            <w:szCs w:val="24"/>
            <w:u w:val="single"/>
          </w:rPr>
          <w:t>MassCore</w:t>
        </w:r>
        <w:proofErr w:type="spellEnd"/>
      </w:hyperlink>
      <w:r w:rsidRPr="0054379C">
        <w:rPr>
          <w:rFonts w:ascii="Arial" w:eastAsia="Times New Roman" w:hAnsi="Arial" w:cs="Arial"/>
          <w:b/>
          <w:bCs/>
          <w:color w:val="222222"/>
          <w:sz w:val="24"/>
          <w:szCs w:val="24"/>
        </w:rPr>
        <w:t>.</w:t>
      </w:r>
      <w:r w:rsidRPr="0054379C">
        <w:rPr>
          <w:rFonts w:ascii="Arial" w:eastAsia="Times New Roman" w:hAnsi="Arial" w:cs="Arial"/>
          <w:color w:val="222222"/>
          <w:sz w:val="24"/>
          <w:szCs w:val="24"/>
        </w:rPr>
        <w:t> CCTE provides support and resources for schools to adopt a course taking strategy that ensures students graduate with the requirements to pursue a four-year degree at a Massachusetts public postsecondary institution.</w:t>
      </w:r>
    </w:p>
    <w:p w14:paraId="0AC70E13" w14:textId="77777777" w:rsidR="0054379C" w:rsidRPr="0054379C" w:rsidRDefault="0054379C" w:rsidP="0054379C">
      <w:pPr>
        <w:shd w:val="clear" w:color="auto" w:fill="FFFFFF"/>
        <w:spacing w:after="100" w:afterAutospacing="1" w:line="240" w:lineRule="auto"/>
        <w:rPr>
          <w:rFonts w:ascii="Arial" w:eastAsia="Times New Roman" w:hAnsi="Arial" w:cs="Arial"/>
          <w:color w:val="222222"/>
          <w:sz w:val="24"/>
          <w:szCs w:val="24"/>
        </w:rPr>
      </w:pPr>
      <w:r w:rsidRPr="0054379C">
        <w:rPr>
          <w:rFonts w:ascii="Arial" w:eastAsia="Times New Roman" w:hAnsi="Arial" w:cs="Arial"/>
          <w:b/>
          <w:bCs/>
          <w:color w:val="222222"/>
          <w:sz w:val="24"/>
          <w:szCs w:val="24"/>
        </w:rPr>
        <w:t>Advanced Placement.</w:t>
      </w:r>
      <w:r w:rsidRPr="0054379C">
        <w:rPr>
          <w:rFonts w:ascii="Arial" w:eastAsia="Times New Roman" w:hAnsi="Arial" w:cs="Arial"/>
          <w:color w:val="222222"/>
          <w:sz w:val="24"/>
          <w:szCs w:val="24"/>
        </w:rPr>
        <w:t> CCTE supports schools in expanding access to advanced coursework. In September 2020 DESE was awarded a five-year grant totaling $9,127,691 from the U.S. Education Department (ED), through the Expanding Access to Well-Rounded Courses Demonstration Grants Program. With this funding, and via a partnership with VHS Learning, we are establishing the </w:t>
      </w:r>
      <w:hyperlink r:id="rId16" w:tgtFrame="_blank" w:tooltip="External Link, Opens in New Window" w:history="1">
        <w:r w:rsidRPr="0054379C">
          <w:rPr>
            <w:rFonts w:ascii="Arial" w:eastAsia="Times New Roman" w:hAnsi="Arial" w:cs="Arial"/>
            <w:color w:val="0060C7"/>
            <w:sz w:val="24"/>
            <w:szCs w:val="24"/>
            <w:u w:val="single"/>
          </w:rPr>
          <w:t>STEM Advanced Placement Access Expansion Opportunity (SAPAO)</w:t>
        </w:r>
      </w:hyperlink>
      <w:r w:rsidRPr="0054379C">
        <w:rPr>
          <w:rFonts w:ascii="Arial" w:eastAsia="Times New Roman" w:hAnsi="Arial" w:cs="Arial"/>
          <w:color w:val="222222"/>
          <w:sz w:val="24"/>
          <w:szCs w:val="24"/>
        </w:rPr>
        <w:t>. SAPAO is a statewide initiative to increase the capacity of schools to offer advanced coursework that will equip students with the skills and competencies they need to pursue postsecondary education and, ultimately, go on to STEM professions vital to the Massachusetts economy.</w:t>
      </w:r>
    </w:p>
    <w:p w14:paraId="117396B1" w14:textId="77777777" w:rsidR="0054379C" w:rsidRPr="0054379C" w:rsidRDefault="0054379C" w:rsidP="0054379C">
      <w:pPr>
        <w:shd w:val="clear" w:color="auto" w:fill="FFFFFF"/>
        <w:spacing w:before="100" w:beforeAutospacing="1" w:after="100" w:afterAutospacing="1" w:line="240" w:lineRule="auto"/>
        <w:outlineLvl w:val="2"/>
        <w:rPr>
          <w:rFonts w:ascii="Arial" w:eastAsia="Times New Roman" w:hAnsi="Arial" w:cs="Arial"/>
          <w:color w:val="444444"/>
          <w:sz w:val="24"/>
          <w:szCs w:val="24"/>
        </w:rPr>
      </w:pPr>
      <w:r w:rsidRPr="0054379C">
        <w:rPr>
          <w:rFonts w:ascii="Arial" w:eastAsia="Times New Roman" w:hAnsi="Arial" w:cs="Arial"/>
          <w:color w:val="444444"/>
          <w:sz w:val="24"/>
          <w:szCs w:val="24"/>
        </w:rPr>
        <w:t>Graduation Requirements</w:t>
      </w:r>
    </w:p>
    <w:p w14:paraId="1A68C916" w14:textId="77777777" w:rsidR="0054379C" w:rsidRPr="0054379C" w:rsidRDefault="0054379C" w:rsidP="0054379C">
      <w:pPr>
        <w:shd w:val="clear" w:color="auto" w:fill="FFFFFF"/>
        <w:spacing w:after="100" w:afterAutospacing="1" w:line="240" w:lineRule="auto"/>
        <w:rPr>
          <w:rFonts w:ascii="Arial" w:eastAsia="Times New Roman" w:hAnsi="Arial" w:cs="Arial"/>
          <w:color w:val="222222"/>
          <w:sz w:val="24"/>
          <w:szCs w:val="24"/>
        </w:rPr>
      </w:pPr>
      <w:hyperlink r:id="rId17" w:history="1">
        <w:r w:rsidRPr="0054379C">
          <w:rPr>
            <w:rFonts w:ascii="Arial" w:eastAsia="Times New Roman" w:hAnsi="Arial" w:cs="Arial"/>
            <w:color w:val="0060C7"/>
            <w:sz w:val="24"/>
            <w:szCs w:val="24"/>
            <w:u w:val="single"/>
          </w:rPr>
          <w:t>Competency Determination</w:t>
        </w:r>
      </w:hyperlink>
      <w:r w:rsidRPr="0054379C">
        <w:rPr>
          <w:rFonts w:ascii="Arial" w:eastAsia="Times New Roman" w:hAnsi="Arial" w:cs="Arial"/>
          <w:color w:val="222222"/>
          <w:sz w:val="24"/>
          <w:szCs w:val="24"/>
        </w:rPr>
        <w:t> &amp; </w:t>
      </w:r>
      <w:hyperlink r:id="rId18" w:history="1">
        <w:r w:rsidRPr="0054379C">
          <w:rPr>
            <w:rFonts w:ascii="Arial" w:eastAsia="Times New Roman" w:hAnsi="Arial" w:cs="Arial"/>
            <w:color w:val="0060C7"/>
            <w:sz w:val="24"/>
            <w:szCs w:val="24"/>
            <w:u w:val="single"/>
          </w:rPr>
          <w:t>Educational Proficiency Plan</w:t>
        </w:r>
      </w:hyperlink>
      <w:r w:rsidRPr="0054379C">
        <w:rPr>
          <w:rFonts w:ascii="Arial" w:eastAsia="Times New Roman" w:hAnsi="Arial" w:cs="Arial"/>
          <w:color w:val="222222"/>
          <w:sz w:val="24"/>
          <w:szCs w:val="24"/>
        </w:rPr>
        <w:t>. CCTE provides support, data resources, and advises on policy related to the minimum demonstrations of proficiency for Massachusetts High School Graduates.</w:t>
      </w:r>
    </w:p>
    <w:p w14:paraId="40F72117" w14:textId="77777777" w:rsidR="0054379C" w:rsidRPr="0054379C" w:rsidRDefault="0054379C" w:rsidP="0054379C">
      <w:pPr>
        <w:shd w:val="clear" w:color="auto" w:fill="FFFFFF"/>
        <w:spacing w:before="100" w:beforeAutospacing="1" w:after="100" w:afterAutospacing="1" w:line="240" w:lineRule="auto"/>
        <w:outlineLvl w:val="2"/>
        <w:rPr>
          <w:rFonts w:ascii="Arial" w:eastAsia="Times New Roman" w:hAnsi="Arial" w:cs="Arial"/>
          <w:color w:val="444444"/>
          <w:sz w:val="24"/>
          <w:szCs w:val="24"/>
        </w:rPr>
      </w:pPr>
      <w:r w:rsidRPr="0054379C">
        <w:rPr>
          <w:rFonts w:ascii="Arial" w:eastAsia="Times New Roman" w:hAnsi="Arial" w:cs="Arial"/>
          <w:color w:val="444444"/>
          <w:sz w:val="24"/>
          <w:szCs w:val="24"/>
        </w:rPr>
        <w:t>Data-Informed Systems for Student Support</w:t>
      </w:r>
    </w:p>
    <w:p w14:paraId="63BD4FDC" w14:textId="77777777" w:rsidR="0054379C" w:rsidRPr="0054379C" w:rsidRDefault="0054379C" w:rsidP="0054379C">
      <w:pPr>
        <w:shd w:val="clear" w:color="auto" w:fill="FFFFFF"/>
        <w:spacing w:after="100" w:afterAutospacing="1" w:line="240" w:lineRule="auto"/>
        <w:rPr>
          <w:rFonts w:ascii="Arial" w:eastAsia="Times New Roman" w:hAnsi="Arial" w:cs="Arial"/>
          <w:color w:val="222222"/>
          <w:sz w:val="24"/>
          <w:szCs w:val="24"/>
        </w:rPr>
      </w:pPr>
      <w:hyperlink r:id="rId19" w:history="1">
        <w:r w:rsidRPr="0054379C">
          <w:rPr>
            <w:rFonts w:ascii="Arial" w:eastAsia="Times New Roman" w:hAnsi="Arial" w:cs="Arial"/>
            <w:color w:val="0060C7"/>
            <w:sz w:val="24"/>
            <w:szCs w:val="24"/>
            <w:u w:val="single"/>
          </w:rPr>
          <w:t>Early Warning Indicator System (EWIS)</w:t>
        </w:r>
      </w:hyperlink>
      <w:r w:rsidRPr="0054379C">
        <w:rPr>
          <w:rFonts w:ascii="Arial" w:eastAsia="Times New Roman" w:hAnsi="Arial" w:cs="Arial"/>
          <w:color w:val="222222"/>
          <w:sz w:val="24"/>
          <w:szCs w:val="24"/>
        </w:rPr>
        <w:t>. CCTE supports educators to develop targeted interventions, allowing students to follow a path to success.</w:t>
      </w:r>
    </w:p>
    <w:p w14:paraId="70ADA953" w14:textId="77777777" w:rsidR="0054379C" w:rsidRPr="0054379C" w:rsidRDefault="0054379C" w:rsidP="0054379C">
      <w:pPr>
        <w:shd w:val="clear" w:color="auto" w:fill="FFFFFF"/>
        <w:spacing w:before="100" w:beforeAutospacing="1" w:after="100" w:afterAutospacing="1" w:line="240" w:lineRule="auto"/>
        <w:outlineLvl w:val="2"/>
        <w:rPr>
          <w:rFonts w:ascii="Arial" w:eastAsia="Times New Roman" w:hAnsi="Arial" w:cs="Arial"/>
          <w:color w:val="444444"/>
          <w:sz w:val="24"/>
          <w:szCs w:val="24"/>
        </w:rPr>
      </w:pPr>
      <w:r w:rsidRPr="0054379C">
        <w:rPr>
          <w:rFonts w:ascii="Arial" w:eastAsia="Times New Roman" w:hAnsi="Arial" w:cs="Arial"/>
          <w:color w:val="444444"/>
          <w:sz w:val="24"/>
          <w:szCs w:val="24"/>
        </w:rPr>
        <w:t>Dropout Prevention &amp; Alternative Education</w:t>
      </w:r>
    </w:p>
    <w:p w14:paraId="5145BF66" w14:textId="77777777" w:rsidR="0054379C" w:rsidRPr="0054379C" w:rsidRDefault="0054379C" w:rsidP="0054379C">
      <w:pPr>
        <w:shd w:val="clear" w:color="auto" w:fill="FFFFFF"/>
        <w:spacing w:after="100" w:afterAutospacing="1" w:line="240" w:lineRule="auto"/>
        <w:rPr>
          <w:rFonts w:ascii="Arial" w:eastAsia="Times New Roman" w:hAnsi="Arial" w:cs="Arial"/>
          <w:color w:val="222222"/>
          <w:sz w:val="24"/>
          <w:szCs w:val="24"/>
        </w:rPr>
      </w:pPr>
      <w:hyperlink r:id="rId20" w:history="1">
        <w:r w:rsidRPr="0054379C">
          <w:rPr>
            <w:rFonts w:ascii="Arial" w:eastAsia="Times New Roman" w:hAnsi="Arial" w:cs="Arial"/>
            <w:color w:val="0060C7"/>
            <w:sz w:val="24"/>
            <w:szCs w:val="24"/>
            <w:u w:val="single"/>
          </w:rPr>
          <w:t>Dropout Prevention and Alternative Education</w:t>
        </w:r>
      </w:hyperlink>
      <w:r w:rsidRPr="0054379C">
        <w:rPr>
          <w:rFonts w:ascii="Arial" w:eastAsia="Times New Roman" w:hAnsi="Arial" w:cs="Arial"/>
          <w:color w:val="222222"/>
          <w:sz w:val="24"/>
          <w:szCs w:val="24"/>
        </w:rPr>
        <w:t>. CCTE works with districts to reduce the number of students who drop out of school takes a combination of systemic efforts at the community, district, school, classroom, and individual student levels.</w:t>
      </w:r>
    </w:p>
    <w:p w14:paraId="7BCC9BC5" w14:textId="77777777" w:rsidR="0054379C" w:rsidRPr="0054379C" w:rsidRDefault="0054379C" w:rsidP="0054379C">
      <w:pPr>
        <w:shd w:val="clear" w:color="auto" w:fill="FFFFFF"/>
        <w:spacing w:before="100" w:beforeAutospacing="1" w:after="100" w:afterAutospacing="1" w:line="240" w:lineRule="auto"/>
        <w:outlineLvl w:val="2"/>
        <w:rPr>
          <w:rFonts w:ascii="Arial" w:eastAsia="Times New Roman" w:hAnsi="Arial" w:cs="Arial"/>
          <w:color w:val="444444"/>
          <w:sz w:val="24"/>
          <w:szCs w:val="24"/>
        </w:rPr>
      </w:pPr>
      <w:r w:rsidRPr="0054379C">
        <w:rPr>
          <w:rFonts w:ascii="Arial" w:eastAsia="Times New Roman" w:hAnsi="Arial" w:cs="Arial"/>
          <w:color w:val="444444"/>
          <w:sz w:val="24"/>
          <w:szCs w:val="24"/>
        </w:rPr>
        <w:t>Career Education and Work-based Learning</w:t>
      </w:r>
    </w:p>
    <w:p w14:paraId="7380CE19" w14:textId="77777777" w:rsidR="0054379C" w:rsidRPr="0054379C" w:rsidRDefault="0054379C" w:rsidP="0054379C">
      <w:pPr>
        <w:shd w:val="clear" w:color="auto" w:fill="FFFFFF"/>
        <w:spacing w:after="100" w:afterAutospacing="1" w:line="240" w:lineRule="auto"/>
        <w:rPr>
          <w:rFonts w:ascii="Arial" w:eastAsia="Times New Roman" w:hAnsi="Arial" w:cs="Arial"/>
          <w:color w:val="222222"/>
          <w:sz w:val="24"/>
          <w:szCs w:val="24"/>
        </w:rPr>
      </w:pPr>
      <w:hyperlink r:id="rId21" w:history="1">
        <w:r w:rsidRPr="0054379C">
          <w:rPr>
            <w:rFonts w:ascii="Arial" w:eastAsia="Times New Roman" w:hAnsi="Arial" w:cs="Arial"/>
            <w:color w:val="0060C7"/>
            <w:sz w:val="24"/>
            <w:szCs w:val="24"/>
            <w:u w:val="single"/>
          </w:rPr>
          <w:t>Connecting Activities</w:t>
        </w:r>
      </w:hyperlink>
      <w:r w:rsidRPr="0054379C">
        <w:rPr>
          <w:rFonts w:ascii="Arial" w:eastAsia="Times New Roman" w:hAnsi="Arial" w:cs="Arial"/>
          <w:color w:val="222222"/>
          <w:sz w:val="24"/>
          <w:szCs w:val="24"/>
        </w:rPr>
        <w:t>. Connecting Activities (CA) is a Department of Elementary and Secondary Education initiative that leverages a statewide infrastructure to support college and career readiness for all students.</w:t>
      </w:r>
    </w:p>
    <w:p w14:paraId="2F6F86E6" w14:textId="77777777" w:rsidR="0054379C" w:rsidRPr="0054379C" w:rsidRDefault="0054379C" w:rsidP="0054379C">
      <w:pPr>
        <w:shd w:val="clear" w:color="auto" w:fill="FFFFFF"/>
        <w:spacing w:before="100" w:beforeAutospacing="1" w:after="100" w:afterAutospacing="1" w:line="240" w:lineRule="auto"/>
        <w:outlineLvl w:val="2"/>
        <w:rPr>
          <w:rFonts w:ascii="Arial" w:eastAsia="Times New Roman" w:hAnsi="Arial" w:cs="Arial"/>
          <w:color w:val="444444"/>
          <w:sz w:val="24"/>
          <w:szCs w:val="24"/>
        </w:rPr>
      </w:pPr>
      <w:r w:rsidRPr="0054379C">
        <w:rPr>
          <w:rFonts w:ascii="Arial" w:eastAsia="Times New Roman" w:hAnsi="Arial" w:cs="Arial"/>
          <w:color w:val="444444"/>
          <w:sz w:val="24"/>
          <w:szCs w:val="24"/>
        </w:rPr>
        <w:t>Postsecondary Career &amp; Technical Education</w:t>
      </w:r>
    </w:p>
    <w:p w14:paraId="6496FC18" w14:textId="77777777" w:rsidR="0054379C" w:rsidRPr="0054379C" w:rsidRDefault="0054379C" w:rsidP="0054379C">
      <w:pPr>
        <w:shd w:val="clear" w:color="auto" w:fill="FFFFFF"/>
        <w:spacing w:after="100" w:afterAutospacing="1" w:line="240" w:lineRule="auto"/>
        <w:rPr>
          <w:rFonts w:ascii="Arial" w:eastAsia="Times New Roman" w:hAnsi="Arial" w:cs="Arial"/>
          <w:color w:val="222222"/>
          <w:sz w:val="24"/>
          <w:szCs w:val="24"/>
        </w:rPr>
      </w:pPr>
      <w:r w:rsidRPr="0054379C">
        <w:rPr>
          <w:rFonts w:ascii="Arial" w:eastAsia="Times New Roman" w:hAnsi="Arial" w:cs="Arial"/>
          <w:color w:val="222222"/>
          <w:sz w:val="24"/>
          <w:szCs w:val="24"/>
        </w:rPr>
        <w:t>CCTE provides support to </w:t>
      </w:r>
      <w:hyperlink r:id="rId22" w:history="1">
        <w:r w:rsidRPr="0054379C">
          <w:rPr>
            <w:rFonts w:ascii="Arial" w:eastAsia="Times New Roman" w:hAnsi="Arial" w:cs="Arial"/>
            <w:color w:val="0060C7"/>
            <w:sz w:val="24"/>
            <w:szCs w:val="24"/>
            <w:u w:val="single"/>
          </w:rPr>
          <w:t>community colleges and postsecondary programs</w:t>
        </w:r>
      </w:hyperlink>
      <w:r w:rsidRPr="0054379C">
        <w:rPr>
          <w:rFonts w:ascii="Arial" w:eastAsia="Times New Roman" w:hAnsi="Arial" w:cs="Arial"/>
          <w:color w:val="222222"/>
          <w:sz w:val="24"/>
          <w:szCs w:val="24"/>
        </w:rPr>
        <w:t xml:space="preserve"> to implement Perkins programs, </w:t>
      </w:r>
      <w:proofErr w:type="gramStart"/>
      <w:r w:rsidRPr="0054379C">
        <w:rPr>
          <w:rFonts w:ascii="Arial" w:eastAsia="Times New Roman" w:hAnsi="Arial" w:cs="Arial"/>
          <w:color w:val="222222"/>
          <w:sz w:val="24"/>
          <w:szCs w:val="24"/>
        </w:rPr>
        <w:t>career</w:t>
      </w:r>
      <w:proofErr w:type="gramEnd"/>
      <w:r w:rsidRPr="0054379C">
        <w:rPr>
          <w:rFonts w:ascii="Arial" w:eastAsia="Times New Roman" w:hAnsi="Arial" w:cs="Arial"/>
          <w:color w:val="222222"/>
          <w:sz w:val="24"/>
          <w:szCs w:val="24"/>
        </w:rPr>
        <w:t xml:space="preserve"> and technical institutes (CTI) and Chapter 74 postsecondary and postgrad programs.</w:t>
      </w:r>
    </w:p>
    <w:p w14:paraId="0F521D0F" w14:textId="77777777" w:rsidR="0054379C" w:rsidRPr="0054379C" w:rsidRDefault="0054379C" w:rsidP="0054379C">
      <w:pPr>
        <w:shd w:val="clear" w:color="auto" w:fill="FFFFFF"/>
        <w:spacing w:after="100" w:afterAutospacing="1" w:line="240" w:lineRule="auto"/>
        <w:rPr>
          <w:rFonts w:ascii="Segoe UI" w:eastAsia="Times New Roman" w:hAnsi="Segoe UI" w:cs="Segoe UI"/>
          <w:color w:val="222222"/>
          <w:sz w:val="24"/>
          <w:szCs w:val="24"/>
        </w:rPr>
      </w:pPr>
      <w:r w:rsidRPr="0054379C">
        <w:rPr>
          <w:rFonts w:ascii="Segoe UI" w:eastAsia="Times New Roman" w:hAnsi="Segoe UI" w:cs="Segoe UI"/>
          <w:color w:val="222222"/>
          <w:sz w:val="19"/>
          <w:szCs w:val="19"/>
        </w:rPr>
        <w:t>Last Updated: October 27, 2022</w:t>
      </w:r>
    </w:p>
    <w:p w14:paraId="3D2E74A7" w14:textId="77777777" w:rsidR="002F42D0" w:rsidRDefault="002F42D0"/>
    <w:sectPr w:rsidR="002F42D0" w:rsidSect="0054379C">
      <w:pgSz w:w="12240" w:h="15840"/>
      <w:pgMar w:top="864" w:right="720"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77163"/>
    <w:multiLevelType w:val="multilevel"/>
    <w:tmpl w:val="5C72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3415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9C"/>
    <w:rsid w:val="002F42D0"/>
    <w:rsid w:val="0054379C"/>
    <w:rsid w:val="00D25FC6"/>
    <w:rsid w:val="00DA2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D785C"/>
  <w15:chartTrackingRefBased/>
  <w15:docId w15:val="{D73C3A3C-A77F-4E9B-B683-31174BA8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infoservices/reports/gradrates/" TargetMode="External"/><Relationship Id="rId13" Type="http://schemas.openxmlformats.org/officeDocument/2006/relationships/hyperlink" Target="https://www.doe.mass.edu/ccte/early-college/default.html" TargetMode="External"/><Relationship Id="rId18" Type="http://schemas.openxmlformats.org/officeDocument/2006/relationships/hyperlink" Target="https://www.doe.mass.edu/assessment/epp/default.html" TargetMode="External"/><Relationship Id="rId3" Type="http://schemas.openxmlformats.org/officeDocument/2006/relationships/settings" Target="settings.xml"/><Relationship Id="rId21" Type="http://schemas.openxmlformats.org/officeDocument/2006/relationships/hyperlink" Target="https://www.doe.mass.edu/connect/" TargetMode="External"/><Relationship Id="rId7" Type="http://schemas.openxmlformats.org/officeDocument/2006/relationships/hyperlink" Target="https://www.doe.mass.edu/ccte/ccr/definition.docx" TargetMode="External"/><Relationship Id="rId12" Type="http://schemas.openxmlformats.org/officeDocument/2006/relationships/hyperlink" Target="https://www.doe.mass.edu/ccte/innovation-pathways/default.html" TargetMode="External"/><Relationship Id="rId17" Type="http://schemas.openxmlformats.org/officeDocument/2006/relationships/hyperlink" Target="https://www.doe.mass.edu/mcas/participation.html" TargetMode="External"/><Relationship Id="rId2" Type="http://schemas.openxmlformats.org/officeDocument/2006/relationships/styles" Target="styles.xml"/><Relationship Id="rId16" Type="http://schemas.openxmlformats.org/officeDocument/2006/relationships/hyperlink" Target="https://vhslearning.org/stem-ap-access-expansion-opportunity" TargetMode="External"/><Relationship Id="rId20" Type="http://schemas.openxmlformats.org/officeDocument/2006/relationships/hyperlink" Target="https://www.doe.mass.edu/ccte/ccr/massgrad/default.htm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doe.mass.edu/ccte/cvte/perkins-v/default.html" TargetMode="External"/><Relationship Id="rId24" Type="http://schemas.openxmlformats.org/officeDocument/2006/relationships/theme" Target="theme/theme1.xml"/><Relationship Id="rId5" Type="http://schemas.openxmlformats.org/officeDocument/2006/relationships/hyperlink" Target="https://us14.campaign-archive.com/home/?u=d8f37d1a90dacd97f207f0b4a&amp;id=369689c327" TargetMode="External"/><Relationship Id="rId15" Type="http://schemas.openxmlformats.org/officeDocument/2006/relationships/hyperlink" Target="https://www.doe.mass.edu/ccte/ccr/masscore/" TargetMode="External"/><Relationship Id="rId23" Type="http://schemas.openxmlformats.org/officeDocument/2006/relationships/fontTable" Target="fontTable.xml"/><Relationship Id="rId10" Type="http://schemas.openxmlformats.org/officeDocument/2006/relationships/hyperlink" Target="https://www.doe.mass.edu/ccte/cvte/default.html" TargetMode="External"/><Relationship Id="rId19" Type="http://schemas.openxmlformats.org/officeDocument/2006/relationships/hyperlink" Target="https://www.doe.mass.edu/ccte/ccr/ewis/default.html" TargetMode="External"/><Relationship Id="rId4" Type="http://schemas.openxmlformats.org/officeDocument/2006/relationships/webSettings" Target="webSettings.xml"/><Relationship Id="rId9" Type="http://schemas.openxmlformats.org/officeDocument/2006/relationships/hyperlink" Target="https://www.doe.mass.edu/ccte/ccr/masscore/" TargetMode="External"/><Relationship Id="rId14" Type="http://schemas.openxmlformats.org/officeDocument/2006/relationships/hyperlink" Target="https://www.doe.mass.edu/ccte/ccr/initiatives/schoolcounseling/" TargetMode="External"/><Relationship Id="rId22" Type="http://schemas.openxmlformats.org/officeDocument/2006/relationships/hyperlink" Target="https://www.doe.mass.edu/ccte/cvte/postsecondary/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887</Words>
  <Characters>5062</Characters>
  <Application>Microsoft Office Word</Application>
  <DocSecurity>0</DocSecurity>
  <Lines>42</Lines>
  <Paragraphs>11</Paragraphs>
  <ScaleCrop>false</ScaleCrop>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Brasier, Carrie (MCB)</dc:creator>
  <cp:keywords/>
  <dc:description/>
  <cp:lastModifiedBy>Brasier, Carrie (MCB)</cp:lastModifiedBy>
  <cp:revision>1</cp:revision>
  <dcterms:created xsi:type="dcterms:W3CDTF">2023-01-25T21:11:00Z</dcterms:created>
  <dcterms:modified xsi:type="dcterms:W3CDTF">2023-01-25T21:16:00Z</dcterms:modified>
</cp:coreProperties>
</file>