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A2CE4" w14:textId="77777777" w:rsidR="00A120D0" w:rsidRDefault="00A120D0" w:rsidP="00A120D0">
      <w:pPr>
        <w:jc w:val="center"/>
        <w:rPr>
          <w:rFonts w:ascii="Courier New" w:hAnsi="Courier New" w:cs="Courier New"/>
          <w:b/>
        </w:rPr>
      </w:pPr>
      <w:r w:rsidRPr="008B15BB">
        <w:rPr>
          <w:rFonts w:ascii="Courier New" w:hAnsi="Courier New" w:cs="Courier New"/>
          <w:b/>
        </w:rPr>
        <w:t>COMMONWEALTH OF MASSACHUSETTS</w:t>
      </w:r>
    </w:p>
    <w:p w14:paraId="3E78E2BC" w14:textId="77777777" w:rsidR="00A120D0" w:rsidRDefault="00A120D0" w:rsidP="00A120D0">
      <w:pPr>
        <w:jc w:val="center"/>
        <w:rPr>
          <w:rFonts w:ascii="Courier New" w:hAnsi="Courier New" w:cs="Courier New"/>
          <w:b/>
        </w:rPr>
      </w:pPr>
    </w:p>
    <w:p w14:paraId="3E9F1576" w14:textId="77777777" w:rsidR="00A120D0" w:rsidRDefault="00A120D0" w:rsidP="00A120D0">
      <w:pPr>
        <w:jc w:val="center"/>
        <w:rPr>
          <w:rFonts w:ascii="Courier New" w:hAnsi="Courier New" w:cs="Courier New"/>
          <w:b/>
        </w:rPr>
      </w:pPr>
      <w:r>
        <w:rPr>
          <w:rFonts w:ascii="Courier New" w:hAnsi="Courier New" w:cs="Courier New"/>
          <w:b/>
        </w:rPr>
        <w:t>APPELLATE TAX BOARD</w:t>
      </w:r>
    </w:p>
    <w:p w14:paraId="780712DA" w14:textId="77777777" w:rsidR="00A120D0" w:rsidRDefault="00A120D0" w:rsidP="00A120D0">
      <w:pPr>
        <w:jc w:val="center"/>
        <w:rPr>
          <w:rFonts w:ascii="Courier New" w:hAnsi="Courier New" w:cs="Courier New"/>
          <w:b/>
        </w:rPr>
      </w:pPr>
    </w:p>
    <w:p w14:paraId="426B1DDF" w14:textId="77777777" w:rsidR="00A120D0" w:rsidRDefault="00A120D0" w:rsidP="00A120D0">
      <w:pPr>
        <w:jc w:val="center"/>
        <w:rPr>
          <w:rFonts w:ascii="Courier New" w:hAnsi="Courier New" w:cs="Courier New"/>
          <w:b/>
        </w:rPr>
      </w:pPr>
    </w:p>
    <w:p w14:paraId="2265C469" w14:textId="0197E7B7" w:rsidR="00A120D0" w:rsidRDefault="00962459" w:rsidP="00A120D0">
      <w:pPr>
        <w:rPr>
          <w:rFonts w:ascii="Courier New" w:hAnsi="Courier New" w:cs="Courier New"/>
          <w:b/>
        </w:rPr>
      </w:pPr>
      <w:r>
        <w:rPr>
          <w:rFonts w:ascii="Courier New" w:hAnsi="Courier New" w:cs="Courier New"/>
          <w:b/>
        </w:rPr>
        <w:t>VIRGINIA</w:t>
      </w:r>
      <w:r w:rsidR="00711F5B">
        <w:rPr>
          <w:rFonts w:ascii="Courier New" w:hAnsi="Courier New" w:cs="Courier New"/>
          <w:b/>
        </w:rPr>
        <w:t xml:space="preserve"> DESORGHER</w:t>
      </w:r>
      <w:r w:rsidR="00A120D0">
        <w:rPr>
          <w:rFonts w:ascii="Courier New" w:hAnsi="Courier New" w:cs="Courier New"/>
          <w:b/>
        </w:rPr>
        <w:t xml:space="preserve">    </w:t>
      </w:r>
      <w:r w:rsidR="00711F5B">
        <w:rPr>
          <w:rFonts w:ascii="Courier New" w:hAnsi="Courier New" w:cs="Courier New"/>
          <w:b/>
        </w:rPr>
        <w:t xml:space="preserve">      </w:t>
      </w:r>
      <w:r w:rsidR="00D848C1">
        <w:rPr>
          <w:rFonts w:ascii="Courier New" w:hAnsi="Courier New" w:cs="Courier New"/>
          <w:b/>
        </w:rPr>
        <w:t xml:space="preserve"> </w:t>
      </w:r>
      <w:r w:rsidR="00A120D0">
        <w:rPr>
          <w:rFonts w:ascii="Courier New" w:hAnsi="Courier New" w:cs="Courier New"/>
          <w:b/>
        </w:rPr>
        <w:t>v.</w:t>
      </w:r>
      <w:r w:rsidR="00A120D0">
        <w:rPr>
          <w:rFonts w:ascii="Courier New" w:hAnsi="Courier New" w:cs="Courier New"/>
          <w:b/>
        </w:rPr>
        <w:tab/>
        <w:t xml:space="preserve">  BOA</w:t>
      </w:r>
      <w:r w:rsidR="00711F5B">
        <w:rPr>
          <w:rFonts w:ascii="Courier New" w:hAnsi="Courier New" w:cs="Courier New"/>
          <w:b/>
        </w:rPr>
        <w:t>RD OF ASSESSORS OF</w:t>
      </w:r>
      <w:r w:rsidR="00711F5B">
        <w:rPr>
          <w:rFonts w:ascii="Courier New" w:hAnsi="Courier New" w:cs="Courier New"/>
          <w:b/>
        </w:rPr>
        <w:tab/>
      </w:r>
      <w:r w:rsidR="00711F5B">
        <w:rPr>
          <w:rFonts w:ascii="Courier New" w:hAnsi="Courier New" w:cs="Courier New"/>
          <w:b/>
        </w:rPr>
        <w:tab/>
      </w:r>
      <w:r w:rsidR="00711F5B">
        <w:rPr>
          <w:rFonts w:ascii="Courier New" w:hAnsi="Courier New" w:cs="Courier New"/>
          <w:b/>
        </w:rPr>
        <w:tab/>
      </w:r>
      <w:r w:rsidR="00711F5B">
        <w:rPr>
          <w:rFonts w:ascii="Courier New" w:hAnsi="Courier New" w:cs="Courier New"/>
          <w:b/>
        </w:rPr>
        <w:tab/>
      </w:r>
      <w:r w:rsidR="00711F5B">
        <w:rPr>
          <w:rFonts w:ascii="Courier New" w:hAnsi="Courier New" w:cs="Courier New"/>
          <w:b/>
        </w:rPr>
        <w:tab/>
      </w:r>
      <w:r w:rsidR="00711F5B">
        <w:rPr>
          <w:rFonts w:ascii="Courier New" w:hAnsi="Courier New" w:cs="Courier New"/>
          <w:b/>
        </w:rPr>
        <w:tab/>
      </w:r>
      <w:r w:rsidR="00711F5B">
        <w:rPr>
          <w:rFonts w:ascii="Courier New" w:hAnsi="Courier New" w:cs="Courier New"/>
          <w:b/>
        </w:rPr>
        <w:tab/>
        <w:t xml:space="preserve">       </w:t>
      </w:r>
      <w:r w:rsidR="00A120D0">
        <w:rPr>
          <w:rFonts w:ascii="Courier New" w:hAnsi="Courier New" w:cs="Courier New"/>
          <w:b/>
        </w:rPr>
        <w:t>THE TOWN OF GREENFIELD</w:t>
      </w:r>
    </w:p>
    <w:p w14:paraId="352CC62A" w14:textId="77777777" w:rsidR="00A120D0" w:rsidRDefault="00A120D0" w:rsidP="00A120D0">
      <w:pPr>
        <w:rPr>
          <w:rFonts w:ascii="Courier New" w:hAnsi="Courier New" w:cs="Courier New"/>
        </w:rPr>
      </w:pPr>
    </w:p>
    <w:p w14:paraId="11BB00D1" w14:textId="756FC509" w:rsidR="00A120D0" w:rsidRDefault="00F318EF" w:rsidP="00A120D0">
      <w:pPr>
        <w:rPr>
          <w:rFonts w:ascii="Courier New" w:hAnsi="Courier New" w:cs="Courier New"/>
        </w:rPr>
      </w:pPr>
      <w:r>
        <w:rPr>
          <w:rFonts w:ascii="Courier New" w:hAnsi="Courier New" w:cs="Courier New"/>
        </w:rPr>
        <w:t>Docket No. F329467</w:t>
      </w:r>
      <w:r w:rsidR="00A120D0">
        <w:rPr>
          <w:rFonts w:ascii="Courier New" w:hAnsi="Courier New" w:cs="Courier New"/>
        </w:rPr>
        <w:tab/>
      </w:r>
      <w:r w:rsidR="00A120D0">
        <w:rPr>
          <w:rFonts w:ascii="Courier New" w:hAnsi="Courier New" w:cs="Courier New"/>
        </w:rPr>
        <w:tab/>
      </w:r>
      <w:r w:rsidR="00A120D0">
        <w:rPr>
          <w:rFonts w:ascii="Courier New" w:hAnsi="Courier New" w:cs="Courier New"/>
        </w:rPr>
        <w:tab/>
      </w:r>
      <w:r w:rsidR="00A120D0">
        <w:rPr>
          <w:rFonts w:ascii="Courier New" w:hAnsi="Courier New" w:cs="Courier New"/>
        </w:rPr>
        <w:tab/>
        <w:t xml:space="preserve">  Promulgated:</w:t>
      </w:r>
    </w:p>
    <w:p w14:paraId="4E1B174F" w14:textId="72D376CC" w:rsidR="00A120D0" w:rsidRDefault="00A120D0" w:rsidP="00A120D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7D7B03">
        <w:rPr>
          <w:rFonts w:ascii="Courier New" w:hAnsi="Courier New" w:cs="Courier New"/>
        </w:rPr>
        <w:t>January 25, 2019</w:t>
      </w:r>
      <w:bookmarkStart w:id="0" w:name="_GoBack"/>
      <w:bookmarkEnd w:id="0"/>
    </w:p>
    <w:p w14:paraId="005A132F" w14:textId="77777777" w:rsidR="00A120D0" w:rsidRDefault="00A120D0" w:rsidP="00A120D0">
      <w:pPr>
        <w:rPr>
          <w:rFonts w:ascii="Courier New" w:hAnsi="Courier New" w:cs="Courier New"/>
        </w:rPr>
      </w:pPr>
    </w:p>
    <w:p w14:paraId="1A9EB19E" w14:textId="68954CD2" w:rsidR="00A120D0" w:rsidRDefault="00A120D0" w:rsidP="00A120D0">
      <w:pPr>
        <w:pStyle w:val="BodyText2"/>
      </w:pPr>
      <w:r>
        <w:t>This is an appeal originally filed under the informal procedure pursuant to G.L. c. 58A, § 7A</w:t>
      </w:r>
      <w:r w:rsidR="00D848C1">
        <w:rPr>
          <w:rStyle w:val="FootnoteReference"/>
        </w:rPr>
        <w:footnoteReference w:id="1"/>
      </w:r>
      <w:r>
        <w:t xml:space="preserve"> and G.L. c. 59, §§</w:t>
      </w:r>
      <w:r w:rsidR="00342639">
        <w:t> </w:t>
      </w:r>
      <w:r>
        <w:t>64 and 65, from the refusal of the Board of Assessors of the Town of Greenfield (“appellee” or “assessors”) to abate a tax on real estate located in the Town of Greenfield, owned by and assessed</w:t>
      </w:r>
      <w:r w:rsidR="003C1AC2">
        <w:t xml:space="preserve"> to Virginia DeSorgher</w:t>
      </w:r>
      <w:r>
        <w:t xml:space="preserve"> (“a</w:t>
      </w:r>
      <w:r w:rsidR="003C1AC2">
        <w:t>ppellant</w:t>
      </w:r>
      <w:r>
        <w:t>”) under G.L. c. 59, §§ 11 and 38, for fiscal year 2016 (“fiscal year at issue”).</w:t>
      </w:r>
    </w:p>
    <w:p w14:paraId="5510AF13" w14:textId="77777777" w:rsidR="00A120D0" w:rsidRDefault="00A120D0" w:rsidP="00A120D0">
      <w:pPr>
        <w:pStyle w:val="BodyText2"/>
      </w:pPr>
      <w:r>
        <w:t>Commissioner Chmielinski</w:t>
      </w:r>
      <w:r w:rsidRPr="00B86AF5">
        <w:t xml:space="preserve"> (“Pr</w:t>
      </w:r>
      <w:r>
        <w:t>esiding Commissioner”) heard the</w:t>
      </w:r>
      <w:r w:rsidRPr="00B86AF5">
        <w:t xml:space="preserve"> appeal </w:t>
      </w:r>
      <w:r>
        <w:t xml:space="preserve">under </w:t>
      </w:r>
      <w:r w:rsidRPr="00B86AF5">
        <w:t>G.L. c. 58A, § 1</w:t>
      </w:r>
      <w:r>
        <w:t>A</w:t>
      </w:r>
      <w:r w:rsidRPr="00B86AF5">
        <w:t xml:space="preserve"> and 831 CMR 1.20</w:t>
      </w:r>
      <w:r>
        <w:t xml:space="preserve"> and issued a single-member decision for the appellant</w:t>
      </w:r>
      <w:r w:rsidRPr="00B86AF5">
        <w:t>.</w:t>
      </w:r>
      <w:r>
        <w:t xml:space="preserve"> </w:t>
      </w:r>
      <w:r w:rsidRPr="00B86AF5">
        <w:t xml:space="preserve"> </w:t>
      </w:r>
    </w:p>
    <w:p w14:paraId="7C194857" w14:textId="6BC6844A" w:rsidR="00A120D0" w:rsidRDefault="00A120D0" w:rsidP="00A120D0">
      <w:pPr>
        <w:pStyle w:val="BodyText2"/>
      </w:pPr>
      <w:r w:rsidRPr="00B86AF5">
        <w:t>These findings of fact an</w:t>
      </w:r>
      <w:r>
        <w:t xml:space="preserve">d report are made pursuant to </w:t>
      </w:r>
      <w:r w:rsidRPr="00B86AF5">
        <w:t>request</w:t>
      </w:r>
      <w:r>
        <w:t>s</w:t>
      </w:r>
      <w:r w:rsidRPr="00B86AF5">
        <w:t xml:space="preserve"> by the appellant</w:t>
      </w:r>
      <w:r>
        <w:t xml:space="preserve"> and the appellee</w:t>
      </w:r>
      <w:r w:rsidRPr="00B86AF5">
        <w:t xml:space="preserve"> under G.L.</w:t>
      </w:r>
      <w:r w:rsidR="00342639">
        <w:t> </w:t>
      </w:r>
      <w:r w:rsidRPr="00B86AF5">
        <w:t>c.</w:t>
      </w:r>
      <w:r w:rsidR="00342639">
        <w:t> </w:t>
      </w:r>
      <w:r w:rsidRPr="00B86AF5">
        <w:t>58A, § 13 and 831 CMR 1.32.</w:t>
      </w:r>
    </w:p>
    <w:p w14:paraId="39CDFCB3" w14:textId="77777777" w:rsidR="00342639" w:rsidRDefault="00342639" w:rsidP="00A120D0">
      <w:pPr>
        <w:pStyle w:val="BodyText2"/>
      </w:pPr>
    </w:p>
    <w:p w14:paraId="70F93F38" w14:textId="76B9EAC0" w:rsidR="00A120D0" w:rsidRDefault="003C1AC2" w:rsidP="00A120D0">
      <w:pPr>
        <w:pStyle w:val="BodyText2"/>
        <w:spacing w:line="240" w:lineRule="auto"/>
      </w:pPr>
      <w:r>
        <w:rPr>
          <w:i/>
        </w:rPr>
        <w:t>Virginia DeSorgher</w:t>
      </w:r>
      <w:r w:rsidR="00A120D0">
        <w:t xml:space="preserve">, </w:t>
      </w:r>
      <w:r w:rsidR="00A120D0" w:rsidRPr="006D7591">
        <w:rPr>
          <w:i/>
        </w:rPr>
        <w:t>pro se</w:t>
      </w:r>
      <w:r w:rsidR="00D121B2">
        <w:t>, for the appellant</w:t>
      </w:r>
      <w:r w:rsidR="00A120D0">
        <w:t>.</w:t>
      </w:r>
    </w:p>
    <w:p w14:paraId="24FB2CE0" w14:textId="77777777" w:rsidR="00A120D0" w:rsidRPr="00FA584D" w:rsidRDefault="00A120D0" w:rsidP="00A120D0">
      <w:pPr>
        <w:pStyle w:val="BodyText2"/>
        <w:spacing w:line="240" w:lineRule="auto"/>
      </w:pPr>
    </w:p>
    <w:p w14:paraId="52F545A5" w14:textId="59E56B43" w:rsidR="00A120D0" w:rsidRDefault="003C1AC2" w:rsidP="00A120D0">
      <w:pPr>
        <w:pStyle w:val="BodyText2"/>
        <w:spacing w:line="240" w:lineRule="auto"/>
      </w:pPr>
      <w:r>
        <w:rPr>
          <w:i/>
        </w:rPr>
        <w:t>Audrey Murphy</w:t>
      </w:r>
      <w:r>
        <w:t xml:space="preserve">, </w:t>
      </w:r>
      <w:r w:rsidR="00C73905">
        <w:t>Chief Assessor</w:t>
      </w:r>
      <w:r w:rsidR="00A120D0">
        <w:t>, for the appellee.</w:t>
      </w:r>
    </w:p>
    <w:p w14:paraId="267DB498" w14:textId="77777777" w:rsidR="00A120D0" w:rsidRDefault="00A120D0" w:rsidP="00A120D0">
      <w:pPr>
        <w:spacing w:line="480" w:lineRule="auto"/>
        <w:jc w:val="center"/>
        <w:rPr>
          <w:rFonts w:ascii="Courier New" w:hAnsi="Courier New" w:cs="Courier New"/>
        </w:rPr>
      </w:pPr>
      <w:r>
        <w:rPr>
          <w:rFonts w:ascii="Courier New" w:hAnsi="Courier New" w:cs="Courier New"/>
          <w:b/>
        </w:rPr>
        <w:br w:type="page"/>
      </w:r>
      <w:r>
        <w:rPr>
          <w:rFonts w:ascii="Courier New" w:hAnsi="Courier New" w:cs="Courier New"/>
          <w:b/>
        </w:rPr>
        <w:lastRenderedPageBreak/>
        <w:t>FINDINGS OF FACT AND REPORT</w:t>
      </w:r>
    </w:p>
    <w:p w14:paraId="3F85E30A" w14:textId="102667BC" w:rsidR="00A120D0" w:rsidRDefault="00A120D0" w:rsidP="00A120D0">
      <w:pPr>
        <w:spacing w:line="480" w:lineRule="auto"/>
        <w:jc w:val="both"/>
        <w:rPr>
          <w:rFonts w:ascii="Courier New" w:hAnsi="Courier New" w:cs="Courier New"/>
        </w:rPr>
      </w:pPr>
      <w:r>
        <w:rPr>
          <w:rFonts w:ascii="Courier New" w:hAnsi="Courier New" w:cs="Courier New"/>
        </w:rPr>
        <w:tab/>
      </w:r>
      <w:r w:rsidRPr="001B03EC">
        <w:rPr>
          <w:rFonts w:ascii="Courier New" w:hAnsi="Courier New" w:cs="Courier New"/>
        </w:rPr>
        <w:t xml:space="preserve">On the basis of the testimony and exhibits offered into evidence at the hearing of this appeal, the </w:t>
      </w:r>
      <w:r>
        <w:rPr>
          <w:rFonts w:ascii="Courier New" w:hAnsi="Courier New" w:cs="Courier New"/>
        </w:rPr>
        <w:t>Presiding Commissioner</w:t>
      </w:r>
      <w:r w:rsidRPr="001B03EC">
        <w:rPr>
          <w:rFonts w:ascii="Courier New" w:hAnsi="Courier New" w:cs="Courier New"/>
        </w:rPr>
        <w:t xml:space="preserve"> made the following findings of fact.</w:t>
      </w:r>
      <w:r w:rsidRPr="001B03EC">
        <w:rPr>
          <w:rFonts w:ascii="Courier New" w:hAnsi="Courier New" w:cs="Courier New"/>
        </w:rPr>
        <w:br/>
      </w:r>
      <w:r>
        <w:tab/>
      </w:r>
      <w:r>
        <w:rPr>
          <w:rFonts w:ascii="Courier New" w:hAnsi="Courier New" w:cs="Courier New"/>
        </w:rPr>
        <w:t>On January 1, 2015</w:t>
      </w:r>
      <w:r w:rsidRPr="001B03EC">
        <w:rPr>
          <w:rFonts w:ascii="Courier New" w:hAnsi="Courier New" w:cs="Courier New"/>
        </w:rPr>
        <w:t>,</w:t>
      </w:r>
      <w:r w:rsidR="002653BF">
        <w:rPr>
          <w:rFonts w:ascii="Courier New" w:hAnsi="Courier New" w:cs="Courier New"/>
        </w:rPr>
        <w:t xml:space="preserve"> the appellant was</w:t>
      </w:r>
      <w:r>
        <w:rPr>
          <w:rFonts w:ascii="Courier New" w:hAnsi="Courier New" w:cs="Courier New"/>
        </w:rPr>
        <w:t xml:space="preserve"> the assessed ow</w:t>
      </w:r>
      <w:r w:rsidR="002653BF">
        <w:rPr>
          <w:rFonts w:ascii="Courier New" w:hAnsi="Courier New" w:cs="Courier New"/>
        </w:rPr>
        <w:t>ner of a condominium unit with an address of 43</w:t>
      </w:r>
      <w:r>
        <w:rPr>
          <w:rFonts w:ascii="Courier New" w:hAnsi="Courier New" w:cs="Courier New"/>
        </w:rPr>
        <w:t xml:space="preserve"> Silver</w:t>
      </w:r>
      <w:r w:rsidR="00F4080D">
        <w:rPr>
          <w:rFonts w:ascii="Courier New" w:hAnsi="Courier New" w:cs="Courier New"/>
        </w:rPr>
        <w:t xml:space="preserve"> C</w:t>
      </w:r>
      <w:r>
        <w:rPr>
          <w:rFonts w:ascii="Courier New" w:hAnsi="Courier New" w:cs="Courier New"/>
        </w:rPr>
        <w:t>rest Lane (“subject condominium”). The subject condominium is a one-s</w:t>
      </w:r>
      <w:r w:rsidR="002653BF">
        <w:rPr>
          <w:rFonts w:ascii="Courier New" w:hAnsi="Courier New" w:cs="Courier New"/>
        </w:rPr>
        <w:t>tory unit that was built in 2010</w:t>
      </w:r>
      <w:r w:rsidR="00044E3A">
        <w:rPr>
          <w:rFonts w:ascii="Courier New" w:hAnsi="Courier New" w:cs="Courier New"/>
        </w:rPr>
        <w:t xml:space="preserve"> and contains 1,</w:t>
      </w:r>
      <w:r w:rsidR="00DE4DD3">
        <w:rPr>
          <w:rFonts w:ascii="Courier New" w:hAnsi="Courier New" w:cs="Courier New"/>
        </w:rPr>
        <w:t>3</w:t>
      </w:r>
      <w:r w:rsidR="00044E3A">
        <w:rPr>
          <w:rFonts w:ascii="Courier New" w:hAnsi="Courier New" w:cs="Courier New"/>
        </w:rPr>
        <w:t>1</w:t>
      </w:r>
      <w:r w:rsidR="00DE4DD3">
        <w:rPr>
          <w:rFonts w:ascii="Courier New" w:hAnsi="Courier New" w:cs="Courier New"/>
        </w:rPr>
        <w:t>1</w:t>
      </w:r>
      <w:r>
        <w:rPr>
          <w:rFonts w:ascii="Courier New" w:hAnsi="Courier New" w:cs="Courier New"/>
        </w:rPr>
        <w:t xml:space="preserve"> square feet of finished living area, which is comprised of </w:t>
      </w:r>
      <w:r w:rsidRPr="002653BF">
        <w:rPr>
          <w:rFonts w:ascii="Courier New" w:hAnsi="Courier New" w:cs="Courier New"/>
        </w:rPr>
        <w:t>four</w:t>
      </w:r>
      <w:r>
        <w:rPr>
          <w:rFonts w:ascii="Courier New" w:hAnsi="Courier New" w:cs="Courier New"/>
        </w:rPr>
        <w:t xml:space="preserve"> rooms, including </w:t>
      </w:r>
      <w:r w:rsidRPr="002653BF">
        <w:rPr>
          <w:rFonts w:ascii="Courier New" w:hAnsi="Courier New" w:cs="Courier New"/>
        </w:rPr>
        <w:t>two</w:t>
      </w:r>
      <w:r w:rsidR="002653BF">
        <w:rPr>
          <w:rFonts w:ascii="Courier New" w:hAnsi="Courier New" w:cs="Courier New"/>
        </w:rPr>
        <w:t xml:space="preserve"> bedrooms</w:t>
      </w:r>
      <w:r w:rsidR="00537B99">
        <w:rPr>
          <w:rFonts w:ascii="Courier New" w:hAnsi="Courier New" w:cs="Courier New"/>
        </w:rPr>
        <w:t>,</w:t>
      </w:r>
      <w:r w:rsidR="002653BF">
        <w:rPr>
          <w:rFonts w:ascii="Courier New" w:hAnsi="Courier New" w:cs="Courier New"/>
        </w:rPr>
        <w:t xml:space="preserve"> as well as one full bathroom and one three-quarter bathroom</w:t>
      </w:r>
      <w:r>
        <w:rPr>
          <w:rFonts w:ascii="Courier New" w:hAnsi="Courier New" w:cs="Courier New"/>
        </w:rPr>
        <w:t xml:space="preserve">. </w:t>
      </w:r>
      <w:r w:rsidR="002A6CC1">
        <w:rPr>
          <w:rFonts w:ascii="Courier New" w:hAnsi="Courier New" w:cs="Courier New"/>
        </w:rPr>
        <w:t xml:space="preserve"> The appellant purchased the subject condominium on </w:t>
      </w:r>
      <w:r w:rsidR="003C3F63">
        <w:rPr>
          <w:rFonts w:ascii="Courier New" w:hAnsi="Courier New" w:cs="Courier New"/>
        </w:rPr>
        <w:t>October 22, 2012</w:t>
      </w:r>
      <w:r w:rsidR="00FE5E36">
        <w:rPr>
          <w:rFonts w:ascii="Courier New" w:hAnsi="Courier New" w:cs="Courier New"/>
        </w:rPr>
        <w:t xml:space="preserve"> for $257,000.</w:t>
      </w:r>
      <w:r w:rsidR="002A6CC1">
        <w:rPr>
          <w:rFonts w:ascii="Courier New" w:hAnsi="Courier New" w:cs="Courier New"/>
        </w:rPr>
        <w:t xml:space="preserve"> </w:t>
      </w:r>
    </w:p>
    <w:p w14:paraId="0E63DCD7" w14:textId="2C66569D" w:rsidR="00A120D0" w:rsidRDefault="00A120D0" w:rsidP="00A120D0">
      <w:pPr>
        <w:spacing w:line="480" w:lineRule="auto"/>
        <w:jc w:val="both"/>
        <w:rPr>
          <w:rFonts w:ascii="Courier New" w:hAnsi="Courier New" w:cs="Courier New"/>
        </w:rPr>
      </w:pPr>
      <w:r>
        <w:rPr>
          <w:rFonts w:ascii="Courier New" w:hAnsi="Courier New" w:cs="Courier New"/>
        </w:rPr>
        <w:tab/>
        <w:t>For the fiscal year at issue, the assessors valued</w:t>
      </w:r>
      <w:r w:rsidR="00DE4DD3">
        <w:rPr>
          <w:rFonts w:ascii="Courier New" w:hAnsi="Courier New" w:cs="Courier New"/>
        </w:rPr>
        <w:t xml:space="preserve"> the subject condominium at $264,6</w:t>
      </w:r>
      <w:r>
        <w:rPr>
          <w:rFonts w:ascii="Courier New" w:hAnsi="Courier New" w:cs="Courier New"/>
        </w:rPr>
        <w:t>00 and assessed a tax, at the rate of $</w:t>
      </w:r>
      <w:r w:rsidR="00E87D88">
        <w:rPr>
          <w:rFonts w:ascii="Courier New" w:hAnsi="Courier New" w:cs="Courier New"/>
        </w:rPr>
        <w:t>21.81</w:t>
      </w:r>
      <w:r>
        <w:rPr>
          <w:rFonts w:ascii="Courier New" w:hAnsi="Courier New" w:cs="Courier New"/>
        </w:rPr>
        <w:t xml:space="preserve"> per $1,000, in the </w:t>
      </w:r>
      <w:r w:rsidR="00E87D88">
        <w:rPr>
          <w:rFonts w:ascii="Courier New" w:hAnsi="Courier New" w:cs="Courier New"/>
        </w:rPr>
        <w:t xml:space="preserve">total </w:t>
      </w:r>
      <w:r>
        <w:rPr>
          <w:rFonts w:ascii="Courier New" w:hAnsi="Courier New" w:cs="Courier New"/>
        </w:rPr>
        <w:t>amount of $</w:t>
      </w:r>
      <w:r w:rsidR="00255E26">
        <w:rPr>
          <w:rFonts w:ascii="Courier New" w:hAnsi="Courier New" w:cs="Courier New"/>
        </w:rPr>
        <w:t>5,770.92</w:t>
      </w:r>
      <w:r w:rsidR="004F50CC">
        <w:rPr>
          <w:rFonts w:ascii="Courier New" w:hAnsi="Courier New" w:cs="Courier New"/>
        </w:rPr>
        <w:t>.  The appellant</w:t>
      </w:r>
      <w:r>
        <w:rPr>
          <w:rFonts w:ascii="Courier New" w:hAnsi="Courier New" w:cs="Courier New"/>
        </w:rPr>
        <w:t xml:space="preserve"> paid the tax due without inc</w:t>
      </w:r>
      <w:r w:rsidR="004F50CC">
        <w:rPr>
          <w:rFonts w:ascii="Courier New" w:hAnsi="Courier New" w:cs="Courier New"/>
        </w:rPr>
        <w:t>urring interest.  On January 19, 2016, the appellant</w:t>
      </w:r>
      <w:r>
        <w:rPr>
          <w:rFonts w:ascii="Courier New" w:hAnsi="Courier New" w:cs="Courier New"/>
        </w:rPr>
        <w:t xml:space="preserve"> </w:t>
      </w:r>
      <w:r w:rsidR="00303ABE">
        <w:rPr>
          <w:rFonts w:ascii="Courier New" w:hAnsi="Courier New" w:cs="Courier New"/>
        </w:rPr>
        <w:t xml:space="preserve">timely </w:t>
      </w:r>
      <w:r>
        <w:rPr>
          <w:rFonts w:ascii="Courier New" w:hAnsi="Courier New" w:cs="Courier New"/>
        </w:rPr>
        <w:t>filed an abatement application with the appellee</w:t>
      </w:r>
      <w:r w:rsidR="004F50CC">
        <w:rPr>
          <w:rFonts w:ascii="Courier New" w:hAnsi="Courier New" w:cs="Courier New"/>
        </w:rPr>
        <w:t>, which the appellee granted in part</w:t>
      </w:r>
      <w:r w:rsidR="00FE5E36">
        <w:rPr>
          <w:rFonts w:ascii="Courier New" w:hAnsi="Courier New" w:cs="Courier New"/>
        </w:rPr>
        <w:t xml:space="preserve"> on February 23, 2016</w:t>
      </w:r>
      <w:r w:rsidR="004F50CC">
        <w:rPr>
          <w:rFonts w:ascii="Courier New" w:hAnsi="Courier New" w:cs="Courier New"/>
        </w:rPr>
        <w:t>, reducing the assessment to $261,900</w:t>
      </w:r>
      <w:r>
        <w:rPr>
          <w:rFonts w:ascii="Courier New" w:hAnsi="Courier New" w:cs="Courier New"/>
        </w:rPr>
        <w:t xml:space="preserve">. </w:t>
      </w:r>
      <w:r w:rsidR="004F50CC">
        <w:rPr>
          <w:rFonts w:ascii="Courier New" w:hAnsi="Courier New" w:cs="Courier New"/>
        </w:rPr>
        <w:t xml:space="preserve"> </w:t>
      </w:r>
      <w:r>
        <w:rPr>
          <w:rFonts w:ascii="Courier New" w:hAnsi="Courier New" w:cs="Courier New"/>
        </w:rPr>
        <w:t>Not satisfied wit</w:t>
      </w:r>
      <w:r w:rsidR="004F50CC">
        <w:rPr>
          <w:rFonts w:ascii="Courier New" w:hAnsi="Courier New" w:cs="Courier New"/>
        </w:rPr>
        <w:t>h that abatement, the appellant</w:t>
      </w:r>
      <w:r>
        <w:rPr>
          <w:rFonts w:ascii="Courier New" w:hAnsi="Courier New" w:cs="Courier New"/>
        </w:rPr>
        <w:t xml:space="preserve"> seasonably filed an appeal with the Appellate</w:t>
      </w:r>
      <w:r w:rsidR="004F50CC">
        <w:rPr>
          <w:rFonts w:ascii="Courier New" w:hAnsi="Courier New" w:cs="Courier New"/>
        </w:rPr>
        <w:t xml:space="preserve"> Tax Board (“Board”) on April 14</w:t>
      </w:r>
      <w:r>
        <w:rPr>
          <w:rFonts w:ascii="Courier New" w:hAnsi="Courier New" w:cs="Courier New"/>
        </w:rPr>
        <w:t xml:space="preserve">, 2016.  On the basis of these facts, the Presiding Commissioner </w:t>
      </w:r>
      <w:r>
        <w:rPr>
          <w:rFonts w:ascii="Courier New" w:hAnsi="Courier New" w:cs="Courier New"/>
        </w:rPr>
        <w:lastRenderedPageBreak/>
        <w:t>found and ruled that the Board had jurisdiction over the instant appeal.</w:t>
      </w:r>
    </w:p>
    <w:p w14:paraId="3966CC66" w14:textId="6AF4D097" w:rsidR="00CD5376" w:rsidRDefault="00CD5376" w:rsidP="00CD5376">
      <w:pPr>
        <w:spacing w:line="480" w:lineRule="auto"/>
        <w:ind w:firstLine="720"/>
        <w:jc w:val="both"/>
        <w:rPr>
          <w:rFonts w:ascii="Courier New" w:hAnsi="Courier New" w:cs="Courier New"/>
        </w:rPr>
      </w:pPr>
      <w:r>
        <w:rPr>
          <w:rFonts w:ascii="Courier New" w:hAnsi="Courier New" w:cs="Courier New"/>
        </w:rPr>
        <w:t>The instant appeal is one of four related appeals pertaining to similarly situated condominiums in the Silver Crest Lane develop</w:t>
      </w:r>
      <w:r w:rsidR="003C3F63">
        <w:rPr>
          <w:rFonts w:ascii="Courier New" w:hAnsi="Courier New" w:cs="Courier New"/>
        </w:rPr>
        <w:t xml:space="preserve">ment.  The </w:t>
      </w:r>
      <w:r w:rsidR="00D848C1">
        <w:rPr>
          <w:rFonts w:ascii="Courier New" w:hAnsi="Courier New" w:cs="Courier New"/>
        </w:rPr>
        <w:t>taxpayers</w:t>
      </w:r>
      <w:r w:rsidR="003C3F63">
        <w:rPr>
          <w:rFonts w:ascii="Courier New" w:hAnsi="Courier New" w:cs="Courier New"/>
        </w:rPr>
        <w:t xml:space="preserve"> in each of these four cases relied on numerous property record cards of condominiums and houses in the town in an attempt to demonstrate that their own condominium was overvalued for the fiscal year at issue.  </w:t>
      </w:r>
      <w:r>
        <w:rPr>
          <w:rFonts w:ascii="Courier New" w:hAnsi="Courier New" w:cs="Courier New"/>
        </w:rPr>
        <w:t xml:space="preserve"> </w:t>
      </w:r>
    </w:p>
    <w:p w14:paraId="69A40CC2" w14:textId="27D08815" w:rsidR="002A6CC1" w:rsidRDefault="00D70F4F" w:rsidP="00D65095">
      <w:pPr>
        <w:spacing w:line="480" w:lineRule="auto"/>
        <w:ind w:firstLine="720"/>
        <w:jc w:val="both"/>
        <w:rPr>
          <w:rFonts w:ascii="Courier New" w:hAnsi="Courier New" w:cs="Courier New"/>
        </w:rPr>
      </w:pPr>
      <w:r>
        <w:rPr>
          <w:rFonts w:ascii="Courier New" w:hAnsi="Courier New" w:cs="Courier New"/>
        </w:rPr>
        <w:t>The four Silver Crest</w:t>
      </w:r>
      <w:r w:rsidR="00CD5376">
        <w:rPr>
          <w:rFonts w:ascii="Courier New" w:hAnsi="Courier New" w:cs="Courier New"/>
        </w:rPr>
        <w:t xml:space="preserve"> </w:t>
      </w:r>
      <w:r w:rsidR="00D848C1">
        <w:rPr>
          <w:rFonts w:ascii="Courier New" w:hAnsi="Courier New" w:cs="Courier New"/>
        </w:rPr>
        <w:t xml:space="preserve">Lane </w:t>
      </w:r>
      <w:r w:rsidR="00CD5376">
        <w:rPr>
          <w:rFonts w:ascii="Courier New" w:hAnsi="Courier New" w:cs="Courier New"/>
        </w:rPr>
        <w:t>condominiums were sufficiently comparable to one another, and pu</w:t>
      </w:r>
      <w:r w:rsidR="0008745B">
        <w:rPr>
          <w:rFonts w:ascii="Courier New" w:hAnsi="Courier New" w:cs="Courier New"/>
        </w:rPr>
        <w:t>rchased from the same developer</w:t>
      </w:r>
      <w:r w:rsidR="00CD5376">
        <w:rPr>
          <w:rFonts w:ascii="Courier New" w:hAnsi="Courier New" w:cs="Courier New"/>
        </w:rPr>
        <w:t xml:space="preserve"> sufficiently close to the assessment date, such that their sale prices were persuasive evidence of fair market value for each other.  Pertinent information from the sales of these four comparable condominium units is summarized below:</w:t>
      </w:r>
    </w:p>
    <w:tbl>
      <w:tblPr>
        <w:tblStyle w:val="TableGrid"/>
        <w:tblW w:w="9140" w:type="dxa"/>
        <w:tblInd w:w="-162" w:type="dxa"/>
        <w:tblLayout w:type="fixed"/>
        <w:tblLook w:val="04A0" w:firstRow="1" w:lastRow="0" w:firstColumn="1" w:lastColumn="0" w:noHBand="0" w:noVBand="1"/>
      </w:tblPr>
      <w:tblGrid>
        <w:gridCol w:w="2430"/>
        <w:gridCol w:w="1800"/>
        <w:gridCol w:w="1710"/>
        <w:gridCol w:w="1620"/>
        <w:gridCol w:w="1580"/>
      </w:tblGrid>
      <w:tr w:rsidR="002A6CC1" w14:paraId="1DA3BF6F" w14:textId="0943FFEF" w:rsidTr="00F6015E">
        <w:tc>
          <w:tcPr>
            <w:tcW w:w="2430" w:type="dxa"/>
          </w:tcPr>
          <w:p w14:paraId="3FDF6A25" w14:textId="77777777" w:rsidR="002A6CC1" w:rsidRPr="00957A02" w:rsidRDefault="002A6CC1" w:rsidP="00D6688E">
            <w:pPr>
              <w:rPr>
                <w:rFonts w:ascii="Courier New" w:hAnsi="Courier New" w:cs="Courier New"/>
                <w:b/>
                <w:sz w:val="20"/>
                <w:szCs w:val="20"/>
              </w:rPr>
            </w:pPr>
            <w:r w:rsidRPr="00957A02">
              <w:rPr>
                <w:rFonts w:ascii="Courier New" w:hAnsi="Courier New" w:cs="Courier New"/>
                <w:b/>
                <w:sz w:val="20"/>
                <w:szCs w:val="20"/>
              </w:rPr>
              <w:t>Property</w:t>
            </w:r>
          </w:p>
        </w:tc>
        <w:tc>
          <w:tcPr>
            <w:tcW w:w="1800" w:type="dxa"/>
          </w:tcPr>
          <w:p w14:paraId="17E4ABF9" w14:textId="7D3EB9AD" w:rsidR="002A6CC1" w:rsidRDefault="002A6CC1" w:rsidP="00D6688E">
            <w:pPr>
              <w:rPr>
                <w:rFonts w:ascii="Courier New" w:hAnsi="Courier New" w:cs="Courier New"/>
                <w:b/>
                <w:sz w:val="20"/>
                <w:szCs w:val="20"/>
              </w:rPr>
            </w:pPr>
            <w:r>
              <w:rPr>
                <w:rFonts w:ascii="Courier New" w:hAnsi="Courier New" w:cs="Courier New"/>
                <w:b/>
                <w:sz w:val="20"/>
                <w:szCs w:val="20"/>
              </w:rPr>
              <w:t>Subject condominium</w:t>
            </w:r>
          </w:p>
          <w:p w14:paraId="2920C8F1" w14:textId="6CB36D31" w:rsidR="002A6CC1" w:rsidRPr="00957A02" w:rsidRDefault="002A6CC1" w:rsidP="00D6688E">
            <w:pPr>
              <w:rPr>
                <w:rFonts w:ascii="Courier New" w:hAnsi="Courier New" w:cs="Courier New"/>
                <w:b/>
                <w:sz w:val="20"/>
                <w:szCs w:val="20"/>
              </w:rPr>
            </w:pPr>
            <w:r>
              <w:rPr>
                <w:rFonts w:ascii="Courier New" w:hAnsi="Courier New" w:cs="Courier New"/>
                <w:b/>
                <w:sz w:val="20"/>
                <w:szCs w:val="20"/>
              </w:rPr>
              <w:t>(</w:t>
            </w:r>
            <w:r w:rsidRPr="00957A02">
              <w:rPr>
                <w:rFonts w:ascii="Courier New" w:hAnsi="Courier New" w:cs="Courier New"/>
                <w:b/>
                <w:sz w:val="20"/>
                <w:szCs w:val="20"/>
              </w:rPr>
              <w:t>43 Sil</w:t>
            </w:r>
            <w:r>
              <w:rPr>
                <w:rFonts w:ascii="Courier New" w:hAnsi="Courier New" w:cs="Courier New"/>
                <w:b/>
                <w:sz w:val="20"/>
                <w:szCs w:val="20"/>
              </w:rPr>
              <w:t>v</w:t>
            </w:r>
            <w:r w:rsidRPr="00957A02">
              <w:rPr>
                <w:rFonts w:ascii="Courier New" w:hAnsi="Courier New" w:cs="Courier New"/>
                <w:b/>
                <w:sz w:val="20"/>
                <w:szCs w:val="20"/>
              </w:rPr>
              <w:t>er Crest Lane</w:t>
            </w:r>
            <w:r>
              <w:rPr>
                <w:rFonts w:ascii="Courier New" w:hAnsi="Courier New" w:cs="Courier New"/>
                <w:b/>
                <w:sz w:val="20"/>
                <w:szCs w:val="20"/>
              </w:rPr>
              <w:t>)</w:t>
            </w:r>
          </w:p>
        </w:tc>
        <w:tc>
          <w:tcPr>
            <w:tcW w:w="1710" w:type="dxa"/>
          </w:tcPr>
          <w:p w14:paraId="69C997D2" w14:textId="77777777" w:rsidR="002A6CC1" w:rsidRPr="00957A02" w:rsidRDefault="002A6CC1" w:rsidP="00D6688E">
            <w:pPr>
              <w:rPr>
                <w:rFonts w:ascii="Courier New" w:hAnsi="Courier New" w:cs="Courier New"/>
                <w:b/>
                <w:sz w:val="20"/>
                <w:szCs w:val="20"/>
              </w:rPr>
            </w:pPr>
            <w:r w:rsidRPr="00957A02">
              <w:rPr>
                <w:rFonts w:ascii="Courier New" w:hAnsi="Courier New" w:cs="Courier New"/>
                <w:b/>
                <w:sz w:val="20"/>
                <w:szCs w:val="20"/>
              </w:rPr>
              <w:t>13 Silver Crest Lane</w:t>
            </w:r>
          </w:p>
        </w:tc>
        <w:tc>
          <w:tcPr>
            <w:tcW w:w="1620" w:type="dxa"/>
          </w:tcPr>
          <w:p w14:paraId="75D23E0F" w14:textId="77777777" w:rsidR="002A6CC1" w:rsidRPr="00957A02" w:rsidRDefault="002A6CC1" w:rsidP="00D6688E">
            <w:pPr>
              <w:rPr>
                <w:rFonts w:ascii="Courier New" w:hAnsi="Courier New" w:cs="Courier New"/>
                <w:b/>
                <w:sz w:val="20"/>
                <w:szCs w:val="20"/>
              </w:rPr>
            </w:pPr>
            <w:r w:rsidRPr="00957A02">
              <w:rPr>
                <w:rFonts w:ascii="Courier New" w:hAnsi="Courier New" w:cs="Courier New"/>
                <w:b/>
                <w:sz w:val="20"/>
                <w:szCs w:val="20"/>
              </w:rPr>
              <w:t>4 Silver Crest Lane</w:t>
            </w:r>
          </w:p>
        </w:tc>
        <w:tc>
          <w:tcPr>
            <w:tcW w:w="1580" w:type="dxa"/>
          </w:tcPr>
          <w:p w14:paraId="3AA0470B" w14:textId="135DFDF7" w:rsidR="002A6CC1" w:rsidRPr="00957A02" w:rsidRDefault="002A6CC1" w:rsidP="00D6688E">
            <w:pPr>
              <w:rPr>
                <w:rFonts w:ascii="Courier New" w:hAnsi="Courier New" w:cs="Courier New"/>
                <w:b/>
                <w:sz w:val="20"/>
                <w:szCs w:val="20"/>
              </w:rPr>
            </w:pPr>
            <w:r>
              <w:rPr>
                <w:rFonts w:ascii="Courier New" w:hAnsi="Courier New" w:cs="Courier New"/>
                <w:b/>
                <w:sz w:val="20"/>
                <w:szCs w:val="20"/>
              </w:rPr>
              <w:t>9 Silver Crest Lane</w:t>
            </w:r>
          </w:p>
        </w:tc>
      </w:tr>
      <w:tr w:rsidR="002A6CC1" w14:paraId="6BB8229F" w14:textId="6B8614AA" w:rsidTr="00F6015E">
        <w:tc>
          <w:tcPr>
            <w:tcW w:w="2430" w:type="dxa"/>
          </w:tcPr>
          <w:p w14:paraId="2DF3D413" w14:textId="3AA62E9F" w:rsidR="002A6CC1" w:rsidRPr="00957A02" w:rsidRDefault="002A6CC1" w:rsidP="00D6688E">
            <w:pPr>
              <w:rPr>
                <w:rFonts w:ascii="Courier New" w:hAnsi="Courier New" w:cs="Courier New"/>
                <w:b/>
                <w:sz w:val="20"/>
                <w:szCs w:val="20"/>
              </w:rPr>
            </w:pPr>
            <w:r w:rsidRPr="00957A02">
              <w:rPr>
                <w:rFonts w:ascii="Courier New" w:hAnsi="Courier New" w:cs="Courier New"/>
                <w:b/>
                <w:sz w:val="20"/>
                <w:szCs w:val="20"/>
              </w:rPr>
              <w:t>Year built</w:t>
            </w:r>
          </w:p>
        </w:tc>
        <w:tc>
          <w:tcPr>
            <w:tcW w:w="1800" w:type="dxa"/>
          </w:tcPr>
          <w:p w14:paraId="07B18F09"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2010</w:t>
            </w:r>
          </w:p>
        </w:tc>
        <w:tc>
          <w:tcPr>
            <w:tcW w:w="1710" w:type="dxa"/>
          </w:tcPr>
          <w:p w14:paraId="41C9097C"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2010</w:t>
            </w:r>
          </w:p>
        </w:tc>
        <w:tc>
          <w:tcPr>
            <w:tcW w:w="1620" w:type="dxa"/>
          </w:tcPr>
          <w:p w14:paraId="587DC33F"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2015</w:t>
            </w:r>
          </w:p>
        </w:tc>
        <w:tc>
          <w:tcPr>
            <w:tcW w:w="1580" w:type="dxa"/>
          </w:tcPr>
          <w:p w14:paraId="6868E9A0" w14:textId="705B2FB4" w:rsidR="002A6CC1" w:rsidRDefault="002A6CC1" w:rsidP="00D6688E">
            <w:pPr>
              <w:rPr>
                <w:rFonts w:ascii="Courier New" w:hAnsi="Courier New" w:cs="Courier New"/>
                <w:sz w:val="20"/>
                <w:szCs w:val="20"/>
              </w:rPr>
            </w:pPr>
            <w:r>
              <w:rPr>
                <w:rFonts w:ascii="Courier New" w:hAnsi="Courier New" w:cs="Courier New"/>
                <w:sz w:val="20"/>
                <w:szCs w:val="20"/>
              </w:rPr>
              <w:t>2013</w:t>
            </w:r>
          </w:p>
        </w:tc>
      </w:tr>
      <w:tr w:rsidR="002A6CC1" w14:paraId="66AEB42D" w14:textId="037EB44B" w:rsidTr="00F6015E">
        <w:tc>
          <w:tcPr>
            <w:tcW w:w="2430" w:type="dxa"/>
          </w:tcPr>
          <w:p w14:paraId="5160509A" w14:textId="4CACCC6A" w:rsidR="002A6CC1" w:rsidRPr="00957A02" w:rsidRDefault="002A6CC1" w:rsidP="00D848C1">
            <w:pPr>
              <w:rPr>
                <w:rFonts w:ascii="Courier New" w:hAnsi="Courier New" w:cs="Courier New"/>
                <w:b/>
                <w:sz w:val="20"/>
                <w:szCs w:val="20"/>
              </w:rPr>
            </w:pPr>
            <w:r>
              <w:rPr>
                <w:rFonts w:ascii="Courier New" w:hAnsi="Courier New" w:cs="Courier New"/>
                <w:b/>
                <w:sz w:val="20"/>
                <w:szCs w:val="20"/>
              </w:rPr>
              <w:t>Purchase date</w:t>
            </w:r>
          </w:p>
        </w:tc>
        <w:tc>
          <w:tcPr>
            <w:tcW w:w="1800" w:type="dxa"/>
          </w:tcPr>
          <w:p w14:paraId="4ED35535" w14:textId="4431FC67" w:rsidR="002A6CC1" w:rsidRDefault="002A6CC1" w:rsidP="00D848C1">
            <w:pPr>
              <w:rPr>
                <w:rFonts w:ascii="Courier New" w:hAnsi="Courier New" w:cs="Courier New"/>
                <w:sz w:val="20"/>
                <w:szCs w:val="20"/>
              </w:rPr>
            </w:pPr>
            <w:r>
              <w:rPr>
                <w:rFonts w:ascii="Courier New" w:hAnsi="Courier New" w:cs="Courier New"/>
                <w:sz w:val="20"/>
                <w:szCs w:val="20"/>
              </w:rPr>
              <w:t>10/22/2012</w:t>
            </w:r>
          </w:p>
        </w:tc>
        <w:tc>
          <w:tcPr>
            <w:tcW w:w="1710" w:type="dxa"/>
          </w:tcPr>
          <w:p w14:paraId="5EE46A11" w14:textId="4376EB69" w:rsidR="002A6CC1" w:rsidRPr="00DD07A2" w:rsidRDefault="002A6CC1" w:rsidP="00D848C1">
            <w:pPr>
              <w:rPr>
                <w:rFonts w:ascii="Courier New" w:hAnsi="Courier New" w:cs="Courier New"/>
                <w:sz w:val="20"/>
                <w:szCs w:val="20"/>
              </w:rPr>
            </w:pPr>
            <w:r>
              <w:rPr>
                <w:rFonts w:ascii="Courier New" w:hAnsi="Courier New" w:cs="Courier New"/>
                <w:sz w:val="20"/>
                <w:szCs w:val="20"/>
              </w:rPr>
              <w:t>08/17/2012</w:t>
            </w:r>
          </w:p>
        </w:tc>
        <w:tc>
          <w:tcPr>
            <w:tcW w:w="1620" w:type="dxa"/>
          </w:tcPr>
          <w:p w14:paraId="750BF479" w14:textId="18139CE6" w:rsidR="002A6CC1" w:rsidRPr="00DD07A2" w:rsidRDefault="002A6CC1" w:rsidP="00D848C1">
            <w:pPr>
              <w:rPr>
                <w:rFonts w:ascii="Courier New" w:hAnsi="Courier New" w:cs="Courier New"/>
                <w:sz w:val="20"/>
                <w:szCs w:val="20"/>
              </w:rPr>
            </w:pPr>
            <w:r>
              <w:rPr>
                <w:rFonts w:ascii="Courier New" w:hAnsi="Courier New" w:cs="Courier New"/>
                <w:sz w:val="20"/>
                <w:szCs w:val="20"/>
              </w:rPr>
              <w:t>09/01/2015</w:t>
            </w:r>
          </w:p>
        </w:tc>
        <w:tc>
          <w:tcPr>
            <w:tcW w:w="1580" w:type="dxa"/>
          </w:tcPr>
          <w:p w14:paraId="34AA2902" w14:textId="4C955611" w:rsidR="002A6CC1" w:rsidRDefault="002A6CC1" w:rsidP="00D848C1">
            <w:pPr>
              <w:rPr>
                <w:rFonts w:ascii="Courier New" w:hAnsi="Courier New" w:cs="Courier New"/>
                <w:sz w:val="20"/>
                <w:szCs w:val="20"/>
              </w:rPr>
            </w:pPr>
            <w:r>
              <w:rPr>
                <w:rFonts w:ascii="Courier New" w:hAnsi="Courier New" w:cs="Courier New"/>
                <w:sz w:val="20"/>
                <w:szCs w:val="20"/>
              </w:rPr>
              <w:t>08/21/2014</w:t>
            </w:r>
          </w:p>
        </w:tc>
      </w:tr>
      <w:tr w:rsidR="00D848C1" w14:paraId="274F0C74" w14:textId="77777777" w:rsidTr="00F6015E">
        <w:tc>
          <w:tcPr>
            <w:tcW w:w="2430" w:type="dxa"/>
          </w:tcPr>
          <w:p w14:paraId="0FA7286E" w14:textId="539E40DD" w:rsidR="00D848C1" w:rsidRDefault="00D848C1" w:rsidP="00D6688E">
            <w:pPr>
              <w:rPr>
                <w:rFonts w:ascii="Courier New" w:hAnsi="Courier New" w:cs="Courier New"/>
                <w:b/>
                <w:sz w:val="20"/>
                <w:szCs w:val="20"/>
              </w:rPr>
            </w:pPr>
            <w:r>
              <w:rPr>
                <w:rFonts w:ascii="Courier New" w:hAnsi="Courier New" w:cs="Courier New"/>
                <w:b/>
                <w:sz w:val="20"/>
                <w:szCs w:val="20"/>
              </w:rPr>
              <w:t>Sale price</w:t>
            </w:r>
          </w:p>
        </w:tc>
        <w:tc>
          <w:tcPr>
            <w:tcW w:w="1800" w:type="dxa"/>
          </w:tcPr>
          <w:p w14:paraId="1AC6B065" w14:textId="22317993" w:rsidR="00D848C1" w:rsidRDefault="00D848C1" w:rsidP="00D6688E">
            <w:pPr>
              <w:rPr>
                <w:rFonts w:ascii="Courier New" w:hAnsi="Courier New" w:cs="Courier New"/>
                <w:sz w:val="20"/>
                <w:szCs w:val="20"/>
              </w:rPr>
            </w:pPr>
            <w:r>
              <w:rPr>
                <w:rFonts w:ascii="Courier New" w:hAnsi="Courier New" w:cs="Courier New"/>
                <w:sz w:val="20"/>
                <w:szCs w:val="20"/>
              </w:rPr>
              <w:t>$257,000</w:t>
            </w:r>
          </w:p>
        </w:tc>
        <w:tc>
          <w:tcPr>
            <w:tcW w:w="1710" w:type="dxa"/>
          </w:tcPr>
          <w:p w14:paraId="5369E184" w14:textId="17BEABBC" w:rsidR="00D848C1" w:rsidRDefault="00D848C1" w:rsidP="00D6688E">
            <w:pPr>
              <w:rPr>
                <w:rFonts w:ascii="Courier New" w:hAnsi="Courier New" w:cs="Courier New"/>
                <w:sz w:val="20"/>
                <w:szCs w:val="20"/>
              </w:rPr>
            </w:pPr>
            <w:r>
              <w:rPr>
                <w:rFonts w:ascii="Courier New" w:hAnsi="Courier New" w:cs="Courier New"/>
                <w:sz w:val="20"/>
                <w:szCs w:val="20"/>
              </w:rPr>
              <w:t>$249,900</w:t>
            </w:r>
          </w:p>
        </w:tc>
        <w:tc>
          <w:tcPr>
            <w:tcW w:w="1620" w:type="dxa"/>
          </w:tcPr>
          <w:p w14:paraId="1FFD6217" w14:textId="5AA2727B" w:rsidR="00D848C1" w:rsidRDefault="00D848C1" w:rsidP="00D6688E">
            <w:pPr>
              <w:rPr>
                <w:rFonts w:ascii="Courier New" w:hAnsi="Courier New" w:cs="Courier New"/>
                <w:sz w:val="20"/>
                <w:szCs w:val="20"/>
              </w:rPr>
            </w:pPr>
            <w:r>
              <w:rPr>
                <w:rFonts w:ascii="Courier New" w:hAnsi="Courier New" w:cs="Courier New"/>
                <w:sz w:val="20"/>
                <w:szCs w:val="20"/>
              </w:rPr>
              <w:t>$254,900</w:t>
            </w:r>
          </w:p>
        </w:tc>
        <w:tc>
          <w:tcPr>
            <w:tcW w:w="1580" w:type="dxa"/>
          </w:tcPr>
          <w:p w14:paraId="56A8DDBA" w14:textId="24222294" w:rsidR="00D848C1" w:rsidRDefault="00D848C1" w:rsidP="00743BA2">
            <w:pPr>
              <w:rPr>
                <w:rFonts w:ascii="Courier New" w:hAnsi="Courier New" w:cs="Courier New"/>
                <w:sz w:val="20"/>
                <w:szCs w:val="20"/>
              </w:rPr>
            </w:pPr>
            <w:r>
              <w:rPr>
                <w:rFonts w:ascii="Courier New" w:hAnsi="Courier New" w:cs="Courier New"/>
                <w:sz w:val="20"/>
                <w:szCs w:val="20"/>
              </w:rPr>
              <w:t>$258,900</w:t>
            </w:r>
          </w:p>
        </w:tc>
      </w:tr>
      <w:tr w:rsidR="002A6CC1" w14:paraId="3824D016" w14:textId="151F374A" w:rsidTr="00F6015E">
        <w:tc>
          <w:tcPr>
            <w:tcW w:w="2430" w:type="dxa"/>
          </w:tcPr>
          <w:p w14:paraId="574303AE" w14:textId="77777777" w:rsidR="002A6CC1" w:rsidRPr="00957A02" w:rsidRDefault="002A6CC1" w:rsidP="00D6688E">
            <w:pPr>
              <w:rPr>
                <w:rFonts w:ascii="Courier New" w:hAnsi="Courier New" w:cs="Courier New"/>
                <w:b/>
                <w:sz w:val="20"/>
                <w:szCs w:val="20"/>
              </w:rPr>
            </w:pPr>
            <w:r w:rsidRPr="00957A02">
              <w:rPr>
                <w:rFonts w:ascii="Courier New" w:hAnsi="Courier New" w:cs="Courier New"/>
                <w:b/>
                <w:sz w:val="20"/>
                <w:szCs w:val="20"/>
              </w:rPr>
              <w:t>Building style</w:t>
            </w:r>
          </w:p>
        </w:tc>
        <w:tc>
          <w:tcPr>
            <w:tcW w:w="1800" w:type="dxa"/>
          </w:tcPr>
          <w:p w14:paraId="78ED5BA0"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1-story condominium</w:t>
            </w:r>
          </w:p>
        </w:tc>
        <w:tc>
          <w:tcPr>
            <w:tcW w:w="1710" w:type="dxa"/>
          </w:tcPr>
          <w:p w14:paraId="44E0FCD0"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1-story condominium</w:t>
            </w:r>
          </w:p>
        </w:tc>
        <w:tc>
          <w:tcPr>
            <w:tcW w:w="1620" w:type="dxa"/>
          </w:tcPr>
          <w:p w14:paraId="064FA2CA"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1-story condominium</w:t>
            </w:r>
          </w:p>
        </w:tc>
        <w:tc>
          <w:tcPr>
            <w:tcW w:w="1580" w:type="dxa"/>
          </w:tcPr>
          <w:p w14:paraId="6F9B3751" w14:textId="7A5585ED" w:rsidR="002A6CC1" w:rsidRDefault="002A6CC1" w:rsidP="00D6688E">
            <w:pPr>
              <w:rPr>
                <w:rFonts w:ascii="Courier New" w:hAnsi="Courier New" w:cs="Courier New"/>
                <w:sz w:val="20"/>
                <w:szCs w:val="20"/>
              </w:rPr>
            </w:pPr>
            <w:r>
              <w:rPr>
                <w:rFonts w:ascii="Courier New" w:hAnsi="Courier New" w:cs="Courier New"/>
                <w:sz w:val="20"/>
                <w:szCs w:val="20"/>
              </w:rPr>
              <w:t>1-story condominium</w:t>
            </w:r>
          </w:p>
        </w:tc>
      </w:tr>
      <w:tr w:rsidR="002A6CC1" w14:paraId="250A9A04" w14:textId="24AD0E09" w:rsidTr="00F6015E">
        <w:tc>
          <w:tcPr>
            <w:tcW w:w="2430" w:type="dxa"/>
          </w:tcPr>
          <w:p w14:paraId="774FB860" w14:textId="77777777" w:rsidR="002A6CC1" w:rsidRPr="00957A02" w:rsidRDefault="002A6CC1" w:rsidP="00D6688E">
            <w:pPr>
              <w:rPr>
                <w:rFonts w:ascii="Courier New" w:hAnsi="Courier New" w:cs="Courier New"/>
                <w:b/>
                <w:sz w:val="20"/>
                <w:szCs w:val="20"/>
              </w:rPr>
            </w:pPr>
            <w:r w:rsidRPr="00957A02">
              <w:rPr>
                <w:rFonts w:ascii="Courier New" w:hAnsi="Courier New" w:cs="Courier New"/>
                <w:b/>
                <w:sz w:val="20"/>
                <w:szCs w:val="20"/>
              </w:rPr>
              <w:t>Total finished area (sf)</w:t>
            </w:r>
          </w:p>
        </w:tc>
        <w:tc>
          <w:tcPr>
            <w:tcW w:w="1800" w:type="dxa"/>
          </w:tcPr>
          <w:p w14:paraId="54EDA265" w14:textId="765661C6" w:rsidR="002A6CC1" w:rsidRPr="00DD07A2" w:rsidRDefault="00B1563E" w:rsidP="00D6688E">
            <w:pPr>
              <w:rPr>
                <w:rFonts w:ascii="Courier New" w:hAnsi="Courier New" w:cs="Courier New"/>
                <w:sz w:val="20"/>
                <w:szCs w:val="20"/>
              </w:rPr>
            </w:pPr>
            <w:r>
              <w:rPr>
                <w:rFonts w:ascii="Courier New" w:hAnsi="Courier New" w:cs="Courier New"/>
                <w:sz w:val="20"/>
                <w:szCs w:val="20"/>
              </w:rPr>
              <w:t>1,</w:t>
            </w:r>
            <w:r w:rsidR="002A6CC1">
              <w:rPr>
                <w:rFonts w:ascii="Courier New" w:hAnsi="Courier New" w:cs="Courier New"/>
                <w:sz w:val="20"/>
                <w:szCs w:val="20"/>
              </w:rPr>
              <w:t>3</w:t>
            </w:r>
            <w:r>
              <w:rPr>
                <w:rFonts w:ascii="Courier New" w:hAnsi="Courier New" w:cs="Courier New"/>
                <w:sz w:val="20"/>
                <w:szCs w:val="20"/>
              </w:rPr>
              <w:t>1</w:t>
            </w:r>
            <w:r w:rsidR="002A6CC1">
              <w:rPr>
                <w:rFonts w:ascii="Courier New" w:hAnsi="Courier New" w:cs="Courier New"/>
                <w:sz w:val="20"/>
                <w:szCs w:val="20"/>
              </w:rPr>
              <w:t>1</w:t>
            </w:r>
          </w:p>
        </w:tc>
        <w:tc>
          <w:tcPr>
            <w:tcW w:w="1710" w:type="dxa"/>
          </w:tcPr>
          <w:p w14:paraId="3B7BD7A8"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1,311</w:t>
            </w:r>
          </w:p>
        </w:tc>
        <w:tc>
          <w:tcPr>
            <w:tcW w:w="1620" w:type="dxa"/>
          </w:tcPr>
          <w:p w14:paraId="190D0F24"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1,314</w:t>
            </w:r>
          </w:p>
        </w:tc>
        <w:tc>
          <w:tcPr>
            <w:tcW w:w="1580" w:type="dxa"/>
          </w:tcPr>
          <w:p w14:paraId="6D233890" w14:textId="3DFFD6F3" w:rsidR="002A6CC1" w:rsidRDefault="002A6CC1" w:rsidP="00D6688E">
            <w:pPr>
              <w:rPr>
                <w:rFonts w:ascii="Courier New" w:hAnsi="Courier New" w:cs="Courier New"/>
                <w:sz w:val="20"/>
                <w:szCs w:val="20"/>
              </w:rPr>
            </w:pPr>
            <w:r>
              <w:rPr>
                <w:rFonts w:ascii="Courier New" w:hAnsi="Courier New" w:cs="Courier New"/>
                <w:sz w:val="20"/>
                <w:szCs w:val="20"/>
              </w:rPr>
              <w:t xml:space="preserve">1,311 </w:t>
            </w:r>
          </w:p>
        </w:tc>
      </w:tr>
      <w:tr w:rsidR="002A6CC1" w14:paraId="4EA8E6EC" w14:textId="09B4435C" w:rsidTr="00F6015E">
        <w:tc>
          <w:tcPr>
            <w:tcW w:w="2430" w:type="dxa"/>
          </w:tcPr>
          <w:p w14:paraId="22C35F4D" w14:textId="77777777" w:rsidR="002A6CC1" w:rsidRPr="00957A02" w:rsidRDefault="002A6CC1" w:rsidP="00D6688E">
            <w:pPr>
              <w:rPr>
                <w:rFonts w:ascii="Courier New" w:hAnsi="Courier New" w:cs="Courier New"/>
                <w:b/>
                <w:sz w:val="20"/>
                <w:szCs w:val="20"/>
              </w:rPr>
            </w:pPr>
            <w:r w:rsidRPr="00957A02">
              <w:rPr>
                <w:rFonts w:ascii="Courier New" w:hAnsi="Courier New" w:cs="Courier New"/>
                <w:b/>
                <w:sz w:val="20"/>
                <w:szCs w:val="20"/>
              </w:rPr>
              <w:t>Rooms/bedrooms</w:t>
            </w:r>
          </w:p>
        </w:tc>
        <w:tc>
          <w:tcPr>
            <w:tcW w:w="1800" w:type="dxa"/>
          </w:tcPr>
          <w:p w14:paraId="76FB5C81"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4/2</w:t>
            </w:r>
          </w:p>
        </w:tc>
        <w:tc>
          <w:tcPr>
            <w:tcW w:w="1710" w:type="dxa"/>
          </w:tcPr>
          <w:p w14:paraId="2418BDD8"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4/2</w:t>
            </w:r>
          </w:p>
        </w:tc>
        <w:tc>
          <w:tcPr>
            <w:tcW w:w="1620" w:type="dxa"/>
          </w:tcPr>
          <w:p w14:paraId="6437E068"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4/2</w:t>
            </w:r>
          </w:p>
        </w:tc>
        <w:tc>
          <w:tcPr>
            <w:tcW w:w="1580" w:type="dxa"/>
          </w:tcPr>
          <w:p w14:paraId="11CCB3F2" w14:textId="1AE5F9E0" w:rsidR="002A6CC1" w:rsidRDefault="002A6CC1" w:rsidP="00D6688E">
            <w:pPr>
              <w:rPr>
                <w:rFonts w:ascii="Courier New" w:hAnsi="Courier New" w:cs="Courier New"/>
                <w:sz w:val="20"/>
                <w:szCs w:val="20"/>
              </w:rPr>
            </w:pPr>
            <w:r>
              <w:rPr>
                <w:rFonts w:ascii="Courier New" w:hAnsi="Courier New" w:cs="Courier New"/>
                <w:sz w:val="20"/>
                <w:szCs w:val="20"/>
              </w:rPr>
              <w:t>4/2</w:t>
            </w:r>
          </w:p>
        </w:tc>
      </w:tr>
      <w:tr w:rsidR="002A6CC1" w14:paraId="1AD0EEE3" w14:textId="13444F95" w:rsidTr="00F6015E">
        <w:tc>
          <w:tcPr>
            <w:tcW w:w="2430" w:type="dxa"/>
          </w:tcPr>
          <w:p w14:paraId="40AFD037" w14:textId="77777777" w:rsidR="002A6CC1" w:rsidRPr="00957A02" w:rsidRDefault="002A6CC1" w:rsidP="00D6688E">
            <w:pPr>
              <w:rPr>
                <w:rFonts w:ascii="Courier New" w:hAnsi="Courier New" w:cs="Courier New"/>
                <w:b/>
                <w:sz w:val="20"/>
                <w:szCs w:val="20"/>
              </w:rPr>
            </w:pPr>
            <w:r w:rsidRPr="00957A02">
              <w:rPr>
                <w:rFonts w:ascii="Courier New" w:hAnsi="Courier New" w:cs="Courier New"/>
                <w:b/>
                <w:sz w:val="20"/>
                <w:szCs w:val="20"/>
              </w:rPr>
              <w:t>Bathrooms</w:t>
            </w:r>
          </w:p>
        </w:tc>
        <w:tc>
          <w:tcPr>
            <w:tcW w:w="1800" w:type="dxa"/>
          </w:tcPr>
          <w:p w14:paraId="576FF0C4"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1.75</w:t>
            </w:r>
          </w:p>
        </w:tc>
        <w:tc>
          <w:tcPr>
            <w:tcW w:w="1710" w:type="dxa"/>
          </w:tcPr>
          <w:p w14:paraId="7C746C43" w14:textId="77777777" w:rsidR="002A6CC1" w:rsidRPr="00DD07A2" w:rsidRDefault="002A6CC1" w:rsidP="00D6688E">
            <w:pPr>
              <w:rPr>
                <w:rFonts w:ascii="Courier New" w:hAnsi="Courier New" w:cs="Courier New"/>
                <w:sz w:val="20"/>
                <w:szCs w:val="20"/>
              </w:rPr>
            </w:pPr>
            <w:r>
              <w:rPr>
                <w:rFonts w:ascii="Courier New" w:hAnsi="Courier New" w:cs="Courier New"/>
                <w:sz w:val="20"/>
                <w:szCs w:val="20"/>
              </w:rPr>
              <w:t>1.75</w:t>
            </w:r>
          </w:p>
        </w:tc>
        <w:tc>
          <w:tcPr>
            <w:tcW w:w="1620" w:type="dxa"/>
          </w:tcPr>
          <w:p w14:paraId="196A371C" w14:textId="675A1CE8" w:rsidR="002A6CC1" w:rsidRPr="00DD07A2" w:rsidRDefault="00551EC1" w:rsidP="00D6688E">
            <w:pPr>
              <w:rPr>
                <w:rFonts w:ascii="Courier New" w:hAnsi="Courier New" w:cs="Courier New"/>
                <w:sz w:val="20"/>
                <w:szCs w:val="20"/>
              </w:rPr>
            </w:pPr>
            <w:r>
              <w:rPr>
                <w:rFonts w:ascii="Courier New" w:hAnsi="Courier New" w:cs="Courier New"/>
                <w:sz w:val="20"/>
                <w:szCs w:val="20"/>
              </w:rPr>
              <w:t>1.75</w:t>
            </w:r>
          </w:p>
        </w:tc>
        <w:tc>
          <w:tcPr>
            <w:tcW w:w="1580" w:type="dxa"/>
          </w:tcPr>
          <w:p w14:paraId="6AD8ECAF" w14:textId="34D6B26B" w:rsidR="002A6CC1" w:rsidRDefault="00551EC1" w:rsidP="00D6688E">
            <w:pPr>
              <w:rPr>
                <w:rFonts w:ascii="Courier New" w:hAnsi="Courier New" w:cs="Courier New"/>
                <w:sz w:val="20"/>
                <w:szCs w:val="20"/>
              </w:rPr>
            </w:pPr>
            <w:r>
              <w:rPr>
                <w:rFonts w:ascii="Courier New" w:hAnsi="Courier New" w:cs="Courier New"/>
                <w:sz w:val="20"/>
                <w:szCs w:val="20"/>
              </w:rPr>
              <w:t>1.75</w:t>
            </w:r>
          </w:p>
        </w:tc>
      </w:tr>
    </w:tbl>
    <w:p w14:paraId="06014B13" w14:textId="77777777" w:rsidR="00D848C1" w:rsidRDefault="00D848C1" w:rsidP="001C3B5C">
      <w:pPr>
        <w:spacing w:line="480" w:lineRule="auto"/>
        <w:ind w:firstLine="720"/>
        <w:jc w:val="both"/>
        <w:rPr>
          <w:rFonts w:ascii="Courier New" w:hAnsi="Courier New" w:cs="Courier New"/>
        </w:rPr>
      </w:pPr>
    </w:p>
    <w:p w14:paraId="5E0EFE4D" w14:textId="2E58B20A" w:rsidR="00E96BE7" w:rsidRDefault="00E96BE7" w:rsidP="001C3B5C">
      <w:pPr>
        <w:spacing w:line="480" w:lineRule="auto"/>
        <w:ind w:firstLine="720"/>
        <w:jc w:val="both"/>
        <w:rPr>
          <w:rFonts w:ascii="Courier New" w:hAnsi="Courier New" w:cs="Courier New"/>
        </w:rPr>
      </w:pPr>
      <w:r>
        <w:rPr>
          <w:rFonts w:ascii="Courier New" w:hAnsi="Courier New" w:cs="Courier New"/>
        </w:rPr>
        <w:lastRenderedPageBreak/>
        <w:t>A comparison of the sale of the subject condominium with the sales of these similarly situated condominiums indicated that the subject condominium’s sale price</w:t>
      </w:r>
      <w:r w:rsidR="0008745B">
        <w:rPr>
          <w:rFonts w:ascii="Courier New" w:hAnsi="Courier New" w:cs="Courier New"/>
        </w:rPr>
        <w:t>,</w:t>
      </w:r>
      <w:r w:rsidR="00F10220">
        <w:rPr>
          <w:rFonts w:ascii="Courier New" w:hAnsi="Courier New" w:cs="Courier New"/>
        </w:rPr>
        <w:t xml:space="preserve"> together with the sale prices paid for the other three comparable condominiums, constituted persuasive, credible evidence of the subject </w:t>
      </w:r>
      <w:r w:rsidR="00D848C1">
        <w:rPr>
          <w:rFonts w:ascii="Courier New" w:hAnsi="Courier New" w:cs="Courier New"/>
        </w:rPr>
        <w:t>condominium</w:t>
      </w:r>
      <w:r w:rsidR="00F10220">
        <w:rPr>
          <w:rFonts w:ascii="Courier New" w:hAnsi="Courier New" w:cs="Courier New"/>
        </w:rPr>
        <w:t>’s fair cash value.  On the basis of these sales, and adjusting for minor differences among them, t</w:t>
      </w:r>
      <w:r>
        <w:rPr>
          <w:rFonts w:ascii="Courier New" w:hAnsi="Courier New" w:cs="Courier New"/>
        </w:rPr>
        <w:t>he P</w:t>
      </w:r>
      <w:r w:rsidR="002E265A">
        <w:rPr>
          <w:rFonts w:ascii="Courier New" w:hAnsi="Courier New" w:cs="Courier New"/>
        </w:rPr>
        <w:t xml:space="preserve">residing Commissioner </w:t>
      </w:r>
      <w:r w:rsidR="00F10220">
        <w:rPr>
          <w:rFonts w:ascii="Courier New" w:hAnsi="Courier New" w:cs="Courier New"/>
        </w:rPr>
        <w:t>determined that the fair cash value of the subject condominium for the fiscal year at issues was</w:t>
      </w:r>
      <w:r>
        <w:rPr>
          <w:rFonts w:ascii="Courier New" w:hAnsi="Courier New" w:cs="Courier New"/>
        </w:rPr>
        <w:t xml:space="preserve"> </w:t>
      </w:r>
      <w:r w:rsidRPr="002E265A">
        <w:rPr>
          <w:rFonts w:ascii="Courier New" w:hAnsi="Courier New" w:cs="Courier New"/>
        </w:rPr>
        <w:t>$</w:t>
      </w:r>
      <w:r w:rsidR="002E265A">
        <w:rPr>
          <w:rFonts w:ascii="Courier New" w:hAnsi="Courier New" w:cs="Courier New"/>
        </w:rPr>
        <w:t>246,000</w:t>
      </w:r>
      <w:r>
        <w:rPr>
          <w:rFonts w:ascii="Courier New" w:hAnsi="Courier New" w:cs="Courier New"/>
        </w:rPr>
        <w:t xml:space="preserve">.    </w:t>
      </w:r>
    </w:p>
    <w:p w14:paraId="003EA685" w14:textId="1BB30426" w:rsidR="00E96BE7" w:rsidRDefault="00E96BE7" w:rsidP="00E96BE7">
      <w:pPr>
        <w:spacing w:line="480" w:lineRule="auto"/>
        <w:ind w:firstLine="720"/>
        <w:jc w:val="both"/>
        <w:rPr>
          <w:rFonts w:ascii="Courier New" w:hAnsi="Courier New" w:cs="Courier New"/>
        </w:rPr>
      </w:pPr>
      <w:r>
        <w:rPr>
          <w:rFonts w:ascii="Courier New" w:hAnsi="Courier New" w:cs="Courier New"/>
        </w:rPr>
        <w:t>The Presiding Commissioner thu</w:t>
      </w:r>
      <w:r w:rsidR="004C2064">
        <w:rPr>
          <w:rFonts w:ascii="Courier New" w:hAnsi="Courier New" w:cs="Courier New"/>
        </w:rPr>
        <w:t>s determined that the appellant met her</w:t>
      </w:r>
      <w:r>
        <w:rPr>
          <w:rFonts w:ascii="Courier New" w:hAnsi="Courier New" w:cs="Courier New"/>
        </w:rPr>
        <w:t xml:space="preserve"> burden of proving a fair market value for the subject condominium that was le</w:t>
      </w:r>
      <w:r w:rsidR="00925919">
        <w:rPr>
          <w:rFonts w:ascii="Courier New" w:hAnsi="Courier New" w:cs="Courier New"/>
        </w:rPr>
        <w:t>ss than its assessed value.  Accordingly, the Presiding Commissioner</w:t>
      </w:r>
      <w:r>
        <w:rPr>
          <w:rFonts w:ascii="Courier New" w:hAnsi="Courier New" w:cs="Courier New"/>
        </w:rPr>
        <w:t xml:space="preserve"> issu</w:t>
      </w:r>
      <w:r w:rsidR="004C2064">
        <w:rPr>
          <w:rFonts w:ascii="Courier New" w:hAnsi="Courier New" w:cs="Courier New"/>
        </w:rPr>
        <w:t>ed a decision for the appellant</w:t>
      </w:r>
      <w:r>
        <w:rPr>
          <w:rFonts w:ascii="Courier New" w:hAnsi="Courier New" w:cs="Courier New"/>
        </w:rPr>
        <w:t xml:space="preserve"> and ordered </w:t>
      </w:r>
      <w:r w:rsidR="00D848C1">
        <w:rPr>
          <w:rFonts w:ascii="Courier New" w:hAnsi="Courier New" w:cs="Courier New"/>
        </w:rPr>
        <w:t xml:space="preserve">an </w:t>
      </w:r>
      <w:r>
        <w:rPr>
          <w:rFonts w:ascii="Courier New" w:hAnsi="Courier New" w:cs="Courier New"/>
        </w:rPr>
        <w:t>ab</w:t>
      </w:r>
      <w:r w:rsidR="004C2064">
        <w:rPr>
          <w:rFonts w:ascii="Courier New" w:hAnsi="Courier New" w:cs="Courier New"/>
        </w:rPr>
        <w:t>atement in the amount of $346.78</w:t>
      </w:r>
      <w:r>
        <w:rPr>
          <w:rFonts w:ascii="Courier New" w:hAnsi="Courier New" w:cs="Courier New"/>
        </w:rPr>
        <w:t>.</w:t>
      </w:r>
    </w:p>
    <w:p w14:paraId="38E9876C" w14:textId="77777777" w:rsidR="00A120D0" w:rsidRDefault="00A120D0" w:rsidP="00A120D0">
      <w:pPr>
        <w:spacing w:line="480" w:lineRule="auto"/>
        <w:ind w:firstLine="720"/>
        <w:jc w:val="both"/>
        <w:rPr>
          <w:rFonts w:ascii="Courier New" w:hAnsi="Courier New" w:cs="Courier New"/>
        </w:rPr>
      </w:pPr>
    </w:p>
    <w:p w14:paraId="04B84FEB" w14:textId="77777777" w:rsidR="004C2064" w:rsidRPr="003A419F" w:rsidRDefault="004C2064" w:rsidP="004C2064">
      <w:pPr>
        <w:spacing w:line="480" w:lineRule="auto"/>
        <w:jc w:val="center"/>
        <w:rPr>
          <w:rFonts w:ascii="Courier New" w:hAnsi="Courier New" w:cs="Courier New"/>
          <w:b/>
        </w:rPr>
      </w:pPr>
      <w:r w:rsidRPr="003A419F">
        <w:rPr>
          <w:rFonts w:ascii="Courier New" w:hAnsi="Courier New" w:cs="Courier New"/>
          <w:b/>
        </w:rPr>
        <w:t>OPINION</w:t>
      </w:r>
    </w:p>
    <w:p w14:paraId="2DDEA1AB" w14:textId="77777777" w:rsidR="004C2064" w:rsidRPr="009F344E" w:rsidRDefault="004C2064" w:rsidP="004C2064">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G.L. c. 59, § 38.  Fair cash value is defined as the price on which a willing seller and a willing buyer in a free and open market will agree if both of them are fully informed and under no compulsion.  </w:t>
      </w:r>
      <w:r w:rsidRPr="009F344E">
        <w:rPr>
          <w:rFonts w:ascii="Courier New" w:hAnsi="Courier New" w:cs="Courier New"/>
          <w:b/>
          <w:bCs/>
          <w:i/>
          <w:iCs/>
        </w:rPr>
        <w:t>Boston Gas Co. v. Assessors of Boston</w:t>
      </w:r>
      <w:r w:rsidRPr="009F344E">
        <w:rPr>
          <w:rFonts w:ascii="Courier New" w:hAnsi="Courier New" w:cs="Courier New"/>
        </w:rPr>
        <w:t>, 334 Mass. 549, 566 (1956).</w:t>
      </w:r>
    </w:p>
    <w:p w14:paraId="50ECF8E8" w14:textId="5567F402" w:rsidR="004C2064" w:rsidRDefault="004C2064" w:rsidP="004C2064">
      <w:pPr>
        <w:spacing w:line="480" w:lineRule="auto"/>
        <w:ind w:firstLine="720"/>
        <w:jc w:val="both"/>
        <w:rPr>
          <w:rFonts w:ascii="Courier New" w:hAnsi="Courier New" w:cs="Courier New"/>
        </w:rPr>
      </w:pPr>
      <w:r>
        <w:rPr>
          <w:rFonts w:ascii="Courier New" w:hAnsi="Courier New" w:cs="Courier New"/>
        </w:rPr>
        <w:lastRenderedPageBreak/>
        <w:t xml:space="preserve">“‘The burden of proof is upon the petitioner to make out its right as [a] matter of law to [an] abatement of the tax.’” </w:t>
      </w:r>
      <w:r>
        <w:rPr>
          <w:rFonts w:ascii="Courier New" w:hAnsi="Courier New" w:cs="Courier New"/>
          <w:b/>
          <w:bCs/>
          <w:i/>
          <w:iCs/>
        </w:rPr>
        <w:t>Schlaiker v. Assessors of Great Barrington</w:t>
      </w:r>
      <w:r>
        <w:rPr>
          <w:rFonts w:ascii="Courier New" w:hAnsi="Courier New" w:cs="Courier New"/>
        </w:rPr>
        <w:t>, 365</w:t>
      </w:r>
      <w:r w:rsidR="00342639">
        <w:rPr>
          <w:rFonts w:ascii="Courier New" w:hAnsi="Courier New" w:cs="Courier New"/>
        </w:rPr>
        <w:t> </w:t>
      </w:r>
      <w:r>
        <w:rPr>
          <w:rFonts w:ascii="Courier New" w:hAnsi="Courier New" w:cs="Courier New"/>
        </w:rPr>
        <w:t>Mass. 243, 245 (1974) (</w:t>
      </w:r>
      <w:r w:rsidRPr="00972662">
        <w:rPr>
          <w:rFonts w:ascii="Courier New" w:hAnsi="Courier New" w:cs="Courier New"/>
          <w:iCs/>
        </w:rPr>
        <w:t>quoting</w:t>
      </w:r>
      <w:r>
        <w:rPr>
          <w:rFonts w:ascii="Courier New" w:hAnsi="Courier New" w:cs="Courier New"/>
        </w:rPr>
        <w:t xml:space="preserve"> </w:t>
      </w:r>
      <w:r>
        <w:rPr>
          <w:rFonts w:ascii="Courier New" w:hAnsi="Courier New" w:cs="Courier New"/>
          <w:b/>
          <w:bCs/>
          <w:i/>
          <w:iCs/>
        </w:rPr>
        <w:t>Judson Freight Forwarding Co. v. Commonwealth</w:t>
      </w:r>
      <w:r>
        <w:rPr>
          <w:rFonts w:ascii="Courier New" w:hAnsi="Courier New" w:cs="Courier New"/>
        </w:rPr>
        <w:t xml:space="preserve">, 242 Mass. 47, 55 (1922)).  </w:t>
      </w:r>
    </w:p>
    <w:p w14:paraId="2E15C9AE" w14:textId="77777777" w:rsidR="004C2064" w:rsidRDefault="004C2064" w:rsidP="004C2064">
      <w:pPr>
        <w:spacing w:line="480" w:lineRule="auto"/>
        <w:ind w:firstLine="720"/>
        <w:jc w:val="both"/>
        <w:rPr>
          <w:rFonts w:ascii="Courier New" w:hAnsi="Courier New" w:cs="Courier New"/>
        </w:rPr>
      </w:pPr>
      <w:r>
        <w:rPr>
          <w:rFonts w:ascii="Courier New" w:hAnsi="Courier New" w:cs="Courier New"/>
        </w:rPr>
        <w:t xml:space="preserve">In appeals before this Board, a taxpayer “‘may present persuasive evidence of overvaluation either by exposing flaws or errors in the assessors’ method of valuation, or by introducing affirmative evidence of value which undermines the assessors’ valuation.’”  </w:t>
      </w:r>
      <w:r>
        <w:rPr>
          <w:rFonts w:ascii="Courier New" w:hAnsi="Courier New" w:cs="Courier New"/>
          <w:b/>
          <w:bCs/>
          <w:i/>
          <w:iCs/>
        </w:rPr>
        <w:t xml:space="preserve">General Electric Co. v. Assessors of Lynn, </w:t>
      </w:r>
      <w:r>
        <w:rPr>
          <w:rFonts w:ascii="Courier New" w:hAnsi="Courier New" w:cs="Courier New"/>
          <w:bCs/>
          <w:iCs/>
        </w:rPr>
        <w:t>393 Mass. 591, 600 (1984)</w:t>
      </w:r>
      <w:r>
        <w:rPr>
          <w:rFonts w:ascii="Courier New" w:hAnsi="Courier New" w:cs="Courier New"/>
        </w:rPr>
        <w:t xml:space="preserve"> (</w:t>
      </w:r>
      <w:r w:rsidRPr="0057504C">
        <w:rPr>
          <w:rFonts w:ascii="Courier New" w:hAnsi="Courier New" w:cs="Courier New"/>
          <w:iCs/>
        </w:rPr>
        <w:t>quoting</w:t>
      </w:r>
      <w:r>
        <w:rPr>
          <w:rFonts w:ascii="Courier New" w:hAnsi="Courier New" w:cs="Courier New"/>
        </w:rPr>
        <w:t xml:space="preserve"> </w:t>
      </w:r>
      <w:r>
        <w:rPr>
          <w:rFonts w:ascii="Courier New" w:hAnsi="Courier New" w:cs="Courier New"/>
          <w:b/>
          <w:bCs/>
          <w:i/>
          <w:iCs/>
        </w:rPr>
        <w:t>Donlon v. Assessors of Holliston</w:t>
      </w:r>
      <w:r>
        <w:rPr>
          <w:rFonts w:ascii="Courier New" w:hAnsi="Courier New" w:cs="Courier New"/>
        </w:rPr>
        <w:t xml:space="preserve">, 389 Mass. 848, 855 (1983)). </w:t>
      </w:r>
    </w:p>
    <w:p w14:paraId="14E6D32F" w14:textId="39E37326" w:rsidR="004C2064" w:rsidRDefault="004C2064" w:rsidP="004C2064">
      <w:pPr>
        <w:spacing w:line="480" w:lineRule="auto"/>
        <w:ind w:firstLine="720"/>
        <w:jc w:val="both"/>
        <w:rPr>
          <w:rFonts w:ascii="Courier New" w:hAnsi="Courier New" w:cs="Courier New"/>
        </w:rPr>
      </w:pPr>
      <w:r>
        <w:rPr>
          <w:rFonts w:ascii="Courier New" w:hAnsi="Courier New" w:cs="Courier New"/>
        </w:rPr>
        <w:t xml:space="preserve">The actual sale of </w:t>
      </w:r>
      <w:r w:rsidR="00D848C1">
        <w:rPr>
          <w:rFonts w:ascii="Courier New" w:hAnsi="Courier New" w:cs="Courier New"/>
        </w:rPr>
        <w:t>the</w:t>
      </w:r>
      <w:r w:rsidRPr="00616F90">
        <w:rPr>
          <w:rFonts w:ascii="Courier New" w:hAnsi="Courier New" w:cs="Courier New"/>
        </w:rPr>
        <w:t xml:space="preserve"> property</w:t>
      </w:r>
      <w:r w:rsidR="00D848C1">
        <w:rPr>
          <w:rFonts w:ascii="Courier New" w:hAnsi="Courier New" w:cs="Courier New"/>
        </w:rPr>
        <w:t xml:space="preserve"> at issue</w:t>
      </w:r>
      <w:r w:rsidRPr="00616F90">
        <w:rPr>
          <w:rFonts w:ascii="Courier New" w:hAnsi="Courier New" w:cs="Courier New"/>
        </w:rPr>
        <w:t xml:space="preserve"> itself</w:t>
      </w:r>
      <w:r>
        <w:rPr>
          <w:rFonts w:ascii="Courier New" w:hAnsi="Courier New" w:cs="Courier New"/>
        </w:rPr>
        <w:t xml:space="preserve">, </w:t>
      </w:r>
      <w:r w:rsidR="00441655">
        <w:rPr>
          <w:rFonts w:ascii="Courier New" w:hAnsi="Courier New" w:cs="Courier New"/>
        </w:rPr>
        <w:t xml:space="preserve">particularly when its sale is </w:t>
      </w:r>
      <w:r>
        <w:rPr>
          <w:rFonts w:ascii="Courier New" w:hAnsi="Courier New" w:cs="Courier New"/>
        </w:rPr>
        <w:t>proximate to the valuation and assessment date,</w:t>
      </w:r>
      <w:r w:rsidRPr="00616F90">
        <w:rPr>
          <w:rFonts w:ascii="Courier New" w:hAnsi="Courier New" w:cs="Courier New"/>
        </w:rPr>
        <w:t xml:space="preserve"> is “</w:t>
      </w:r>
      <w:r w:rsidRPr="00064267">
        <w:rPr>
          <w:rFonts w:ascii="Courier New" w:hAnsi="Courier New" w:cs="Courier New"/>
        </w:rPr>
        <w:t>ʽvery strong evidence of fair</w:t>
      </w:r>
      <w:r w:rsidRPr="00616F90">
        <w:rPr>
          <w:rFonts w:ascii="Courier New" w:hAnsi="Courier New" w:cs="Courier New"/>
        </w:rPr>
        <w:t xml:space="preserve"> market value, for [it] represent[s] what a buyer has been willing to pay to a seller for [the property under appeal].’”  </w:t>
      </w:r>
      <w:r w:rsidRPr="00616F90">
        <w:rPr>
          <w:rFonts w:ascii="Courier New" w:hAnsi="Courier New" w:cs="Courier New"/>
          <w:b/>
          <w:i/>
        </w:rPr>
        <w:t xml:space="preserve">New Boston Garden Corp. v. Assessors of Boston, </w:t>
      </w:r>
      <w:r w:rsidRPr="00616F90">
        <w:rPr>
          <w:rFonts w:ascii="Courier New" w:hAnsi="Courier New" w:cs="Courier New"/>
        </w:rPr>
        <w:t xml:space="preserve">383 Mass. 456, 469 (1981) (quoting </w:t>
      </w:r>
      <w:r w:rsidR="004B07C8">
        <w:rPr>
          <w:rFonts w:ascii="Courier New" w:hAnsi="Courier New" w:cs="Courier New"/>
          <w:b/>
          <w:i/>
        </w:rPr>
        <w:t>First Nationa</w:t>
      </w:r>
      <w:r w:rsidRPr="00616F90">
        <w:rPr>
          <w:rFonts w:ascii="Courier New" w:hAnsi="Courier New" w:cs="Courier New"/>
          <w:b/>
          <w:i/>
        </w:rPr>
        <w:t xml:space="preserve">l Stores, Inc. v. Assessors of Somerville, </w:t>
      </w:r>
      <w:r w:rsidRPr="00616F90">
        <w:rPr>
          <w:rFonts w:ascii="Courier New" w:hAnsi="Courier New" w:cs="Courier New"/>
        </w:rPr>
        <w:t xml:space="preserve">358 Mass. 554, 560 (1971)).  </w:t>
      </w:r>
      <w:r w:rsidRPr="00616F90">
        <w:rPr>
          <w:rFonts w:ascii="Courier New" w:hAnsi="Courier New" w:cs="Courier New"/>
          <w:i/>
        </w:rPr>
        <w:t>See</w:t>
      </w:r>
      <w:r>
        <w:rPr>
          <w:rFonts w:ascii="Courier New" w:hAnsi="Courier New" w:cs="Courier New"/>
          <w:i/>
        </w:rPr>
        <w:t xml:space="preserve"> also</w:t>
      </w:r>
      <w:r w:rsidRPr="00616F90">
        <w:rPr>
          <w:rFonts w:ascii="Courier New" w:hAnsi="Courier New" w:cs="Courier New"/>
        </w:rPr>
        <w:t xml:space="preserve"> </w:t>
      </w:r>
      <w:r w:rsidRPr="00616F90">
        <w:rPr>
          <w:rFonts w:ascii="Courier New" w:hAnsi="Courier New" w:cs="Courier New"/>
          <w:b/>
          <w:i/>
        </w:rPr>
        <w:t>Kane v. Assessors of Topsfield</w:t>
      </w:r>
      <w:r w:rsidRPr="00616F90">
        <w:rPr>
          <w:rFonts w:ascii="Courier New" w:hAnsi="Courier New" w:cs="Courier New"/>
        </w:rPr>
        <w:t>, Mass. ATB Findings of Fact and Reports 2000-409, 411 (finding that a sale of the property</w:t>
      </w:r>
      <w:r w:rsidR="00D848C1">
        <w:rPr>
          <w:rFonts w:ascii="Courier New" w:hAnsi="Courier New" w:cs="Courier New"/>
        </w:rPr>
        <w:t xml:space="preserve"> at issue</w:t>
      </w:r>
      <w:r w:rsidRPr="00616F90">
        <w:rPr>
          <w:rFonts w:ascii="Courier New" w:hAnsi="Courier New" w:cs="Courier New"/>
        </w:rPr>
        <w:t xml:space="preserve"> three months before </w:t>
      </w:r>
      <w:r w:rsidRPr="00616F90">
        <w:rPr>
          <w:rFonts w:ascii="Courier New" w:hAnsi="Courier New" w:cs="Courier New"/>
        </w:rPr>
        <w:lastRenderedPageBreak/>
        <w:t xml:space="preserve">the relevant assessment date was the best evidence of the </w:t>
      </w:r>
      <w:r w:rsidR="00D848C1">
        <w:rPr>
          <w:rFonts w:ascii="Courier New" w:hAnsi="Courier New" w:cs="Courier New"/>
        </w:rPr>
        <w:t>property</w:t>
      </w:r>
      <w:r w:rsidRPr="00616F90">
        <w:rPr>
          <w:rFonts w:ascii="Courier New" w:hAnsi="Courier New" w:cs="Courier New"/>
        </w:rPr>
        <w:t>’s fair cash value</w:t>
      </w:r>
      <w:r>
        <w:rPr>
          <w:rFonts w:ascii="Courier New" w:hAnsi="Courier New" w:cs="Courier New"/>
        </w:rPr>
        <w:t xml:space="preserve">).  The </w:t>
      </w:r>
      <w:r w:rsidR="00485524">
        <w:rPr>
          <w:rFonts w:ascii="Courier New" w:hAnsi="Courier New" w:cs="Courier New"/>
        </w:rPr>
        <w:t xml:space="preserve">recent </w:t>
      </w:r>
      <w:r>
        <w:rPr>
          <w:rFonts w:ascii="Courier New" w:hAnsi="Courier New" w:cs="Courier New"/>
        </w:rPr>
        <w:t>sale of the</w:t>
      </w:r>
      <w:r w:rsidR="00485524">
        <w:rPr>
          <w:rFonts w:ascii="Courier New" w:hAnsi="Courier New" w:cs="Courier New"/>
        </w:rPr>
        <w:t xml:space="preserve"> subject condominium</w:t>
      </w:r>
      <w:r>
        <w:rPr>
          <w:rFonts w:ascii="Courier New" w:hAnsi="Courier New" w:cs="Courier New"/>
        </w:rPr>
        <w:t xml:space="preserve"> was thus strong evidence of its fair market value, and was the first indication to the Presiding Commissioner that the assessment exceeded that value.</w:t>
      </w:r>
    </w:p>
    <w:p w14:paraId="764063AC" w14:textId="65C5466E" w:rsidR="004C2064" w:rsidRDefault="004C2064" w:rsidP="004C2064">
      <w:pPr>
        <w:spacing w:line="480" w:lineRule="auto"/>
        <w:ind w:firstLine="720"/>
        <w:jc w:val="both"/>
        <w:rPr>
          <w:rFonts w:ascii="Courier New" w:hAnsi="Courier New" w:cs="Courier New"/>
          <w:color w:val="333333"/>
          <w:shd w:val="clear" w:color="auto" w:fill="FFFFFF"/>
        </w:rPr>
      </w:pPr>
      <w:r>
        <w:rPr>
          <w:rFonts w:ascii="Courier New" w:hAnsi="Courier New" w:cs="Courier New"/>
          <w:color w:val="333333"/>
          <w:shd w:val="clear" w:color="auto" w:fill="FFFFFF"/>
        </w:rPr>
        <w:t>Next, s</w:t>
      </w:r>
      <w:r w:rsidRPr="000A690B">
        <w:rPr>
          <w:rFonts w:ascii="Courier New" w:hAnsi="Courier New" w:cs="Courier New"/>
          <w:color w:val="333333"/>
          <w:shd w:val="clear" w:color="auto" w:fill="FFFFFF"/>
        </w:rPr>
        <w:t>ales of comparable realty in the same geographic area and within a reasonable time of the assessment date generally contain probative evidence for determining the value of the property at issue.</w:t>
      </w:r>
      <w:r w:rsidRPr="00957799">
        <w:rPr>
          <w:rStyle w:val="apple-converted-space"/>
          <w:rFonts w:ascii="Courier New" w:hAnsi="Courier New" w:cs="Courier New"/>
          <w:color w:val="333333"/>
          <w:shd w:val="clear" w:color="auto" w:fill="FFFFFF"/>
        </w:rPr>
        <w:t xml:space="preserve">  </w:t>
      </w:r>
      <w:r w:rsidRPr="000A690B">
        <w:rPr>
          <w:rFonts w:ascii="Courier New" w:hAnsi="Courier New" w:cs="Courier New"/>
          <w:b/>
          <w:bCs/>
          <w:i/>
          <w:iCs/>
          <w:color w:val="333333"/>
          <w:shd w:val="clear" w:color="auto" w:fill="FFFFFF"/>
        </w:rPr>
        <w:t>Graham v. Assessors of West Tisbury,</w:t>
      </w:r>
      <w:r w:rsidRPr="00957799">
        <w:rPr>
          <w:rStyle w:val="apple-converted-space"/>
          <w:rFonts w:ascii="Courier New" w:hAnsi="Courier New" w:cs="Courier New"/>
          <w:color w:val="333333"/>
          <w:shd w:val="clear" w:color="auto" w:fill="FFFFFF"/>
        </w:rPr>
        <w:t> </w:t>
      </w:r>
      <w:r w:rsidRPr="000A690B">
        <w:rPr>
          <w:rFonts w:ascii="Courier New" w:hAnsi="Courier New" w:cs="Courier New"/>
          <w:color w:val="333333"/>
          <w:shd w:val="clear" w:color="auto" w:fill="FFFFFF"/>
        </w:rPr>
        <w:t>Mass. ATB Findings of Fact and Reports 2007-321, 400 (citing</w:t>
      </w:r>
      <w:r>
        <w:rPr>
          <w:rFonts w:ascii="Courier New" w:hAnsi="Courier New" w:cs="Courier New"/>
          <w:color w:val="333333"/>
          <w:shd w:val="clear" w:color="auto" w:fill="FFFFFF"/>
        </w:rPr>
        <w:t xml:space="preserve"> </w:t>
      </w:r>
      <w:r>
        <w:rPr>
          <w:rFonts w:ascii="Courier New" w:hAnsi="Courier New" w:cs="Courier New"/>
          <w:b/>
          <w:i/>
          <w:color w:val="333333"/>
          <w:shd w:val="clear" w:color="auto" w:fill="FFFFFF"/>
        </w:rPr>
        <w:t>McCabe v. Chelsea</w:t>
      </w:r>
      <w:r>
        <w:rPr>
          <w:rFonts w:ascii="Courier New" w:hAnsi="Courier New" w:cs="Courier New"/>
          <w:color w:val="333333"/>
          <w:shd w:val="clear" w:color="auto" w:fill="FFFFFF"/>
        </w:rPr>
        <w:t xml:space="preserve">, 265 Mass. 494, 496 (1929)), </w:t>
      </w:r>
      <w:r w:rsidRPr="002B0FDA">
        <w:rPr>
          <w:rFonts w:ascii="Courier New" w:hAnsi="Courier New" w:cs="Courier New"/>
          <w:i/>
          <w:color w:val="333333"/>
          <w:shd w:val="clear" w:color="auto" w:fill="FFFFFF"/>
        </w:rPr>
        <w:t>aff’d</w:t>
      </w:r>
      <w:r w:rsidR="005A12D1">
        <w:rPr>
          <w:rFonts w:ascii="Courier New" w:hAnsi="Courier New" w:cs="Courier New"/>
          <w:i/>
          <w:color w:val="333333"/>
          <w:shd w:val="clear" w:color="auto" w:fill="FFFFFF"/>
        </w:rPr>
        <w:t>,</w:t>
      </w:r>
      <w:r>
        <w:rPr>
          <w:rFonts w:ascii="Courier New" w:hAnsi="Courier New" w:cs="Courier New"/>
          <w:color w:val="333333"/>
          <w:shd w:val="clear" w:color="auto" w:fill="FFFFFF"/>
        </w:rPr>
        <w:t xml:space="preserve"> 73 Mass. App. Ct. 1107 (2008).  Thus, the sales of the other thre</w:t>
      </w:r>
      <w:r w:rsidR="00D70F4F">
        <w:rPr>
          <w:rFonts w:ascii="Courier New" w:hAnsi="Courier New" w:cs="Courier New"/>
          <w:color w:val="333333"/>
          <w:shd w:val="clear" w:color="auto" w:fill="FFFFFF"/>
        </w:rPr>
        <w:t>e condominiums from Silver Crest</w:t>
      </w:r>
      <w:r>
        <w:rPr>
          <w:rFonts w:ascii="Courier New" w:hAnsi="Courier New" w:cs="Courier New"/>
          <w:color w:val="333333"/>
          <w:shd w:val="clear" w:color="auto" w:fill="FFFFFF"/>
        </w:rPr>
        <w:t xml:space="preserve"> Lane that were subjects of companion appeals before the Board further supported the appellant</w:t>
      </w:r>
      <w:r w:rsidR="00925919">
        <w:rPr>
          <w:rFonts w:ascii="Courier New" w:hAnsi="Courier New" w:cs="Courier New"/>
          <w:color w:val="333333"/>
          <w:shd w:val="clear" w:color="auto" w:fill="FFFFFF"/>
        </w:rPr>
        <w:t>’s</w:t>
      </w:r>
      <w:r>
        <w:rPr>
          <w:rFonts w:ascii="Courier New" w:hAnsi="Courier New" w:cs="Courier New"/>
          <w:color w:val="333333"/>
          <w:shd w:val="clear" w:color="auto" w:fill="FFFFFF"/>
        </w:rPr>
        <w:t xml:space="preserve"> contention that the assessment exceeded its fair market value.  </w:t>
      </w:r>
    </w:p>
    <w:p w14:paraId="1F3CC721" w14:textId="3413AD11" w:rsidR="004C2064" w:rsidRDefault="004C2064" w:rsidP="004C2064">
      <w:pPr>
        <w:pStyle w:val="BodyTextIndent"/>
        <w:spacing w:after="0" w:line="480" w:lineRule="auto"/>
        <w:ind w:left="0" w:firstLine="720"/>
        <w:jc w:val="both"/>
        <w:rPr>
          <w:rFonts w:ascii="Courier New" w:hAnsi="Courier New" w:cs="Courier New"/>
        </w:rPr>
      </w:pPr>
      <w:r w:rsidRPr="00B404C6">
        <w:rPr>
          <w:rFonts w:ascii="Courier New" w:hAnsi="Courier New" w:cs="Courier New"/>
        </w:rPr>
        <w:t>In evaluating the evidence</w:t>
      </w:r>
      <w:r>
        <w:rPr>
          <w:rFonts w:ascii="Courier New" w:hAnsi="Courier New" w:cs="Courier New"/>
        </w:rPr>
        <w:t xml:space="preserve"> before it, the Board</w:t>
      </w:r>
      <w:r w:rsidRPr="00B404C6">
        <w:rPr>
          <w:rFonts w:ascii="Courier New" w:hAnsi="Courier New" w:cs="Courier New"/>
        </w:rPr>
        <w:t xml:space="preserve"> selected among the various </w:t>
      </w:r>
      <w:r>
        <w:rPr>
          <w:rFonts w:ascii="Courier New" w:hAnsi="Courier New" w:cs="Courier New"/>
        </w:rPr>
        <w:t>elements of value and formed its</w:t>
      </w:r>
      <w:r w:rsidRPr="00B404C6">
        <w:rPr>
          <w:rFonts w:ascii="Courier New" w:hAnsi="Courier New" w:cs="Courier New"/>
        </w:rPr>
        <w:t xml:space="preserve"> own independent judgment of fair cash value.  </w:t>
      </w:r>
      <w:r w:rsidRPr="00B404C6">
        <w:rPr>
          <w:rFonts w:ascii="Courier New" w:hAnsi="Courier New" w:cs="Courier New"/>
          <w:b/>
          <w:bCs/>
          <w:i/>
          <w:iCs/>
        </w:rPr>
        <w:t>Gener</w:t>
      </w:r>
      <w:r>
        <w:rPr>
          <w:rFonts w:ascii="Courier New" w:hAnsi="Courier New" w:cs="Courier New"/>
          <w:b/>
          <w:bCs/>
          <w:i/>
          <w:iCs/>
        </w:rPr>
        <w:t>al Electric Co.</w:t>
      </w:r>
      <w:r w:rsidRPr="00B404C6">
        <w:rPr>
          <w:rFonts w:ascii="Courier New" w:hAnsi="Courier New" w:cs="Courier New"/>
          <w:b/>
          <w:bCs/>
          <w:i/>
          <w:iCs/>
        </w:rPr>
        <w:t xml:space="preserve">, </w:t>
      </w:r>
      <w:r>
        <w:rPr>
          <w:rFonts w:ascii="Courier New" w:hAnsi="Courier New" w:cs="Courier New"/>
        </w:rPr>
        <w:t>393 Mass. at 605</w:t>
      </w:r>
      <w:r w:rsidRPr="00B404C6">
        <w:rPr>
          <w:rFonts w:ascii="Courier New" w:hAnsi="Courier New" w:cs="Courier New"/>
        </w:rPr>
        <w:t xml:space="preserve">; </w:t>
      </w:r>
      <w:r w:rsidRPr="00B404C6">
        <w:rPr>
          <w:rFonts w:ascii="Courier New" w:hAnsi="Courier New" w:cs="Courier New"/>
          <w:b/>
          <w:bCs/>
          <w:i/>
          <w:iCs/>
        </w:rPr>
        <w:t>North American Philips Lig</w:t>
      </w:r>
      <w:r>
        <w:rPr>
          <w:rFonts w:ascii="Courier New" w:hAnsi="Courier New" w:cs="Courier New"/>
          <w:b/>
          <w:bCs/>
          <w:i/>
          <w:iCs/>
        </w:rPr>
        <w:t>hting Corp.</w:t>
      </w:r>
      <w:r w:rsidR="009C4D58">
        <w:rPr>
          <w:rFonts w:ascii="Courier New" w:hAnsi="Courier New" w:cs="Courier New"/>
          <w:b/>
          <w:bCs/>
          <w:i/>
          <w:iCs/>
        </w:rPr>
        <w:t xml:space="preserve"> v. Assessors of Lynn,</w:t>
      </w:r>
      <w:r w:rsidRPr="00B404C6">
        <w:rPr>
          <w:rFonts w:ascii="Courier New" w:hAnsi="Courier New" w:cs="Courier New"/>
          <w:b/>
          <w:bCs/>
          <w:i/>
          <w:iCs/>
        </w:rPr>
        <w:t xml:space="preserve"> </w:t>
      </w:r>
      <w:r w:rsidR="009C4D58">
        <w:rPr>
          <w:rFonts w:ascii="Courier New" w:hAnsi="Courier New" w:cs="Courier New"/>
        </w:rPr>
        <w:t>392 Mass. 296,</w:t>
      </w:r>
      <w:r>
        <w:rPr>
          <w:rFonts w:ascii="Courier New" w:hAnsi="Courier New" w:cs="Courier New"/>
        </w:rPr>
        <w:t xml:space="preserve"> 300</w:t>
      </w:r>
      <w:r w:rsidR="009C4D58">
        <w:rPr>
          <w:rFonts w:ascii="Courier New" w:hAnsi="Courier New" w:cs="Courier New"/>
        </w:rPr>
        <w:t xml:space="preserve"> (1984)</w:t>
      </w:r>
      <w:r w:rsidRPr="00B404C6">
        <w:rPr>
          <w:rFonts w:ascii="Courier New" w:hAnsi="Courier New" w:cs="Courier New"/>
        </w:rPr>
        <w:t xml:space="preserve">.  The Board need not specify the exact manner in which it arrived at its valuation.  </w:t>
      </w:r>
      <w:r w:rsidR="004613B9" w:rsidRPr="004D2D5B">
        <w:rPr>
          <w:rFonts w:ascii="Courier New" w:hAnsi="Courier New" w:cs="Courier New"/>
          <w:b/>
          <w:bCs/>
          <w:i/>
          <w:iCs/>
        </w:rPr>
        <w:t>Jordan Marsh v. Assessors of Malden,</w:t>
      </w:r>
      <w:r w:rsidR="004613B9" w:rsidRPr="004D2D5B">
        <w:rPr>
          <w:rFonts w:ascii="Courier New" w:hAnsi="Courier New" w:cs="Courier New"/>
        </w:rPr>
        <w:t xml:space="preserve"> 359 Mass. 196, 110 (1971).</w:t>
      </w:r>
      <w:r w:rsidRPr="00B404C6">
        <w:rPr>
          <w:rFonts w:ascii="Courier New" w:hAnsi="Courier New" w:cs="Courier New"/>
        </w:rPr>
        <w:t xml:space="preserve">  The fair </w:t>
      </w:r>
      <w:r w:rsidRPr="00B404C6">
        <w:rPr>
          <w:rFonts w:ascii="Courier New" w:hAnsi="Courier New" w:cs="Courier New"/>
        </w:rPr>
        <w:lastRenderedPageBreak/>
        <w:t xml:space="preserve">cash value of property cannot be proven with “mathematical certainty and must ultimately rest in the realm of opinion, estimate and judgment.”  </w:t>
      </w:r>
      <w:r w:rsidR="00172C8A">
        <w:rPr>
          <w:rFonts w:ascii="Courier New" w:hAnsi="Courier New" w:cs="Courier New"/>
          <w:b/>
          <w:bCs/>
          <w:i/>
          <w:iCs/>
        </w:rPr>
        <w:t>Assessors of Quincy v. Boston Consolidated Gas Co.,</w:t>
      </w:r>
      <w:r w:rsidR="00172C8A">
        <w:rPr>
          <w:rFonts w:ascii="Courier New" w:hAnsi="Courier New" w:cs="Courier New"/>
        </w:rPr>
        <w:t xml:space="preserve"> 309 Mass. 60, 72 (1941).  </w:t>
      </w:r>
    </w:p>
    <w:p w14:paraId="79B00A63" w14:textId="5C2BCAB1" w:rsidR="004C2064" w:rsidRDefault="004C2064" w:rsidP="004C2064">
      <w:pPr>
        <w:spacing w:line="480" w:lineRule="auto"/>
        <w:ind w:firstLine="720"/>
        <w:jc w:val="both"/>
        <w:rPr>
          <w:rFonts w:ascii="Courier New" w:hAnsi="Courier New" w:cs="Courier New"/>
        </w:rPr>
      </w:pPr>
      <w:r w:rsidRPr="00B404C6">
        <w:rPr>
          <w:rFonts w:ascii="Courier New" w:hAnsi="Courier New" w:cs="Courier New"/>
        </w:rPr>
        <w:t>Based on the</w:t>
      </w:r>
      <w:r>
        <w:rPr>
          <w:rFonts w:ascii="Courier New" w:hAnsi="Courier New" w:cs="Courier New"/>
        </w:rPr>
        <w:t xml:space="preserve"> evidence presented, the Presiding Commissioner</w:t>
      </w:r>
      <w:r w:rsidRPr="00B404C6">
        <w:rPr>
          <w:rFonts w:ascii="Courier New" w:hAnsi="Courier New" w:cs="Courier New"/>
        </w:rPr>
        <w:t xml:space="preserve"> </w:t>
      </w:r>
      <w:r>
        <w:rPr>
          <w:rFonts w:ascii="Courier New" w:hAnsi="Courier New" w:cs="Courier New"/>
        </w:rPr>
        <w:t>found and ruled that the fair market value of the subject condominium</w:t>
      </w:r>
      <w:r w:rsidR="00722DEF">
        <w:rPr>
          <w:rFonts w:ascii="Courier New" w:hAnsi="Courier New" w:cs="Courier New"/>
        </w:rPr>
        <w:t xml:space="preserve"> was $246,000</w:t>
      </w:r>
      <w:r>
        <w:rPr>
          <w:rFonts w:ascii="Courier New" w:hAnsi="Courier New" w:cs="Courier New"/>
        </w:rPr>
        <w:t xml:space="preserve"> for the fiscal year at issue.  Accordingly, the Presiding Commissioner issu</w:t>
      </w:r>
      <w:r w:rsidR="00355E79">
        <w:rPr>
          <w:rFonts w:ascii="Courier New" w:hAnsi="Courier New" w:cs="Courier New"/>
        </w:rPr>
        <w:t>ed a decision for the appellant</w:t>
      </w:r>
      <w:r>
        <w:rPr>
          <w:rFonts w:ascii="Courier New" w:hAnsi="Courier New" w:cs="Courier New"/>
        </w:rPr>
        <w:t xml:space="preserve"> in this appeal and granted </w:t>
      </w:r>
      <w:r w:rsidR="00D848C1">
        <w:rPr>
          <w:rFonts w:ascii="Courier New" w:hAnsi="Courier New" w:cs="Courier New"/>
        </w:rPr>
        <w:t xml:space="preserve">an </w:t>
      </w:r>
      <w:r>
        <w:rPr>
          <w:rFonts w:ascii="Courier New" w:hAnsi="Courier New" w:cs="Courier New"/>
        </w:rPr>
        <w:t>a</w:t>
      </w:r>
      <w:r w:rsidR="00722DEF">
        <w:rPr>
          <w:rFonts w:ascii="Courier New" w:hAnsi="Courier New" w:cs="Courier New"/>
        </w:rPr>
        <w:t>batement in the amount of $346.78</w:t>
      </w:r>
      <w:r>
        <w:rPr>
          <w:rFonts w:ascii="Courier New" w:hAnsi="Courier New" w:cs="Courier New"/>
        </w:rPr>
        <w:t>.</w:t>
      </w:r>
    </w:p>
    <w:p w14:paraId="718B6A27" w14:textId="77777777" w:rsidR="004C2064" w:rsidRDefault="004C2064" w:rsidP="004C2064">
      <w:pPr>
        <w:pStyle w:val="BodyText2"/>
      </w:pPr>
      <w:r>
        <w:t xml:space="preserve">    </w:t>
      </w:r>
    </w:p>
    <w:p w14:paraId="2448305F" w14:textId="77777777" w:rsidR="0054601A" w:rsidRDefault="0054601A" w:rsidP="004C2064">
      <w:pPr>
        <w:pStyle w:val="BodyText2"/>
      </w:pPr>
    </w:p>
    <w:p w14:paraId="0C74537B" w14:textId="77777777" w:rsidR="004C2064" w:rsidRPr="00B63D2F" w:rsidRDefault="004C2064" w:rsidP="004C2064">
      <w:pPr>
        <w:spacing w:line="480" w:lineRule="auto"/>
        <w:jc w:val="both"/>
        <w:rPr>
          <w:rFonts w:ascii="Courier New" w:hAnsi="Courier New" w:cs="Courier New"/>
          <w:b/>
          <w:bCs/>
        </w:rPr>
      </w:pP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t>   </w:t>
      </w:r>
      <w:r>
        <w:rPr>
          <w:rFonts w:ascii="Courier New" w:hAnsi="Courier New" w:cs="Courier New"/>
          <w:b/>
        </w:rPr>
        <w:t xml:space="preserve"> </w:t>
      </w:r>
      <w:r w:rsidRPr="00B63D2F">
        <w:rPr>
          <w:rFonts w:ascii="Courier New" w:hAnsi="Courier New" w:cs="Courier New"/>
          <w:b/>
        </w:rPr>
        <w:t xml:space="preserve">THE </w:t>
      </w:r>
      <w:r w:rsidRPr="00B63D2F">
        <w:rPr>
          <w:rFonts w:ascii="Courier New" w:hAnsi="Courier New" w:cs="Courier New"/>
          <w:b/>
          <w:bCs/>
        </w:rPr>
        <w:t>APPELLATE TAX BOARD</w:t>
      </w:r>
    </w:p>
    <w:p w14:paraId="65B34C28" w14:textId="77777777" w:rsidR="004C2064" w:rsidRPr="00B63D2F" w:rsidRDefault="004C2064" w:rsidP="004C2064">
      <w:pPr>
        <w:ind w:right="-180"/>
        <w:jc w:val="both"/>
        <w:rPr>
          <w:rFonts w:ascii="Courier New" w:hAnsi="Courier New" w:cs="Courier New"/>
          <w:b/>
          <w:bCs/>
        </w:rPr>
      </w:pPr>
    </w:p>
    <w:p w14:paraId="2A7D7665" w14:textId="77777777" w:rsidR="004C2064" w:rsidRPr="00B63D2F" w:rsidRDefault="004C2064" w:rsidP="004C2064">
      <w:pPr>
        <w:ind w:right="-180"/>
        <w:jc w:val="both"/>
        <w:rPr>
          <w:rFonts w:ascii="Courier New" w:hAnsi="Courier New" w:cs="Courier New"/>
          <w:b/>
          <w:bCs/>
        </w:rPr>
      </w:pPr>
    </w:p>
    <w:p w14:paraId="2A33CEB2" w14:textId="77777777" w:rsidR="004C2064" w:rsidRPr="00B63D2F" w:rsidRDefault="004C2064" w:rsidP="004C2064">
      <w:pPr>
        <w:ind w:right="-180"/>
        <w:jc w:val="both"/>
        <w:rPr>
          <w:rFonts w:ascii="Courier New" w:hAnsi="Courier New" w:cs="Courier New"/>
          <w:b/>
          <w:bCs/>
        </w:rPr>
      </w:pP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Pr>
          <w:rFonts w:ascii="Courier New" w:hAnsi="Courier New" w:cs="Courier New"/>
          <w:b/>
          <w:bCs/>
        </w:rPr>
        <w:t xml:space="preserve">  </w:t>
      </w:r>
      <w:r>
        <w:rPr>
          <w:rFonts w:ascii="Courier New" w:hAnsi="Courier New" w:cs="Courier New"/>
          <w:b/>
          <w:bCs/>
        </w:rPr>
        <w:tab/>
      </w:r>
      <w:r w:rsidRPr="00B63D2F">
        <w:rPr>
          <w:rFonts w:ascii="Courier New" w:hAnsi="Courier New" w:cs="Courier New"/>
          <w:b/>
          <w:bCs/>
        </w:rPr>
        <w:t>By: ___________________</w:t>
      </w:r>
      <w:r>
        <w:rPr>
          <w:rFonts w:ascii="Courier New" w:hAnsi="Courier New" w:cs="Courier New"/>
          <w:b/>
          <w:bCs/>
        </w:rPr>
        <w:t>___</w:t>
      </w:r>
      <w:r w:rsidRPr="00B63D2F">
        <w:rPr>
          <w:rFonts w:ascii="Courier New" w:hAnsi="Courier New" w:cs="Courier New"/>
          <w:b/>
          <w:bCs/>
        </w:rPr>
        <w:t>__________</w:t>
      </w:r>
    </w:p>
    <w:p w14:paraId="208D3984" w14:textId="77777777" w:rsidR="004C2064" w:rsidRPr="00B63D2F" w:rsidRDefault="004C2064" w:rsidP="004C2064">
      <w:pPr>
        <w:ind w:right="-180"/>
        <w:jc w:val="both"/>
        <w:rPr>
          <w:rFonts w:ascii="Courier New" w:hAnsi="Courier New" w:cs="Courier New"/>
          <w:b/>
          <w:bCs/>
        </w:rPr>
      </w:pP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t xml:space="preserve">        </w:t>
      </w:r>
      <w:r>
        <w:rPr>
          <w:rFonts w:ascii="Courier New" w:hAnsi="Courier New" w:cs="Courier New"/>
          <w:b/>
          <w:bCs/>
        </w:rPr>
        <w:t> </w:t>
      </w:r>
      <w:r w:rsidRPr="00B63D2F">
        <w:rPr>
          <w:rFonts w:ascii="Courier New" w:hAnsi="Courier New" w:cs="Courier New"/>
          <w:b/>
          <w:bCs/>
        </w:rPr>
        <w:t>Thomas W. Hammond, Jr., Chairman</w:t>
      </w:r>
    </w:p>
    <w:p w14:paraId="64E42EEE" w14:textId="77777777" w:rsidR="004C2064" w:rsidRDefault="004C2064" w:rsidP="004C2064">
      <w:pPr>
        <w:ind w:right="-180"/>
        <w:jc w:val="both"/>
        <w:rPr>
          <w:rFonts w:ascii="Courier New" w:hAnsi="Courier New" w:cs="Courier New"/>
          <w:b/>
          <w:bCs/>
        </w:rPr>
      </w:pPr>
    </w:p>
    <w:p w14:paraId="20E94039" w14:textId="77777777" w:rsidR="004C2064" w:rsidRDefault="004C2064" w:rsidP="004C2064">
      <w:pPr>
        <w:ind w:right="-180"/>
        <w:jc w:val="both"/>
        <w:rPr>
          <w:rFonts w:ascii="Courier New" w:hAnsi="Courier New" w:cs="Courier New"/>
          <w:b/>
          <w:bCs/>
        </w:rPr>
      </w:pPr>
    </w:p>
    <w:p w14:paraId="0A007E5E" w14:textId="77777777" w:rsidR="00270864" w:rsidRDefault="00270864" w:rsidP="00270864">
      <w:pPr>
        <w:ind w:right="-180"/>
        <w:jc w:val="both"/>
        <w:rPr>
          <w:rFonts w:ascii="Courier New" w:hAnsi="Courier New" w:cs="Courier New"/>
          <w:b/>
          <w:bCs/>
        </w:rPr>
      </w:pPr>
    </w:p>
    <w:p w14:paraId="67D9109B" w14:textId="77777777" w:rsidR="00270864" w:rsidRDefault="00270864" w:rsidP="00270864">
      <w:pPr>
        <w:ind w:right="-180"/>
        <w:jc w:val="both"/>
        <w:rPr>
          <w:rFonts w:ascii="Courier New" w:hAnsi="Courier New" w:cs="Courier New"/>
          <w:b/>
          <w:bCs/>
        </w:rPr>
      </w:pPr>
    </w:p>
    <w:p w14:paraId="3E053627" w14:textId="77777777" w:rsidR="00270864" w:rsidRPr="00B63D2F" w:rsidRDefault="00270864" w:rsidP="00270864">
      <w:pPr>
        <w:ind w:right="-180"/>
        <w:jc w:val="both"/>
        <w:rPr>
          <w:rFonts w:ascii="Courier New" w:hAnsi="Courier New" w:cs="Courier New"/>
          <w:b/>
          <w:bCs/>
        </w:rPr>
      </w:pPr>
      <w:r w:rsidRPr="00B63D2F">
        <w:rPr>
          <w:rFonts w:ascii="Courier New" w:hAnsi="Courier New" w:cs="Courier New"/>
          <w:b/>
          <w:bCs/>
        </w:rPr>
        <w:t>A true copy,</w:t>
      </w:r>
    </w:p>
    <w:p w14:paraId="68FB4AFC" w14:textId="77777777" w:rsidR="00270864" w:rsidRPr="00B63D2F" w:rsidRDefault="00270864" w:rsidP="00270864">
      <w:pPr>
        <w:ind w:right="-180"/>
        <w:jc w:val="both"/>
        <w:rPr>
          <w:rFonts w:ascii="Courier New" w:hAnsi="Courier New" w:cs="Courier New"/>
          <w:b/>
          <w:bCs/>
        </w:rPr>
      </w:pPr>
    </w:p>
    <w:p w14:paraId="0B789711" w14:textId="77777777" w:rsidR="00270864" w:rsidRPr="00B63D2F" w:rsidRDefault="00270864" w:rsidP="00270864">
      <w:pPr>
        <w:ind w:right="-180"/>
        <w:jc w:val="both"/>
        <w:rPr>
          <w:rFonts w:ascii="Courier New" w:hAnsi="Courier New" w:cs="Courier New"/>
          <w:b/>
          <w:bCs/>
        </w:rPr>
      </w:pPr>
      <w:r w:rsidRPr="00B63D2F">
        <w:rPr>
          <w:rFonts w:ascii="Courier New" w:hAnsi="Courier New" w:cs="Courier New"/>
          <w:b/>
          <w:bCs/>
        </w:rPr>
        <w:t>Attest: ____________________________</w:t>
      </w:r>
    </w:p>
    <w:p w14:paraId="2C4821C5" w14:textId="77777777" w:rsidR="00270864" w:rsidRPr="00B63D2F" w:rsidRDefault="00270864" w:rsidP="00270864">
      <w:pPr>
        <w:ind w:right="-180"/>
        <w:jc w:val="both"/>
        <w:rPr>
          <w:rFonts w:ascii="Courier New" w:hAnsi="Courier New" w:cs="Courier New"/>
          <w:b/>
          <w:bCs/>
        </w:rPr>
      </w:pPr>
      <w:r w:rsidRPr="00B63D2F">
        <w:rPr>
          <w:rFonts w:ascii="Courier New" w:hAnsi="Courier New" w:cs="Courier New"/>
          <w:b/>
          <w:bCs/>
        </w:rPr>
        <w:tab/>
        <w:t xml:space="preserve">   </w:t>
      </w:r>
      <w:r>
        <w:rPr>
          <w:rFonts w:ascii="Courier New" w:hAnsi="Courier New" w:cs="Courier New"/>
          <w:b/>
          <w:bCs/>
        </w:rPr>
        <w:t> </w:t>
      </w:r>
      <w:r w:rsidRPr="00B63D2F">
        <w:rPr>
          <w:rFonts w:ascii="Courier New" w:hAnsi="Courier New" w:cs="Courier New"/>
          <w:b/>
          <w:bCs/>
        </w:rPr>
        <w:t>Clerk of the Board</w:t>
      </w:r>
    </w:p>
    <w:p w14:paraId="66445E0D" w14:textId="77777777" w:rsidR="00270864" w:rsidRDefault="00270864" w:rsidP="00270864"/>
    <w:p w14:paraId="7A58279D" w14:textId="77777777" w:rsidR="00270864" w:rsidRPr="00B63D2F" w:rsidRDefault="00270864" w:rsidP="004C2064">
      <w:pPr>
        <w:ind w:right="-180"/>
        <w:jc w:val="both"/>
        <w:rPr>
          <w:rFonts w:ascii="Courier New" w:hAnsi="Courier New" w:cs="Courier New"/>
          <w:b/>
          <w:bCs/>
        </w:rPr>
      </w:pPr>
    </w:p>
    <w:sectPr w:rsidR="00270864" w:rsidRPr="00B63D2F" w:rsidSect="00270864">
      <w:footerReference w:type="even" r:id="rId7"/>
      <w:footerReference w:type="default" r:id="rId8"/>
      <w:pgSz w:w="12240" w:h="15840"/>
      <w:pgMar w:top="1440" w:right="1800" w:bottom="1440" w:left="1800" w:header="720" w:footer="576" w:gutter="0"/>
      <w:pgNumType w:start="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D1267" w14:textId="77777777" w:rsidR="002653BF" w:rsidRDefault="002653BF" w:rsidP="00A120D0">
      <w:r>
        <w:separator/>
      </w:r>
    </w:p>
  </w:endnote>
  <w:endnote w:type="continuationSeparator" w:id="0">
    <w:p w14:paraId="0CB04C19" w14:textId="77777777" w:rsidR="002653BF" w:rsidRDefault="002653BF" w:rsidP="00A1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74D25" w14:textId="77777777" w:rsidR="00B516DD" w:rsidRDefault="00B516DD" w:rsidP="00E45F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4C6FBC" w14:textId="77777777" w:rsidR="00B516DD" w:rsidRDefault="00B516DD" w:rsidP="00B516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1F095" w14:textId="5F596CDA" w:rsidR="00B516DD" w:rsidRPr="00270864" w:rsidRDefault="00270864" w:rsidP="00270864">
    <w:pPr>
      <w:pStyle w:val="Footer"/>
      <w:framePr w:wrap="around" w:vAnchor="text" w:hAnchor="page" w:x="5485" w:y="25"/>
      <w:rPr>
        <w:rStyle w:val="PageNumber"/>
        <w:rFonts w:ascii="Courier New" w:hAnsi="Courier New" w:cs="Courier New"/>
        <w:b/>
      </w:rPr>
    </w:pPr>
    <w:r w:rsidRPr="00270864">
      <w:rPr>
        <w:rStyle w:val="PageNumber"/>
        <w:rFonts w:ascii="Courier New" w:hAnsi="Courier New" w:cs="Courier New"/>
        <w:b/>
      </w:rPr>
      <w:t>ATB 2019-</w:t>
    </w:r>
    <w:r w:rsidR="00B516DD" w:rsidRPr="00270864">
      <w:rPr>
        <w:rStyle w:val="PageNumber"/>
        <w:rFonts w:ascii="Courier New" w:hAnsi="Courier New" w:cs="Courier New"/>
        <w:b/>
      </w:rPr>
      <w:fldChar w:fldCharType="begin"/>
    </w:r>
    <w:r w:rsidR="00B516DD" w:rsidRPr="00270864">
      <w:rPr>
        <w:rStyle w:val="PageNumber"/>
        <w:rFonts w:ascii="Courier New" w:hAnsi="Courier New" w:cs="Courier New"/>
        <w:b/>
      </w:rPr>
      <w:instrText xml:space="preserve">PAGE  </w:instrText>
    </w:r>
    <w:r w:rsidR="00B516DD" w:rsidRPr="00270864">
      <w:rPr>
        <w:rStyle w:val="PageNumber"/>
        <w:rFonts w:ascii="Courier New" w:hAnsi="Courier New" w:cs="Courier New"/>
        <w:b/>
      </w:rPr>
      <w:fldChar w:fldCharType="separate"/>
    </w:r>
    <w:r w:rsidR="007D7B03">
      <w:rPr>
        <w:rStyle w:val="PageNumber"/>
        <w:rFonts w:ascii="Courier New" w:hAnsi="Courier New" w:cs="Courier New"/>
        <w:b/>
        <w:noProof/>
      </w:rPr>
      <w:t>46</w:t>
    </w:r>
    <w:r w:rsidR="00B516DD" w:rsidRPr="00270864">
      <w:rPr>
        <w:rStyle w:val="PageNumber"/>
        <w:rFonts w:ascii="Courier New" w:hAnsi="Courier New" w:cs="Courier New"/>
        <w:b/>
      </w:rPr>
      <w:fldChar w:fldCharType="end"/>
    </w:r>
  </w:p>
  <w:p w14:paraId="14E33200" w14:textId="77777777" w:rsidR="00B516DD" w:rsidRDefault="00B516DD" w:rsidP="00B516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3F097" w14:textId="77777777" w:rsidR="002653BF" w:rsidRDefault="002653BF" w:rsidP="00A120D0">
      <w:r>
        <w:separator/>
      </w:r>
    </w:p>
  </w:footnote>
  <w:footnote w:type="continuationSeparator" w:id="0">
    <w:p w14:paraId="5412F283" w14:textId="77777777" w:rsidR="002653BF" w:rsidRDefault="002653BF" w:rsidP="00A120D0">
      <w:r>
        <w:continuationSeparator/>
      </w:r>
    </w:p>
  </w:footnote>
  <w:footnote w:id="1">
    <w:p w14:paraId="6F14E873" w14:textId="77777777" w:rsidR="00D848C1" w:rsidRPr="0098209E" w:rsidRDefault="00D848C1" w:rsidP="00D848C1">
      <w:pPr>
        <w:pStyle w:val="FootnoteText"/>
        <w:jc w:val="both"/>
        <w:rPr>
          <w:rFonts w:ascii="Courier New" w:hAnsi="Courier New" w:cs="Courier New"/>
          <w:sz w:val="20"/>
          <w:szCs w:val="20"/>
        </w:rPr>
      </w:pPr>
      <w:r w:rsidRPr="0098209E">
        <w:rPr>
          <w:rStyle w:val="FootnoteReference"/>
          <w:rFonts w:ascii="Courier New" w:hAnsi="Courier New" w:cs="Courier New"/>
          <w:sz w:val="20"/>
          <w:szCs w:val="20"/>
        </w:rPr>
        <w:footnoteRef/>
      </w:r>
      <w:r w:rsidRPr="0098209E">
        <w:rPr>
          <w:rFonts w:ascii="Courier New" w:hAnsi="Courier New" w:cs="Courier New"/>
          <w:sz w:val="20"/>
          <w:szCs w:val="20"/>
        </w:rPr>
        <w:t> Pursuant to G.L. c. 58A, § 7A, the assessors elected to transfer this appeal to the formal procedure.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D0"/>
    <w:rsid w:val="00044E3A"/>
    <w:rsid w:val="000706F2"/>
    <w:rsid w:val="0008745B"/>
    <w:rsid w:val="00091861"/>
    <w:rsid w:val="00172C8A"/>
    <w:rsid w:val="00186CDB"/>
    <w:rsid w:val="001A1B0F"/>
    <w:rsid w:val="001C3B5C"/>
    <w:rsid w:val="00255E26"/>
    <w:rsid w:val="002653BF"/>
    <w:rsid w:val="00270864"/>
    <w:rsid w:val="002A6CC1"/>
    <w:rsid w:val="002E265A"/>
    <w:rsid w:val="003032A0"/>
    <w:rsid w:val="00303ABE"/>
    <w:rsid w:val="00342639"/>
    <w:rsid w:val="00355E79"/>
    <w:rsid w:val="003C1AC2"/>
    <w:rsid w:val="003C3F63"/>
    <w:rsid w:val="003E2CCA"/>
    <w:rsid w:val="00441655"/>
    <w:rsid w:val="004613B9"/>
    <w:rsid w:val="00485524"/>
    <w:rsid w:val="004B07C8"/>
    <w:rsid w:val="004C2064"/>
    <w:rsid w:val="004F2B18"/>
    <w:rsid w:val="004F50CC"/>
    <w:rsid w:val="00537B99"/>
    <w:rsid w:val="0054601A"/>
    <w:rsid w:val="00547B33"/>
    <w:rsid w:val="00551EC1"/>
    <w:rsid w:val="005A12D1"/>
    <w:rsid w:val="006475C3"/>
    <w:rsid w:val="006D41EE"/>
    <w:rsid w:val="00711F5B"/>
    <w:rsid w:val="00722DEF"/>
    <w:rsid w:val="007D7B03"/>
    <w:rsid w:val="00873413"/>
    <w:rsid w:val="008A02DE"/>
    <w:rsid w:val="00925919"/>
    <w:rsid w:val="00952896"/>
    <w:rsid w:val="00962459"/>
    <w:rsid w:val="0098209E"/>
    <w:rsid w:val="00986D57"/>
    <w:rsid w:val="009C4D58"/>
    <w:rsid w:val="009D30FB"/>
    <w:rsid w:val="00A120D0"/>
    <w:rsid w:val="00B0740F"/>
    <w:rsid w:val="00B1563E"/>
    <w:rsid w:val="00B516DD"/>
    <w:rsid w:val="00C73905"/>
    <w:rsid w:val="00CD5376"/>
    <w:rsid w:val="00CF2724"/>
    <w:rsid w:val="00D121B2"/>
    <w:rsid w:val="00D65095"/>
    <w:rsid w:val="00D70F4F"/>
    <w:rsid w:val="00D848C1"/>
    <w:rsid w:val="00DE4DD3"/>
    <w:rsid w:val="00E221B1"/>
    <w:rsid w:val="00E87D88"/>
    <w:rsid w:val="00E96BE7"/>
    <w:rsid w:val="00EF043C"/>
    <w:rsid w:val="00F10220"/>
    <w:rsid w:val="00F318EF"/>
    <w:rsid w:val="00F4080D"/>
    <w:rsid w:val="00F6015E"/>
    <w:rsid w:val="00FE5E36"/>
    <w:rsid w:val="00FF3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9C55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120D0"/>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rsid w:val="00A120D0"/>
    <w:rPr>
      <w:rFonts w:ascii="Courier New" w:eastAsia="Times New Roman" w:hAnsi="Courier New" w:cs="Courier New"/>
    </w:rPr>
  </w:style>
  <w:style w:type="paragraph" w:styleId="FootnoteText">
    <w:name w:val="footnote text"/>
    <w:basedOn w:val="Normal"/>
    <w:link w:val="FootnoteTextChar"/>
    <w:unhideWhenUsed/>
    <w:rsid w:val="00A120D0"/>
  </w:style>
  <w:style w:type="character" w:customStyle="1" w:styleId="FootnoteTextChar">
    <w:name w:val="Footnote Text Char"/>
    <w:basedOn w:val="DefaultParagraphFont"/>
    <w:link w:val="FootnoteText"/>
    <w:rsid w:val="00A120D0"/>
    <w:rPr>
      <w:rFonts w:ascii="Times New Roman" w:eastAsia="Times New Roman" w:hAnsi="Times New Roman" w:cs="Times New Roman"/>
    </w:rPr>
  </w:style>
  <w:style w:type="character" w:styleId="FootnoteReference">
    <w:name w:val="footnote reference"/>
    <w:basedOn w:val="DefaultParagraphFont"/>
    <w:unhideWhenUsed/>
    <w:rsid w:val="00A120D0"/>
    <w:rPr>
      <w:vertAlign w:val="superscript"/>
    </w:rPr>
  </w:style>
  <w:style w:type="paragraph" w:styleId="Footer">
    <w:name w:val="footer"/>
    <w:basedOn w:val="Normal"/>
    <w:link w:val="FooterChar"/>
    <w:uiPriority w:val="99"/>
    <w:unhideWhenUsed/>
    <w:rsid w:val="00B516DD"/>
    <w:pPr>
      <w:tabs>
        <w:tab w:val="center" w:pos="4320"/>
        <w:tab w:val="right" w:pos="8640"/>
      </w:tabs>
    </w:pPr>
  </w:style>
  <w:style w:type="character" w:customStyle="1" w:styleId="FooterChar">
    <w:name w:val="Footer Char"/>
    <w:basedOn w:val="DefaultParagraphFont"/>
    <w:link w:val="Footer"/>
    <w:uiPriority w:val="99"/>
    <w:rsid w:val="00B516DD"/>
    <w:rPr>
      <w:rFonts w:ascii="Times New Roman" w:eastAsia="Times New Roman" w:hAnsi="Times New Roman" w:cs="Times New Roman"/>
    </w:rPr>
  </w:style>
  <w:style w:type="character" w:styleId="PageNumber">
    <w:name w:val="page number"/>
    <w:basedOn w:val="DefaultParagraphFont"/>
    <w:uiPriority w:val="99"/>
    <w:semiHidden/>
    <w:unhideWhenUsed/>
    <w:rsid w:val="00B516DD"/>
  </w:style>
  <w:style w:type="table" w:styleId="TableGrid">
    <w:name w:val="Table Grid"/>
    <w:basedOn w:val="TableNormal"/>
    <w:uiPriority w:val="59"/>
    <w:rsid w:val="00CD5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BE7"/>
    <w:rPr>
      <w:rFonts w:ascii="Tahoma" w:hAnsi="Tahoma" w:cs="Tahoma"/>
      <w:sz w:val="16"/>
      <w:szCs w:val="16"/>
    </w:rPr>
  </w:style>
  <w:style w:type="character" w:customStyle="1" w:styleId="BalloonTextChar">
    <w:name w:val="Balloon Text Char"/>
    <w:basedOn w:val="DefaultParagraphFont"/>
    <w:link w:val="BalloonText"/>
    <w:uiPriority w:val="99"/>
    <w:semiHidden/>
    <w:rsid w:val="00E96BE7"/>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4C2064"/>
    <w:pPr>
      <w:spacing w:after="120"/>
      <w:ind w:left="360"/>
    </w:pPr>
  </w:style>
  <w:style w:type="character" w:customStyle="1" w:styleId="BodyTextIndentChar">
    <w:name w:val="Body Text Indent Char"/>
    <w:basedOn w:val="DefaultParagraphFont"/>
    <w:link w:val="BodyTextIndent"/>
    <w:uiPriority w:val="99"/>
    <w:semiHidden/>
    <w:rsid w:val="004C2064"/>
    <w:rPr>
      <w:rFonts w:ascii="Times New Roman" w:eastAsia="Times New Roman" w:hAnsi="Times New Roman" w:cs="Times New Roman"/>
    </w:rPr>
  </w:style>
  <w:style w:type="character" w:customStyle="1" w:styleId="apple-converted-space">
    <w:name w:val="apple-converted-space"/>
    <w:rsid w:val="004C2064"/>
  </w:style>
  <w:style w:type="paragraph" w:styleId="Header">
    <w:name w:val="header"/>
    <w:basedOn w:val="Normal"/>
    <w:link w:val="HeaderChar"/>
    <w:uiPriority w:val="99"/>
    <w:unhideWhenUsed/>
    <w:rsid w:val="00270864"/>
    <w:pPr>
      <w:tabs>
        <w:tab w:val="center" w:pos="4680"/>
        <w:tab w:val="right" w:pos="9360"/>
      </w:tabs>
    </w:pPr>
  </w:style>
  <w:style w:type="character" w:customStyle="1" w:styleId="HeaderChar">
    <w:name w:val="Header Char"/>
    <w:basedOn w:val="DefaultParagraphFont"/>
    <w:link w:val="Header"/>
    <w:uiPriority w:val="99"/>
    <w:rsid w:val="0027086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120D0"/>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rsid w:val="00A120D0"/>
    <w:rPr>
      <w:rFonts w:ascii="Courier New" w:eastAsia="Times New Roman" w:hAnsi="Courier New" w:cs="Courier New"/>
    </w:rPr>
  </w:style>
  <w:style w:type="paragraph" w:styleId="FootnoteText">
    <w:name w:val="footnote text"/>
    <w:basedOn w:val="Normal"/>
    <w:link w:val="FootnoteTextChar"/>
    <w:unhideWhenUsed/>
    <w:rsid w:val="00A120D0"/>
  </w:style>
  <w:style w:type="character" w:customStyle="1" w:styleId="FootnoteTextChar">
    <w:name w:val="Footnote Text Char"/>
    <w:basedOn w:val="DefaultParagraphFont"/>
    <w:link w:val="FootnoteText"/>
    <w:rsid w:val="00A120D0"/>
    <w:rPr>
      <w:rFonts w:ascii="Times New Roman" w:eastAsia="Times New Roman" w:hAnsi="Times New Roman" w:cs="Times New Roman"/>
    </w:rPr>
  </w:style>
  <w:style w:type="character" w:styleId="FootnoteReference">
    <w:name w:val="footnote reference"/>
    <w:basedOn w:val="DefaultParagraphFont"/>
    <w:unhideWhenUsed/>
    <w:rsid w:val="00A120D0"/>
    <w:rPr>
      <w:vertAlign w:val="superscript"/>
    </w:rPr>
  </w:style>
  <w:style w:type="paragraph" w:styleId="Footer">
    <w:name w:val="footer"/>
    <w:basedOn w:val="Normal"/>
    <w:link w:val="FooterChar"/>
    <w:uiPriority w:val="99"/>
    <w:unhideWhenUsed/>
    <w:rsid w:val="00B516DD"/>
    <w:pPr>
      <w:tabs>
        <w:tab w:val="center" w:pos="4320"/>
        <w:tab w:val="right" w:pos="8640"/>
      </w:tabs>
    </w:pPr>
  </w:style>
  <w:style w:type="character" w:customStyle="1" w:styleId="FooterChar">
    <w:name w:val="Footer Char"/>
    <w:basedOn w:val="DefaultParagraphFont"/>
    <w:link w:val="Footer"/>
    <w:uiPriority w:val="99"/>
    <w:rsid w:val="00B516DD"/>
    <w:rPr>
      <w:rFonts w:ascii="Times New Roman" w:eastAsia="Times New Roman" w:hAnsi="Times New Roman" w:cs="Times New Roman"/>
    </w:rPr>
  </w:style>
  <w:style w:type="character" w:styleId="PageNumber">
    <w:name w:val="page number"/>
    <w:basedOn w:val="DefaultParagraphFont"/>
    <w:uiPriority w:val="99"/>
    <w:semiHidden/>
    <w:unhideWhenUsed/>
    <w:rsid w:val="00B516DD"/>
  </w:style>
  <w:style w:type="table" w:styleId="TableGrid">
    <w:name w:val="Table Grid"/>
    <w:basedOn w:val="TableNormal"/>
    <w:uiPriority w:val="59"/>
    <w:rsid w:val="00CD5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BE7"/>
    <w:rPr>
      <w:rFonts w:ascii="Tahoma" w:hAnsi="Tahoma" w:cs="Tahoma"/>
      <w:sz w:val="16"/>
      <w:szCs w:val="16"/>
    </w:rPr>
  </w:style>
  <w:style w:type="character" w:customStyle="1" w:styleId="BalloonTextChar">
    <w:name w:val="Balloon Text Char"/>
    <w:basedOn w:val="DefaultParagraphFont"/>
    <w:link w:val="BalloonText"/>
    <w:uiPriority w:val="99"/>
    <w:semiHidden/>
    <w:rsid w:val="00E96BE7"/>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4C2064"/>
    <w:pPr>
      <w:spacing w:after="120"/>
      <w:ind w:left="360"/>
    </w:pPr>
  </w:style>
  <w:style w:type="character" w:customStyle="1" w:styleId="BodyTextIndentChar">
    <w:name w:val="Body Text Indent Char"/>
    <w:basedOn w:val="DefaultParagraphFont"/>
    <w:link w:val="BodyTextIndent"/>
    <w:uiPriority w:val="99"/>
    <w:semiHidden/>
    <w:rsid w:val="004C2064"/>
    <w:rPr>
      <w:rFonts w:ascii="Times New Roman" w:eastAsia="Times New Roman" w:hAnsi="Times New Roman" w:cs="Times New Roman"/>
    </w:rPr>
  </w:style>
  <w:style w:type="character" w:customStyle="1" w:styleId="apple-converted-space">
    <w:name w:val="apple-converted-space"/>
    <w:rsid w:val="004C2064"/>
  </w:style>
  <w:style w:type="paragraph" w:styleId="Header">
    <w:name w:val="header"/>
    <w:basedOn w:val="Normal"/>
    <w:link w:val="HeaderChar"/>
    <w:uiPriority w:val="99"/>
    <w:unhideWhenUsed/>
    <w:rsid w:val="00270864"/>
    <w:pPr>
      <w:tabs>
        <w:tab w:val="center" w:pos="4680"/>
        <w:tab w:val="right" w:pos="9360"/>
      </w:tabs>
    </w:pPr>
  </w:style>
  <w:style w:type="character" w:customStyle="1" w:styleId="HeaderChar">
    <w:name w:val="Header Char"/>
    <w:basedOn w:val="DefaultParagraphFont"/>
    <w:link w:val="Header"/>
    <w:uiPriority w:val="99"/>
    <w:rsid w:val="002708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2</cp:revision>
  <cp:lastPrinted>2019-01-24T18:45:00Z</cp:lastPrinted>
  <dcterms:created xsi:type="dcterms:W3CDTF">2019-01-24T18:48:00Z</dcterms:created>
  <dcterms:modified xsi:type="dcterms:W3CDTF">2019-01-24T18:48:00Z</dcterms:modified>
</cp:coreProperties>
</file>