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86" w:rsidRDefault="00B21986" w:rsidP="00E020D2">
      <w:pPr>
        <w:pStyle w:val="Body1"/>
        <w:tabs>
          <w:tab w:val="left" w:pos="360"/>
        </w:tabs>
        <w:jc w:val="center"/>
        <w:rPr>
          <w:rFonts w:hAnsi="Arial Unicode MS"/>
          <w:b/>
        </w:rPr>
      </w:pPr>
    </w:p>
    <w:p w:rsidR="00182A21" w:rsidRDefault="00182A21" w:rsidP="00E020D2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>COMMONWEALTH OF MASSACHUSETTS</w:t>
      </w:r>
    </w:p>
    <w:p w:rsidR="00182A21" w:rsidRDefault="00182A21" w:rsidP="00E020D2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BOARD OF </w:t>
      </w:r>
      <w:r w:rsidR="00615D09">
        <w:rPr>
          <w:rFonts w:hAnsi="Arial Unicode MS"/>
          <w:b/>
        </w:rPr>
        <w:t>NURSINGHOME ADMINISTRATORS</w:t>
      </w:r>
    </w:p>
    <w:p w:rsidR="00182A21" w:rsidRDefault="00430CA7" w:rsidP="00E020D2">
      <w:pPr>
        <w:pStyle w:val="Body1"/>
        <w:tabs>
          <w:tab w:val="left" w:pos="360"/>
        </w:tabs>
        <w:jc w:val="center"/>
        <w:rPr>
          <w:rFonts w:hAnsi="Arial Unicode MS"/>
          <w:b/>
        </w:rPr>
      </w:pPr>
      <w:r>
        <w:rPr>
          <w:rFonts w:hAnsi="Arial Unicode MS"/>
          <w:b/>
        </w:rPr>
        <w:t>Staff Action</w:t>
      </w:r>
      <w:r w:rsidR="00750105">
        <w:rPr>
          <w:rFonts w:hAnsi="Arial Unicode MS"/>
          <w:b/>
        </w:rPr>
        <w:t xml:space="preserve"> Policy </w:t>
      </w:r>
    </w:p>
    <w:p w:rsidR="00026A50" w:rsidRDefault="00026A50" w:rsidP="00E020D2">
      <w:pPr>
        <w:pStyle w:val="Body1"/>
        <w:tabs>
          <w:tab w:val="left" w:pos="360"/>
        </w:tabs>
        <w:jc w:val="center"/>
        <w:rPr>
          <w:rFonts w:hAnsi="Arial Unicode MS"/>
          <w:b/>
        </w:rPr>
      </w:pPr>
    </w:p>
    <w:p w:rsidR="00B21986" w:rsidRDefault="00B21986" w:rsidP="00E020D2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>Allowing Staff to Process License Applications</w:t>
      </w:r>
    </w:p>
    <w:p w:rsidR="00B950E2" w:rsidRDefault="00B950E2" w:rsidP="00E020D2">
      <w:pPr>
        <w:pStyle w:val="Body1"/>
        <w:tabs>
          <w:tab w:val="left" w:pos="360"/>
        </w:tabs>
        <w:jc w:val="center"/>
        <w:rPr>
          <w:b/>
        </w:rPr>
      </w:pP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1750"/>
        <w:gridCol w:w="8171"/>
      </w:tblGrid>
      <w:tr w:rsidR="00182A21" w:rsidTr="008D0D6D">
        <w:trPr>
          <w:cantSplit/>
          <w:trHeight w:val="328"/>
          <w:jc w:val="center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1C579B">
            <w:pPr>
              <w:pStyle w:val="Body1"/>
              <w:tabs>
                <w:tab w:val="left" w:pos="360"/>
              </w:tabs>
              <w:ind w:left="195"/>
              <w:jc w:val="center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Title</w:t>
            </w:r>
          </w:p>
        </w:tc>
        <w:tc>
          <w:tcPr>
            <w:tcW w:w="8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Pr="00023C0F" w:rsidRDefault="00B21986" w:rsidP="00615D09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  <w:r>
              <w:rPr>
                <w:b/>
              </w:rPr>
              <w:t>Determination of Eligibility For NHA Licensure</w:t>
            </w:r>
          </w:p>
        </w:tc>
      </w:tr>
      <w:tr w:rsidR="00182A21" w:rsidTr="008D0D6D">
        <w:trPr>
          <w:cantSplit/>
          <w:trHeight w:val="328"/>
          <w:jc w:val="center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50635" w:rsidRDefault="00350635" w:rsidP="00E020D2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</w:p>
          <w:p w:rsidR="00182A21" w:rsidRDefault="00182A21" w:rsidP="001C579B">
            <w:pPr>
              <w:pStyle w:val="Body1"/>
              <w:tabs>
                <w:tab w:val="left" w:pos="360"/>
              </w:tabs>
              <w:ind w:left="195"/>
              <w:jc w:val="center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Purpose</w:t>
            </w:r>
          </w:p>
        </w:tc>
        <w:tc>
          <w:tcPr>
            <w:tcW w:w="8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B21986">
            <w:pPr>
              <w:pStyle w:val="Body1"/>
              <w:tabs>
                <w:tab w:val="left" w:pos="123"/>
              </w:tabs>
              <w:ind w:left="123" w:right="105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The Board of </w:t>
            </w:r>
            <w:r w:rsidR="00615D09">
              <w:rPr>
                <w:rFonts w:hAnsi="Arial Unicode MS"/>
              </w:rPr>
              <w:t xml:space="preserve">Nursing Home Administrators </w:t>
            </w:r>
            <w:r w:rsidR="00430CA7">
              <w:rPr>
                <w:rFonts w:hAnsi="Arial Unicode MS"/>
              </w:rPr>
              <w:t>(</w:t>
            </w:r>
            <w:r w:rsidR="00430CA7">
              <w:rPr>
                <w:rFonts w:hAnsi="Arial Unicode MS"/>
              </w:rPr>
              <w:t>“</w:t>
            </w:r>
            <w:r w:rsidR="00430CA7">
              <w:rPr>
                <w:rFonts w:hAnsi="Arial Unicode MS"/>
              </w:rPr>
              <w:t>Board</w:t>
            </w:r>
            <w:r w:rsidR="00430CA7">
              <w:rPr>
                <w:rFonts w:hAnsi="Arial Unicode MS"/>
              </w:rPr>
              <w:t>”</w:t>
            </w:r>
            <w:r w:rsidR="00430CA7">
              <w:rPr>
                <w:rFonts w:hAnsi="Arial Unicode MS"/>
              </w:rPr>
              <w:t xml:space="preserve">) </w:t>
            </w:r>
            <w:r>
              <w:rPr>
                <w:rFonts w:hAnsi="Arial Unicode MS"/>
              </w:rPr>
              <w:t xml:space="preserve">adopts this policy </w:t>
            </w:r>
            <w:r w:rsidR="00B950E2">
              <w:rPr>
                <w:rFonts w:hAnsi="Arial Unicode MS"/>
              </w:rPr>
              <w:t>in order</w:t>
            </w:r>
            <w:r w:rsidR="00B21986">
              <w:rPr>
                <w:rFonts w:hAnsi="Arial Unicode MS"/>
              </w:rPr>
              <w:t xml:space="preserve"> to process license applications in an efficient and timely manner and </w:t>
            </w:r>
            <w:r w:rsidR="00B950E2">
              <w:rPr>
                <w:rFonts w:hAnsi="Arial Unicode MS"/>
              </w:rPr>
              <w:t xml:space="preserve">to </w:t>
            </w:r>
            <w:r w:rsidR="00E738A7">
              <w:rPr>
                <w:rFonts w:hAnsi="Arial Unicode MS"/>
              </w:rPr>
              <w:t xml:space="preserve">authorize Board staff to </w:t>
            </w:r>
            <w:r w:rsidR="00E738A7">
              <w:t>determine whether a</w:t>
            </w:r>
            <w:r w:rsidR="00B21986">
              <w:t xml:space="preserve">n applicant for </w:t>
            </w:r>
            <w:r w:rsidR="00E738A7">
              <w:t xml:space="preserve">Nursing Home Administrator (NHA) </w:t>
            </w:r>
            <w:r w:rsidR="00B21986">
              <w:t xml:space="preserve">licensure </w:t>
            </w:r>
            <w:r w:rsidR="00E738A7">
              <w:t xml:space="preserve"> </w:t>
            </w:r>
            <w:r w:rsidR="00B21986">
              <w:t xml:space="preserve">meets the criteria set forth in </w:t>
            </w:r>
            <w:r w:rsidR="00C3157F">
              <w:t xml:space="preserve">M.G.L.c. 112 §§ 108, 110-113 and </w:t>
            </w:r>
            <w:r w:rsidR="00B21986">
              <w:t xml:space="preserve">the Board’s regulations at </w:t>
            </w:r>
            <w:r w:rsidR="00C3157F">
              <w:t>245 CMR 3.00 through 3.07.</w:t>
            </w:r>
          </w:p>
          <w:p w:rsidR="00B950E2" w:rsidRDefault="00B950E2" w:rsidP="00E020D2">
            <w:pPr>
              <w:pStyle w:val="Body1"/>
              <w:tabs>
                <w:tab w:val="left" w:pos="123"/>
              </w:tabs>
              <w:ind w:left="123" w:right="105"/>
            </w:pPr>
          </w:p>
        </w:tc>
      </w:tr>
      <w:tr w:rsidR="00182A21" w:rsidTr="008D0D6D">
        <w:trPr>
          <w:cantSplit/>
          <w:trHeight w:val="328"/>
          <w:jc w:val="center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rFonts w:hAnsi="Arial Unicode MS"/>
                <w:b/>
              </w:rPr>
              <w:t>Date Adopted</w:t>
            </w:r>
          </w:p>
        </w:tc>
        <w:tc>
          <w:tcPr>
            <w:tcW w:w="8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182A21" w:rsidRDefault="002F0611" w:rsidP="00E020D2">
            <w:pPr>
              <w:tabs>
                <w:tab w:val="left" w:pos="-413"/>
                <w:tab w:val="left" w:pos="123"/>
              </w:tabs>
              <w:ind w:left="-413" w:right="105"/>
            </w:pPr>
            <w:r>
              <w:t>August 18</w:t>
            </w:r>
            <w:r w:rsidR="00DF00A8">
              <w:t>, 2017</w:t>
            </w:r>
          </w:p>
        </w:tc>
      </w:tr>
      <w:tr w:rsidR="009C6712" w:rsidTr="008D0D6D">
        <w:trPr>
          <w:cantSplit/>
          <w:trHeight w:val="8027"/>
          <w:jc w:val="center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93029" w:rsidRDefault="00F93029" w:rsidP="001C579B">
            <w:pPr>
              <w:jc w:val="center"/>
              <w:rPr>
                <w:b/>
                <w:szCs w:val="20"/>
              </w:rPr>
            </w:pPr>
          </w:p>
          <w:p w:rsidR="00F93029" w:rsidRDefault="00F93029" w:rsidP="001C579B">
            <w:pPr>
              <w:jc w:val="center"/>
              <w:rPr>
                <w:b/>
                <w:szCs w:val="20"/>
              </w:rPr>
            </w:pPr>
          </w:p>
          <w:p w:rsidR="001C579B" w:rsidRPr="001C579B" w:rsidRDefault="001C579B" w:rsidP="001C579B">
            <w:pPr>
              <w:jc w:val="center"/>
              <w:rPr>
                <w:b/>
                <w:szCs w:val="20"/>
              </w:rPr>
            </w:pPr>
            <w:r w:rsidRPr="001C579B">
              <w:rPr>
                <w:b/>
                <w:szCs w:val="20"/>
              </w:rPr>
              <w:t>General Statement of Policy</w:t>
            </w:r>
          </w:p>
          <w:p w:rsidR="009C6712" w:rsidRDefault="009C6712" w:rsidP="00E020D2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</w:p>
        </w:tc>
        <w:tc>
          <w:tcPr>
            <w:tcW w:w="8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E2500C" w:rsidRDefault="009C6712" w:rsidP="00C3157F">
            <w:pPr>
              <w:pStyle w:val="BodyText"/>
              <w:ind w:left="-593"/>
            </w:pPr>
            <w:r>
              <w:t xml:space="preserve">Each applicant for a license as a Nursing Home Administrator must </w:t>
            </w:r>
            <w:r w:rsidR="00E2500C">
              <w:t xml:space="preserve">document his or her eligibility for licensure by demonstrating good moral character, graduating from an accredited college or university, passing a licensing examination and </w:t>
            </w:r>
            <w:r>
              <w:t>complet</w:t>
            </w:r>
            <w:r w:rsidR="00E2500C">
              <w:t>ing</w:t>
            </w:r>
            <w:r>
              <w:t xml:space="preserve"> an approved training </w:t>
            </w:r>
            <w:r w:rsidR="007E49DB">
              <w:t xml:space="preserve">program prior to licensure.  </w:t>
            </w:r>
            <w:r w:rsidR="00E2500C">
              <w:t>The Board authorizes its staff to compile and review all such documentation to determine each applicant’s</w:t>
            </w:r>
          </w:p>
          <w:p w:rsidR="00E2500C" w:rsidRDefault="00E2500C" w:rsidP="00C3157F">
            <w:pPr>
              <w:pStyle w:val="BodyText"/>
              <w:ind w:left="-593"/>
            </w:pPr>
            <w:r>
              <w:t>eligibility for licensure including</w:t>
            </w:r>
            <w:r w:rsidR="00F93029">
              <w:t>:</w:t>
            </w:r>
          </w:p>
          <w:p w:rsidR="00F93029" w:rsidRDefault="00F93029" w:rsidP="00C3157F">
            <w:pPr>
              <w:pStyle w:val="BodyText"/>
              <w:ind w:left="-593"/>
            </w:pPr>
          </w:p>
          <w:p w:rsidR="00E2500C" w:rsidRDefault="00E2500C" w:rsidP="00E2500C">
            <w:pPr>
              <w:pStyle w:val="BodyText"/>
              <w:numPr>
                <w:ilvl w:val="0"/>
                <w:numId w:val="20"/>
              </w:numPr>
            </w:pPr>
            <w:r>
              <w:t>Initial application - Administrator in Training (A.I.T.) requests;</w:t>
            </w:r>
          </w:p>
          <w:p w:rsidR="00E2500C" w:rsidRDefault="00E2500C" w:rsidP="00E2500C">
            <w:pPr>
              <w:pStyle w:val="BodyText"/>
              <w:numPr>
                <w:ilvl w:val="0"/>
                <w:numId w:val="20"/>
              </w:numPr>
            </w:pPr>
            <w:r>
              <w:t>Initial application - Full licensure;</w:t>
            </w:r>
          </w:p>
          <w:p w:rsidR="00E2500C" w:rsidRDefault="00E2500C" w:rsidP="00E2500C">
            <w:pPr>
              <w:pStyle w:val="BodyText"/>
              <w:numPr>
                <w:ilvl w:val="0"/>
                <w:numId w:val="20"/>
              </w:numPr>
            </w:pPr>
            <w:r>
              <w:t>Initial application – Reciprocity</w:t>
            </w:r>
            <w:r w:rsidR="00026A50">
              <w:t>;</w:t>
            </w:r>
          </w:p>
          <w:p w:rsidR="00E2500C" w:rsidRDefault="00E2500C" w:rsidP="00E2500C">
            <w:pPr>
              <w:pStyle w:val="BodyText"/>
              <w:numPr>
                <w:ilvl w:val="0"/>
                <w:numId w:val="20"/>
              </w:numPr>
            </w:pPr>
            <w:r>
              <w:t>Training Credit Requests –</w:t>
            </w:r>
            <w:r w:rsidR="00F93029">
              <w:t xml:space="preserve"> </w:t>
            </w:r>
            <w:r>
              <w:t>AIT;</w:t>
            </w:r>
          </w:p>
          <w:p w:rsidR="00F93029" w:rsidRDefault="00F93029" w:rsidP="00E2500C">
            <w:pPr>
              <w:pStyle w:val="BodyText"/>
              <w:numPr>
                <w:ilvl w:val="0"/>
                <w:numId w:val="20"/>
              </w:numPr>
            </w:pPr>
            <w:r>
              <w:t>Progress Reports (Midpoint and Completion);</w:t>
            </w:r>
          </w:p>
          <w:p w:rsidR="00F93029" w:rsidRDefault="00F93029" w:rsidP="00E2500C">
            <w:pPr>
              <w:pStyle w:val="BodyText"/>
              <w:numPr>
                <w:ilvl w:val="0"/>
                <w:numId w:val="20"/>
              </w:numPr>
            </w:pPr>
            <w:r>
              <w:t>Change of Preceptor Requests;</w:t>
            </w:r>
          </w:p>
          <w:p w:rsidR="00F93029" w:rsidRDefault="00F93029" w:rsidP="00E2500C">
            <w:pPr>
              <w:pStyle w:val="BodyText"/>
              <w:numPr>
                <w:ilvl w:val="0"/>
                <w:numId w:val="20"/>
              </w:numPr>
            </w:pPr>
            <w:r>
              <w:t>Change of Facility Requests;</w:t>
            </w:r>
          </w:p>
          <w:p w:rsidR="00F93029" w:rsidRDefault="00F93029" w:rsidP="00E2500C">
            <w:pPr>
              <w:pStyle w:val="BodyText"/>
              <w:numPr>
                <w:ilvl w:val="0"/>
                <w:numId w:val="20"/>
              </w:numPr>
            </w:pPr>
            <w:r>
              <w:t>Move with Preceptor to New Facility Requests;</w:t>
            </w:r>
          </w:p>
          <w:p w:rsidR="00F93029" w:rsidRDefault="00F93029" w:rsidP="00E2500C">
            <w:pPr>
              <w:pStyle w:val="BodyText"/>
              <w:numPr>
                <w:ilvl w:val="0"/>
                <w:numId w:val="20"/>
              </w:numPr>
            </w:pPr>
            <w:r>
              <w:t>CEU Approval for NHAs Who Act as Preceptors</w:t>
            </w:r>
            <w:r w:rsidR="00026A50">
              <w:t>.</w:t>
            </w:r>
          </w:p>
          <w:p w:rsidR="00026A50" w:rsidRDefault="00026A50" w:rsidP="00C3157F">
            <w:pPr>
              <w:pStyle w:val="BodyText"/>
              <w:ind w:left="-593"/>
            </w:pPr>
          </w:p>
          <w:p w:rsidR="00026A50" w:rsidRDefault="00026A50" w:rsidP="00C3157F">
            <w:pPr>
              <w:pStyle w:val="BodyText"/>
              <w:ind w:left="-593"/>
            </w:pPr>
          </w:p>
          <w:p w:rsidR="003E7249" w:rsidRDefault="00026A50" w:rsidP="00C3157F">
            <w:pPr>
              <w:pStyle w:val="BodyText"/>
              <w:ind w:left="-593"/>
            </w:pPr>
            <w:r>
              <w:t xml:space="preserve">Board Staff members will employ checklists to assure all criteria are addressed.  </w:t>
            </w:r>
            <w:r w:rsidR="00E2500C">
              <w:t xml:space="preserve">If the applicant meets all criteria, </w:t>
            </w:r>
            <w:r w:rsidR="001B7360">
              <w:t xml:space="preserve">staff </w:t>
            </w:r>
            <w:r w:rsidR="00E2500C">
              <w:t>will issue</w:t>
            </w:r>
            <w:r w:rsidR="001B7360">
              <w:t xml:space="preserve"> a license</w:t>
            </w:r>
            <w:r w:rsidR="00E2500C">
              <w:t xml:space="preserve">. </w:t>
            </w:r>
          </w:p>
          <w:p w:rsidR="003E7249" w:rsidRDefault="003E7249" w:rsidP="003E7249">
            <w:pPr>
              <w:pStyle w:val="BodyText"/>
              <w:ind w:left="720"/>
            </w:pPr>
          </w:p>
          <w:p w:rsidR="001B7360" w:rsidRDefault="00466AE8" w:rsidP="00104A84">
            <w:pPr>
              <w:pStyle w:val="BodyText"/>
              <w:ind w:left="-593"/>
            </w:pPr>
            <w:r>
              <w:t xml:space="preserve">If the staff determines that the </w:t>
            </w:r>
            <w:r w:rsidR="00F93029">
              <w:t xml:space="preserve">applicant or </w:t>
            </w:r>
            <w:r>
              <w:t xml:space="preserve">NHA does not meet the requirements above, staff </w:t>
            </w:r>
            <w:r w:rsidR="00E2500C">
              <w:t>will bring the application before the full Board for its review and determination.</w:t>
            </w:r>
            <w:r w:rsidR="00104A84">
              <w:t xml:space="preserve">  </w:t>
            </w:r>
          </w:p>
          <w:p w:rsidR="001B7360" w:rsidRDefault="001B7360" w:rsidP="00104A84">
            <w:pPr>
              <w:pStyle w:val="BodyText"/>
              <w:ind w:left="-593"/>
            </w:pPr>
          </w:p>
          <w:p w:rsidR="00104A84" w:rsidRDefault="00104A84" w:rsidP="00104A84">
            <w:pPr>
              <w:pStyle w:val="BodyText"/>
              <w:ind w:left="-593"/>
            </w:pPr>
            <w:r>
              <w:t>The Board Executive Director or his or her designee will provide an annual report to Board members on the number of applications processed by staff action.</w:t>
            </w:r>
          </w:p>
        </w:tc>
      </w:tr>
    </w:tbl>
    <w:p w:rsidR="00182A21" w:rsidRDefault="00182A21" w:rsidP="00E020D2">
      <w:pPr>
        <w:pStyle w:val="Body1"/>
        <w:tabs>
          <w:tab w:val="left" w:pos="360"/>
        </w:tabs>
        <w:rPr>
          <w:b/>
        </w:rPr>
      </w:pPr>
    </w:p>
    <w:p w:rsidR="00182A21" w:rsidRDefault="00182A21" w:rsidP="00E020D2">
      <w:pPr>
        <w:pStyle w:val="Body1"/>
        <w:tabs>
          <w:tab w:val="left" w:pos="360"/>
        </w:tabs>
        <w:rPr>
          <w:rFonts w:eastAsia="Times New Roman"/>
          <w:color w:val="auto"/>
          <w:sz w:val="20"/>
        </w:rPr>
      </w:pPr>
    </w:p>
    <w:sectPr w:rsidR="00182A21" w:rsidSect="00182A21">
      <w:headerReference w:type="default" r:id="rId9"/>
      <w:footerReference w:type="default" r:id="rId10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6A" w:rsidRDefault="002E366A">
      <w:r>
        <w:separator/>
      </w:r>
    </w:p>
  </w:endnote>
  <w:endnote w:type="continuationSeparator" w:id="0">
    <w:p w:rsidR="002E366A" w:rsidRDefault="002E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6516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26A50" w:rsidRDefault="00026A50">
            <w:pPr>
              <w:pStyle w:val="Footer"/>
              <w:jc w:val="center"/>
            </w:pPr>
            <w:r>
              <w:t xml:space="preserve">Page </w:t>
            </w:r>
            <w:r w:rsidRPr="00026A50">
              <w:rPr>
                <w:bCs/>
              </w:rPr>
              <w:fldChar w:fldCharType="begin"/>
            </w:r>
            <w:r w:rsidRPr="00026A50">
              <w:rPr>
                <w:bCs/>
              </w:rPr>
              <w:instrText xml:space="preserve"> PAGE </w:instrText>
            </w:r>
            <w:r w:rsidRPr="00026A50">
              <w:rPr>
                <w:bCs/>
              </w:rPr>
              <w:fldChar w:fldCharType="separate"/>
            </w:r>
            <w:r w:rsidR="00AA5D9A">
              <w:rPr>
                <w:bCs/>
                <w:noProof/>
              </w:rPr>
              <w:t>1</w:t>
            </w:r>
            <w:r w:rsidRPr="00026A50">
              <w:rPr>
                <w:bCs/>
              </w:rPr>
              <w:fldChar w:fldCharType="end"/>
            </w:r>
            <w:r>
              <w:t xml:space="preserve"> of </w:t>
            </w:r>
            <w:r w:rsidRPr="00026A50">
              <w:rPr>
                <w:bCs/>
              </w:rPr>
              <w:fldChar w:fldCharType="begin"/>
            </w:r>
            <w:r w:rsidRPr="00026A50">
              <w:rPr>
                <w:bCs/>
              </w:rPr>
              <w:instrText xml:space="preserve"> NUMPAGES  </w:instrText>
            </w:r>
            <w:r w:rsidRPr="00026A50">
              <w:rPr>
                <w:bCs/>
              </w:rPr>
              <w:fldChar w:fldCharType="separate"/>
            </w:r>
            <w:r w:rsidR="00AA5D9A">
              <w:rPr>
                <w:bCs/>
                <w:noProof/>
              </w:rPr>
              <w:t>1</w:t>
            </w:r>
            <w:r w:rsidRPr="00026A50">
              <w:rPr>
                <w:bCs/>
              </w:rPr>
              <w:fldChar w:fldCharType="end"/>
            </w:r>
          </w:p>
        </w:sdtContent>
      </w:sdt>
    </w:sdtContent>
  </w:sdt>
  <w:p w:rsidR="00E2500C" w:rsidRPr="00CD5418" w:rsidRDefault="00E2500C" w:rsidP="00CD5418">
    <w:pPr>
      <w:pStyle w:val="Body1"/>
      <w:ind w:left="-450" w:right="-450"/>
      <w:jc w:val="center"/>
      <w:rPr>
        <w:rFonts w:eastAsia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6A" w:rsidRDefault="002E366A">
      <w:r>
        <w:separator/>
      </w:r>
    </w:p>
  </w:footnote>
  <w:footnote w:type="continuationSeparator" w:id="0">
    <w:p w:rsidR="002E366A" w:rsidRDefault="002E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0C" w:rsidRDefault="002E366A">
    <w:pPr>
      <w:tabs>
        <w:tab w:val="left" w:pos="0"/>
        <w:tab w:val="center" w:pos="4320"/>
        <w:tab w:val="center" w:pos="4680"/>
        <w:tab w:val="right" w:pos="8640"/>
        <w:tab w:val="right" w:pos="9360"/>
      </w:tabs>
      <w:ind w:right="180"/>
      <w:outlineLvl w:val="0"/>
      <w:rPr>
        <w:noProof/>
        <w:sz w:val="20"/>
      </w:rPr>
    </w:pPr>
    <w:sdt>
      <w:sdtPr>
        <w:rPr>
          <w:rFonts w:eastAsia="Arial Unicode MS" w:hAnsi="Arial Unicode MS"/>
          <w:color w:val="000000"/>
          <w:sz w:val="20"/>
          <w:u w:color="000000"/>
        </w:rPr>
        <w:id w:val="-1047677126"/>
        <w:docPartObj>
          <w:docPartGallery w:val="Watermarks"/>
          <w:docPartUnique/>
        </w:docPartObj>
      </w:sdtPr>
      <w:sdtEndPr/>
      <w:sdtContent>
        <w:r>
          <w:rPr>
            <w:rFonts w:eastAsia="Arial Unicode MS" w:hAnsi="Arial Unicode MS"/>
            <w:noProof/>
            <w:color w:val="000000"/>
            <w:sz w:val="20"/>
            <w:u w:color="00000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3">
    <w:nsid w:val="00000004"/>
    <w:multiLevelType w:val="multilevel"/>
    <w:tmpl w:val="894EE876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6">
    <w:nsid w:val="03DE15D0"/>
    <w:multiLevelType w:val="hybridMultilevel"/>
    <w:tmpl w:val="C12C532E"/>
    <w:lvl w:ilvl="0" w:tplc="1A6ACC8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03902B3"/>
    <w:multiLevelType w:val="hybridMultilevel"/>
    <w:tmpl w:val="3B8CB63A"/>
    <w:lvl w:ilvl="0" w:tplc="40845650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4039F0"/>
    <w:multiLevelType w:val="hybridMultilevel"/>
    <w:tmpl w:val="BB72A330"/>
    <w:lvl w:ilvl="0" w:tplc="BF3623BE">
      <w:start w:val="3"/>
      <w:numFmt w:val="decimal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9">
    <w:nsid w:val="1CF47E66"/>
    <w:multiLevelType w:val="hybridMultilevel"/>
    <w:tmpl w:val="A4ACDA70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43D8F"/>
    <w:multiLevelType w:val="hybridMultilevel"/>
    <w:tmpl w:val="14508A1A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76097"/>
    <w:multiLevelType w:val="hybridMultilevel"/>
    <w:tmpl w:val="D37C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588"/>
    <w:multiLevelType w:val="hybridMultilevel"/>
    <w:tmpl w:val="DFB0F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C41D9"/>
    <w:multiLevelType w:val="hybridMultilevel"/>
    <w:tmpl w:val="C84EED06"/>
    <w:lvl w:ilvl="0" w:tplc="0409000F">
      <w:start w:val="1"/>
      <w:numFmt w:val="decimal"/>
      <w:lvlText w:val="%1."/>
      <w:lvlJc w:val="left"/>
      <w:pPr>
        <w:ind w:left="127" w:hanging="360"/>
      </w:pPr>
    </w:lvl>
    <w:lvl w:ilvl="1" w:tplc="04090019" w:tentative="1">
      <w:start w:val="1"/>
      <w:numFmt w:val="lowerLetter"/>
      <w:lvlText w:val="%2."/>
      <w:lvlJc w:val="left"/>
      <w:pPr>
        <w:ind w:left="847" w:hanging="360"/>
      </w:pPr>
    </w:lvl>
    <w:lvl w:ilvl="2" w:tplc="0409001B" w:tentative="1">
      <w:start w:val="1"/>
      <w:numFmt w:val="lowerRoman"/>
      <w:lvlText w:val="%3."/>
      <w:lvlJc w:val="right"/>
      <w:pPr>
        <w:ind w:left="1567" w:hanging="180"/>
      </w:pPr>
    </w:lvl>
    <w:lvl w:ilvl="3" w:tplc="0409000F" w:tentative="1">
      <w:start w:val="1"/>
      <w:numFmt w:val="decimal"/>
      <w:lvlText w:val="%4."/>
      <w:lvlJc w:val="left"/>
      <w:pPr>
        <w:ind w:left="2287" w:hanging="360"/>
      </w:pPr>
    </w:lvl>
    <w:lvl w:ilvl="4" w:tplc="04090019" w:tentative="1">
      <w:start w:val="1"/>
      <w:numFmt w:val="lowerLetter"/>
      <w:lvlText w:val="%5."/>
      <w:lvlJc w:val="left"/>
      <w:pPr>
        <w:ind w:left="3007" w:hanging="360"/>
      </w:pPr>
    </w:lvl>
    <w:lvl w:ilvl="5" w:tplc="0409001B" w:tentative="1">
      <w:start w:val="1"/>
      <w:numFmt w:val="lowerRoman"/>
      <w:lvlText w:val="%6."/>
      <w:lvlJc w:val="right"/>
      <w:pPr>
        <w:ind w:left="3727" w:hanging="180"/>
      </w:pPr>
    </w:lvl>
    <w:lvl w:ilvl="6" w:tplc="0409000F" w:tentative="1">
      <w:start w:val="1"/>
      <w:numFmt w:val="decimal"/>
      <w:lvlText w:val="%7."/>
      <w:lvlJc w:val="left"/>
      <w:pPr>
        <w:ind w:left="4447" w:hanging="360"/>
      </w:pPr>
    </w:lvl>
    <w:lvl w:ilvl="7" w:tplc="04090019" w:tentative="1">
      <w:start w:val="1"/>
      <w:numFmt w:val="lowerLetter"/>
      <w:lvlText w:val="%8."/>
      <w:lvlJc w:val="left"/>
      <w:pPr>
        <w:ind w:left="5167" w:hanging="360"/>
      </w:pPr>
    </w:lvl>
    <w:lvl w:ilvl="8" w:tplc="040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14">
    <w:nsid w:val="338D6FAA"/>
    <w:multiLevelType w:val="hybridMultilevel"/>
    <w:tmpl w:val="B93A8402"/>
    <w:lvl w:ilvl="0" w:tplc="7ACEB7F4">
      <w:start w:val="1"/>
      <w:numFmt w:val="decimal"/>
      <w:lvlText w:val="(%1)"/>
      <w:lvlJc w:val="left"/>
      <w:pPr>
        <w:ind w:left="1278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5">
    <w:nsid w:val="35333342"/>
    <w:multiLevelType w:val="hybridMultilevel"/>
    <w:tmpl w:val="64AEE4B8"/>
    <w:lvl w:ilvl="0" w:tplc="623E4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80D86"/>
    <w:multiLevelType w:val="hybridMultilevel"/>
    <w:tmpl w:val="CA666586"/>
    <w:lvl w:ilvl="0" w:tplc="F30807A6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>
    <w:nsid w:val="3E186DBE"/>
    <w:multiLevelType w:val="hybridMultilevel"/>
    <w:tmpl w:val="B776C6EA"/>
    <w:lvl w:ilvl="0" w:tplc="708C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6388E"/>
    <w:multiLevelType w:val="hybridMultilevel"/>
    <w:tmpl w:val="298C5D10"/>
    <w:lvl w:ilvl="0" w:tplc="3AA2D49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D904136"/>
    <w:multiLevelType w:val="hybridMultilevel"/>
    <w:tmpl w:val="CEE26522"/>
    <w:lvl w:ilvl="0" w:tplc="DA022E4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7"/>
  </w:num>
  <w:num w:numId="10">
    <w:abstractNumId w:val="9"/>
  </w:num>
  <w:num w:numId="11">
    <w:abstractNumId w:val="15"/>
  </w:num>
  <w:num w:numId="12">
    <w:abstractNumId w:val="7"/>
  </w:num>
  <w:num w:numId="13">
    <w:abstractNumId w:val="18"/>
  </w:num>
  <w:num w:numId="14">
    <w:abstractNumId w:val="16"/>
  </w:num>
  <w:num w:numId="15">
    <w:abstractNumId w:val="14"/>
  </w:num>
  <w:num w:numId="16">
    <w:abstractNumId w:val="19"/>
  </w:num>
  <w:num w:numId="17">
    <w:abstractNumId w:val="8"/>
  </w:num>
  <w:num w:numId="18">
    <w:abstractNumId w:val="6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3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F1"/>
    <w:rsid w:val="00023C0F"/>
    <w:rsid w:val="00026A50"/>
    <w:rsid w:val="00030D01"/>
    <w:rsid w:val="00060580"/>
    <w:rsid w:val="0008031E"/>
    <w:rsid w:val="000E0F87"/>
    <w:rsid w:val="00104A84"/>
    <w:rsid w:val="00182A21"/>
    <w:rsid w:val="001976A4"/>
    <w:rsid w:val="001B7360"/>
    <w:rsid w:val="001C579B"/>
    <w:rsid w:val="001C6CA5"/>
    <w:rsid w:val="00207D26"/>
    <w:rsid w:val="00220CE7"/>
    <w:rsid w:val="00236F75"/>
    <w:rsid w:val="002D2F7C"/>
    <w:rsid w:val="002E366A"/>
    <w:rsid w:val="002F0611"/>
    <w:rsid w:val="00350635"/>
    <w:rsid w:val="0037288B"/>
    <w:rsid w:val="003B4038"/>
    <w:rsid w:val="003E7249"/>
    <w:rsid w:val="003E7C73"/>
    <w:rsid w:val="00422883"/>
    <w:rsid w:val="00430CA7"/>
    <w:rsid w:val="00455560"/>
    <w:rsid w:val="00466AE8"/>
    <w:rsid w:val="0049254F"/>
    <w:rsid w:val="004D328B"/>
    <w:rsid w:val="005D0CF1"/>
    <w:rsid w:val="005F4651"/>
    <w:rsid w:val="0060241F"/>
    <w:rsid w:val="00615D09"/>
    <w:rsid w:val="006A0204"/>
    <w:rsid w:val="006F12DA"/>
    <w:rsid w:val="00716E00"/>
    <w:rsid w:val="00750105"/>
    <w:rsid w:val="007E49DB"/>
    <w:rsid w:val="0080600F"/>
    <w:rsid w:val="00816E47"/>
    <w:rsid w:val="008705C7"/>
    <w:rsid w:val="00892CB8"/>
    <w:rsid w:val="008A2C2F"/>
    <w:rsid w:val="008D0D6D"/>
    <w:rsid w:val="00912DE1"/>
    <w:rsid w:val="009602C6"/>
    <w:rsid w:val="0096383F"/>
    <w:rsid w:val="009C6712"/>
    <w:rsid w:val="009F500A"/>
    <w:rsid w:val="00A04AB0"/>
    <w:rsid w:val="00A370A6"/>
    <w:rsid w:val="00A45DC2"/>
    <w:rsid w:val="00A670E6"/>
    <w:rsid w:val="00A85DFB"/>
    <w:rsid w:val="00A96EF0"/>
    <w:rsid w:val="00AA5D9A"/>
    <w:rsid w:val="00AC127C"/>
    <w:rsid w:val="00B05058"/>
    <w:rsid w:val="00B21986"/>
    <w:rsid w:val="00B24A8A"/>
    <w:rsid w:val="00B63248"/>
    <w:rsid w:val="00B950E2"/>
    <w:rsid w:val="00BA35F2"/>
    <w:rsid w:val="00BB3236"/>
    <w:rsid w:val="00BB3744"/>
    <w:rsid w:val="00C06466"/>
    <w:rsid w:val="00C3157F"/>
    <w:rsid w:val="00C32A00"/>
    <w:rsid w:val="00C62794"/>
    <w:rsid w:val="00CD5418"/>
    <w:rsid w:val="00CE5DFB"/>
    <w:rsid w:val="00CF654A"/>
    <w:rsid w:val="00D858FF"/>
    <w:rsid w:val="00DF00A8"/>
    <w:rsid w:val="00E020D2"/>
    <w:rsid w:val="00E2500C"/>
    <w:rsid w:val="00E57B8E"/>
    <w:rsid w:val="00E738A7"/>
    <w:rsid w:val="00E85616"/>
    <w:rsid w:val="00E8582B"/>
    <w:rsid w:val="00EC7AF9"/>
    <w:rsid w:val="00F214EE"/>
    <w:rsid w:val="00F32B1D"/>
    <w:rsid w:val="00F9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customStyle="1" w:styleId="Default">
    <w:name w:val="Default"/>
    <w:rsid w:val="00CD541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1C6CA5"/>
    <w:pPr>
      <w:widowControl w:val="0"/>
      <w:autoSpaceDE w:val="0"/>
      <w:autoSpaceDN w:val="0"/>
      <w:adjustRightInd w:val="0"/>
      <w:ind w:left="1655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1C6CA5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466A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AE8"/>
  </w:style>
  <w:style w:type="character" w:styleId="FootnoteReference">
    <w:name w:val="footnote reference"/>
    <w:basedOn w:val="DefaultParagraphFont"/>
    <w:locked/>
    <w:rsid w:val="00466A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customStyle="1" w:styleId="Default">
    <w:name w:val="Default"/>
    <w:rsid w:val="00CD541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1C6CA5"/>
    <w:pPr>
      <w:widowControl w:val="0"/>
      <w:autoSpaceDE w:val="0"/>
      <w:autoSpaceDN w:val="0"/>
      <w:adjustRightInd w:val="0"/>
      <w:ind w:left="1655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1C6CA5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466A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AE8"/>
  </w:style>
  <w:style w:type="character" w:styleId="FootnoteReference">
    <w:name w:val="footnote reference"/>
    <w:basedOn w:val="DefaultParagraphFont"/>
    <w:locked/>
    <w:rsid w:val="00466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E6B4-52FE-4E40-8D54-6D230283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2017-08-18T16:29:00Z</dcterms:created>
  <dc:creator>Berg, Vita (DPH)</dc:creator>
  <lastModifiedBy>Mary</lastModifiedBy>
  <lastPrinted>2014-08-25T18:41:00Z</lastPrinted>
  <dcterms:modified xsi:type="dcterms:W3CDTF">2017-08-18T16:29:00Z</dcterms:modified>
  <revision>2</revision>
  <dc:title>COMMONWEALTH OF MASSACHUSETTS</dc:title>
</coreProperties>
</file>